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4DB46" w14:textId="2DAC60D2" w:rsidR="00552E5B" w:rsidRPr="00CB0131" w:rsidRDefault="00552E5B" w:rsidP="00410DEC">
      <w:pPr>
        <w:spacing w:line="240" w:lineRule="auto"/>
        <w:jc w:val="center"/>
        <w:rPr>
          <w:rFonts w:ascii="Times New Roman" w:hAnsi="Times New Roman" w:cs="Times New Roman"/>
          <w:b/>
          <w:sz w:val="32"/>
          <w:szCs w:val="32"/>
        </w:rPr>
      </w:pPr>
      <w:r w:rsidRPr="00CB0131">
        <w:rPr>
          <w:rFonts w:ascii="Times New Roman" w:hAnsi="Times New Roman" w:cs="Times New Roman"/>
          <w:b/>
          <w:sz w:val="32"/>
          <w:szCs w:val="32"/>
        </w:rPr>
        <w:t xml:space="preserve">Loan Utilization &amp; Repayment: The Role of Social Networks and Household Characteristics in Shaping Debt </w:t>
      </w:r>
      <w:r w:rsidR="002769D2" w:rsidRPr="00CB0131">
        <w:rPr>
          <w:rFonts w:ascii="Times New Roman" w:hAnsi="Times New Roman" w:cs="Times New Roman"/>
          <w:b/>
          <w:sz w:val="32"/>
          <w:szCs w:val="32"/>
        </w:rPr>
        <w:t>Repayment</w:t>
      </w:r>
      <w:r w:rsidRPr="00CB0131">
        <w:rPr>
          <w:rFonts w:ascii="Times New Roman" w:hAnsi="Times New Roman" w:cs="Times New Roman"/>
          <w:b/>
          <w:sz w:val="32"/>
          <w:szCs w:val="32"/>
        </w:rPr>
        <w:t xml:space="preserve"> </w:t>
      </w:r>
      <w:r w:rsidR="005503D3" w:rsidRPr="00CB0131">
        <w:rPr>
          <w:rFonts w:ascii="Times New Roman" w:hAnsi="Times New Roman" w:cs="Times New Roman"/>
          <w:b/>
          <w:sz w:val="32"/>
          <w:szCs w:val="32"/>
        </w:rPr>
        <w:t>Behavior</w:t>
      </w:r>
    </w:p>
    <w:p w14:paraId="36CCEE70" w14:textId="77777777" w:rsidR="00797A1B" w:rsidRPr="000418E6" w:rsidRDefault="00797A1B" w:rsidP="00410DEC">
      <w:pPr>
        <w:spacing w:line="240" w:lineRule="auto"/>
        <w:jc w:val="center"/>
        <w:rPr>
          <w:rFonts w:ascii="Times New Roman" w:hAnsi="Times New Roman" w:cs="Times New Roman"/>
          <w:sz w:val="24"/>
          <w:szCs w:val="24"/>
        </w:rPr>
      </w:pPr>
      <w:r w:rsidRPr="004E6CE3">
        <w:rPr>
          <w:rFonts w:ascii="Times New Roman" w:hAnsi="Times New Roman" w:cs="Times New Roman"/>
          <w:sz w:val="24"/>
          <w:szCs w:val="24"/>
        </w:rPr>
        <w:t>Abstract</w:t>
      </w:r>
    </w:p>
    <w:p w14:paraId="6EE408A4" w14:textId="77777777" w:rsidR="000B4864" w:rsidRPr="007777E8" w:rsidRDefault="00F300D8" w:rsidP="00410DEC">
      <w:pPr>
        <w:spacing w:line="240" w:lineRule="auto"/>
        <w:jc w:val="both"/>
        <w:rPr>
          <w:rFonts w:ascii="Times New Roman" w:hAnsi="Times New Roman" w:cs="Times New Roman"/>
          <w:iCs/>
          <w:sz w:val="24"/>
          <w:szCs w:val="24"/>
        </w:rPr>
      </w:pPr>
      <w:r w:rsidRPr="003F6906">
        <w:rPr>
          <w:rFonts w:ascii="Times New Roman" w:hAnsi="Times New Roman" w:cs="Times New Roman"/>
          <w:iCs/>
          <w:sz w:val="24"/>
          <w:szCs w:val="24"/>
        </w:rPr>
        <w:t xml:space="preserve">This study examines the relationship between household loan utilization and repayment performance, integrating perspectives from Financial Capability Theory and the concept of </w:t>
      </w:r>
      <w:r w:rsidR="007E3D6B" w:rsidRPr="003F6906">
        <w:rPr>
          <w:rFonts w:ascii="Times New Roman" w:hAnsi="Times New Roman" w:cs="Times New Roman"/>
          <w:iCs/>
          <w:sz w:val="24"/>
          <w:szCs w:val="24"/>
        </w:rPr>
        <w:t>family financial r</w:t>
      </w:r>
      <w:r w:rsidRPr="003F6906">
        <w:rPr>
          <w:rFonts w:ascii="Times New Roman" w:hAnsi="Times New Roman" w:cs="Times New Roman"/>
          <w:iCs/>
          <w:sz w:val="24"/>
          <w:szCs w:val="24"/>
        </w:rPr>
        <w:t>esilience</w:t>
      </w:r>
      <w:r w:rsidR="0077007D" w:rsidRPr="003F6906">
        <w:rPr>
          <w:rFonts w:ascii="Times New Roman" w:hAnsi="Times New Roman" w:cs="Times New Roman"/>
          <w:iCs/>
          <w:sz w:val="24"/>
          <w:szCs w:val="24"/>
        </w:rPr>
        <w:t xml:space="preserve"> in an emerging economy context (Uganda)</w:t>
      </w:r>
      <w:r w:rsidRPr="003F6906">
        <w:rPr>
          <w:rFonts w:ascii="Times New Roman" w:hAnsi="Times New Roman" w:cs="Times New Roman"/>
          <w:iCs/>
          <w:sz w:val="24"/>
          <w:szCs w:val="24"/>
        </w:rPr>
        <w:t xml:space="preserve">. </w:t>
      </w:r>
      <w:r w:rsidR="0077007D" w:rsidRPr="003F6906">
        <w:rPr>
          <w:rFonts w:ascii="Times New Roman" w:hAnsi="Times New Roman" w:cs="Times New Roman"/>
          <w:iCs/>
          <w:sz w:val="24"/>
          <w:szCs w:val="24"/>
        </w:rPr>
        <w:t xml:space="preserve">Applying 2 waves of the Uganda National Household Survey (Wave 1 and Wave 2 for </w:t>
      </w:r>
      <w:r w:rsidR="00C035FF" w:rsidRPr="003F6906">
        <w:rPr>
          <w:rFonts w:ascii="Times New Roman" w:hAnsi="Times New Roman" w:cs="Times New Roman"/>
          <w:iCs/>
          <w:sz w:val="24"/>
          <w:szCs w:val="24"/>
        </w:rPr>
        <w:t xml:space="preserve">years </w:t>
      </w:r>
      <w:r w:rsidR="0077007D" w:rsidRPr="003F6906">
        <w:rPr>
          <w:rFonts w:ascii="Times New Roman" w:hAnsi="Times New Roman" w:cs="Times New Roman"/>
          <w:iCs/>
          <w:sz w:val="24"/>
          <w:szCs w:val="24"/>
        </w:rPr>
        <w:t xml:space="preserve">2021/2022 and 2022/23 respectively, N = 3,173 households), a static panel </w:t>
      </w:r>
      <w:proofErr w:type="spellStart"/>
      <w:r w:rsidR="0077007D" w:rsidRPr="003F6906">
        <w:rPr>
          <w:rFonts w:ascii="Times New Roman" w:hAnsi="Times New Roman" w:cs="Times New Roman"/>
          <w:iCs/>
          <w:sz w:val="24"/>
          <w:szCs w:val="24"/>
        </w:rPr>
        <w:t>probit</w:t>
      </w:r>
      <w:proofErr w:type="spellEnd"/>
      <w:r w:rsidR="0077007D" w:rsidRPr="003F6906">
        <w:rPr>
          <w:rFonts w:ascii="Times New Roman" w:hAnsi="Times New Roman" w:cs="Times New Roman"/>
          <w:iCs/>
          <w:sz w:val="24"/>
          <w:szCs w:val="24"/>
        </w:rPr>
        <w:t xml:space="preserve"> model augmented with marginal effects and </w:t>
      </w:r>
      <w:r w:rsidRPr="003F6906">
        <w:rPr>
          <w:rFonts w:ascii="Times New Roman" w:hAnsi="Times New Roman" w:cs="Times New Roman"/>
          <w:iCs/>
          <w:sz w:val="24"/>
          <w:szCs w:val="24"/>
        </w:rPr>
        <w:t xml:space="preserve">correlation </w:t>
      </w:r>
      <w:r w:rsidR="0077007D" w:rsidRPr="003F6906">
        <w:rPr>
          <w:rFonts w:ascii="Times New Roman" w:hAnsi="Times New Roman" w:cs="Times New Roman"/>
          <w:iCs/>
          <w:sz w:val="24"/>
          <w:szCs w:val="24"/>
        </w:rPr>
        <w:t xml:space="preserve">analysis, the study </w:t>
      </w:r>
      <w:r w:rsidRPr="003F6906">
        <w:rPr>
          <w:rFonts w:ascii="Times New Roman" w:hAnsi="Times New Roman" w:cs="Times New Roman"/>
          <w:iCs/>
          <w:sz w:val="24"/>
          <w:szCs w:val="24"/>
        </w:rPr>
        <w:t>explore</w:t>
      </w:r>
      <w:r w:rsidR="0077007D" w:rsidRPr="003F6906">
        <w:rPr>
          <w:rFonts w:ascii="Times New Roman" w:hAnsi="Times New Roman" w:cs="Times New Roman"/>
          <w:iCs/>
          <w:sz w:val="24"/>
          <w:szCs w:val="24"/>
        </w:rPr>
        <w:t>s</w:t>
      </w:r>
      <w:r w:rsidRPr="003F6906">
        <w:rPr>
          <w:rFonts w:ascii="Times New Roman" w:hAnsi="Times New Roman" w:cs="Times New Roman"/>
          <w:iCs/>
          <w:sz w:val="24"/>
          <w:szCs w:val="24"/>
        </w:rPr>
        <w:t xml:space="preserve"> how </w:t>
      </w:r>
      <w:r w:rsidR="008D58BF" w:rsidRPr="003F6906">
        <w:rPr>
          <w:rFonts w:ascii="Times New Roman" w:hAnsi="Times New Roman" w:cs="Times New Roman"/>
          <w:iCs/>
          <w:sz w:val="24"/>
          <w:szCs w:val="24"/>
        </w:rPr>
        <w:t xml:space="preserve">loan utilization, </w:t>
      </w:r>
      <w:r w:rsidRPr="003F6906">
        <w:rPr>
          <w:rFonts w:ascii="Times New Roman" w:hAnsi="Times New Roman" w:cs="Times New Roman"/>
          <w:iCs/>
          <w:sz w:val="24"/>
          <w:szCs w:val="24"/>
        </w:rPr>
        <w:t xml:space="preserve">demographic, financial, and behavioral factors shape credit </w:t>
      </w:r>
      <w:r w:rsidR="0077007D" w:rsidRPr="003F6906">
        <w:rPr>
          <w:rFonts w:ascii="Times New Roman" w:hAnsi="Times New Roman" w:cs="Times New Roman"/>
          <w:iCs/>
          <w:sz w:val="24"/>
          <w:szCs w:val="24"/>
        </w:rPr>
        <w:t xml:space="preserve">repayment </w:t>
      </w:r>
      <w:r w:rsidRPr="003F6906">
        <w:rPr>
          <w:rFonts w:ascii="Times New Roman" w:hAnsi="Times New Roman" w:cs="Times New Roman"/>
          <w:iCs/>
          <w:sz w:val="24"/>
          <w:szCs w:val="24"/>
        </w:rPr>
        <w:t xml:space="preserve">outcomes. </w:t>
      </w:r>
      <w:r w:rsidR="008D58BF" w:rsidRPr="003F6906">
        <w:rPr>
          <w:rFonts w:ascii="Times New Roman" w:hAnsi="Times New Roman" w:cs="Times New Roman"/>
          <w:iCs/>
          <w:sz w:val="24"/>
          <w:szCs w:val="24"/>
        </w:rPr>
        <w:t xml:space="preserve">Correlation and marginal effect analyses reveal that productive loan utilization significantly reduces the likelihood of loan </w:t>
      </w:r>
      <w:r w:rsidR="00552E5B" w:rsidRPr="003F6906">
        <w:rPr>
          <w:rFonts w:ascii="Times New Roman" w:hAnsi="Times New Roman" w:cs="Times New Roman"/>
          <w:iCs/>
          <w:sz w:val="24"/>
          <w:szCs w:val="24"/>
        </w:rPr>
        <w:t>default.</w:t>
      </w:r>
      <w:r w:rsidR="008D58BF" w:rsidRPr="003F6906">
        <w:rPr>
          <w:rFonts w:ascii="Times New Roman" w:hAnsi="Times New Roman" w:cs="Times New Roman"/>
          <w:iCs/>
          <w:sz w:val="24"/>
          <w:szCs w:val="24"/>
        </w:rPr>
        <w:t xml:space="preserve"> Similarly, </w:t>
      </w:r>
      <w:r w:rsidR="00166F6C">
        <w:rPr>
          <w:rFonts w:ascii="Times New Roman" w:hAnsi="Times New Roman" w:cs="Times New Roman"/>
          <w:iCs/>
          <w:sz w:val="24"/>
          <w:szCs w:val="24"/>
        </w:rPr>
        <w:t xml:space="preserve">findings suggest that </w:t>
      </w:r>
      <w:r w:rsidR="008D58BF" w:rsidRPr="003F6906">
        <w:rPr>
          <w:rFonts w:ascii="Times New Roman" w:hAnsi="Times New Roman" w:cs="Times New Roman"/>
          <w:iCs/>
          <w:sz w:val="24"/>
          <w:szCs w:val="24"/>
        </w:rPr>
        <w:t xml:space="preserve">social networks lower default probability. </w:t>
      </w:r>
      <w:r w:rsidR="007777E8">
        <w:rPr>
          <w:rFonts w:ascii="Times New Roman" w:hAnsi="Times New Roman" w:cs="Times New Roman"/>
          <w:iCs/>
          <w:sz w:val="24"/>
          <w:szCs w:val="24"/>
        </w:rPr>
        <w:t xml:space="preserve">Additionally, </w:t>
      </w:r>
      <w:r w:rsidR="007777E8" w:rsidRPr="003F6906">
        <w:rPr>
          <w:rFonts w:ascii="Times New Roman" w:hAnsi="Times New Roman" w:cs="Times New Roman"/>
          <w:iCs/>
          <w:sz w:val="24"/>
          <w:szCs w:val="24"/>
        </w:rPr>
        <w:t>financial</w:t>
      </w:r>
      <w:r w:rsidR="008D58BF" w:rsidRPr="003F6906">
        <w:rPr>
          <w:rFonts w:ascii="Times New Roman" w:hAnsi="Times New Roman" w:cs="Times New Roman"/>
          <w:iCs/>
          <w:sz w:val="24"/>
          <w:szCs w:val="24"/>
        </w:rPr>
        <w:t xml:space="preserve"> inclusion and socioeconomic characteristics enhance productive loan use. Conversely, employment status</w:t>
      </w:r>
      <w:r w:rsidR="003F6906">
        <w:rPr>
          <w:rFonts w:ascii="Times New Roman" w:hAnsi="Times New Roman" w:cs="Times New Roman"/>
          <w:iCs/>
          <w:sz w:val="24"/>
          <w:szCs w:val="24"/>
        </w:rPr>
        <w:t>,</w:t>
      </w:r>
      <w:r w:rsidR="003F6906" w:rsidRPr="003F6906">
        <w:rPr>
          <w:rFonts w:ascii="Times New Roman" w:hAnsi="Times New Roman" w:cs="Times New Roman"/>
          <w:iCs/>
          <w:sz w:val="24"/>
          <w:szCs w:val="24"/>
        </w:rPr>
        <w:t xml:space="preserve"> dwelling</w:t>
      </w:r>
      <w:r w:rsidR="008D58BF" w:rsidRPr="003F6906">
        <w:rPr>
          <w:rFonts w:ascii="Times New Roman" w:hAnsi="Times New Roman" w:cs="Times New Roman"/>
          <w:iCs/>
          <w:sz w:val="24"/>
          <w:szCs w:val="24"/>
        </w:rPr>
        <w:t xml:space="preserve"> </w:t>
      </w:r>
      <w:r w:rsidR="007777E8" w:rsidRPr="003F6906">
        <w:rPr>
          <w:rFonts w:ascii="Times New Roman" w:hAnsi="Times New Roman" w:cs="Times New Roman"/>
          <w:iCs/>
          <w:sz w:val="24"/>
          <w:szCs w:val="24"/>
        </w:rPr>
        <w:t>type,</w:t>
      </w:r>
      <w:r w:rsidR="008D58BF" w:rsidRPr="003F6906">
        <w:rPr>
          <w:rFonts w:ascii="Times New Roman" w:hAnsi="Times New Roman" w:cs="Times New Roman"/>
          <w:iCs/>
          <w:sz w:val="24"/>
          <w:szCs w:val="24"/>
        </w:rPr>
        <w:t xml:space="preserve"> and worry about </w:t>
      </w:r>
      <w:r w:rsidR="00166F6C">
        <w:rPr>
          <w:rFonts w:ascii="Times New Roman" w:hAnsi="Times New Roman" w:cs="Times New Roman"/>
          <w:iCs/>
          <w:sz w:val="24"/>
          <w:szCs w:val="24"/>
        </w:rPr>
        <w:t xml:space="preserve">failure to pay debt </w:t>
      </w:r>
      <w:r w:rsidR="008D58BF" w:rsidRPr="003F6906">
        <w:rPr>
          <w:rFonts w:ascii="Times New Roman" w:hAnsi="Times New Roman" w:cs="Times New Roman"/>
          <w:iCs/>
          <w:sz w:val="24"/>
          <w:szCs w:val="24"/>
        </w:rPr>
        <w:t xml:space="preserve">are negatively correlated with repayment outcomes, signaling vulnerability among informal or low-income households. These findings are interpreted through the lens of Financial Capability Theory, which emphasizes the interaction of individual abilities, opportunities, and external networks in shaping financial decisions, and family financial resilience, which underscores the capacity of households to manage debt and withstand shocks. </w:t>
      </w:r>
      <w:r w:rsidRPr="003F6906">
        <w:rPr>
          <w:rFonts w:ascii="Times New Roman" w:hAnsi="Times New Roman" w:cs="Times New Roman"/>
          <w:iCs/>
          <w:sz w:val="24"/>
          <w:szCs w:val="24"/>
        </w:rPr>
        <w:t>The results advance the discourse on household financial behavior by highlighting how financial</w:t>
      </w:r>
      <w:r w:rsidRPr="003F6906">
        <w:rPr>
          <w:rFonts w:ascii="Times New Roman" w:hAnsi="Times New Roman" w:cs="Times New Roman"/>
          <w:sz w:val="24"/>
          <w:szCs w:val="24"/>
        </w:rPr>
        <w:t xml:space="preserve"> capability—shaped by education, inclusion, and social context—translates </w:t>
      </w:r>
      <w:r w:rsidRPr="007777E8">
        <w:rPr>
          <w:rFonts w:ascii="Times New Roman" w:hAnsi="Times New Roman" w:cs="Times New Roman"/>
          <w:iCs/>
          <w:sz w:val="24"/>
          <w:szCs w:val="24"/>
        </w:rPr>
        <w:t xml:space="preserve">into more </w:t>
      </w:r>
      <w:r w:rsidR="003A2FB8" w:rsidRPr="005974C5">
        <w:rPr>
          <w:rFonts w:ascii="Times New Roman" w:hAnsi="Times New Roman" w:cs="Times New Roman"/>
          <w:iCs/>
          <w:sz w:val="24"/>
          <w:szCs w:val="24"/>
        </w:rPr>
        <w:t>resilience, responsible</w:t>
      </w:r>
      <w:r w:rsidRPr="00552E5B">
        <w:rPr>
          <w:rFonts w:ascii="Times New Roman" w:hAnsi="Times New Roman" w:cs="Times New Roman"/>
          <w:iCs/>
          <w:sz w:val="24"/>
          <w:szCs w:val="24"/>
        </w:rPr>
        <w:t xml:space="preserve"> loan use</w:t>
      </w:r>
      <w:r w:rsidR="00D4409D" w:rsidRPr="00552E5B">
        <w:rPr>
          <w:rFonts w:ascii="Times New Roman" w:hAnsi="Times New Roman" w:cs="Times New Roman"/>
          <w:iCs/>
          <w:sz w:val="24"/>
          <w:szCs w:val="24"/>
        </w:rPr>
        <w:t xml:space="preserve"> and effective repayment</w:t>
      </w:r>
      <w:r w:rsidRPr="00552E5B">
        <w:rPr>
          <w:rFonts w:ascii="Times New Roman" w:hAnsi="Times New Roman" w:cs="Times New Roman"/>
          <w:iCs/>
          <w:sz w:val="24"/>
          <w:szCs w:val="24"/>
        </w:rPr>
        <w:t>.</w:t>
      </w:r>
      <w:r w:rsidR="007777E8" w:rsidRPr="00552E5B">
        <w:rPr>
          <w:rFonts w:ascii="Times New Roman" w:hAnsi="Times New Roman" w:cs="Times New Roman"/>
          <w:iCs/>
          <w:sz w:val="24"/>
          <w:szCs w:val="24"/>
        </w:rPr>
        <w:t xml:space="preserve"> </w:t>
      </w:r>
      <w:r w:rsidR="007777E8" w:rsidRPr="00CB0131">
        <w:rPr>
          <w:rFonts w:ascii="Times New Roman" w:hAnsi="Times New Roman" w:cs="Times New Roman"/>
          <w:iCs/>
          <w:sz w:val="24"/>
          <w:szCs w:val="24"/>
        </w:rPr>
        <w:t xml:space="preserve">Among others, the study recommends that policymakers should integrate financial education and behavioral interventions into community-based programs to promote informed borrowing and effective loan use. </w:t>
      </w:r>
    </w:p>
    <w:p w14:paraId="3D2C6022" w14:textId="77777777" w:rsidR="007777E8" w:rsidRPr="003F6906" w:rsidRDefault="007777E8" w:rsidP="00410DEC">
      <w:pPr>
        <w:spacing w:line="240" w:lineRule="auto"/>
        <w:jc w:val="both"/>
        <w:rPr>
          <w:rFonts w:ascii="Times New Roman" w:hAnsi="Times New Roman" w:cs="Times New Roman"/>
          <w:sz w:val="24"/>
          <w:szCs w:val="24"/>
        </w:rPr>
      </w:pPr>
    </w:p>
    <w:p w14:paraId="6A70C932" w14:textId="1DE71080" w:rsidR="00422958" w:rsidRPr="004E6CE3" w:rsidRDefault="00085121" w:rsidP="00797A1B">
      <w:pPr>
        <w:rPr>
          <w:rFonts w:ascii="Times New Roman" w:hAnsi="Times New Roman" w:cs="Times New Roman"/>
          <w:b/>
          <w:sz w:val="24"/>
          <w:szCs w:val="24"/>
        </w:rPr>
      </w:pPr>
      <w:r w:rsidRPr="000418E6">
        <w:rPr>
          <w:rFonts w:ascii="Times New Roman" w:hAnsi="Times New Roman" w:cs="Times New Roman"/>
          <w:b/>
          <w:sz w:val="24"/>
          <w:szCs w:val="24"/>
        </w:rPr>
        <w:t xml:space="preserve">Key words: </w:t>
      </w:r>
      <w:r w:rsidRPr="008346C1">
        <w:rPr>
          <w:rFonts w:ascii="Times New Roman" w:hAnsi="Times New Roman" w:cs="Times New Roman"/>
          <w:sz w:val="24"/>
          <w:szCs w:val="24"/>
        </w:rPr>
        <w:t xml:space="preserve">Loan utilization, </w:t>
      </w:r>
      <w:r w:rsidR="004E6CE3" w:rsidRPr="008346C1">
        <w:rPr>
          <w:rFonts w:ascii="Times New Roman" w:hAnsi="Times New Roman" w:cs="Times New Roman"/>
          <w:sz w:val="24"/>
          <w:szCs w:val="24"/>
        </w:rPr>
        <w:t>Social network, D</w:t>
      </w:r>
      <w:r w:rsidRPr="008346C1">
        <w:rPr>
          <w:rFonts w:ascii="Times New Roman" w:hAnsi="Times New Roman" w:cs="Times New Roman"/>
          <w:sz w:val="24"/>
          <w:szCs w:val="24"/>
        </w:rPr>
        <w:t>ebt repayment behavior</w:t>
      </w:r>
      <w:r w:rsidR="008346C1" w:rsidRPr="008346C1">
        <w:rPr>
          <w:rFonts w:ascii="Times New Roman" w:hAnsi="Times New Roman" w:cs="Times New Roman"/>
          <w:sz w:val="24"/>
          <w:szCs w:val="24"/>
        </w:rPr>
        <w:t>, Financial Capability Theory</w:t>
      </w:r>
      <w:r w:rsidR="008346C1" w:rsidRPr="008346C1">
        <w:t xml:space="preserve">, </w:t>
      </w:r>
      <w:r w:rsidR="008346C1" w:rsidRPr="008346C1">
        <w:rPr>
          <w:rFonts w:ascii="Times New Roman" w:hAnsi="Times New Roman" w:cs="Times New Roman"/>
          <w:sz w:val="24"/>
          <w:szCs w:val="24"/>
        </w:rPr>
        <w:t>repayment performance</w:t>
      </w:r>
    </w:p>
    <w:p w14:paraId="03E382FF" w14:textId="77777777" w:rsidR="00422958" w:rsidRPr="000418E6" w:rsidRDefault="00422958" w:rsidP="00797A1B">
      <w:pPr>
        <w:rPr>
          <w:rFonts w:ascii="Times New Roman" w:hAnsi="Times New Roman" w:cs="Times New Roman"/>
          <w:b/>
          <w:sz w:val="24"/>
          <w:szCs w:val="24"/>
        </w:rPr>
      </w:pPr>
    </w:p>
    <w:p w14:paraId="4A251F77" w14:textId="77777777" w:rsidR="00422958" w:rsidRDefault="00422958" w:rsidP="00797A1B">
      <w:pPr>
        <w:rPr>
          <w:rFonts w:ascii="Times New Roman" w:hAnsi="Times New Roman" w:cs="Times New Roman"/>
          <w:b/>
          <w:sz w:val="24"/>
          <w:szCs w:val="24"/>
        </w:rPr>
      </w:pPr>
    </w:p>
    <w:p w14:paraId="0D35063B" w14:textId="77777777" w:rsidR="00410DEC" w:rsidRDefault="00410DEC" w:rsidP="00797A1B">
      <w:pPr>
        <w:rPr>
          <w:rFonts w:ascii="Times New Roman" w:hAnsi="Times New Roman" w:cs="Times New Roman"/>
          <w:b/>
          <w:sz w:val="24"/>
          <w:szCs w:val="24"/>
        </w:rPr>
      </w:pPr>
    </w:p>
    <w:p w14:paraId="463CAB6C" w14:textId="77777777" w:rsidR="00410DEC" w:rsidRDefault="00410DEC" w:rsidP="00797A1B">
      <w:pPr>
        <w:rPr>
          <w:rFonts w:ascii="Times New Roman" w:hAnsi="Times New Roman" w:cs="Times New Roman"/>
          <w:b/>
          <w:sz w:val="24"/>
          <w:szCs w:val="24"/>
        </w:rPr>
      </w:pPr>
    </w:p>
    <w:p w14:paraId="20892B99" w14:textId="77777777" w:rsidR="00410DEC" w:rsidRDefault="00410DEC" w:rsidP="00797A1B">
      <w:pPr>
        <w:rPr>
          <w:rFonts w:ascii="Times New Roman" w:hAnsi="Times New Roman" w:cs="Times New Roman"/>
          <w:b/>
          <w:sz w:val="24"/>
          <w:szCs w:val="24"/>
        </w:rPr>
      </w:pPr>
    </w:p>
    <w:p w14:paraId="495A4C7F" w14:textId="77777777" w:rsidR="00410DEC" w:rsidRDefault="00410DEC" w:rsidP="00797A1B">
      <w:pPr>
        <w:rPr>
          <w:rFonts w:ascii="Times New Roman" w:hAnsi="Times New Roman" w:cs="Times New Roman"/>
          <w:b/>
          <w:sz w:val="24"/>
          <w:szCs w:val="24"/>
        </w:rPr>
      </w:pPr>
    </w:p>
    <w:p w14:paraId="28357BA8" w14:textId="77777777" w:rsidR="00422958" w:rsidRDefault="00422958" w:rsidP="00797A1B">
      <w:pPr>
        <w:rPr>
          <w:rFonts w:ascii="Times New Roman" w:hAnsi="Times New Roman" w:cs="Times New Roman"/>
          <w:b/>
          <w:sz w:val="24"/>
          <w:szCs w:val="24"/>
        </w:rPr>
      </w:pPr>
    </w:p>
    <w:p w14:paraId="26D59581" w14:textId="77777777" w:rsidR="00C121AA" w:rsidRDefault="00C121AA" w:rsidP="00797A1B">
      <w:pPr>
        <w:rPr>
          <w:rFonts w:ascii="Times New Roman" w:hAnsi="Times New Roman" w:cs="Times New Roman"/>
          <w:b/>
          <w:sz w:val="24"/>
          <w:szCs w:val="24"/>
        </w:rPr>
      </w:pPr>
    </w:p>
    <w:p w14:paraId="6AD5358D" w14:textId="77777777" w:rsidR="00445F6D" w:rsidRDefault="00445F6D" w:rsidP="00797A1B">
      <w:pPr>
        <w:rPr>
          <w:rFonts w:ascii="Times New Roman" w:hAnsi="Times New Roman" w:cs="Times New Roman"/>
          <w:b/>
          <w:sz w:val="24"/>
          <w:szCs w:val="24"/>
        </w:rPr>
      </w:pPr>
    </w:p>
    <w:p w14:paraId="10744B33" w14:textId="77777777" w:rsidR="00445F6D" w:rsidRDefault="00445F6D" w:rsidP="00797A1B">
      <w:pPr>
        <w:rPr>
          <w:rFonts w:ascii="Times New Roman" w:hAnsi="Times New Roman" w:cs="Times New Roman"/>
          <w:b/>
          <w:sz w:val="24"/>
          <w:szCs w:val="24"/>
        </w:rPr>
      </w:pPr>
    </w:p>
    <w:p w14:paraId="34F1F339" w14:textId="77777777" w:rsidR="00797A1B" w:rsidRDefault="00797A1B" w:rsidP="00417845">
      <w:pPr>
        <w:pStyle w:val="Heading1"/>
        <w:numPr>
          <w:ilvl w:val="0"/>
          <w:numId w:val="17"/>
        </w:numPr>
        <w:spacing w:line="240" w:lineRule="auto"/>
        <w:rPr>
          <w:rFonts w:ascii="Times New Roman" w:hAnsi="Times New Roman" w:cs="Times New Roman"/>
          <w:sz w:val="24"/>
          <w:szCs w:val="24"/>
        </w:rPr>
      </w:pPr>
      <w:r w:rsidRPr="0026709C">
        <w:rPr>
          <w:rFonts w:ascii="Times New Roman" w:hAnsi="Times New Roman" w:cs="Times New Roman"/>
          <w:sz w:val="24"/>
          <w:szCs w:val="24"/>
        </w:rPr>
        <w:lastRenderedPageBreak/>
        <w:t>Introduction</w:t>
      </w:r>
    </w:p>
    <w:p w14:paraId="0BB16BBF" w14:textId="77777777" w:rsidR="004C594C" w:rsidRDefault="004C594C" w:rsidP="00AF64D8">
      <w:pPr>
        <w:pStyle w:val="NormalWeb"/>
        <w:jc w:val="both"/>
      </w:pPr>
      <w:r>
        <w:t>Access to credit has become a central policy instrument for poverty reduction, enterprise development, and household resilience across Sub-Saharan Africa (SSA). Yet the welfare gains derived from credit critically depend on how loans are utilized and borrowers’ capacity to service and repay their obligations. Productive uses—such as investment in micro-enterprises, agricultural inputs, or income-generating assets—enhance household earnings and improve repayment prospects. Conversely, diversion of credit to non-productive consumption or speculative activities heightens the risk of delinquency and indebtedness. Evidence from microfinance environments in SSA shows that loan utilization and repayment performance are shaped by borrower characteristics, loan features, and institutional practices (</w:t>
      </w:r>
      <w:proofErr w:type="spellStart"/>
      <w:r>
        <w:t>Chamboko</w:t>
      </w:r>
      <w:proofErr w:type="spellEnd"/>
      <w:r>
        <w:t xml:space="preserve"> &amp; </w:t>
      </w:r>
      <w:proofErr w:type="spellStart"/>
      <w:r>
        <w:t>Guvuriro</w:t>
      </w:r>
      <w:proofErr w:type="spellEnd"/>
      <w:r>
        <w:t>, 2022).</w:t>
      </w:r>
    </w:p>
    <w:p w14:paraId="307F2487" w14:textId="77777777" w:rsidR="004C594C" w:rsidRDefault="004C594C" w:rsidP="00AF64D8">
      <w:pPr>
        <w:pStyle w:val="NormalWeb"/>
        <w:jc w:val="both"/>
      </w:pPr>
      <w:r>
        <w:t>In addition to individual and product-level determinants, social networks and community ties exert a substantial influence on loan use and repayment behavior. These networks—including family, kinship groups, savings groups, and peer associations—provide information, informal insurance, reputational pressure, and monitoring. Such mechanisms can promote responsible borrowing and timely repayment, although in some settings they facilitate risk-sharing arrangements that weaken repayment incentives. Studies in developing-country contexts highlight two core channels: the transmission of financial norms and information that shape loan use decisions, and social enforcement mechanisms—such as reputational costs and reciprocal obligations—that raise the private cost of default.</w:t>
      </w:r>
    </w:p>
    <w:p w14:paraId="18A913FB" w14:textId="77777777" w:rsidR="004C594C" w:rsidRDefault="004C594C" w:rsidP="00AF64D8">
      <w:pPr>
        <w:pStyle w:val="NormalWeb"/>
        <w:jc w:val="both"/>
      </w:pPr>
      <w:r>
        <w:t xml:space="preserve">These dynamics are visible across SSA’s microfinance, mobile-credit, and informal lending systems (Li et al., 2023). Social networks also function as informal insurance, lowering default risk through trust, information sharing, and mutual support in credit management (Banerjee et al., 2015; </w:t>
      </w:r>
      <w:proofErr w:type="spellStart"/>
      <w:r>
        <w:t>Granovetter</w:t>
      </w:r>
      <w:proofErr w:type="spellEnd"/>
      <w:r>
        <w:t>, 2018). In Uganda, rapid digital finance expansion and financial-inclusion reforms have diversified access to household credit and altered borrowing patterns. National evidence indicates rising account ownership, increased use of mobile money and digital credit, and a policy shift toward expanding formal savings and credit services. Yet repayment outcomes remain heterogeneous. Households with stronger financial capability, stable employment, and supportive networks tend to use loans productively and repay reliably, whereas low financial literacy, income instability, and weak safety nets amplify repayment risk (</w:t>
      </w:r>
      <w:proofErr w:type="spellStart"/>
      <w:r>
        <w:t>FinScope</w:t>
      </w:r>
      <w:proofErr w:type="spellEnd"/>
      <w:r>
        <w:t>, 2024). Additional factors—including education, gender of the household head, employment status, and housing conditions—further shape financial decision-making (</w:t>
      </w:r>
      <w:proofErr w:type="spellStart"/>
      <w:r>
        <w:t>Ssekiziyivu</w:t>
      </w:r>
      <w:proofErr w:type="spellEnd"/>
      <w:r>
        <w:t xml:space="preserve"> et al., 2018).</w:t>
      </w:r>
    </w:p>
    <w:p w14:paraId="29703BDB" w14:textId="77777777" w:rsidR="004C594C" w:rsidRDefault="004C594C" w:rsidP="00AF64D8">
      <w:pPr>
        <w:pStyle w:val="NormalWeb"/>
        <w:jc w:val="both"/>
      </w:pPr>
      <w:r>
        <w:t>Despite growing attention to financial inclusion, limited research examines how social and behavioral factors interact with household characteristics to influence loan utilization and debt repayment. This paper addresses this gap by analyzing how loan use, household attributes (age, education, employment, gender of household head, and financial literacy), and social networks jointly shape repayment behavior in SSA, with a particular focus on Uganda. Drawing on survey evidence on loan uses, repayment outcomes, and network indicators—supplemented with contextual information on digital credit growth and national policy—the study contributes to policy debates on designing credit systems that promote productive borrowing, strengthen household resilience, and support sustainable repayment. Anchored in financial capability theory and household-level data, the analysis provides a nuanced understanding of how loan utilization drives repayment behavior in an emerging-economy setting.</w:t>
      </w:r>
    </w:p>
    <w:p w14:paraId="51B518D3" w14:textId="77777777" w:rsidR="004C594C" w:rsidRDefault="004C594C" w:rsidP="00AF64D8">
      <w:pPr>
        <w:pStyle w:val="NormalWeb"/>
        <w:jc w:val="both"/>
      </w:pPr>
      <w:r>
        <w:lastRenderedPageBreak/>
        <w:t>The findings are intended to guide microfinance institutions, digital lenders, and policymakers seeking to balance the expansion of credit access with borrower protection and long-run financial stability (Chen et al., 2025).</w:t>
      </w:r>
    </w:p>
    <w:p w14:paraId="1D33251E" w14:textId="77777777" w:rsidR="00797A1B" w:rsidRPr="0026709C" w:rsidRDefault="00797A1B" w:rsidP="00410DEC">
      <w:pPr>
        <w:pStyle w:val="Heading1"/>
        <w:spacing w:line="240" w:lineRule="auto"/>
        <w:rPr>
          <w:rFonts w:ascii="Times New Roman" w:hAnsi="Times New Roman" w:cs="Times New Roman"/>
          <w:sz w:val="24"/>
          <w:szCs w:val="24"/>
        </w:rPr>
      </w:pPr>
      <w:r w:rsidRPr="0026709C">
        <w:rPr>
          <w:rFonts w:ascii="Times New Roman" w:hAnsi="Times New Roman" w:cs="Times New Roman"/>
          <w:sz w:val="24"/>
          <w:szCs w:val="24"/>
        </w:rPr>
        <w:t>2.</w:t>
      </w:r>
      <w:r w:rsidR="00B6356C" w:rsidRPr="0026709C">
        <w:rPr>
          <w:rFonts w:ascii="Times New Roman" w:hAnsi="Times New Roman" w:cs="Times New Roman"/>
          <w:sz w:val="24"/>
          <w:szCs w:val="24"/>
        </w:rPr>
        <w:t>0</w:t>
      </w:r>
      <w:r w:rsidRPr="0026709C">
        <w:rPr>
          <w:rFonts w:ascii="Times New Roman" w:hAnsi="Times New Roman" w:cs="Times New Roman"/>
          <w:sz w:val="24"/>
          <w:szCs w:val="24"/>
        </w:rPr>
        <w:t xml:space="preserve"> Literature Review and Development of Hypotheses</w:t>
      </w:r>
    </w:p>
    <w:p w14:paraId="4E23B4C2" w14:textId="77777777" w:rsidR="00797A1B" w:rsidRPr="0026709C" w:rsidRDefault="00486628" w:rsidP="00410DEC">
      <w:pPr>
        <w:pStyle w:val="Heading2"/>
        <w:spacing w:line="240" w:lineRule="auto"/>
        <w:rPr>
          <w:rFonts w:ascii="Times New Roman" w:hAnsi="Times New Roman" w:cs="Times New Roman"/>
          <w:sz w:val="24"/>
          <w:szCs w:val="24"/>
        </w:rPr>
      </w:pPr>
      <w:r w:rsidRPr="0026709C">
        <w:rPr>
          <w:rFonts w:ascii="Times New Roman" w:hAnsi="Times New Roman" w:cs="Times New Roman"/>
          <w:sz w:val="24"/>
          <w:szCs w:val="24"/>
        </w:rPr>
        <w:t>2.1</w:t>
      </w:r>
      <w:r w:rsidR="00797A1B" w:rsidRPr="0026709C">
        <w:rPr>
          <w:rFonts w:ascii="Times New Roman" w:hAnsi="Times New Roman" w:cs="Times New Roman"/>
          <w:sz w:val="24"/>
          <w:szCs w:val="24"/>
        </w:rPr>
        <w:t xml:space="preserve"> Loan utilization</w:t>
      </w:r>
      <w:r w:rsidR="00986F16" w:rsidRPr="0026709C">
        <w:rPr>
          <w:rFonts w:ascii="Times New Roman" w:hAnsi="Times New Roman" w:cs="Times New Roman"/>
          <w:sz w:val="24"/>
          <w:szCs w:val="24"/>
        </w:rPr>
        <w:t xml:space="preserve"> and </w:t>
      </w:r>
      <w:r w:rsidR="00797A1B" w:rsidRPr="0026709C">
        <w:rPr>
          <w:rFonts w:ascii="Times New Roman" w:hAnsi="Times New Roman" w:cs="Times New Roman"/>
          <w:sz w:val="24"/>
          <w:szCs w:val="24"/>
        </w:rPr>
        <w:t xml:space="preserve">repayment  </w:t>
      </w:r>
    </w:p>
    <w:p w14:paraId="277CC16F" w14:textId="77777777" w:rsidR="00B85021" w:rsidRDefault="00B85021" w:rsidP="00253FDF">
      <w:pPr>
        <w:pStyle w:val="NormalWeb"/>
        <w:jc w:val="both"/>
      </w:pPr>
      <w:r>
        <w:t>Constrained by limited incomes, households frequently borrow to meet pressing and often insatiable needs. However, some borrowers fail to meet scheduled loan repayments partly because of how the borrowed funds are utilized. We argue that when a household allocates loan resources to income-generating activities, it is more likely to create a sustainable income stream that supports timely repayment. Consequently, the probability of meeting repayment obligations is expected to vary systematically with the purposes for which the loan is used.</w:t>
      </w:r>
    </w:p>
    <w:p w14:paraId="78158A53" w14:textId="77777777" w:rsidR="00B85021" w:rsidRPr="00D36A61" w:rsidRDefault="00B85021" w:rsidP="00D36A61">
      <w:pPr>
        <w:pStyle w:val="NormalWeb"/>
        <w:jc w:val="both"/>
        <w:rPr>
          <w:b/>
        </w:rPr>
      </w:pPr>
      <w:r>
        <w:t xml:space="preserve">This argument is consistent with </w:t>
      </w:r>
      <w:proofErr w:type="spellStart"/>
      <w:r w:rsidRPr="00D36A61">
        <w:rPr>
          <w:rStyle w:val="Strong"/>
          <w:b w:val="0"/>
        </w:rPr>
        <w:t>Jakhar</w:t>
      </w:r>
      <w:proofErr w:type="spellEnd"/>
      <w:r w:rsidRPr="00D36A61">
        <w:rPr>
          <w:rStyle w:val="Strong"/>
          <w:b w:val="0"/>
        </w:rPr>
        <w:t xml:space="preserve"> and Kumar (2023)</w:t>
      </w:r>
      <w:r w:rsidRPr="00D36A61">
        <w:rPr>
          <w:b/>
        </w:rPr>
        <w:t>,</w:t>
      </w:r>
      <w:r>
        <w:t xml:space="preserve"> who found that households diverting credit to non-productive uses were more likely to default because such expenditures generated no financial returns. Similarly, </w:t>
      </w:r>
      <w:r w:rsidRPr="00D36A61">
        <w:rPr>
          <w:rStyle w:val="Strong"/>
          <w:b w:val="0"/>
        </w:rPr>
        <w:t>Chakraborty and Gupta</w:t>
      </w:r>
      <w:r>
        <w:rPr>
          <w:rStyle w:val="Strong"/>
        </w:rPr>
        <w:t xml:space="preserve"> </w:t>
      </w:r>
      <w:r w:rsidRPr="00D36A61">
        <w:rPr>
          <w:rStyle w:val="Strong"/>
          <w:b w:val="0"/>
        </w:rPr>
        <w:t>(2023)</w:t>
      </w:r>
      <w:r>
        <w:t xml:space="preserve"> observed that non-productive household spending is a critical determinant of poor loan repayment performance. In addition, prior studies report that some borrowers fail to invest in income-generating activities or divert funds from their intended purpose, leading to weakened repayment </w:t>
      </w:r>
      <w:r w:rsidRPr="00D36A61">
        <w:t>outcomes</w:t>
      </w:r>
      <w:r w:rsidRPr="00D36A61">
        <w:rPr>
          <w:b/>
        </w:rPr>
        <w:t xml:space="preserve"> (</w:t>
      </w:r>
      <w:proofErr w:type="spellStart"/>
      <w:r w:rsidRPr="00D36A61">
        <w:rPr>
          <w:rStyle w:val="Strong"/>
          <w:b w:val="0"/>
        </w:rPr>
        <w:t>Faruqee</w:t>
      </w:r>
      <w:proofErr w:type="spellEnd"/>
      <w:r w:rsidRPr="00D36A61">
        <w:rPr>
          <w:rStyle w:val="Strong"/>
          <w:b w:val="0"/>
        </w:rPr>
        <w:t xml:space="preserve"> et al., 2011; </w:t>
      </w:r>
      <w:proofErr w:type="spellStart"/>
      <w:r w:rsidRPr="00D36A61">
        <w:rPr>
          <w:rStyle w:val="Strong"/>
          <w:b w:val="0"/>
        </w:rPr>
        <w:t>Hidajat</w:t>
      </w:r>
      <w:proofErr w:type="spellEnd"/>
      <w:r w:rsidRPr="00D36A61">
        <w:rPr>
          <w:rStyle w:val="Strong"/>
          <w:b w:val="0"/>
        </w:rPr>
        <w:t xml:space="preserve">, 2021; </w:t>
      </w:r>
      <w:proofErr w:type="spellStart"/>
      <w:r w:rsidRPr="00D36A61">
        <w:rPr>
          <w:rStyle w:val="Strong"/>
          <w:b w:val="0"/>
        </w:rPr>
        <w:t>Indarte</w:t>
      </w:r>
      <w:proofErr w:type="spellEnd"/>
      <w:r w:rsidRPr="00D36A61">
        <w:rPr>
          <w:rStyle w:val="Strong"/>
          <w:b w:val="0"/>
        </w:rPr>
        <w:t xml:space="preserve">, 2023; </w:t>
      </w:r>
      <w:proofErr w:type="spellStart"/>
      <w:r w:rsidRPr="00D36A61">
        <w:rPr>
          <w:rStyle w:val="Strong"/>
          <w:b w:val="0"/>
        </w:rPr>
        <w:t>Mpogole</w:t>
      </w:r>
      <w:proofErr w:type="spellEnd"/>
      <w:r w:rsidRPr="00D36A61">
        <w:rPr>
          <w:rStyle w:val="Strong"/>
          <w:b w:val="0"/>
        </w:rPr>
        <w:t xml:space="preserve"> et al., 2012</w:t>
      </w:r>
      <w:r w:rsidRPr="00D36A61">
        <w:rPr>
          <w:b/>
        </w:rPr>
        <w:t>).</w:t>
      </w:r>
    </w:p>
    <w:p w14:paraId="6D688B89" w14:textId="77777777" w:rsidR="00B85021" w:rsidRDefault="00B85021" w:rsidP="00D36A61">
      <w:pPr>
        <w:pStyle w:val="NormalWeb"/>
        <w:jc w:val="both"/>
      </w:pPr>
      <w:r>
        <w:t xml:space="preserve">While loans can ease financial pressure, facilitate investment, and help </w:t>
      </w:r>
      <w:proofErr w:type="gramStart"/>
      <w:r>
        <w:t>households</w:t>
      </w:r>
      <w:proofErr w:type="gramEnd"/>
      <w:r>
        <w:t xml:space="preserve"> buffer economic shocks, their use for non-productive consumption can undermine resilience, increase vulnerability, and entrench families in cycles of debt. The challenge, therefore, lies in promoting prudent borrowing supported by financial awareness, appropriate repayment structures, and broader systems of financial education and social protection. Strengthening household financial resilience thus requires not only access to credit but also responsible loan utilization, fair repayment conditions, and institutional environments responsive to households’ lived realities.</w:t>
      </w:r>
    </w:p>
    <w:p w14:paraId="5EBDEA7F" w14:textId="77777777" w:rsidR="00B85021" w:rsidRDefault="00B85021" w:rsidP="00AB7C00">
      <w:pPr>
        <w:pStyle w:val="NormalWeb"/>
        <w:ind w:left="567" w:hanging="567"/>
      </w:pPr>
      <w:r w:rsidRPr="00D36A61">
        <w:rPr>
          <w:rStyle w:val="Strong"/>
          <w:b w:val="0"/>
        </w:rPr>
        <w:t>We therefore hypothesize that:</w:t>
      </w:r>
      <w:r w:rsidRPr="00D36A61">
        <w:rPr>
          <w:b/>
        </w:rPr>
        <w:br/>
      </w:r>
      <w:r w:rsidRPr="00AB7C00">
        <w:rPr>
          <w:rFonts w:eastAsiaTheme="minorHAnsi"/>
          <w:b/>
          <w:bCs/>
        </w:rPr>
        <w:t>H</w:t>
      </w:r>
      <w:r w:rsidRPr="00AB7C00">
        <w:rPr>
          <w:rFonts w:eastAsiaTheme="minorHAnsi"/>
          <w:b/>
          <w:bCs/>
          <w:vertAlign w:val="subscript"/>
        </w:rPr>
        <w:t>1</w:t>
      </w:r>
      <w:r w:rsidRPr="00D36A61">
        <w:rPr>
          <w:rStyle w:val="Strong"/>
          <w:b w:val="0"/>
        </w:rPr>
        <w:t>: Productive loan utilization positively influences debt repayment behavior among households</w:t>
      </w:r>
      <w:r>
        <w:rPr>
          <w:rStyle w:val="Strong"/>
        </w:rPr>
        <w:t>.</w:t>
      </w:r>
    </w:p>
    <w:p w14:paraId="6841572C" w14:textId="77777777" w:rsidR="00797A1B" w:rsidRPr="0026709C" w:rsidRDefault="00486628" w:rsidP="00410DEC">
      <w:pPr>
        <w:pStyle w:val="Heading2"/>
        <w:spacing w:line="240" w:lineRule="auto"/>
        <w:rPr>
          <w:rFonts w:ascii="Times New Roman" w:hAnsi="Times New Roman" w:cs="Times New Roman"/>
          <w:sz w:val="24"/>
          <w:szCs w:val="24"/>
        </w:rPr>
      </w:pPr>
      <w:r w:rsidRPr="0026709C">
        <w:rPr>
          <w:rFonts w:ascii="Times New Roman" w:eastAsia="Times New Roman" w:hAnsi="Times New Roman" w:cs="Times New Roman"/>
          <w:sz w:val="24"/>
          <w:szCs w:val="24"/>
        </w:rPr>
        <w:t>2.2</w:t>
      </w:r>
      <w:r w:rsidR="00797A1B" w:rsidRPr="0026709C">
        <w:rPr>
          <w:rFonts w:ascii="Times New Roman" w:eastAsia="Times New Roman" w:hAnsi="Times New Roman" w:cs="Times New Roman"/>
          <w:sz w:val="24"/>
          <w:szCs w:val="24"/>
        </w:rPr>
        <w:t xml:space="preserve">: </w:t>
      </w:r>
      <w:r w:rsidR="00797A1B" w:rsidRPr="0026709C">
        <w:rPr>
          <w:rFonts w:ascii="Times New Roman" w:hAnsi="Times New Roman" w:cs="Times New Roman"/>
          <w:sz w:val="24"/>
          <w:szCs w:val="24"/>
        </w:rPr>
        <w:t>Family social networks, education level and loan utilization</w:t>
      </w:r>
    </w:p>
    <w:p w14:paraId="2DBA2075" w14:textId="25818D36" w:rsidR="0045503C" w:rsidRPr="00445F6D" w:rsidRDefault="0045503C" w:rsidP="00410DEC">
      <w:pPr>
        <w:spacing w:line="240" w:lineRule="auto"/>
        <w:jc w:val="both"/>
        <w:rPr>
          <w:rFonts w:ascii="Times New Roman" w:hAnsi="Times New Roman" w:cs="Times New Roman"/>
          <w:sz w:val="24"/>
          <w:szCs w:val="24"/>
        </w:rPr>
      </w:pPr>
      <w:r w:rsidRPr="00417845">
        <w:rPr>
          <w:rFonts w:ascii="Times New Roman" w:hAnsi="Times New Roman" w:cs="Times New Roman"/>
          <w:sz w:val="24"/>
          <w:szCs w:val="24"/>
        </w:rPr>
        <w:t xml:space="preserve">Loan utilization—how people access, use, and repay credit—is shaped by both economic conditions and social and human capital. </w:t>
      </w:r>
      <w:r w:rsidRPr="00445F6D">
        <w:rPr>
          <w:rFonts w:ascii="Times New Roman" w:hAnsi="Times New Roman" w:cs="Times New Roman"/>
          <w:sz w:val="24"/>
          <w:szCs w:val="24"/>
        </w:rPr>
        <w:fldChar w:fldCharType="begin" w:fldLock="1"/>
      </w:r>
      <w:r w:rsidRPr="00417845">
        <w:rPr>
          <w:rFonts w:ascii="Times New Roman" w:hAnsi="Times New Roman" w:cs="Times New Roman"/>
          <w:sz w:val="24"/>
          <w:szCs w:val="24"/>
        </w:rPr>
        <w:instrText>ADDIN CSL_CITATION {"citationItems":[{"id":"ITEM-1","itemData":{"ISBN":"0199271232","author":[{"dropping-particle":"","family":"Castiglione","given":"Dario","non-dropping-particle":"","parse-names":false,"suffix":""},{"dropping-particle":"","family":"Deth","given":"Jan W","non-dropping-particle":"Van","parse-names":false,"suffix":""},{"dropping-particle":"","family":"Wolleb","given":"Guglielmo","non-dropping-particle":"","parse-names":false,"suffix":""}],"id":"ITEM-1","issued":{"date-parts":[["2008"]]},"publisher":"Oxford University Press","title":"The handbook of social capital","type":"book"},"uris":["http://www.mendeley.com/documents/?uuid=641b8c26-9d69-4f90-a10d-f38c3ab547c5"]}],"mendeley":{"formattedCitation":"(Castiglione et al., 2008)","plainTextFormattedCitation":"(Castiglione et al., 2008)","previouslyFormattedCitation":"(Castiglione et al., 2008)"},"properties":{"noteIndex":0},"schema":"https://github.com/citation-style-language/schema/raw/master/csl-citation.json"}</w:instrText>
      </w:r>
      <w:r w:rsidRPr="00445F6D">
        <w:rPr>
          <w:rFonts w:ascii="Times New Roman" w:hAnsi="Times New Roman" w:cs="Times New Roman"/>
          <w:sz w:val="24"/>
          <w:szCs w:val="24"/>
        </w:rPr>
        <w:fldChar w:fldCharType="separate"/>
      </w:r>
      <w:r w:rsidRPr="00445F6D">
        <w:rPr>
          <w:rFonts w:ascii="Times New Roman" w:hAnsi="Times New Roman" w:cs="Times New Roman"/>
          <w:noProof/>
          <w:sz w:val="24"/>
          <w:szCs w:val="24"/>
        </w:rPr>
        <w:t>(Castiglione et al., 2008)</w:t>
      </w:r>
      <w:r w:rsidRPr="00445F6D">
        <w:rPr>
          <w:rFonts w:ascii="Times New Roman" w:hAnsi="Times New Roman" w:cs="Times New Roman"/>
          <w:sz w:val="24"/>
          <w:szCs w:val="24"/>
        </w:rPr>
        <w:fldChar w:fldCharType="end"/>
      </w:r>
      <w:r w:rsidRPr="00445F6D">
        <w:rPr>
          <w:rFonts w:ascii="Times New Roman" w:hAnsi="Times New Roman" w:cs="Times New Roman"/>
          <w:sz w:val="24"/>
          <w:szCs w:val="24"/>
        </w:rPr>
        <w:t xml:space="preserve"> </w:t>
      </w:r>
      <w:r w:rsidRPr="00417845">
        <w:rPr>
          <w:rFonts w:ascii="Times New Roman" w:hAnsi="Times New Roman" w:cs="Times New Roman"/>
          <w:sz w:val="24"/>
          <w:szCs w:val="24"/>
        </w:rPr>
        <w:t xml:space="preserve">argue that social networks build cooperation and collective action, while </w:t>
      </w:r>
      <w:r w:rsidRPr="00445F6D">
        <w:rPr>
          <w:rFonts w:ascii="Times New Roman" w:hAnsi="Times New Roman" w:cs="Times New Roman"/>
          <w:sz w:val="24"/>
          <w:szCs w:val="24"/>
        </w:rPr>
        <w:fldChar w:fldCharType="begin" w:fldLock="1"/>
      </w:r>
      <w:r w:rsidRPr="00417845">
        <w:rPr>
          <w:rFonts w:ascii="Times New Roman" w:hAnsi="Times New Roman" w:cs="Times New Roman"/>
          <w:sz w:val="24"/>
          <w:szCs w:val="24"/>
        </w:rPr>
        <w:instrText>ADDIN CSL_CITATION {"citationItems":[{"id":"ITEM-1","itemData":{"ISSN":"2059-6014","author":[{"dropping-particle":"","family":"Bongomin","given":"George Okello Candiya","non-dropping-particle":"","parse-names":false,"suffix":""},{"dropping-particle":"","family":"Ntayi","given":"Joseph Mpeera","non-dropping-particle":"","parse-names":false,"suffix":""},{"dropping-particle":"","family":"Munene","given":"John C","non-dropping-particle":"","parse-names":false,"suffix":""},{"dropping-particle":"","family":"Nabeta","given":"Isaac Nkote","non-dropping-particle":"","parse-names":false,"suffix":""}],"container-title":"Review of International Business and Strategy","id":"ITEM-1","issue":"2","issued":{"date-parts":[["2016"]]},"page":"291-312","publisher":"Emerald Group Publishing Limited","title":"Social capital: mediator of financial literacy and financial inclusion in rural Uganda","type":"article-journal","volume":"26"},"uris":["http://www.mendeley.com/documents/?uuid=9bbf2cdb-63f3-4520-bce8-8ed9339d1667"]}],"mendeley":{"formattedCitation":"(Bongomin et al., 2016)","plainTextFormattedCitation":"(Bongomin et al., 2016)","previouslyFormattedCitation":"(Bongomin et al., 2016)"},"properties":{"noteIndex":0},"schema":"https://github.com/citation-style-language/schema/raw/master/csl-citation.json"}</w:instrText>
      </w:r>
      <w:r w:rsidRPr="00445F6D">
        <w:rPr>
          <w:rFonts w:ascii="Times New Roman" w:hAnsi="Times New Roman" w:cs="Times New Roman"/>
          <w:sz w:val="24"/>
          <w:szCs w:val="24"/>
        </w:rPr>
        <w:fldChar w:fldCharType="separate"/>
      </w:r>
      <w:r w:rsidRPr="00445F6D">
        <w:rPr>
          <w:rFonts w:ascii="Times New Roman" w:hAnsi="Times New Roman" w:cs="Times New Roman"/>
          <w:noProof/>
          <w:sz w:val="24"/>
          <w:szCs w:val="24"/>
        </w:rPr>
        <w:t>(Bongomin et al., 2016)</w:t>
      </w:r>
      <w:r w:rsidRPr="00445F6D">
        <w:rPr>
          <w:rFonts w:ascii="Times New Roman" w:hAnsi="Times New Roman" w:cs="Times New Roman"/>
          <w:sz w:val="24"/>
          <w:szCs w:val="24"/>
        </w:rPr>
        <w:fldChar w:fldCharType="end"/>
      </w:r>
      <w:r w:rsidRPr="00417845">
        <w:rPr>
          <w:rFonts w:ascii="Times New Roman" w:hAnsi="Times New Roman" w:cs="Times New Roman"/>
          <w:sz w:val="24"/>
          <w:szCs w:val="24"/>
        </w:rPr>
        <w:t xml:space="preserve"> show that these networks ease access to resources, information, and skills. In debt management, </w:t>
      </w:r>
      <w:r w:rsidRPr="00445F6D">
        <w:rPr>
          <w:rFonts w:ascii="Times New Roman" w:hAnsi="Times New Roman" w:cs="Times New Roman"/>
          <w:sz w:val="24"/>
          <w:szCs w:val="24"/>
        </w:rPr>
        <w:t xml:space="preserve"> </w:t>
      </w:r>
      <w:r w:rsidRPr="00445F6D">
        <w:rPr>
          <w:rFonts w:ascii="Times New Roman" w:hAnsi="Times New Roman" w:cs="Times New Roman"/>
          <w:sz w:val="24"/>
          <w:szCs w:val="24"/>
        </w:rPr>
        <w:fldChar w:fldCharType="begin" w:fldLock="1"/>
      </w:r>
      <w:r w:rsidRPr="00417845">
        <w:rPr>
          <w:rFonts w:ascii="Times New Roman" w:hAnsi="Times New Roman" w:cs="Times New Roman"/>
          <w:sz w:val="24"/>
          <w:szCs w:val="24"/>
        </w:rPr>
        <w:instrText>ADDIN CSL_CITATION {"citationItems":[{"id":"ITEM-1","itemData":{"author":[{"dropping-particle":"","family":"Mugabi","given":"Nicholas","non-dropping-particle":"","parse-names":false,"suffix":""}],"container-title":"Makerere University","id":"ITEM-1","issued":{"date-parts":[["2010"]]},"title":"Micro-credit utilization and its impact on household income: A comparative study of rural and urban areas in Iganga district","type":"article-journal"},"uris":["http://www.mendeley.com/documents/?uuid=585edcaa-757c-4d28-8171-dc775750e70c"]}],"mendeley":{"formattedCitation":"(Mugabi, 2010)","plainTextFormattedCitation":"(Mugabi, 2010)","previouslyFormattedCitation":"(Mugabi, 2010)"},"properties":{"noteIndex":0},"schema":"https://github.com/citation-style-language/schema/raw/master/csl-citation.json"}</w:instrText>
      </w:r>
      <w:r w:rsidRPr="00445F6D">
        <w:rPr>
          <w:rFonts w:ascii="Times New Roman" w:hAnsi="Times New Roman" w:cs="Times New Roman"/>
          <w:sz w:val="24"/>
          <w:szCs w:val="24"/>
        </w:rPr>
        <w:fldChar w:fldCharType="separate"/>
      </w:r>
      <w:r w:rsidRPr="00445F6D">
        <w:rPr>
          <w:rFonts w:ascii="Times New Roman" w:hAnsi="Times New Roman" w:cs="Times New Roman"/>
          <w:noProof/>
          <w:sz w:val="24"/>
          <w:szCs w:val="24"/>
        </w:rPr>
        <w:t>(Mugabi, 2010)</w:t>
      </w:r>
      <w:r w:rsidRPr="00445F6D">
        <w:rPr>
          <w:rFonts w:ascii="Times New Roman" w:hAnsi="Times New Roman" w:cs="Times New Roman"/>
          <w:sz w:val="24"/>
          <w:szCs w:val="24"/>
        </w:rPr>
        <w:fldChar w:fldCharType="end"/>
      </w:r>
      <w:r w:rsidRPr="00417845">
        <w:rPr>
          <w:rFonts w:ascii="Times New Roman" w:hAnsi="Times New Roman" w:cs="Times New Roman"/>
          <w:sz w:val="24"/>
          <w:szCs w:val="24"/>
        </w:rPr>
        <w:t xml:space="preserve"> found that social ties support loan processing, access, and recovery. Conversely, </w:t>
      </w:r>
      <w:r w:rsidRPr="00445F6D">
        <w:rPr>
          <w:rFonts w:ascii="Times New Roman" w:hAnsi="Times New Roman" w:cs="Times New Roman"/>
          <w:sz w:val="24"/>
          <w:szCs w:val="24"/>
        </w:rPr>
        <w:fldChar w:fldCharType="begin" w:fldLock="1"/>
      </w:r>
      <w:r w:rsidRPr="00417845">
        <w:rPr>
          <w:rFonts w:ascii="Times New Roman" w:hAnsi="Times New Roman" w:cs="Times New Roman"/>
          <w:sz w:val="24"/>
          <w:szCs w:val="24"/>
        </w:rPr>
        <w:instrText>ADDIN CSL_CITATION {"citationItems":[{"id":"ITEM-1","itemData":{"author":[{"dropping-particle":"","family":"Ijioma","given":"John Chinasa","non-dropping-particle":"","parse-names":false,"suffix":""},{"dropping-particle":"","family":"Osondu","given":"Charles Kelechi","non-dropping-particle":"","parse-names":false,"suffix":""}],"container-title":"Journal of Agricultural Science and Technology B","id":"ITEM-1","issue":"1","issued":{"date-parts":[["2015"]]},"page":"34-43","title":"Agricultural credit sources and determinants of credit acquisition by farmers in Idemili Local Government Area of Anambra State","type":"article-journal","volume":"5"},"uris":["http://www.mendeley.com/documents/?uuid=144d09b7-998b-400a-87c9-320c7573b570"]}],"mendeley":{"formattedCitation":"(Ijioma &amp; Osondu, 2015)","plainTextFormattedCitation":"(Ijioma &amp; Osondu, 2015)","previouslyFormattedCitation":"(Ijioma &amp; Osondu, 2015)"},"properties":{"noteIndex":0},"schema":"https://github.com/citation-style-language/schema/raw/master/csl-citation.json"}</w:instrText>
      </w:r>
      <w:r w:rsidRPr="00445F6D">
        <w:rPr>
          <w:rFonts w:ascii="Times New Roman" w:hAnsi="Times New Roman" w:cs="Times New Roman"/>
          <w:sz w:val="24"/>
          <w:szCs w:val="24"/>
        </w:rPr>
        <w:fldChar w:fldCharType="separate"/>
      </w:r>
      <w:r w:rsidRPr="00445F6D">
        <w:rPr>
          <w:rFonts w:ascii="Times New Roman" w:hAnsi="Times New Roman" w:cs="Times New Roman"/>
          <w:noProof/>
          <w:sz w:val="24"/>
          <w:szCs w:val="24"/>
        </w:rPr>
        <w:t>(Ijioma &amp; Osondu, 2015)</w:t>
      </w:r>
      <w:r w:rsidRPr="00445F6D">
        <w:rPr>
          <w:rFonts w:ascii="Times New Roman" w:hAnsi="Times New Roman" w:cs="Times New Roman"/>
          <w:sz w:val="24"/>
          <w:szCs w:val="24"/>
        </w:rPr>
        <w:fldChar w:fldCharType="end"/>
      </w:r>
      <w:r w:rsidRPr="00445F6D">
        <w:rPr>
          <w:rFonts w:ascii="Times New Roman" w:hAnsi="Times New Roman" w:cs="Times New Roman"/>
          <w:sz w:val="24"/>
          <w:szCs w:val="24"/>
        </w:rPr>
        <w:t xml:space="preserve"> </w:t>
      </w:r>
      <w:r w:rsidRPr="00417845">
        <w:rPr>
          <w:rFonts w:ascii="Times New Roman" w:hAnsi="Times New Roman" w:cs="Times New Roman"/>
          <w:sz w:val="24"/>
          <w:szCs w:val="24"/>
        </w:rPr>
        <w:t xml:space="preserve"> highlight that the education leve</w:t>
      </w:r>
      <w:r w:rsidR="008F568B">
        <w:rPr>
          <w:rFonts w:ascii="Times New Roman" w:hAnsi="Times New Roman" w:cs="Times New Roman"/>
          <w:sz w:val="24"/>
          <w:szCs w:val="24"/>
        </w:rPr>
        <w:t xml:space="preserve">l of the household head </w:t>
      </w:r>
      <w:r w:rsidRPr="00417845">
        <w:rPr>
          <w:rFonts w:ascii="Times New Roman" w:hAnsi="Times New Roman" w:cs="Times New Roman"/>
          <w:sz w:val="24"/>
          <w:szCs w:val="24"/>
        </w:rPr>
        <w:t xml:space="preserve"> influences how loans are allocated and ultimately used.</w:t>
      </w:r>
    </w:p>
    <w:p w14:paraId="587BEA71" w14:textId="77777777" w:rsidR="00797A1B" w:rsidRPr="00AE154B" w:rsidRDefault="00797A1B" w:rsidP="00410DEC">
      <w:pPr>
        <w:spacing w:line="240" w:lineRule="auto"/>
        <w:jc w:val="both"/>
        <w:rPr>
          <w:rFonts w:ascii="Times New Roman" w:hAnsi="Times New Roman" w:cs="Times New Roman"/>
          <w:sz w:val="24"/>
          <w:szCs w:val="24"/>
        </w:rPr>
      </w:pPr>
      <w:r w:rsidRPr="00AE154B">
        <w:rPr>
          <w:rFonts w:ascii="Times New Roman" w:hAnsi="Times New Roman" w:cs="Times New Roman"/>
          <w:color w:val="222222"/>
          <w:sz w:val="24"/>
          <w:szCs w:val="24"/>
          <w:shd w:val="clear" w:color="auto" w:fill="FFFFFF"/>
        </w:rPr>
        <w:t> </w:t>
      </w:r>
      <w:r w:rsidRPr="00AE154B">
        <w:rPr>
          <w:rFonts w:ascii="Times New Roman" w:hAnsi="Times New Roman" w:cs="Times New Roman"/>
          <w:sz w:val="24"/>
          <w:szCs w:val="24"/>
        </w:rPr>
        <w:t xml:space="preserve">We therefore hypothesize that: </w:t>
      </w:r>
    </w:p>
    <w:p w14:paraId="24DDC4E6" w14:textId="77777777" w:rsidR="00797A1B" w:rsidRPr="00AE154B" w:rsidRDefault="00797A1B" w:rsidP="00AB7C00">
      <w:pPr>
        <w:spacing w:line="240" w:lineRule="auto"/>
        <w:ind w:left="567"/>
        <w:jc w:val="both"/>
        <w:rPr>
          <w:rFonts w:ascii="Times New Roman" w:hAnsi="Times New Roman" w:cs="Times New Roman"/>
          <w:sz w:val="24"/>
          <w:szCs w:val="24"/>
        </w:rPr>
      </w:pPr>
      <w:r w:rsidRPr="00AE154B">
        <w:rPr>
          <w:rFonts w:ascii="Times New Roman" w:hAnsi="Times New Roman" w:cs="Times New Roman"/>
          <w:b/>
          <w:sz w:val="24"/>
          <w:szCs w:val="24"/>
        </w:rPr>
        <w:t>H</w:t>
      </w:r>
      <w:r w:rsidRPr="00AE154B">
        <w:rPr>
          <w:rFonts w:ascii="Times New Roman" w:hAnsi="Times New Roman" w:cs="Times New Roman"/>
          <w:b/>
          <w:sz w:val="24"/>
          <w:szCs w:val="24"/>
          <w:vertAlign w:val="subscript"/>
        </w:rPr>
        <w:t>2</w:t>
      </w:r>
      <w:r w:rsidRPr="00AE154B">
        <w:rPr>
          <w:rFonts w:ascii="Times New Roman" w:hAnsi="Times New Roman" w:cs="Times New Roman"/>
          <w:sz w:val="24"/>
          <w:szCs w:val="24"/>
        </w:rPr>
        <w:t xml:space="preserve">: </w:t>
      </w:r>
      <w:r w:rsidR="00AC2A5F" w:rsidRPr="00AE154B">
        <w:rPr>
          <w:rFonts w:ascii="Times New Roman" w:hAnsi="Times New Roman" w:cs="Times New Roman"/>
          <w:sz w:val="24"/>
          <w:szCs w:val="24"/>
        </w:rPr>
        <w:t>Stronger social networks positively moderate the relationship between financial capability and productive loan utilization.</w:t>
      </w:r>
    </w:p>
    <w:p w14:paraId="6AD768D8" w14:textId="77777777" w:rsidR="00797A1B" w:rsidRPr="00AE154B" w:rsidRDefault="00797A1B" w:rsidP="00410DEC">
      <w:pPr>
        <w:spacing w:line="240" w:lineRule="auto"/>
        <w:ind w:left="851"/>
        <w:jc w:val="both"/>
        <w:rPr>
          <w:rFonts w:ascii="Times New Roman" w:hAnsi="Times New Roman" w:cs="Times New Roman"/>
          <w:sz w:val="24"/>
          <w:szCs w:val="24"/>
        </w:rPr>
      </w:pPr>
      <w:r w:rsidRPr="00AE154B">
        <w:rPr>
          <w:rFonts w:ascii="Times New Roman" w:hAnsi="Times New Roman" w:cs="Times New Roman"/>
          <w:b/>
          <w:sz w:val="24"/>
          <w:szCs w:val="24"/>
        </w:rPr>
        <w:lastRenderedPageBreak/>
        <w:t>H</w:t>
      </w:r>
      <w:r w:rsidRPr="00AE154B">
        <w:rPr>
          <w:rFonts w:ascii="Times New Roman" w:hAnsi="Times New Roman" w:cs="Times New Roman"/>
          <w:b/>
          <w:sz w:val="24"/>
          <w:szCs w:val="24"/>
          <w:vertAlign w:val="subscript"/>
        </w:rPr>
        <w:t>3</w:t>
      </w:r>
      <w:r w:rsidRPr="00AE154B">
        <w:rPr>
          <w:rFonts w:ascii="Times New Roman" w:hAnsi="Times New Roman" w:cs="Times New Roman"/>
          <w:sz w:val="24"/>
          <w:szCs w:val="24"/>
        </w:rPr>
        <w:t>: There is a close association between the education level of the household head and loan utilization for loan repayment</w:t>
      </w:r>
    </w:p>
    <w:p w14:paraId="64DE16A2" w14:textId="77777777" w:rsidR="00797A1B" w:rsidRPr="0026709C" w:rsidRDefault="00486628" w:rsidP="00410DEC">
      <w:pPr>
        <w:pStyle w:val="Heading2"/>
        <w:spacing w:line="240" w:lineRule="auto"/>
        <w:rPr>
          <w:rFonts w:ascii="Times New Roman" w:hAnsi="Times New Roman" w:cs="Times New Roman"/>
          <w:sz w:val="24"/>
          <w:szCs w:val="24"/>
        </w:rPr>
      </w:pPr>
      <w:r w:rsidRPr="0026709C">
        <w:rPr>
          <w:rFonts w:ascii="Times New Roman" w:hAnsi="Times New Roman" w:cs="Times New Roman"/>
          <w:sz w:val="24"/>
          <w:szCs w:val="24"/>
        </w:rPr>
        <w:t>2.3</w:t>
      </w:r>
      <w:r w:rsidR="00797A1B" w:rsidRPr="0026709C">
        <w:rPr>
          <w:rFonts w:ascii="Times New Roman" w:hAnsi="Times New Roman" w:cs="Times New Roman"/>
          <w:sz w:val="24"/>
          <w:szCs w:val="24"/>
        </w:rPr>
        <w:t xml:space="preserve"> Employment status, housing characteristics, location and loan utilization</w:t>
      </w:r>
    </w:p>
    <w:p w14:paraId="371741E8" w14:textId="77777777" w:rsidR="00797A1B" w:rsidRPr="00AE154B" w:rsidRDefault="00797A1B" w:rsidP="00410DEC">
      <w:pPr>
        <w:pStyle w:val="NormalWeb"/>
        <w:jc w:val="both"/>
      </w:pPr>
      <w:r w:rsidRPr="00AE154B">
        <w:t xml:space="preserve">Employment status directly affects both </w:t>
      </w:r>
      <w:r w:rsidRPr="00AE154B">
        <w:rPr>
          <w:rStyle w:val="Strong"/>
          <w:b w:val="0"/>
        </w:rPr>
        <w:t>credit access</w:t>
      </w:r>
      <w:r w:rsidRPr="00AE154B">
        <w:rPr>
          <w:b/>
        </w:rPr>
        <w:t xml:space="preserve"> </w:t>
      </w:r>
      <w:r w:rsidRPr="00AE154B">
        <w:t>and</w:t>
      </w:r>
      <w:r w:rsidRPr="00AE154B">
        <w:rPr>
          <w:b/>
        </w:rPr>
        <w:t xml:space="preserve"> </w:t>
      </w:r>
      <w:r w:rsidRPr="00AE154B">
        <w:rPr>
          <w:rStyle w:val="Strong"/>
          <w:b w:val="0"/>
        </w:rPr>
        <w:t>loan utilization behavior</w:t>
      </w:r>
      <w:r w:rsidRPr="00AE154B">
        <w:rPr>
          <w:b/>
        </w:rPr>
        <w:t xml:space="preserve">. </w:t>
      </w:r>
      <w:r w:rsidRPr="00AE154B">
        <w:t xml:space="preserve">Households with </w:t>
      </w:r>
      <w:r w:rsidRPr="00AE154B">
        <w:rPr>
          <w:rStyle w:val="Strong"/>
          <w:b w:val="0"/>
        </w:rPr>
        <w:t>stable employment and predictable income flows</w:t>
      </w:r>
      <w:r w:rsidRPr="00AE154B">
        <w:rPr>
          <w:b/>
        </w:rPr>
        <w:t xml:space="preserve"> </w:t>
      </w:r>
      <w:r w:rsidRPr="00AE154B">
        <w:t>(such as salaried workers) are more likely to access formal credit facilities and use loans for</w:t>
      </w:r>
      <w:r w:rsidRPr="00AE154B">
        <w:rPr>
          <w:b/>
        </w:rPr>
        <w:t xml:space="preserve"> </w:t>
      </w:r>
      <w:r w:rsidRPr="00AE154B">
        <w:rPr>
          <w:rStyle w:val="Strong"/>
          <w:b w:val="0"/>
        </w:rPr>
        <w:t>productive investments</w:t>
      </w:r>
      <w:r w:rsidRPr="00AE154B">
        <w:t xml:space="preserve"> (e.g., business expansion, education, housing improvement). Conversely, </w:t>
      </w:r>
      <w:r w:rsidRPr="00AE154B">
        <w:rPr>
          <w:rStyle w:val="Strong"/>
          <w:b w:val="0"/>
        </w:rPr>
        <w:t>unemployed or informally employed</w:t>
      </w:r>
      <w:r w:rsidRPr="00AE154B">
        <w:t xml:space="preserve"> individuals often rely on informal credit sources (family, moneylenders, SACCOs) and tend to use loans for </w:t>
      </w:r>
      <w:r w:rsidRPr="00AE154B">
        <w:rPr>
          <w:rStyle w:val="Strong"/>
          <w:b w:val="0"/>
        </w:rPr>
        <w:t>consumption smoothing</w:t>
      </w:r>
      <w:r w:rsidRPr="00AE154B">
        <w:rPr>
          <w:b/>
        </w:rPr>
        <w:t xml:space="preserve"> </w:t>
      </w:r>
      <w:r w:rsidRPr="00F94976">
        <w:t xml:space="preserve">or </w:t>
      </w:r>
      <w:r w:rsidRPr="00AE154B">
        <w:rPr>
          <w:rStyle w:val="Strong"/>
          <w:b w:val="0"/>
        </w:rPr>
        <w:t>debt consolidation</w:t>
      </w:r>
      <w:r w:rsidR="00BC0791" w:rsidRPr="00AE154B">
        <w:rPr>
          <w:rStyle w:val="Strong"/>
        </w:rPr>
        <w:t xml:space="preserve"> </w:t>
      </w:r>
      <w:r w:rsidRPr="00AE154B">
        <w:rPr>
          <w:rStyle w:val="Strong"/>
        </w:rPr>
        <w:fldChar w:fldCharType="begin" w:fldLock="1"/>
      </w:r>
      <w:r w:rsidR="0091359C" w:rsidRPr="00AE154B">
        <w:rPr>
          <w:rStyle w:val="Strong"/>
        </w:rPr>
        <w:instrText>ADDIN CSL_CITATION {"citationItems":[{"id":"ITEM-1","itemData":{"ISSN":"2042-1338","author":[{"dropping-particle":"","family":"Kasseeah","given":"Harshana","non-dropping-particle":"","parse-names":false,"suffix":""},{"dropping-particle":"","family":"Tandrayen-Ragoobur","given":"Verena","non-dropping-particle":"","parse-names":false,"suffix":""}],"container-title":"African Journal of Science, Technology, Innovation and Development","id":"ITEM-1","issue":"4","issued":{"date-parts":[["2015"]]},"page":"247-254","publisher":"Taylor &amp; Francis","title":"Self-employed women and their access to finance: perspectives from the informal sector","type":"article-journal","volume":"7"},"uris":["http://www.mendeley.com/documents/?uuid=58b2990b-2b2f-4a8b-8baf-6d26f8f69147"]}],"mendeley":{"formattedCitation":"(Kasseeah &amp; Tandrayen-Ragoobur, 2015)","plainTextFormattedCitation":"(Kasseeah &amp; Tandrayen-Ragoobur, 2015)","previouslyFormattedCitation":"(Kasseeah &amp; Tandrayen-Ragoobur, 2015)"},"properties":{"noteIndex":0},"schema":"https://github.com/citation-style-language/schema/raw/master/csl-citation.json"}</w:instrText>
      </w:r>
      <w:r w:rsidRPr="00AE154B">
        <w:rPr>
          <w:rStyle w:val="Strong"/>
        </w:rPr>
        <w:fldChar w:fldCharType="separate"/>
      </w:r>
      <w:r w:rsidRPr="00AE154B">
        <w:rPr>
          <w:rStyle w:val="Strong"/>
          <w:b w:val="0"/>
          <w:noProof/>
        </w:rPr>
        <w:t>(Kasseeah &amp; Tandrayen-Ragoobur, 2015)</w:t>
      </w:r>
      <w:r w:rsidRPr="00AE154B">
        <w:rPr>
          <w:rStyle w:val="Strong"/>
        </w:rPr>
        <w:fldChar w:fldCharType="end"/>
      </w:r>
      <w:r w:rsidR="00BC0791" w:rsidRPr="00AE154B">
        <w:t>.</w:t>
      </w:r>
    </w:p>
    <w:p w14:paraId="12484131" w14:textId="77777777" w:rsidR="00895AB9" w:rsidRDefault="00797A1B" w:rsidP="00410DEC">
      <w:pPr>
        <w:pStyle w:val="NormalWeb"/>
        <w:jc w:val="both"/>
      </w:pPr>
      <w:r w:rsidRPr="00AE154B">
        <w:t xml:space="preserve">From a behavioral perspective, the </w:t>
      </w:r>
      <w:r w:rsidRPr="00AE154B">
        <w:rPr>
          <w:rStyle w:val="Strong"/>
          <w:b w:val="0"/>
        </w:rPr>
        <w:t>Permanent Income Hypothesis</w:t>
      </w:r>
      <w:r w:rsidRPr="00AE154B">
        <w:rPr>
          <w:rStyle w:val="Strong"/>
        </w:rPr>
        <w:t xml:space="preserve"> </w:t>
      </w:r>
      <w:r w:rsidR="006772AD" w:rsidRPr="00AE154B">
        <w:rPr>
          <w:rStyle w:val="Strong"/>
        </w:rPr>
        <w:fldChar w:fldCharType="begin" w:fldLock="1"/>
      </w:r>
      <w:r w:rsidR="00EF42B6" w:rsidRPr="00AE154B">
        <w:rPr>
          <w:rStyle w:val="Strong"/>
        </w:rPr>
        <w:instrText>ADDIN CSL_CITATION {"citationItems":[{"id":"ITEM-1","itemData":{"author":[{"dropping-particle":"","family":"Friedman","given":"Milton","non-dropping-particle":"","parse-names":false,"suffix":""}],"container-title":"A theory of the consumption function","id":"ITEM-1","issued":{"date-parts":[["1957"]]},"page":"20-37","publisher":"Princeton University Press","title":"The permanent income hypothesis","type":"chapter"},"uris":["http://www.mendeley.com/documents/?uuid=7341a2d3-c5d8-381e-ad3d-b5d5d69ac0ec"]}],"mendeley":{"formattedCitation":"(Friedman, 1957)","plainTextFormattedCitation":"(Friedman, 1957)","previouslyFormattedCitation":"(Friedman, 1957)"},"properties":{"noteIndex":0},"schema":"https://github.com/citation-style-language/schema/raw/master/csl-citation.json"}</w:instrText>
      </w:r>
      <w:r w:rsidR="006772AD" w:rsidRPr="00AE154B">
        <w:rPr>
          <w:rStyle w:val="Strong"/>
        </w:rPr>
        <w:fldChar w:fldCharType="separate"/>
      </w:r>
      <w:r w:rsidR="006772AD" w:rsidRPr="00AE154B">
        <w:rPr>
          <w:rStyle w:val="Strong"/>
          <w:b w:val="0"/>
          <w:noProof/>
        </w:rPr>
        <w:t>(Friedman, 1957)</w:t>
      </w:r>
      <w:r w:rsidR="006772AD" w:rsidRPr="00AE154B">
        <w:rPr>
          <w:rStyle w:val="Strong"/>
        </w:rPr>
        <w:fldChar w:fldCharType="end"/>
      </w:r>
      <w:r w:rsidRPr="00AE154B">
        <w:t xml:space="preserve"> suggests that individuals base their consumption and borrowing decisions on expected lifetime income rather than current earnings. Hence, securely employed individuals can plan long-term investments with borrowed funds, whereas casual workers may prioritize short-term liquidity needs. Empirical studies in Sub-Saharan Africa show that </w:t>
      </w:r>
      <w:r w:rsidRPr="00AE154B">
        <w:rPr>
          <w:rStyle w:val="Strong"/>
          <w:b w:val="0"/>
        </w:rPr>
        <w:t>formal employment increases the probability of productive loan use</w:t>
      </w:r>
      <w:r w:rsidR="00EF42B6" w:rsidRPr="00AE154B">
        <w:rPr>
          <w:rStyle w:val="Strong"/>
        </w:rPr>
        <w:t xml:space="preserve"> </w:t>
      </w:r>
      <w:r w:rsidR="00EF42B6" w:rsidRPr="00AE154B">
        <w:fldChar w:fldCharType="begin" w:fldLock="1"/>
      </w:r>
      <w:r w:rsidR="00435801" w:rsidRPr="00AE154B">
        <w:instrText>ADDIN CSL_CITATION {"citationItems":[{"id":"ITEM-1","itemData":{"author":[{"dropping-particle":"","family":"Monteiro","given":"Samuel","non-dropping-particle":"","parse-names":false,"suffix":""}],"id":"ITEM-1","issued":{"date-parts":[["2019"]]},"title":"employment contract on credit access in Africa","type":"article-journal"},"uris":["http://www.mendeley.com/documents/?uuid=d803209a-4afb-425a-8226-5bf7183a227e"]}],"mendeley":{"formattedCitation":"(Monteiro, 2019)","plainTextFormattedCitation":"(Monteiro, 2019)","previouslyFormattedCitation":"(Monteiro, 2019)"},"properties":{"noteIndex":0},"schema":"https://github.com/citation-style-language/schema/raw/master/csl-citation.json"}</w:instrText>
      </w:r>
      <w:r w:rsidR="00EF42B6" w:rsidRPr="00AE154B">
        <w:fldChar w:fldCharType="separate"/>
      </w:r>
      <w:r w:rsidR="00EF42B6" w:rsidRPr="00AE154B">
        <w:rPr>
          <w:noProof/>
        </w:rPr>
        <w:t>(Monteiro, 2019)</w:t>
      </w:r>
      <w:r w:rsidR="00EF42B6" w:rsidRPr="00AE154B">
        <w:fldChar w:fldCharType="end"/>
      </w:r>
      <w:r w:rsidRPr="00AE154B">
        <w:t>.</w:t>
      </w:r>
      <w:r w:rsidR="00EF42B6" w:rsidRPr="00AE154B">
        <w:t xml:space="preserve"> </w:t>
      </w:r>
      <w:r w:rsidR="00895AB9">
        <w:t xml:space="preserve">We argue that formally employed households, especially those with stable wages or contracts, have more predictable cash flow. This makes lenders more willing to extend credit and increases the likelihood that borrowers invest in productive activities rather than consume the loan. In Uganda, formal wage earners often access salary-secured loans from banks and MFIs, while self-employed or informally employed individuals rely on group lending or mobile credit, which is often used for daily consumption or micro-enterprise </w:t>
      </w:r>
      <w:r w:rsidR="00895AB9" w:rsidRPr="00AE154B">
        <w:fldChar w:fldCharType="begin" w:fldLock="1"/>
      </w:r>
      <w:r w:rsidR="00895AB9" w:rsidRPr="00AE154B">
        <w:instrText>ADDIN CSL_CITATION {"citationItems":[{"id":"ITEM-1","itemData":{"author":[{"dropping-particle":"","family":"FSD Uganda","given":"","non-dropping-particle":"","parse-names":false,"suffix":""}],"id":"ITEM-1","issue":"24256790","issued":{"date-parts":[["2024"]]},"title":"Annual 2024","type":"article-journal"},"uris":["http://www.mendeley.com/documents/?uuid=f343f563-3a2f-477a-9a2b-e88ea0fe025b"]},{"id":"ITEM-2","itemData":{"ISSN":"2006-9812","author":[{"dropping-particle":"","family":"Ssekiziyivu","given":"Bob","non-dropping-particle":"","parse-names":false,"suffix":""},{"dropping-particle":"","family":"Bananuka","given":"Juma","non-dropping-particle":"","parse-names":false,"suffix":""},{"dropping-particle":"","family":"Nabeta","given":"Isaac Nkote","non-dropping-particle":"","parse-names":false,"suffix":""},{"dropping-particle":"","family":"Tumwebaze","given":"Zainabu","non-dropping-particle":"","parse-names":false,"suffix":""}],"container-title":"Journal of Economics and International Finance","id":"ITEM-2","issue":"1","issued":{"date-parts":[["2018"]]},"page":"1-10","publisher":"Academic Journals","title":"Borrowers characteristics, credit terms and loan repayment performance among clients of microfinance institutions (MFIs): Evidence from rural Uganda","type":"article-journal","volume":"10"},"uris":["http://www.mendeley.com/documents/?uuid=5d035883-0216-4421-870b-15ddbd1ffe8d"]}],"mendeley":{"formattedCitation":"(FSD Uganda, 2024; Ssekiziyivu et al., 2018)","plainTextFormattedCitation":"(FSD Uganda, 2024; Ssekiziyivu et al., 2018)","previouslyFormattedCitation":"(FSD Uganda, 2024; Ssekiziyivu et al., 2018)"},"properties":{"noteIndex":0},"schema":"https://github.com/citation-style-language/schema/raw/master/csl-citation.json"}</w:instrText>
      </w:r>
      <w:r w:rsidR="00895AB9" w:rsidRPr="00AE154B">
        <w:fldChar w:fldCharType="separate"/>
      </w:r>
      <w:r w:rsidR="00895AB9" w:rsidRPr="00AE154B">
        <w:rPr>
          <w:noProof/>
        </w:rPr>
        <w:t>(FSD Uganda, 2024; Ssekiziyivu et al., 2018)</w:t>
      </w:r>
      <w:r w:rsidR="00895AB9" w:rsidRPr="00AE154B">
        <w:fldChar w:fldCharType="end"/>
      </w:r>
      <w:r w:rsidR="00895AB9" w:rsidRPr="00AE154B">
        <w:t>.</w:t>
      </w:r>
    </w:p>
    <w:p w14:paraId="78F9BB74" w14:textId="77777777" w:rsidR="00797A1B" w:rsidRPr="00AE154B" w:rsidRDefault="00895AB9" w:rsidP="00410DEC">
      <w:pPr>
        <w:pStyle w:val="NormalWeb"/>
        <w:jc w:val="both"/>
      </w:pPr>
      <w:r w:rsidRPr="00AE154B">
        <w:t>Housing characteristics</w:t>
      </w:r>
      <w:r w:rsidR="00797A1B" w:rsidRPr="00AE154B">
        <w:t>—including ownership status, dwelling type, and asset quality—play a dual role in determining loan access and utilization. Homeowners are more likely to access secured credit, using property as collateral</w:t>
      </w:r>
      <w:r w:rsidR="008B1130" w:rsidRPr="00AE154B">
        <w:t xml:space="preserve"> </w:t>
      </w:r>
      <w:r w:rsidR="008B1130" w:rsidRPr="00AE154B">
        <w:fldChar w:fldCharType="begin" w:fldLock="1"/>
      </w:r>
      <w:r w:rsidR="00590E89" w:rsidRPr="00AE154B">
        <w:instrText>ADDIN CSL_CITATION {"citationItems":[{"id":"ITEM-1","itemData":{"ISSN":"1363-6669","author":[{"dropping-particle":"","family":"Asiseh","given":"Fafanyo","non-dropping-particle":"","parse-names":false,"suffix":""},{"dropping-particle":"","family":"Ng'ombe","given":"John N","non-dropping-particle":"","parse-names":false,"suffix":""},{"dropping-particle":"","family":"Quaicoe","given":"Obed","non-dropping-particle":"","parse-names":false,"suffix":""},{"dropping-particle":"","family":"Vorsah","given":"Roger","non-dropping-particle":"","parse-names":false,"suffix":""},{"dropping-particle":"","family":"Prah","given":"Stephen","non-dropping-particle":"","parse-names":false,"suffix":""}],"container-title":"Review of Development Economics","id":"ITEM-1","issue":"3","issued":{"date-parts":[["2025"]]},"page":"1597-1612","publisher":"Wiley Online Library","title":"Are Credit Doors Equally Open? Gender Perspectives on Agricultural Credit Access in Sub‐Saharan Africa","type":"article-journal","volume":"29"},"uris":["http://www.mendeley.com/documents/?uuid=cd6b1773-cbef-4dc5-85b2-9881b6d99025"]}],"mendeley":{"formattedCitation":"(Asiseh et al., 2025)","plainTextFormattedCitation":"(Asiseh et al., 2025)","previouslyFormattedCitation":"(Asiseh et al., 2025)"},"properties":{"noteIndex":0},"schema":"https://github.com/citation-style-language/schema/raw/master/csl-citation.json"}</w:instrText>
      </w:r>
      <w:r w:rsidR="008B1130" w:rsidRPr="00AE154B">
        <w:fldChar w:fldCharType="separate"/>
      </w:r>
      <w:r w:rsidR="008B1130" w:rsidRPr="00AE154B">
        <w:rPr>
          <w:noProof/>
        </w:rPr>
        <w:t>(Asiseh et al., 2025)</w:t>
      </w:r>
      <w:r w:rsidR="008B1130" w:rsidRPr="00AE154B">
        <w:fldChar w:fldCharType="end"/>
      </w:r>
      <w:r w:rsidR="00797A1B" w:rsidRPr="00AE154B">
        <w:t xml:space="preserve">. Such loans are often channeled into productive or asset-enhancing purposes, </w:t>
      </w:r>
      <w:r w:rsidR="00A5512B" w:rsidRPr="00AE154B">
        <w:t xml:space="preserve">and they are characterized with better repayment tendencies </w:t>
      </w:r>
      <w:r w:rsidR="00A5512B" w:rsidRPr="00AE154B">
        <w:fldChar w:fldCharType="begin" w:fldLock="1"/>
      </w:r>
      <w:r w:rsidR="003C12EB" w:rsidRPr="00AE154B">
        <w:instrText>ADDIN CSL_CITATION {"citationItems":[{"id":"ITEM-1","itemData":{"ISSN":"0012-9682","author":[{"dropping-particle":"","family":"Collier","given":"Benjamin L","non-dropping-particle":"","parse-names":false,"suffix":""},{"dropping-particle":"","family":"Ellis","given":"Cameron M","non-dropping-particle":"","parse-names":false,"suffix":""},{"dropping-particle":"","family":"Keys","given":"Benjamin J","non-dropping-particle":"","parse-names":false,"suffix":""}],"container-title":"Econometrica","id":"ITEM-1","issue":"3","issued":{"date-parts":[["2025"]]},"page":"779-819","publisher":"Wiley Online Library","title":"The cost of consumer collateral: Evidence from bunching","type":"article-journal","volume":"93"},"uris":["http://www.mendeley.com/documents/?uuid=2494cae3-a02e-4281-8152-fd33bcc976d0"]}],"mendeley":{"formattedCitation":"(Collier et al., 2025)","plainTextFormattedCitation":"(Collier et al., 2025)","previouslyFormattedCitation":"(Collier et al., 2025)"},"properties":{"noteIndex":0},"schema":"https://github.com/citation-style-language/schema/raw/master/csl-citation.json"}</w:instrText>
      </w:r>
      <w:r w:rsidR="00A5512B" w:rsidRPr="00AE154B">
        <w:fldChar w:fldCharType="separate"/>
      </w:r>
      <w:r w:rsidR="00A5512B" w:rsidRPr="00AE154B">
        <w:rPr>
          <w:noProof/>
        </w:rPr>
        <w:t>(Collier et al., 2025)</w:t>
      </w:r>
      <w:r w:rsidR="00A5512B" w:rsidRPr="00AE154B">
        <w:fldChar w:fldCharType="end"/>
      </w:r>
      <w:r w:rsidR="00797A1B" w:rsidRPr="00AE154B">
        <w:t>. Renters or those in temporary dwellings, on the other hand, face limited collateral options, leading to smaller, high-interest loans, often for consumption smoothing.</w:t>
      </w:r>
    </w:p>
    <w:p w14:paraId="1F995C5C" w14:textId="77777777" w:rsidR="00797A1B" w:rsidRPr="00AE154B" w:rsidRDefault="00797A1B" w:rsidP="00410DEC">
      <w:pPr>
        <w:pStyle w:val="NormalWeb"/>
        <w:jc w:val="both"/>
      </w:pPr>
      <w:r w:rsidRPr="00AE154B">
        <w:rPr>
          <w:bCs/>
        </w:rPr>
        <w:t xml:space="preserve">Housing quality also reflects </w:t>
      </w:r>
      <w:r w:rsidRPr="00AE154B">
        <w:t>household wealth and social standing</w:t>
      </w:r>
      <w:r w:rsidRPr="00AE154B">
        <w:rPr>
          <w:bCs/>
        </w:rPr>
        <w:t xml:space="preserve">, influencing lenders’ perception of </w:t>
      </w:r>
      <w:r w:rsidRPr="00AE154B">
        <w:t>creditworthiness</w:t>
      </w:r>
      <w:r w:rsidRPr="00AE154B">
        <w:rPr>
          <w:bCs/>
        </w:rPr>
        <w:t xml:space="preserve"> </w:t>
      </w:r>
      <w:r w:rsidR="00590E89" w:rsidRPr="00AE154B">
        <w:rPr>
          <w:bCs/>
        </w:rPr>
        <w:fldChar w:fldCharType="begin" w:fldLock="1"/>
      </w:r>
      <w:r w:rsidR="0001390D" w:rsidRPr="00AE154B">
        <w:rPr>
          <w:bCs/>
        </w:rPr>
        <w:instrText>ADDIN CSL_CITATION {"citationItems":[{"id":"ITEM-1","itemData":{"abstract":"This study attempted to determine the socio-cultural and economic factors that facilitated or impeded men and women’s engagement in urban housing development. It also attempted to determine the differences in obstacles to men’s and women’s engagement in the development and how gender interacted with other socio-institutional phenomena in influencing women’s capacity to engage in urban housing development. Finally, the study tried to identify the adaptive strategies adopted by men and women to facilitate their participation in urban housing development.","author":[{"dropping-particle":"","family":"Manyire","given":"Henry","non-dropping-particle":"","parse-names":false,"suffix":""}],"id":"ITEM-1","issue":"17","issued":{"date-parts":[["2002"]]},"title":"Gender and housing development in the low income suburbs of Jinja municipality, Uganda","type":"article-journal"},"uris":["http://www.mendeley.com/documents/?uuid=8c09256e-0d7e-49af-bbf9-264a09dd9538"]}],"mendeley":{"formattedCitation":"(Manyire, 2002)","plainTextFormattedCitation":"(Manyire, 2002)","previouslyFormattedCitation":"(Manyire, 2002)"},"properties":{"noteIndex":0},"schema":"https://github.com/citation-style-language/schema/raw/master/csl-citation.json"}</w:instrText>
      </w:r>
      <w:r w:rsidR="00590E89" w:rsidRPr="00AE154B">
        <w:rPr>
          <w:bCs/>
        </w:rPr>
        <w:fldChar w:fldCharType="separate"/>
      </w:r>
      <w:r w:rsidR="00590E89" w:rsidRPr="00AE154B">
        <w:rPr>
          <w:bCs/>
          <w:noProof/>
        </w:rPr>
        <w:t>(Manyire, 2002)</w:t>
      </w:r>
      <w:r w:rsidR="00590E89" w:rsidRPr="00AE154B">
        <w:rPr>
          <w:bCs/>
        </w:rPr>
        <w:fldChar w:fldCharType="end"/>
      </w:r>
      <w:r w:rsidRPr="00AE154B">
        <w:rPr>
          <w:bCs/>
        </w:rPr>
        <w:t>. In rural Uganda, households with permanent structures are more likely to access credit from Savings and Credit Cooperatives (SACCOs), while those in semi-permanent dwellings rely on informal sources.</w:t>
      </w:r>
      <w:r w:rsidR="0001390D" w:rsidRPr="00AE154B">
        <w:rPr>
          <w:bCs/>
        </w:rPr>
        <w:t xml:space="preserve"> Besides </w:t>
      </w:r>
      <w:r w:rsidR="0001390D" w:rsidRPr="00AE154B">
        <w:rPr>
          <w:bCs/>
        </w:rPr>
        <w:fldChar w:fldCharType="begin" w:fldLock="1"/>
      </w:r>
      <w:r w:rsidR="00A5512B" w:rsidRPr="00AE154B">
        <w:rPr>
          <w:bCs/>
        </w:rPr>
        <w:instrText>ADDIN CSL_CITATION {"citationItems":[{"id":"ITEM-1","itemData":{"ISSN":"2233-8659","author":[{"dropping-particle":"","family":"Kassegn","given":"Andualem","non-dropping-particle":"","parse-names":false,"suffix":""},{"dropping-particle":"","family":"Endris","given":"Ebrahim","non-dropping-particle":"","parse-names":false,"suffix":""}],"container-title":"International Area Studies Review","id":"ITEM-1","issue":"1","issued":{"date-parts":[["2022"]]},"page":"73-96","publisher":"SAGE Publications Sage UK: London, England","title":"Factors affecting loan repayment rate among smallholder farmers got loans from the Amhara Credit and Saving Institution: in the case of Habru District, Amhara Regional State, Ethiopia","type":"article-journal","volume":"25"},"uris":["http://www.mendeley.com/documents/?uuid=7c961fe0-bdd5-4e75-bfe0-7150d2cfaead"]},{"id":"ITEM-2","itemData":{"ISSN":"0954-1748","author":[{"dropping-particle":"","family":"Ravi","given":"Shamika","non-dropping-particle":"","parse-names":false,"suffix":""}],"container-title":"Journal of International Development","id":"ITEM-2","issue":"4","issued":{"date-parts":[["2014"]]},"page":"438-453","publisher":"Wiley Online Library","title":"Repay as you earn: loan repayment frequency, cash flows, and savings of households","type":"article-journal","volume":"26"},"uris":["http://www.mendeley.com/documents/?uuid=59b36661-091c-40a1-bce3-0ad3546c57e8"]}],"mendeley":{"formattedCitation":"(Kassegn &amp; Endris, 2022; Ravi, 2014)","plainTextFormattedCitation":"(Kassegn &amp; Endris, 2022; Ravi, 2014)","previouslyFormattedCitation":"(Kassegn &amp; Endris, 2022; Ravi, 2014)"},"properties":{"noteIndex":0},"schema":"https://github.com/citation-style-language/schema/raw/master/csl-citation.json"}</w:instrText>
      </w:r>
      <w:r w:rsidR="0001390D" w:rsidRPr="00AE154B">
        <w:rPr>
          <w:bCs/>
        </w:rPr>
        <w:fldChar w:fldCharType="separate"/>
      </w:r>
      <w:r w:rsidR="0001390D" w:rsidRPr="00AE154B">
        <w:rPr>
          <w:bCs/>
          <w:noProof/>
        </w:rPr>
        <w:t>(Kassegn &amp; Endris, 2022; Ravi, 2014)</w:t>
      </w:r>
      <w:r w:rsidR="0001390D" w:rsidRPr="00AE154B">
        <w:rPr>
          <w:bCs/>
        </w:rPr>
        <w:fldChar w:fldCharType="end"/>
      </w:r>
      <w:r w:rsidR="0001390D" w:rsidRPr="00AE154B">
        <w:rPr>
          <w:bCs/>
        </w:rPr>
        <w:t xml:space="preserve"> found demographic characteristics</w:t>
      </w:r>
      <w:r w:rsidR="0001390D" w:rsidRPr="00AE154B">
        <w:t xml:space="preserve"> and cash flows are key antecedents to loan repayment. We therefore hypothesize that:</w:t>
      </w:r>
    </w:p>
    <w:p w14:paraId="5978FBC7" w14:textId="77777777" w:rsidR="00797A1B" w:rsidRPr="00AE154B" w:rsidRDefault="00797A1B" w:rsidP="00410DEC">
      <w:pPr>
        <w:autoSpaceDE w:val="0"/>
        <w:autoSpaceDN w:val="0"/>
        <w:adjustRightInd w:val="0"/>
        <w:spacing w:after="0" w:line="240" w:lineRule="auto"/>
        <w:ind w:left="567"/>
        <w:rPr>
          <w:rFonts w:ascii="Times New Roman" w:hAnsi="Times New Roman" w:cs="Times New Roman"/>
          <w:i/>
          <w:iCs/>
          <w:sz w:val="24"/>
          <w:szCs w:val="24"/>
        </w:rPr>
      </w:pPr>
      <w:r w:rsidRPr="00AE154B">
        <w:rPr>
          <w:rFonts w:ascii="Times New Roman" w:hAnsi="Times New Roman" w:cs="Times New Roman"/>
          <w:b/>
          <w:i/>
          <w:sz w:val="24"/>
          <w:szCs w:val="24"/>
        </w:rPr>
        <w:t>H</w:t>
      </w:r>
      <w:r w:rsidRPr="00AE154B">
        <w:rPr>
          <w:rFonts w:ascii="Times New Roman" w:hAnsi="Times New Roman" w:cs="Times New Roman"/>
          <w:b/>
          <w:i/>
          <w:sz w:val="24"/>
          <w:szCs w:val="24"/>
          <w:vertAlign w:val="subscript"/>
        </w:rPr>
        <w:t>4</w:t>
      </w:r>
      <w:r w:rsidRPr="00AE154B">
        <w:rPr>
          <w:rFonts w:ascii="Times New Roman" w:hAnsi="Times New Roman" w:cs="Times New Roman"/>
          <w:i/>
          <w:sz w:val="24"/>
          <w:szCs w:val="24"/>
        </w:rPr>
        <w:t>:</w:t>
      </w:r>
      <w:r w:rsidRPr="00AE154B">
        <w:rPr>
          <w:rFonts w:ascii="Times New Roman" w:hAnsi="Times New Roman" w:cs="Times New Roman"/>
          <w:sz w:val="24"/>
          <w:szCs w:val="24"/>
        </w:rPr>
        <w:t xml:space="preserve"> </w:t>
      </w:r>
      <w:r w:rsidRPr="00AE154B">
        <w:rPr>
          <w:rFonts w:ascii="Times New Roman" w:hAnsi="Times New Roman" w:cs="Times New Roman"/>
          <w:iCs/>
          <w:sz w:val="24"/>
          <w:szCs w:val="24"/>
        </w:rPr>
        <w:t>Households living in lower-quality dwellings (e.g., huts or temporary floors) are more likely to divert loans from intended purpose.</w:t>
      </w:r>
    </w:p>
    <w:p w14:paraId="115FF0A4" w14:textId="2E3EA3D3" w:rsidR="00797A1B" w:rsidRPr="00AE154B" w:rsidRDefault="00797A1B" w:rsidP="00410DEC">
      <w:pPr>
        <w:autoSpaceDE w:val="0"/>
        <w:autoSpaceDN w:val="0"/>
        <w:adjustRightInd w:val="0"/>
        <w:spacing w:after="0" w:line="240" w:lineRule="auto"/>
        <w:ind w:left="567"/>
        <w:rPr>
          <w:rFonts w:ascii="Times New Roman" w:hAnsi="Times New Roman" w:cs="Times New Roman"/>
          <w:sz w:val="24"/>
          <w:szCs w:val="24"/>
        </w:rPr>
      </w:pPr>
      <w:r w:rsidRPr="00BB1C1E">
        <w:rPr>
          <w:rFonts w:ascii="Times New Roman" w:hAnsi="Times New Roman" w:cs="Times New Roman"/>
          <w:b/>
          <w:i/>
          <w:iCs/>
          <w:sz w:val="24"/>
          <w:szCs w:val="24"/>
        </w:rPr>
        <w:t>H</w:t>
      </w:r>
      <w:r w:rsidRPr="00BB1C1E">
        <w:rPr>
          <w:rFonts w:ascii="Times New Roman" w:hAnsi="Times New Roman" w:cs="Times New Roman"/>
          <w:b/>
          <w:i/>
          <w:iCs/>
          <w:sz w:val="24"/>
          <w:szCs w:val="24"/>
          <w:vertAlign w:val="subscript"/>
        </w:rPr>
        <w:t>5</w:t>
      </w:r>
      <w:r w:rsidRPr="00BB1C1E">
        <w:rPr>
          <w:rFonts w:ascii="Times New Roman" w:hAnsi="Times New Roman" w:cs="Times New Roman"/>
          <w:b/>
          <w:i/>
          <w:iCs/>
          <w:sz w:val="24"/>
          <w:szCs w:val="24"/>
        </w:rPr>
        <w:t>:</w:t>
      </w:r>
      <w:r w:rsidRPr="00BB1C1E">
        <w:rPr>
          <w:rFonts w:ascii="Times New Roman" w:hAnsi="Times New Roman" w:cs="Times New Roman"/>
          <w:i/>
          <w:iCs/>
          <w:sz w:val="24"/>
          <w:szCs w:val="24"/>
        </w:rPr>
        <w:t xml:space="preserve"> </w:t>
      </w:r>
      <w:r w:rsidRPr="00BB1C1E">
        <w:rPr>
          <w:rFonts w:ascii="Times New Roman" w:hAnsi="Times New Roman" w:cs="Times New Roman"/>
          <w:sz w:val="24"/>
          <w:szCs w:val="24"/>
        </w:rPr>
        <w:t xml:space="preserve">Households engaged in less stable forms of employment (farm wage, casual </w:t>
      </w:r>
      <w:r w:rsidR="007815CE" w:rsidRPr="00BB1C1E">
        <w:rPr>
          <w:rFonts w:ascii="Times New Roman" w:hAnsi="Times New Roman" w:cs="Times New Roman"/>
          <w:sz w:val="24"/>
          <w:szCs w:val="24"/>
        </w:rPr>
        <w:t>labor</w:t>
      </w:r>
      <w:r w:rsidRPr="00BB1C1E">
        <w:rPr>
          <w:rFonts w:ascii="Times New Roman" w:hAnsi="Times New Roman" w:cs="Times New Roman"/>
          <w:sz w:val="24"/>
          <w:szCs w:val="24"/>
        </w:rPr>
        <w:t xml:space="preserve"> and unemployed) have a higher propensity to utilize loans for </w:t>
      </w:r>
      <w:r w:rsidR="00CE530C" w:rsidRPr="00BB1C1E">
        <w:rPr>
          <w:rFonts w:ascii="Times New Roman" w:hAnsi="Times New Roman" w:cs="Times New Roman"/>
          <w:sz w:val="24"/>
          <w:szCs w:val="24"/>
        </w:rPr>
        <w:t>non</w:t>
      </w:r>
      <w:r w:rsidR="00A30871" w:rsidRPr="0018374A">
        <w:rPr>
          <w:rFonts w:ascii="Times New Roman" w:hAnsi="Times New Roman" w:cs="Times New Roman"/>
          <w:sz w:val="24"/>
          <w:szCs w:val="24"/>
        </w:rPr>
        <w:t>-</w:t>
      </w:r>
      <w:r w:rsidR="00CE530C" w:rsidRPr="00BB1C1E">
        <w:rPr>
          <w:rFonts w:ascii="Times New Roman" w:hAnsi="Times New Roman" w:cs="Times New Roman"/>
          <w:sz w:val="24"/>
          <w:szCs w:val="24"/>
        </w:rPr>
        <w:t xml:space="preserve">productive purposes. </w:t>
      </w:r>
    </w:p>
    <w:p w14:paraId="5AAFCB4B" w14:textId="34CC1F49" w:rsidR="008C409C" w:rsidRPr="008C409C" w:rsidRDefault="00C47483" w:rsidP="008C409C">
      <w:pPr>
        <w:pStyle w:val="Heading2"/>
        <w:rPr>
          <w:rFonts w:ascii="Times New Roman" w:hAnsi="Times New Roman" w:cs="Times New Roman"/>
          <w:sz w:val="24"/>
          <w:szCs w:val="24"/>
          <w:shd w:val="clear" w:color="auto" w:fill="FFFFFF"/>
        </w:rPr>
      </w:pPr>
      <w:r w:rsidRPr="008C409C">
        <w:rPr>
          <w:rFonts w:ascii="Times New Roman" w:hAnsi="Times New Roman" w:cs="Times New Roman"/>
          <w:sz w:val="24"/>
          <w:szCs w:val="24"/>
          <w:shd w:val="clear" w:color="auto" w:fill="FFFFFF"/>
        </w:rPr>
        <w:t xml:space="preserve"> 2.4</w:t>
      </w:r>
      <w:r w:rsidR="00797A1B" w:rsidRPr="008C409C">
        <w:rPr>
          <w:rFonts w:ascii="Times New Roman" w:hAnsi="Times New Roman" w:cs="Times New Roman"/>
          <w:sz w:val="24"/>
          <w:szCs w:val="24"/>
          <w:shd w:val="clear" w:color="auto" w:fill="FFFFFF"/>
        </w:rPr>
        <w:t xml:space="preserve"> </w:t>
      </w:r>
      <w:r w:rsidR="008C409C" w:rsidRPr="008C409C">
        <w:rPr>
          <w:rFonts w:ascii="Times New Roman" w:hAnsi="Times New Roman" w:cs="Times New Roman"/>
          <w:sz w:val="24"/>
          <w:szCs w:val="24"/>
          <w:shd w:val="clear" w:color="auto" w:fill="FFFFFF"/>
        </w:rPr>
        <w:t>Theoretical Lenses</w:t>
      </w:r>
    </w:p>
    <w:p w14:paraId="45D39981" w14:textId="4936E9AF" w:rsidR="00B85021" w:rsidRDefault="00B85021" w:rsidP="00AF64D8">
      <w:pPr>
        <w:pStyle w:val="NormalWeb"/>
        <w:jc w:val="both"/>
      </w:pPr>
      <w:r>
        <w:t xml:space="preserve">Household financial outcomes and behaviors can be systematically understood through the Financial Capability Theory. The strength of this framework lies in its integration of behavioral </w:t>
      </w:r>
      <w:r>
        <w:lastRenderedPageBreak/>
        <w:t xml:space="preserve">economics, financial literacy, and institutional design to explain complex financial decision-making processes (Ahamed, 2025; </w:t>
      </w:r>
      <w:proofErr w:type="spellStart"/>
      <w:r>
        <w:t>Sherraden</w:t>
      </w:r>
      <w:proofErr w:type="spellEnd"/>
      <w:r>
        <w:t>, 2010; Sun et al., 2022). Financial Capability Theory posits that financial behavior emerges from an interaction between an individual’s financial ability—comprising knowledge, skills, and confidence—and their financial opportunity, defined as access to institutions, financial products, and supportive social systems (</w:t>
      </w:r>
      <w:proofErr w:type="spellStart"/>
      <w:r>
        <w:t>Çera</w:t>
      </w:r>
      <w:proofErr w:type="spellEnd"/>
      <w:r>
        <w:t xml:space="preserve"> et al., 2021; </w:t>
      </w:r>
      <w:proofErr w:type="spellStart"/>
      <w:r>
        <w:t>Lučić</w:t>
      </w:r>
      <w:proofErr w:type="spellEnd"/>
      <w:r>
        <w:t xml:space="preserve"> et al., 2023; Xiao et al., 2022). By doing so, the framework moves beyond traditional notions of financial literacy and incorporates the broader structural, institutional, and social environments in which financial decisions are made.</w:t>
      </w:r>
    </w:p>
    <w:p w14:paraId="61B4C280" w14:textId="77777777" w:rsidR="00B85021" w:rsidRDefault="00B85021" w:rsidP="00AF64D8">
      <w:pPr>
        <w:pStyle w:val="NormalWeb"/>
        <w:jc w:val="both"/>
      </w:pPr>
      <w:r>
        <w:t>Within this perspective, individuals and households are not treated as purely autonomous agents. Instead, their loan utilization and repayment behaviors are shaped simultaneously by internal capabilities and external enabling conditions, including social networks, financial access, and socio-demographic attributes (</w:t>
      </w:r>
      <w:proofErr w:type="spellStart"/>
      <w:r>
        <w:t>Lučić</w:t>
      </w:r>
      <w:proofErr w:type="spellEnd"/>
      <w:r>
        <w:t xml:space="preserve"> et al., 2023; Shi et al., 2025). In developing economies such as Uganda—where informal networks and social capital often compensate for weak formal institutions—social relationships can either enhance or constrain financial capability.</w:t>
      </w:r>
    </w:p>
    <w:p w14:paraId="6E96A421" w14:textId="77777777" w:rsidR="00B85021" w:rsidRDefault="00B85021" w:rsidP="00AF64D8">
      <w:pPr>
        <w:pStyle w:val="NormalWeb"/>
        <w:jc w:val="both"/>
      </w:pPr>
      <w:r>
        <w:t>Households with stronger financial capability, reflected in budgeting practices, financial planning, and informed credit use, are more likely to allocate borrowed funds productively, meet repayment obligations on time, and build long-term financial resilience (Lusardi &amp; Mitchell, 2014). Financial capability therefore acts as a mediating mechanism through which access to credit translates into sustainable financial outcomes (Kumar &amp; Sandhu, 2024). Conversely, limited capability coupled with inadequate access to supportive financial structures increases vulnerability to economic shocks and raises the probability of loan default.</w:t>
      </w:r>
    </w:p>
    <w:p w14:paraId="24237AF4" w14:textId="77777777" w:rsidR="00B85021" w:rsidRDefault="00B85021" w:rsidP="00AF64D8">
      <w:pPr>
        <w:pStyle w:val="NormalWeb"/>
        <w:jc w:val="both"/>
      </w:pPr>
      <w:r>
        <w:t>Aligned with the foundations of Financial Capability Theory, this study conceptualizes financial capability as a household’s ability to access, understand, and effectively utilize financial services. Using UBOS Panel Data Waves 1 and 2, the construct is operationalized through indicators that capture both internal knowledge and external opportunity: financial knowledge is proxied by ownership of a registered bank account, while financial behavior is assessed through productive loan utilization and timely debt repayment. These indicators are widely used in empirical research and reflect the theoretical assertion that financial capability emerges from the interplay of literacy, access to financial tools, and actual financial practices (Hung et al., 2009; Atkinson &amp; Messy, 2012).</w:t>
      </w:r>
    </w:p>
    <w:p w14:paraId="1C6F3071" w14:textId="77777777" w:rsidR="00797A1B" w:rsidRPr="0026709C" w:rsidRDefault="00797A1B" w:rsidP="00B85021">
      <w:pPr>
        <w:pStyle w:val="Heading2"/>
        <w:spacing w:line="240" w:lineRule="auto"/>
        <w:rPr>
          <w:rFonts w:ascii="Times New Roman" w:hAnsi="Times New Roman" w:cs="Times New Roman"/>
          <w:sz w:val="24"/>
          <w:szCs w:val="24"/>
          <w:shd w:val="clear" w:color="auto" w:fill="FFFFFF"/>
        </w:rPr>
      </w:pPr>
      <w:r w:rsidRPr="0026709C">
        <w:rPr>
          <w:rFonts w:ascii="Times New Roman" w:hAnsi="Times New Roman" w:cs="Times New Roman"/>
          <w:sz w:val="24"/>
          <w:szCs w:val="24"/>
          <w:shd w:val="clear" w:color="auto" w:fill="FFFFFF"/>
        </w:rPr>
        <w:t xml:space="preserve">3.0 Methodology </w:t>
      </w:r>
    </w:p>
    <w:p w14:paraId="70A228C7" w14:textId="77777777" w:rsidR="002C5157" w:rsidRPr="0026709C" w:rsidRDefault="002C5157" w:rsidP="00410DEC">
      <w:pPr>
        <w:pStyle w:val="Heading2"/>
        <w:spacing w:line="240" w:lineRule="auto"/>
        <w:jc w:val="both"/>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3.1 Research Design</w:t>
      </w:r>
    </w:p>
    <w:p w14:paraId="6B0DBCDA" w14:textId="77777777" w:rsidR="002A07C6" w:rsidRDefault="002A07C6" w:rsidP="00AF64D8">
      <w:pPr>
        <w:pStyle w:val="NormalWeb"/>
        <w:jc w:val="both"/>
      </w:pPr>
      <w:r>
        <w:t>This study employed a retrospective panel research design using secondary data collected by the Uganda Bureau of Statistics (UBOS). The analysis draws on two consecutive survey waves—the 2021/2022 and 2022/2023 Panel Surveys—allowing the examination of temporal changes in household financial behavior, with a particular focus on loan repayment dynamics. A retrospective panel approach is appropriate because it enables the observation of behavioral consistency and change within the same households over time, thereby supporting stronger causal inferences regarding the determinants of loan repayment.</w:t>
      </w:r>
    </w:p>
    <w:p w14:paraId="0912E498" w14:textId="77777777" w:rsidR="002A07C6" w:rsidRDefault="002A07C6" w:rsidP="00AF64D8">
      <w:pPr>
        <w:pStyle w:val="NormalWeb"/>
        <w:jc w:val="both"/>
      </w:pPr>
      <w:r>
        <w:lastRenderedPageBreak/>
        <w:t>The study is theoretically anchored in Financial Capability Theory (</w:t>
      </w:r>
      <w:proofErr w:type="spellStart"/>
      <w:r>
        <w:t>Sherraden</w:t>
      </w:r>
      <w:proofErr w:type="spellEnd"/>
      <w:r>
        <w:t>, 2010), which posits that financial outcomes result from the interaction between individuals’ financial abilities (knowledge, skills, and attitudes) and the opportunity structures within which they operate (access to resources, networks, and supportive institutions). This perspective moves beyond narrow financial literacy constructs to emphasize the combined influence of cognitive capacities and contextual constraints on financial decision-making. In line with this framework, the study investigates how loan utilization, social networks, and household socio-economic characteristics—key dimensions of financial capability—shape loan repayment behavior.</w:t>
      </w:r>
    </w:p>
    <w:p w14:paraId="14A1FC55" w14:textId="77777777" w:rsidR="002C5157" w:rsidRPr="0026709C" w:rsidRDefault="002C5157" w:rsidP="00410DEC">
      <w:pPr>
        <w:pStyle w:val="Heading2"/>
        <w:spacing w:line="240" w:lineRule="auto"/>
        <w:jc w:val="both"/>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3.2 Data Source and Sample</w:t>
      </w:r>
    </w:p>
    <w:p w14:paraId="255A0666" w14:textId="77777777"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 xml:space="preserve">The study utilized </w:t>
      </w:r>
      <w:r w:rsidRPr="00E86CA9">
        <w:rPr>
          <w:rFonts w:ascii="Times New Roman" w:eastAsia="Times New Roman" w:hAnsi="Times New Roman" w:cs="Times New Roman"/>
          <w:bCs/>
          <w:sz w:val="24"/>
          <w:szCs w:val="24"/>
        </w:rPr>
        <w:t>panel data from the Uganda Bureau of Statistics (UBOS)</w:t>
      </w:r>
      <w:r w:rsidRPr="00463E50">
        <w:rPr>
          <w:rFonts w:ascii="Times New Roman" w:eastAsia="Times New Roman" w:hAnsi="Times New Roman" w:cs="Times New Roman"/>
          <w:sz w:val="24"/>
          <w:szCs w:val="24"/>
        </w:rPr>
        <w:t xml:space="preserve">, covering households that participated in both survey rounds (2021/2022 and 2022/2023). The </w:t>
      </w:r>
      <w:r w:rsidRPr="00E86CA9">
        <w:rPr>
          <w:rFonts w:ascii="Times New Roman" w:eastAsia="Times New Roman" w:hAnsi="Times New Roman" w:cs="Times New Roman"/>
          <w:bCs/>
          <w:sz w:val="24"/>
          <w:szCs w:val="24"/>
        </w:rPr>
        <w:t>final</w:t>
      </w:r>
      <w:r w:rsidRPr="00463E50">
        <w:rPr>
          <w:rFonts w:ascii="Times New Roman" w:eastAsia="Times New Roman" w:hAnsi="Times New Roman" w:cs="Times New Roman"/>
          <w:b/>
          <w:bCs/>
          <w:sz w:val="24"/>
          <w:szCs w:val="24"/>
        </w:rPr>
        <w:t xml:space="preserve"> </w:t>
      </w:r>
      <w:r w:rsidRPr="00E86CA9">
        <w:rPr>
          <w:rFonts w:ascii="Times New Roman" w:eastAsia="Times New Roman" w:hAnsi="Times New Roman" w:cs="Times New Roman"/>
          <w:bCs/>
          <w:sz w:val="24"/>
          <w:szCs w:val="24"/>
        </w:rPr>
        <w:t>balanced sample</w:t>
      </w:r>
      <w:r w:rsidRPr="00463E50">
        <w:rPr>
          <w:rFonts w:ascii="Times New Roman" w:eastAsia="Times New Roman" w:hAnsi="Times New Roman" w:cs="Times New Roman"/>
          <w:sz w:val="24"/>
          <w:szCs w:val="24"/>
        </w:rPr>
        <w:t xml:space="preserve"> comprised </w:t>
      </w:r>
      <w:r w:rsidRPr="00E86CA9">
        <w:rPr>
          <w:rFonts w:ascii="Times New Roman" w:eastAsia="Times New Roman" w:hAnsi="Times New Roman" w:cs="Times New Roman"/>
          <w:bCs/>
          <w:sz w:val="24"/>
          <w:szCs w:val="24"/>
        </w:rPr>
        <w:t>3,173 households</w:t>
      </w:r>
      <w:r w:rsidRPr="00463E50">
        <w:rPr>
          <w:rFonts w:ascii="Times New Roman" w:eastAsia="Times New Roman" w:hAnsi="Times New Roman" w:cs="Times New Roman"/>
          <w:sz w:val="24"/>
          <w:szCs w:val="24"/>
        </w:rPr>
        <w:t>, ensuring consistency in longitudinal analysis. These nationally representative datasets capture a broad spectrum of household characteristics, including demographic, economic, and social dimensions, making them suitable for assessing financial behavior across time.</w:t>
      </w:r>
    </w:p>
    <w:p w14:paraId="09B42F68" w14:textId="77777777"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 xml:space="preserve">The use of secondary panel data enhances the study’s reliability and generalizability since UBOS employs rigorous sampling procedures and data validation protocols. Panel data also facilitate controlling for </w:t>
      </w:r>
      <w:r w:rsidRPr="00E86CA9">
        <w:rPr>
          <w:rFonts w:ascii="Times New Roman" w:eastAsia="Times New Roman" w:hAnsi="Times New Roman" w:cs="Times New Roman"/>
          <w:bCs/>
          <w:sz w:val="24"/>
          <w:szCs w:val="24"/>
        </w:rPr>
        <w:t>unobserved heterogeneity</w:t>
      </w:r>
      <w:r w:rsidRPr="00463E50">
        <w:rPr>
          <w:rFonts w:ascii="Times New Roman" w:eastAsia="Times New Roman" w:hAnsi="Times New Roman" w:cs="Times New Roman"/>
          <w:sz w:val="24"/>
          <w:szCs w:val="24"/>
        </w:rPr>
        <w:t>—household-specific characteristics that remain constant over time but may influence repayment outcomes, such as risk preferences or cultural attitudes toward debt.</w:t>
      </w:r>
    </w:p>
    <w:p w14:paraId="608B4CAC" w14:textId="77777777" w:rsidR="002C5157" w:rsidRPr="0026709C" w:rsidRDefault="002C5157" w:rsidP="00410DEC">
      <w:pPr>
        <w:pStyle w:val="Heading2"/>
        <w:spacing w:line="240" w:lineRule="auto"/>
        <w:jc w:val="both"/>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3.3 Variables and Measurement</w:t>
      </w:r>
    </w:p>
    <w:p w14:paraId="5B093C8C" w14:textId="77777777" w:rsidR="00E63B7C"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AB703A">
        <w:rPr>
          <w:rFonts w:ascii="Times New Roman" w:eastAsia="Times New Roman" w:hAnsi="Times New Roman" w:cs="Times New Roman"/>
          <w:bCs/>
          <w:sz w:val="24"/>
          <w:szCs w:val="24"/>
        </w:rPr>
        <w:t>Loan Repayment</w:t>
      </w:r>
      <w:r w:rsidRPr="00463E50">
        <w:rPr>
          <w:rFonts w:ascii="Times New Roman" w:eastAsia="Times New Roman" w:hAnsi="Times New Roman" w:cs="Times New Roman"/>
          <w:sz w:val="24"/>
          <w:szCs w:val="24"/>
        </w:rPr>
        <w:t xml:space="preserve"> </w:t>
      </w:r>
      <w:r w:rsidRPr="00AB703A">
        <w:rPr>
          <w:rFonts w:ascii="Times New Roman" w:eastAsia="Times New Roman" w:hAnsi="Times New Roman" w:cs="Times New Roman"/>
          <w:sz w:val="24"/>
          <w:szCs w:val="24"/>
        </w:rPr>
        <w:t>(</w:t>
      </w:r>
      <w:r w:rsidRPr="00AB703A">
        <w:rPr>
          <w:rFonts w:ascii="Times New Roman" w:eastAsia="Times New Roman" w:hAnsi="Times New Roman" w:cs="Times New Roman"/>
          <w:bCs/>
          <w:sz w:val="24"/>
          <w:szCs w:val="24"/>
        </w:rPr>
        <w:t>Dependent Variable)</w:t>
      </w:r>
      <w:r w:rsidRPr="00463E50">
        <w:rPr>
          <w:rFonts w:ascii="Times New Roman" w:eastAsia="Times New Roman" w:hAnsi="Times New Roman" w:cs="Times New Roman"/>
          <w:sz w:val="24"/>
          <w:szCs w:val="24"/>
        </w:rPr>
        <w:t>— a binary outcome variable indicating whether a household repaid its loan in full (coded as 1) or failed to repay (coded as 0).</w:t>
      </w:r>
      <w:r w:rsidRPr="00AB703A">
        <w:rPr>
          <w:rFonts w:ascii="Times New Roman" w:eastAsia="Times New Roman" w:hAnsi="Times New Roman" w:cs="Times New Roman"/>
          <w:sz w:val="24"/>
          <w:szCs w:val="24"/>
        </w:rPr>
        <w:t xml:space="preserve"> </w:t>
      </w:r>
      <w:r w:rsidRPr="00AB703A">
        <w:rPr>
          <w:rFonts w:ascii="Times New Roman" w:eastAsia="Times New Roman" w:hAnsi="Times New Roman" w:cs="Times New Roman"/>
          <w:bCs/>
          <w:sz w:val="24"/>
          <w:szCs w:val="24"/>
        </w:rPr>
        <w:t>Loan Utilization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Independent Variable</w:t>
      </w:r>
      <w:r w:rsidRPr="00AB703A">
        <w:rPr>
          <w:rFonts w:ascii="Times New Roman" w:eastAsia="Times New Roman" w:hAnsi="Times New Roman" w:cs="Times New Roman"/>
          <w:bCs/>
          <w:sz w:val="24"/>
          <w:szCs w:val="24"/>
        </w:rPr>
        <w:t>)</w:t>
      </w:r>
      <w:r w:rsidRPr="00463E50">
        <w:rPr>
          <w:rFonts w:ascii="Times New Roman" w:eastAsia="Times New Roman" w:hAnsi="Times New Roman" w:cs="Times New Roman"/>
          <w:sz w:val="24"/>
          <w:szCs w:val="24"/>
        </w:rPr>
        <w:t xml:space="preserve"> — measured by categorizing whether the loan was used for </w:t>
      </w:r>
      <w:r w:rsidRPr="00E86CA9">
        <w:rPr>
          <w:rFonts w:ascii="Times New Roman" w:eastAsia="Times New Roman" w:hAnsi="Times New Roman" w:cs="Times New Roman"/>
          <w:bCs/>
          <w:sz w:val="24"/>
          <w:szCs w:val="24"/>
        </w:rPr>
        <w:t>productive purposes</w:t>
      </w:r>
      <w:r w:rsidRPr="00463E50">
        <w:rPr>
          <w:rFonts w:ascii="Times New Roman" w:eastAsia="Times New Roman" w:hAnsi="Times New Roman" w:cs="Times New Roman"/>
          <w:sz w:val="24"/>
          <w:szCs w:val="24"/>
        </w:rPr>
        <w:t xml:space="preserve"> (e.g., investment in agriculture, business, or education) or </w:t>
      </w:r>
      <w:r w:rsidRPr="00E86CA9">
        <w:rPr>
          <w:rFonts w:ascii="Times New Roman" w:eastAsia="Times New Roman" w:hAnsi="Times New Roman" w:cs="Times New Roman"/>
          <w:bCs/>
          <w:sz w:val="24"/>
          <w:szCs w:val="24"/>
        </w:rPr>
        <w:t>consumptive purposes</w:t>
      </w:r>
      <w:r w:rsidRPr="00463E50">
        <w:rPr>
          <w:rFonts w:ascii="Times New Roman" w:eastAsia="Times New Roman" w:hAnsi="Times New Roman" w:cs="Times New Roman"/>
          <w:sz w:val="24"/>
          <w:szCs w:val="24"/>
        </w:rPr>
        <w:t xml:space="preserve"> (e.g., household consumption, ceremonies). </w:t>
      </w:r>
    </w:p>
    <w:p w14:paraId="0C64AD71" w14:textId="77777777" w:rsidR="00E63B7C" w:rsidRPr="00E63B7C" w:rsidRDefault="00E63B7C" w:rsidP="00410DEC">
      <w:pPr>
        <w:spacing w:before="100" w:beforeAutospacing="1" w:after="100" w:afterAutospacing="1" w:line="240" w:lineRule="auto"/>
        <w:jc w:val="both"/>
        <w:rPr>
          <w:rFonts w:ascii="Times New Roman" w:eastAsia="Times New Roman" w:hAnsi="Times New Roman" w:cs="Times New Roman"/>
          <w:sz w:val="24"/>
          <w:szCs w:val="24"/>
        </w:rPr>
      </w:pPr>
      <w:r w:rsidRPr="00417845">
        <w:rPr>
          <w:rFonts w:ascii="Times New Roman" w:hAnsi="Times New Roman" w:cs="Times New Roman"/>
          <w:sz w:val="24"/>
          <w:szCs w:val="24"/>
        </w:rPr>
        <w:t>Productive loan use is expected to strengthen repayment capacity by generating income, aligning with capability theory’s focus on effective resource use. Social networks—measured through membership in savings groups, cooperatives, or community associations—serve as opportunity structures that provide information, emotional support, peer monitoring, and informal finance, all of which can improve repayment behavior. Household characteristics—including age, sex, marital status, education, household size, employment, residence, and asset ownership—shape both the ability (knowledge, discipline, financial skills) and opportunity (stable income or collateral access) dimensions of financial capability.</w:t>
      </w:r>
    </w:p>
    <w:p w14:paraId="0D5E6EB8" w14:textId="295D79BB" w:rsidR="002C5157" w:rsidRDefault="002C5157" w:rsidP="00410DEC">
      <w:pPr>
        <w:pStyle w:val="Heading2"/>
        <w:spacing w:line="240" w:lineRule="auto"/>
        <w:jc w:val="both"/>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3.4 Analytical Framework</w:t>
      </w:r>
    </w:p>
    <w:p w14:paraId="6C8693B3" w14:textId="77777777" w:rsidR="00AC3EA6" w:rsidRPr="00AC3EA6" w:rsidRDefault="00AC3EA6" w:rsidP="00176B1E">
      <w:pPr>
        <w:pStyle w:val="NormalWeb"/>
        <w:jc w:val="both"/>
      </w:pPr>
      <w:r w:rsidRPr="00AC3EA6">
        <w:t xml:space="preserve">The central question of this study is whether </w:t>
      </w:r>
      <w:r w:rsidRPr="0099311B">
        <w:rPr>
          <w:rStyle w:val="Strong"/>
          <w:b w:val="0"/>
        </w:rPr>
        <w:t>loan utilization patterns influence loan repayment outcomes</w:t>
      </w:r>
      <w:r w:rsidRPr="00AC3EA6">
        <w:t xml:space="preserve">. Guided by </w:t>
      </w:r>
      <w:r w:rsidRPr="0099311B">
        <w:rPr>
          <w:rStyle w:val="Strong"/>
          <w:b w:val="0"/>
        </w:rPr>
        <w:t>Financial Capability Theory</w:t>
      </w:r>
      <w:r w:rsidRPr="00AC3EA6">
        <w:t xml:space="preserve">, the framework assumes that repayment performance reflects a household’s capacity and opportunity to make sound financial decisions </w:t>
      </w:r>
      <w:r w:rsidRPr="00AC3EA6">
        <w:lastRenderedPageBreak/>
        <w:t>within its socio-economic environment. Financially capable households are expected to leverage knowledge, resources, and supportive networks to manage credit effectively.</w:t>
      </w:r>
    </w:p>
    <w:p w14:paraId="21EB7DB6" w14:textId="6282B10A" w:rsidR="00176B1E" w:rsidRDefault="00AC3EA6" w:rsidP="00AF64D8">
      <w:pPr>
        <w:pStyle w:val="NormalWeb"/>
        <w:jc w:val="both"/>
      </w:pPr>
      <w:r w:rsidRPr="00AC3EA6">
        <w:t xml:space="preserve">Within this theoretical lens, each household is assumed to possess an </w:t>
      </w:r>
      <w:r w:rsidRPr="0099311B">
        <w:rPr>
          <w:rStyle w:val="Strong"/>
          <w:b w:val="0"/>
        </w:rPr>
        <w:t>underlying latent propensity to repay</w:t>
      </w:r>
      <w:r w:rsidRPr="00AC3EA6">
        <w:t xml:space="preserve">, </w:t>
      </w:r>
      <w:proofErr w:type="spellStart"/>
      <w:r w:rsidRPr="008E764B">
        <w:t>R</w:t>
      </w:r>
      <w:r w:rsidRPr="008E764B">
        <w:rPr>
          <w:vertAlign w:val="subscript"/>
        </w:rPr>
        <w:t>it</w:t>
      </w:r>
      <w:proofErr w:type="spellEnd"/>
      <w:r w:rsidRPr="004D263F">
        <w:rPr>
          <w:rFonts w:ascii="Cambria Math" w:hAnsi="Cambria Math" w:cs="Cambria Math"/>
          <w:vertAlign w:val="superscript"/>
        </w:rPr>
        <w:t>∗</w:t>
      </w:r>
      <w:r w:rsidR="00B6427E" w:rsidRPr="004D263F">
        <w:t xml:space="preserve">​, </w:t>
      </w:r>
      <w:r w:rsidR="00B6427E" w:rsidRPr="00AC3EA6">
        <w:t>shaped</w:t>
      </w:r>
      <w:r w:rsidRPr="00AC3EA6">
        <w:t xml:space="preserve"> by three key determinants: the way the loan is utilized, the strength of its social networks, and its socio-economic characteristics. This relationship is formally expressed as:</w:t>
      </w:r>
      <w:r w:rsidR="00176B1E">
        <w:t xml:space="preserve"> </w:t>
      </w:r>
      <w:r w:rsidR="009D0E1E" w:rsidRPr="00330EF2">
        <w:t>R</w:t>
      </w:r>
      <w:r w:rsidR="009D0E1E" w:rsidRPr="00330EF2">
        <w:rPr>
          <w:vertAlign w:val="subscript"/>
        </w:rPr>
        <w:t>it</w:t>
      </w:r>
      <w:r w:rsidR="009D0E1E" w:rsidRPr="00330EF2">
        <w:rPr>
          <w:rFonts w:ascii="Cambria Math" w:hAnsi="Cambria Math" w:cs="Cambria Math"/>
        </w:rPr>
        <w:t>∗</w:t>
      </w:r>
      <w:r w:rsidR="009D0E1E" w:rsidRPr="004D2D6A">
        <w:t>=β</w:t>
      </w:r>
      <w:r w:rsidR="009D0E1E" w:rsidRPr="004D2D6A">
        <w:rPr>
          <w:vertAlign w:val="subscript"/>
        </w:rPr>
        <w:t>0</w:t>
      </w:r>
      <w:r w:rsidR="009D0E1E" w:rsidRPr="005A1BB9">
        <w:t>+β</w:t>
      </w:r>
      <w:r w:rsidR="009D0E1E" w:rsidRPr="005A1BB9">
        <w:rPr>
          <w:vertAlign w:val="subscript"/>
        </w:rPr>
        <w:t>1</w:t>
      </w:r>
      <w:r w:rsidR="009D0E1E" w:rsidRPr="001228EF">
        <w:t>LoanUtilization</w:t>
      </w:r>
      <w:r w:rsidR="009D0E1E" w:rsidRPr="00101509">
        <w:rPr>
          <w:vertAlign w:val="subscript"/>
        </w:rPr>
        <w:t>it</w:t>
      </w:r>
      <w:r w:rsidR="009D0E1E" w:rsidRPr="00101509">
        <w:t>+β</w:t>
      </w:r>
      <w:r w:rsidR="009D0E1E" w:rsidRPr="00480AEC">
        <w:rPr>
          <w:vertAlign w:val="subscript"/>
        </w:rPr>
        <w:t>2</w:t>
      </w:r>
      <w:r w:rsidR="009D0E1E" w:rsidRPr="00480AEC">
        <w:t>SocialNetwork</w:t>
      </w:r>
      <w:r w:rsidR="009D0E1E" w:rsidRPr="00480AEC">
        <w:rPr>
          <w:vertAlign w:val="subscript"/>
        </w:rPr>
        <w:t>it</w:t>
      </w:r>
      <w:r w:rsidR="009D0E1E" w:rsidRPr="00480AEC">
        <w:t>+β</w:t>
      </w:r>
      <w:r w:rsidR="009D0E1E" w:rsidRPr="00480AEC">
        <w:rPr>
          <w:vertAlign w:val="subscript"/>
        </w:rPr>
        <w:t>3</w:t>
      </w:r>
      <w:r w:rsidR="009D0E1E" w:rsidRPr="0051401B">
        <w:t>HouseholdChar</w:t>
      </w:r>
      <w:r w:rsidR="009D0E1E" w:rsidRPr="007A173E">
        <w:rPr>
          <w:vertAlign w:val="subscript"/>
        </w:rPr>
        <w:t>it</w:t>
      </w:r>
      <w:r w:rsidR="009D0E1E" w:rsidRPr="007A173E">
        <w:t>+μ</w:t>
      </w:r>
      <w:r w:rsidR="009D0E1E" w:rsidRPr="007A173E">
        <w:rPr>
          <w:vertAlign w:val="subscript"/>
        </w:rPr>
        <w:t>i</w:t>
      </w:r>
      <w:r w:rsidR="009D0E1E" w:rsidRPr="007A173E">
        <w:t>+ε</w:t>
      </w:r>
      <w:r w:rsidR="009D0E1E" w:rsidRPr="007A173E">
        <w:rPr>
          <w:vertAlign w:val="subscript"/>
        </w:rPr>
        <w:t>it……</w:t>
      </w:r>
      <w:proofErr w:type="gramStart"/>
      <w:r w:rsidR="009D0E1E" w:rsidRPr="007A173E">
        <w:rPr>
          <w:vertAlign w:val="subscript"/>
        </w:rPr>
        <w:t>…..</w:t>
      </w:r>
      <w:proofErr w:type="gramEnd"/>
      <w:r w:rsidR="009D0E1E" w:rsidRPr="007A173E">
        <w:t>Eq 1</w:t>
      </w:r>
    </w:p>
    <w:p w14:paraId="4999A670" w14:textId="5C29EDCA" w:rsidR="00176B1E" w:rsidRDefault="00AC3EA6" w:rsidP="00AF64D8">
      <w:pPr>
        <w:pStyle w:val="NormalWeb"/>
        <w:jc w:val="both"/>
      </w:pPr>
      <w:r w:rsidRPr="0099311B">
        <w:t xml:space="preserve">Here, </w:t>
      </w:r>
      <w:proofErr w:type="spellStart"/>
      <w:r w:rsidRPr="00DD08BB">
        <w:t>μ</w:t>
      </w:r>
      <w:r w:rsidRPr="00DD08BB">
        <w:rPr>
          <w:vertAlign w:val="subscript"/>
        </w:rPr>
        <w:t>i</w:t>
      </w:r>
      <w:proofErr w:type="spellEnd"/>
      <w:r w:rsidRPr="0099311B">
        <w:rPr>
          <w:rStyle w:val="vlist-s"/>
        </w:rPr>
        <w:t>​</w:t>
      </w:r>
      <w:r w:rsidRPr="0099311B">
        <w:t xml:space="preserve"> captures unobserved, time-invariant household traits (such as attitudes toward debt and long-term financial discipline), while </w:t>
      </w:r>
      <w:proofErr w:type="spellStart"/>
      <w:r w:rsidRPr="0099311B">
        <w:rPr>
          <w:rStyle w:val="katex-mathml"/>
        </w:rPr>
        <w:t>ε</w:t>
      </w:r>
      <w:r w:rsidRPr="0099311B">
        <w:rPr>
          <w:rStyle w:val="katex-mathml"/>
          <w:vertAlign w:val="subscript"/>
        </w:rPr>
        <w:t>it</w:t>
      </w:r>
      <w:proofErr w:type="spellEnd"/>
      <w:r w:rsidRPr="0099311B">
        <w:t xml:space="preserve"> represents idiosyncratic shocks. Because the observed repayment variable </w:t>
      </w:r>
      <w:proofErr w:type="spellStart"/>
      <w:r w:rsidR="00DD08BB" w:rsidRPr="00DD08BB">
        <w:t>R</w:t>
      </w:r>
      <w:r w:rsidR="00DD08BB" w:rsidRPr="00DD08BB">
        <w:rPr>
          <w:vertAlign w:val="subscript"/>
        </w:rPr>
        <w:t>it</w:t>
      </w:r>
      <w:proofErr w:type="spellEnd"/>
      <w:r w:rsidR="00DD08BB" w:rsidRPr="00DD08BB">
        <w:t xml:space="preserve"> is</w:t>
      </w:r>
      <w:r w:rsidRPr="0099311B">
        <w:t xml:space="preserve"> binary, we observe </w:t>
      </w:r>
      <w:proofErr w:type="spellStart"/>
      <w:r w:rsidR="00C87881" w:rsidRPr="00DD08BB">
        <w:t>R</w:t>
      </w:r>
      <w:r w:rsidR="00C87881" w:rsidRPr="00DD08BB">
        <w:rPr>
          <w:vertAlign w:val="subscript"/>
        </w:rPr>
        <w:t>it</w:t>
      </w:r>
      <w:proofErr w:type="spellEnd"/>
      <w:r w:rsidR="00C87881" w:rsidRPr="00DD08BB">
        <w:t xml:space="preserve"> </w:t>
      </w:r>
      <w:r w:rsidRPr="0099311B">
        <w:rPr>
          <w:rStyle w:val="katex-mathml"/>
        </w:rPr>
        <w:t>=1</w:t>
      </w:r>
      <w:r w:rsidRPr="0099311B">
        <w:t xml:space="preserve"> when </w:t>
      </w:r>
      <w:proofErr w:type="spellStart"/>
      <w:r w:rsidR="00DD08BB" w:rsidRPr="00DD08BB">
        <w:t>R</w:t>
      </w:r>
      <w:r w:rsidR="00DD08BB" w:rsidRPr="00DD08BB">
        <w:rPr>
          <w:vertAlign w:val="subscript"/>
        </w:rPr>
        <w:t>it</w:t>
      </w:r>
      <w:proofErr w:type="spellEnd"/>
      <w:r w:rsidR="00DD08BB" w:rsidRPr="00DD08BB">
        <w:rPr>
          <w:rFonts w:ascii="Cambria Math" w:hAnsi="Cambria Math" w:cs="Cambria Math"/>
        </w:rPr>
        <w:t>∗</w:t>
      </w:r>
      <w:r w:rsidR="00DD08BB" w:rsidRPr="00DD08BB">
        <w:t>&gt;0</w:t>
      </w:r>
      <w:r w:rsidRPr="0099311B">
        <w:t xml:space="preserve">. This leads to a </w:t>
      </w:r>
      <w:proofErr w:type="spellStart"/>
      <w:r w:rsidRPr="0099311B">
        <w:t>probit</w:t>
      </w:r>
      <w:proofErr w:type="spellEnd"/>
      <w:r w:rsidRPr="0099311B">
        <w:t xml:space="preserve"> formulation in which the probability of repayment is</w:t>
      </w:r>
      <w:r w:rsidR="00D8139D">
        <w:t xml:space="preserve"> given </w:t>
      </w:r>
      <w:r w:rsidR="00306E39">
        <w:t>by:</w:t>
      </w:r>
      <w:r w:rsidR="00176B1E">
        <w:t xml:space="preserve"> </w:t>
      </w:r>
    </w:p>
    <w:p w14:paraId="421E7D12" w14:textId="77777777" w:rsidR="00176B1E" w:rsidRDefault="00B77A5C" w:rsidP="00AF64D8">
      <w:pPr>
        <w:pStyle w:val="NormalWeb"/>
      </w:pPr>
      <w:proofErr w:type="spellStart"/>
      <w:proofErr w:type="gramStart"/>
      <w:r w:rsidRPr="00C14787">
        <w:t>Pr</w:t>
      </w:r>
      <w:proofErr w:type="spellEnd"/>
      <w:r w:rsidRPr="00C14787">
        <w:t>(</w:t>
      </w:r>
      <w:proofErr w:type="spellStart"/>
      <w:proofErr w:type="gramEnd"/>
      <w:r w:rsidRPr="0099311B">
        <w:t>R</w:t>
      </w:r>
      <w:r w:rsidRPr="0099311B">
        <w:rPr>
          <w:vertAlign w:val="subscript"/>
        </w:rPr>
        <w:t>it</w:t>
      </w:r>
      <w:proofErr w:type="spellEnd"/>
      <w:r w:rsidRPr="0099311B">
        <w:t>=1</w:t>
      </w:r>
      <w:r w:rsidRPr="0099311B">
        <w:rPr>
          <w:rFonts w:ascii="Cambria Math" w:hAnsi="Cambria Math" w:cs="Cambria Math"/>
        </w:rPr>
        <w:t>∣</w:t>
      </w:r>
      <w:r w:rsidR="00DD5AE8" w:rsidRPr="0099311B">
        <w:t>X</w:t>
      </w:r>
      <w:r w:rsidR="00DD5AE8" w:rsidRPr="0099311B">
        <w:rPr>
          <w:vertAlign w:val="subscript"/>
        </w:rPr>
        <w:t>it</w:t>
      </w:r>
      <w:r w:rsidR="00DD5AE8" w:rsidRPr="00DD08BB">
        <w:t>) =</w:t>
      </w:r>
      <w:r w:rsidRPr="00C14787">
        <w:t xml:space="preserve"> </w:t>
      </w:r>
      <w:r w:rsidRPr="0099311B">
        <w:t>Φ</w:t>
      </w:r>
      <w:r w:rsidRPr="00DD08BB">
        <w:t>(β</w:t>
      </w:r>
      <w:r w:rsidRPr="00C14787">
        <w:rPr>
          <w:vertAlign w:val="subscript"/>
        </w:rPr>
        <w:t>0</w:t>
      </w:r>
      <w:r w:rsidRPr="00C14787">
        <w:t>+β</w:t>
      </w:r>
      <w:r w:rsidRPr="00C14787">
        <w:rPr>
          <w:vertAlign w:val="subscript"/>
        </w:rPr>
        <w:t>1</w:t>
      </w:r>
      <w:r w:rsidRPr="00C14787">
        <w:t>LoanUtilization</w:t>
      </w:r>
      <w:r w:rsidRPr="00C14787">
        <w:rPr>
          <w:vertAlign w:val="subscript"/>
        </w:rPr>
        <w:t>it</w:t>
      </w:r>
      <w:r w:rsidRPr="00C14787">
        <w:t>+β</w:t>
      </w:r>
      <w:r w:rsidRPr="00C14787">
        <w:rPr>
          <w:vertAlign w:val="subscript"/>
        </w:rPr>
        <w:t>2</w:t>
      </w:r>
      <w:r w:rsidRPr="00C14787">
        <w:t>SocialNetwork</w:t>
      </w:r>
      <w:r w:rsidRPr="00C14787">
        <w:rPr>
          <w:vertAlign w:val="subscript"/>
        </w:rPr>
        <w:t>it</w:t>
      </w:r>
      <w:r w:rsidRPr="00C14787">
        <w:t>+β</w:t>
      </w:r>
      <w:r w:rsidRPr="00C14787">
        <w:rPr>
          <w:vertAlign w:val="subscript"/>
        </w:rPr>
        <w:t>3</w:t>
      </w:r>
      <w:r w:rsidRPr="00C14787">
        <w:t>HouseholdChar</w:t>
      </w:r>
      <w:r w:rsidRPr="00C14787">
        <w:rPr>
          <w:vertAlign w:val="subscript"/>
        </w:rPr>
        <w:t>it</w:t>
      </w:r>
      <w:r w:rsidRPr="00C14787">
        <w:t>+μ</w:t>
      </w:r>
      <w:r w:rsidR="00B6427E" w:rsidRPr="00C14787">
        <w:rPr>
          <w:vertAlign w:val="subscript"/>
        </w:rPr>
        <w:t>i</w:t>
      </w:r>
      <w:r w:rsidR="00B6427E" w:rsidRPr="00C14787">
        <w:t>)</w:t>
      </w:r>
      <w:r w:rsidR="00B6427E" w:rsidRPr="00C14787">
        <w:rPr>
          <w:vertAlign w:val="subscript"/>
        </w:rPr>
        <w:t xml:space="preserve"> …</w:t>
      </w:r>
      <w:r w:rsidRPr="00C14787">
        <w:rPr>
          <w:vertAlign w:val="subscript"/>
        </w:rPr>
        <w:t>……</w:t>
      </w:r>
      <w:r w:rsidRPr="00C14787">
        <w:t>Eq 2</w:t>
      </w:r>
    </w:p>
    <w:p w14:paraId="4D093A9C" w14:textId="75A7182F" w:rsidR="00DD08BB" w:rsidRPr="0099311B" w:rsidRDefault="00176B1E" w:rsidP="00AF64D8">
      <w:pPr>
        <w:pStyle w:val="NormalWeb"/>
      </w:pPr>
      <w:r w:rsidRPr="00176B1E">
        <w:t>While Eq 1 conceptualizes the theoretical process generating repayment behavior, Eq2 provides the statistical model used to estimate the probability of repayment with observable data.</w:t>
      </w:r>
      <w:r w:rsidRPr="00AF64D8">
        <w:t xml:space="preserve"> Eq 2 is therefore the </w:t>
      </w:r>
      <w:proofErr w:type="spellStart"/>
      <w:r w:rsidRPr="00AF64D8">
        <w:rPr>
          <w:bCs/>
        </w:rPr>
        <w:t>probit</w:t>
      </w:r>
      <w:proofErr w:type="spellEnd"/>
      <w:r w:rsidRPr="00AF64D8">
        <w:rPr>
          <w:bCs/>
        </w:rPr>
        <w:t xml:space="preserve"> representation</w:t>
      </w:r>
      <w:r w:rsidRPr="00176B1E">
        <w:t xml:space="preserve"> of the latent-variable model in Eq 1</w:t>
      </w:r>
    </w:p>
    <w:p w14:paraId="744E11A3" w14:textId="2657C8E6" w:rsidR="005569E1" w:rsidRDefault="00DD08BB" w:rsidP="00AF64D8">
      <w:pPr>
        <w:spacing w:after="0" w:line="240" w:lineRule="auto"/>
        <w:jc w:val="both"/>
        <w:rPr>
          <w:rFonts w:ascii="Times New Roman" w:hAnsi="Times New Roman" w:cs="Times New Roman"/>
          <w:sz w:val="24"/>
          <w:szCs w:val="24"/>
        </w:rPr>
      </w:pPr>
      <w:r w:rsidRPr="0099311B">
        <w:rPr>
          <w:rFonts w:ascii="Times New Roman" w:hAnsi="Times New Roman" w:cs="Times New Roman"/>
          <w:sz w:val="24"/>
          <w:szCs w:val="24"/>
        </w:rPr>
        <w:t xml:space="preserve">This specification aligns closely with Financial Capability Theory: </w:t>
      </w:r>
      <w:r w:rsidRPr="0099311B">
        <w:rPr>
          <w:rStyle w:val="Strong"/>
          <w:rFonts w:ascii="Times New Roman" w:hAnsi="Times New Roman" w:cs="Times New Roman"/>
          <w:b w:val="0"/>
          <w:sz w:val="24"/>
          <w:szCs w:val="24"/>
        </w:rPr>
        <w:t>productive loan utilization</w:t>
      </w:r>
      <w:r w:rsidRPr="0099311B">
        <w:rPr>
          <w:rFonts w:ascii="Times New Roman" w:hAnsi="Times New Roman" w:cs="Times New Roman"/>
          <w:sz w:val="24"/>
          <w:szCs w:val="24"/>
        </w:rPr>
        <w:t xml:space="preserve"> enhances repayment capacity by reflecting financial agency and disciplined resource allocation; </w:t>
      </w:r>
      <w:r w:rsidRPr="0099311B">
        <w:rPr>
          <w:rStyle w:val="Strong"/>
          <w:rFonts w:ascii="Times New Roman" w:hAnsi="Times New Roman" w:cs="Times New Roman"/>
          <w:b w:val="0"/>
          <w:sz w:val="24"/>
          <w:szCs w:val="24"/>
        </w:rPr>
        <w:t>social networks</w:t>
      </w:r>
      <w:r w:rsidRPr="0099311B">
        <w:rPr>
          <w:rFonts w:ascii="Times New Roman" w:hAnsi="Times New Roman" w:cs="Times New Roman"/>
          <w:sz w:val="24"/>
          <w:szCs w:val="24"/>
        </w:rPr>
        <w:t xml:space="preserve"> influence repayment through information-sharing, monitoring, and informal support; and </w:t>
      </w:r>
      <w:r w:rsidRPr="0099311B">
        <w:rPr>
          <w:rStyle w:val="Strong"/>
          <w:rFonts w:ascii="Times New Roman" w:hAnsi="Times New Roman" w:cs="Times New Roman"/>
          <w:b w:val="0"/>
          <w:sz w:val="24"/>
          <w:szCs w:val="24"/>
        </w:rPr>
        <w:t>household characteristics</w:t>
      </w:r>
      <w:r w:rsidRPr="0099311B">
        <w:rPr>
          <w:rFonts w:ascii="Times New Roman" w:hAnsi="Times New Roman" w:cs="Times New Roman"/>
          <w:sz w:val="24"/>
          <w:szCs w:val="24"/>
        </w:rPr>
        <w:t xml:space="preserve"> capture the structural advantages and constraints shaping repayment ability. By combining observed variables with unobserved heterogeneity, the model provides a theoretically grounded and empirically robust framework for </w:t>
      </w:r>
      <w:r w:rsidR="00B6427E" w:rsidRPr="00B6427E">
        <w:rPr>
          <w:rFonts w:ascii="Times New Roman" w:hAnsi="Times New Roman" w:cs="Times New Roman"/>
          <w:sz w:val="24"/>
          <w:szCs w:val="24"/>
        </w:rPr>
        <w:t>analyzing</w:t>
      </w:r>
      <w:r w:rsidRPr="0099311B">
        <w:rPr>
          <w:rFonts w:ascii="Times New Roman" w:hAnsi="Times New Roman" w:cs="Times New Roman"/>
          <w:sz w:val="24"/>
          <w:szCs w:val="24"/>
        </w:rPr>
        <w:t xml:space="preserve"> how financial capability factors jointly determine loan repayment outcomes.</w:t>
      </w:r>
    </w:p>
    <w:p w14:paraId="07CDB0F6" w14:textId="7FA20A88" w:rsidR="00C14787" w:rsidRDefault="00C14787" w:rsidP="00AF64D8">
      <w:pPr>
        <w:spacing w:line="240" w:lineRule="auto"/>
        <w:jc w:val="both"/>
        <w:rPr>
          <w:rFonts w:ascii="Times New Roman" w:hAnsi="Times New Roman" w:cs="Times New Roman"/>
          <w:sz w:val="24"/>
          <w:szCs w:val="24"/>
        </w:rPr>
      </w:pPr>
      <w:r w:rsidRPr="0099311B">
        <w:rPr>
          <w:rFonts w:ascii="Times New Roman" w:hAnsi="Times New Roman" w:cs="Times New Roman"/>
          <w:sz w:val="24"/>
          <w:szCs w:val="24"/>
        </w:rPr>
        <w:t>Before estimating the main model, a specification check was conducted to ensure that the predicted probabilities of debt repayment were reliable. The Linearized Hat-Square Test evaluates whether the model’s predicted values systematically deviate from actual outcomes. Two key diagnostics guide this assessment. First, the hat-term coefficient (1.081) has a confidence interval that includes zero (–0.269 to 0.170), indicating that it is not statistically different from zero and providing no evidence of model misspecification or systematic prediction errors. Second, the constant term (0.028) is very small and statistically insignificant, showing that the model does not display any average bias—it neither consistently overestimates nor underestimates repayment probabilities. Taken together, these results indicate that the model is appropriately specified and that its predicted probabilities are sufficiently accurate for the subsequent analysis.</w:t>
      </w:r>
    </w:p>
    <w:p w14:paraId="72079432" w14:textId="77CE725A" w:rsidR="00552E5B" w:rsidRDefault="002D08D5" w:rsidP="00CB0131">
      <w:pPr>
        <w:pStyle w:val="Heading2"/>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552E5B" w:rsidRPr="00CB0131">
        <w:rPr>
          <w:rFonts w:ascii="Times New Roman" w:eastAsia="Times New Roman" w:hAnsi="Times New Roman" w:cs="Times New Roman"/>
          <w:sz w:val="24"/>
          <w:szCs w:val="24"/>
        </w:rPr>
        <w:t>Justification for</w:t>
      </w:r>
      <w:r w:rsidRPr="00CB0131">
        <w:rPr>
          <w:rFonts w:ascii="Times New Roman" w:eastAsia="Times New Roman" w:hAnsi="Times New Roman" w:cs="Times New Roman"/>
          <w:sz w:val="24"/>
          <w:szCs w:val="24"/>
        </w:rPr>
        <w:t xml:space="preserve"> choosing a static over dynamic model specification.</w:t>
      </w:r>
    </w:p>
    <w:p w14:paraId="06CE750A" w14:textId="77777777" w:rsidR="002D08D5" w:rsidRPr="00CB0131" w:rsidRDefault="002D08D5" w:rsidP="00410DEC">
      <w:pPr>
        <w:spacing w:line="240" w:lineRule="auto"/>
        <w:jc w:val="both"/>
        <w:rPr>
          <w:rFonts w:ascii="Times New Roman" w:hAnsi="Times New Roman" w:cs="Times New Roman"/>
          <w:sz w:val="24"/>
          <w:szCs w:val="24"/>
        </w:rPr>
      </w:pPr>
      <w:r w:rsidRPr="00CB0131">
        <w:rPr>
          <w:rFonts w:ascii="Times New Roman" w:hAnsi="Times New Roman" w:cs="Times New Roman"/>
          <w:sz w:val="24"/>
          <w:szCs w:val="24"/>
        </w:rPr>
        <w:t xml:space="preserve">A static model specification was deemed appropriate because the study focused on contemporaneous relationships between loan utilization, household characteristics, and repayment performance, rather than on persistence or path-dependence in default behavior consistent with guidance </w:t>
      </w:r>
      <w:r w:rsidRPr="00CB0131">
        <w:rPr>
          <w:rFonts w:ascii="Times New Roman" w:hAnsi="Times New Roman" w:cs="Times New Roman"/>
          <w:sz w:val="24"/>
          <w:szCs w:val="24"/>
        </w:rPr>
        <w:fldChar w:fldCharType="begin" w:fldLock="1"/>
      </w:r>
      <w:r w:rsidR="00BB5446" w:rsidRPr="00CB0131">
        <w:rPr>
          <w:rFonts w:ascii="Times New Roman" w:hAnsi="Times New Roman" w:cs="Times New Roman"/>
          <w:sz w:val="24"/>
          <w:szCs w:val="24"/>
        </w:rPr>
        <w:instrText>ADDIN CSL_CITATION {"citationItems":[{"id":"ITEM-1","itemData":{"author":[{"dropping-particle":"","family":"Baltagi","given":"Badi H","non-dropping-particle":"","parse-names":false,"suffix":""}],"container-title":"Rohn Wiley","id":"ITEM-1","issued":{"date-parts":[["2008"]]},"title":"Econometric analysis of panel data","type":"article-journal"},"uris":["http://www.mendeley.com/documents/?uuid=7244768c-4aea-4719-b08e-25f63c17cffc"]}],"mendeley":{"formattedCitation":"(Baltagi, 2008)","plainTextFormattedCitation":"(Baltagi, 2008)","previouslyFormattedCitation":"(Baltagi, 2008)"},"properties":{"noteIndex":0},"schema":"https://github.com/citation-style-language/schema/raw/master/csl-citation.json"}</w:instrText>
      </w:r>
      <w:r w:rsidRPr="00CB0131">
        <w:rPr>
          <w:rFonts w:ascii="Times New Roman" w:hAnsi="Times New Roman" w:cs="Times New Roman"/>
          <w:sz w:val="24"/>
          <w:szCs w:val="24"/>
        </w:rPr>
        <w:fldChar w:fldCharType="separate"/>
      </w:r>
      <w:r w:rsidRPr="00CB0131">
        <w:rPr>
          <w:rFonts w:ascii="Times New Roman" w:hAnsi="Times New Roman" w:cs="Times New Roman"/>
          <w:noProof/>
          <w:sz w:val="24"/>
          <w:szCs w:val="24"/>
        </w:rPr>
        <w:t>(Baltagi, 2008)</w:t>
      </w:r>
      <w:r w:rsidRPr="00CB0131">
        <w:rPr>
          <w:rFonts w:ascii="Times New Roman" w:hAnsi="Times New Roman" w:cs="Times New Roman"/>
          <w:sz w:val="24"/>
          <w:szCs w:val="24"/>
        </w:rPr>
        <w:fldChar w:fldCharType="end"/>
      </w:r>
      <w:r w:rsidRPr="00CB0131">
        <w:rPr>
          <w:rFonts w:ascii="Times New Roman" w:hAnsi="Times New Roman" w:cs="Times New Roman"/>
          <w:sz w:val="24"/>
          <w:szCs w:val="24"/>
        </w:rPr>
        <w:t>.</w:t>
      </w:r>
      <w:r w:rsidR="00F94723" w:rsidRPr="00CB0131">
        <w:rPr>
          <w:rFonts w:ascii="Times New Roman" w:hAnsi="Times New Roman" w:cs="Times New Roman"/>
          <w:sz w:val="24"/>
          <w:szCs w:val="24"/>
        </w:rPr>
        <w:t xml:space="preserve"> Secondly, the two-wave panel is </w:t>
      </w:r>
      <w:r w:rsidRPr="00CB0131">
        <w:rPr>
          <w:rFonts w:ascii="Times New Roman" w:hAnsi="Times New Roman" w:cs="Times New Roman"/>
          <w:sz w:val="24"/>
          <w:szCs w:val="24"/>
        </w:rPr>
        <w:t xml:space="preserve"> relatively short, limiting the reliability of dynamic estimators that</w:t>
      </w:r>
      <w:r w:rsidR="00F94723" w:rsidRPr="00CB0131">
        <w:rPr>
          <w:rFonts w:ascii="Times New Roman" w:hAnsi="Times New Roman" w:cs="Times New Roman"/>
          <w:sz w:val="24"/>
          <w:szCs w:val="24"/>
        </w:rPr>
        <w:t xml:space="preserve"> may </w:t>
      </w:r>
      <w:r w:rsidR="00BB5446" w:rsidRPr="00CB0131">
        <w:rPr>
          <w:rFonts w:ascii="Times New Roman" w:hAnsi="Times New Roman" w:cs="Times New Roman"/>
          <w:sz w:val="24"/>
          <w:szCs w:val="24"/>
        </w:rPr>
        <w:t xml:space="preserve"> require longer panels as observed by </w:t>
      </w:r>
      <w:r w:rsidR="00BB5446" w:rsidRPr="00CB0131">
        <w:rPr>
          <w:rFonts w:ascii="Times New Roman" w:hAnsi="Times New Roman" w:cs="Times New Roman"/>
          <w:sz w:val="24"/>
          <w:szCs w:val="24"/>
        </w:rPr>
        <w:fldChar w:fldCharType="begin" w:fldLock="1"/>
      </w:r>
      <w:r w:rsidR="00FC2D24" w:rsidRPr="00CB0131">
        <w:rPr>
          <w:rFonts w:ascii="Times New Roman" w:hAnsi="Times New Roman" w:cs="Times New Roman"/>
          <w:sz w:val="24"/>
          <w:szCs w:val="24"/>
        </w:rPr>
        <w:instrText>ADDIN CSL_CITATION {"citationItems":[{"id":"ITEM-1","itemData":{"ISBN":"0262296799","author":[{"dropping-particle":"","family":"Wooldridge","given":"Jeffrey M","non-dropping-particle":"","parse-names":false,"suffix":""}],"id":"ITEM-1","issued":{"date-parts":[["2010"]]},"publisher":"MIT press","title":"Econometric analysis of cross section and panel data","type":"book"},"uris":["http://www.mendeley.com/documents/?uuid=a4d869b9-2fd0-47f3-b3e1-55090466cd38"]}],"mendeley":{"formattedCitation":"(Wooldridge, 2010)","plainTextFormattedCitation":"(Wooldridge, 2010)","previouslyFormattedCitation":"(Wooldridge, 2010)"},"properties":{"noteIndex":0},"schema":"https://github.com/citation-style-language/schema/raw/master/csl-citation.json"}</w:instrText>
      </w:r>
      <w:r w:rsidR="00BB5446" w:rsidRPr="00CB0131">
        <w:rPr>
          <w:rFonts w:ascii="Times New Roman" w:hAnsi="Times New Roman" w:cs="Times New Roman"/>
          <w:sz w:val="24"/>
          <w:szCs w:val="24"/>
        </w:rPr>
        <w:fldChar w:fldCharType="separate"/>
      </w:r>
      <w:r w:rsidR="00BB5446" w:rsidRPr="00CB0131">
        <w:rPr>
          <w:rFonts w:ascii="Times New Roman" w:hAnsi="Times New Roman" w:cs="Times New Roman"/>
          <w:noProof/>
          <w:sz w:val="24"/>
          <w:szCs w:val="24"/>
        </w:rPr>
        <w:t>(Wooldridge, 2010)</w:t>
      </w:r>
      <w:r w:rsidR="00BB5446" w:rsidRPr="00CB0131">
        <w:rPr>
          <w:rFonts w:ascii="Times New Roman" w:hAnsi="Times New Roman" w:cs="Times New Roman"/>
          <w:sz w:val="24"/>
          <w:szCs w:val="24"/>
        </w:rPr>
        <w:fldChar w:fldCharType="end"/>
      </w:r>
      <w:r w:rsidRPr="00CB0131">
        <w:rPr>
          <w:rFonts w:ascii="Times New Roman" w:hAnsi="Times New Roman" w:cs="Times New Roman"/>
          <w:sz w:val="24"/>
          <w:szCs w:val="24"/>
        </w:rPr>
        <w:t xml:space="preserve">. </w:t>
      </w:r>
      <w:r w:rsidR="00BB5446" w:rsidRPr="00CB0131">
        <w:rPr>
          <w:rFonts w:ascii="Times New Roman" w:hAnsi="Times New Roman" w:cs="Times New Roman"/>
          <w:sz w:val="24"/>
          <w:szCs w:val="24"/>
        </w:rPr>
        <w:t xml:space="preserve">Besides, </w:t>
      </w:r>
      <w:r w:rsidRPr="00CB0131">
        <w:rPr>
          <w:rFonts w:ascii="Times New Roman" w:hAnsi="Times New Roman" w:cs="Times New Roman"/>
          <w:sz w:val="24"/>
          <w:szCs w:val="24"/>
        </w:rPr>
        <w:t xml:space="preserve">dynamic </w:t>
      </w:r>
      <w:proofErr w:type="spellStart"/>
      <w:r w:rsidRPr="00CB0131">
        <w:rPr>
          <w:rFonts w:ascii="Times New Roman" w:hAnsi="Times New Roman" w:cs="Times New Roman"/>
          <w:sz w:val="24"/>
          <w:szCs w:val="24"/>
        </w:rPr>
        <w:t>probit</w:t>
      </w:r>
      <w:proofErr w:type="spellEnd"/>
      <w:r w:rsidRPr="00CB0131">
        <w:rPr>
          <w:rFonts w:ascii="Times New Roman" w:hAnsi="Times New Roman" w:cs="Times New Roman"/>
          <w:sz w:val="24"/>
          <w:szCs w:val="24"/>
        </w:rPr>
        <w:t xml:space="preserve"> models introduce additional complexity and potential bias</w:t>
      </w:r>
      <w:r w:rsidR="00BB5446" w:rsidRPr="00CB0131">
        <w:rPr>
          <w:rFonts w:ascii="Times New Roman" w:hAnsi="Times New Roman" w:cs="Times New Roman"/>
          <w:sz w:val="24"/>
          <w:szCs w:val="24"/>
        </w:rPr>
        <w:t xml:space="preserve"> as </w:t>
      </w:r>
      <w:r w:rsidR="00FC2D24" w:rsidRPr="00CB0131">
        <w:rPr>
          <w:rFonts w:ascii="Times New Roman" w:hAnsi="Times New Roman" w:cs="Times New Roman"/>
          <w:sz w:val="24"/>
          <w:szCs w:val="24"/>
        </w:rPr>
        <w:t>identified</w:t>
      </w:r>
      <w:r w:rsidR="00BB5446" w:rsidRPr="00CB0131">
        <w:rPr>
          <w:rFonts w:ascii="Times New Roman" w:hAnsi="Times New Roman" w:cs="Times New Roman"/>
          <w:sz w:val="24"/>
          <w:szCs w:val="24"/>
        </w:rPr>
        <w:t xml:space="preserve"> by </w:t>
      </w:r>
      <w:r w:rsidR="00FC2D24" w:rsidRPr="00CB0131">
        <w:rPr>
          <w:rFonts w:ascii="Times New Roman" w:hAnsi="Times New Roman" w:cs="Times New Roman"/>
          <w:sz w:val="24"/>
          <w:szCs w:val="24"/>
        </w:rPr>
        <w:fldChar w:fldCharType="begin" w:fldLock="1"/>
      </w:r>
      <w:r w:rsidR="00FC2D24" w:rsidRPr="00CB0131">
        <w:rPr>
          <w:rFonts w:ascii="Times New Roman" w:hAnsi="Times New Roman" w:cs="Times New Roman"/>
          <w:sz w:val="24"/>
          <w:szCs w:val="24"/>
        </w:rPr>
        <w:instrText>ADDIN CSL_CITATION {"citationItems":[{"id":"ITEM-1","itemData":{"author":[{"dropping-particle":"","family":"Heckman","given":"James J","non-dropping-particle":"","parse-names":false,"suffix":""}],"container-title":"Structural analysis of discrete data with econometric applications","id":"ITEM-1","issued":{"date-parts":[["1981"]]},"page":"178","title":"Statistical models for discrete panel data","type":"article-journal","volume":"114"},"uris":["http://www.mendeley.com/documents/?uuid=a733792f-a1cd-45fe-a651-84baf7121818"]},{"id":"ITEM-2","itemData":{"ISBN":"1597180408","author":[{"dropping-particle":"","family":"Rabe-Hesketh","given":"Sophia","non-dropping-particle":"","parse-names":false,"suffix":""},{"dropping-particle":"","family":"Skrondal","given":"Anders","non-dropping-particle":"","parse-names":false,"suffix":""}],"id":"ITEM-2","issued":{"date-parts":[["2008"]]},"publisher":"STATA press","title":"Multilevel and longitudinal modeling using Stata","type":"book"},"uris":["http://www.mendeley.com/documents/?uuid=4251f993-e8fb-4392-8201-fed3e30a7729"]}],"mendeley":{"formattedCitation":"(Heckman, 1981; Rabe-Hesketh &amp; Skrondal, 2008)","plainTextFormattedCitation":"(Heckman, 1981; Rabe-Hesketh &amp; Skrondal, 2008)","previouslyFormattedCitation":"(Heckman, 1981; Rabe-Hesketh &amp; Skrondal, 2008)"},"properties":{"noteIndex":0},"schema":"https://github.com/citation-style-language/schema/raw/master/csl-citation.json"}</w:instrText>
      </w:r>
      <w:r w:rsidR="00FC2D24" w:rsidRPr="00CB0131">
        <w:rPr>
          <w:rFonts w:ascii="Times New Roman" w:hAnsi="Times New Roman" w:cs="Times New Roman"/>
          <w:sz w:val="24"/>
          <w:szCs w:val="24"/>
        </w:rPr>
        <w:fldChar w:fldCharType="separate"/>
      </w:r>
      <w:r w:rsidR="00FC2D24" w:rsidRPr="00CB0131">
        <w:rPr>
          <w:rFonts w:ascii="Times New Roman" w:hAnsi="Times New Roman" w:cs="Times New Roman"/>
          <w:noProof/>
          <w:sz w:val="24"/>
          <w:szCs w:val="24"/>
        </w:rPr>
        <w:t>(Heckman, 1981; Rabe-Hesketh &amp; Skrondal, 2008)</w:t>
      </w:r>
      <w:r w:rsidR="00FC2D24" w:rsidRPr="00CB0131">
        <w:rPr>
          <w:rFonts w:ascii="Times New Roman" w:hAnsi="Times New Roman" w:cs="Times New Roman"/>
          <w:sz w:val="24"/>
          <w:szCs w:val="24"/>
        </w:rPr>
        <w:fldChar w:fldCharType="end"/>
      </w:r>
      <w:r w:rsidR="00FC2D24" w:rsidRPr="00CB0131">
        <w:rPr>
          <w:rFonts w:ascii="Times New Roman" w:hAnsi="Times New Roman" w:cs="Times New Roman"/>
          <w:sz w:val="24"/>
          <w:szCs w:val="24"/>
        </w:rPr>
        <w:t xml:space="preserve">. </w:t>
      </w:r>
      <w:r w:rsidRPr="00CB0131">
        <w:rPr>
          <w:rFonts w:ascii="Times New Roman" w:hAnsi="Times New Roman" w:cs="Times New Roman"/>
          <w:sz w:val="24"/>
          <w:szCs w:val="24"/>
        </w:rPr>
        <w:t xml:space="preserve">A static </w:t>
      </w:r>
      <w:proofErr w:type="spellStart"/>
      <w:r w:rsidRPr="00CB0131">
        <w:rPr>
          <w:rFonts w:ascii="Times New Roman" w:hAnsi="Times New Roman" w:cs="Times New Roman"/>
          <w:sz w:val="24"/>
          <w:szCs w:val="24"/>
        </w:rPr>
        <w:t>probit</w:t>
      </w:r>
      <w:proofErr w:type="spellEnd"/>
      <w:r w:rsidRPr="00CB0131">
        <w:rPr>
          <w:rFonts w:ascii="Times New Roman" w:hAnsi="Times New Roman" w:cs="Times New Roman"/>
          <w:sz w:val="24"/>
          <w:szCs w:val="24"/>
        </w:rPr>
        <w:t xml:space="preserve"> model therefore offers a more parsimonious and robust approach for estimating key determinants of repayment </w:t>
      </w:r>
      <w:r w:rsidR="00FC2D24" w:rsidRPr="00CB0131">
        <w:rPr>
          <w:rFonts w:ascii="Times New Roman" w:hAnsi="Times New Roman" w:cs="Times New Roman"/>
          <w:sz w:val="24"/>
          <w:szCs w:val="24"/>
        </w:rPr>
        <w:fldChar w:fldCharType="begin" w:fldLock="1"/>
      </w:r>
      <w:r w:rsidR="00FC2D24" w:rsidRPr="00CB0131">
        <w:rPr>
          <w:rFonts w:ascii="Times New Roman" w:hAnsi="Times New Roman" w:cs="Times New Roman"/>
          <w:sz w:val="24"/>
          <w:szCs w:val="24"/>
        </w:rPr>
        <w:instrText>ADDIN CSL_CITATION {"citationItems":[{"id":"ITEM-1","itemData":{"ISSN":"0883-7252","author":[{"dropping-particle":"","family":"Cappellari","given":"Lorenzo","non-dropping-particle":"","parse-names":false,"suffix":""},{"dropping-particle":"","family":"Jenkins","given":"Stephen P","non-dropping-particle":"","parse-names":false,"suffix":""}],"container-title":"Journal of applied econometrics","id":"ITEM-1","issue":"5","issued":{"date-parts":[["2004"]]},"page":"593-610","publisher":"Wiley Online Library","title":"Modelling low income transitions","type":"article-journal","volume":"19"},"uris":["http://www.mendeley.com/documents/?uuid=450fb72c-b726-435a-8316-28e41e8a03d1"]}],"mendeley":{"formattedCitation":"(Cappellari &amp; Jenkins, 2004)","plainTextFormattedCitation":"(Cappellari &amp; Jenkins, 2004)"},"properties":{"noteIndex":0},"schema":"https://github.com/citation-style-language/schema/raw/master/csl-citation.json"}</w:instrText>
      </w:r>
      <w:r w:rsidR="00FC2D24" w:rsidRPr="00CB0131">
        <w:rPr>
          <w:rFonts w:ascii="Times New Roman" w:hAnsi="Times New Roman" w:cs="Times New Roman"/>
          <w:sz w:val="24"/>
          <w:szCs w:val="24"/>
        </w:rPr>
        <w:fldChar w:fldCharType="separate"/>
      </w:r>
      <w:r w:rsidR="00FC2D24" w:rsidRPr="00CB0131">
        <w:rPr>
          <w:rFonts w:ascii="Times New Roman" w:hAnsi="Times New Roman" w:cs="Times New Roman"/>
          <w:noProof/>
          <w:sz w:val="24"/>
          <w:szCs w:val="24"/>
        </w:rPr>
        <w:t>(Cappellari &amp; Jenkins, 2004)</w:t>
      </w:r>
      <w:r w:rsidR="00FC2D24" w:rsidRPr="00CB0131">
        <w:rPr>
          <w:rFonts w:ascii="Times New Roman" w:hAnsi="Times New Roman" w:cs="Times New Roman"/>
          <w:sz w:val="24"/>
          <w:szCs w:val="24"/>
        </w:rPr>
        <w:fldChar w:fldCharType="end"/>
      </w:r>
      <w:r w:rsidRPr="00CB0131">
        <w:rPr>
          <w:rFonts w:ascii="Times New Roman" w:hAnsi="Times New Roman" w:cs="Times New Roman"/>
          <w:sz w:val="24"/>
          <w:szCs w:val="24"/>
        </w:rPr>
        <w:t>.</w:t>
      </w:r>
    </w:p>
    <w:p w14:paraId="396CB6BB" w14:textId="77777777" w:rsidR="002C5157" w:rsidRPr="0026709C" w:rsidRDefault="002C5157" w:rsidP="00410DEC">
      <w:pPr>
        <w:pStyle w:val="Heading2"/>
        <w:spacing w:line="240" w:lineRule="auto"/>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lastRenderedPageBreak/>
        <w:t>3.6 Ethical Considerations</w:t>
      </w:r>
    </w:p>
    <w:p w14:paraId="1AAB0352" w14:textId="478A8EE1" w:rsidR="002C5157"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The study used publicly available, anonymized secondary data from UBOS, ensuring compliance with ethical research standards. No direct contact was made with respondents. Data use followed UBOS’s data-sharing policy, maintaining confidentiality and integrity throughout the research process.</w:t>
      </w:r>
    </w:p>
    <w:p w14:paraId="2998228F" w14:textId="666F7797"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5D4BD6BD" w14:textId="40403723"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7A90169F" w14:textId="0D90B48B"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036AECE0" w14:textId="097A375E"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30AABE1B" w14:textId="51FDD87E"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1267418D" w14:textId="191DCBE3"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27237AC4" w14:textId="14D8C3BB"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5AD98D30" w14:textId="1C0D2D7F"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409726BF" w14:textId="3A769BB1"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733F9A62" w14:textId="11CF3A57"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55FDD1A1" w14:textId="06DC862E"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551437B9" w14:textId="7F5DF59B"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52A43A76" w14:textId="607975D3"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2EA9FF56" w14:textId="41ED6A48"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4C132180" w14:textId="6E94C47F" w:rsidR="008C409C" w:rsidRDefault="008C409C" w:rsidP="00410DEC">
      <w:pPr>
        <w:spacing w:before="100" w:beforeAutospacing="1" w:after="100" w:afterAutospacing="1" w:line="240" w:lineRule="auto"/>
        <w:jc w:val="both"/>
        <w:rPr>
          <w:rFonts w:ascii="Times New Roman" w:eastAsia="Times New Roman" w:hAnsi="Times New Roman" w:cs="Times New Roman"/>
          <w:sz w:val="24"/>
          <w:szCs w:val="24"/>
        </w:rPr>
      </w:pPr>
    </w:p>
    <w:p w14:paraId="5C43367E" w14:textId="77777777" w:rsidR="008C409C" w:rsidRDefault="008C409C" w:rsidP="00410DEC">
      <w:pPr>
        <w:spacing w:before="100" w:beforeAutospacing="1" w:after="100" w:afterAutospacing="1" w:line="240" w:lineRule="auto"/>
        <w:jc w:val="both"/>
        <w:rPr>
          <w:rFonts w:ascii="Times New Roman" w:eastAsia="Times New Roman" w:hAnsi="Times New Roman" w:cs="Times New Roman"/>
          <w:sz w:val="24"/>
          <w:szCs w:val="24"/>
        </w:rPr>
      </w:pPr>
    </w:p>
    <w:p w14:paraId="23FAD06D" w14:textId="548FEE37"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30B2989C" w14:textId="569A10C3"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6F81F45C" w14:textId="38ADD211" w:rsidR="00B927FC" w:rsidRDefault="00B927FC" w:rsidP="00410DEC">
      <w:pPr>
        <w:spacing w:before="100" w:beforeAutospacing="1" w:after="100" w:afterAutospacing="1" w:line="240" w:lineRule="auto"/>
        <w:jc w:val="both"/>
        <w:rPr>
          <w:rFonts w:ascii="Times New Roman" w:eastAsia="Times New Roman" w:hAnsi="Times New Roman" w:cs="Times New Roman"/>
          <w:sz w:val="24"/>
          <w:szCs w:val="24"/>
        </w:rPr>
      </w:pPr>
    </w:p>
    <w:p w14:paraId="1885973F" w14:textId="77777777" w:rsidR="00797A1B" w:rsidRPr="0026709C" w:rsidRDefault="002C5157" w:rsidP="00410DEC">
      <w:pPr>
        <w:pStyle w:val="Heading1"/>
        <w:spacing w:line="240" w:lineRule="auto"/>
        <w:rPr>
          <w:rFonts w:ascii="Times New Roman" w:hAnsi="Times New Roman" w:cs="Times New Roman"/>
          <w:b/>
          <w:color w:val="222222"/>
          <w:sz w:val="24"/>
          <w:szCs w:val="24"/>
          <w:shd w:val="clear" w:color="auto" w:fill="FFFFFF"/>
        </w:rPr>
      </w:pPr>
      <w:r w:rsidRPr="0026709C">
        <w:rPr>
          <w:rFonts w:ascii="Times New Roman" w:eastAsia="Calibri" w:hAnsi="Times New Roman" w:cs="Times New Roman"/>
          <w:color w:val="000000"/>
          <w:sz w:val="24"/>
          <w:szCs w:val="24"/>
        </w:rPr>
        <w:lastRenderedPageBreak/>
        <w:t xml:space="preserve">4.0 </w:t>
      </w:r>
      <w:r w:rsidR="00797A1B" w:rsidRPr="0026709C">
        <w:rPr>
          <w:rFonts w:ascii="Times New Roman" w:hAnsi="Times New Roman" w:cs="Times New Roman"/>
          <w:b/>
          <w:color w:val="222222"/>
          <w:sz w:val="24"/>
          <w:szCs w:val="24"/>
          <w:shd w:val="clear" w:color="auto" w:fill="FFFFFF"/>
        </w:rPr>
        <w:t xml:space="preserve">Results </w:t>
      </w:r>
    </w:p>
    <w:p w14:paraId="58080F79" w14:textId="77777777" w:rsidR="00704D9B" w:rsidRPr="0026709C" w:rsidRDefault="00637B99" w:rsidP="00410DEC">
      <w:pPr>
        <w:pStyle w:val="Heading2"/>
        <w:spacing w:line="240" w:lineRule="auto"/>
        <w:rPr>
          <w:rFonts w:ascii="Times New Roman" w:hAnsi="Times New Roman" w:cs="Times New Roman"/>
          <w:sz w:val="24"/>
          <w:szCs w:val="24"/>
          <w:shd w:val="clear" w:color="auto" w:fill="FFFFFF"/>
        </w:rPr>
      </w:pPr>
      <w:r w:rsidRPr="0026709C">
        <w:rPr>
          <w:rFonts w:ascii="Times New Roman" w:hAnsi="Times New Roman" w:cs="Times New Roman"/>
          <w:sz w:val="24"/>
          <w:szCs w:val="24"/>
          <w:shd w:val="clear" w:color="auto" w:fill="FFFFFF"/>
        </w:rPr>
        <w:t xml:space="preserve">4.1 </w:t>
      </w:r>
      <w:r w:rsidR="00704D9B" w:rsidRPr="0026709C">
        <w:rPr>
          <w:rFonts w:ascii="Times New Roman" w:hAnsi="Times New Roman" w:cs="Times New Roman"/>
          <w:sz w:val="24"/>
          <w:szCs w:val="24"/>
          <w:shd w:val="clear" w:color="auto" w:fill="FFFFFF"/>
        </w:rPr>
        <w:t xml:space="preserve">Descriptive statistics </w:t>
      </w:r>
    </w:p>
    <w:p w14:paraId="484668A7" w14:textId="431EE73C" w:rsidR="007D22CD" w:rsidRPr="00AE154B" w:rsidRDefault="007D22CD" w:rsidP="00410DEC">
      <w:pPr>
        <w:pStyle w:val="Caption"/>
        <w:rPr>
          <w:rFonts w:cs="Times New Roman"/>
          <w:i w:val="0"/>
          <w:sz w:val="24"/>
          <w:szCs w:val="24"/>
        </w:rPr>
      </w:pPr>
      <w:bookmarkStart w:id="0" w:name="_Ref211435958"/>
      <w:bookmarkStart w:id="1" w:name="_Toc202996959"/>
      <w:bookmarkStart w:id="2" w:name="_Ref209794803"/>
      <w:r w:rsidRPr="00AE154B">
        <w:rPr>
          <w:rFonts w:cs="Times New Roman"/>
          <w:i w:val="0"/>
          <w:sz w:val="24"/>
          <w:szCs w:val="24"/>
        </w:rPr>
        <w:t xml:space="preserve">Table </w:t>
      </w:r>
      <w:r w:rsidRPr="00AE154B">
        <w:rPr>
          <w:rFonts w:cs="Times New Roman"/>
          <w:i w:val="0"/>
          <w:sz w:val="24"/>
          <w:szCs w:val="24"/>
        </w:rPr>
        <w:fldChar w:fldCharType="begin"/>
      </w:r>
      <w:r w:rsidRPr="00AE154B">
        <w:rPr>
          <w:rFonts w:cs="Times New Roman"/>
          <w:i w:val="0"/>
          <w:sz w:val="24"/>
          <w:szCs w:val="24"/>
        </w:rPr>
        <w:instrText xml:space="preserve"> SEQ Table \* ARABIC </w:instrText>
      </w:r>
      <w:r w:rsidRPr="00AE154B">
        <w:rPr>
          <w:rFonts w:cs="Times New Roman"/>
          <w:i w:val="0"/>
          <w:sz w:val="24"/>
          <w:szCs w:val="24"/>
        </w:rPr>
        <w:fldChar w:fldCharType="separate"/>
      </w:r>
      <w:r w:rsidR="00D0193E">
        <w:rPr>
          <w:rFonts w:cs="Times New Roman"/>
          <w:i w:val="0"/>
          <w:noProof/>
          <w:sz w:val="24"/>
          <w:szCs w:val="24"/>
        </w:rPr>
        <w:t>1</w:t>
      </w:r>
      <w:r w:rsidRPr="00AE154B">
        <w:rPr>
          <w:rFonts w:cs="Times New Roman"/>
          <w:i w:val="0"/>
          <w:sz w:val="24"/>
          <w:szCs w:val="24"/>
        </w:rPr>
        <w:fldChar w:fldCharType="end"/>
      </w:r>
      <w:bookmarkEnd w:id="0"/>
      <w:r w:rsidRPr="00AE154B">
        <w:rPr>
          <w:rFonts w:cs="Times New Roman"/>
          <w:i w:val="0"/>
          <w:sz w:val="24"/>
          <w:szCs w:val="24"/>
        </w:rPr>
        <w:t>:Descriptive statistics for household debt repayment behavior</w:t>
      </w:r>
      <w:bookmarkEnd w:id="1"/>
      <w:bookmarkEnd w:id="2"/>
    </w:p>
    <w:tbl>
      <w:tblPr>
        <w:tblW w:w="971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992"/>
        <w:gridCol w:w="1134"/>
        <w:gridCol w:w="1276"/>
        <w:gridCol w:w="992"/>
        <w:gridCol w:w="1134"/>
      </w:tblGrid>
      <w:tr w:rsidR="007D22CD" w:rsidRPr="00410DEC" w14:paraId="0AE2D473" w14:textId="77777777" w:rsidTr="005B3A12">
        <w:trPr>
          <w:trHeight w:val="290"/>
        </w:trPr>
        <w:tc>
          <w:tcPr>
            <w:tcW w:w="4183" w:type="dxa"/>
            <w:shd w:val="clear" w:color="auto" w:fill="auto"/>
            <w:noWrap/>
            <w:vAlign w:val="bottom"/>
            <w:hideMark/>
          </w:tcPr>
          <w:p w14:paraId="5029A463" w14:textId="77777777" w:rsidR="007D22CD" w:rsidRPr="008C3AE5" w:rsidRDefault="007D22CD" w:rsidP="00410DEC">
            <w:pPr>
              <w:spacing w:after="0" w:line="240" w:lineRule="auto"/>
              <w:jc w:val="both"/>
              <w:rPr>
                <w:rFonts w:ascii="Times New Roman" w:eastAsia="Times New Roman" w:hAnsi="Times New Roman" w:cs="Times New Roman"/>
                <w:b/>
                <w:color w:val="000000"/>
                <w:sz w:val="24"/>
                <w:szCs w:val="24"/>
              </w:rPr>
            </w:pPr>
            <w:r w:rsidRPr="008C3AE5">
              <w:rPr>
                <w:rFonts w:ascii="Times New Roman" w:eastAsia="Times New Roman" w:hAnsi="Times New Roman" w:cs="Times New Roman"/>
                <w:b/>
                <w:color w:val="000000"/>
                <w:sz w:val="24"/>
                <w:szCs w:val="24"/>
              </w:rPr>
              <w:t>Variable</w:t>
            </w:r>
          </w:p>
        </w:tc>
        <w:tc>
          <w:tcPr>
            <w:tcW w:w="992" w:type="dxa"/>
            <w:shd w:val="clear" w:color="auto" w:fill="auto"/>
            <w:noWrap/>
            <w:vAlign w:val="bottom"/>
            <w:hideMark/>
          </w:tcPr>
          <w:p w14:paraId="68943C02" w14:textId="77777777" w:rsidR="007D22CD" w:rsidRPr="008C3AE5" w:rsidRDefault="007D22CD" w:rsidP="00410DEC">
            <w:pPr>
              <w:spacing w:after="0" w:line="240" w:lineRule="auto"/>
              <w:jc w:val="both"/>
              <w:rPr>
                <w:rFonts w:ascii="Times New Roman" w:eastAsia="Times New Roman" w:hAnsi="Times New Roman" w:cs="Times New Roman"/>
                <w:b/>
                <w:color w:val="000000"/>
                <w:sz w:val="24"/>
                <w:szCs w:val="24"/>
              </w:rPr>
            </w:pPr>
            <w:r w:rsidRPr="008C3AE5">
              <w:rPr>
                <w:rFonts w:ascii="Times New Roman" w:eastAsia="Times New Roman" w:hAnsi="Times New Roman" w:cs="Times New Roman"/>
                <w:b/>
                <w:color w:val="000000"/>
                <w:sz w:val="24"/>
                <w:szCs w:val="24"/>
              </w:rPr>
              <w:t>N</w:t>
            </w:r>
          </w:p>
        </w:tc>
        <w:tc>
          <w:tcPr>
            <w:tcW w:w="1134" w:type="dxa"/>
            <w:shd w:val="clear" w:color="auto" w:fill="auto"/>
            <w:noWrap/>
            <w:vAlign w:val="bottom"/>
            <w:hideMark/>
          </w:tcPr>
          <w:p w14:paraId="19CF14F6" w14:textId="77777777" w:rsidR="007D22CD" w:rsidRPr="008C3AE5" w:rsidRDefault="007D22CD" w:rsidP="00410DEC">
            <w:pPr>
              <w:spacing w:after="0" w:line="240" w:lineRule="auto"/>
              <w:jc w:val="both"/>
              <w:rPr>
                <w:rFonts w:ascii="Times New Roman" w:eastAsia="Times New Roman" w:hAnsi="Times New Roman" w:cs="Times New Roman"/>
                <w:b/>
                <w:color w:val="000000"/>
                <w:sz w:val="24"/>
                <w:szCs w:val="24"/>
              </w:rPr>
            </w:pPr>
            <w:r w:rsidRPr="008C3AE5">
              <w:rPr>
                <w:rFonts w:ascii="Times New Roman" w:eastAsia="Times New Roman" w:hAnsi="Times New Roman" w:cs="Times New Roman"/>
                <w:b/>
                <w:color w:val="000000"/>
                <w:sz w:val="24"/>
                <w:szCs w:val="24"/>
              </w:rPr>
              <w:t>Mean</w:t>
            </w:r>
          </w:p>
        </w:tc>
        <w:tc>
          <w:tcPr>
            <w:tcW w:w="1276" w:type="dxa"/>
            <w:shd w:val="clear" w:color="auto" w:fill="auto"/>
            <w:noWrap/>
            <w:vAlign w:val="bottom"/>
            <w:hideMark/>
          </w:tcPr>
          <w:p w14:paraId="3863DAFD" w14:textId="77777777" w:rsidR="007D22CD" w:rsidRPr="008C3AE5" w:rsidRDefault="007D22CD" w:rsidP="00410DEC">
            <w:pPr>
              <w:spacing w:after="0" w:line="240" w:lineRule="auto"/>
              <w:jc w:val="both"/>
              <w:rPr>
                <w:rFonts w:ascii="Times New Roman" w:eastAsia="Times New Roman" w:hAnsi="Times New Roman" w:cs="Times New Roman"/>
                <w:b/>
                <w:color w:val="000000"/>
                <w:sz w:val="24"/>
                <w:szCs w:val="24"/>
              </w:rPr>
            </w:pPr>
            <w:r w:rsidRPr="008C3AE5">
              <w:rPr>
                <w:rFonts w:ascii="Times New Roman" w:eastAsia="Times New Roman" w:hAnsi="Times New Roman" w:cs="Times New Roman"/>
                <w:b/>
                <w:color w:val="000000"/>
                <w:sz w:val="24"/>
                <w:szCs w:val="24"/>
              </w:rPr>
              <w:t>SD</w:t>
            </w:r>
          </w:p>
        </w:tc>
        <w:tc>
          <w:tcPr>
            <w:tcW w:w="992" w:type="dxa"/>
            <w:shd w:val="clear" w:color="auto" w:fill="auto"/>
            <w:noWrap/>
            <w:vAlign w:val="bottom"/>
            <w:hideMark/>
          </w:tcPr>
          <w:p w14:paraId="69D4E989" w14:textId="77777777" w:rsidR="007D22CD" w:rsidRPr="008C3AE5" w:rsidRDefault="007D22CD" w:rsidP="00410DEC">
            <w:pPr>
              <w:spacing w:after="0" w:line="240" w:lineRule="auto"/>
              <w:jc w:val="both"/>
              <w:rPr>
                <w:rFonts w:ascii="Times New Roman" w:eastAsia="Times New Roman" w:hAnsi="Times New Roman" w:cs="Times New Roman"/>
                <w:b/>
                <w:color w:val="000000"/>
                <w:sz w:val="24"/>
                <w:szCs w:val="24"/>
              </w:rPr>
            </w:pPr>
            <w:r w:rsidRPr="008C3AE5">
              <w:rPr>
                <w:rFonts w:ascii="Times New Roman" w:eastAsia="Times New Roman" w:hAnsi="Times New Roman" w:cs="Times New Roman"/>
                <w:b/>
                <w:color w:val="000000"/>
                <w:sz w:val="24"/>
                <w:szCs w:val="24"/>
              </w:rPr>
              <w:t>Min</w:t>
            </w:r>
          </w:p>
        </w:tc>
        <w:tc>
          <w:tcPr>
            <w:tcW w:w="1134" w:type="dxa"/>
            <w:shd w:val="clear" w:color="auto" w:fill="auto"/>
            <w:noWrap/>
            <w:vAlign w:val="bottom"/>
            <w:hideMark/>
          </w:tcPr>
          <w:p w14:paraId="28100D81" w14:textId="77777777" w:rsidR="007D22CD" w:rsidRPr="008C3AE5" w:rsidRDefault="007D22CD" w:rsidP="00410DEC">
            <w:pPr>
              <w:spacing w:after="0" w:line="240" w:lineRule="auto"/>
              <w:jc w:val="both"/>
              <w:rPr>
                <w:rFonts w:ascii="Times New Roman" w:eastAsia="Times New Roman" w:hAnsi="Times New Roman" w:cs="Times New Roman"/>
                <w:b/>
                <w:color w:val="000000"/>
                <w:sz w:val="24"/>
                <w:szCs w:val="24"/>
              </w:rPr>
            </w:pPr>
            <w:r w:rsidRPr="008C3AE5">
              <w:rPr>
                <w:rFonts w:ascii="Times New Roman" w:eastAsia="Times New Roman" w:hAnsi="Times New Roman" w:cs="Times New Roman"/>
                <w:b/>
                <w:color w:val="000000"/>
                <w:sz w:val="24"/>
                <w:szCs w:val="24"/>
              </w:rPr>
              <w:t>Max</w:t>
            </w:r>
          </w:p>
        </w:tc>
      </w:tr>
      <w:tr w:rsidR="007D22CD" w:rsidRPr="00410DEC" w14:paraId="73DDF5B6" w14:textId="77777777" w:rsidTr="005B3A12">
        <w:trPr>
          <w:trHeight w:val="290"/>
        </w:trPr>
        <w:tc>
          <w:tcPr>
            <w:tcW w:w="4183" w:type="dxa"/>
            <w:shd w:val="clear" w:color="auto" w:fill="auto"/>
            <w:noWrap/>
            <w:vAlign w:val="bottom"/>
            <w:hideMark/>
          </w:tcPr>
          <w:p w14:paraId="3AFCF74D" w14:textId="77777777" w:rsidR="007D22CD" w:rsidRPr="008C3AE5" w:rsidRDefault="007D22CD" w:rsidP="00410DEC">
            <w:p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 xml:space="preserve">Household debt default </w:t>
            </w:r>
          </w:p>
        </w:tc>
        <w:tc>
          <w:tcPr>
            <w:tcW w:w="992" w:type="dxa"/>
            <w:shd w:val="clear" w:color="auto" w:fill="auto"/>
            <w:noWrap/>
            <w:vAlign w:val="bottom"/>
            <w:hideMark/>
          </w:tcPr>
          <w:p w14:paraId="15A80F4E"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14:paraId="6B5FDE0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0.447</w:t>
            </w:r>
          </w:p>
        </w:tc>
        <w:tc>
          <w:tcPr>
            <w:tcW w:w="1276" w:type="dxa"/>
            <w:shd w:val="clear" w:color="auto" w:fill="auto"/>
            <w:noWrap/>
            <w:vAlign w:val="bottom"/>
            <w:hideMark/>
          </w:tcPr>
          <w:p w14:paraId="57D4AED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0.497</w:t>
            </w:r>
          </w:p>
        </w:tc>
        <w:tc>
          <w:tcPr>
            <w:tcW w:w="992" w:type="dxa"/>
            <w:shd w:val="clear" w:color="auto" w:fill="auto"/>
            <w:noWrap/>
            <w:vAlign w:val="bottom"/>
            <w:hideMark/>
          </w:tcPr>
          <w:p w14:paraId="15437BD8"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58F2C0DE"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7B4766D2" w14:textId="77777777" w:rsidTr="005B3A12">
        <w:trPr>
          <w:trHeight w:val="290"/>
        </w:trPr>
        <w:tc>
          <w:tcPr>
            <w:tcW w:w="4183" w:type="dxa"/>
            <w:shd w:val="clear" w:color="auto" w:fill="auto"/>
            <w:noWrap/>
            <w:vAlign w:val="bottom"/>
            <w:hideMark/>
          </w:tcPr>
          <w:p w14:paraId="25284AFE" w14:textId="77777777" w:rsidR="007D22CD" w:rsidRPr="008C3AE5" w:rsidRDefault="007D22CD" w:rsidP="00410DEC">
            <w:p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Household debt repayment</w:t>
            </w:r>
          </w:p>
        </w:tc>
        <w:tc>
          <w:tcPr>
            <w:tcW w:w="992" w:type="dxa"/>
            <w:shd w:val="clear" w:color="auto" w:fill="auto"/>
            <w:noWrap/>
            <w:vAlign w:val="bottom"/>
            <w:hideMark/>
          </w:tcPr>
          <w:p w14:paraId="15D1C020"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14:paraId="2AC45AE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0.553</w:t>
            </w:r>
          </w:p>
        </w:tc>
        <w:tc>
          <w:tcPr>
            <w:tcW w:w="1276" w:type="dxa"/>
            <w:shd w:val="clear" w:color="auto" w:fill="auto"/>
            <w:noWrap/>
            <w:vAlign w:val="bottom"/>
            <w:hideMark/>
          </w:tcPr>
          <w:p w14:paraId="49E00A2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0.497</w:t>
            </w:r>
          </w:p>
        </w:tc>
        <w:tc>
          <w:tcPr>
            <w:tcW w:w="992" w:type="dxa"/>
            <w:shd w:val="clear" w:color="auto" w:fill="auto"/>
            <w:noWrap/>
            <w:vAlign w:val="bottom"/>
            <w:hideMark/>
          </w:tcPr>
          <w:p w14:paraId="32F1BFB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7F550255"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10F37367" w14:textId="77777777" w:rsidTr="005B3A12">
        <w:trPr>
          <w:trHeight w:val="290"/>
        </w:trPr>
        <w:tc>
          <w:tcPr>
            <w:tcW w:w="4183" w:type="dxa"/>
            <w:shd w:val="clear" w:color="auto" w:fill="auto"/>
            <w:noWrap/>
            <w:vAlign w:val="bottom"/>
            <w:hideMark/>
          </w:tcPr>
          <w:p w14:paraId="7D406E83" w14:textId="77777777" w:rsidR="007D22CD" w:rsidRPr="008C3AE5" w:rsidRDefault="008B4363" w:rsidP="00410DEC">
            <w:pPr>
              <w:spacing w:after="0" w:line="240" w:lineRule="auto"/>
              <w:jc w:val="both"/>
              <w:rPr>
                <w:rFonts w:ascii="Times New Roman" w:eastAsia="Times New Roman" w:hAnsi="Times New Roman" w:cs="Times New Roman"/>
                <w:b/>
                <w:color w:val="000000"/>
                <w:sz w:val="24"/>
                <w:szCs w:val="24"/>
              </w:rPr>
            </w:pPr>
            <w:r w:rsidRPr="008C3AE5">
              <w:rPr>
                <w:rFonts w:ascii="Times New Roman" w:hAnsi="Times New Roman" w:cs="Times New Roman"/>
                <w:sz w:val="24"/>
                <w:szCs w:val="24"/>
              </w:rPr>
              <w:t>Experiencing payment anxiety</w:t>
            </w:r>
          </w:p>
        </w:tc>
        <w:tc>
          <w:tcPr>
            <w:tcW w:w="992" w:type="dxa"/>
            <w:shd w:val="clear" w:color="auto" w:fill="auto"/>
            <w:noWrap/>
            <w:vAlign w:val="bottom"/>
            <w:hideMark/>
          </w:tcPr>
          <w:p w14:paraId="2BDC8AE8"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46C9AEB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14:paraId="424154F0"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14:paraId="5F64519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269A852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4CECAD1D" w14:textId="77777777" w:rsidTr="005B3A12">
        <w:trPr>
          <w:trHeight w:val="290"/>
        </w:trPr>
        <w:tc>
          <w:tcPr>
            <w:tcW w:w="4183" w:type="dxa"/>
            <w:shd w:val="clear" w:color="auto" w:fill="auto"/>
            <w:noWrap/>
            <w:vAlign w:val="bottom"/>
            <w:hideMark/>
          </w:tcPr>
          <w:p w14:paraId="669EF368"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No</w:t>
            </w:r>
          </w:p>
        </w:tc>
        <w:tc>
          <w:tcPr>
            <w:tcW w:w="992" w:type="dxa"/>
            <w:shd w:val="clear" w:color="auto" w:fill="auto"/>
            <w:noWrap/>
            <w:vAlign w:val="bottom"/>
            <w:hideMark/>
          </w:tcPr>
          <w:p w14:paraId="7AECD770"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14:paraId="6B11CAC9"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0.560</w:t>
            </w:r>
          </w:p>
        </w:tc>
        <w:tc>
          <w:tcPr>
            <w:tcW w:w="1276" w:type="dxa"/>
            <w:shd w:val="clear" w:color="auto" w:fill="auto"/>
            <w:noWrap/>
            <w:vAlign w:val="bottom"/>
            <w:hideMark/>
          </w:tcPr>
          <w:p w14:paraId="249D7ED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0.496</w:t>
            </w:r>
          </w:p>
        </w:tc>
        <w:tc>
          <w:tcPr>
            <w:tcW w:w="992" w:type="dxa"/>
            <w:shd w:val="clear" w:color="auto" w:fill="auto"/>
            <w:noWrap/>
            <w:vAlign w:val="bottom"/>
            <w:hideMark/>
          </w:tcPr>
          <w:p w14:paraId="49173D98"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1BA2BB00"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192F1292" w14:textId="77777777" w:rsidTr="005B3A12">
        <w:trPr>
          <w:trHeight w:val="290"/>
        </w:trPr>
        <w:tc>
          <w:tcPr>
            <w:tcW w:w="4183" w:type="dxa"/>
            <w:shd w:val="clear" w:color="auto" w:fill="auto"/>
            <w:noWrap/>
            <w:vAlign w:val="bottom"/>
            <w:hideMark/>
          </w:tcPr>
          <w:p w14:paraId="2EBA21A1"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 xml:space="preserve">Yes </w:t>
            </w:r>
          </w:p>
        </w:tc>
        <w:tc>
          <w:tcPr>
            <w:tcW w:w="992" w:type="dxa"/>
            <w:shd w:val="clear" w:color="auto" w:fill="auto"/>
            <w:noWrap/>
            <w:vAlign w:val="bottom"/>
            <w:hideMark/>
          </w:tcPr>
          <w:p w14:paraId="35A8ED2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14:paraId="2C9E34C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0.440</w:t>
            </w:r>
          </w:p>
        </w:tc>
        <w:tc>
          <w:tcPr>
            <w:tcW w:w="1276" w:type="dxa"/>
            <w:shd w:val="clear" w:color="auto" w:fill="auto"/>
            <w:noWrap/>
            <w:vAlign w:val="bottom"/>
            <w:hideMark/>
          </w:tcPr>
          <w:p w14:paraId="4C5B80B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0.496</w:t>
            </w:r>
          </w:p>
        </w:tc>
        <w:tc>
          <w:tcPr>
            <w:tcW w:w="992" w:type="dxa"/>
            <w:shd w:val="clear" w:color="auto" w:fill="auto"/>
            <w:noWrap/>
            <w:vAlign w:val="bottom"/>
            <w:hideMark/>
          </w:tcPr>
          <w:p w14:paraId="6D6514A9"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59D69C1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28363D56" w14:textId="77777777" w:rsidTr="005B3A12">
        <w:trPr>
          <w:trHeight w:val="290"/>
        </w:trPr>
        <w:tc>
          <w:tcPr>
            <w:tcW w:w="4183" w:type="dxa"/>
            <w:shd w:val="clear" w:color="auto" w:fill="auto"/>
            <w:noWrap/>
            <w:vAlign w:val="bottom"/>
            <w:hideMark/>
          </w:tcPr>
          <w:p w14:paraId="3DE83A50" w14:textId="77777777" w:rsidR="007D22CD" w:rsidRPr="008C3AE5" w:rsidRDefault="007D22CD" w:rsidP="00410DEC">
            <w:p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Sex</w:t>
            </w:r>
          </w:p>
        </w:tc>
        <w:tc>
          <w:tcPr>
            <w:tcW w:w="992" w:type="dxa"/>
            <w:shd w:val="clear" w:color="auto" w:fill="auto"/>
            <w:noWrap/>
            <w:vAlign w:val="bottom"/>
            <w:hideMark/>
          </w:tcPr>
          <w:p w14:paraId="1111EFA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78236BF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14:paraId="01F12F69"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14:paraId="1CB47270"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5196FB5F"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1D3D5D05" w14:textId="77777777" w:rsidTr="005B3A12">
        <w:trPr>
          <w:trHeight w:val="290"/>
        </w:trPr>
        <w:tc>
          <w:tcPr>
            <w:tcW w:w="4183" w:type="dxa"/>
            <w:shd w:val="clear" w:color="auto" w:fill="auto"/>
            <w:noWrap/>
            <w:vAlign w:val="bottom"/>
            <w:hideMark/>
          </w:tcPr>
          <w:p w14:paraId="43DBCD35"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 xml:space="preserve">Female Household head </w:t>
            </w:r>
          </w:p>
        </w:tc>
        <w:tc>
          <w:tcPr>
            <w:tcW w:w="992" w:type="dxa"/>
            <w:shd w:val="clear" w:color="auto" w:fill="auto"/>
            <w:noWrap/>
            <w:vAlign w:val="bottom"/>
            <w:hideMark/>
          </w:tcPr>
          <w:p w14:paraId="625C303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3172</w:t>
            </w:r>
          </w:p>
        </w:tc>
        <w:tc>
          <w:tcPr>
            <w:tcW w:w="1134" w:type="dxa"/>
            <w:shd w:val="clear" w:color="auto" w:fill="auto"/>
            <w:noWrap/>
            <w:vAlign w:val="bottom"/>
            <w:hideMark/>
          </w:tcPr>
          <w:p w14:paraId="05B360A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0.322</w:t>
            </w:r>
          </w:p>
        </w:tc>
        <w:tc>
          <w:tcPr>
            <w:tcW w:w="1276" w:type="dxa"/>
            <w:shd w:val="clear" w:color="auto" w:fill="auto"/>
            <w:noWrap/>
            <w:vAlign w:val="bottom"/>
            <w:hideMark/>
          </w:tcPr>
          <w:p w14:paraId="4D901EB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0.467</w:t>
            </w:r>
          </w:p>
        </w:tc>
        <w:tc>
          <w:tcPr>
            <w:tcW w:w="992" w:type="dxa"/>
            <w:shd w:val="clear" w:color="auto" w:fill="auto"/>
            <w:noWrap/>
            <w:vAlign w:val="bottom"/>
            <w:hideMark/>
          </w:tcPr>
          <w:p w14:paraId="2CF64A5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7F8E9D8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2E4642D0" w14:textId="77777777" w:rsidTr="005B3A12">
        <w:trPr>
          <w:trHeight w:val="290"/>
        </w:trPr>
        <w:tc>
          <w:tcPr>
            <w:tcW w:w="4183" w:type="dxa"/>
            <w:shd w:val="clear" w:color="auto" w:fill="auto"/>
            <w:noWrap/>
            <w:vAlign w:val="bottom"/>
            <w:hideMark/>
          </w:tcPr>
          <w:p w14:paraId="562645BB"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 xml:space="preserve">Male Household head </w:t>
            </w:r>
          </w:p>
        </w:tc>
        <w:tc>
          <w:tcPr>
            <w:tcW w:w="992" w:type="dxa"/>
            <w:shd w:val="clear" w:color="auto" w:fill="auto"/>
            <w:noWrap/>
            <w:vAlign w:val="bottom"/>
            <w:hideMark/>
          </w:tcPr>
          <w:p w14:paraId="154E0AA0"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3172</w:t>
            </w:r>
          </w:p>
        </w:tc>
        <w:tc>
          <w:tcPr>
            <w:tcW w:w="1134" w:type="dxa"/>
            <w:shd w:val="clear" w:color="auto" w:fill="auto"/>
            <w:noWrap/>
            <w:vAlign w:val="bottom"/>
            <w:hideMark/>
          </w:tcPr>
          <w:p w14:paraId="6DFA60FB"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0.678</w:t>
            </w:r>
          </w:p>
        </w:tc>
        <w:tc>
          <w:tcPr>
            <w:tcW w:w="1276" w:type="dxa"/>
            <w:shd w:val="clear" w:color="auto" w:fill="auto"/>
            <w:noWrap/>
            <w:vAlign w:val="bottom"/>
            <w:hideMark/>
          </w:tcPr>
          <w:p w14:paraId="39677A9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0.467</w:t>
            </w:r>
          </w:p>
        </w:tc>
        <w:tc>
          <w:tcPr>
            <w:tcW w:w="992" w:type="dxa"/>
            <w:shd w:val="clear" w:color="auto" w:fill="auto"/>
            <w:noWrap/>
            <w:vAlign w:val="bottom"/>
            <w:hideMark/>
          </w:tcPr>
          <w:p w14:paraId="51D7B59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5B5D886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7FC70DA4" w14:textId="77777777" w:rsidTr="005B3A12">
        <w:trPr>
          <w:trHeight w:val="290"/>
        </w:trPr>
        <w:tc>
          <w:tcPr>
            <w:tcW w:w="4183" w:type="dxa"/>
            <w:shd w:val="clear" w:color="auto" w:fill="auto"/>
            <w:noWrap/>
            <w:vAlign w:val="bottom"/>
            <w:hideMark/>
          </w:tcPr>
          <w:p w14:paraId="587E0146" w14:textId="77777777" w:rsidR="007D22CD" w:rsidRPr="008C3AE5" w:rsidRDefault="007D22CD" w:rsidP="00410DEC">
            <w:pPr>
              <w:spacing w:after="0" w:line="240" w:lineRule="auto"/>
              <w:jc w:val="both"/>
              <w:rPr>
                <w:rFonts w:ascii="Times New Roman" w:eastAsia="Times New Roman" w:hAnsi="Times New Roman" w:cs="Times New Roman"/>
                <w:b/>
                <w:color w:val="000000"/>
                <w:sz w:val="24"/>
                <w:szCs w:val="24"/>
              </w:rPr>
            </w:pPr>
            <w:r w:rsidRPr="008C3AE5">
              <w:rPr>
                <w:rFonts w:ascii="Times New Roman" w:eastAsia="Times New Roman" w:hAnsi="Times New Roman" w:cs="Times New Roman"/>
                <w:b/>
                <w:color w:val="000000"/>
                <w:sz w:val="24"/>
                <w:szCs w:val="24"/>
              </w:rPr>
              <w:t xml:space="preserve">Level </w:t>
            </w:r>
            <w:proofErr w:type="gramStart"/>
            <w:r w:rsidRPr="008C3AE5">
              <w:rPr>
                <w:rFonts w:ascii="Times New Roman" w:eastAsia="Times New Roman" w:hAnsi="Times New Roman" w:cs="Times New Roman"/>
                <w:b/>
                <w:color w:val="000000"/>
                <w:sz w:val="24"/>
                <w:szCs w:val="24"/>
              </w:rPr>
              <w:t>of  Education</w:t>
            </w:r>
            <w:proofErr w:type="gramEnd"/>
            <w:r w:rsidRPr="008C3AE5">
              <w:rPr>
                <w:rFonts w:ascii="Times New Roman" w:eastAsia="Times New Roman" w:hAnsi="Times New Roman" w:cs="Times New Roman"/>
                <w:b/>
                <w:color w:val="000000"/>
                <w:sz w:val="24"/>
                <w:szCs w:val="24"/>
              </w:rPr>
              <w:t xml:space="preserve"> of  HH Head</w:t>
            </w:r>
          </w:p>
        </w:tc>
        <w:tc>
          <w:tcPr>
            <w:tcW w:w="992" w:type="dxa"/>
            <w:shd w:val="clear" w:color="auto" w:fill="auto"/>
            <w:noWrap/>
            <w:vAlign w:val="bottom"/>
            <w:hideMark/>
          </w:tcPr>
          <w:p w14:paraId="7503C0DB"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2C0A770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14:paraId="288485D5"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14:paraId="7F0F0AC0"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7F1C67C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6442E957" w14:textId="77777777" w:rsidTr="005B3A12">
        <w:trPr>
          <w:trHeight w:val="290"/>
        </w:trPr>
        <w:tc>
          <w:tcPr>
            <w:tcW w:w="4183" w:type="dxa"/>
            <w:shd w:val="clear" w:color="auto" w:fill="auto"/>
            <w:noWrap/>
            <w:vAlign w:val="bottom"/>
            <w:hideMark/>
          </w:tcPr>
          <w:p w14:paraId="12635B9F"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No formal education</w:t>
            </w:r>
          </w:p>
        </w:tc>
        <w:tc>
          <w:tcPr>
            <w:tcW w:w="992" w:type="dxa"/>
            <w:shd w:val="clear" w:color="auto" w:fill="auto"/>
            <w:noWrap/>
            <w:vAlign w:val="bottom"/>
            <w:hideMark/>
          </w:tcPr>
          <w:p w14:paraId="08BE8CC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3134</w:t>
            </w:r>
          </w:p>
        </w:tc>
        <w:tc>
          <w:tcPr>
            <w:tcW w:w="1134" w:type="dxa"/>
            <w:shd w:val="clear" w:color="auto" w:fill="auto"/>
            <w:noWrap/>
            <w:vAlign w:val="bottom"/>
            <w:hideMark/>
          </w:tcPr>
          <w:p w14:paraId="112C442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0.120</w:t>
            </w:r>
          </w:p>
        </w:tc>
        <w:tc>
          <w:tcPr>
            <w:tcW w:w="1276" w:type="dxa"/>
            <w:shd w:val="clear" w:color="auto" w:fill="auto"/>
            <w:noWrap/>
            <w:vAlign w:val="bottom"/>
            <w:hideMark/>
          </w:tcPr>
          <w:p w14:paraId="6A3E6D8B"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0.325</w:t>
            </w:r>
          </w:p>
        </w:tc>
        <w:tc>
          <w:tcPr>
            <w:tcW w:w="992" w:type="dxa"/>
            <w:shd w:val="clear" w:color="auto" w:fill="auto"/>
            <w:noWrap/>
            <w:vAlign w:val="bottom"/>
            <w:hideMark/>
          </w:tcPr>
          <w:p w14:paraId="77FD593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4D55810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2A3BA396" w14:textId="77777777" w:rsidTr="005B3A12">
        <w:trPr>
          <w:trHeight w:val="290"/>
        </w:trPr>
        <w:tc>
          <w:tcPr>
            <w:tcW w:w="4183" w:type="dxa"/>
            <w:shd w:val="clear" w:color="auto" w:fill="auto"/>
            <w:noWrap/>
            <w:vAlign w:val="bottom"/>
            <w:hideMark/>
          </w:tcPr>
          <w:p w14:paraId="75FE909C"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Some primary</w:t>
            </w:r>
          </w:p>
        </w:tc>
        <w:tc>
          <w:tcPr>
            <w:tcW w:w="992" w:type="dxa"/>
            <w:shd w:val="clear" w:color="auto" w:fill="auto"/>
            <w:noWrap/>
            <w:vAlign w:val="bottom"/>
            <w:hideMark/>
          </w:tcPr>
          <w:p w14:paraId="41FEA0F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3134</w:t>
            </w:r>
          </w:p>
        </w:tc>
        <w:tc>
          <w:tcPr>
            <w:tcW w:w="1134" w:type="dxa"/>
            <w:shd w:val="clear" w:color="auto" w:fill="auto"/>
            <w:noWrap/>
            <w:vAlign w:val="bottom"/>
            <w:hideMark/>
          </w:tcPr>
          <w:p w14:paraId="6072EE8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0.401</w:t>
            </w:r>
          </w:p>
        </w:tc>
        <w:tc>
          <w:tcPr>
            <w:tcW w:w="1276" w:type="dxa"/>
            <w:shd w:val="clear" w:color="auto" w:fill="auto"/>
            <w:noWrap/>
            <w:vAlign w:val="bottom"/>
            <w:hideMark/>
          </w:tcPr>
          <w:p w14:paraId="3435FBC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0.490</w:t>
            </w:r>
          </w:p>
        </w:tc>
        <w:tc>
          <w:tcPr>
            <w:tcW w:w="992" w:type="dxa"/>
            <w:shd w:val="clear" w:color="auto" w:fill="auto"/>
            <w:noWrap/>
            <w:vAlign w:val="bottom"/>
            <w:hideMark/>
          </w:tcPr>
          <w:p w14:paraId="1609AEE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0C86CB8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60E2BBCA" w14:textId="77777777" w:rsidTr="005B3A12">
        <w:trPr>
          <w:trHeight w:val="290"/>
        </w:trPr>
        <w:tc>
          <w:tcPr>
            <w:tcW w:w="4183" w:type="dxa"/>
            <w:shd w:val="clear" w:color="auto" w:fill="auto"/>
            <w:noWrap/>
            <w:vAlign w:val="bottom"/>
            <w:hideMark/>
          </w:tcPr>
          <w:p w14:paraId="4CFF7048"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Completed primary</w:t>
            </w:r>
          </w:p>
        </w:tc>
        <w:tc>
          <w:tcPr>
            <w:tcW w:w="992" w:type="dxa"/>
            <w:shd w:val="clear" w:color="auto" w:fill="auto"/>
            <w:noWrap/>
            <w:vAlign w:val="bottom"/>
            <w:hideMark/>
          </w:tcPr>
          <w:p w14:paraId="7E835C3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3134</w:t>
            </w:r>
          </w:p>
        </w:tc>
        <w:tc>
          <w:tcPr>
            <w:tcW w:w="1134" w:type="dxa"/>
            <w:shd w:val="clear" w:color="auto" w:fill="auto"/>
            <w:noWrap/>
            <w:vAlign w:val="bottom"/>
            <w:hideMark/>
          </w:tcPr>
          <w:p w14:paraId="1076611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0.169</w:t>
            </w:r>
          </w:p>
        </w:tc>
        <w:tc>
          <w:tcPr>
            <w:tcW w:w="1276" w:type="dxa"/>
            <w:shd w:val="clear" w:color="auto" w:fill="auto"/>
            <w:noWrap/>
            <w:vAlign w:val="bottom"/>
            <w:hideMark/>
          </w:tcPr>
          <w:p w14:paraId="28774310"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0.375</w:t>
            </w:r>
          </w:p>
        </w:tc>
        <w:tc>
          <w:tcPr>
            <w:tcW w:w="992" w:type="dxa"/>
            <w:shd w:val="clear" w:color="auto" w:fill="auto"/>
            <w:noWrap/>
            <w:vAlign w:val="bottom"/>
            <w:hideMark/>
          </w:tcPr>
          <w:p w14:paraId="02548DE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00D4057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09994184" w14:textId="77777777" w:rsidTr="005B3A12">
        <w:trPr>
          <w:trHeight w:val="290"/>
        </w:trPr>
        <w:tc>
          <w:tcPr>
            <w:tcW w:w="4183" w:type="dxa"/>
            <w:shd w:val="clear" w:color="auto" w:fill="auto"/>
            <w:noWrap/>
            <w:vAlign w:val="bottom"/>
            <w:hideMark/>
          </w:tcPr>
          <w:p w14:paraId="754B1422"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Some secondary</w:t>
            </w:r>
          </w:p>
        </w:tc>
        <w:tc>
          <w:tcPr>
            <w:tcW w:w="992" w:type="dxa"/>
            <w:shd w:val="clear" w:color="auto" w:fill="auto"/>
            <w:noWrap/>
            <w:vAlign w:val="bottom"/>
            <w:hideMark/>
          </w:tcPr>
          <w:p w14:paraId="5C504EB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3134</w:t>
            </w:r>
          </w:p>
        </w:tc>
        <w:tc>
          <w:tcPr>
            <w:tcW w:w="1134" w:type="dxa"/>
            <w:shd w:val="clear" w:color="auto" w:fill="auto"/>
            <w:noWrap/>
            <w:vAlign w:val="bottom"/>
            <w:hideMark/>
          </w:tcPr>
          <w:p w14:paraId="0FE7BD5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0.143</w:t>
            </w:r>
          </w:p>
        </w:tc>
        <w:tc>
          <w:tcPr>
            <w:tcW w:w="1276" w:type="dxa"/>
            <w:shd w:val="clear" w:color="auto" w:fill="auto"/>
            <w:noWrap/>
            <w:vAlign w:val="bottom"/>
            <w:hideMark/>
          </w:tcPr>
          <w:p w14:paraId="4857485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0.350</w:t>
            </w:r>
          </w:p>
        </w:tc>
        <w:tc>
          <w:tcPr>
            <w:tcW w:w="992" w:type="dxa"/>
            <w:shd w:val="clear" w:color="auto" w:fill="auto"/>
            <w:noWrap/>
            <w:vAlign w:val="bottom"/>
            <w:hideMark/>
          </w:tcPr>
          <w:p w14:paraId="577ED8A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3849FDC5"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53391116" w14:textId="77777777" w:rsidTr="005B3A12">
        <w:trPr>
          <w:trHeight w:val="290"/>
        </w:trPr>
        <w:tc>
          <w:tcPr>
            <w:tcW w:w="4183" w:type="dxa"/>
            <w:shd w:val="clear" w:color="auto" w:fill="auto"/>
            <w:noWrap/>
            <w:vAlign w:val="bottom"/>
            <w:hideMark/>
          </w:tcPr>
          <w:p w14:paraId="57731B5A"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Completed secondary</w:t>
            </w:r>
          </w:p>
        </w:tc>
        <w:tc>
          <w:tcPr>
            <w:tcW w:w="992" w:type="dxa"/>
            <w:shd w:val="clear" w:color="auto" w:fill="auto"/>
            <w:noWrap/>
            <w:vAlign w:val="bottom"/>
            <w:hideMark/>
          </w:tcPr>
          <w:p w14:paraId="75ED209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3134</w:t>
            </w:r>
          </w:p>
        </w:tc>
        <w:tc>
          <w:tcPr>
            <w:tcW w:w="1134" w:type="dxa"/>
            <w:shd w:val="clear" w:color="auto" w:fill="auto"/>
            <w:noWrap/>
            <w:vAlign w:val="bottom"/>
            <w:hideMark/>
          </w:tcPr>
          <w:p w14:paraId="250812FB"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0.080</w:t>
            </w:r>
          </w:p>
        </w:tc>
        <w:tc>
          <w:tcPr>
            <w:tcW w:w="1276" w:type="dxa"/>
            <w:shd w:val="clear" w:color="auto" w:fill="auto"/>
            <w:noWrap/>
            <w:vAlign w:val="bottom"/>
            <w:hideMark/>
          </w:tcPr>
          <w:p w14:paraId="41CCDDA8"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0.271</w:t>
            </w:r>
          </w:p>
        </w:tc>
        <w:tc>
          <w:tcPr>
            <w:tcW w:w="992" w:type="dxa"/>
            <w:shd w:val="clear" w:color="auto" w:fill="auto"/>
            <w:noWrap/>
            <w:vAlign w:val="bottom"/>
            <w:hideMark/>
          </w:tcPr>
          <w:p w14:paraId="6B6051E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69328C3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623D9ABA" w14:textId="77777777" w:rsidTr="005B3A12">
        <w:trPr>
          <w:trHeight w:val="290"/>
        </w:trPr>
        <w:tc>
          <w:tcPr>
            <w:tcW w:w="4183" w:type="dxa"/>
            <w:shd w:val="clear" w:color="auto" w:fill="auto"/>
            <w:noWrap/>
            <w:vAlign w:val="bottom"/>
            <w:hideMark/>
          </w:tcPr>
          <w:p w14:paraId="4F51584D"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Post-secondary plus</w:t>
            </w:r>
          </w:p>
        </w:tc>
        <w:tc>
          <w:tcPr>
            <w:tcW w:w="992" w:type="dxa"/>
            <w:shd w:val="clear" w:color="auto" w:fill="auto"/>
            <w:noWrap/>
            <w:vAlign w:val="bottom"/>
            <w:hideMark/>
          </w:tcPr>
          <w:p w14:paraId="7EB55D9B"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3134</w:t>
            </w:r>
          </w:p>
        </w:tc>
        <w:tc>
          <w:tcPr>
            <w:tcW w:w="1134" w:type="dxa"/>
            <w:shd w:val="clear" w:color="auto" w:fill="auto"/>
            <w:noWrap/>
            <w:vAlign w:val="bottom"/>
            <w:hideMark/>
          </w:tcPr>
          <w:p w14:paraId="0ED5092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0.086</w:t>
            </w:r>
          </w:p>
        </w:tc>
        <w:tc>
          <w:tcPr>
            <w:tcW w:w="1276" w:type="dxa"/>
            <w:shd w:val="clear" w:color="auto" w:fill="auto"/>
            <w:noWrap/>
            <w:vAlign w:val="bottom"/>
            <w:hideMark/>
          </w:tcPr>
          <w:p w14:paraId="1DCC20B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0.281</w:t>
            </w:r>
          </w:p>
        </w:tc>
        <w:tc>
          <w:tcPr>
            <w:tcW w:w="992" w:type="dxa"/>
            <w:shd w:val="clear" w:color="auto" w:fill="auto"/>
            <w:noWrap/>
            <w:vAlign w:val="bottom"/>
            <w:hideMark/>
          </w:tcPr>
          <w:p w14:paraId="3B0FCB45"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67F5F825"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3383A59D" w14:textId="77777777" w:rsidTr="005B3A12">
        <w:trPr>
          <w:trHeight w:val="290"/>
        </w:trPr>
        <w:tc>
          <w:tcPr>
            <w:tcW w:w="4183" w:type="dxa"/>
            <w:shd w:val="clear" w:color="auto" w:fill="auto"/>
            <w:noWrap/>
            <w:vAlign w:val="bottom"/>
            <w:hideMark/>
          </w:tcPr>
          <w:p w14:paraId="7065B200" w14:textId="77777777" w:rsidR="007D22CD" w:rsidRPr="008C3AE5" w:rsidRDefault="007D22CD" w:rsidP="00410DEC">
            <w:pPr>
              <w:spacing w:after="0" w:line="240" w:lineRule="auto"/>
              <w:jc w:val="both"/>
              <w:rPr>
                <w:rFonts w:ascii="Times New Roman" w:eastAsia="Times New Roman" w:hAnsi="Times New Roman" w:cs="Times New Roman"/>
                <w:b/>
                <w:color w:val="000000"/>
                <w:sz w:val="24"/>
                <w:szCs w:val="24"/>
              </w:rPr>
            </w:pPr>
            <w:r w:rsidRPr="008C3AE5">
              <w:rPr>
                <w:rFonts w:ascii="Times New Roman" w:eastAsia="Times New Roman" w:hAnsi="Times New Roman" w:cs="Times New Roman"/>
                <w:b/>
                <w:color w:val="000000"/>
                <w:sz w:val="24"/>
                <w:szCs w:val="24"/>
              </w:rPr>
              <w:t>Status of Employment</w:t>
            </w:r>
          </w:p>
        </w:tc>
        <w:tc>
          <w:tcPr>
            <w:tcW w:w="992" w:type="dxa"/>
            <w:shd w:val="clear" w:color="auto" w:fill="auto"/>
            <w:noWrap/>
            <w:vAlign w:val="bottom"/>
            <w:hideMark/>
          </w:tcPr>
          <w:p w14:paraId="086AA170"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7DC00DD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14:paraId="4BDFEE3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14:paraId="68C35AD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2980212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4DF198F0" w14:textId="77777777" w:rsidTr="005B3A12">
        <w:trPr>
          <w:trHeight w:val="290"/>
        </w:trPr>
        <w:tc>
          <w:tcPr>
            <w:tcW w:w="4183" w:type="dxa"/>
            <w:shd w:val="clear" w:color="auto" w:fill="auto"/>
            <w:noWrap/>
            <w:vAlign w:val="bottom"/>
            <w:hideMark/>
          </w:tcPr>
          <w:p w14:paraId="5C753B78"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Nonfarm wage employment</w:t>
            </w:r>
          </w:p>
        </w:tc>
        <w:tc>
          <w:tcPr>
            <w:tcW w:w="992" w:type="dxa"/>
            <w:shd w:val="clear" w:color="auto" w:fill="auto"/>
            <w:noWrap/>
            <w:vAlign w:val="bottom"/>
            <w:hideMark/>
          </w:tcPr>
          <w:p w14:paraId="187756B8"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2858</w:t>
            </w:r>
          </w:p>
        </w:tc>
        <w:tc>
          <w:tcPr>
            <w:tcW w:w="1134" w:type="dxa"/>
            <w:shd w:val="clear" w:color="auto" w:fill="auto"/>
            <w:noWrap/>
            <w:vAlign w:val="bottom"/>
            <w:hideMark/>
          </w:tcPr>
          <w:p w14:paraId="3546887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0.148</w:t>
            </w:r>
          </w:p>
        </w:tc>
        <w:tc>
          <w:tcPr>
            <w:tcW w:w="1276" w:type="dxa"/>
            <w:shd w:val="clear" w:color="auto" w:fill="auto"/>
            <w:noWrap/>
            <w:vAlign w:val="bottom"/>
            <w:hideMark/>
          </w:tcPr>
          <w:p w14:paraId="6DED2858"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0.356</w:t>
            </w:r>
          </w:p>
        </w:tc>
        <w:tc>
          <w:tcPr>
            <w:tcW w:w="992" w:type="dxa"/>
            <w:shd w:val="clear" w:color="auto" w:fill="auto"/>
            <w:noWrap/>
            <w:vAlign w:val="bottom"/>
            <w:hideMark/>
          </w:tcPr>
          <w:p w14:paraId="3E31BB3E"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14E91C5B"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26D721A7" w14:textId="77777777" w:rsidTr="005B3A12">
        <w:trPr>
          <w:trHeight w:val="290"/>
        </w:trPr>
        <w:tc>
          <w:tcPr>
            <w:tcW w:w="4183" w:type="dxa"/>
            <w:shd w:val="clear" w:color="auto" w:fill="auto"/>
            <w:noWrap/>
            <w:vAlign w:val="bottom"/>
            <w:hideMark/>
          </w:tcPr>
          <w:p w14:paraId="48850CC6"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Farm wage employment</w:t>
            </w:r>
          </w:p>
        </w:tc>
        <w:tc>
          <w:tcPr>
            <w:tcW w:w="992" w:type="dxa"/>
            <w:shd w:val="clear" w:color="auto" w:fill="auto"/>
            <w:noWrap/>
            <w:vAlign w:val="bottom"/>
            <w:hideMark/>
          </w:tcPr>
          <w:p w14:paraId="3347DCC0"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2858</w:t>
            </w:r>
          </w:p>
        </w:tc>
        <w:tc>
          <w:tcPr>
            <w:tcW w:w="1134" w:type="dxa"/>
            <w:shd w:val="clear" w:color="auto" w:fill="auto"/>
            <w:noWrap/>
            <w:vAlign w:val="bottom"/>
            <w:hideMark/>
          </w:tcPr>
          <w:p w14:paraId="66EC7CE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0.077</w:t>
            </w:r>
          </w:p>
        </w:tc>
        <w:tc>
          <w:tcPr>
            <w:tcW w:w="1276" w:type="dxa"/>
            <w:shd w:val="clear" w:color="auto" w:fill="auto"/>
            <w:noWrap/>
            <w:vAlign w:val="bottom"/>
            <w:hideMark/>
          </w:tcPr>
          <w:p w14:paraId="19808AE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0.266</w:t>
            </w:r>
          </w:p>
        </w:tc>
        <w:tc>
          <w:tcPr>
            <w:tcW w:w="992" w:type="dxa"/>
            <w:shd w:val="clear" w:color="auto" w:fill="auto"/>
            <w:noWrap/>
            <w:vAlign w:val="bottom"/>
            <w:hideMark/>
          </w:tcPr>
          <w:p w14:paraId="735C8ED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40E185CF"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44A882FE" w14:textId="77777777" w:rsidTr="005B3A12">
        <w:trPr>
          <w:trHeight w:val="290"/>
        </w:trPr>
        <w:tc>
          <w:tcPr>
            <w:tcW w:w="4183" w:type="dxa"/>
            <w:shd w:val="clear" w:color="auto" w:fill="auto"/>
            <w:noWrap/>
            <w:vAlign w:val="bottom"/>
            <w:hideMark/>
          </w:tcPr>
          <w:p w14:paraId="2632DA23"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Nonfarm self-employment</w:t>
            </w:r>
          </w:p>
        </w:tc>
        <w:tc>
          <w:tcPr>
            <w:tcW w:w="992" w:type="dxa"/>
            <w:shd w:val="clear" w:color="auto" w:fill="auto"/>
            <w:noWrap/>
            <w:vAlign w:val="bottom"/>
            <w:hideMark/>
          </w:tcPr>
          <w:p w14:paraId="07E73BB9"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2858</w:t>
            </w:r>
          </w:p>
        </w:tc>
        <w:tc>
          <w:tcPr>
            <w:tcW w:w="1134" w:type="dxa"/>
            <w:shd w:val="clear" w:color="auto" w:fill="auto"/>
            <w:noWrap/>
            <w:vAlign w:val="bottom"/>
            <w:hideMark/>
          </w:tcPr>
          <w:p w14:paraId="4CEAD4D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0.285</w:t>
            </w:r>
          </w:p>
        </w:tc>
        <w:tc>
          <w:tcPr>
            <w:tcW w:w="1276" w:type="dxa"/>
            <w:shd w:val="clear" w:color="auto" w:fill="auto"/>
            <w:noWrap/>
            <w:vAlign w:val="bottom"/>
            <w:hideMark/>
          </w:tcPr>
          <w:p w14:paraId="67F5060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0.451</w:t>
            </w:r>
          </w:p>
        </w:tc>
        <w:tc>
          <w:tcPr>
            <w:tcW w:w="992" w:type="dxa"/>
            <w:shd w:val="clear" w:color="auto" w:fill="auto"/>
            <w:noWrap/>
            <w:vAlign w:val="bottom"/>
            <w:hideMark/>
          </w:tcPr>
          <w:p w14:paraId="3DF4983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6B80BB90"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54EAF8C5" w14:textId="77777777" w:rsidTr="005B3A12">
        <w:trPr>
          <w:trHeight w:val="290"/>
        </w:trPr>
        <w:tc>
          <w:tcPr>
            <w:tcW w:w="4183" w:type="dxa"/>
            <w:shd w:val="clear" w:color="auto" w:fill="auto"/>
            <w:noWrap/>
            <w:vAlign w:val="bottom"/>
            <w:hideMark/>
          </w:tcPr>
          <w:p w14:paraId="0FB61189"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On farm employment</w:t>
            </w:r>
          </w:p>
        </w:tc>
        <w:tc>
          <w:tcPr>
            <w:tcW w:w="992" w:type="dxa"/>
            <w:shd w:val="clear" w:color="auto" w:fill="auto"/>
            <w:noWrap/>
            <w:vAlign w:val="bottom"/>
            <w:hideMark/>
          </w:tcPr>
          <w:p w14:paraId="56CB5E4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2858</w:t>
            </w:r>
          </w:p>
        </w:tc>
        <w:tc>
          <w:tcPr>
            <w:tcW w:w="1134" w:type="dxa"/>
            <w:shd w:val="clear" w:color="auto" w:fill="auto"/>
            <w:noWrap/>
            <w:vAlign w:val="bottom"/>
            <w:hideMark/>
          </w:tcPr>
          <w:p w14:paraId="52ECBBC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0.188</w:t>
            </w:r>
          </w:p>
        </w:tc>
        <w:tc>
          <w:tcPr>
            <w:tcW w:w="1276" w:type="dxa"/>
            <w:shd w:val="clear" w:color="auto" w:fill="auto"/>
            <w:noWrap/>
            <w:vAlign w:val="bottom"/>
            <w:hideMark/>
          </w:tcPr>
          <w:p w14:paraId="5EEBE5E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0.390</w:t>
            </w:r>
          </w:p>
        </w:tc>
        <w:tc>
          <w:tcPr>
            <w:tcW w:w="992" w:type="dxa"/>
            <w:shd w:val="clear" w:color="auto" w:fill="auto"/>
            <w:noWrap/>
            <w:vAlign w:val="bottom"/>
            <w:hideMark/>
          </w:tcPr>
          <w:p w14:paraId="1ADED1DE"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7125DF0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614F3848" w14:textId="77777777" w:rsidTr="005B3A12">
        <w:trPr>
          <w:trHeight w:val="290"/>
        </w:trPr>
        <w:tc>
          <w:tcPr>
            <w:tcW w:w="4183" w:type="dxa"/>
            <w:shd w:val="clear" w:color="auto" w:fill="auto"/>
            <w:noWrap/>
            <w:vAlign w:val="bottom"/>
            <w:hideMark/>
          </w:tcPr>
          <w:p w14:paraId="555691EE"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subsistence work</w:t>
            </w:r>
          </w:p>
        </w:tc>
        <w:tc>
          <w:tcPr>
            <w:tcW w:w="992" w:type="dxa"/>
            <w:shd w:val="clear" w:color="auto" w:fill="auto"/>
            <w:noWrap/>
            <w:vAlign w:val="bottom"/>
            <w:hideMark/>
          </w:tcPr>
          <w:p w14:paraId="752934AB"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2858</w:t>
            </w:r>
          </w:p>
        </w:tc>
        <w:tc>
          <w:tcPr>
            <w:tcW w:w="1134" w:type="dxa"/>
            <w:shd w:val="clear" w:color="auto" w:fill="auto"/>
            <w:noWrap/>
            <w:vAlign w:val="bottom"/>
            <w:hideMark/>
          </w:tcPr>
          <w:p w14:paraId="48D682D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0.238</w:t>
            </w:r>
          </w:p>
        </w:tc>
        <w:tc>
          <w:tcPr>
            <w:tcW w:w="1276" w:type="dxa"/>
            <w:shd w:val="clear" w:color="auto" w:fill="auto"/>
            <w:noWrap/>
            <w:vAlign w:val="bottom"/>
            <w:hideMark/>
          </w:tcPr>
          <w:p w14:paraId="6865B87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0.426</w:t>
            </w:r>
          </w:p>
        </w:tc>
        <w:tc>
          <w:tcPr>
            <w:tcW w:w="992" w:type="dxa"/>
            <w:shd w:val="clear" w:color="auto" w:fill="auto"/>
            <w:noWrap/>
            <w:vAlign w:val="bottom"/>
            <w:hideMark/>
          </w:tcPr>
          <w:p w14:paraId="2163531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7A77CF0E"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03A2EB03" w14:textId="77777777" w:rsidTr="005B3A12">
        <w:trPr>
          <w:trHeight w:val="290"/>
        </w:trPr>
        <w:tc>
          <w:tcPr>
            <w:tcW w:w="4183" w:type="dxa"/>
            <w:shd w:val="clear" w:color="auto" w:fill="auto"/>
            <w:noWrap/>
            <w:vAlign w:val="bottom"/>
            <w:hideMark/>
          </w:tcPr>
          <w:p w14:paraId="372F0716"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Unemployed/Not in Labor force</w:t>
            </w:r>
          </w:p>
        </w:tc>
        <w:tc>
          <w:tcPr>
            <w:tcW w:w="992" w:type="dxa"/>
            <w:shd w:val="clear" w:color="auto" w:fill="auto"/>
            <w:noWrap/>
            <w:vAlign w:val="bottom"/>
            <w:hideMark/>
          </w:tcPr>
          <w:p w14:paraId="222FA42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2858</w:t>
            </w:r>
          </w:p>
        </w:tc>
        <w:tc>
          <w:tcPr>
            <w:tcW w:w="1134" w:type="dxa"/>
            <w:shd w:val="clear" w:color="auto" w:fill="auto"/>
            <w:noWrap/>
            <w:vAlign w:val="bottom"/>
            <w:hideMark/>
          </w:tcPr>
          <w:p w14:paraId="18B9E2E9"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0.065</w:t>
            </w:r>
          </w:p>
        </w:tc>
        <w:tc>
          <w:tcPr>
            <w:tcW w:w="1276" w:type="dxa"/>
            <w:shd w:val="clear" w:color="auto" w:fill="auto"/>
            <w:noWrap/>
            <w:vAlign w:val="bottom"/>
            <w:hideMark/>
          </w:tcPr>
          <w:p w14:paraId="2E42BD9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0.246</w:t>
            </w:r>
          </w:p>
        </w:tc>
        <w:tc>
          <w:tcPr>
            <w:tcW w:w="992" w:type="dxa"/>
            <w:shd w:val="clear" w:color="auto" w:fill="auto"/>
            <w:noWrap/>
            <w:vAlign w:val="bottom"/>
            <w:hideMark/>
          </w:tcPr>
          <w:p w14:paraId="5170257E"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565B323B"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53D29E00" w14:textId="77777777" w:rsidTr="005B3A12">
        <w:trPr>
          <w:trHeight w:val="290"/>
        </w:trPr>
        <w:tc>
          <w:tcPr>
            <w:tcW w:w="4183" w:type="dxa"/>
            <w:shd w:val="clear" w:color="auto" w:fill="auto"/>
            <w:noWrap/>
            <w:vAlign w:val="bottom"/>
            <w:hideMark/>
          </w:tcPr>
          <w:p w14:paraId="1C1E82F2" w14:textId="77777777" w:rsidR="007D22CD" w:rsidRPr="008C3AE5" w:rsidRDefault="007D22CD" w:rsidP="00410DEC">
            <w:p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Purpose of the loan</w:t>
            </w:r>
          </w:p>
        </w:tc>
        <w:tc>
          <w:tcPr>
            <w:tcW w:w="992" w:type="dxa"/>
            <w:shd w:val="clear" w:color="auto" w:fill="auto"/>
            <w:noWrap/>
            <w:vAlign w:val="bottom"/>
            <w:hideMark/>
          </w:tcPr>
          <w:p w14:paraId="599241DF"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5AF5FE8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14:paraId="2A33285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14:paraId="079F3F2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0346F28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2E5CAAA7" w14:textId="77777777" w:rsidTr="005B3A12">
        <w:trPr>
          <w:trHeight w:val="290"/>
        </w:trPr>
        <w:tc>
          <w:tcPr>
            <w:tcW w:w="4183" w:type="dxa"/>
            <w:shd w:val="clear" w:color="auto" w:fill="auto"/>
            <w:noWrap/>
            <w:vAlign w:val="bottom"/>
            <w:hideMark/>
          </w:tcPr>
          <w:p w14:paraId="52043CFE"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 xml:space="preserve">Consumptive-purpose of loan </w:t>
            </w:r>
          </w:p>
        </w:tc>
        <w:tc>
          <w:tcPr>
            <w:tcW w:w="992" w:type="dxa"/>
            <w:shd w:val="clear" w:color="auto" w:fill="auto"/>
            <w:noWrap/>
            <w:vAlign w:val="bottom"/>
            <w:hideMark/>
          </w:tcPr>
          <w:p w14:paraId="07A4C8B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14:paraId="57B4282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0.759</w:t>
            </w:r>
          </w:p>
        </w:tc>
        <w:tc>
          <w:tcPr>
            <w:tcW w:w="1276" w:type="dxa"/>
            <w:shd w:val="clear" w:color="auto" w:fill="auto"/>
            <w:noWrap/>
            <w:vAlign w:val="bottom"/>
            <w:hideMark/>
          </w:tcPr>
          <w:p w14:paraId="3574878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0.428</w:t>
            </w:r>
          </w:p>
        </w:tc>
        <w:tc>
          <w:tcPr>
            <w:tcW w:w="992" w:type="dxa"/>
            <w:shd w:val="clear" w:color="auto" w:fill="auto"/>
            <w:noWrap/>
            <w:vAlign w:val="bottom"/>
            <w:hideMark/>
          </w:tcPr>
          <w:p w14:paraId="5280247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19034AE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2F31CF07" w14:textId="77777777" w:rsidTr="005B3A12">
        <w:trPr>
          <w:trHeight w:val="290"/>
        </w:trPr>
        <w:tc>
          <w:tcPr>
            <w:tcW w:w="4183" w:type="dxa"/>
            <w:shd w:val="clear" w:color="auto" w:fill="auto"/>
            <w:noWrap/>
            <w:vAlign w:val="bottom"/>
            <w:hideMark/>
          </w:tcPr>
          <w:p w14:paraId="340B8762"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Productive-Purpose of loan</w:t>
            </w:r>
          </w:p>
        </w:tc>
        <w:tc>
          <w:tcPr>
            <w:tcW w:w="992" w:type="dxa"/>
            <w:shd w:val="clear" w:color="auto" w:fill="auto"/>
            <w:noWrap/>
            <w:vAlign w:val="bottom"/>
            <w:hideMark/>
          </w:tcPr>
          <w:p w14:paraId="395595B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14:paraId="235D628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0.241</w:t>
            </w:r>
          </w:p>
        </w:tc>
        <w:tc>
          <w:tcPr>
            <w:tcW w:w="1276" w:type="dxa"/>
            <w:shd w:val="clear" w:color="auto" w:fill="auto"/>
            <w:noWrap/>
            <w:vAlign w:val="bottom"/>
            <w:hideMark/>
          </w:tcPr>
          <w:p w14:paraId="50998EB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0.428</w:t>
            </w:r>
          </w:p>
        </w:tc>
        <w:tc>
          <w:tcPr>
            <w:tcW w:w="992" w:type="dxa"/>
            <w:shd w:val="clear" w:color="auto" w:fill="auto"/>
            <w:noWrap/>
            <w:vAlign w:val="bottom"/>
            <w:hideMark/>
          </w:tcPr>
          <w:p w14:paraId="2E05BD4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2D3A433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7FD063E5" w14:textId="77777777" w:rsidTr="005B3A12">
        <w:trPr>
          <w:trHeight w:val="290"/>
        </w:trPr>
        <w:tc>
          <w:tcPr>
            <w:tcW w:w="4183" w:type="dxa"/>
            <w:shd w:val="clear" w:color="auto" w:fill="auto"/>
            <w:noWrap/>
            <w:vAlign w:val="bottom"/>
            <w:hideMark/>
          </w:tcPr>
          <w:p w14:paraId="24E019E9" w14:textId="77777777" w:rsidR="007D22CD" w:rsidRPr="008C3AE5" w:rsidRDefault="007D22CD" w:rsidP="00410DEC">
            <w:p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Residence</w:t>
            </w:r>
          </w:p>
        </w:tc>
        <w:tc>
          <w:tcPr>
            <w:tcW w:w="992" w:type="dxa"/>
            <w:shd w:val="clear" w:color="auto" w:fill="auto"/>
            <w:noWrap/>
            <w:vAlign w:val="bottom"/>
            <w:hideMark/>
          </w:tcPr>
          <w:p w14:paraId="444EB55E"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1A90BA0E"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14:paraId="3D3E7BEF"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14:paraId="2125594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30DF411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1A222896" w14:textId="77777777" w:rsidTr="005B3A12">
        <w:trPr>
          <w:trHeight w:val="290"/>
        </w:trPr>
        <w:tc>
          <w:tcPr>
            <w:tcW w:w="4183" w:type="dxa"/>
            <w:shd w:val="clear" w:color="auto" w:fill="auto"/>
            <w:noWrap/>
            <w:vAlign w:val="bottom"/>
            <w:hideMark/>
          </w:tcPr>
          <w:p w14:paraId="78953AE7"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Rural</w:t>
            </w:r>
          </w:p>
        </w:tc>
        <w:tc>
          <w:tcPr>
            <w:tcW w:w="992" w:type="dxa"/>
            <w:shd w:val="clear" w:color="auto" w:fill="auto"/>
            <w:noWrap/>
            <w:vAlign w:val="bottom"/>
            <w:hideMark/>
          </w:tcPr>
          <w:p w14:paraId="1001B3B8"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14:paraId="2C5860C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0.779</w:t>
            </w:r>
          </w:p>
        </w:tc>
        <w:tc>
          <w:tcPr>
            <w:tcW w:w="1276" w:type="dxa"/>
            <w:shd w:val="clear" w:color="auto" w:fill="auto"/>
            <w:noWrap/>
            <w:vAlign w:val="bottom"/>
            <w:hideMark/>
          </w:tcPr>
          <w:p w14:paraId="558672D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0.415</w:t>
            </w:r>
          </w:p>
        </w:tc>
        <w:tc>
          <w:tcPr>
            <w:tcW w:w="992" w:type="dxa"/>
            <w:shd w:val="clear" w:color="auto" w:fill="auto"/>
            <w:noWrap/>
            <w:vAlign w:val="bottom"/>
            <w:hideMark/>
          </w:tcPr>
          <w:p w14:paraId="21F057D5"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1C6642E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31318CB1" w14:textId="77777777" w:rsidTr="005B3A12">
        <w:trPr>
          <w:trHeight w:val="290"/>
        </w:trPr>
        <w:tc>
          <w:tcPr>
            <w:tcW w:w="4183" w:type="dxa"/>
            <w:shd w:val="clear" w:color="auto" w:fill="auto"/>
            <w:noWrap/>
            <w:vAlign w:val="bottom"/>
            <w:hideMark/>
          </w:tcPr>
          <w:p w14:paraId="2B7BB598"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Urban</w:t>
            </w:r>
          </w:p>
        </w:tc>
        <w:tc>
          <w:tcPr>
            <w:tcW w:w="992" w:type="dxa"/>
            <w:shd w:val="clear" w:color="auto" w:fill="auto"/>
            <w:noWrap/>
            <w:vAlign w:val="bottom"/>
            <w:hideMark/>
          </w:tcPr>
          <w:p w14:paraId="43F25D6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3173</w:t>
            </w:r>
          </w:p>
        </w:tc>
        <w:tc>
          <w:tcPr>
            <w:tcW w:w="1134" w:type="dxa"/>
            <w:shd w:val="clear" w:color="auto" w:fill="auto"/>
            <w:noWrap/>
            <w:vAlign w:val="bottom"/>
            <w:hideMark/>
          </w:tcPr>
          <w:p w14:paraId="43F6732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0.221</w:t>
            </w:r>
          </w:p>
        </w:tc>
        <w:tc>
          <w:tcPr>
            <w:tcW w:w="1276" w:type="dxa"/>
            <w:shd w:val="clear" w:color="auto" w:fill="auto"/>
            <w:noWrap/>
            <w:vAlign w:val="bottom"/>
            <w:hideMark/>
          </w:tcPr>
          <w:p w14:paraId="60ABF86E"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0.415</w:t>
            </w:r>
          </w:p>
        </w:tc>
        <w:tc>
          <w:tcPr>
            <w:tcW w:w="992" w:type="dxa"/>
            <w:shd w:val="clear" w:color="auto" w:fill="auto"/>
            <w:noWrap/>
            <w:vAlign w:val="bottom"/>
            <w:hideMark/>
          </w:tcPr>
          <w:p w14:paraId="4066715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35163D1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40898452" w14:textId="77777777" w:rsidTr="005B3A12">
        <w:trPr>
          <w:trHeight w:val="290"/>
        </w:trPr>
        <w:tc>
          <w:tcPr>
            <w:tcW w:w="4183" w:type="dxa"/>
            <w:shd w:val="clear" w:color="auto" w:fill="auto"/>
            <w:noWrap/>
            <w:vAlign w:val="bottom"/>
            <w:hideMark/>
          </w:tcPr>
          <w:p w14:paraId="54EF4222" w14:textId="77777777" w:rsidR="007D22CD" w:rsidRPr="008C3AE5" w:rsidRDefault="007D22CD" w:rsidP="00410DEC">
            <w:pPr>
              <w:spacing w:after="0" w:line="240" w:lineRule="auto"/>
              <w:jc w:val="both"/>
              <w:rPr>
                <w:rFonts w:ascii="Times New Roman" w:eastAsia="Times New Roman" w:hAnsi="Times New Roman" w:cs="Times New Roman"/>
                <w:b/>
                <w:color w:val="000000"/>
                <w:sz w:val="24"/>
                <w:szCs w:val="24"/>
              </w:rPr>
            </w:pPr>
            <w:r w:rsidRPr="008C3AE5">
              <w:rPr>
                <w:rFonts w:ascii="Times New Roman" w:eastAsia="Times New Roman" w:hAnsi="Times New Roman" w:cs="Times New Roman"/>
                <w:b/>
                <w:color w:val="000000"/>
                <w:sz w:val="24"/>
                <w:szCs w:val="24"/>
              </w:rPr>
              <w:t>Dwelling type</w:t>
            </w:r>
          </w:p>
        </w:tc>
        <w:tc>
          <w:tcPr>
            <w:tcW w:w="992" w:type="dxa"/>
            <w:shd w:val="clear" w:color="auto" w:fill="auto"/>
            <w:noWrap/>
            <w:vAlign w:val="bottom"/>
            <w:hideMark/>
          </w:tcPr>
          <w:p w14:paraId="79C8F86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2DEE7065"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14:paraId="2F5A989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14:paraId="419D117B"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41B464B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47FEAAFC" w14:textId="77777777" w:rsidTr="005B3A12">
        <w:trPr>
          <w:trHeight w:val="290"/>
        </w:trPr>
        <w:tc>
          <w:tcPr>
            <w:tcW w:w="4183" w:type="dxa"/>
            <w:shd w:val="clear" w:color="auto" w:fill="auto"/>
            <w:noWrap/>
            <w:vAlign w:val="bottom"/>
            <w:hideMark/>
          </w:tcPr>
          <w:p w14:paraId="76A61993"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House</w:t>
            </w:r>
          </w:p>
        </w:tc>
        <w:tc>
          <w:tcPr>
            <w:tcW w:w="992" w:type="dxa"/>
            <w:shd w:val="clear" w:color="auto" w:fill="auto"/>
            <w:noWrap/>
            <w:vAlign w:val="bottom"/>
            <w:hideMark/>
          </w:tcPr>
          <w:p w14:paraId="5D3009C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3172</w:t>
            </w:r>
          </w:p>
        </w:tc>
        <w:tc>
          <w:tcPr>
            <w:tcW w:w="1134" w:type="dxa"/>
            <w:shd w:val="clear" w:color="auto" w:fill="auto"/>
            <w:noWrap/>
            <w:vAlign w:val="bottom"/>
            <w:hideMark/>
          </w:tcPr>
          <w:p w14:paraId="16F4B87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0.755</w:t>
            </w:r>
          </w:p>
        </w:tc>
        <w:tc>
          <w:tcPr>
            <w:tcW w:w="1276" w:type="dxa"/>
            <w:shd w:val="clear" w:color="auto" w:fill="auto"/>
            <w:noWrap/>
            <w:vAlign w:val="bottom"/>
            <w:hideMark/>
          </w:tcPr>
          <w:p w14:paraId="45549F0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0.430</w:t>
            </w:r>
          </w:p>
        </w:tc>
        <w:tc>
          <w:tcPr>
            <w:tcW w:w="992" w:type="dxa"/>
            <w:shd w:val="clear" w:color="auto" w:fill="auto"/>
            <w:noWrap/>
            <w:vAlign w:val="bottom"/>
            <w:hideMark/>
          </w:tcPr>
          <w:p w14:paraId="5A653FBB"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794ADC9F"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4B82C35A" w14:textId="77777777" w:rsidTr="005B3A12">
        <w:trPr>
          <w:trHeight w:val="290"/>
        </w:trPr>
        <w:tc>
          <w:tcPr>
            <w:tcW w:w="4183" w:type="dxa"/>
            <w:shd w:val="clear" w:color="auto" w:fill="auto"/>
            <w:noWrap/>
            <w:vAlign w:val="bottom"/>
            <w:hideMark/>
          </w:tcPr>
          <w:p w14:paraId="0FF25CB1"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proofErr w:type="spellStart"/>
            <w:r w:rsidRPr="008C3AE5">
              <w:rPr>
                <w:rFonts w:ascii="Times New Roman" w:eastAsia="Times New Roman" w:hAnsi="Times New Roman" w:cs="Times New Roman"/>
                <w:color w:val="000000"/>
                <w:sz w:val="24"/>
                <w:szCs w:val="24"/>
              </w:rPr>
              <w:t>Muzigo</w:t>
            </w:r>
            <w:proofErr w:type="spellEnd"/>
          </w:p>
        </w:tc>
        <w:tc>
          <w:tcPr>
            <w:tcW w:w="992" w:type="dxa"/>
            <w:shd w:val="clear" w:color="auto" w:fill="auto"/>
            <w:noWrap/>
            <w:vAlign w:val="bottom"/>
            <w:hideMark/>
          </w:tcPr>
          <w:p w14:paraId="5FDAAF4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3172</w:t>
            </w:r>
          </w:p>
        </w:tc>
        <w:tc>
          <w:tcPr>
            <w:tcW w:w="1134" w:type="dxa"/>
            <w:shd w:val="clear" w:color="auto" w:fill="auto"/>
            <w:noWrap/>
            <w:vAlign w:val="bottom"/>
            <w:hideMark/>
          </w:tcPr>
          <w:p w14:paraId="6383A48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0.102</w:t>
            </w:r>
          </w:p>
        </w:tc>
        <w:tc>
          <w:tcPr>
            <w:tcW w:w="1276" w:type="dxa"/>
            <w:shd w:val="clear" w:color="auto" w:fill="auto"/>
            <w:noWrap/>
            <w:vAlign w:val="bottom"/>
            <w:hideMark/>
          </w:tcPr>
          <w:p w14:paraId="4C4C293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0.303</w:t>
            </w:r>
          </w:p>
        </w:tc>
        <w:tc>
          <w:tcPr>
            <w:tcW w:w="992" w:type="dxa"/>
            <w:shd w:val="clear" w:color="auto" w:fill="auto"/>
            <w:noWrap/>
            <w:vAlign w:val="bottom"/>
            <w:hideMark/>
          </w:tcPr>
          <w:p w14:paraId="20D6BA3E"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68B38F0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2261806C" w14:textId="77777777" w:rsidTr="005B3A12">
        <w:trPr>
          <w:trHeight w:val="290"/>
        </w:trPr>
        <w:tc>
          <w:tcPr>
            <w:tcW w:w="4183" w:type="dxa"/>
            <w:shd w:val="clear" w:color="auto" w:fill="auto"/>
            <w:noWrap/>
            <w:vAlign w:val="bottom"/>
            <w:hideMark/>
          </w:tcPr>
          <w:p w14:paraId="728D3C4B"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Hut</w:t>
            </w:r>
          </w:p>
        </w:tc>
        <w:tc>
          <w:tcPr>
            <w:tcW w:w="992" w:type="dxa"/>
            <w:shd w:val="clear" w:color="auto" w:fill="auto"/>
            <w:noWrap/>
            <w:vAlign w:val="bottom"/>
            <w:hideMark/>
          </w:tcPr>
          <w:p w14:paraId="2F4EF8F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3172</w:t>
            </w:r>
          </w:p>
        </w:tc>
        <w:tc>
          <w:tcPr>
            <w:tcW w:w="1134" w:type="dxa"/>
            <w:shd w:val="clear" w:color="auto" w:fill="auto"/>
            <w:noWrap/>
            <w:vAlign w:val="bottom"/>
            <w:hideMark/>
          </w:tcPr>
          <w:p w14:paraId="03B1EEFB"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0.138</w:t>
            </w:r>
          </w:p>
        </w:tc>
        <w:tc>
          <w:tcPr>
            <w:tcW w:w="1276" w:type="dxa"/>
            <w:shd w:val="clear" w:color="auto" w:fill="auto"/>
            <w:noWrap/>
            <w:vAlign w:val="bottom"/>
            <w:hideMark/>
          </w:tcPr>
          <w:p w14:paraId="5C29BF1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0.345</w:t>
            </w:r>
          </w:p>
        </w:tc>
        <w:tc>
          <w:tcPr>
            <w:tcW w:w="992" w:type="dxa"/>
            <w:shd w:val="clear" w:color="auto" w:fill="auto"/>
            <w:noWrap/>
            <w:vAlign w:val="bottom"/>
            <w:hideMark/>
          </w:tcPr>
          <w:p w14:paraId="4894C021"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0D9B859D"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0BB47D6D" w14:textId="77777777" w:rsidTr="005B3A12">
        <w:trPr>
          <w:trHeight w:val="290"/>
        </w:trPr>
        <w:tc>
          <w:tcPr>
            <w:tcW w:w="4183" w:type="dxa"/>
            <w:shd w:val="clear" w:color="auto" w:fill="auto"/>
            <w:noWrap/>
            <w:vAlign w:val="bottom"/>
            <w:hideMark/>
          </w:tcPr>
          <w:p w14:paraId="11888568" w14:textId="77777777" w:rsidR="007D22CD" w:rsidRPr="008C3AE5" w:rsidRDefault="007D22CD" w:rsidP="00410DEC">
            <w:pPr>
              <w:spacing w:after="0" w:line="240" w:lineRule="auto"/>
              <w:jc w:val="both"/>
              <w:rPr>
                <w:rFonts w:ascii="Times New Roman" w:eastAsia="Times New Roman" w:hAnsi="Times New Roman" w:cs="Times New Roman"/>
                <w:b/>
                <w:color w:val="000000"/>
                <w:sz w:val="24"/>
                <w:szCs w:val="24"/>
              </w:rPr>
            </w:pPr>
            <w:r w:rsidRPr="008C3AE5">
              <w:rPr>
                <w:rFonts w:ascii="Times New Roman" w:eastAsia="Times New Roman" w:hAnsi="Times New Roman" w:cs="Times New Roman"/>
                <w:b/>
                <w:color w:val="000000"/>
                <w:sz w:val="24"/>
                <w:szCs w:val="24"/>
              </w:rPr>
              <w:t>Type of roof</w:t>
            </w:r>
          </w:p>
        </w:tc>
        <w:tc>
          <w:tcPr>
            <w:tcW w:w="992" w:type="dxa"/>
            <w:shd w:val="clear" w:color="auto" w:fill="auto"/>
            <w:noWrap/>
            <w:vAlign w:val="bottom"/>
            <w:hideMark/>
          </w:tcPr>
          <w:p w14:paraId="3D7295E9"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6FEDEF2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14:paraId="15FC670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14:paraId="0F09A335"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7FC6E10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5CA88908" w14:textId="77777777" w:rsidTr="005B3A12">
        <w:trPr>
          <w:trHeight w:val="290"/>
        </w:trPr>
        <w:tc>
          <w:tcPr>
            <w:tcW w:w="4183" w:type="dxa"/>
            <w:shd w:val="clear" w:color="auto" w:fill="auto"/>
            <w:noWrap/>
            <w:vAlign w:val="bottom"/>
            <w:hideMark/>
          </w:tcPr>
          <w:p w14:paraId="263C8003"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Temporary roof</w:t>
            </w:r>
          </w:p>
        </w:tc>
        <w:tc>
          <w:tcPr>
            <w:tcW w:w="992" w:type="dxa"/>
            <w:shd w:val="clear" w:color="auto" w:fill="auto"/>
            <w:noWrap/>
            <w:vAlign w:val="bottom"/>
            <w:hideMark/>
          </w:tcPr>
          <w:p w14:paraId="7A07BC8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3171</w:t>
            </w:r>
          </w:p>
        </w:tc>
        <w:tc>
          <w:tcPr>
            <w:tcW w:w="1134" w:type="dxa"/>
            <w:shd w:val="clear" w:color="auto" w:fill="auto"/>
            <w:noWrap/>
            <w:vAlign w:val="bottom"/>
            <w:hideMark/>
          </w:tcPr>
          <w:p w14:paraId="15D81475"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0.269</w:t>
            </w:r>
          </w:p>
        </w:tc>
        <w:tc>
          <w:tcPr>
            <w:tcW w:w="1276" w:type="dxa"/>
            <w:shd w:val="clear" w:color="auto" w:fill="auto"/>
            <w:noWrap/>
            <w:vAlign w:val="bottom"/>
            <w:hideMark/>
          </w:tcPr>
          <w:p w14:paraId="1D9593C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0.443</w:t>
            </w:r>
          </w:p>
        </w:tc>
        <w:tc>
          <w:tcPr>
            <w:tcW w:w="992" w:type="dxa"/>
            <w:shd w:val="clear" w:color="auto" w:fill="auto"/>
            <w:noWrap/>
            <w:vAlign w:val="bottom"/>
            <w:hideMark/>
          </w:tcPr>
          <w:p w14:paraId="0E526FB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0B948B1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2FFEA481" w14:textId="77777777" w:rsidTr="005B3A12">
        <w:trPr>
          <w:trHeight w:val="290"/>
        </w:trPr>
        <w:tc>
          <w:tcPr>
            <w:tcW w:w="4183" w:type="dxa"/>
            <w:shd w:val="clear" w:color="auto" w:fill="auto"/>
            <w:noWrap/>
            <w:vAlign w:val="bottom"/>
            <w:hideMark/>
          </w:tcPr>
          <w:p w14:paraId="489DE108" w14:textId="77777777" w:rsidR="007D22CD" w:rsidRPr="008C3AE5"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Permanent roof</w:t>
            </w:r>
          </w:p>
        </w:tc>
        <w:tc>
          <w:tcPr>
            <w:tcW w:w="992" w:type="dxa"/>
            <w:shd w:val="clear" w:color="auto" w:fill="auto"/>
            <w:noWrap/>
            <w:vAlign w:val="bottom"/>
            <w:hideMark/>
          </w:tcPr>
          <w:p w14:paraId="6BCEC3A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3171</w:t>
            </w:r>
          </w:p>
        </w:tc>
        <w:tc>
          <w:tcPr>
            <w:tcW w:w="1134" w:type="dxa"/>
            <w:shd w:val="clear" w:color="auto" w:fill="auto"/>
            <w:noWrap/>
            <w:vAlign w:val="bottom"/>
            <w:hideMark/>
          </w:tcPr>
          <w:p w14:paraId="7635A088"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0.731</w:t>
            </w:r>
          </w:p>
        </w:tc>
        <w:tc>
          <w:tcPr>
            <w:tcW w:w="1276" w:type="dxa"/>
            <w:shd w:val="clear" w:color="auto" w:fill="auto"/>
            <w:noWrap/>
            <w:vAlign w:val="bottom"/>
            <w:hideMark/>
          </w:tcPr>
          <w:p w14:paraId="025C75C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0.443</w:t>
            </w:r>
          </w:p>
        </w:tc>
        <w:tc>
          <w:tcPr>
            <w:tcW w:w="992" w:type="dxa"/>
            <w:shd w:val="clear" w:color="auto" w:fill="auto"/>
            <w:noWrap/>
            <w:vAlign w:val="bottom"/>
            <w:hideMark/>
          </w:tcPr>
          <w:p w14:paraId="301EE3D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2C18018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6EC27871" w14:textId="77777777" w:rsidTr="005B3A12">
        <w:trPr>
          <w:trHeight w:val="290"/>
        </w:trPr>
        <w:tc>
          <w:tcPr>
            <w:tcW w:w="4183" w:type="dxa"/>
            <w:shd w:val="clear" w:color="auto" w:fill="auto"/>
            <w:noWrap/>
            <w:vAlign w:val="bottom"/>
            <w:hideMark/>
          </w:tcPr>
          <w:p w14:paraId="56F9BF41" w14:textId="77777777" w:rsidR="007D22CD" w:rsidRPr="008C3AE5" w:rsidRDefault="007D22CD" w:rsidP="00410DEC">
            <w:pPr>
              <w:spacing w:after="0" w:line="240" w:lineRule="auto"/>
              <w:jc w:val="both"/>
              <w:rPr>
                <w:rFonts w:ascii="Times New Roman" w:eastAsia="Times New Roman" w:hAnsi="Times New Roman" w:cs="Times New Roman"/>
                <w:b/>
                <w:color w:val="000000"/>
                <w:sz w:val="24"/>
                <w:szCs w:val="24"/>
              </w:rPr>
            </w:pPr>
            <w:proofErr w:type="gramStart"/>
            <w:r w:rsidRPr="008C3AE5">
              <w:rPr>
                <w:rFonts w:ascii="Times New Roman" w:eastAsia="Times New Roman" w:hAnsi="Times New Roman" w:cs="Times New Roman"/>
                <w:b/>
                <w:color w:val="000000"/>
                <w:sz w:val="24"/>
                <w:szCs w:val="24"/>
              </w:rPr>
              <w:t>Type  of</w:t>
            </w:r>
            <w:proofErr w:type="gramEnd"/>
            <w:r w:rsidRPr="008C3AE5">
              <w:rPr>
                <w:rFonts w:ascii="Times New Roman" w:eastAsia="Times New Roman" w:hAnsi="Times New Roman" w:cs="Times New Roman"/>
                <w:b/>
                <w:color w:val="000000"/>
                <w:sz w:val="24"/>
                <w:szCs w:val="24"/>
              </w:rPr>
              <w:t xml:space="preserve"> floor</w:t>
            </w:r>
          </w:p>
        </w:tc>
        <w:tc>
          <w:tcPr>
            <w:tcW w:w="992" w:type="dxa"/>
            <w:shd w:val="clear" w:color="auto" w:fill="auto"/>
            <w:noWrap/>
            <w:vAlign w:val="bottom"/>
            <w:hideMark/>
          </w:tcPr>
          <w:p w14:paraId="462B0B0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7C52493A"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shd w:val="clear" w:color="auto" w:fill="auto"/>
            <w:noWrap/>
            <w:vAlign w:val="bottom"/>
            <w:hideMark/>
          </w:tcPr>
          <w:p w14:paraId="7BD03FC9"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noWrap/>
            <w:vAlign w:val="bottom"/>
            <w:hideMark/>
          </w:tcPr>
          <w:p w14:paraId="7F2BFCD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14:paraId="558F1FC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412638F6" w14:textId="77777777" w:rsidTr="005B3A12">
        <w:trPr>
          <w:trHeight w:val="290"/>
        </w:trPr>
        <w:tc>
          <w:tcPr>
            <w:tcW w:w="4183" w:type="dxa"/>
            <w:shd w:val="clear" w:color="auto" w:fill="auto"/>
            <w:noWrap/>
            <w:vAlign w:val="bottom"/>
            <w:hideMark/>
          </w:tcPr>
          <w:p w14:paraId="359389E0" w14:textId="77777777" w:rsidR="007D22CD" w:rsidRPr="008C3AE5" w:rsidRDefault="007D22CD" w:rsidP="00410DEC">
            <w:p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Temporary floor</w:t>
            </w:r>
          </w:p>
        </w:tc>
        <w:tc>
          <w:tcPr>
            <w:tcW w:w="992" w:type="dxa"/>
            <w:shd w:val="clear" w:color="auto" w:fill="auto"/>
            <w:noWrap/>
            <w:vAlign w:val="bottom"/>
            <w:hideMark/>
          </w:tcPr>
          <w:p w14:paraId="781D35E8"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3171</w:t>
            </w:r>
          </w:p>
        </w:tc>
        <w:tc>
          <w:tcPr>
            <w:tcW w:w="1134" w:type="dxa"/>
            <w:shd w:val="clear" w:color="auto" w:fill="auto"/>
            <w:noWrap/>
            <w:vAlign w:val="bottom"/>
            <w:hideMark/>
          </w:tcPr>
          <w:p w14:paraId="13A9F5D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0.619</w:t>
            </w:r>
          </w:p>
        </w:tc>
        <w:tc>
          <w:tcPr>
            <w:tcW w:w="1276" w:type="dxa"/>
            <w:shd w:val="clear" w:color="auto" w:fill="auto"/>
            <w:noWrap/>
            <w:vAlign w:val="bottom"/>
            <w:hideMark/>
          </w:tcPr>
          <w:p w14:paraId="7A4872E5"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0.486</w:t>
            </w:r>
          </w:p>
        </w:tc>
        <w:tc>
          <w:tcPr>
            <w:tcW w:w="992" w:type="dxa"/>
            <w:shd w:val="clear" w:color="auto" w:fill="auto"/>
            <w:noWrap/>
            <w:vAlign w:val="bottom"/>
            <w:hideMark/>
          </w:tcPr>
          <w:p w14:paraId="486CB3D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0D3B9094"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23ADF596" w14:textId="77777777" w:rsidTr="005B3A12">
        <w:trPr>
          <w:trHeight w:val="290"/>
        </w:trPr>
        <w:tc>
          <w:tcPr>
            <w:tcW w:w="4183" w:type="dxa"/>
            <w:shd w:val="clear" w:color="auto" w:fill="auto"/>
            <w:noWrap/>
            <w:vAlign w:val="bottom"/>
            <w:hideMark/>
          </w:tcPr>
          <w:p w14:paraId="7263FBDF" w14:textId="77777777" w:rsidR="007D22CD" w:rsidRPr="008C3AE5" w:rsidRDefault="007D22CD" w:rsidP="00410DEC">
            <w:pPr>
              <w:spacing w:after="0" w:line="240" w:lineRule="auto"/>
              <w:jc w:val="both"/>
              <w:rPr>
                <w:rFonts w:ascii="Times New Roman" w:eastAsia="Times New Roman" w:hAnsi="Times New Roman" w:cs="Times New Roman"/>
                <w:color w:val="000000"/>
                <w:sz w:val="24"/>
                <w:szCs w:val="24"/>
              </w:rPr>
            </w:pPr>
            <w:proofErr w:type="gramStart"/>
            <w:r w:rsidRPr="008C3AE5">
              <w:rPr>
                <w:rFonts w:ascii="Times New Roman" w:eastAsia="Times New Roman" w:hAnsi="Times New Roman" w:cs="Times New Roman"/>
                <w:color w:val="000000"/>
                <w:sz w:val="24"/>
                <w:szCs w:val="24"/>
              </w:rPr>
              <w:t>Permanent  floor</w:t>
            </w:r>
            <w:proofErr w:type="gramEnd"/>
          </w:p>
        </w:tc>
        <w:tc>
          <w:tcPr>
            <w:tcW w:w="992" w:type="dxa"/>
            <w:shd w:val="clear" w:color="auto" w:fill="auto"/>
            <w:noWrap/>
            <w:vAlign w:val="bottom"/>
            <w:hideMark/>
          </w:tcPr>
          <w:p w14:paraId="00C2974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3171</w:t>
            </w:r>
          </w:p>
        </w:tc>
        <w:tc>
          <w:tcPr>
            <w:tcW w:w="1134" w:type="dxa"/>
            <w:shd w:val="clear" w:color="auto" w:fill="auto"/>
            <w:noWrap/>
            <w:vAlign w:val="bottom"/>
            <w:hideMark/>
          </w:tcPr>
          <w:p w14:paraId="4432E6B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0.381</w:t>
            </w:r>
          </w:p>
        </w:tc>
        <w:tc>
          <w:tcPr>
            <w:tcW w:w="1276" w:type="dxa"/>
            <w:shd w:val="clear" w:color="auto" w:fill="auto"/>
            <w:noWrap/>
            <w:vAlign w:val="bottom"/>
            <w:hideMark/>
          </w:tcPr>
          <w:p w14:paraId="6FC91B5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0.486</w:t>
            </w:r>
          </w:p>
        </w:tc>
        <w:tc>
          <w:tcPr>
            <w:tcW w:w="992" w:type="dxa"/>
            <w:shd w:val="clear" w:color="auto" w:fill="auto"/>
            <w:noWrap/>
            <w:vAlign w:val="bottom"/>
            <w:hideMark/>
          </w:tcPr>
          <w:p w14:paraId="112A0A3C"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0</w:t>
            </w:r>
          </w:p>
        </w:tc>
        <w:tc>
          <w:tcPr>
            <w:tcW w:w="1134" w:type="dxa"/>
            <w:shd w:val="clear" w:color="auto" w:fill="auto"/>
            <w:noWrap/>
            <w:vAlign w:val="bottom"/>
            <w:hideMark/>
          </w:tcPr>
          <w:p w14:paraId="14D75393"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w:t>
            </w:r>
          </w:p>
        </w:tc>
      </w:tr>
      <w:tr w:rsidR="007D22CD" w:rsidRPr="00410DEC" w14:paraId="781584BB" w14:textId="77777777" w:rsidTr="005B3A12">
        <w:trPr>
          <w:trHeight w:val="290"/>
        </w:trPr>
        <w:tc>
          <w:tcPr>
            <w:tcW w:w="4183" w:type="dxa"/>
            <w:shd w:val="clear" w:color="auto" w:fill="auto"/>
            <w:noWrap/>
            <w:vAlign w:val="bottom"/>
            <w:hideMark/>
          </w:tcPr>
          <w:p w14:paraId="63B34465" w14:textId="77777777" w:rsidR="007D22CD" w:rsidRPr="008C3AE5" w:rsidRDefault="007D22CD" w:rsidP="00410DEC">
            <w:pPr>
              <w:spacing w:after="0" w:line="240" w:lineRule="auto"/>
              <w:jc w:val="both"/>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lastRenderedPageBreak/>
              <w:t>Household head age</w:t>
            </w:r>
          </w:p>
        </w:tc>
        <w:tc>
          <w:tcPr>
            <w:tcW w:w="992" w:type="dxa"/>
            <w:shd w:val="clear" w:color="auto" w:fill="auto"/>
            <w:noWrap/>
            <w:vAlign w:val="bottom"/>
            <w:hideMark/>
          </w:tcPr>
          <w:p w14:paraId="6F53CCC7"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3172</w:t>
            </w:r>
          </w:p>
        </w:tc>
        <w:tc>
          <w:tcPr>
            <w:tcW w:w="1134" w:type="dxa"/>
            <w:shd w:val="clear" w:color="auto" w:fill="auto"/>
            <w:noWrap/>
            <w:vAlign w:val="bottom"/>
            <w:hideMark/>
          </w:tcPr>
          <w:p w14:paraId="7CE3D25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45.019</w:t>
            </w:r>
          </w:p>
        </w:tc>
        <w:tc>
          <w:tcPr>
            <w:tcW w:w="1276" w:type="dxa"/>
            <w:shd w:val="clear" w:color="auto" w:fill="auto"/>
            <w:noWrap/>
            <w:vAlign w:val="bottom"/>
            <w:hideMark/>
          </w:tcPr>
          <w:p w14:paraId="4B088082"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13.528</w:t>
            </w:r>
          </w:p>
        </w:tc>
        <w:tc>
          <w:tcPr>
            <w:tcW w:w="992" w:type="dxa"/>
            <w:shd w:val="clear" w:color="auto" w:fill="auto"/>
            <w:noWrap/>
            <w:vAlign w:val="bottom"/>
            <w:hideMark/>
          </w:tcPr>
          <w:p w14:paraId="2036EAA6"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18</w:t>
            </w:r>
          </w:p>
        </w:tc>
        <w:tc>
          <w:tcPr>
            <w:tcW w:w="1134" w:type="dxa"/>
            <w:shd w:val="clear" w:color="auto" w:fill="auto"/>
            <w:noWrap/>
            <w:vAlign w:val="bottom"/>
            <w:hideMark/>
          </w:tcPr>
          <w:p w14:paraId="75D49999" w14:textId="77777777" w:rsidR="007D22CD" w:rsidRPr="008C3AE5" w:rsidRDefault="007D22CD" w:rsidP="00410DEC">
            <w:pPr>
              <w:spacing w:after="0" w:line="240" w:lineRule="auto"/>
              <w:jc w:val="center"/>
              <w:rPr>
                <w:rFonts w:ascii="Times New Roman" w:eastAsia="Times New Roman" w:hAnsi="Times New Roman" w:cs="Times New Roman"/>
                <w:color w:val="000000"/>
                <w:sz w:val="24"/>
                <w:szCs w:val="24"/>
              </w:rPr>
            </w:pPr>
            <w:r w:rsidRPr="008C3AE5">
              <w:rPr>
                <w:rFonts w:ascii="Times New Roman" w:eastAsia="Times New Roman" w:hAnsi="Times New Roman" w:cs="Times New Roman"/>
                <w:color w:val="000000"/>
                <w:sz w:val="24"/>
                <w:szCs w:val="24"/>
              </w:rPr>
              <w:t>103</w:t>
            </w:r>
          </w:p>
        </w:tc>
      </w:tr>
    </w:tbl>
    <w:p w14:paraId="6C91E767" w14:textId="77777777" w:rsidR="007D22CD" w:rsidRPr="00AE154B" w:rsidRDefault="007D22CD" w:rsidP="00410DEC">
      <w:pPr>
        <w:spacing w:line="240" w:lineRule="auto"/>
        <w:jc w:val="both"/>
        <w:rPr>
          <w:rFonts w:ascii="Times New Roman" w:hAnsi="Times New Roman" w:cs="Times New Roman"/>
        </w:rPr>
      </w:pPr>
    </w:p>
    <w:p w14:paraId="346742CB" w14:textId="74049944" w:rsidR="00637B99" w:rsidRDefault="006D4320" w:rsidP="00410DEC">
      <w:pPr>
        <w:spacing w:line="240" w:lineRule="auto"/>
        <w:jc w:val="both"/>
        <w:rPr>
          <w:rFonts w:ascii="Times New Roman" w:hAnsi="Times New Roman" w:cs="Times New Roman"/>
          <w:sz w:val="24"/>
          <w:szCs w:val="24"/>
        </w:rPr>
      </w:pPr>
      <w:r w:rsidRPr="00AE154B">
        <w:rPr>
          <w:rFonts w:ascii="Times New Roman" w:hAnsi="Times New Roman" w:cs="Times New Roman"/>
          <w:sz w:val="24"/>
          <w:szCs w:val="24"/>
        </w:rPr>
        <w:fldChar w:fldCharType="begin"/>
      </w:r>
      <w:r w:rsidRPr="00AE154B">
        <w:rPr>
          <w:rFonts w:ascii="Times New Roman" w:hAnsi="Times New Roman" w:cs="Times New Roman"/>
          <w:color w:val="222222"/>
          <w:sz w:val="24"/>
          <w:szCs w:val="24"/>
          <w:shd w:val="clear" w:color="auto" w:fill="FFFFFF"/>
        </w:rPr>
        <w:instrText xml:space="preserve"> REF _Ref211435958 \h </w:instrText>
      </w:r>
      <w:r w:rsidR="00704D9B" w:rsidRPr="00AE154B">
        <w:rPr>
          <w:rFonts w:ascii="Times New Roman" w:hAnsi="Times New Roman" w:cs="Times New Roman"/>
          <w:sz w:val="24"/>
          <w:szCs w:val="24"/>
        </w:rPr>
        <w:instrText xml:space="preserve"> \* MERGEFORMAT </w:instrText>
      </w:r>
      <w:r w:rsidRPr="00AE154B">
        <w:rPr>
          <w:rFonts w:ascii="Times New Roman" w:hAnsi="Times New Roman" w:cs="Times New Roman"/>
          <w:sz w:val="24"/>
          <w:szCs w:val="24"/>
        </w:rPr>
      </w:r>
      <w:r w:rsidRPr="00AE154B">
        <w:rPr>
          <w:rFonts w:ascii="Times New Roman" w:hAnsi="Times New Roman" w:cs="Times New Roman"/>
          <w:sz w:val="24"/>
          <w:szCs w:val="24"/>
        </w:rPr>
        <w:fldChar w:fldCharType="separate"/>
      </w:r>
      <w:r w:rsidR="00D0193E" w:rsidRPr="00D0193E">
        <w:rPr>
          <w:rFonts w:ascii="Times New Roman" w:hAnsi="Times New Roman" w:cs="Times New Roman"/>
          <w:sz w:val="24"/>
          <w:szCs w:val="24"/>
        </w:rPr>
        <w:t xml:space="preserve">Table </w:t>
      </w:r>
      <w:r w:rsidR="00D0193E" w:rsidRPr="00D0193E">
        <w:rPr>
          <w:rFonts w:ascii="Times New Roman" w:hAnsi="Times New Roman" w:cs="Times New Roman"/>
          <w:noProof/>
          <w:sz w:val="24"/>
          <w:szCs w:val="24"/>
        </w:rPr>
        <w:t>1</w:t>
      </w:r>
      <w:r w:rsidRPr="00AE154B">
        <w:rPr>
          <w:rFonts w:ascii="Times New Roman" w:hAnsi="Times New Roman" w:cs="Times New Roman"/>
          <w:sz w:val="24"/>
          <w:szCs w:val="24"/>
        </w:rPr>
        <w:fldChar w:fldCharType="end"/>
      </w:r>
      <w:r w:rsidR="00637B99" w:rsidRPr="00AE154B">
        <w:rPr>
          <w:rFonts w:ascii="Times New Roman" w:hAnsi="Times New Roman" w:cs="Times New Roman"/>
          <w:sz w:val="24"/>
          <w:szCs w:val="24"/>
        </w:rPr>
        <w:t xml:space="preserve"> shows that approximately </w:t>
      </w:r>
      <w:r w:rsidR="00637B99" w:rsidRPr="00AE154B">
        <w:rPr>
          <w:rStyle w:val="Strong"/>
          <w:rFonts w:ascii="Times New Roman" w:hAnsi="Times New Roman" w:cs="Times New Roman"/>
          <w:b w:val="0"/>
          <w:sz w:val="24"/>
          <w:szCs w:val="24"/>
        </w:rPr>
        <w:t>55.3%</w:t>
      </w:r>
      <w:r w:rsidR="00637B99" w:rsidRPr="00AE154B">
        <w:rPr>
          <w:rFonts w:ascii="Times New Roman" w:hAnsi="Times New Roman" w:cs="Times New Roman"/>
          <w:sz w:val="24"/>
          <w:szCs w:val="24"/>
        </w:rPr>
        <w:t xml:space="preserve"> of households successfully repaid their loans, while </w:t>
      </w:r>
      <w:r w:rsidR="00637B99" w:rsidRPr="00AE154B">
        <w:rPr>
          <w:rStyle w:val="Strong"/>
          <w:rFonts w:ascii="Times New Roman" w:hAnsi="Times New Roman" w:cs="Times New Roman"/>
          <w:b w:val="0"/>
          <w:sz w:val="24"/>
          <w:szCs w:val="24"/>
        </w:rPr>
        <w:t>44.7%</w:t>
      </w:r>
      <w:r w:rsidR="00637B99" w:rsidRPr="00AE154B">
        <w:rPr>
          <w:rFonts w:ascii="Times New Roman" w:hAnsi="Times New Roman" w:cs="Times New Roman"/>
          <w:sz w:val="24"/>
          <w:szCs w:val="24"/>
        </w:rPr>
        <w:t xml:space="preserve"> defaulted. The relatively high rate of default suggests that debt repayment remains a significant challenge among households. This may be attributed to factors such as income instability, multip</w:t>
      </w:r>
      <w:r w:rsidR="00393EAF" w:rsidRPr="00AE154B">
        <w:rPr>
          <w:rFonts w:ascii="Times New Roman" w:hAnsi="Times New Roman" w:cs="Times New Roman"/>
          <w:sz w:val="24"/>
          <w:szCs w:val="24"/>
        </w:rPr>
        <w:t xml:space="preserve">le borrowing, or loans utilized </w:t>
      </w:r>
      <w:r w:rsidR="00637B99" w:rsidRPr="00AE154B">
        <w:rPr>
          <w:rFonts w:ascii="Times New Roman" w:hAnsi="Times New Roman" w:cs="Times New Roman"/>
          <w:sz w:val="24"/>
          <w:szCs w:val="24"/>
        </w:rPr>
        <w:t xml:space="preserve">for consumption rather than productive purposes. The data show that </w:t>
      </w:r>
      <w:r w:rsidR="00637B99" w:rsidRPr="00AE154B">
        <w:rPr>
          <w:rStyle w:val="Strong"/>
          <w:rFonts w:ascii="Times New Roman" w:hAnsi="Times New Roman" w:cs="Times New Roman"/>
          <w:b w:val="0"/>
          <w:sz w:val="24"/>
          <w:szCs w:val="24"/>
        </w:rPr>
        <w:t>75.9%</w:t>
      </w:r>
      <w:r w:rsidR="00637B99" w:rsidRPr="00AE154B">
        <w:rPr>
          <w:rFonts w:ascii="Times New Roman" w:hAnsi="Times New Roman" w:cs="Times New Roman"/>
          <w:sz w:val="24"/>
          <w:szCs w:val="24"/>
        </w:rPr>
        <w:t xml:space="preserve"> of loans were for </w:t>
      </w:r>
      <w:r w:rsidR="00637B99" w:rsidRPr="00AE154B">
        <w:rPr>
          <w:rStyle w:val="Emphasis"/>
          <w:rFonts w:ascii="Times New Roman" w:hAnsi="Times New Roman" w:cs="Times New Roman"/>
          <w:i w:val="0"/>
          <w:sz w:val="24"/>
          <w:szCs w:val="24"/>
        </w:rPr>
        <w:t>consumptive purposes</w:t>
      </w:r>
      <w:r w:rsidR="00637B99" w:rsidRPr="00AE154B">
        <w:rPr>
          <w:rFonts w:ascii="Times New Roman" w:hAnsi="Times New Roman" w:cs="Times New Roman"/>
          <w:sz w:val="24"/>
          <w:szCs w:val="24"/>
        </w:rPr>
        <w:t xml:space="preserve"> (such as food, medical expenses, or ceremonies), while only </w:t>
      </w:r>
      <w:r w:rsidR="00637B99" w:rsidRPr="00AE154B">
        <w:rPr>
          <w:rStyle w:val="Strong"/>
          <w:rFonts w:ascii="Times New Roman" w:hAnsi="Times New Roman" w:cs="Times New Roman"/>
          <w:b w:val="0"/>
          <w:sz w:val="24"/>
          <w:szCs w:val="24"/>
        </w:rPr>
        <w:t>24.1%</w:t>
      </w:r>
      <w:r w:rsidR="00637B99" w:rsidRPr="00AE154B">
        <w:rPr>
          <w:rFonts w:ascii="Times New Roman" w:hAnsi="Times New Roman" w:cs="Times New Roman"/>
          <w:sz w:val="24"/>
          <w:szCs w:val="24"/>
        </w:rPr>
        <w:t xml:space="preserve"> were for </w:t>
      </w:r>
      <w:r w:rsidR="00637B99" w:rsidRPr="00AE154B">
        <w:rPr>
          <w:rStyle w:val="Emphasis"/>
          <w:rFonts w:ascii="Times New Roman" w:hAnsi="Times New Roman" w:cs="Times New Roman"/>
          <w:i w:val="0"/>
          <w:sz w:val="24"/>
          <w:szCs w:val="24"/>
        </w:rPr>
        <w:t>productive activities</w:t>
      </w:r>
      <w:r w:rsidR="00637B99" w:rsidRPr="00AE154B">
        <w:rPr>
          <w:rFonts w:ascii="Times New Roman" w:hAnsi="Times New Roman" w:cs="Times New Roman"/>
          <w:sz w:val="24"/>
          <w:szCs w:val="24"/>
        </w:rPr>
        <w:t xml:space="preserve"> (such as business or agriculture). This dominance of consumption loans may limit households’ ability to generate income for repayment, thereby increasing default risks. About </w:t>
      </w:r>
      <w:r w:rsidR="00637B99" w:rsidRPr="00AE154B">
        <w:rPr>
          <w:rStyle w:val="Strong"/>
          <w:rFonts w:ascii="Times New Roman" w:hAnsi="Times New Roman" w:cs="Times New Roman"/>
          <w:b w:val="0"/>
          <w:sz w:val="24"/>
          <w:szCs w:val="24"/>
        </w:rPr>
        <w:t>44%</w:t>
      </w:r>
      <w:r w:rsidR="00637B99" w:rsidRPr="00AE154B">
        <w:rPr>
          <w:rFonts w:ascii="Times New Roman" w:hAnsi="Times New Roman" w:cs="Times New Roman"/>
          <w:sz w:val="24"/>
          <w:szCs w:val="24"/>
        </w:rPr>
        <w:t xml:space="preserve"> of households reported being </w:t>
      </w:r>
      <w:r w:rsidR="008B4363">
        <w:rPr>
          <w:rStyle w:val="Emphasis"/>
          <w:rFonts w:ascii="Times New Roman" w:hAnsi="Times New Roman" w:cs="Times New Roman"/>
          <w:i w:val="0"/>
          <w:sz w:val="24"/>
          <w:szCs w:val="24"/>
        </w:rPr>
        <w:t xml:space="preserve">anxious </w:t>
      </w:r>
      <w:r w:rsidR="00637B99" w:rsidRPr="00AE154B">
        <w:rPr>
          <w:rStyle w:val="Emphasis"/>
          <w:rFonts w:ascii="Times New Roman" w:hAnsi="Times New Roman" w:cs="Times New Roman"/>
          <w:i w:val="0"/>
          <w:sz w:val="24"/>
          <w:szCs w:val="24"/>
        </w:rPr>
        <w:t>about loan payment</w:t>
      </w:r>
      <w:r w:rsidR="00637B99" w:rsidRPr="00AE154B">
        <w:rPr>
          <w:rFonts w:ascii="Times New Roman" w:hAnsi="Times New Roman" w:cs="Times New Roman"/>
          <w:sz w:val="24"/>
          <w:szCs w:val="24"/>
        </w:rPr>
        <w:t xml:space="preserve">, while </w:t>
      </w:r>
      <w:r w:rsidR="00637B99" w:rsidRPr="00AE154B">
        <w:rPr>
          <w:rStyle w:val="Strong"/>
          <w:rFonts w:ascii="Times New Roman" w:hAnsi="Times New Roman" w:cs="Times New Roman"/>
          <w:b w:val="0"/>
          <w:sz w:val="24"/>
          <w:szCs w:val="24"/>
        </w:rPr>
        <w:t>56%</w:t>
      </w:r>
      <w:r w:rsidR="00637B99" w:rsidRPr="00AE154B">
        <w:rPr>
          <w:rFonts w:ascii="Times New Roman" w:hAnsi="Times New Roman" w:cs="Times New Roman"/>
          <w:sz w:val="24"/>
          <w:szCs w:val="24"/>
        </w:rPr>
        <w:t xml:space="preserve"> were </w:t>
      </w:r>
      <w:r w:rsidR="00637B99" w:rsidRPr="00AE154B">
        <w:rPr>
          <w:rStyle w:val="Emphasis"/>
          <w:rFonts w:ascii="Times New Roman" w:hAnsi="Times New Roman" w:cs="Times New Roman"/>
          <w:i w:val="0"/>
          <w:sz w:val="24"/>
          <w:szCs w:val="24"/>
        </w:rPr>
        <w:t xml:space="preserve">not </w:t>
      </w:r>
      <w:r w:rsidR="008B4363">
        <w:rPr>
          <w:rStyle w:val="Emphasis"/>
          <w:rFonts w:ascii="Times New Roman" w:hAnsi="Times New Roman" w:cs="Times New Roman"/>
          <w:i w:val="0"/>
          <w:sz w:val="24"/>
          <w:szCs w:val="24"/>
        </w:rPr>
        <w:t>anxious</w:t>
      </w:r>
      <w:r w:rsidR="00637B99" w:rsidRPr="00AE154B">
        <w:rPr>
          <w:rFonts w:ascii="Times New Roman" w:hAnsi="Times New Roman" w:cs="Times New Roman"/>
          <w:sz w:val="24"/>
          <w:szCs w:val="24"/>
        </w:rPr>
        <w:t xml:space="preserve">. This finding implies that a considerable proportion of household’s experience psychological and financial stress related to debt repayment, potentially influencing repayment performance and future borrowing behavior. Results reveal that </w:t>
      </w:r>
      <w:r w:rsidR="00637B99" w:rsidRPr="00AE154B">
        <w:rPr>
          <w:rStyle w:val="Strong"/>
          <w:rFonts w:ascii="Times New Roman" w:hAnsi="Times New Roman" w:cs="Times New Roman"/>
          <w:b w:val="0"/>
          <w:sz w:val="24"/>
          <w:szCs w:val="24"/>
        </w:rPr>
        <w:t>67.8%</w:t>
      </w:r>
      <w:r w:rsidR="00637B99" w:rsidRPr="00AE154B">
        <w:rPr>
          <w:rFonts w:ascii="Times New Roman" w:hAnsi="Times New Roman" w:cs="Times New Roman"/>
          <w:sz w:val="24"/>
          <w:szCs w:val="24"/>
        </w:rPr>
        <w:t xml:space="preserve"> of households are headed by males, while </w:t>
      </w:r>
      <w:r w:rsidR="00637B99" w:rsidRPr="00AE154B">
        <w:rPr>
          <w:rStyle w:val="Strong"/>
          <w:rFonts w:ascii="Times New Roman" w:hAnsi="Times New Roman" w:cs="Times New Roman"/>
          <w:b w:val="0"/>
          <w:sz w:val="24"/>
          <w:szCs w:val="24"/>
        </w:rPr>
        <w:t>32.2%</w:t>
      </w:r>
      <w:r w:rsidR="00637B99" w:rsidRPr="00AE154B">
        <w:rPr>
          <w:rFonts w:ascii="Times New Roman" w:hAnsi="Times New Roman" w:cs="Times New Roman"/>
          <w:sz w:val="24"/>
          <w:szCs w:val="24"/>
        </w:rPr>
        <w:t xml:space="preserve"> are headed by females. This gender imbalance may influence financial decision-making and access to credit, as male-headed households often have higher income levels and asset ownership. The average age of household heads is approximately </w:t>
      </w:r>
      <w:r w:rsidR="00637B99" w:rsidRPr="00AE154B">
        <w:rPr>
          <w:rStyle w:val="Strong"/>
          <w:rFonts w:ascii="Times New Roman" w:hAnsi="Times New Roman" w:cs="Times New Roman"/>
          <w:b w:val="0"/>
          <w:sz w:val="24"/>
          <w:szCs w:val="24"/>
        </w:rPr>
        <w:t>45 years</w:t>
      </w:r>
      <w:r w:rsidR="00637B99" w:rsidRPr="00AE154B">
        <w:rPr>
          <w:rFonts w:ascii="Times New Roman" w:hAnsi="Times New Roman" w:cs="Times New Roman"/>
          <w:sz w:val="24"/>
          <w:szCs w:val="24"/>
        </w:rPr>
        <w:t xml:space="preserve"> (SD = 13.53), with ages ranging from </w:t>
      </w:r>
      <w:r w:rsidR="00637B99" w:rsidRPr="00AE154B">
        <w:rPr>
          <w:rStyle w:val="Strong"/>
          <w:rFonts w:ascii="Times New Roman" w:hAnsi="Times New Roman" w:cs="Times New Roman"/>
          <w:b w:val="0"/>
          <w:sz w:val="24"/>
          <w:szCs w:val="24"/>
        </w:rPr>
        <w:t>18 to 103 years</w:t>
      </w:r>
      <w:r w:rsidR="00637B99" w:rsidRPr="00AE154B">
        <w:rPr>
          <w:rFonts w:ascii="Times New Roman" w:hAnsi="Times New Roman" w:cs="Times New Roman"/>
          <w:sz w:val="24"/>
          <w:szCs w:val="24"/>
        </w:rPr>
        <w:t xml:space="preserve">, suggesting that the sample captures both young and elderly household </w:t>
      </w:r>
      <w:r w:rsidR="006474C8" w:rsidRPr="00AE154B">
        <w:rPr>
          <w:rFonts w:ascii="Times New Roman" w:hAnsi="Times New Roman" w:cs="Times New Roman"/>
          <w:sz w:val="24"/>
          <w:szCs w:val="24"/>
        </w:rPr>
        <w:t>heads. Education</w:t>
      </w:r>
      <w:r w:rsidR="00637B99" w:rsidRPr="00AE154B">
        <w:rPr>
          <w:rFonts w:ascii="Times New Roman" w:hAnsi="Times New Roman" w:cs="Times New Roman"/>
          <w:sz w:val="24"/>
          <w:szCs w:val="24"/>
        </w:rPr>
        <w:t xml:space="preserve"> plays a key role in financial literacy and credit management. The findings show tha</w:t>
      </w:r>
      <w:r w:rsidR="008D6C4A" w:rsidRPr="00AE154B">
        <w:rPr>
          <w:rFonts w:ascii="Times New Roman" w:hAnsi="Times New Roman" w:cs="Times New Roman"/>
          <w:sz w:val="24"/>
          <w:szCs w:val="24"/>
        </w:rPr>
        <w:t>t</w:t>
      </w:r>
      <w:r w:rsidR="00637B99" w:rsidRPr="00AE154B">
        <w:rPr>
          <w:rFonts w:ascii="Times New Roman" w:hAnsi="Times New Roman" w:cs="Times New Roman"/>
          <w:sz w:val="24"/>
          <w:szCs w:val="24"/>
        </w:rPr>
        <w:t xml:space="preserve"> 88</w:t>
      </w:r>
      <w:r w:rsidR="00637B99" w:rsidRPr="008C409C">
        <w:rPr>
          <w:rStyle w:val="Strong"/>
          <w:rFonts w:ascii="Times New Roman" w:hAnsi="Times New Roman" w:cs="Times New Roman"/>
          <w:b w:val="0"/>
          <w:sz w:val="24"/>
          <w:szCs w:val="24"/>
        </w:rPr>
        <w:t>%</w:t>
      </w:r>
      <w:r w:rsidR="00637B99" w:rsidRPr="008C409C">
        <w:rPr>
          <w:rFonts w:ascii="Times New Roman" w:hAnsi="Times New Roman" w:cs="Times New Roman"/>
          <w:b/>
          <w:sz w:val="24"/>
          <w:szCs w:val="24"/>
        </w:rPr>
        <w:t xml:space="preserve"> </w:t>
      </w:r>
      <w:r w:rsidR="00637B99" w:rsidRPr="00AE154B">
        <w:rPr>
          <w:rFonts w:ascii="Times New Roman" w:hAnsi="Times New Roman" w:cs="Times New Roman"/>
          <w:sz w:val="24"/>
          <w:szCs w:val="24"/>
        </w:rPr>
        <w:t xml:space="preserve">of household heads had </w:t>
      </w:r>
      <w:r w:rsidR="00637B99" w:rsidRPr="00AE154B">
        <w:rPr>
          <w:rStyle w:val="Emphasis"/>
          <w:rFonts w:ascii="Times New Roman" w:hAnsi="Times New Roman" w:cs="Times New Roman"/>
          <w:i w:val="0"/>
          <w:sz w:val="24"/>
          <w:szCs w:val="24"/>
        </w:rPr>
        <w:t xml:space="preserve">some formal </w:t>
      </w:r>
      <w:r w:rsidR="00F279D7" w:rsidRPr="00AE154B">
        <w:rPr>
          <w:rStyle w:val="Emphasis"/>
          <w:rFonts w:ascii="Times New Roman" w:hAnsi="Times New Roman" w:cs="Times New Roman"/>
          <w:i w:val="0"/>
          <w:sz w:val="24"/>
          <w:szCs w:val="24"/>
        </w:rPr>
        <w:t>education</w:t>
      </w:r>
      <w:r w:rsidR="00F279D7" w:rsidRPr="00AE154B">
        <w:rPr>
          <w:rFonts w:ascii="Times New Roman" w:hAnsi="Times New Roman" w:cs="Times New Roman"/>
          <w:sz w:val="24"/>
          <w:szCs w:val="24"/>
        </w:rPr>
        <w:t>, while</w:t>
      </w:r>
      <w:r w:rsidR="00637B99" w:rsidRPr="00AE154B">
        <w:rPr>
          <w:rFonts w:ascii="Times New Roman" w:hAnsi="Times New Roman" w:cs="Times New Roman"/>
          <w:sz w:val="24"/>
          <w:szCs w:val="24"/>
        </w:rPr>
        <w:t xml:space="preserve"> </w:t>
      </w:r>
      <w:r w:rsidR="00637B99" w:rsidRPr="00AE154B">
        <w:rPr>
          <w:rStyle w:val="Strong"/>
          <w:rFonts w:ascii="Times New Roman" w:hAnsi="Times New Roman" w:cs="Times New Roman"/>
          <w:b w:val="0"/>
          <w:sz w:val="24"/>
          <w:szCs w:val="24"/>
        </w:rPr>
        <w:t>12%</w:t>
      </w:r>
      <w:r w:rsidR="00637B99" w:rsidRPr="00AE154B">
        <w:rPr>
          <w:rFonts w:ascii="Times New Roman" w:hAnsi="Times New Roman" w:cs="Times New Roman"/>
          <w:sz w:val="24"/>
          <w:szCs w:val="24"/>
        </w:rPr>
        <w:t xml:space="preserve"> had no formal education. This distribution reflects a generally low educational attainment among household heads, which may limit their financial decision-making capacity.  The descriptive results indicate that </w:t>
      </w:r>
      <w:r w:rsidR="00637B99" w:rsidRPr="00AE154B">
        <w:rPr>
          <w:rStyle w:val="Strong"/>
          <w:rFonts w:ascii="Times New Roman" w:hAnsi="Times New Roman" w:cs="Times New Roman"/>
          <w:b w:val="0"/>
          <w:sz w:val="24"/>
          <w:szCs w:val="24"/>
        </w:rPr>
        <w:t>28.5%</w:t>
      </w:r>
      <w:r w:rsidR="00637B99" w:rsidRPr="00AE154B">
        <w:rPr>
          <w:rFonts w:ascii="Times New Roman" w:hAnsi="Times New Roman" w:cs="Times New Roman"/>
          <w:sz w:val="24"/>
          <w:szCs w:val="24"/>
        </w:rPr>
        <w:t xml:space="preserve"> of household heads were engaged in </w:t>
      </w:r>
      <w:r w:rsidR="00637B99" w:rsidRPr="00AE154B">
        <w:rPr>
          <w:rStyle w:val="Emphasis"/>
          <w:rFonts w:ascii="Times New Roman" w:hAnsi="Times New Roman" w:cs="Times New Roman"/>
          <w:i w:val="0"/>
          <w:sz w:val="24"/>
          <w:szCs w:val="24"/>
        </w:rPr>
        <w:t>non-farm self-employment</w:t>
      </w:r>
      <w:r w:rsidR="00637B99" w:rsidRPr="00AE154B">
        <w:rPr>
          <w:rFonts w:ascii="Times New Roman" w:hAnsi="Times New Roman" w:cs="Times New Roman"/>
          <w:sz w:val="24"/>
          <w:szCs w:val="24"/>
        </w:rPr>
        <w:t xml:space="preserve">, </w:t>
      </w:r>
      <w:r w:rsidR="00637B99" w:rsidRPr="00AE154B">
        <w:rPr>
          <w:rStyle w:val="Strong"/>
          <w:rFonts w:ascii="Times New Roman" w:hAnsi="Times New Roman" w:cs="Times New Roman"/>
          <w:b w:val="0"/>
          <w:sz w:val="24"/>
          <w:szCs w:val="24"/>
        </w:rPr>
        <w:t>23.8%</w:t>
      </w:r>
      <w:r w:rsidR="00637B99" w:rsidRPr="00AE154B">
        <w:rPr>
          <w:rFonts w:ascii="Times New Roman" w:hAnsi="Times New Roman" w:cs="Times New Roman"/>
          <w:sz w:val="24"/>
          <w:szCs w:val="24"/>
        </w:rPr>
        <w:t xml:space="preserve"> in </w:t>
      </w:r>
      <w:r w:rsidR="00637B99" w:rsidRPr="00AE154B">
        <w:rPr>
          <w:rStyle w:val="Emphasis"/>
          <w:rFonts w:ascii="Times New Roman" w:hAnsi="Times New Roman" w:cs="Times New Roman"/>
          <w:i w:val="0"/>
          <w:sz w:val="24"/>
          <w:szCs w:val="24"/>
        </w:rPr>
        <w:t>subsistence work</w:t>
      </w:r>
      <w:r w:rsidR="00637B99" w:rsidRPr="00AE154B">
        <w:rPr>
          <w:rFonts w:ascii="Times New Roman" w:hAnsi="Times New Roman" w:cs="Times New Roman"/>
          <w:sz w:val="24"/>
          <w:szCs w:val="24"/>
        </w:rPr>
        <w:t xml:space="preserve">, and </w:t>
      </w:r>
      <w:r w:rsidR="00637B99" w:rsidRPr="00AE154B">
        <w:rPr>
          <w:rStyle w:val="Strong"/>
          <w:rFonts w:ascii="Times New Roman" w:hAnsi="Times New Roman" w:cs="Times New Roman"/>
          <w:b w:val="0"/>
          <w:sz w:val="24"/>
          <w:szCs w:val="24"/>
        </w:rPr>
        <w:t>18.8%</w:t>
      </w:r>
      <w:r w:rsidR="00637B99" w:rsidRPr="00AE154B">
        <w:rPr>
          <w:rFonts w:ascii="Times New Roman" w:hAnsi="Times New Roman" w:cs="Times New Roman"/>
          <w:sz w:val="24"/>
          <w:szCs w:val="24"/>
        </w:rPr>
        <w:t xml:space="preserve"> in </w:t>
      </w:r>
      <w:r w:rsidR="00637B99" w:rsidRPr="00AE154B">
        <w:rPr>
          <w:rStyle w:val="Emphasis"/>
          <w:rFonts w:ascii="Times New Roman" w:hAnsi="Times New Roman" w:cs="Times New Roman"/>
          <w:i w:val="0"/>
          <w:sz w:val="24"/>
          <w:szCs w:val="24"/>
        </w:rPr>
        <w:t>on-farm employment</w:t>
      </w:r>
      <w:r w:rsidR="00637B99" w:rsidRPr="00AE154B">
        <w:rPr>
          <w:rFonts w:ascii="Times New Roman" w:hAnsi="Times New Roman" w:cs="Times New Roman"/>
          <w:sz w:val="24"/>
          <w:szCs w:val="24"/>
        </w:rPr>
        <w:t xml:space="preserve">. Meanwhile, only </w:t>
      </w:r>
      <w:r w:rsidR="00637B99" w:rsidRPr="00AE154B">
        <w:rPr>
          <w:rStyle w:val="Strong"/>
          <w:rFonts w:ascii="Times New Roman" w:hAnsi="Times New Roman" w:cs="Times New Roman"/>
          <w:b w:val="0"/>
          <w:sz w:val="24"/>
          <w:szCs w:val="24"/>
        </w:rPr>
        <w:t>14.8%</w:t>
      </w:r>
      <w:r w:rsidR="00637B99" w:rsidRPr="00AE154B">
        <w:rPr>
          <w:rFonts w:ascii="Times New Roman" w:hAnsi="Times New Roman" w:cs="Times New Roman"/>
          <w:sz w:val="24"/>
          <w:szCs w:val="24"/>
        </w:rPr>
        <w:t xml:space="preserve"> were in </w:t>
      </w:r>
      <w:r w:rsidR="00637B99" w:rsidRPr="00AE154B">
        <w:rPr>
          <w:rStyle w:val="Emphasis"/>
          <w:rFonts w:ascii="Times New Roman" w:hAnsi="Times New Roman" w:cs="Times New Roman"/>
          <w:i w:val="0"/>
          <w:sz w:val="24"/>
          <w:szCs w:val="24"/>
        </w:rPr>
        <w:t>non-farm wage employment</w:t>
      </w:r>
      <w:r w:rsidR="00637B99" w:rsidRPr="00AE154B">
        <w:rPr>
          <w:rFonts w:ascii="Times New Roman" w:hAnsi="Times New Roman" w:cs="Times New Roman"/>
          <w:sz w:val="24"/>
          <w:szCs w:val="24"/>
        </w:rPr>
        <w:t xml:space="preserve">, and </w:t>
      </w:r>
      <w:r w:rsidR="00637B99" w:rsidRPr="00AE154B">
        <w:rPr>
          <w:rStyle w:val="Strong"/>
          <w:rFonts w:ascii="Times New Roman" w:hAnsi="Times New Roman" w:cs="Times New Roman"/>
          <w:b w:val="0"/>
          <w:sz w:val="24"/>
          <w:szCs w:val="24"/>
        </w:rPr>
        <w:t>7.7%</w:t>
      </w:r>
      <w:r w:rsidR="00637B99" w:rsidRPr="00AE154B">
        <w:rPr>
          <w:rFonts w:ascii="Times New Roman" w:hAnsi="Times New Roman" w:cs="Times New Roman"/>
          <w:sz w:val="24"/>
          <w:szCs w:val="24"/>
        </w:rPr>
        <w:t xml:space="preserve"> in </w:t>
      </w:r>
      <w:r w:rsidR="00637B99" w:rsidRPr="00AE154B">
        <w:rPr>
          <w:rStyle w:val="Emphasis"/>
          <w:rFonts w:ascii="Times New Roman" w:hAnsi="Times New Roman" w:cs="Times New Roman"/>
          <w:i w:val="0"/>
          <w:sz w:val="24"/>
          <w:szCs w:val="24"/>
        </w:rPr>
        <w:t>farm wage employment</w:t>
      </w:r>
      <w:r w:rsidR="00637B99" w:rsidRPr="00AE154B">
        <w:rPr>
          <w:rFonts w:ascii="Times New Roman" w:hAnsi="Times New Roman" w:cs="Times New Roman"/>
          <w:sz w:val="24"/>
          <w:szCs w:val="24"/>
        </w:rPr>
        <w:t xml:space="preserve">. About </w:t>
      </w:r>
      <w:r w:rsidR="00637B99" w:rsidRPr="00AE154B">
        <w:rPr>
          <w:rStyle w:val="Strong"/>
          <w:rFonts w:ascii="Times New Roman" w:hAnsi="Times New Roman" w:cs="Times New Roman"/>
          <w:b w:val="0"/>
          <w:sz w:val="24"/>
          <w:szCs w:val="24"/>
        </w:rPr>
        <w:t>6.5%</w:t>
      </w:r>
      <w:r w:rsidR="00637B99" w:rsidRPr="00AE154B">
        <w:rPr>
          <w:rFonts w:ascii="Times New Roman" w:hAnsi="Times New Roman" w:cs="Times New Roman"/>
          <w:sz w:val="24"/>
          <w:szCs w:val="24"/>
        </w:rPr>
        <w:t xml:space="preserve"> were </w:t>
      </w:r>
      <w:r w:rsidR="00637B99" w:rsidRPr="00AE154B">
        <w:rPr>
          <w:rStyle w:val="Emphasis"/>
          <w:rFonts w:ascii="Times New Roman" w:hAnsi="Times New Roman" w:cs="Times New Roman"/>
          <w:i w:val="0"/>
          <w:sz w:val="24"/>
          <w:szCs w:val="24"/>
        </w:rPr>
        <w:t xml:space="preserve">unemployed or not in the </w:t>
      </w:r>
      <w:r w:rsidR="007815CE" w:rsidRPr="00AE154B">
        <w:rPr>
          <w:rStyle w:val="Emphasis"/>
          <w:rFonts w:ascii="Times New Roman" w:hAnsi="Times New Roman" w:cs="Times New Roman"/>
          <w:i w:val="0"/>
          <w:sz w:val="24"/>
          <w:szCs w:val="24"/>
        </w:rPr>
        <w:t>labor</w:t>
      </w:r>
      <w:r w:rsidR="00637B99" w:rsidRPr="00AE154B">
        <w:rPr>
          <w:rStyle w:val="Emphasis"/>
          <w:rFonts w:ascii="Times New Roman" w:hAnsi="Times New Roman" w:cs="Times New Roman"/>
          <w:i w:val="0"/>
          <w:sz w:val="24"/>
          <w:szCs w:val="24"/>
        </w:rPr>
        <w:t xml:space="preserve"> force</w:t>
      </w:r>
      <w:r w:rsidR="00637B99" w:rsidRPr="00AE154B">
        <w:rPr>
          <w:rFonts w:ascii="Times New Roman" w:hAnsi="Times New Roman" w:cs="Times New Roman"/>
          <w:sz w:val="24"/>
          <w:szCs w:val="24"/>
        </w:rPr>
        <w:t>, indicating a notable level of underemployment that may affect repayment capacity. Most households (</w:t>
      </w:r>
      <w:r w:rsidR="00637B99" w:rsidRPr="00AE154B">
        <w:rPr>
          <w:rStyle w:val="Strong"/>
          <w:rFonts w:ascii="Times New Roman" w:hAnsi="Times New Roman" w:cs="Times New Roman"/>
          <w:b w:val="0"/>
          <w:sz w:val="24"/>
          <w:szCs w:val="24"/>
        </w:rPr>
        <w:t>77.9%</w:t>
      </w:r>
      <w:r w:rsidR="00637B99" w:rsidRPr="00AE154B">
        <w:rPr>
          <w:rFonts w:ascii="Times New Roman" w:hAnsi="Times New Roman" w:cs="Times New Roman"/>
          <w:sz w:val="24"/>
          <w:szCs w:val="24"/>
        </w:rPr>
        <w:t xml:space="preserve">) reside in rural areas, compared to </w:t>
      </w:r>
      <w:r w:rsidR="00637B99" w:rsidRPr="00AE154B">
        <w:rPr>
          <w:rStyle w:val="Strong"/>
          <w:rFonts w:ascii="Times New Roman" w:hAnsi="Times New Roman" w:cs="Times New Roman"/>
          <w:b w:val="0"/>
          <w:sz w:val="24"/>
          <w:szCs w:val="24"/>
        </w:rPr>
        <w:t>22.1%</w:t>
      </w:r>
      <w:r w:rsidR="00637B99" w:rsidRPr="00AE154B">
        <w:rPr>
          <w:rFonts w:ascii="Times New Roman" w:hAnsi="Times New Roman" w:cs="Times New Roman"/>
          <w:sz w:val="24"/>
          <w:szCs w:val="24"/>
        </w:rPr>
        <w:t xml:space="preserve"> in urban areas. Rural households often face limited access to formal credit and financial institutions, which may affect repayment structures. In terms of housing type, </w:t>
      </w:r>
      <w:r w:rsidR="00637B99" w:rsidRPr="00AE154B">
        <w:rPr>
          <w:rStyle w:val="Strong"/>
          <w:rFonts w:ascii="Times New Roman" w:hAnsi="Times New Roman" w:cs="Times New Roman"/>
          <w:b w:val="0"/>
          <w:sz w:val="24"/>
          <w:szCs w:val="24"/>
        </w:rPr>
        <w:t>75.5%</w:t>
      </w:r>
      <w:r w:rsidR="00637B99" w:rsidRPr="00AE154B">
        <w:rPr>
          <w:rFonts w:ascii="Times New Roman" w:hAnsi="Times New Roman" w:cs="Times New Roman"/>
          <w:sz w:val="24"/>
          <w:szCs w:val="24"/>
        </w:rPr>
        <w:t xml:space="preserve"> of households live in a </w:t>
      </w:r>
      <w:r w:rsidR="00637B99" w:rsidRPr="00AE154B">
        <w:rPr>
          <w:rStyle w:val="Emphasis"/>
          <w:rFonts w:ascii="Times New Roman" w:hAnsi="Times New Roman" w:cs="Times New Roman"/>
          <w:i w:val="0"/>
          <w:sz w:val="24"/>
          <w:szCs w:val="24"/>
        </w:rPr>
        <w:t>house</w:t>
      </w:r>
      <w:r w:rsidR="00637B99" w:rsidRPr="00AE154B">
        <w:rPr>
          <w:rFonts w:ascii="Times New Roman" w:hAnsi="Times New Roman" w:cs="Times New Roman"/>
          <w:sz w:val="24"/>
          <w:szCs w:val="24"/>
        </w:rPr>
        <w:t xml:space="preserve">, </w:t>
      </w:r>
      <w:r w:rsidR="00637B99" w:rsidRPr="00AE154B">
        <w:rPr>
          <w:rStyle w:val="Strong"/>
          <w:rFonts w:ascii="Times New Roman" w:hAnsi="Times New Roman" w:cs="Times New Roman"/>
          <w:b w:val="0"/>
          <w:sz w:val="24"/>
          <w:szCs w:val="24"/>
        </w:rPr>
        <w:t>13.8%</w:t>
      </w:r>
      <w:r w:rsidR="00637B99" w:rsidRPr="00AE154B">
        <w:rPr>
          <w:rFonts w:ascii="Times New Roman" w:hAnsi="Times New Roman" w:cs="Times New Roman"/>
          <w:sz w:val="24"/>
          <w:szCs w:val="24"/>
        </w:rPr>
        <w:t xml:space="preserve"> in a </w:t>
      </w:r>
      <w:r w:rsidR="00637B99" w:rsidRPr="00AE154B">
        <w:rPr>
          <w:rStyle w:val="Emphasis"/>
          <w:rFonts w:ascii="Times New Roman" w:hAnsi="Times New Roman" w:cs="Times New Roman"/>
          <w:i w:val="0"/>
          <w:sz w:val="24"/>
          <w:szCs w:val="24"/>
        </w:rPr>
        <w:t>hut</w:t>
      </w:r>
      <w:r w:rsidR="00637B99" w:rsidRPr="00AE154B">
        <w:rPr>
          <w:rFonts w:ascii="Times New Roman" w:hAnsi="Times New Roman" w:cs="Times New Roman"/>
          <w:sz w:val="24"/>
          <w:szCs w:val="24"/>
        </w:rPr>
        <w:t xml:space="preserve">, and </w:t>
      </w:r>
      <w:r w:rsidR="00637B99" w:rsidRPr="00AE154B">
        <w:rPr>
          <w:rStyle w:val="Strong"/>
          <w:rFonts w:ascii="Times New Roman" w:hAnsi="Times New Roman" w:cs="Times New Roman"/>
          <w:b w:val="0"/>
          <w:sz w:val="24"/>
          <w:szCs w:val="24"/>
        </w:rPr>
        <w:t>10.2%</w:t>
      </w:r>
      <w:r w:rsidR="00637B99" w:rsidRPr="00AE154B">
        <w:rPr>
          <w:rFonts w:ascii="Times New Roman" w:hAnsi="Times New Roman" w:cs="Times New Roman"/>
          <w:sz w:val="24"/>
          <w:szCs w:val="24"/>
        </w:rPr>
        <w:t xml:space="preserve"> in a </w:t>
      </w:r>
      <w:proofErr w:type="spellStart"/>
      <w:r w:rsidR="00637B99" w:rsidRPr="00AE154B">
        <w:rPr>
          <w:rStyle w:val="Emphasis"/>
          <w:rFonts w:ascii="Times New Roman" w:hAnsi="Times New Roman" w:cs="Times New Roman"/>
          <w:i w:val="0"/>
          <w:sz w:val="24"/>
          <w:szCs w:val="24"/>
        </w:rPr>
        <w:t>muzigo</w:t>
      </w:r>
      <w:proofErr w:type="spellEnd"/>
      <w:r w:rsidR="00637B99" w:rsidRPr="00AE154B">
        <w:rPr>
          <w:rFonts w:ascii="Times New Roman" w:hAnsi="Times New Roman" w:cs="Times New Roman"/>
          <w:sz w:val="24"/>
          <w:szCs w:val="24"/>
        </w:rPr>
        <w:t xml:space="preserve"> (rented room). Regarding roofing, </w:t>
      </w:r>
      <w:r w:rsidR="00637B99" w:rsidRPr="00AE154B">
        <w:rPr>
          <w:rStyle w:val="Strong"/>
          <w:rFonts w:ascii="Times New Roman" w:hAnsi="Times New Roman" w:cs="Times New Roman"/>
          <w:b w:val="0"/>
          <w:sz w:val="24"/>
          <w:szCs w:val="24"/>
        </w:rPr>
        <w:t>73.1%</w:t>
      </w:r>
      <w:r w:rsidR="00637B99" w:rsidRPr="00AE154B">
        <w:rPr>
          <w:rFonts w:ascii="Times New Roman" w:hAnsi="Times New Roman" w:cs="Times New Roman"/>
          <w:sz w:val="24"/>
          <w:szCs w:val="24"/>
        </w:rPr>
        <w:t xml:space="preserve"> of households have </w:t>
      </w:r>
      <w:r w:rsidR="00637B99" w:rsidRPr="00AE154B">
        <w:rPr>
          <w:rStyle w:val="Emphasis"/>
          <w:rFonts w:ascii="Times New Roman" w:hAnsi="Times New Roman" w:cs="Times New Roman"/>
          <w:i w:val="0"/>
          <w:sz w:val="24"/>
          <w:szCs w:val="24"/>
        </w:rPr>
        <w:t>permanent roofs</w:t>
      </w:r>
      <w:r w:rsidR="00637B99" w:rsidRPr="00AE154B">
        <w:rPr>
          <w:rFonts w:ascii="Times New Roman" w:hAnsi="Times New Roman" w:cs="Times New Roman"/>
          <w:sz w:val="24"/>
          <w:szCs w:val="24"/>
        </w:rPr>
        <w:t xml:space="preserve">, while </w:t>
      </w:r>
      <w:r w:rsidR="00637B99" w:rsidRPr="00AE154B">
        <w:rPr>
          <w:rStyle w:val="Strong"/>
          <w:rFonts w:ascii="Times New Roman" w:hAnsi="Times New Roman" w:cs="Times New Roman"/>
          <w:b w:val="0"/>
          <w:sz w:val="24"/>
          <w:szCs w:val="24"/>
        </w:rPr>
        <w:t>26.9%</w:t>
      </w:r>
      <w:r w:rsidR="00637B99" w:rsidRPr="00AE154B">
        <w:rPr>
          <w:rFonts w:ascii="Times New Roman" w:hAnsi="Times New Roman" w:cs="Times New Roman"/>
          <w:sz w:val="24"/>
          <w:szCs w:val="24"/>
        </w:rPr>
        <w:t xml:space="preserve"> have </w:t>
      </w:r>
      <w:r w:rsidR="00637B99" w:rsidRPr="00AE154B">
        <w:rPr>
          <w:rStyle w:val="Emphasis"/>
          <w:rFonts w:ascii="Times New Roman" w:hAnsi="Times New Roman" w:cs="Times New Roman"/>
          <w:i w:val="0"/>
          <w:sz w:val="24"/>
          <w:szCs w:val="24"/>
        </w:rPr>
        <w:t>temporary roofs</w:t>
      </w:r>
      <w:r w:rsidR="00637B99" w:rsidRPr="00AE154B">
        <w:rPr>
          <w:rFonts w:ascii="Times New Roman" w:hAnsi="Times New Roman" w:cs="Times New Roman"/>
          <w:sz w:val="24"/>
          <w:szCs w:val="24"/>
        </w:rPr>
        <w:t xml:space="preserve">. For flooring, </w:t>
      </w:r>
      <w:r w:rsidR="00637B99" w:rsidRPr="00AE154B">
        <w:rPr>
          <w:rStyle w:val="Strong"/>
          <w:rFonts w:ascii="Times New Roman" w:hAnsi="Times New Roman" w:cs="Times New Roman"/>
          <w:b w:val="0"/>
          <w:sz w:val="24"/>
          <w:szCs w:val="24"/>
        </w:rPr>
        <w:t>61.9%</w:t>
      </w:r>
      <w:r w:rsidR="00637B99" w:rsidRPr="00AE154B">
        <w:rPr>
          <w:rFonts w:ascii="Times New Roman" w:hAnsi="Times New Roman" w:cs="Times New Roman"/>
          <w:sz w:val="24"/>
          <w:szCs w:val="24"/>
        </w:rPr>
        <w:t xml:space="preserve"> of households have </w:t>
      </w:r>
      <w:r w:rsidR="00637B99" w:rsidRPr="00AE154B">
        <w:rPr>
          <w:rStyle w:val="Emphasis"/>
          <w:rFonts w:ascii="Times New Roman" w:hAnsi="Times New Roman" w:cs="Times New Roman"/>
          <w:i w:val="0"/>
          <w:sz w:val="24"/>
          <w:szCs w:val="24"/>
        </w:rPr>
        <w:t>temporary floors</w:t>
      </w:r>
      <w:r w:rsidR="00637B99" w:rsidRPr="00AE154B">
        <w:rPr>
          <w:rFonts w:ascii="Times New Roman" w:hAnsi="Times New Roman" w:cs="Times New Roman"/>
          <w:sz w:val="24"/>
          <w:szCs w:val="24"/>
        </w:rPr>
        <w:t xml:space="preserve"> and </w:t>
      </w:r>
      <w:r w:rsidR="00637B99" w:rsidRPr="00AE154B">
        <w:rPr>
          <w:rStyle w:val="Strong"/>
          <w:rFonts w:ascii="Times New Roman" w:hAnsi="Times New Roman" w:cs="Times New Roman"/>
          <w:b w:val="0"/>
          <w:sz w:val="24"/>
          <w:szCs w:val="24"/>
        </w:rPr>
        <w:t>38.1%</w:t>
      </w:r>
      <w:r w:rsidR="00637B99" w:rsidRPr="00AE154B">
        <w:rPr>
          <w:rFonts w:ascii="Times New Roman" w:hAnsi="Times New Roman" w:cs="Times New Roman"/>
          <w:sz w:val="24"/>
          <w:szCs w:val="24"/>
        </w:rPr>
        <w:t xml:space="preserve"> have </w:t>
      </w:r>
      <w:r w:rsidR="00637B99" w:rsidRPr="00AE154B">
        <w:rPr>
          <w:rStyle w:val="Emphasis"/>
          <w:rFonts w:ascii="Times New Roman" w:hAnsi="Times New Roman" w:cs="Times New Roman"/>
          <w:i w:val="0"/>
          <w:sz w:val="24"/>
          <w:szCs w:val="24"/>
        </w:rPr>
        <w:t>permanent floors</w:t>
      </w:r>
      <w:r w:rsidR="00637B99" w:rsidRPr="00AE154B">
        <w:rPr>
          <w:rFonts w:ascii="Times New Roman" w:hAnsi="Times New Roman" w:cs="Times New Roman"/>
          <w:sz w:val="24"/>
          <w:szCs w:val="24"/>
        </w:rPr>
        <w:t>. These indicators reflect the general living standards of households and may serve as proxies for economic welfare and creditworthiness.</w:t>
      </w:r>
    </w:p>
    <w:p w14:paraId="787A40A2" w14:textId="77777777" w:rsidR="00410DEC" w:rsidRDefault="00410DEC" w:rsidP="00410DEC">
      <w:pPr>
        <w:spacing w:line="240" w:lineRule="auto"/>
        <w:jc w:val="both"/>
        <w:rPr>
          <w:rFonts w:ascii="Times New Roman" w:hAnsi="Times New Roman" w:cs="Times New Roman"/>
          <w:sz w:val="24"/>
          <w:szCs w:val="24"/>
        </w:rPr>
      </w:pPr>
    </w:p>
    <w:p w14:paraId="050E6D5B" w14:textId="77777777" w:rsidR="00410DEC" w:rsidRDefault="00410DEC" w:rsidP="00410DEC">
      <w:pPr>
        <w:spacing w:line="240" w:lineRule="auto"/>
        <w:jc w:val="both"/>
        <w:rPr>
          <w:rFonts w:ascii="Times New Roman" w:hAnsi="Times New Roman" w:cs="Times New Roman"/>
          <w:sz w:val="24"/>
          <w:szCs w:val="24"/>
        </w:rPr>
      </w:pPr>
    </w:p>
    <w:p w14:paraId="1586021F" w14:textId="77777777" w:rsidR="00410DEC" w:rsidRDefault="00410DEC" w:rsidP="00410DEC">
      <w:pPr>
        <w:spacing w:line="240" w:lineRule="auto"/>
        <w:jc w:val="both"/>
        <w:rPr>
          <w:rFonts w:ascii="Times New Roman" w:hAnsi="Times New Roman" w:cs="Times New Roman"/>
          <w:sz w:val="24"/>
          <w:szCs w:val="24"/>
        </w:rPr>
      </w:pPr>
    </w:p>
    <w:p w14:paraId="510C0C5E" w14:textId="77777777" w:rsidR="00410DEC" w:rsidRDefault="00410DEC" w:rsidP="00410DEC">
      <w:pPr>
        <w:spacing w:line="240" w:lineRule="auto"/>
        <w:jc w:val="both"/>
        <w:rPr>
          <w:rFonts w:ascii="Times New Roman" w:hAnsi="Times New Roman" w:cs="Times New Roman"/>
          <w:sz w:val="24"/>
          <w:szCs w:val="24"/>
        </w:rPr>
      </w:pPr>
    </w:p>
    <w:p w14:paraId="56435953" w14:textId="77777777" w:rsidR="00410DEC" w:rsidRDefault="00410DEC" w:rsidP="00410DEC">
      <w:pPr>
        <w:spacing w:line="240" w:lineRule="auto"/>
        <w:jc w:val="both"/>
        <w:rPr>
          <w:rFonts w:ascii="Times New Roman" w:hAnsi="Times New Roman" w:cs="Times New Roman"/>
          <w:sz w:val="24"/>
          <w:szCs w:val="24"/>
        </w:rPr>
      </w:pPr>
    </w:p>
    <w:p w14:paraId="70C6A38F" w14:textId="77777777" w:rsidR="00410DEC" w:rsidRDefault="00410DEC" w:rsidP="00410DEC">
      <w:pPr>
        <w:spacing w:line="240" w:lineRule="auto"/>
        <w:jc w:val="both"/>
        <w:rPr>
          <w:rFonts w:ascii="Times New Roman" w:hAnsi="Times New Roman" w:cs="Times New Roman"/>
          <w:sz w:val="24"/>
          <w:szCs w:val="24"/>
        </w:rPr>
      </w:pPr>
    </w:p>
    <w:p w14:paraId="0F7DA00F" w14:textId="77777777" w:rsidR="00043452" w:rsidRDefault="00043452" w:rsidP="00410DEC">
      <w:pPr>
        <w:spacing w:line="240" w:lineRule="auto"/>
        <w:jc w:val="both"/>
        <w:rPr>
          <w:rFonts w:ascii="Times New Roman" w:hAnsi="Times New Roman" w:cs="Times New Roman"/>
          <w:sz w:val="24"/>
          <w:szCs w:val="24"/>
        </w:rPr>
      </w:pPr>
    </w:p>
    <w:p w14:paraId="617223B5" w14:textId="77777777" w:rsidR="00637B99" w:rsidRPr="0026709C" w:rsidRDefault="00F279D7" w:rsidP="00410DEC">
      <w:pPr>
        <w:pStyle w:val="Heading2"/>
        <w:spacing w:line="240" w:lineRule="auto"/>
        <w:rPr>
          <w:rFonts w:ascii="Times New Roman" w:hAnsi="Times New Roman" w:cs="Times New Roman"/>
          <w:sz w:val="24"/>
          <w:szCs w:val="24"/>
        </w:rPr>
      </w:pPr>
      <w:r w:rsidRPr="0026709C">
        <w:rPr>
          <w:rFonts w:ascii="Times New Roman" w:hAnsi="Times New Roman" w:cs="Times New Roman"/>
          <w:sz w:val="24"/>
          <w:szCs w:val="24"/>
        </w:rPr>
        <w:lastRenderedPageBreak/>
        <w:t>4.2 Correlation Analysis and Marginal Effects</w:t>
      </w:r>
    </w:p>
    <w:p w14:paraId="72D0C2CC" w14:textId="63B5A702" w:rsidR="007D22CD" w:rsidRPr="00AE154B" w:rsidRDefault="007D22CD" w:rsidP="00410DEC">
      <w:pPr>
        <w:pStyle w:val="Caption"/>
        <w:rPr>
          <w:rFonts w:cs="Times New Roman"/>
          <w:sz w:val="24"/>
          <w:szCs w:val="24"/>
        </w:rPr>
      </w:pPr>
      <w:bookmarkStart w:id="3" w:name="_Ref211436066"/>
      <w:bookmarkStart w:id="4" w:name="_Toc202996964"/>
      <w:bookmarkStart w:id="5" w:name="_Ref215225231"/>
      <w:r w:rsidRPr="00AE154B">
        <w:rPr>
          <w:rFonts w:cs="Times New Roman"/>
          <w:sz w:val="24"/>
          <w:szCs w:val="24"/>
        </w:rPr>
        <w:t xml:space="preserve">Table </w:t>
      </w:r>
      <w:r w:rsidRPr="00AE154B">
        <w:rPr>
          <w:rFonts w:cs="Times New Roman"/>
          <w:sz w:val="24"/>
          <w:szCs w:val="24"/>
        </w:rPr>
        <w:fldChar w:fldCharType="begin"/>
      </w:r>
      <w:r w:rsidRPr="00AE154B">
        <w:rPr>
          <w:rFonts w:cs="Times New Roman"/>
          <w:sz w:val="24"/>
          <w:szCs w:val="24"/>
        </w:rPr>
        <w:instrText xml:space="preserve"> SEQ Table \* ARABIC </w:instrText>
      </w:r>
      <w:r w:rsidRPr="00AE154B">
        <w:rPr>
          <w:rFonts w:cs="Times New Roman"/>
          <w:sz w:val="24"/>
          <w:szCs w:val="24"/>
        </w:rPr>
        <w:fldChar w:fldCharType="separate"/>
      </w:r>
      <w:r w:rsidR="00D0193E">
        <w:rPr>
          <w:rFonts w:cs="Times New Roman"/>
          <w:noProof/>
          <w:sz w:val="24"/>
          <w:szCs w:val="24"/>
        </w:rPr>
        <w:t>2</w:t>
      </w:r>
      <w:r w:rsidRPr="00AE154B">
        <w:rPr>
          <w:rFonts w:cs="Times New Roman"/>
          <w:sz w:val="24"/>
          <w:szCs w:val="24"/>
        </w:rPr>
        <w:fldChar w:fldCharType="end"/>
      </w:r>
      <w:bookmarkEnd w:id="3"/>
      <w:r w:rsidRPr="00AE154B">
        <w:rPr>
          <w:rFonts w:cs="Times New Roman"/>
          <w:sz w:val="24"/>
          <w:szCs w:val="24"/>
        </w:rPr>
        <w:t xml:space="preserve">:Pairwise correlation </w:t>
      </w:r>
      <w:bookmarkEnd w:id="4"/>
      <w:r w:rsidRPr="00AE154B">
        <w:rPr>
          <w:rFonts w:cs="Times New Roman"/>
          <w:sz w:val="24"/>
          <w:szCs w:val="24"/>
        </w:rPr>
        <w:t>household characteristics and loan utilization</w:t>
      </w:r>
      <w:bookmarkEnd w:id="5"/>
      <w:r w:rsidRPr="00AE154B">
        <w:rPr>
          <w:rFonts w:cs="Times New Roman"/>
          <w:sz w:val="24"/>
          <w:szCs w:val="24"/>
        </w:rPr>
        <w:t xml:space="preserve">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778"/>
      </w:tblGrid>
      <w:tr w:rsidR="007D22CD" w:rsidRPr="00AE154B" w14:paraId="6CF26FB6" w14:textId="77777777" w:rsidTr="005B3A12">
        <w:trPr>
          <w:trHeight w:val="390"/>
        </w:trPr>
        <w:tc>
          <w:tcPr>
            <w:tcW w:w="3397" w:type="dxa"/>
          </w:tcPr>
          <w:p w14:paraId="4DCE0977"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b/>
                <w:sz w:val="24"/>
                <w:szCs w:val="24"/>
              </w:rPr>
            </w:pPr>
            <w:r w:rsidRPr="00AE154B">
              <w:rPr>
                <w:rFonts w:ascii="Times New Roman" w:hAnsi="Times New Roman" w:cs="Times New Roman"/>
                <w:b/>
                <w:sz w:val="24"/>
                <w:szCs w:val="24"/>
              </w:rPr>
              <w:t>Variables</w:t>
            </w:r>
          </w:p>
        </w:tc>
        <w:tc>
          <w:tcPr>
            <w:tcW w:w="5778" w:type="dxa"/>
          </w:tcPr>
          <w:p w14:paraId="744DEFB9"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b/>
                <w:sz w:val="24"/>
                <w:szCs w:val="24"/>
              </w:rPr>
            </w:pPr>
            <w:r w:rsidRPr="00AE154B">
              <w:rPr>
                <w:rFonts w:ascii="Times New Roman" w:hAnsi="Times New Roman" w:cs="Times New Roman"/>
                <w:b/>
                <w:sz w:val="24"/>
                <w:szCs w:val="24"/>
              </w:rPr>
              <w:t>Loan utilization</w:t>
            </w:r>
          </w:p>
        </w:tc>
      </w:tr>
      <w:tr w:rsidR="007D22CD" w:rsidRPr="00AE154B" w14:paraId="2BFDE3DD" w14:textId="77777777" w:rsidTr="005B3A12">
        <w:tc>
          <w:tcPr>
            <w:tcW w:w="3397" w:type="dxa"/>
          </w:tcPr>
          <w:p w14:paraId="2BB47B5A"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Registered bank account</w:t>
            </w:r>
          </w:p>
        </w:tc>
        <w:tc>
          <w:tcPr>
            <w:tcW w:w="5778" w:type="dxa"/>
          </w:tcPr>
          <w:p w14:paraId="45ECE444"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0.315*</w:t>
            </w:r>
          </w:p>
        </w:tc>
      </w:tr>
      <w:tr w:rsidR="007D22CD" w:rsidRPr="00AE154B" w14:paraId="62BA6AB6" w14:textId="77777777" w:rsidTr="005B3A12">
        <w:tc>
          <w:tcPr>
            <w:tcW w:w="3397" w:type="dxa"/>
          </w:tcPr>
          <w:p w14:paraId="461B62FC"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Financial tech</w:t>
            </w:r>
          </w:p>
        </w:tc>
        <w:tc>
          <w:tcPr>
            <w:tcW w:w="5778" w:type="dxa"/>
          </w:tcPr>
          <w:p w14:paraId="23B14540"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0.221*</w:t>
            </w:r>
          </w:p>
        </w:tc>
      </w:tr>
      <w:tr w:rsidR="007D22CD" w:rsidRPr="00AE154B" w14:paraId="4166FEC9" w14:textId="77777777" w:rsidTr="005B3A12">
        <w:tc>
          <w:tcPr>
            <w:tcW w:w="3397" w:type="dxa"/>
          </w:tcPr>
          <w:p w14:paraId="249CA661"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Social networks</w:t>
            </w:r>
          </w:p>
        </w:tc>
        <w:tc>
          <w:tcPr>
            <w:tcW w:w="5778" w:type="dxa"/>
          </w:tcPr>
          <w:p w14:paraId="28A79E0C"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-0.081*</w:t>
            </w:r>
          </w:p>
        </w:tc>
      </w:tr>
      <w:tr w:rsidR="007D22CD" w:rsidRPr="00AE154B" w14:paraId="42653C4D" w14:textId="77777777" w:rsidTr="005B3A12">
        <w:tc>
          <w:tcPr>
            <w:tcW w:w="3397" w:type="dxa"/>
          </w:tcPr>
          <w:p w14:paraId="2749495A"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Sex (male)</w:t>
            </w:r>
          </w:p>
        </w:tc>
        <w:tc>
          <w:tcPr>
            <w:tcW w:w="5778" w:type="dxa"/>
          </w:tcPr>
          <w:p w14:paraId="418FBD7D"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0.021</w:t>
            </w:r>
          </w:p>
        </w:tc>
      </w:tr>
      <w:tr w:rsidR="007D22CD" w:rsidRPr="00AE154B" w14:paraId="33C94D94" w14:textId="77777777" w:rsidTr="005B3A12">
        <w:tc>
          <w:tcPr>
            <w:tcW w:w="3397" w:type="dxa"/>
          </w:tcPr>
          <w:p w14:paraId="40C73249"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Age</w:t>
            </w:r>
          </w:p>
        </w:tc>
        <w:tc>
          <w:tcPr>
            <w:tcW w:w="5778" w:type="dxa"/>
          </w:tcPr>
          <w:p w14:paraId="34E0EBF8"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0.025</w:t>
            </w:r>
          </w:p>
        </w:tc>
      </w:tr>
      <w:tr w:rsidR="007D22CD" w:rsidRPr="00AE154B" w14:paraId="416E987B" w14:textId="77777777" w:rsidTr="005B3A12">
        <w:tc>
          <w:tcPr>
            <w:tcW w:w="3397" w:type="dxa"/>
          </w:tcPr>
          <w:p w14:paraId="4CB2015A"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Education level</w:t>
            </w:r>
          </w:p>
        </w:tc>
        <w:tc>
          <w:tcPr>
            <w:tcW w:w="5778" w:type="dxa"/>
          </w:tcPr>
          <w:p w14:paraId="63EACAAF"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0.331*</w:t>
            </w:r>
          </w:p>
        </w:tc>
      </w:tr>
      <w:tr w:rsidR="007D22CD" w:rsidRPr="00AE154B" w14:paraId="2EF0F591" w14:textId="77777777" w:rsidTr="005B3A12">
        <w:tc>
          <w:tcPr>
            <w:tcW w:w="3397" w:type="dxa"/>
          </w:tcPr>
          <w:p w14:paraId="4ADC78A8"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Urban location</w:t>
            </w:r>
          </w:p>
        </w:tc>
        <w:tc>
          <w:tcPr>
            <w:tcW w:w="5778" w:type="dxa"/>
          </w:tcPr>
          <w:p w14:paraId="070D93EF"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0.276*</w:t>
            </w:r>
          </w:p>
        </w:tc>
      </w:tr>
      <w:tr w:rsidR="007D22CD" w:rsidRPr="00AE154B" w14:paraId="4903E808" w14:textId="77777777" w:rsidTr="005B3A12">
        <w:tc>
          <w:tcPr>
            <w:tcW w:w="3397" w:type="dxa"/>
          </w:tcPr>
          <w:p w14:paraId="6D0988ED"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Dwelling type</w:t>
            </w:r>
          </w:p>
        </w:tc>
        <w:tc>
          <w:tcPr>
            <w:tcW w:w="5778" w:type="dxa"/>
          </w:tcPr>
          <w:p w14:paraId="21D6D05B"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-0.050*</w:t>
            </w:r>
          </w:p>
        </w:tc>
      </w:tr>
      <w:tr w:rsidR="007D22CD" w:rsidRPr="00AE154B" w14:paraId="003D0856" w14:textId="77777777" w:rsidTr="005B3A12">
        <w:tc>
          <w:tcPr>
            <w:tcW w:w="3397" w:type="dxa"/>
          </w:tcPr>
          <w:p w14:paraId="35E964DB"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Permanent floor</w:t>
            </w:r>
          </w:p>
        </w:tc>
        <w:tc>
          <w:tcPr>
            <w:tcW w:w="5778" w:type="dxa"/>
          </w:tcPr>
          <w:p w14:paraId="55CEF941" w14:textId="4605CEEC" w:rsidR="007D22CD" w:rsidRPr="00AE154B" w:rsidRDefault="00A152F1" w:rsidP="00410DEC">
            <w:pPr>
              <w:widowControl w:val="0"/>
              <w:autoSpaceDE w:val="0"/>
              <w:autoSpaceDN w:val="0"/>
              <w:adjustRightInd w:val="0"/>
              <w:spacing w:after="0" w:line="240" w:lineRule="auto"/>
              <w:jc w:val="right"/>
              <w:rPr>
                <w:rFonts w:ascii="Times New Roman" w:hAnsi="Times New Roman" w:cs="Times New Roman"/>
                <w:sz w:val="24"/>
                <w:szCs w:val="24"/>
              </w:rPr>
            </w:pPr>
            <w:r w:rsidRPr="00557BD7">
              <w:rPr>
                <w:rFonts w:ascii="Times New Roman" w:eastAsia="Times New Roman" w:hAnsi="Times New Roman" w:cs="Times New Roman"/>
                <w:noProof/>
                <w:sz w:val="24"/>
                <w:szCs w:val="24"/>
              </w:rPr>
              <w:t>0.094*</w:t>
            </w:r>
            <w:r w:rsidRPr="00AE154B">
              <w:rPr>
                <w:rFonts w:ascii="Times New Roman" w:eastAsia="Times New Roman" w:hAnsi="Times New Roman" w:cs="Times New Roman"/>
                <w:bCs/>
                <w:sz w:val="24"/>
                <w:szCs w:val="24"/>
              </w:rPr>
              <w:t xml:space="preserve"> </w:t>
            </w:r>
          </w:p>
        </w:tc>
      </w:tr>
      <w:tr w:rsidR="007D22CD" w:rsidRPr="00AE154B" w14:paraId="074FED1B" w14:textId="77777777" w:rsidTr="005B3A12">
        <w:tc>
          <w:tcPr>
            <w:tcW w:w="3397" w:type="dxa"/>
          </w:tcPr>
          <w:p w14:paraId="407576ED"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Permanent roof</w:t>
            </w:r>
          </w:p>
        </w:tc>
        <w:tc>
          <w:tcPr>
            <w:tcW w:w="5778" w:type="dxa"/>
          </w:tcPr>
          <w:p w14:paraId="756037F7"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0.416*</w:t>
            </w:r>
          </w:p>
        </w:tc>
      </w:tr>
      <w:tr w:rsidR="007D22CD" w:rsidRPr="00AE154B" w14:paraId="2A38C7E7" w14:textId="77777777" w:rsidTr="005B3A12">
        <w:tc>
          <w:tcPr>
            <w:tcW w:w="3397" w:type="dxa"/>
          </w:tcPr>
          <w:p w14:paraId="2047C75A"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Employment status</w:t>
            </w:r>
          </w:p>
        </w:tc>
        <w:tc>
          <w:tcPr>
            <w:tcW w:w="5778" w:type="dxa"/>
          </w:tcPr>
          <w:p w14:paraId="7CB7976A"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-0.169*</w:t>
            </w:r>
          </w:p>
        </w:tc>
      </w:tr>
      <w:tr w:rsidR="007D22CD" w:rsidRPr="00AE154B" w14:paraId="115225A0" w14:textId="77777777" w:rsidTr="005B3A12">
        <w:tc>
          <w:tcPr>
            <w:tcW w:w="3397" w:type="dxa"/>
          </w:tcPr>
          <w:p w14:paraId="5F59AF46" w14:textId="77777777" w:rsidR="007D22CD" w:rsidRPr="00AE154B" w:rsidRDefault="008B4363" w:rsidP="00410DE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Anxious </w:t>
            </w:r>
            <w:r w:rsidR="007D22CD" w:rsidRPr="00AE154B">
              <w:rPr>
                <w:rFonts w:ascii="Times New Roman" w:hAnsi="Times New Roman" w:cs="Times New Roman"/>
                <w:sz w:val="24"/>
                <w:szCs w:val="24"/>
              </w:rPr>
              <w:t xml:space="preserve"> about</w:t>
            </w:r>
            <w:proofErr w:type="gramEnd"/>
            <w:r w:rsidR="007D22CD" w:rsidRPr="00AE154B">
              <w:rPr>
                <w:rFonts w:ascii="Times New Roman" w:hAnsi="Times New Roman" w:cs="Times New Roman"/>
                <w:sz w:val="24"/>
                <w:szCs w:val="24"/>
              </w:rPr>
              <w:t xml:space="preserve"> failure to pay</w:t>
            </w:r>
          </w:p>
        </w:tc>
        <w:tc>
          <w:tcPr>
            <w:tcW w:w="5778" w:type="dxa"/>
          </w:tcPr>
          <w:p w14:paraId="0EA5FFC7"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-0.083*</w:t>
            </w:r>
          </w:p>
        </w:tc>
      </w:tr>
      <w:tr w:rsidR="007D22CD" w:rsidRPr="00AE154B" w14:paraId="287BC6EF" w14:textId="77777777" w:rsidTr="005B3A12">
        <w:tc>
          <w:tcPr>
            <w:tcW w:w="3397" w:type="dxa"/>
          </w:tcPr>
          <w:p w14:paraId="177A24AC"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Wave 2023</w:t>
            </w:r>
          </w:p>
        </w:tc>
        <w:tc>
          <w:tcPr>
            <w:tcW w:w="5778" w:type="dxa"/>
          </w:tcPr>
          <w:p w14:paraId="43DDA124"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0.018</w:t>
            </w:r>
          </w:p>
        </w:tc>
      </w:tr>
    </w:tbl>
    <w:p w14:paraId="2F8B8509" w14:textId="77777777" w:rsidR="007D22CD" w:rsidRDefault="007D22CD" w:rsidP="00410DEC">
      <w:pPr>
        <w:widowControl w:val="0"/>
        <w:autoSpaceDE w:val="0"/>
        <w:autoSpaceDN w:val="0"/>
        <w:adjustRightInd w:val="0"/>
        <w:spacing w:after="0" w:line="240" w:lineRule="auto"/>
        <w:jc w:val="both"/>
        <w:rPr>
          <w:rFonts w:ascii="Times New Roman" w:hAnsi="Times New Roman" w:cs="Times New Roman"/>
          <w:sz w:val="20"/>
          <w:szCs w:val="20"/>
        </w:rPr>
      </w:pPr>
      <w:r w:rsidRPr="00AE154B">
        <w:rPr>
          <w:rFonts w:ascii="Times New Roman" w:hAnsi="Times New Roman" w:cs="Times New Roman"/>
          <w:sz w:val="20"/>
          <w:szCs w:val="20"/>
        </w:rPr>
        <w:t>Standard errors in parentheses: *** p&lt;0.01, ** p&lt;0.05, * p&lt;0.1</w:t>
      </w:r>
    </w:p>
    <w:p w14:paraId="167B6551" w14:textId="77777777" w:rsidR="005B213B" w:rsidRDefault="005B213B" w:rsidP="00410DEC">
      <w:pPr>
        <w:widowControl w:val="0"/>
        <w:autoSpaceDE w:val="0"/>
        <w:autoSpaceDN w:val="0"/>
        <w:adjustRightInd w:val="0"/>
        <w:spacing w:after="0" w:line="240" w:lineRule="auto"/>
        <w:jc w:val="both"/>
        <w:rPr>
          <w:rFonts w:ascii="Times New Roman" w:hAnsi="Times New Roman" w:cs="Times New Roman"/>
          <w:sz w:val="20"/>
          <w:szCs w:val="20"/>
        </w:rPr>
      </w:pPr>
    </w:p>
    <w:p w14:paraId="16EA8D00" w14:textId="77777777" w:rsidR="005B213B" w:rsidRDefault="005B213B" w:rsidP="00410DEC">
      <w:pPr>
        <w:widowControl w:val="0"/>
        <w:autoSpaceDE w:val="0"/>
        <w:autoSpaceDN w:val="0"/>
        <w:adjustRightInd w:val="0"/>
        <w:spacing w:after="0" w:line="240" w:lineRule="auto"/>
        <w:jc w:val="both"/>
        <w:rPr>
          <w:rFonts w:ascii="Times New Roman" w:hAnsi="Times New Roman" w:cs="Times New Roman"/>
          <w:sz w:val="20"/>
          <w:szCs w:val="20"/>
        </w:rPr>
      </w:pPr>
    </w:p>
    <w:p w14:paraId="3F2FF1CC" w14:textId="4AD4EFD6" w:rsidR="007D22CD" w:rsidRPr="00AE154B" w:rsidRDefault="007D22CD" w:rsidP="00410DEC">
      <w:pPr>
        <w:pStyle w:val="Caption"/>
        <w:rPr>
          <w:rFonts w:cs="Times New Roman"/>
        </w:rPr>
      </w:pPr>
      <w:bookmarkStart w:id="6" w:name="_Ref211726114"/>
      <w:r w:rsidRPr="00AE154B">
        <w:rPr>
          <w:rFonts w:cs="Times New Roman"/>
        </w:rPr>
        <w:t xml:space="preserve">Table </w:t>
      </w:r>
      <w:r w:rsidRPr="00AE154B">
        <w:rPr>
          <w:rFonts w:cs="Times New Roman"/>
        </w:rPr>
        <w:fldChar w:fldCharType="begin"/>
      </w:r>
      <w:r w:rsidRPr="00AE154B">
        <w:rPr>
          <w:rFonts w:cs="Times New Roman"/>
        </w:rPr>
        <w:instrText xml:space="preserve"> SEQ Table \* ARABIC </w:instrText>
      </w:r>
      <w:r w:rsidRPr="00AE154B">
        <w:rPr>
          <w:rFonts w:cs="Times New Roman"/>
        </w:rPr>
        <w:fldChar w:fldCharType="separate"/>
      </w:r>
      <w:r w:rsidR="00D0193E">
        <w:rPr>
          <w:rFonts w:cs="Times New Roman"/>
          <w:noProof/>
        </w:rPr>
        <w:t>3</w:t>
      </w:r>
      <w:r w:rsidRPr="00AE154B">
        <w:rPr>
          <w:rFonts w:cs="Times New Roman"/>
          <w:noProof/>
        </w:rPr>
        <w:fldChar w:fldCharType="end"/>
      </w:r>
      <w:bookmarkEnd w:id="6"/>
      <w:r w:rsidRPr="00AE154B">
        <w:rPr>
          <w:rFonts w:cs="Times New Roman"/>
        </w:rPr>
        <w:t xml:space="preserve">: </w:t>
      </w:r>
      <w:r w:rsidRPr="00AE154B">
        <w:rPr>
          <w:rFonts w:cs="Times New Roman"/>
          <w:sz w:val="24"/>
          <w:szCs w:val="24"/>
        </w:rPr>
        <w:t>Marginal effect of Purpose of loans on household debt repayment behavior</w:t>
      </w:r>
    </w:p>
    <w:tbl>
      <w:tblPr>
        <w:tblW w:w="0" w:type="auto"/>
        <w:jc w:val="center"/>
        <w:tblLayout w:type="fixed"/>
        <w:tblCellMar>
          <w:left w:w="75" w:type="dxa"/>
          <w:right w:w="75" w:type="dxa"/>
        </w:tblCellMar>
        <w:tblLook w:val="0000" w:firstRow="0" w:lastRow="0" w:firstColumn="0" w:lastColumn="0" w:noHBand="0" w:noVBand="0"/>
      </w:tblPr>
      <w:tblGrid>
        <w:gridCol w:w="5098"/>
        <w:gridCol w:w="1985"/>
        <w:gridCol w:w="1849"/>
      </w:tblGrid>
      <w:tr w:rsidR="007D22CD" w:rsidRPr="00AE154B" w14:paraId="11752F80"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tcPr>
          <w:p w14:paraId="2D5BECD0"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VARIABLES</w:t>
            </w:r>
          </w:p>
        </w:tc>
        <w:tc>
          <w:tcPr>
            <w:tcW w:w="1985" w:type="dxa"/>
            <w:tcBorders>
              <w:top w:val="single" w:sz="4" w:space="0" w:color="auto"/>
              <w:left w:val="single" w:sz="4" w:space="0" w:color="auto"/>
              <w:bottom w:val="single" w:sz="4" w:space="0" w:color="auto"/>
              <w:right w:val="single" w:sz="4" w:space="0" w:color="auto"/>
            </w:tcBorders>
          </w:tcPr>
          <w:p w14:paraId="3A98A8E7"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Failure to pay</w:t>
            </w:r>
          </w:p>
        </w:tc>
        <w:tc>
          <w:tcPr>
            <w:tcW w:w="1849" w:type="dxa"/>
            <w:tcBorders>
              <w:top w:val="single" w:sz="4" w:space="0" w:color="auto"/>
              <w:left w:val="single" w:sz="4" w:space="0" w:color="auto"/>
              <w:bottom w:val="single" w:sz="4" w:space="0" w:color="auto"/>
              <w:right w:val="single" w:sz="4" w:space="0" w:color="auto"/>
            </w:tcBorders>
          </w:tcPr>
          <w:p w14:paraId="0D946862" w14:textId="77777777" w:rsidR="007D22CD" w:rsidRPr="00AE154B" w:rsidRDefault="009A26AE"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w:t>
            </w:r>
            <w:r w:rsidR="007D22CD" w:rsidRPr="00AE154B">
              <w:rPr>
                <w:rFonts w:ascii="Times New Roman" w:hAnsi="Times New Roman" w:cs="Times New Roman"/>
                <w:sz w:val="24"/>
                <w:szCs w:val="24"/>
              </w:rPr>
              <w:t>e</w:t>
            </w:r>
          </w:p>
        </w:tc>
      </w:tr>
      <w:tr w:rsidR="007D22CD" w:rsidRPr="00AE154B" w14:paraId="58E328DF"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tcPr>
          <w:p w14:paraId="57AC084E"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Purpose of the loan</w:t>
            </w:r>
          </w:p>
        </w:tc>
        <w:tc>
          <w:tcPr>
            <w:tcW w:w="1985" w:type="dxa"/>
            <w:tcBorders>
              <w:top w:val="single" w:sz="4" w:space="0" w:color="auto"/>
              <w:left w:val="single" w:sz="4" w:space="0" w:color="auto"/>
              <w:bottom w:val="single" w:sz="4" w:space="0" w:color="auto"/>
              <w:right w:val="single" w:sz="4" w:space="0" w:color="auto"/>
            </w:tcBorders>
          </w:tcPr>
          <w:p w14:paraId="7DC78B1F"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-0.0617**</w:t>
            </w:r>
          </w:p>
        </w:tc>
        <w:tc>
          <w:tcPr>
            <w:tcW w:w="1849" w:type="dxa"/>
            <w:tcBorders>
              <w:top w:val="single" w:sz="4" w:space="0" w:color="auto"/>
              <w:left w:val="single" w:sz="4" w:space="0" w:color="auto"/>
              <w:bottom w:val="single" w:sz="4" w:space="0" w:color="auto"/>
              <w:right w:val="single" w:sz="4" w:space="0" w:color="auto"/>
            </w:tcBorders>
          </w:tcPr>
          <w:p w14:paraId="6B312EF4"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(0.0297)</w:t>
            </w:r>
          </w:p>
        </w:tc>
      </w:tr>
      <w:tr w:rsidR="007D22CD" w:rsidRPr="00AE154B" w14:paraId="525DD9A5"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tcPr>
          <w:p w14:paraId="1DA3D1F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 xml:space="preserve">Sex </w:t>
            </w:r>
            <w:proofErr w:type="gramStart"/>
            <w:r w:rsidRPr="00AE154B">
              <w:rPr>
                <w:rFonts w:ascii="Times New Roman" w:hAnsi="Times New Roman" w:cs="Times New Roman"/>
                <w:sz w:val="24"/>
                <w:szCs w:val="24"/>
              </w:rPr>
              <w:t>of  HH</w:t>
            </w:r>
            <w:proofErr w:type="gramEnd"/>
            <w:r w:rsidRPr="00AE154B">
              <w:rPr>
                <w:rFonts w:ascii="Times New Roman" w:hAnsi="Times New Roman" w:cs="Times New Roman"/>
                <w:sz w:val="24"/>
                <w:szCs w:val="24"/>
              </w:rPr>
              <w:t xml:space="preserve"> head (male)</w:t>
            </w:r>
          </w:p>
        </w:tc>
        <w:tc>
          <w:tcPr>
            <w:tcW w:w="1985" w:type="dxa"/>
            <w:tcBorders>
              <w:top w:val="single" w:sz="4" w:space="0" w:color="auto"/>
              <w:left w:val="single" w:sz="4" w:space="0" w:color="auto"/>
              <w:bottom w:val="single" w:sz="4" w:space="0" w:color="auto"/>
              <w:right w:val="single" w:sz="4" w:space="0" w:color="auto"/>
            </w:tcBorders>
          </w:tcPr>
          <w:p w14:paraId="30BA101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-0.0283</w:t>
            </w:r>
          </w:p>
        </w:tc>
        <w:tc>
          <w:tcPr>
            <w:tcW w:w="1849" w:type="dxa"/>
            <w:tcBorders>
              <w:top w:val="single" w:sz="4" w:space="0" w:color="auto"/>
              <w:left w:val="single" w:sz="4" w:space="0" w:color="auto"/>
              <w:bottom w:val="single" w:sz="4" w:space="0" w:color="auto"/>
              <w:right w:val="single" w:sz="4" w:space="0" w:color="auto"/>
            </w:tcBorders>
          </w:tcPr>
          <w:p w14:paraId="6D07769A"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(0.0277)</w:t>
            </w:r>
          </w:p>
        </w:tc>
      </w:tr>
      <w:tr w:rsidR="007D22CD" w:rsidRPr="00AE154B" w14:paraId="1BC6EFCE"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tcPr>
          <w:p w14:paraId="757377C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Age of HH head</w:t>
            </w:r>
          </w:p>
        </w:tc>
        <w:tc>
          <w:tcPr>
            <w:tcW w:w="1985" w:type="dxa"/>
            <w:tcBorders>
              <w:top w:val="single" w:sz="4" w:space="0" w:color="auto"/>
              <w:left w:val="single" w:sz="4" w:space="0" w:color="auto"/>
              <w:bottom w:val="single" w:sz="4" w:space="0" w:color="auto"/>
              <w:right w:val="single" w:sz="4" w:space="0" w:color="auto"/>
            </w:tcBorders>
          </w:tcPr>
          <w:p w14:paraId="69C67876"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0.0102</w:t>
            </w:r>
          </w:p>
        </w:tc>
        <w:tc>
          <w:tcPr>
            <w:tcW w:w="1849" w:type="dxa"/>
            <w:tcBorders>
              <w:top w:val="single" w:sz="4" w:space="0" w:color="auto"/>
              <w:left w:val="single" w:sz="4" w:space="0" w:color="auto"/>
              <w:bottom w:val="single" w:sz="4" w:space="0" w:color="auto"/>
              <w:right w:val="single" w:sz="4" w:space="0" w:color="auto"/>
            </w:tcBorders>
          </w:tcPr>
          <w:p w14:paraId="7E08342F"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(0.00733)</w:t>
            </w:r>
          </w:p>
        </w:tc>
      </w:tr>
      <w:tr w:rsidR="007D22CD" w:rsidRPr="00AE154B" w14:paraId="4161BCBA"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tcPr>
          <w:p w14:paraId="39EA67B6"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Age squared</w:t>
            </w:r>
          </w:p>
        </w:tc>
        <w:tc>
          <w:tcPr>
            <w:tcW w:w="1985" w:type="dxa"/>
            <w:tcBorders>
              <w:top w:val="single" w:sz="4" w:space="0" w:color="auto"/>
              <w:left w:val="single" w:sz="4" w:space="0" w:color="auto"/>
              <w:bottom w:val="single" w:sz="4" w:space="0" w:color="auto"/>
              <w:right w:val="single" w:sz="4" w:space="0" w:color="auto"/>
            </w:tcBorders>
          </w:tcPr>
          <w:p w14:paraId="70997B98"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-0.00822</w:t>
            </w:r>
          </w:p>
        </w:tc>
        <w:tc>
          <w:tcPr>
            <w:tcW w:w="1849" w:type="dxa"/>
            <w:tcBorders>
              <w:top w:val="single" w:sz="4" w:space="0" w:color="auto"/>
              <w:left w:val="single" w:sz="4" w:space="0" w:color="auto"/>
              <w:bottom w:val="single" w:sz="4" w:space="0" w:color="auto"/>
              <w:right w:val="single" w:sz="4" w:space="0" w:color="auto"/>
            </w:tcBorders>
          </w:tcPr>
          <w:p w14:paraId="4B276530"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(0.00727)</w:t>
            </w:r>
          </w:p>
        </w:tc>
      </w:tr>
      <w:tr w:rsidR="007D22CD" w:rsidRPr="00AE154B" w14:paraId="5004A1E0"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tcPr>
          <w:p w14:paraId="5D9200B0"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Household size</w:t>
            </w:r>
          </w:p>
        </w:tc>
        <w:tc>
          <w:tcPr>
            <w:tcW w:w="1985" w:type="dxa"/>
            <w:tcBorders>
              <w:top w:val="single" w:sz="4" w:space="0" w:color="auto"/>
              <w:left w:val="single" w:sz="4" w:space="0" w:color="auto"/>
              <w:bottom w:val="single" w:sz="4" w:space="0" w:color="auto"/>
              <w:right w:val="single" w:sz="4" w:space="0" w:color="auto"/>
            </w:tcBorders>
          </w:tcPr>
          <w:p w14:paraId="453146F7"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0.00969**</w:t>
            </w:r>
          </w:p>
        </w:tc>
        <w:tc>
          <w:tcPr>
            <w:tcW w:w="1849" w:type="dxa"/>
            <w:tcBorders>
              <w:top w:val="single" w:sz="4" w:space="0" w:color="auto"/>
              <w:left w:val="single" w:sz="4" w:space="0" w:color="auto"/>
              <w:bottom w:val="single" w:sz="4" w:space="0" w:color="auto"/>
              <w:right w:val="single" w:sz="4" w:space="0" w:color="auto"/>
            </w:tcBorders>
          </w:tcPr>
          <w:p w14:paraId="0E7C4235"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(0.00490)</w:t>
            </w:r>
          </w:p>
        </w:tc>
      </w:tr>
      <w:tr w:rsidR="007D22CD" w:rsidRPr="00AE154B" w14:paraId="233A77DE"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tcPr>
          <w:p w14:paraId="5CC2F82C"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Location (urban/rural)</w:t>
            </w:r>
          </w:p>
        </w:tc>
        <w:tc>
          <w:tcPr>
            <w:tcW w:w="1985" w:type="dxa"/>
            <w:tcBorders>
              <w:top w:val="single" w:sz="4" w:space="0" w:color="auto"/>
              <w:left w:val="single" w:sz="4" w:space="0" w:color="auto"/>
              <w:bottom w:val="single" w:sz="4" w:space="0" w:color="auto"/>
              <w:right w:val="single" w:sz="4" w:space="0" w:color="auto"/>
            </w:tcBorders>
          </w:tcPr>
          <w:p w14:paraId="3EB79C1B"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-0.0210</w:t>
            </w:r>
          </w:p>
        </w:tc>
        <w:tc>
          <w:tcPr>
            <w:tcW w:w="1849" w:type="dxa"/>
            <w:tcBorders>
              <w:top w:val="single" w:sz="4" w:space="0" w:color="auto"/>
              <w:left w:val="single" w:sz="4" w:space="0" w:color="auto"/>
              <w:bottom w:val="single" w:sz="4" w:space="0" w:color="auto"/>
              <w:right w:val="single" w:sz="4" w:space="0" w:color="auto"/>
            </w:tcBorders>
          </w:tcPr>
          <w:p w14:paraId="24EC95C5"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(0.0313)</w:t>
            </w:r>
          </w:p>
        </w:tc>
      </w:tr>
      <w:tr w:rsidR="007D22CD" w:rsidRPr="00AE154B" w14:paraId="7A211389"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vAlign w:val="bottom"/>
          </w:tcPr>
          <w:p w14:paraId="1515363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b/>
                <w:sz w:val="24"/>
                <w:szCs w:val="24"/>
              </w:rPr>
            </w:pPr>
            <w:r w:rsidRPr="00AE154B">
              <w:rPr>
                <w:rFonts w:ascii="Times New Roman" w:hAnsi="Times New Roman" w:cs="Times New Roman"/>
                <w:b/>
                <w:sz w:val="24"/>
                <w:szCs w:val="24"/>
              </w:rPr>
              <w:t>Employment status</w:t>
            </w:r>
          </w:p>
        </w:tc>
        <w:tc>
          <w:tcPr>
            <w:tcW w:w="1985" w:type="dxa"/>
            <w:tcBorders>
              <w:top w:val="single" w:sz="4" w:space="0" w:color="auto"/>
              <w:left w:val="single" w:sz="4" w:space="0" w:color="auto"/>
              <w:bottom w:val="single" w:sz="4" w:space="0" w:color="auto"/>
              <w:right w:val="single" w:sz="4" w:space="0" w:color="auto"/>
            </w:tcBorders>
          </w:tcPr>
          <w:p w14:paraId="69CCFEFE"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
        </w:tc>
        <w:tc>
          <w:tcPr>
            <w:tcW w:w="1849" w:type="dxa"/>
            <w:tcBorders>
              <w:top w:val="single" w:sz="4" w:space="0" w:color="auto"/>
              <w:left w:val="single" w:sz="4" w:space="0" w:color="auto"/>
              <w:bottom w:val="single" w:sz="4" w:space="0" w:color="auto"/>
              <w:right w:val="single" w:sz="4" w:space="0" w:color="auto"/>
            </w:tcBorders>
          </w:tcPr>
          <w:p w14:paraId="785F468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
        </w:tc>
      </w:tr>
      <w:tr w:rsidR="007D22CD" w:rsidRPr="00AE154B" w14:paraId="4689AAF9"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vAlign w:val="bottom"/>
          </w:tcPr>
          <w:p w14:paraId="61F76A06"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Farm wage employment</w:t>
            </w:r>
          </w:p>
        </w:tc>
        <w:tc>
          <w:tcPr>
            <w:tcW w:w="1985" w:type="dxa"/>
            <w:tcBorders>
              <w:top w:val="single" w:sz="4" w:space="0" w:color="auto"/>
              <w:left w:val="single" w:sz="4" w:space="0" w:color="auto"/>
              <w:bottom w:val="single" w:sz="4" w:space="0" w:color="auto"/>
              <w:right w:val="single" w:sz="4" w:space="0" w:color="auto"/>
            </w:tcBorders>
          </w:tcPr>
          <w:p w14:paraId="6BAB60BD"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0.145***</w:t>
            </w:r>
          </w:p>
        </w:tc>
        <w:tc>
          <w:tcPr>
            <w:tcW w:w="1849" w:type="dxa"/>
            <w:tcBorders>
              <w:top w:val="single" w:sz="4" w:space="0" w:color="auto"/>
              <w:left w:val="single" w:sz="4" w:space="0" w:color="auto"/>
              <w:bottom w:val="single" w:sz="4" w:space="0" w:color="auto"/>
              <w:right w:val="single" w:sz="4" w:space="0" w:color="auto"/>
            </w:tcBorders>
          </w:tcPr>
          <w:p w14:paraId="28AB1677"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(0.0526)</w:t>
            </w:r>
          </w:p>
        </w:tc>
      </w:tr>
      <w:tr w:rsidR="007D22CD" w:rsidRPr="00AE154B" w14:paraId="3D054A10"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vAlign w:val="bottom"/>
          </w:tcPr>
          <w:p w14:paraId="2A70E0D5"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Nonfarm self-employment</w:t>
            </w:r>
          </w:p>
        </w:tc>
        <w:tc>
          <w:tcPr>
            <w:tcW w:w="1985" w:type="dxa"/>
            <w:tcBorders>
              <w:top w:val="single" w:sz="4" w:space="0" w:color="auto"/>
              <w:left w:val="single" w:sz="4" w:space="0" w:color="auto"/>
              <w:bottom w:val="single" w:sz="4" w:space="0" w:color="auto"/>
              <w:right w:val="single" w:sz="4" w:space="0" w:color="auto"/>
            </w:tcBorders>
          </w:tcPr>
          <w:p w14:paraId="476E2511"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0.0280</w:t>
            </w:r>
          </w:p>
        </w:tc>
        <w:tc>
          <w:tcPr>
            <w:tcW w:w="1849" w:type="dxa"/>
            <w:tcBorders>
              <w:top w:val="single" w:sz="4" w:space="0" w:color="auto"/>
              <w:left w:val="single" w:sz="4" w:space="0" w:color="auto"/>
              <w:bottom w:val="single" w:sz="4" w:space="0" w:color="auto"/>
              <w:right w:val="single" w:sz="4" w:space="0" w:color="auto"/>
            </w:tcBorders>
          </w:tcPr>
          <w:p w14:paraId="6790E746"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(0.0392)</w:t>
            </w:r>
          </w:p>
        </w:tc>
      </w:tr>
      <w:tr w:rsidR="007D22CD" w:rsidRPr="00AE154B" w14:paraId="23C0AA68"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vAlign w:val="bottom"/>
          </w:tcPr>
          <w:p w14:paraId="0EF7154B"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On farm employment</w:t>
            </w:r>
          </w:p>
        </w:tc>
        <w:tc>
          <w:tcPr>
            <w:tcW w:w="1985" w:type="dxa"/>
            <w:tcBorders>
              <w:top w:val="single" w:sz="4" w:space="0" w:color="auto"/>
              <w:left w:val="single" w:sz="4" w:space="0" w:color="auto"/>
              <w:bottom w:val="single" w:sz="4" w:space="0" w:color="auto"/>
              <w:right w:val="single" w:sz="4" w:space="0" w:color="auto"/>
            </w:tcBorders>
          </w:tcPr>
          <w:p w14:paraId="37F88AAE"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0.0339</w:t>
            </w:r>
          </w:p>
        </w:tc>
        <w:tc>
          <w:tcPr>
            <w:tcW w:w="1849" w:type="dxa"/>
            <w:tcBorders>
              <w:top w:val="single" w:sz="4" w:space="0" w:color="auto"/>
              <w:left w:val="single" w:sz="4" w:space="0" w:color="auto"/>
              <w:bottom w:val="single" w:sz="4" w:space="0" w:color="auto"/>
              <w:right w:val="single" w:sz="4" w:space="0" w:color="auto"/>
            </w:tcBorders>
          </w:tcPr>
          <w:p w14:paraId="54ED0409"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(0.0531)</w:t>
            </w:r>
          </w:p>
        </w:tc>
      </w:tr>
      <w:tr w:rsidR="007D22CD" w:rsidRPr="00AE154B" w14:paraId="08FE04CC"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vAlign w:val="bottom"/>
          </w:tcPr>
          <w:p w14:paraId="31562928"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subsistence work</w:t>
            </w:r>
          </w:p>
        </w:tc>
        <w:tc>
          <w:tcPr>
            <w:tcW w:w="1985" w:type="dxa"/>
            <w:tcBorders>
              <w:top w:val="single" w:sz="4" w:space="0" w:color="auto"/>
              <w:left w:val="single" w:sz="4" w:space="0" w:color="auto"/>
              <w:bottom w:val="single" w:sz="4" w:space="0" w:color="auto"/>
              <w:right w:val="single" w:sz="4" w:space="0" w:color="auto"/>
            </w:tcBorders>
          </w:tcPr>
          <w:p w14:paraId="5175A10C"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0.0514</w:t>
            </w:r>
          </w:p>
        </w:tc>
        <w:tc>
          <w:tcPr>
            <w:tcW w:w="1849" w:type="dxa"/>
            <w:tcBorders>
              <w:top w:val="single" w:sz="4" w:space="0" w:color="auto"/>
              <w:left w:val="single" w:sz="4" w:space="0" w:color="auto"/>
              <w:bottom w:val="single" w:sz="4" w:space="0" w:color="auto"/>
              <w:right w:val="single" w:sz="4" w:space="0" w:color="auto"/>
            </w:tcBorders>
          </w:tcPr>
          <w:p w14:paraId="28B02812"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(0.0418)</w:t>
            </w:r>
          </w:p>
        </w:tc>
      </w:tr>
      <w:tr w:rsidR="007D22CD" w:rsidRPr="00AE154B" w14:paraId="23E6FC24"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vAlign w:val="bottom"/>
          </w:tcPr>
          <w:p w14:paraId="140AB9D0"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Unemployed/Not in Labor force</w:t>
            </w:r>
          </w:p>
        </w:tc>
        <w:tc>
          <w:tcPr>
            <w:tcW w:w="1985" w:type="dxa"/>
            <w:tcBorders>
              <w:top w:val="single" w:sz="4" w:space="0" w:color="auto"/>
              <w:left w:val="single" w:sz="4" w:space="0" w:color="auto"/>
              <w:bottom w:val="single" w:sz="4" w:space="0" w:color="auto"/>
              <w:right w:val="single" w:sz="4" w:space="0" w:color="auto"/>
            </w:tcBorders>
          </w:tcPr>
          <w:p w14:paraId="7A8720C6"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0.0369</w:t>
            </w:r>
          </w:p>
        </w:tc>
        <w:tc>
          <w:tcPr>
            <w:tcW w:w="1849" w:type="dxa"/>
            <w:tcBorders>
              <w:top w:val="single" w:sz="4" w:space="0" w:color="auto"/>
              <w:left w:val="single" w:sz="4" w:space="0" w:color="auto"/>
              <w:bottom w:val="single" w:sz="4" w:space="0" w:color="auto"/>
              <w:right w:val="single" w:sz="4" w:space="0" w:color="auto"/>
            </w:tcBorders>
          </w:tcPr>
          <w:p w14:paraId="2D013F52"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(0.0620)</w:t>
            </w:r>
          </w:p>
        </w:tc>
      </w:tr>
      <w:tr w:rsidR="007D22CD" w:rsidRPr="00AE154B" w14:paraId="0048975B"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tcPr>
          <w:p w14:paraId="6F63B24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Economic shock</w:t>
            </w:r>
          </w:p>
        </w:tc>
        <w:tc>
          <w:tcPr>
            <w:tcW w:w="1985" w:type="dxa"/>
            <w:tcBorders>
              <w:top w:val="single" w:sz="4" w:space="0" w:color="auto"/>
              <w:left w:val="single" w:sz="4" w:space="0" w:color="auto"/>
              <w:bottom w:val="single" w:sz="4" w:space="0" w:color="auto"/>
              <w:right w:val="single" w:sz="4" w:space="0" w:color="auto"/>
            </w:tcBorders>
          </w:tcPr>
          <w:p w14:paraId="5EBAB597"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0.0577**</w:t>
            </w:r>
          </w:p>
        </w:tc>
        <w:tc>
          <w:tcPr>
            <w:tcW w:w="1849" w:type="dxa"/>
            <w:tcBorders>
              <w:top w:val="single" w:sz="4" w:space="0" w:color="auto"/>
              <w:left w:val="single" w:sz="4" w:space="0" w:color="auto"/>
              <w:bottom w:val="single" w:sz="4" w:space="0" w:color="auto"/>
              <w:right w:val="single" w:sz="4" w:space="0" w:color="auto"/>
            </w:tcBorders>
          </w:tcPr>
          <w:p w14:paraId="3BD5486F"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(0.0246)</w:t>
            </w:r>
          </w:p>
        </w:tc>
      </w:tr>
      <w:tr w:rsidR="007D22CD" w:rsidRPr="00AE154B" w14:paraId="34A7460F"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tcPr>
          <w:p w14:paraId="7BE3270B"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b/>
                <w:sz w:val="24"/>
                <w:szCs w:val="24"/>
              </w:rPr>
            </w:pPr>
            <w:r w:rsidRPr="00AE154B">
              <w:rPr>
                <w:rFonts w:ascii="Times New Roman" w:hAnsi="Times New Roman" w:cs="Times New Roman"/>
                <w:b/>
                <w:sz w:val="24"/>
                <w:szCs w:val="24"/>
              </w:rPr>
              <w:t>Residence type</w:t>
            </w:r>
          </w:p>
        </w:tc>
        <w:tc>
          <w:tcPr>
            <w:tcW w:w="1985" w:type="dxa"/>
            <w:tcBorders>
              <w:top w:val="single" w:sz="4" w:space="0" w:color="auto"/>
              <w:left w:val="single" w:sz="4" w:space="0" w:color="auto"/>
              <w:bottom w:val="single" w:sz="4" w:space="0" w:color="auto"/>
              <w:right w:val="single" w:sz="4" w:space="0" w:color="auto"/>
            </w:tcBorders>
          </w:tcPr>
          <w:p w14:paraId="545DB88C"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
        </w:tc>
        <w:tc>
          <w:tcPr>
            <w:tcW w:w="1849" w:type="dxa"/>
            <w:tcBorders>
              <w:top w:val="single" w:sz="4" w:space="0" w:color="auto"/>
              <w:left w:val="single" w:sz="4" w:space="0" w:color="auto"/>
              <w:bottom w:val="single" w:sz="4" w:space="0" w:color="auto"/>
              <w:right w:val="single" w:sz="4" w:space="0" w:color="auto"/>
            </w:tcBorders>
          </w:tcPr>
          <w:p w14:paraId="2A7DBC2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
        </w:tc>
      </w:tr>
      <w:tr w:rsidR="007D22CD" w:rsidRPr="00AE154B" w14:paraId="157C2173"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tcPr>
          <w:p w14:paraId="103781E6"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roofErr w:type="spellStart"/>
            <w:r w:rsidRPr="00AE154B">
              <w:rPr>
                <w:rFonts w:ascii="Times New Roman" w:hAnsi="Times New Roman" w:cs="Times New Roman"/>
                <w:sz w:val="24"/>
                <w:szCs w:val="24"/>
              </w:rPr>
              <w:t>Muzigo</w:t>
            </w:r>
            <w:proofErr w:type="spellEnd"/>
          </w:p>
        </w:tc>
        <w:tc>
          <w:tcPr>
            <w:tcW w:w="1985" w:type="dxa"/>
            <w:tcBorders>
              <w:top w:val="single" w:sz="4" w:space="0" w:color="auto"/>
              <w:left w:val="single" w:sz="4" w:space="0" w:color="auto"/>
              <w:bottom w:val="single" w:sz="4" w:space="0" w:color="auto"/>
              <w:right w:val="single" w:sz="4" w:space="0" w:color="auto"/>
            </w:tcBorders>
          </w:tcPr>
          <w:p w14:paraId="3C7EFCDE"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0.0960**</w:t>
            </w:r>
          </w:p>
        </w:tc>
        <w:tc>
          <w:tcPr>
            <w:tcW w:w="1849" w:type="dxa"/>
            <w:tcBorders>
              <w:top w:val="single" w:sz="4" w:space="0" w:color="auto"/>
              <w:left w:val="single" w:sz="4" w:space="0" w:color="auto"/>
              <w:bottom w:val="single" w:sz="4" w:space="0" w:color="auto"/>
              <w:right w:val="single" w:sz="4" w:space="0" w:color="auto"/>
            </w:tcBorders>
          </w:tcPr>
          <w:p w14:paraId="6EB79FD8"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(0.0420)</w:t>
            </w:r>
          </w:p>
        </w:tc>
      </w:tr>
      <w:tr w:rsidR="007D22CD" w:rsidRPr="00AE154B" w14:paraId="33D57A04"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tcPr>
          <w:p w14:paraId="561BF58B"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Hut</w:t>
            </w:r>
          </w:p>
        </w:tc>
        <w:tc>
          <w:tcPr>
            <w:tcW w:w="1985" w:type="dxa"/>
            <w:tcBorders>
              <w:top w:val="single" w:sz="4" w:space="0" w:color="auto"/>
              <w:left w:val="single" w:sz="4" w:space="0" w:color="auto"/>
              <w:bottom w:val="single" w:sz="4" w:space="0" w:color="auto"/>
              <w:right w:val="single" w:sz="4" w:space="0" w:color="auto"/>
            </w:tcBorders>
          </w:tcPr>
          <w:p w14:paraId="09A7BB41"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0.147***</w:t>
            </w:r>
          </w:p>
        </w:tc>
        <w:tc>
          <w:tcPr>
            <w:tcW w:w="1849" w:type="dxa"/>
            <w:tcBorders>
              <w:top w:val="single" w:sz="4" w:space="0" w:color="auto"/>
              <w:left w:val="single" w:sz="4" w:space="0" w:color="auto"/>
              <w:bottom w:val="single" w:sz="4" w:space="0" w:color="auto"/>
              <w:right w:val="single" w:sz="4" w:space="0" w:color="auto"/>
            </w:tcBorders>
          </w:tcPr>
          <w:p w14:paraId="02C7535B"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(0.0406)</w:t>
            </w:r>
          </w:p>
        </w:tc>
      </w:tr>
      <w:tr w:rsidR="007D22CD" w:rsidRPr="00AE154B" w14:paraId="2BAB5CA3" w14:textId="77777777" w:rsidTr="0018374A">
        <w:trPr>
          <w:jc w:val="center"/>
        </w:trPr>
        <w:tc>
          <w:tcPr>
            <w:tcW w:w="5098" w:type="dxa"/>
            <w:tcBorders>
              <w:top w:val="single" w:sz="4" w:space="0" w:color="auto"/>
              <w:left w:val="single" w:sz="4" w:space="0" w:color="auto"/>
              <w:bottom w:val="single" w:sz="4" w:space="0" w:color="auto"/>
              <w:right w:val="single" w:sz="4" w:space="0" w:color="auto"/>
            </w:tcBorders>
          </w:tcPr>
          <w:p w14:paraId="1FB6A886"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2023.wave</w:t>
            </w:r>
          </w:p>
        </w:tc>
        <w:tc>
          <w:tcPr>
            <w:tcW w:w="1985" w:type="dxa"/>
            <w:tcBorders>
              <w:top w:val="single" w:sz="4" w:space="0" w:color="auto"/>
              <w:left w:val="single" w:sz="4" w:space="0" w:color="auto"/>
              <w:bottom w:val="single" w:sz="4" w:space="0" w:color="auto"/>
              <w:right w:val="single" w:sz="4" w:space="0" w:color="auto"/>
            </w:tcBorders>
          </w:tcPr>
          <w:p w14:paraId="3D6BE895"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-0.0595***</w:t>
            </w:r>
          </w:p>
        </w:tc>
        <w:tc>
          <w:tcPr>
            <w:tcW w:w="1849" w:type="dxa"/>
            <w:tcBorders>
              <w:top w:val="single" w:sz="4" w:space="0" w:color="auto"/>
              <w:left w:val="single" w:sz="4" w:space="0" w:color="auto"/>
              <w:bottom w:val="single" w:sz="4" w:space="0" w:color="auto"/>
              <w:right w:val="single" w:sz="4" w:space="0" w:color="auto"/>
            </w:tcBorders>
          </w:tcPr>
          <w:p w14:paraId="6FC6760A"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(0.0225)</w:t>
            </w:r>
          </w:p>
        </w:tc>
      </w:tr>
    </w:tbl>
    <w:p w14:paraId="680DAE8E" w14:textId="77777777" w:rsidR="007D22CD" w:rsidRDefault="007D22CD" w:rsidP="00410DEC">
      <w:pPr>
        <w:widowControl w:val="0"/>
        <w:autoSpaceDE w:val="0"/>
        <w:autoSpaceDN w:val="0"/>
        <w:adjustRightInd w:val="0"/>
        <w:spacing w:after="0" w:line="240" w:lineRule="auto"/>
        <w:jc w:val="both"/>
        <w:rPr>
          <w:rFonts w:ascii="Times New Roman" w:hAnsi="Times New Roman" w:cs="Times New Roman"/>
          <w:sz w:val="24"/>
          <w:szCs w:val="24"/>
        </w:rPr>
      </w:pPr>
      <w:r w:rsidRPr="00AE154B">
        <w:rPr>
          <w:rFonts w:ascii="Times New Roman" w:hAnsi="Times New Roman" w:cs="Times New Roman"/>
          <w:sz w:val="24"/>
          <w:szCs w:val="24"/>
        </w:rPr>
        <w:t>Standard errors in parentheses: *** p&lt;0.01, ** p&lt;0.05, * p&lt;0.1</w:t>
      </w:r>
    </w:p>
    <w:p w14:paraId="6FEE7984" w14:textId="77777777" w:rsidR="009A26AE" w:rsidRPr="00AE154B" w:rsidRDefault="009A26AE" w:rsidP="00410DEC">
      <w:pPr>
        <w:widowControl w:val="0"/>
        <w:autoSpaceDE w:val="0"/>
        <w:autoSpaceDN w:val="0"/>
        <w:adjustRightInd w:val="0"/>
        <w:spacing w:after="0" w:line="240" w:lineRule="auto"/>
        <w:jc w:val="both"/>
        <w:rPr>
          <w:rFonts w:ascii="Times New Roman" w:hAnsi="Times New Roman" w:cs="Times New Roman"/>
          <w:sz w:val="24"/>
          <w:szCs w:val="24"/>
        </w:rPr>
      </w:pPr>
    </w:p>
    <w:p w14:paraId="2AB8A76E" w14:textId="71BE8870" w:rsidR="00A425FE" w:rsidRPr="00117DF9" w:rsidRDefault="00450976" w:rsidP="00AF64D8">
      <w:pPr>
        <w:pStyle w:val="NormalWeb"/>
        <w:jc w:val="both"/>
      </w:pPr>
      <w:r>
        <w:t xml:space="preserve">In Table 2, we find a statistically significant negative correlation (r = –0.078, p &lt; 0.1), indicating that households that utilize their loans productively are less likely to default on their obligations. Additional results from the marginal effects estimation model in Table 3 support this finding. A </w:t>
      </w:r>
      <w:r>
        <w:lastRenderedPageBreak/>
        <w:t xml:space="preserve">unit increase in productive loan utilization reduces the probability of payment default by 6.17% (p &lt; 0.01). This strong marginal effect provides evidence in support of the hypothesis that productive loan utilization enhances debt repayment compliance. </w:t>
      </w:r>
      <w:r w:rsidRPr="00450976">
        <w:t xml:space="preserve">Conversely, holding other factors constant, poor or non-productive loan utilization is associated with a higher likelihood of default or delayed repayment. This result aligns with previous studies showing that productive use of borrowed funds generates cash flows that facilitate timely loan repayment </w:t>
      </w:r>
      <w:r w:rsidR="002A42DE" w:rsidRPr="00AF64D8">
        <w:t xml:space="preserve"> </w:t>
      </w:r>
      <w:r w:rsidR="0091359C" w:rsidRPr="00117DF9">
        <w:fldChar w:fldCharType="begin" w:fldLock="1"/>
      </w:r>
      <w:r w:rsidR="00723E55" w:rsidRPr="00117DF9">
        <w:instrText>ADDIN CSL_CITATION {"citationItems":[{"id":"ITEM-1","itemData":{"ISSN":"0974-9071","author":[{"dropping-particle":"","family":"Kaur","given":"Shabaj","non-dropping-particle":"","parse-names":false,"suffix":""},{"dropping-particle":"","family":"Kaur","given":"Arjinder","non-dropping-particle":"","parse-names":false,"suffix":""}],"container-title":"Journal of Agricultural Development and Policy","id":"ITEM-1","issue":"1","issued":{"date-parts":[["2018"]]},"page":"12-24","publisher":"Indian Society For Agricultural Development And Policy","title":"Factors affecting diversion of institutional credit in border and non-border areas of rural Punjab","type":"article-journal","volume":"28"},"uris":["http://www.mendeley.com/documents/?uuid=73ac5e18-6dad-4e43-bc28-0f0fbd998a21"]},{"id":"ITEM-2","itemData":{"ISSN":"1757-6385","author":[{"dropping-particle":"","family":"Thazhugal Govindan Nair","given":"Saji","non-dropping-particle":"","parse-names":false,"suffix":""}],"container-title":"Journal of Financial Economic Policy","id":"ITEM-2","issue":"2","issued":{"date-parts":[["2020"]]},"page":"263-277","publisher":"Emerald Publishing Limited","title":"Sovereign credit ratings and bond yield spreads in emerging markets: Revisiting Cantor–Packer evidence in resilience","type":"article-journal","volume":"12"},"uris":["http://www.mendeley.com/documents/?uuid=1e31d2ab-83fa-4116-9d1e-45b21e587d7c"]},{"id":"ITEM-3","itemData":{"author":[{"dropping-particle":"","family":"Kebede","given":"Mesele","non-dropping-particle":"","parse-names":false,"suffix":""},{"dropping-particle":"","family":"Tegegn","given":"Tesfahun","non-dropping-particle":"","parse-names":false,"suffix":""},{"dropping-particle":"","family":"Tafese","given":"Tadele","non-dropping-particle":"","parse-names":false,"suffix":""}],"container-title":"Global Journal of Management and Business Research: C Finance","id":"ITEM-3","issue":"7","issued":{"date-parts":[["2016"]]},"title":"Factors affecting loan repayment performance of small scale enterprises financed by micro finance institutions: study on private borrowers around wolaita and Dawuro zone","type":"article-journal","volume":"16"},"uris":["http://www.mendeley.com/documents/?uuid=4c81f677-be94-4e6d-a49b-4cc352481502"]}],"mendeley":{"formattedCitation":"(Kaur &amp; Kaur, 2018; Kebede et al., 2016; Thazhugal Govindan Nair, 2020)","plainTextFormattedCitation":"(Kaur &amp; Kaur, 2018; Kebede et al., 2016; Thazhugal Govindan Nair, 2020)","previouslyFormattedCitation":"(Kaur &amp; Kaur, 2018; Kebede et al., 2016; Thazhugal Govindan Nair, 2020)"},"properties":{"noteIndex":0},"schema":"https://github.com/citation-style-language/schema/raw/master/csl-citation.json"}</w:instrText>
      </w:r>
      <w:r w:rsidR="0091359C" w:rsidRPr="00117DF9">
        <w:fldChar w:fldCharType="separate"/>
      </w:r>
      <w:r w:rsidR="0091359C" w:rsidRPr="00117DF9">
        <w:rPr>
          <w:noProof/>
        </w:rPr>
        <w:t>(Kaur &amp; Kaur, 2018; Kebede et al., 2016; Thazhugal Govindan Nair, 2020)</w:t>
      </w:r>
      <w:r w:rsidR="0091359C" w:rsidRPr="00117DF9">
        <w:fldChar w:fldCharType="end"/>
      </w:r>
      <w:r w:rsidR="0091359C" w:rsidRPr="00117DF9">
        <w:t>.</w:t>
      </w:r>
    </w:p>
    <w:p w14:paraId="08FBDEC9" w14:textId="6D3CDD14" w:rsidR="00A425FE" w:rsidRDefault="00A425FE" w:rsidP="00410DEC">
      <w:pPr>
        <w:spacing w:line="240" w:lineRule="auto"/>
        <w:ind w:left="720"/>
        <w:jc w:val="both"/>
        <w:rPr>
          <w:rFonts w:ascii="Times New Roman" w:hAnsi="Times New Roman" w:cs="Times New Roman"/>
          <w:sz w:val="24"/>
          <w:szCs w:val="24"/>
        </w:rPr>
      </w:pPr>
      <w:r w:rsidRPr="00410DEC">
        <w:rPr>
          <w:rFonts w:ascii="Times New Roman" w:hAnsi="Times New Roman" w:cs="Times New Roman"/>
          <w:bCs/>
          <w:sz w:val="24"/>
          <w:szCs w:val="24"/>
        </w:rPr>
        <w:t>H1 supported:</w:t>
      </w:r>
      <w:r w:rsidRPr="00AE154B">
        <w:rPr>
          <w:rFonts w:ascii="Times New Roman" w:hAnsi="Times New Roman" w:cs="Times New Roman"/>
          <w:sz w:val="24"/>
          <w:szCs w:val="24"/>
        </w:rPr>
        <w:t xml:space="preserve"> </w:t>
      </w:r>
      <w:r w:rsidR="002A42DE" w:rsidRPr="00AE154B">
        <w:rPr>
          <w:rFonts w:ascii="Times New Roman" w:hAnsi="Times New Roman" w:cs="Times New Roman"/>
          <w:sz w:val="24"/>
          <w:szCs w:val="24"/>
        </w:rPr>
        <w:t xml:space="preserve">Productive loan utilization </w:t>
      </w:r>
      <w:r w:rsidRPr="00AE154B">
        <w:rPr>
          <w:rFonts w:ascii="Times New Roman" w:hAnsi="Times New Roman" w:cs="Times New Roman"/>
          <w:sz w:val="24"/>
          <w:szCs w:val="24"/>
        </w:rPr>
        <w:t>improves household repayment performance.</w:t>
      </w:r>
    </w:p>
    <w:p w14:paraId="795BBC77" w14:textId="35A89631" w:rsidR="00873D1D" w:rsidRPr="0099311B" w:rsidRDefault="00873D1D" w:rsidP="0099311B">
      <w:pPr>
        <w:pStyle w:val="NormalWeb"/>
        <w:jc w:val="both"/>
      </w:pPr>
      <w:r w:rsidRPr="0099311B">
        <w:t xml:space="preserve">Additionally, </w:t>
      </w:r>
      <w:r w:rsidRPr="0099311B">
        <w:rPr>
          <w:bCs/>
        </w:rPr>
        <w:t>Hypothesis 2 proposed that stronger social networks positively moderate the relationship between financial capability and productive loan utilization</w:t>
      </w:r>
      <w:r w:rsidRPr="0099311B">
        <w:rPr>
          <w:b/>
          <w:bCs/>
        </w:rPr>
        <w:t>.</w:t>
      </w:r>
      <w:r w:rsidRPr="0099311B">
        <w:t xml:space="preserve"> In other words, the expectation was that households with higher financial capability would make more productive use of loans </w:t>
      </w:r>
      <w:r w:rsidRPr="0099311B">
        <w:rPr>
          <w:i/>
          <w:iCs/>
        </w:rPr>
        <w:t>especially</w:t>
      </w:r>
      <w:r w:rsidRPr="0099311B">
        <w:t xml:space="preserve"> when embedded in strong social networks.</w:t>
      </w:r>
      <w:r w:rsidR="009F38EB" w:rsidRPr="0099311B">
        <w:t xml:space="preserve"> </w:t>
      </w:r>
      <w:r w:rsidRPr="0099311B">
        <w:t xml:space="preserve">However, </w:t>
      </w:r>
      <w:r w:rsidRPr="0099311B">
        <w:rPr>
          <w:bCs/>
        </w:rPr>
        <w:t>the correlation result of –0.081 (statistically significant at the 10% level)</w:t>
      </w:r>
      <w:r w:rsidRPr="0099311B">
        <w:t xml:space="preserve"> provides evidence in the </w:t>
      </w:r>
      <w:r w:rsidRPr="0099311B">
        <w:rPr>
          <w:i/>
          <w:iCs/>
        </w:rPr>
        <w:t>opposite</w:t>
      </w:r>
      <w:r w:rsidRPr="0099311B">
        <w:t xml:space="preserve"> direction. A negative correlation suggests that </w:t>
      </w:r>
      <w:r w:rsidRPr="0099311B">
        <w:rPr>
          <w:bCs/>
        </w:rPr>
        <w:t>as social network strength increases, the combined association between financial capability and productive loan utilization becomes weaker rather than stronger</w:t>
      </w:r>
      <w:r w:rsidRPr="0099311B">
        <w:t xml:space="preserve">. In practical terms, this implies </w:t>
      </w:r>
      <w:r w:rsidR="008F568B" w:rsidRPr="0099311B">
        <w:t>tha</w:t>
      </w:r>
      <w:r w:rsidR="008F568B">
        <w:t xml:space="preserve">t </w:t>
      </w:r>
      <w:r w:rsidR="008F568B" w:rsidRPr="0099311B">
        <w:t>social</w:t>
      </w:r>
      <w:r w:rsidRPr="0099311B">
        <w:t xml:space="preserve"> ties may </w:t>
      </w:r>
      <w:r w:rsidRPr="0099311B">
        <w:rPr>
          <w:i/>
          <w:iCs/>
        </w:rPr>
        <w:t>dilute</w:t>
      </w:r>
      <w:r w:rsidRPr="0099311B">
        <w:t>, rather than enhance, the effectiveness of financial capability in driving productive loan use</w:t>
      </w:r>
      <w:r w:rsidR="00595C53" w:rsidRPr="0099311B">
        <w:t>.</w:t>
      </w:r>
    </w:p>
    <w:p w14:paraId="4F5A2B8C" w14:textId="51508069" w:rsidR="00611535" w:rsidRPr="0099311B" w:rsidRDefault="00611535" w:rsidP="0018374A">
      <w:pPr>
        <w:spacing w:before="100" w:beforeAutospacing="1" w:after="100" w:afterAutospacing="1" w:line="240" w:lineRule="auto"/>
        <w:jc w:val="both"/>
        <w:rPr>
          <w:rFonts w:ascii="Times New Roman" w:eastAsia="Times New Roman" w:hAnsi="Times New Roman" w:cs="Times New Roman"/>
          <w:sz w:val="24"/>
          <w:szCs w:val="24"/>
        </w:rPr>
      </w:pPr>
      <w:r w:rsidRPr="0099311B">
        <w:rPr>
          <w:rFonts w:ascii="Times New Roman" w:eastAsia="Times New Roman" w:hAnsi="Times New Roman" w:cs="Times New Roman"/>
          <w:sz w:val="24"/>
          <w:szCs w:val="24"/>
        </w:rPr>
        <w:t xml:space="preserve">Overall, the </w:t>
      </w:r>
      <w:r w:rsidRPr="0099311B">
        <w:rPr>
          <w:rFonts w:ascii="Times New Roman" w:eastAsia="Times New Roman" w:hAnsi="Times New Roman" w:cs="Times New Roman"/>
          <w:bCs/>
          <w:sz w:val="24"/>
          <w:szCs w:val="24"/>
        </w:rPr>
        <w:t>negative and significant correlation suggests that the moderating role of social networks is not supportive but instead counteractive</w:t>
      </w:r>
      <w:r w:rsidRPr="0099311B">
        <w:rPr>
          <w:rFonts w:ascii="Times New Roman" w:eastAsia="Times New Roman" w:hAnsi="Times New Roman" w:cs="Times New Roman"/>
          <w:b/>
          <w:bCs/>
          <w:sz w:val="24"/>
          <w:szCs w:val="24"/>
        </w:rPr>
        <w:t>.</w:t>
      </w:r>
      <w:r w:rsidRPr="0099311B">
        <w:rPr>
          <w:rFonts w:ascii="Times New Roman" w:eastAsia="Times New Roman" w:hAnsi="Times New Roman" w:cs="Times New Roman"/>
          <w:sz w:val="24"/>
          <w:szCs w:val="24"/>
        </w:rPr>
        <w:t xml:space="preserve"> Rather than amplifying the benefits of fi</w:t>
      </w:r>
      <w:r w:rsidR="008F568B">
        <w:rPr>
          <w:rFonts w:ascii="Times New Roman" w:eastAsia="Times New Roman" w:hAnsi="Times New Roman" w:cs="Times New Roman"/>
          <w:sz w:val="24"/>
          <w:szCs w:val="24"/>
        </w:rPr>
        <w:t xml:space="preserve">nancial capability, </w:t>
      </w:r>
      <w:r w:rsidRPr="0099311B">
        <w:rPr>
          <w:rFonts w:ascii="Times New Roman" w:eastAsia="Times New Roman" w:hAnsi="Times New Roman" w:cs="Times New Roman"/>
          <w:sz w:val="24"/>
          <w:szCs w:val="24"/>
        </w:rPr>
        <w:t>social ties may introduce competing demands or reduce the incentive alignment necessary for productive loan utilization.</w:t>
      </w:r>
      <w:r w:rsidR="00CE530C" w:rsidRPr="0099311B">
        <w:rPr>
          <w:rFonts w:ascii="Times New Roman" w:eastAsia="Times New Roman" w:hAnsi="Times New Roman" w:cs="Times New Roman"/>
          <w:sz w:val="24"/>
          <w:szCs w:val="24"/>
        </w:rPr>
        <w:t xml:space="preserve"> This finding is consistent with </w:t>
      </w:r>
      <w:r w:rsidR="00480AEC" w:rsidRPr="00B6427E">
        <w:rPr>
          <w:rFonts w:ascii="Times New Roman" w:eastAsia="Times New Roman" w:hAnsi="Times New Roman" w:cs="Times New Roman"/>
          <w:sz w:val="24"/>
          <w:szCs w:val="24"/>
        </w:rPr>
        <w:t>(D</w:t>
      </w:r>
      <w:r w:rsidR="00480AEC" w:rsidRPr="0099311B">
        <w:rPr>
          <w:rFonts w:ascii="Times New Roman" w:eastAsia="Times New Roman" w:hAnsi="Times New Roman" w:cs="Times New Roman"/>
          <w:sz w:val="24"/>
          <w:szCs w:val="24"/>
        </w:rPr>
        <w:t>ing et al.,2025)</w:t>
      </w:r>
      <w:r w:rsidR="00C07F77" w:rsidRPr="0099311B">
        <w:rPr>
          <w:rFonts w:ascii="Times New Roman" w:eastAsia="Times New Roman" w:hAnsi="Times New Roman" w:cs="Times New Roman"/>
          <w:sz w:val="24"/>
          <w:szCs w:val="24"/>
        </w:rPr>
        <w:t xml:space="preserve"> </w:t>
      </w:r>
      <w:r w:rsidR="00CE530C" w:rsidRPr="0099311B">
        <w:rPr>
          <w:rFonts w:ascii="Times New Roman" w:eastAsia="Times New Roman" w:hAnsi="Times New Roman" w:cs="Times New Roman"/>
          <w:sz w:val="24"/>
          <w:szCs w:val="24"/>
        </w:rPr>
        <w:t xml:space="preserve">who observed </w:t>
      </w:r>
      <w:r w:rsidR="009D3E12" w:rsidRPr="0099311B">
        <w:rPr>
          <w:rFonts w:ascii="Times New Roman" w:eastAsia="Times New Roman" w:hAnsi="Times New Roman" w:cs="Times New Roman"/>
          <w:sz w:val="24"/>
          <w:szCs w:val="24"/>
        </w:rPr>
        <w:t xml:space="preserve">that </w:t>
      </w:r>
      <w:r w:rsidR="00CE530C" w:rsidRPr="0099311B">
        <w:rPr>
          <w:rFonts w:ascii="Times New Roman" w:hAnsi="Times New Roman" w:cs="Times New Roman"/>
          <w:sz w:val="24"/>
          <w:szCs w:val="24"/>
        </w:rPr>
        <w:t xml:space="preserve">while social networks are crucial for access to credit, they may simultaneously impose burdens and claims on financial resources, leading to </w:t>
      </w:r>
      <w:r w:rsidR="00CE530C" w:rsidRPr="0099311B">
        <w:rPr>
          <w:rStyle w:val="Emphasis"/>
          <w:rFonts w:ascii="Times New Roman" w:hAnsi="Times New Roman" w:cs="Times New Roman"/>
          <w:sz w:val="24"/>
          <w:szCs w:val="24"/>
        </w:rPr>
        <w:t>less productive</w:t>
      </w:r>
      <w:r w:rsidR="00CE530C" w:rsidRPr="0099311B">
        <w:rPr>
          <w:rFonts w:ascii="Times New Roman" w:hAnsi="Times New Roman" w:cs="Times New Roman"/>
          <w:sz w:val="24"/>
          <w:szCs w:val="24"/>
        </w:rPr>
        <w:t xml:space="preserve"> utilization of borrowed funds.</w:t>
      </w:r>
    </w:p>
    <w:p w14:paraId="51457FB0" w14:textId="77777777" w:rsidR="00611535" w:rsidRPr="00117DF9" w:rsidRDefault="00611535" w:rsidP="0018374A">
      <w:pPr>
        <w:spacing w:before="100" w:beforeAutospacing="1" w:after="100" w:afterAutospacing="1" w:line="240" w:lineRule="auto"/>
        <w:jc w:val="both"/>
        <w:rPr>
          <w:rFonts w:ascii="Times New Roman" w:eastAsia="Times New Roman" w:hAnsi="Times New Roman" w:cs="Times New Roman"/>
          <w:sz w:val="24"/>
          <w:szCs w:val="24"/>
        </w:rPr>
      </w:pPr>
      <w:r w:rsidRPr="0099311B">
        <w:rPr>
          <w:rFonts w:ascii="Times New Roman" w:eastAsia="Times New Roman" w:hAnsi="Times New Roman" w:cs="Times New Roman"/>
          <w:sz w:val="24"/>
          <w:szCs w:val="24"/>
        </w:rPr>
        <w:t xml:space="preserve">Thus, the empirical evidence </w:t>
      </w:r>
      <w:r w:rsidRPr="0099311B">
        <w:rPr>
          <w:rFonts w:ascii="Times New Roman" w:eastAsia="Times New Roman" w:hAnsi="Times New Roman" w:cs="Times New Roman"/>
          <w:bCs/>
          <w:sz w:val="24"/>
          <w:szCs w:val="24"/>
        </w:rPr>
        <w:t>does not support Hypothesis 2</w:t>
      </w:r>
      <w:r w:rsidRPr="0099311B">
        <w:rPr>
          <w:rFonts w:ascii="Times New Roman" w:eastAsia="Times New Roman" w:hAnsi="Times New Roman" w:cs="Times New Roman"/>
          <w:sz w:val="24"/>
          <w:szCs w:val="24"/>
        </w:rPr>
        <w:t>. Instead, it highlights the complex dual role of social networks: they provide support but may also introduce obligations that constrain households from using loans primarily for productive purposes.</w:t>
      </w:r>
    </w:p>
    <w:p w14:paraId="116F5E19" w14:textId="6B41A210" w:rsidR="009F38EB" w:rsidRPr="00AE154B" w:rsidRDefault="009F38EB" w:rsidP="009F38EB">
      <w:pPr>
        <w:spacing w:line="240" w:lineRule="auto"/>
        <w:ind w:left="851"/>
        <w:jc w:val="both"/>
        <w:rPr>
          <w:rFonts w:ascii="Times New Roman" w:hAnsi="Times New Roman" w:cs="Times New Roman"/>
          <w:sz w:val="24"/>
          <w:szCs w:val="24"/>
        </w:rPr>
      </w:pPr>
      <w:r w:rsidRPr="008C3AE5">
        <w:rPr>
          <w:rFonts w:ascii="Times New Roman" w:hAnsi="Times New Roman" w:cs="Times New Roman"/>
          <w:sz w:val="24"/>
          <w:szCs w:val="24"/>
        </w:rPr>
        <w:t>H</w:t>
      </w:r>
      <w:r w:rsidRPr="008C3AE5">
        <w:rPr>
          <w:rFonts w:ascii="Times New Roman" w:hAnsi="Times New Roman" w:cs="Times New Roman"/>
          <w:sz w:val="24"/>
          <w:szCs w:val="24"/>
          <w:vertAlign w:val="subscript"/>
        </w:rPr>
        <w:t>2</w:t>
      </w:r>
      <w:r w:rsidRPr="008C3AE5">
        <w:rPr>
          <w:rFonts w:ascii="Times New Roman" w:hAnsi="Times New Roman" w:cs="Times New Roman"/>
          <w:sz w:val="24"/>
          <w:szCs w:val="24"/>
        </w:rPr>
        <w:t>:</w:t>
      </w:r>
      <w:r>
        <w:rPr>
          <w:rFonts w:ascii="Times New Roman" w:hAnsi="Times New Roman" w:cs="Times New Roman"/>
          <w:sz w:val="24"/>
          <w:szCs w:val="24"/>
        </w:rPr>
        <w:t xml:space="preserve"> Not supported. </w:t>
      </w:r>
      <w:r w:rsidRPr="00AE154B">
        <w:rPr>
          <w:rFonts w:ascii="Times New Roman" w:hAnsi="Times New Roman" w:cs="Times New Roman"/>
          <w:sz w:val="24"/>
          <w:szCs w:val="24"/>
        </w:rPr>
        <w:t xml:space="preserve"> Stronger social networks </w:t>
      </w:r>
      <w:r>
        <w:rPr>
          <w:rFonts w:ascii="Times New Roman" w:hAnsi="Times New Roman" w:cs="Times New Roman"/>
          <w:sz w:val="24"/>
          <w:szCs w:val="24"/>
        </w:rPr>
        <w:t>may not positively</w:t>
      </w:r>
      <w:r w:rsidRPr="00AE154B">
        <w:rPr>
          <w:rFonts w:ascii="Times New Roman" w:hAnsi="Times New Roman" w:cs="Times New Roman"/>
          <w:sz w:val="24"/>
          <w:szCs w:val="24"/>
        </w:rPr>
        <w:t xml:space="preserve"> moderate the relationship between financial capability and productive loan utilization.</w:t>
      </w:r>
    </w:p>
    <w:p w14:paraId="27FE43BF" w14:textId="7319E7F3" w:rsidR="006F0302" w:rsidRPr="00AE154B" w:rsidRDefault="00D01C72" w:rsidP="00410DEC">
      <w:pPr>
        <w:spacing w:line="240" w:lineRule="auto"/>
        <w:jc w:val="both"/>
        <w:rPr>
          <w:rFonts w:ascii="Times New Roman" w:eastAsia="Times New Roman" w:hAnsi="Times New Roman" w:cs="Times New Roman"/>
          <w:sz w:val="24"/>
          <w:szCs w:val="24"/>
        </w:rPr>
      </w:pPr>
      <w:r w:rsidRPr="00AE154B">
        <w:rPr>
          <w:rFonts w:ascii="Times New Roman" w:hAnsi="Times New Roman" w:cs="Times New Roman"/>
          <w:bCs/>
          <w:sz w:val="24"/>
          <w:szCs w:val="24"/>
        </w:rPr>
        <w:t xml:space="preserve">As regards </w:t>
      </w:r>
      <w:r w:rsidR="009F38EB" w:rsidRPr="00AE154B">
        <w:rPr>
          <w:rFonts w:ascii="Times New Roman" w:hAnsi="Times New Roman" w:cs="Times New Roman"/>
          <w:bCs/>
          <w:sz w:val="24"/>
          <w:szCs w:val="24"/>
        </w:rPr>
        <w:t>education</w:t>
      </w:r>
      <w:r w:rsidR="009F38EB">
        <w:rPr>
          <w:rFonts w:ascii="Times New Roman" w:hAnsi="Times New Roman" w:cs="Times New Roman"/>
          <w:bCs/>
          <w:sz w:val="24"/>
          <w:szCs w:val="24"/>
        </w:rPr>
        <w:t xml:space="preserve">, </w:t>
      </w:r>
      <w:r w:rsidR="009F38EB" w:rsidRPr="00AE154B">
        <w:rPr>
          <w:rFonts w:ascii="Times New Roman" w:hAnsi="Times New Roman" w:cs="Times New Roman"/>
          <w:bCs/>
          <w:sz w:val="24"/>
          <w:szCs w:val="24"/>
        </w:rPr>
        <w:t>results</w:t>
      </w:r>
      <w:r w:rsidR="006F0302" w:rsidRPr="00AE154B">
        <w:rPr>
          <w:rFonts w:ascii="Times New Roman" w:hAnsi="Times New Roman" w:cs="Times New Roman"/>
          <w:bCs/>
          <w:sz w:val="24"/>
          <w:szCs w:val="24"/>
        </w:rPr>
        <w:t xml:space="preserve"> </w:t>
      </w:r>
      <w:r w:rsidR="001418FE" w:rsidRPr="00AE154B">
        <w:rPr>
          <w:rFonts w:ascii="Times New Roman" w:hAnsi="Times New Roman" w:cs="Times New Roman"/>
          <w:bCs/>
          <w:sz w:val="24"/>
          <w:szCs w:val="24"/>
        </w:rPr>
        <w:t xml:space="preserve">reveal </w:t>
      </w:r>
      <w:r w:rsidR="001418FE">
        <w:rPr>
          <w:rFonts w:ascii="Times New Roman" w:hAnsi="Times New Roman" w:cs="Times New Roman"/>
          <w:bCs/>
          <w:sz w:val="24"/>
          <w:szCs w:val="24"/>
        </w:rPr>
        <w:t>a</w:t>
      </w:r>
      <w:r w:rsidR="008F568B">
        <w:rPr>
          <w:rFonts w:ascii="Times New Roman" w:eastAsia="Times New Roman" w:hAnsi="Times New Roman" w:cs="Times New Roman"/>
          <w:sz w:val="24"/>
          <w:szCs w:val="24"/>
        </w:rPr>
        <w:t xml:space="preserve"> </w:t>
      </w:r>
      <w:r w:rsidR="006F0302" w:rsidRPr="00AE154B">
        <w:rPr>
          <w:rFonts w:ascii="Times New Roman" w:eastAsia="Times New Roman" w:hAnsi="Times New Roman" w:cs="Times New Roman"/>
          <w:bCs/>
          <w:sz w:val="24"/>
          <w:szCs w:val="24"/>
        </w:rPr>
        <w:t>positive and significant correlation (r = 0.331; p&lt;0.1)</w:t>
      </w:r>
      <w:r w:rsidR="006F0302" w:rsidRPr="00AE154B">
        <w:rPr>
          <w:rFonts w:ascii="Times New Roman" w:eastAsia="Times New Roman" w:hAnsi="Times New Roman" w:cs="Times New Roman"/>
          <w:sz w:val="24"/>
          <w:szCs w:val="24"/>
        </w:rPr>
        <w:t xml:space="preserve"> with loan utilization. Educated household heads are more likely to understand loan procedures, evaluate risks, and allocate borrowed funds productively. This aligns with empirical evidence showing that financial literacy and education enhance borrowing efficiency and repayment performance </w:t>
      </w:r>
      <w:r w:rsidR="00BB5421" w:rsidRPr="00AE154B">
        <w:rPr>
          <w:rFonts w:ascii="Times New Roman" w:eastAsia="Times New Roman" w:hAnsi="Times New Roman" w:cs="Times New Roman"/>
          <w:sz w:val="24"/>
          <w:szCs w:val="24"/>
        </w:rPr>
        <w:fldChar w:fldCharType="begin" w:fldLock="1"/>
      </w:r>
      <w:r w:rsidR="00AB6E82" w:rsidRPr="00AE154B">
        <w:rPr>
          <w:rFonts w:ascii="Times New Roman" w:eastAsia="Times New Roman" w:hAnsi="Times New Roman" w:cs="Times New Roman"/>
          <w:sz w:val="24"/>
          <w:szCs w:val="24"/>
        </w:rPr>
        <w:instrText>ADDIN CSL_CITATION {"citationItems":[{"id":"ITEM-1","itemData":{"ISSN":"0304-405X","author":[{"dropping-particle":"","family":"Kaiser","given":"Tim","non-dropping-particle":"","parse-names":false,"suffix":""},{"dropping-particle":"","family":"Lusardi","given":"Annamaria","non-dropping-particle":"","parse-names":false,"suffix":""},{"dropping-particle":"","family":"Menkhoff","given":"Lukas","non-dropping-particle":"","parse-names":false,"suffix":""},{"dropping-particle":"","family":"Urban","given":"Carly","non-dropping-particle":"","parse-names":false,"suffix":""}],"container-title":"Journal of Financial Economics","id":"ITEM-1","issue":"2","issued":{"date-parts":[["2022"]]},"page":"255-272","publisher":"Elsevier","title":"Financial education affects financial knowledge and downstream behaviors","type":"article-journal","volume":"145"},"uris":["http://www.mendeley.com/documents/?uuid=af36ddce-ee98-4c93-b4f4-700a77fc7e1e"]},{"id":"ITEM-2","itemData":{"ISSN":"0022-0515","author":[{"dropping-particle":"","family":"Lusardi","given":"Annamaria","non-dropping-particle":"","parse-names":false,"suffix":""},{"dropping-particle":"","family":"Mitchell","given":"Olivia S","non-dropping-particle":"","parse-names":false,"suffix":""}],"container-title":"American Economic Journal: Journal of Economic Literature","id":"ITEM-2","issue":"1","issued":{"date-parts":[["2014"]]},"page":"5-44","publisher":"American Economic Association 2014 Broadway, Suite 305, Nashville, TN 37203-2425","title":"The economic importance of financial literacy: Theory and evidence","type":"article-journal","volume":"52"},"uris":["http://www.mendeley.com/documents/?uuid=acffc865-0683-4706-9d03-ba45ea62c7ad"]},{"id":"ITEM-3","itemData":{"author":[{"dropping-particle":"","family":"Mitchell","given":"Olivia S","non-dropping-particle":"","parse-names":false,"suffix":""},{"dropping-particle":"","family":"Lusardi","given":"Annamaria","non-dropping-particle":"","parse-names":false,"suffix":""}],"container-title":"The journal of retirement","id":"ITEM-3","issue":"1","issued":{"date-parts":[["2015"]]},"page":"107","title":"Financial literacy and economic outcomes: Evidence and policy implications","type":"article-journal","volume":"3"},"uris":["http://www.mendeley.com/documents/?uuid=8a52b652-57aa-4ed7-a34b-f27072b8f1d3"]}],"mendeley":{"formattedCitation":"(Kaiser et al., 2022; Lusardi &amp; Mitchell, 2014; Mitchell &amp; Lusardi, 2015)","plainTextFormattedCitation":"(Kaiser et al., 2022; Lusardi &amp; Mitchell, 2014; Mitchell &amp; Lusardi, 2015)","previouslyFormattedCitation":"(Kaiser et al., 2022; Lusardi &amp; Mitchell, 2014; Mitchell &amp; Lusardi, 2015)"},"properties":{"noteIndex":0},"schema":"https://github.com/citation-style-language/schema/raw/master/csl-citation.json"}</w:instrText>
      </w:r>
      <w:r w:rsidR="00BB5421" w:rsidRPr="00AE154B">
        <w:rPr>
          <w:rFonts w:ascii="Times New Roman" w:eastAsia="Times New Roman" w:hAnsi="Times New Roman" w:cs="Times New Roman"/>
          <w:sz w:val="24"/>
          <w:szCs w:val="24"/>
        </w:rPr>
        <w:fldChar w:fldCharType="separate"/>
      </w:r>
      <w:r w:rsidR="0090681F" w:rsidRPr="00AE154B">
        <w:rPr>
          <w:rFonts w:ascii="Times New Roman" w:eastAsia="Times New Roman" w:hAnsi="Times New Roman" w:cs="Times New Roman"/>
          <w:noProof/>
          <w:sz w:val="24"/>
          <w:szCs w:val="24"/>
        </w:rPr>
        <w:t>(Kaiser et al., 2022; Lusardi &amp; Mitchell, 2014; Mitchell &amp; Lusardi, 2015)</w:t>
      </w:r>
      <w:r w:rsidR="00BB5421" w:rsidRPr="00AE154B">
        <w:rPr>
          <w:rFonts w:ascii="Times New Roman" w:eastAsia="Times New Roman" w:hAnsi="Times New Roman" w:cs="Times New Roman"/>
          <w:sz w:val="24"/>
          <w:szCs w:val="24"/>
        </w:rPr>
        <w:fldChar w:fldCharType="end"/>
      </w:r>
      <w:r w:rsidR="006F0302" w:rsidRPr="00AE154B">
        <w:rPr>
          <w:rFonts w:ascii="Times New Roman" w:eastAsia="Times New Roman" w:hAnsi="Times New Roman" w:cs="Times New Roman"/>
          <w:sz w:val="24"/>
          <w:szCs w:val="24"/>
        </w:rPr>
        <w:t>.</w:t>
      </w:r>
      <w:r w:rsidR="00006C05">
        <w:rPr>
          <w:rFonts w:ascii="Times New Roman" w:eastAsia="Times New Roman" w:hAnsi="Times New Roman" w:cs="Times New Roman"/>
          <w:sz w:val="24"/>
          <w:szCs w:val="24"/>
        </w:rPr>
        <w:t xml:space="preserve"> </w:t>
      </w:r>
    </w:p>
    <w:p w14:paraId="6079C0A4" w14:textId="5AEDBA47" w:rsidR="0090681F" w:rsidRPr="00AE154B" w:rsidRDefault="00D36A61" w:rsidP="00D36A6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681F" w:rsidRPr="00AE154B">
        <w:rPr>
          <w:rFonts w:ascii="Times New Roman" w:hAnsi="Times New Roman" w:cs="Times New Roman"/>
          <w:sz w:val="24"/>
          <w:szCs w:val="24"/>
        </w:rPr>
        <w:t xml:space="preserve">H3 supported: Education level of the household head influences household loan utilization  </w:t>
      </w:r>
    </w:p>
    <w:p w14:paraId="39E02DA5" w14:textId="697F5312" w:rsidR="00865A88" w:rsidRPr="00AE154B" w:rsidRDefault="008F568B" w:rsidP="00410D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further reveal an </w:t>
      </w:r>
      <w:r w:rsidR="00865A88" w:rsidRPr="00AE154B">
        <w:rPr>
          <w:rFonts w:ascii="Times New Roman" w:eastAsia="Times New Roman" w:hAnsi="Times New Roman" w:cs="Times New Roman"/>
          <w:sz w:val="24"/>
          <w:szCs w:val="24"/>
        </w:rPr>
        <w:t xml:space="preserve">association (r = -0.050; p&lt;0.1) between the household dwelling type and loan utilization. Specifically, households living in less permanent housing structures are less likely to utilize loans </w:t>
      </w:r>
      <w:r w:rsidR="002118F1" w:rsidRPr="00AE154B">
        <w:rPr>
          <w:rFonts w:ascii="Times New Roman" w:eastAsia="Times New Roman" w:hAnsi="Times New Roman" w:cs="Times New Roman"/>
          <w:sz w:val="24"/>
          <w:szCs w:val="24"/>
        </w:rPr>
        <w:t>for.</w:t>
      </w:r>
      <w:r w:rsidR="00865A88" w:rsidRPr="00AE154B">
        <w:rPr>
          <w:rFonts w:ascii="Times New Roman" w:eastAsia="Times New Roman" w:hAnsi="Times New Roman" w:cs="Times New Roman"/>
          <w:sz w:val="24"/>
          <w:szCs w:val="24"/>
        </w:rPr>
        <w:t xml:space="preserve"> Similarly, households with </w:t>
      </w:r>
      <w:r w:rsidR="00865A88" w:rsidRPr="00AE154B">
        <w:rPr>
          <w:rFonts w:ascii="Times New Roman" w:eastAsia="Times New Roman" w:hAnsi="Times New Roman" w:cs="Times New Roman"/>
          <w:bCs/>
          <w:sz w:val="24"/>
          <w:szCs w:val="24"/>
        </w:rPr>
        <w:t xml:space="preserve">permanent floors (r = </w:t>
      </w:r>
      <w:r w:rsidR="001418FE" w:rsidRPr="001418FE">
        <w:rPr>
          <w:rFonts w:ascii="Times New Roman" w:eastAsia="Times New Roman" w:hAnsi="Times New Roman" w:cs="Times New Roman"/>
          <w:noProof/>
          <w:sz w:val="24"/>
          <w:szCs w:val="24"/>
        </w:rPr>
        <w:t>0.094</w:t>
      </w:r>
      <w:r w:rsidR="002118F1" w:rsidRPr="0018374A">
        <w:rPr>
          <w:rFonts w:ascii="Times New Roman" w:eastAsia="Times New Roman" w:hAnsi="Times New Roman" w:cs="Times New Roman"/>
          <w:noProof/>
          <w:sz w:val="24"/>
          <w:szCs w:val="24"/>
        </w:rPr>
        <w:t>;</w:t>
      </w:r>
      <w:r w:rsidR="002118F1" w:rsidRPr="00AE154B">
        <w:rPr>
          <w:rFonts w:ascii="Times New Roman" w:eastAsia="Times New Roman" w:hAnsi="Times New Roman" w:cs="Times New Roman"/>
          <w:bCs/>
          <w:sz w:val="24"/>
          <w:szCs w:val="24"/>
        </w:rPr>
        <w:t xml:space="preserve"> p</w:t>
      </w:r>
      <w:r w:rsidR="00865A88" w:rsidRPr="00AE154B">
        <w:rPr>
          <w:rFonts w:ascii="Times New Roman" w:eastAsia="Times New Roman" w:hAnsi="Times New Roman" w:cs="Times New Roman"/>
          <w:bCs/>
          <w:sz w:val="24"/>
          <w:szCs w:val="24"/>
        </w:rPr>
        <w:t>&lt;0.1)</w:t>
      </w:r>
      <w:r w:rsidR="00865A88" w:rsidRPr="00AE154B">
        <w:rPr>
          <w:rFonts w:ascii="Times New Roman" w:eastAsia="Times New Roman" w:hAnsi="Times New Roman" w:cs="Times New Roman"/>
          <w:sz w:val="24"/>
          <w:szCs w:val="24"/>
        </w:rPr>
        <w:t xml:space="preserve"> and </w:t>
      </w:r>
      <w:r w:rsidR="00865A88" w:rsidRPr="00AE154B">
        <w:rPr>
          <w:rFonts w:ascii="Times New Roman" w:eastAsia="Times New Roman" w:hAnsi="Times New Roman" w:cs="Times New Roman"/>
          <w:bCs/>
          <w:sz w:val="24"/>
          <w:szCs w:val="24"/>
        </w:rPr>
        <w:t xml:space="preserve">permanent roofs (r = </w:t>
      </w:r>
      <w:r w:rsidR="002118F1" w:rsidRPr="00AE154B">
        <w:rPr>
          <w:rFonts w:ascii="Times New Roman" w:eastAsia="Times New Roman" w:hAnsi="Times New Roman" w:cs="Times New Roman"/>
          <w:bCs/>
          <w:sz w:val="24"/>
          <w:szCs w:val="24"/>
        </w:rPr>
        <w:t>0.416; p</w:t>
      </w:r>
      <w:r w:rsidR="00865A88" w:rsidRPr="00AE154B">
        <w:rPr>
          <w:rFonts w:ascii="Times New Roman" w:eastAsia="Times New Roman" w:hAnsi="Times New Roman" w:cs="Times New Roman"/>
          <w:bCs/>
          <w:sz w:val="24"/>
          <w:szCs w:val="24"/>
        </w:rPr>
        <w:t>&lt;0.1)</w:t>
      </w:r>
      <w:r w:rsidR="00865A88" w:rsidRPr="00AE154B">
        <w:rPr>
          <w:rFonts w:ascii="Times New Roman" w:eastAsia="Times New Roman" w:hAnsi="Times New Roman" w:cs="Times New Roman"/>
          <w:sz w:val="24"/>
          <w:szCs w:val="24"/>
        </w:rPr>
        <w:t xml:space="preserve"> show higher productive loan utilization, suggesting that housing quality </w:t>
      </w:r>
      <w:r w:rsidR="00865A88" w:rsidRPr="00AE154B">
        <w:rPr>
          <w:rFonts w:ascii="Times New Roman" w:eastAsia="Times New Roman" w:hAnsi="Times New Roman" w:cs="Times New Roman"/>
          <w:sz w:val="24"/>
          <w:szCs w:val="24"/>
        </w:rPr>
        <w:lastRenderedPageBreak/>
        <w:t xml:space="preserve">may serve as a proxy for household wealth and creditworthiness. These results are consistent with findings by </w:t>
      </w:r>
      <w:r w:rsidR="00E87D53" w:rsidRPr="00AE154B">
        <w:rPr>
          <w:rFonts w:ascii="Times New Roman" w:eastAsia="Times New Roman" w:hAnsi="Times New Roman" w:cs="Times New Roman"/>
          <w:sz w:val="24"/>
          <w:szCs w:val="24"/>
        </w:rPr>
        <w:fldChar w:fldCharType="begin" w:fldLock="1"/>
      </w:r>
      <w:r w:rsidR="00FF449E" w:rsidRPr="00AE154B">
        <w:rPr>
          <w:rFonts w:ascii="Times New Roman" w:eastAsia="Times New Roman" w:hAnsi="Times New Roman" w:cs="Times New Roman"/>
          <w:sz w:val="24"/>
          <w:szCs w:val="24"/>
        </w:rPr>
        <w:instrText>ADDIN CSL_CITATION {"citationItems":[{"id":"ITEM-1","itemData":{"ISSN":"0950-6764","author":[{"dropping-particle":"","family":"White","given":"Roger","non-dropping-particle":"","parse-names":false,"suffix":""},{"dropping-particle":"","family":"Alam","given":"Shamma Adeeb","non-dropping-particle":"","parse-names":false,"suffix":""}],"container-title":"Development Policy Review","id":"ITEM-1","issue":"3","issued":{"date-parts":[["2013"]]},"page":"343-368","publisher":"Wiley Online Library","title":"Asset ownership and microloan repayment: Examining data from Bangladesh","type":"article-journal","volume":"31"},"uris":["http://www.mendeley.com/documents/?uuid=706bf887-103a-49da-aa3a-c9f0ccbc182b"]}],"mendeley":{"formattedCitation":"(White &amp; Alam, 2013)","plainTextFormattedCitation":"(White &amp; Alam, 2013)","previouslyFormattedCitation":"(White &amp; Alam, 2013)"},"properties":{"noteIndex":0},"schema":"https://github.com/citation-style-language/schema/raw/master/csl-citation.json"}</w:instrText>
      </w:r>
      <w:r w:rsidR="00E87D53" w:rsidRPr="00AE154B">
        <w:rPr>
          <w:rFonts w:ascii="Times New Roman" w:eastAsia="Times New Roman" w:hAnsi="Times New Roman" w:cs="Times New Roman"/>
          <w:sz w:val="24"/>
          <w:szCs w:val="24"/>
        </w:rPr>
        <w:fldChar w:fldCharType="separate"/>
      </w:r>
      <w:r w:rsidR="00E87D53" w:rsidRPr="00AE154B">
        <w:rPr>
          <w:rFonts w:ascii="Times New Roman" w:eastAsia="Times New Roman" w:hAnsi="Times New Roman" w:cs="Times New Roman"/>
          <w:noProof/>
          <w:sz w:val="24"/>
          <w:szCs w:val="24"/>
        </w:rPr>
        <w:t>(White &amp; Alam, 2013)</w:t>
      </w:r>
      <w:r w:rsidR="00E87D53" w:rsidRPr="00AE154B">
        <w:rPr>
          <w:rFonts w:ascii="Times New Roman" w:eastAsia="Times New Roman" w:hAnsi="Times New Roman" w:cs="Times New Roman"/>
          <w:sz w:val="24"/>
          <w:szCs w:val="24"/>
        </w:rPr>
        <w:fldChar w:fldCharType="end"/>
      </w:r>
      <w:r w:rsidR="00E87D53" w:rsidRPr="00AE154B">
        <w:rPr>
          <w:rFonts w:ascii="Times New Roman" w:eastAsia="Times New Roman" w:hAnsi="Times New Roman" w:cs="Times New Roman"/>
          <w:sz w:val="24"/>
          <w:szCs w:val="24"/>
        </w:rPr>
        <w:t xml:space="preserve">, who found a nexus between </w:t>
      </w:r>
      <w:r w:rsidR="00865A88" w:rsidRPr="00AE154B">
        <w:rPr>
          <w:rFonts w:ascii="Times New Roman" w:eastAsia="Times New Roman" w:hAnsi="Times New Roman" w:cs="Times New Roman"/>
          <w:sz w:val="24"/>
          <w:szCs w:val="24"/>
        </w:rPr>
        <w:t xml:space="preserve"> asset ownership</w:t>
      </w:r>
      <w:r w:rsidR="00E87D53" w:rsidRPr="00AE154B">
        <w:rPr>
          <w:rFonts w:ascii="Times New Roman" w:eastAsia="Times New Roman" w:hAnsi="Times New Roman" w:cs="Times New Roman"/>
          <w:sz w:val="24"/>
          <w:szCs w:val="24"/>
        </w:rPr>
        <w:t xml:space="preserve"> and improved debt repayment</w:t>
      </w:r>
      <w:r w:rsidR="00865A88" w:rsidRPr="00AE154B">
        <w:rPr>
          <w:rFonts w:ascii="Times New Roman" w:eastAsia="Times New Roman" w:hAnsi="Times New Roman" w:cs="Times New Roman"/>
          <w:sz w:val="24"/>
          <w:szCs w:val="24"/>
        </w:rPr>
        <w:t>.</w:t>
      </w:r>
    </w:p>
    <w:p w14:paraId="6843D327" w14:textId="77777777" w:rsidR="00865A88" w:rsidRPr="00AE154B" w:rsidRDefault="00865A88" w:rsidP="00410DEC">
      <w:pPr>
        <w:spacing w:after="0" w:line="240" w:lineRule="auto"/>
        <w:jc w:val="both"/>
        <w:rPr>
          <w:rFonts w:ascii="Times New Roman" w:eastAsia="Times New Roman" w:hAnsi="Times New Roman" w:cs="Times New Roman"/>
          <w:sz w:val="24"/>
          <w:szCs w:val="24"/>
        </w:rPr>
      </w:pPr>
    </w:p>
    <w:p w14:paraId="0D087290" w14:textId="77777777" w:rsidR="0090681F" w:rsidRPr="00AE154B" w:rsidRDefault="0090681F" w:rsidP="00D36A61">
      <w:pPr>
        <w:autoSpaceDE w:val="0"/>
        <w:autoSpaceDN w:val="0"/>
        <w:adjustRightInd w:val="0"/>
        <w:spacing w:after="0" w:line="240" w:lineRule="auto"/>
        <w:ind w:left="709"/>
        <w:jc w:val="both"/>
        <w:rPr>
          <w:rFonts w:ascii="Times New Roman" w:hAnsi="Times New Roman" w:cs="Times New Roman"/>
          <w:iCs/>
          <w:sz w:val="24"/>
          <w:szCs w:val="24"/>
        </w:rPr>
      </w:pPr>
      <w:r w:rsidRPr="00AE154B">
        <w:rPr>
          <w:rFonts w:ascii="Times New Roman" w:hAnsi="Times New Roman" w:cs="Times New Roman"/>
          <w:sz w:val="24"/>
          <w:szCs w:val="24"/>
        </w:rPr>
        <w:t>H4</w:t>
      </w:r>
      <w:r w:rsidR="00865A88" w:rsidRPr="00AE154B">
        <w:rPr>
          <w:rFonts w:ascii="Times New Roman" w:hAnsi="Times New Roman" w:cs="Times New Roman"/>
          <w:sz w:val="24"/>
          <w:szCs w:val="24"/>
        </w:rPr>
        <w:t xml:space="preserve"> supported</w:t>
      </w:r>
      <w:r w:rsidRPr="00AE154B">
        <w:rPr>
          <w:rFonts w:ascii="Times New Roman" w:hAnsi="Times New Roman" w:cs="Times New Roman"/>
          <w:sz w:val="24"/>
          <w:szCs w:val="24"/>
        </w:rPr>
        <w:t xml:space="preserve">: </w:t>
      </w:r>
      <w:r w:rsidRPr="00AE154B">
        <w:rPr>
          <w:rFonts w:ascii="Times New Roman" w:hAnsi="Times New Roman" w:cs="Times New Roman"/>
          <w:iCs/>
          <w:sz w:val="24"/>
          <w:szCs w:val="24"/>
        </w:rPr>
        <w:t>Households living in lower-quality dwellings (e.g., huts or temporary floors) are more likely to divert loans from intended purpose.</w:t>
      </w:r>
    </w:p>
    <w:p w14:paraId="181FA74D" w14:textId="77777777" w:rsidR="00865A88" w:rsidRPr="00AE154B" w:rsidRDefault="00865A88" w:rsidP="00410DEC">
      <w:pPr>
        <w:autoSpaceDE w:val="0"/>
        <w:autoSpaceDN w:val="0"/>
        <w:adjustRightInd w:val="0"/>
        <w:spacing w:after="0" w:line="240" w:lineRule="auto"/>
        <w:jc w:val="both"/>
        <w:rPr>
          <w:rFonts w:ascii="Times New Roman" w:hAnsi="Times New Roman" w:cs="Times New Roman"/>
          <w:iCs/>
          <w:sz w:val="24"/>
          <w:szCs w:val="24"/>
        </w:rPr>
      </w:pPr>
    </w:p>
    <w:p w14:paraId="1161F62A" w14:textId="77777777" w:rsidR="00AB6E82" w:rsidRPr="00AE154B" w:rsidRDefault="00AB6E82" w:rsidP="00410DEC">
      <w:pPr>
        <w:spacing w:before="100" w:beforeAutospacing="1" w:after="100" w:afterAutospacing="1" w:line="240" w:lineRule="auto"/>
        <w:jc w:val="both"/>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 xml:space="preserve">Lastly, the </w:t>
      </w:r>
      <w:r w:rsidRPr="00AE154B">
        <w:rPr>
          <w:rFonts w:ascii="Times New Roman" w:eastAsia="Times New Roman" w:hAnsi="Times New Roman" w:cs="Times New Roman"/>
          <w:bCs/>
          <w:sz w:val="24"/>
          <w:szCs w:val="24"/>
        </w:rPr>
        <w:t>negative correlation between employment status and productive loan utilization (r = -0.169</w:t>
      </w:r>
      <w:r w:rsidR="002D6911" w:rsidRPr="00AE154B">
        <w:rPr>
          <w:rFonts w:ascii="Times New Roman" w:eastAsia="Times New Roman" w:hAnsi="Times New Roman" w:cs="Times New Roman"/>
          <w:bCs/>
          <w:sz w:val="24"/>
          <w:szCs w:val="24"/>
        </w:rPr>
        <w:t>; p&lt;0.1</w:t>
      </w:r>
      <w:r w:rsidRPr="00AE154B">
        <w:rPr>
          <w:rFonts w:ascii="Times New Roman" w:eastAsia="Times New Roman" w:hAnsi="Times New Roman" w:cs="Times New Roman"/>
          <w:bCs/>
          <w:sz w:val="24"/>
          <w:szCs w:val="24"/>
        </w:rPr>
        <w:t>)</w:t>
      </w:r>
      <w:r w:rsidRPr="00AE154B">
        <w:rPr>
          <w:rFonts w:ascii="Times New Roman" w:eastAsia="Times New Roman" w:hAnsi="Times New Roman" w:cs="Times New Roman"/>
          <w:sz w:val="24"/>
          <w:szCs w:val="24"/>
        </w:rPr>
        <w:t xml:space="preserve"> indicates that unemployed or informally employed households are less likely to productively utilize loans. Employment stability enhances loan eligibility, repayment capacity, and confidence in engaging with financial institutions. Informal sector workers often face credit rationing due to lack of collateral or verified income </w:t>
      </w:r>
      <w:r w:rsidRPr="00AE154B">
        <w:rPr>
          <w:rFonts w:ascii="Times New Roman" w:eastAsia="Times New Roman" w:hAnsi="Times New Roman" w:cs="Times New Roman"/>
          <w:sz w:val="24"/>
          <w:szCs w:val="24"/>
        </w:rPr>
        <w:fldChar w:fldCharType="begin" w:fldLock="1"/>
      </w:r>
      <w:r w:rsidR="00E87D53" w:rsidRPr="00AE154B">
        <w:rPr>
          <w:rFonts w:ascii="Times New Roman" w:eastAsia="Times New Roman" w:hAnsi="Times New Roman" w:cs="Times New Roman"/>
          <w:sz w:val="24"/>
          <w:szCs w:val="24"/>
        </w:rPr>
        <w:instrText>ADDIN CSL_CITATION {"citationItems":[{"id":"ITEM-1","itemData":{"ISSN":"0002-8282","author":[{"dropping-particle":"","family":"Stiglitz","given":"Joseph E","non-dropping-particle":"","parse-names":false,"suffix":""},{"dropping-particle":"","family":"Weiss","given":"Andrew","non-dropping-particle":"","parse-names":false,"suffix":""}],"container-title":"The American economic review","id":"ITEM-1","issue":"3","issued":{"date-parts":[["1981"]]},"page":"393-410","publisher":"JSTOR","title":"Credit rationing in markets with imperfect information","type":"article-journal","volume":"71"},"uris":["http://www.mendeley.com/documents/?uuid=db81f382-147a-456d-8fa8-618bda659d16"]}],"mendeley":{"formattedCitation":"(Stiglitz &amp; Weiss, 1981)","plainTextFormattedCitation":"(Stiglitz &amp; Weiss, 1981)","previouslyFormattedCitation":"(Stiglitz &amp; Weiss, 1981)"},"properties":{"noteIndex":0},"schema":"https://github.com/citation-style-language/schema/raw/master/csl-citation.json"}</w:instrText>
      </w:r>
      <w:r w:rsidRPr="00AE154B">
        <w:rPr>
          <w:rFonts w:ascii="Times New Roman" w:eastAsia="Times New Roman" w:hAnsi="Times New Roman" w:cs="Times New Roman"/>
          <w:sz w:val="24"/>
          <w:szCs w:val="24"/>
        </w:rPr>
        <w:fldChar w:fldCharType="separate"/>
      </w:r>
      <w:r w:rsidRPr="00AE154B">
        <w:rPr>
          <w:rFonts w:ascii="Times New Roman" w:eastAsia="Times New Roman" w:hAnsi="Times New Roman" w:cs="Times New Roman"/>
          <w:noProof/>
          <w:sz w:val="24"/>
          <w:szCs w:val="24"/>
        </w:rPr>
        <w:t>(Stiglitz &amp; Weiss, 1981)</w:t>
      </w:r>
      <w:r w:rsidRPr="00AE154B">
        <w:rPr>
          <w:rFonts w:ascii="Times New Roman" w:eastAsia="Times New Roman" w:hAnsi="Times New Roman" w:cs="Times New Roman"/>
          <w:sz w:val="24"/>
          <w:szCs w:val="24"/>
        </w:rPr>
        <w:fldChar w:fldCharType="end"/>
      </w:r>
      <w:r w:rsidRPr="00AE154B">
        <w:rPr>
          <w:rFonts w:ascii="Times New Roman" w:eastAsia="Times New Roman" w:hAnsi="Times New Roman" w:cs="Times New Roman"/>
          <w:sz w:val="24"/>
          <w:szCs w:val="24"/>
        </w:rPr>
        <w:t>.</w:t>
      </w:r>
      <w:r w:rsidR="00E87D53" w:rsidRPr="00AE154B">
        <w:rPr>
          <w:rFonts w:ascii="Times New Roman" w:eastAsia="Times New Roman" w:hAnsi="Times New Roman" w:cs="Times New Roman"/>
          <w:sz w:val="24"/>
          <w:szCs w:val="24"/>
        </w:rPr>
        <w:t xml:space="preserve"> The association between sources of income and loan utilization is </w:t>
      </w:r>
      <w:r w:rsidR="007371BD" w:rsidRPr="00AE154B">
        <w:rPr>
          <w:rFonts w:ascii="Times New Roman" w:eastAsia="Times New Roman" w:hAnsi="Times New Roman" w:cs="Times New Roman"/>
          <w:sz w:val="24"/>
          <w:szCs w:val="24"/>
        </w:rPr>
        <w:t xml:space="preserve">consistent with </w:t>
      </w:r>
      <w:r w:rsidR="00FF449E" w:rsidRPr="00AE154B">
        <w:rPr>
          <w:rFonts w:ascii="Times New Roman" w:eastAsia="Times New Roman" w:hAnsi="Times New Roman" w:cs="Times New Roman"/>
          <w:sz w:val="24"/>
          <w:szCs w:val="24"/>
        </w:rPr>
        <w:fldChar w:fldCharType="begin" w:fldLock="1"/>
      </w:r>
      <w:r w:rsidR="00345991" w:rsidRPr="00AE154B">
        <w:rPr>
          <w:rFonts w:ascii="Times New Roman" w:eastAsia="Times New Roman" w:hAnsi="Times New Roman" w:cs="Times New Roman"/>
          <w:sz w:val="24"/>
          <w:szCs w:val="24"/>
        </w:rPr>
        <w:instrText>ADDIN CSL_CITATION {"citationItems":[{"id":"ITEM-1","itemData":{"DOI":"10.3390/su14073900","ISSN":"20711050","abstract":"Agriculture is a major contributor to economic development in most developing nations, with smallholder farmers playing a critical role, but their productivity and growth are impeded by a lack of access to agricultural loans. The affordability of loans is critical for sustainable agricultural development. Therefore, this paper investigates farmers’ loan acquisition and utilization, as well as their choice of loan sources using a two-part model and multinomial logit model. A total of 281 smallholder rice farmers were surveyed in Lagos State, Nigeria. The empirical findings show that marital status, farm size, and interest rate were all positive and significant influences on farmers’ loan sources of choice. In addition, annual farm revenue and the interest rate have a significant positive impact on loan access, whereas education, farming experience, farm size, off-farm income, and farm income have a major impact on loan use. The study also reveals that the preferred loan source differs according to the characteristics of farm households. The study concluded that access to loans increases farmers’ income in the region. It was recommended that the socio-economic characteristics of rice farmers should be considered when formulating and implementing policies to im-prove smallholder farmers’ access to agricultural loans.","author":[{"dropping-particle":"","family":"Ameh","given":"Michael","non-dropping-particle":"","parse-names":false,"suffix":""},{"dropping-particle":"","family":"Lee","given":"Sang Hyeon","non-dropping-particle":"","parse-names":false,"suffix":""}],"container-title":"Sustainability (Switzerland)","id":"ITEM-1","issue":"7","issued":{"date-parts":[["2022"]]},"page":"1-14","title":"Determinants of Loan Acquisition and Utilization among Smallholder Rice Producers in Lagos State, Nigeria","type":"article-journal","volume":"14"},"uris":["http://www.mendeley.com/documents/?uuid=8c8d3537-e192-4042-86f4-657e16eff53d"]}],"mendeley":{"formattedCitation":"(Ameh &amp; Lee, 2022)","plainTextFormattedCitation":"(Ameh &amp; Lee, 2022)","previouslyFormattedCitation":"(Ameh &amp; Lee, 2022)"},"properties":{"noteIndex":0},"schema":"https://github.com/citation-style-language/schema/raw/master/csl-citation.json"}</w:instrText>
      </w:r>
      <w:r w:rsidR="00FF449E" w:rsidRPr="00AE154B">
        <w:rPr>
          <w:rFonts w:ascii="Times New Roman" w:eastAsia="Times New Roman" w:hAnsi="Times New Roman" w:cs="Times New Roman"/>
          <w:sz w:val="24"/>
          <w:szCs w:val="24"/>
        </w:rPr>
        <w:fldChar w:fldCharType="separate"/>
      </w:r>
      <w:r w:rsidR="00FF449E" w:rsidRPr="00AE154B">
        <w:rPr>
          <w:rFonts w:ascii="Times New Roman" w:eastAsia="Times New Roman" w:hAnsi="Times New Roman" w:cs="Times New Roman"/>
          <w:noProof/>
          <w:sz w:val="24"/>
          <w:szCs w:val="24"/>
        </w:rPr>
        <w:t>(Ameh &amp; Lee, 2022)</w:t>
      </w:r>
      <w:r w:rsidR="00FF449E" w:rsidRPr="00AE154B">
        <w:rPr>
          <w:rFonts w:ascii="Times New Roman" w:eastAsia="Times New Roman" w:hAnsi="Times New Roman" w:cs="Times New Roman"/>
          <w:sz w:val="24"/>
          <w:szCs w:val="24"/>
        </w:rPr>
        <w:fldChar w:fldCharType="end"/>
      </w:r>
      <w:r w:rsidR="00FF449E" w:rsidRPr="00AE154B">
        <w:rPr>
          <w:rFonts w:ascii="Times New Roman" w:eastAsia="Times New Roman" w:hAnsi="Times New Roman" w:cs="Times New Roman"/>
          <w:sz w:val="24"/>
          <w:szCs w:val="24"/>
        </w:rPr>
        <w:t xml:space="preserve"> </w:t>
      </w:r>
      <w:r w:rsidR="007371BD" w:rsidRPr="00AE154B">
        <w:rPr>
          <w:rFonts w:ascii="Times New Roman" w:eastAsia="Times New Roman" w:hAnsi="Times New Roman" w:cs="Times New Roman"/>
          <w:sz w:val="24"/>
          <w:szCs w:val="24"/>
        </w:rPr>
        <w:t xml:space="preserve">who found a correlation between income sources and loan use among small rice farm holders in Nigeria. </w:t>
      </w:r>
    </w:p>
    <w:p w14:paraId="762D5DC8" w14:textId="46612C19" w:rsidR="0090681F" w:rsidRPr="00B6427E" w:rsidRDefault="0090681F" w:rsidP="00410DEC">
      <w:pPr>
        <w:autoSpaceDE w:val="0"/>
        <w:autoSpaceDN w:val="0"/>
        <w:adjustRightInd w:val="0"/>
        <w:spacing w:after="0" w:line="240" w:lineRule="auto"/>
        <w:ind w:left="1710"/>
        <w:jc w:val="both"/>
        <w:rPr>
          <w:rFonts w:ascii="Times New Roman" w:hAnsi="Times New Roman" w:cs="Times New Roman"/>
          <w:sz w:val="24"/>
          <w:szCs w:val="24"/>
        </w:rPr>
      </w:pPr>
      <w:r w:rsidRPr="0099311B">
        <w:rPr>
          <w:rFonts w:ascii="Times New Roman" w:hAnsi="Times New Roman" w:cs="Times New Roman"/>
          <w:iCs/>
          <w:sz w:val="24"/>
          <w:szCs w:val="24"/>
        </w:rPr>
        <w:t>H5</w:t>
      </w:r>
      <w:r w:rsidR="00AB6E82" w:rsidRPr="0099311B">
        <w:rPr>
          <w:rFonts w:ascii="Times New Roman" w:hAnsi="Times New Roman" w:cs="Times New Roman"/>
          <w:iCs/>
          <w:sz w:val="24"/>
          <w:szCs w:val="24"/>
        </w:rPr>
        <w:t xml:space="preserve"> supported</w:t>
      </w:r>
      <w:r w:rsidRPr="0099311B">
        <w:rPr>
          <w:rFonts w:ascii="Times New Roman" w:hAnsi="Times New Roman" w:cs="Times New Roman"/>
          <w:iCs/>
          <w:sz w:val="24"/>
          <w:szCs w:val="24"/>
        </w:rPr>
        <w:t xml:space="preserve">: </w:t>
      </w:r>
      <w:r w:rsidRPr="0099311B">
        <w:rPr>
          <w:rFonts w:ascii="Times New Roman" w:hAnsi="Times New Roman" w:cs="Times New Roman"/>
          <w:sz w:val="24"/>
          <w:szCs w:val="24"/>
        </w:rPr>
        <w:t xml:space="preserve">Households engaged in less stable forms of employment (farm wage, casual </w:t>
      </w:r>
      <w:r w:rsidR="007815CE" w:rsidRPr="0099311B">
        <w:rPr>
          <w:rFonts w:ascii="Times New Roman" w:hAnsi="Times New Roman" w:cs="Times New Roman"/>
          <w:sz w:val="24"/>
          <w:szCs w:val="24"/>
        </w:rPr>
        <w:t>labor</w:t>
      </w:r>
      <w:r w:rsidRPr="0099311B">
        <w:rPr>
          <w:rFonts w:ascii="Times New Roman" w:hAnsi="Times New Roman" w:cs="Times New Roman"/>
          <w:sz w:val="24"/>
          <w:szCs w:val="24"/>
        </w:rPr>
        <w:t xml:space="preserve"> and unemployed) have a </w:t>
      </w:r>
      <w:r w:rsidR="00BB1C1E" w:rsidRPr="0099311B">
        <w:rPr>
          <w:rFonts w:ascii="Times New Roman" w:hAnsi="Times New Roman" w:cs="Times New Roman"/>
          <w:sz w:val="24"/>
          <w:szCs w:val="24"/>
        </w:rPr>
        <w:t xml:space="preserve">lower </w:t>
      </w:r>
      <w:r w:rsidRPr="0099311B">
        <w:rPr>
          <w:rFonts w:ascii="Times New Roman" w:hAnsi="Times New Roman" w:cs="Times New Roman"/>
          <w:sz w:val="24"/>
          <w:szCs w:val="24"/>
        </w:rPr>
        <w:t xml:space="preserve">propensity to </w:t>
      </w:r>
      <w:r w:rsidR="00AB6E82" w:rsidRPr="0099311B">
        <w:rPr>
          <w:rFonts w:ascii="Times New Roman" w:hAnsi="Times New Roman" w:cs="Times New Roman"/>
          <w:sz w:val="24"/>
          <w:szCs w:val="24"/>
        </w:rPr>
        <w:t xml:space="preserve">productively </w:t>
      </w:r>
      <w:r w:rsidRPr="0099311B">
        <w:rPr>
          <w:rFonts w:ascii="Times New Roman" w:hAnsi="Times New Roman" w:cs="Times New Roman"/>
          <w:sz w:val="24"/>
          <w:szCs w:val="24"/>
        </w:rPr>
        <w:t xml:space="preserve">utilize loans </w:t>
      </w:r>
      <w:r w:rsidR="00AB6E82" w:rsidRPr="0099311B">
        <w:rPr>
          <w:rFonts w:ascii="Times New Roman" w:hAnsi="Times New Roman" w:cs="Times New Roman"/>
          <w:sz w:val="24"/>
          <w:szCs w:val="24"/>
        </w:rPr>
        <w:t>and comply with debt</w:t>
      </w:r>
      <w:r w:rsidRPr="0099311B">
        <w:rPr>
          <w:rFonts w:ascii="Times New Roman" w:hAnsi="Times New Roman" w:cs="Times New Roman"/>
          <w:sz w:val="24"/>
          <w:szCs w:val="24"/>
        </w:rPr>
        <w:t xml:space="preserve"> repayment</w:t>
      </w:r>
      <w:r w:rsidR="00765D6C" w:rsidRPr="0099311B">
        <w:rPr>
          <w:rFonts w:ascii="Times New Roman" w:hAnsi="Times New Roman" w:cs="Times New Roman"/>
          <w:sz w:val="24"/>
          <w:szCs w:val="24"/>
        </w:rPr>
        <w:t>.</w:t>
      </w:r>
    </w:p>
    <w:p w14:paraId="134BC07A" w14:textId="77777777" w:rsidR="00450976" w:rsidRDefault="00797A1B" w:rsidP="00410DEC">
      <w:pPr>
        <w:pStyle w:val="Heading1"/>
        <w:spacing w:line="240" w:lineRule="auto"/>
        <w:rPr>
          <w:rFonts w:ascii="Times New Roman" w:hAnsi="Times New Roman" w:cs="Times New Roman"/>
          <w:sz w:val="24"/>
          <w:szCs w:val="24"/>
        </w:rPr>
      </w:pPr>
      <w:r w:rsidRPr="0099311B">
        <w:rPr>
          <w:rFonts w:ascii="Times New Roman" w:hAnsi="Times New Roman" w:cs="Times New Roman"/>
          <w:sz w:val="24"/>
          <w:szCs w:val="24"/>
        </w:rPr>
        <w:t xml:space="preserve">5.0 </w:t>
      </w:r>
      <w:r w:rsidR="00EF6D43" w:rsidRPr="0099311B">
        <w:rPr>
          <w:rFonts w:ascii="Times New Roman" w:hAnsi="Times New Roman" w:cs="Times New Roman"/>
          <w:sz w:val="24"/>
          <w:szCs w:val="24"/>
        </w:rPr>
        <w:t>Discussion</w:t>
      </w:r>
      <w:r w:rsidR="00EF6D43" w:rsidRPr="0026709C">
        <w:rPr>
          <w:rFonts w:ascii="Times New Roman" w:hAnsi="Times New Roman" w:cs="Times New Roman"/>
          <w:sz w:val="24"/>
          <w:szCs w:val="24"/>
        </w:rPr>
        <w:t xml:space="preserve"> </w:t>
      </w:r>
    </w:p>
    <w:p w14:paraId="4BF62F06" w14:textId="2B67D76D" w:rsidR="00B12499" w:rsidRDefault="00450976" w:rsidP="002E12FF">
      <w:pPr>
        <w:jc w:val="both"/>
        <w:rPr>
          <w:rFonts w:ascii="Times New Roman" w:hAnsi="Times New Roman" w:cs="Times New Roman"/>
          <w:sz w:val="24"/>
          <w:szCs w:val="24"/>
        </w:rPr>
      </w:pPr>
      <w:r w:rsidRPr="002E12FF">
        <w:rPr>
          <w:rFonts w:ascii="Times New Roman" w:hAnsi="Times New Roman" w:cs="Times New Roman"/>
          <w:sz w:val="24"/>
          <w:szCs w:val="24"/>
        </w:rPr>
        <w:t xml:space="preserve">The findings of this study provide important insights into how household financial capability shapes loan utilization and repayment behavior. Consistent with recent global evidence, financially capable households tend to allocate borrowed funds to productive activities—such as business investment or asset acquisition—rather than consumption smoothing. This behavioral pattern strengthens repayment performance and enhances long-term financial resilience (Sun et al., 2022). Across both the correlation results (Table 2) and the marginal effects estimates (Table 3), a coherent narrative emerges: </w:t>
      </w:r>
      <w:r w:rsidRPr="002E12FF">
        <w:rPr>
          <w:rStyle w:val="Strong"/>
          <w:rFonts w:ascii="Times New Roman" w:hAnsi="Times New Roman" w:cs="Times New Roman"/>
          <w:b w:val="0"/>
          <w:sz w:val="24"/>
          <w:szCs w:val="24"/>
        </w:rPr>
        <w:t>the quality of loan utilization is a central determinant of repayment success</w:t>
      </w:r>
      <w:r w:rsidRPr="002E12FF">
        <w:rPr>
          <w:rFonts w:ascii="Times New Roman" w:hAnsi="Times New Roman" w:cs="Times New Roman"/>
          <w:sz w:val="24"/>
          <w:szCs w:val="24"/>
        </w:rPr>
        <w:t>, thereby confirming Hypothesis 1 (H1).</w:t>
      </w:r>
      <w:r w:rsidR="00B12499" w:rsidRPr="002E12FF">
        <w:rPr>
          <w:rFonts w:ascii="Times New Roman" w:hAnsi="Times New Roman" w:cs="Times New Roman"/>
          <w:sz w:val="24"/>
          <w:szCs w:val="24"/>
        </w:rPr>
        <w:t xml:space="preserve"> </w:t>
      </w:r>
    </w:p>
    <w:p w14:paraId="079BCB66" w14:textId="3005074F" w:rsidR="00450976" w:rsidRPr="002E12FF" w:rsidRDefault="00450976" w:rsidP="002E12FF">
      <w:pPr>
        <w:jc w:val="both"/>
        <w:rPr>
          <w:rFonts w:ascii="Times New Roman" w:hAnsi="Times New Roman" w:cs="Times New Roman"/>
          <w:sz w:val="24"/>
          <w:szCs w:val="24"/>
        </w:rPr>
      </w:pPr>
      <w:r w:rsidRPr="002E12FF">
        <w:rPr>
          <w:rFonts w:ascii="Times New Roman" w:hAnsi="Times New Roman" w:cs="Times New Roman"/>
          <w:sz w:val="24"/>
          <w:szCs w:val="24"/>
        </w:rPr>
        <w:t xml:space="preserve">The negative correlation between productive utilization and repayment default (r = −0.078) captures the broader behavioral association between how loans are used and subsequent repayment outcomes. The marginal effect (−0.0617), which isolates the contribution of productive utilization while holding other factors constant, demonstrates that productive loan use substantially reduces the likelihood of payment default. Together, these results reinforce the theoretical argument that financial capability functions as a transformative asset. Households equipped with financial knowledge, skills, and institutional access are more likely to convert credit into sustainable economic outcomes. This aligns with </w:t>
      </w:r>
      <w:proofErr w:type="spellStart"/>
      <w:r w:rsidRPr="002E12FF">
        <w:rPr>
          <w:rFonts w:ascii="Times New Roman" w:hAnsi="Times New Roman" w:cs="Times New Roman"/>
          <w:sz w:val="24"/>
          <w:szCs w:val="24"/>
        </w:rPr>
        <w:t>Ajzerle</w:t>
      </w:r>
      <w:proofErr w:type="spellEnd"/>
      <w:r w:rsidRPr="002E12FF">
        <w:rPr>
          <w:rFonts w:ascii="Times New Roman" w:hAnsi="Times New Roman" w:cs="Times New Roman"/>
          <w:sz w:val="24"/>
          <w:szCs w:val="24"/>
        </w:rPr>
        <w:t xml:space="preserve"> et al. (2013), who found that individuals with higher financial capability use debt more effectively and are better positioned to meet their repayment obligations.</w:t>
      </w:r>
    </w:p>
    <w:p w14:paraId="0D781282" w14:textId="15F986AC" w:rsidR="00450976" w:rsidRPr="00D36A61" w:rsidRDefault="00450976" w:rsidP="00D36A61">
      <w:pPr>
        <w:jc w:val="both"/>
        <w:rPr>
          <w:rFonts w:ascii="Times New Roman" w:hAnsi="Times New Roman" w:cs="Times New Roman"/>
          <w:sz w:val="24"/>
          <w:szCs w:val="24"/>
        </w:rPr>
      </w:pPr>
      <w:r w:rsidRPr="00D36A61">
        <w:rPr>
          <w:rStyle w:val="Strong"/>
          <w:rFonts w:ascii="Times New Roman" w:hAnsi="Times New Roman" w:cs="Times New Roman"/>
          <w:b w:val="0"/>
          <w:bCs w:val="0"/>
          <w:i/>
          <w:sz w:val="24"/>
          <w:szCs w:val="24"/>
        </w:rPr>
        <w:t>Social Networks and Loan Utilization (H2)</w:t>
      </w:r>
      <w:r w:rsidR="00710BFB" w:rsidRPr="00D36A61">
        <w:rPr>
          <w:rStyle w:val="Strong"/>
          <w:rFonts w:ascii="Times New Roman" w:hAnsi="Times New Roman" w:cs="Times New Roman"/>
          <w:b w:val="0"/>
          <w:bCs w:val="0"/>
          <w:i/>
          <w:sz w:val="24"/>
          <w:szCs w:val="24"/>
        </w:rPr>
        <w:t>:</w:t>
      </w:r>
      <w:r w:rsidR="00710BFB" w:rsidRPr="00D36A61">
        <w:rPr>
          <w:rStyle w:val="Strong"/>
          <w:rFonts w:ascii="Times New Roman" w:hAnsi="Times New Roman" w:cs="Times New Roman"/>
          <w:b w:val="0"/>
          <w:bCs w:val="0"/>
          <w:sz w:val="24"/>
          <w:szCs w:val="24"/>
        </w:rPr>
        <w:t xml:space="preserve"> </w:t>
      </w:r>
      <w:r w:rsidRPr="00D36A61">
        <w:rPr>
          <w:rFonts w:ascii="Times New Roman" w:hAnsi="Times New Roman" w:cs="Times New Roman"/>
          <w:sz w:val="24"/>
          <w:szCs w:val="24"/>
        </w:rPr>
        <w:t xml:space="preserve">The study identifies a negative relationship between social networks and productive loan utilization. Several theoretically consistent explanations can be advanced. Strong social networks often act as substitutes for formal finance by providing informal transfers or consumption smoothing mechanisms, reducing the need for productive borrowing. Additionally, social norms within networks may discourage risk-taking or engagement </w:t>
      </w:r>
      <w:r w:rsidRPr="00D36A61">
        <w:rPr>
          <w:rFonts w:ascii="Times New Roman" w:hAnsi="Times New Roman" w:cs="Times New Roman"/>
          <w:sz w:val="24"/>
          <w:szCs w:val="24"/>
        </w:rPr>
        <w:lastRenderedPageBreak/>
        <w:t xml:space="preserve">with formal lenders. Thus, networks serve a dual role: while they provide informal insurance, they may inadvertently constrain formal financial participation. This result echoes findings by </w:t>
      </w:r>
      <w:proofErr w:type="spellStart"/>
      <w:r w:rsidRPr="00D36A61">
        <w:rPr>
          <w:rFonts w:ascii="Times New Roman" w:hAnsi="Times New Roman" w:cs="Times New Roman"/>
          <w:sz w:val="24"/>
          <w:szCs w:val="24"/>
        </w:rPr>
        <w:t>Dufhues</w:t>
      </w:r>
      <w:proofErr w:type="spellEnd"/>
      <w:r w:rsidRPr="00D36A61">
        <w:rPr>
          <w:rFonts w:ascii="Times New Roman" w:hAnsi="Times New Roman" w:cs="Times New Roman"/>
          <w:sz w:val="24"/>
          <w:szCs w:val="24"/>
        </w:rPr>
        <w:t xml:space="preserve"> et al. (2010), who report limited evidence that social networks enhance loan repayment performance in Southeast Asia. These dynamics suggest that policy interventions should consider how informal support structures interact with formal financial services.</w:t>
      </w:r>
    </w:p>
    <w:p w14:paraId="61203B60" w14:textId="56DAAD29" w:rsidR="00450976" w:rsidRPr="00D36A61" w:rsidRDefault="00450976" w:rsidP="00D36A61">
      <w:pPr>
        <w:jc w:val="both"/>
        <w:rPr>
          <w:rFonts w:ascii="Times New Roman" w:hAnsi="Times New Roman" w:cs="Times New Roman"/>
          <w:sz w:val="24"/>
          <w:szCs w:val="24"/>
        </w:rPr>
      </w:pPr>
      <w:r w:rsidRPr="00D36A61">
        <w:rPr>
          <w:rStyle w:val="Strong"/>
          <w:rFonts w:ascii="Times New Roman" w:hAnsi="Times New Roman" w:cs="Times New Roman"/>
          <w:b w:val="0"/>
          <w:bCs w:val="0"/>
          <w:i/>
          <w:sz w:val="24"/>
          <w:szCs w:val="24"/>
        </w:rPr>
        <w:t>Education and Loan Utilization (H3)</w:t>
      </w:r>
      <w:r w:rsidR="00710BFB" w:rsidRPr="00D36A61">
        <w:rPr>
          <w:rStyle w:val="Strong"/>
          <w:rFonts w:ascii="Times New Roman" w:hAnsi="Times New Roman" w:cs="Times New Roman"/>
          <w:b w:val="0"/>
          <w:bCs w:val="0"/>
          <w:i/>
          <w:sz w:val="24"/>
          <w:szCs w:val="24"/>
        </w:rPr>
        <w:t>:</w:t>
      </w:r>
      <w:r w:rsidR="00710BFB" w:rsidRPr="00D36A61">
        <w:rPr>
          <w:rStyle w:val="Strong"/>
          <w:rFonts w:ascii="Times New Roman" w:hAnsi="Times New Roman" w:cs="Times New Roman"/>
          <w:b w:val="0"/>
          <w:bCs w:val="0"/>
          <w:sz w:val="24"/>
          <w:szCs w:val="24"/>
        </w:rPr>
        <w:t xml:space="preserve"> </w:t>
      </w:r>
      <w:r w:rsidRPr="00D36A61">
        <w:rPr>
          <w:rFonts w:ascii="Times New Roman" w:hAnsi="Times New Roman" w:cs="Times New Roman"/>
          <w:sz w:val="24"/>
          <w:szCs w:val="24"/>
        </w:rPr>
        <w:t>The strong positive correlation between education and productive loan utilization supports the “ability” dimension of Financial Capability Theory. Education enhances financial knowledge, planning skills, and confidence, which collectively enable households to identify viable investment opportunities and manage loans more effectively. This underscores the importance of complementing financial access initiatives with capability-building programs—particularly financial education targeting low-income households.</w:t>
      </w:r>
    </w:p>
    <w:p w14:paraId="12E09100" w14:textId="676BBAB6" w:rsidR="00450976" w:rsidRPr="00D36A61" w:rsidRDefault="00450976" w:rsidP="00D36A61">
      <w:pPr>
        <w:jc w:val="both"/>
        <w:rPr>
          <w:rFonts w:ascii="Times New Roman" w:hAnsi="Times New Roman" w:cs="Times New Roman"/>
          <w:sz w:val="24"/>
          <w:szCs w:val="24"/>
        </w:rPr>
      </w:pPr>
      <w:r w:rsidRPr="00D36A61">
        <w:rPr>
          <w:rStyle w:val="Strong"/>
          <w:rFonts w:ascii="Times New Roman" w:hAnsi="Times New Roman" w:cs="Times New Roman"/>
          <w:b w:val="0"/>
          <w:bCs w:val="0"/>
          <w:i/>
          <w:sz w:val="24"/>
          <w:szCs w:val="24"/>
        </w:rPr>
        <w:t>Housing Quality and Loan Utilization (H4)</w:t>
      </w:r>
      <w:r w:rsidR="00710BFB" w:rsidRPr="00D36A61">
        <w:rPr>
          <w:rStyle w:val="Strong"/>
          <w:rFonts w:ascii="Times New Roman" w:hAnsi="Times New Roman" w:cs="Times New Roman"/>
          <w:b w:val="0"/>
          <w:bCs w:val="0"/>
          <w:i/>
          <w:sz w:val="24"/>
          <w:szCs w:val="24"/>
        </w:rPr>
        <w:t>:</w:t>
      </w:r>
      <w:r w:rsidR="00710BFB" w:rsidRPr="00D36A61">
        <w:rPr>
          <w:rStyle w:val="Strong"/>
          <w:rFonts w:ascii="Times New Roman" w:hAnsi="Times New Roman" w:cs="Times New Roman"/>
          <w:b w:val="0"/>
          <w:bCs w:val="0"/>
          <w:sz w:val="24"/>
          <w:szCs w:val="24"/>
        </w:rPr>
        <w:t xml:space="preserve"> </w:t>
      </w:r>
      <w:r w:rsidRPr="00D36A61">
        <w:rPr>
          <w:rFonts w:ascii="Times New Roman" w:hAnsi="Times New Roman" w:cs="Times New Roman"/>
          <w:sz w:val="24"/>
          <w:szCs w:val="24"/>
        </w:rPr>
        <w:t>Housing quality, used here as a proxy for asset wealth and poten</w:t>
      </w:r>
      <w:r w:rsidR="008F568B">
        <w:rPr>
          <w:rFonts w:ascii="Times New Roman" w:hAnsi="Times New Roman" w:cs="Times New Roman"/>
          <w:sz w:val="24"/>
          <w:szCs w:val="24"/>
        </w:rPr>
        <w:t xml:space="preserve">tial collateral, shows a </w:t>
      </w:r>
      <w:r w:rsidRPr="00D36A61">
        <w:rPr>
          <w:rFonts w:ascii="Times New Roman" w:hAnsi="Times New Roman" w:cs="Times New Roman"/>
          <w:sz w:val="24"/>
          <w:szCs w:val="24"/>
        </w:rPr>
        <w:t xml:space="preserve">positive association with productive loan use. Households with durable housing conditions are more likely to engage with formal finance and utilize loans in economically productive ways. This pattern reflects both greater </w:t>
      </w:r>
      <w:r w:rsidRPr="00D36A61">
        <w:rPr>
          <w:rStyle w:val="Strong"/>
          <w:rFonts w:ascii="Times New Roman" w:hAnsi="Times New Roman" w:cs="Times New Roman"/>
          <w:b w:val="0"/>
          <w:sz w:val="24"/>
          <w:szCs w:val="24"/>
        </w:rPr>
        <w:t>opportunity</w:t>
      </w:r>
      <w:r w:rsidRPr="00D36A61">
        <w:rPr>
          <w:rFonts w:ascii="Times New Roman" w:hAnsi="Times New Roman" w:cs="Times New Roman"/>
          <w:sz w:val="24"/>
          <w:szCs w:val="24"/>
        </w:rPr>
        <w:t xml:space="preserve">—through collateral and lender confidence—and greater </w:t>
      </w:r>
      <w:r w:rsidRPr="00D36A61">
        <w:rPr>
          <w:rStyle w:val="Strong"/>
          <w:rFonts w:ascii="Times New Roman" w:hAnsi="Times New Roman" w:cs="Times New Roman"/>
          <w:b w:val="0"/>
          <w:sz w:val="24"/>
          <w:szCs w:val="24"/>
        </w:rPr>
        <w:t>ability</w:t>
      </w:r>
      <w:r w:rsidRPr="00D36A61">
        <w:rPr>
          <w:rFonts w:ascii="Times New Roman" w:hAnsi="Times New Roman" w:cs="Times New Roman"/>
          <w:sz w:val="24"/>
          <w:szCs w:val="24"/>
        </w:rPr>
        <w:t>, grounded in economic stability. These findings highlight the need to control for asset positions when modeling causal effects of loan utilization, as asset ownership influences both access to credit and the manner in which credit is deployed.</w:t>
      </w:r>
    </w:p>
    <w:p w14:paraId="709834C8" w14:textId="7CA51CF3" w:rsidR="00450976" w:rsidRPr="00D36A61" w:rsidRDefault="00450976" w:rsidP="00D36A61">
      <w:pPr>
        <w:jc w:val="both"/>
        <w:rPr>
          <w:rFonts w:ascii="Times New Roman" w:hAnsi="Times New Roman" w:cs="Times New Roman"/>
          <w:sz w:val="24"/>
          <w:szCs w:val="24"/>
        </w:rPr>
      </w:pPr>
      <w:r w:rsidRPr="00D36A61">
        <w:rPr>
          <w:rStyle w:val="Strong"/>
          <w:rFonts w:ascii="Times New Roman" w:hAnsi="Times New Roman" w:cs="Times New Roman"/>
          <w:b w:val="0"/>
          <w:bCs w:val="0"/>
          <w:i/>
          <w:sz w:val="24"/>
          <w:szCs w:val="24"/>
        </w:rPr>
        <w:t>Employment Status and Loan Utilization (H5)</w:t>
      </w:r>
      <w:r w:rsidR="00710BFB" w:rsidRPr="00D36A61">
        <w:rPr>
          <w:rStyle w:val="Strong"/>
          <w:rFonts w:ascii="Times New Roman" w:hAnsi="Times New Roman" w:cs="Times New Roman"/>
          <w:b w:val="0"/>
          <w:bCs w:val="0"/>
          <w:i/>
          <w:sz w:val="24"/>
          <w:szCs w:val="24"/>
        </w:rPr>
        <w:t>:</w:t>
      </w:r>
      <w:r w:rsidR="00710BFB" w:rsidRPr="00D36A61">
        <w:rPr>
          <w:rStyle w:val="Strong"/>
          <w:rFonts w:ascii="Times New Roman" w:hAnsi="Times New Roman" w:cs="Times New Roman"/>
          <w:b w:val="0"/>
          <w:bCs w:val="0"/>
          <w:sz w:val="24"/>
          <w:szCs w:val="24"/>
        </w:rPr>
        <w:t xml:space="preserve"> </w:t>
      </w:r>
      <w:r w:rsidRPr="00D36A61">
        <w:rPr>
          <w:rFonts w:ascii="Times New Roman" w:hAnsi="Times New Roman" w:cs="Times New Roman"/>
          <w:sz w:val="24"/>
          <w:szCs w:val="24"/>
        </w:rPr>
        <w:t xml:space="preserve">The negative correlation between employment status and productive loan utilization presents an interesting dynamic. If employment status is coded such that “employed” households exhibit lower utilization of productive loans, this may indicate that formally employed individuals rely less on credit due to stable income, or they may access alternative financial instruments such as employer-linked loans or savings schemes. Conversely, irregularly employed or unemployed households may avoid formal borrowing due to insufficient collateral or repayment capacity. This dual interpretation aligns with Financial Capability Theory, where employment influences both the </w:t>
      </w:r>
      <w:r w:rsidRPr="00D36A61">
        <w:rPr>
          <w:rStyle w:val="Strong"/>
          <w:rFonts w:ascii="Times New Roman" w:hAnsi="Times New Roman" w:cs="Times New Roman"/>
          <w:b w:val="0"/>
          <w:sz w:val="24"/>
          <w:szCs w:val="24"/>
        </w:rPr>
        <w:t>ability</w:t>
      </w:r>
      <w:r w:rsidRPr="00D36A61">
        <w:rPr>
          <w:rFonts w:ascii="Times New Roman" w:hAnsi="Times New Roman" w:cs="Times New Roman"/>
          <w:sz w:val="24"/>
          <w:szCs w:val="24"/>
        </w:rPr>
        <w:t xml:space="preserve"> to manage credit (through income stability) and the </w:t>
      </w:r>
      <w:r w:rsidRPr="00D36A61">
        <w:rPr>
          <w:rStyle w:val="Strong"/>
          <w:rFonts w:ascii="Times New Roman" w:hAnsi="Times New Roman" w:cs="Times New Roman"/>
          <w:b w:val="0"/>
          <w:sz w:val="24"/>
          <w:szCs w:val="24"/>
        </w:rPr>
        <w:t>opportunity</w:t>
      </w:r>
      <w:r w:rsidRPr="00D36A61">
        <w:rPr>
          <w:rFonts w:ascii="Times New Roman" w:hAnsi="Times New Roman" w:cs="Times New Roman"/>
          <w:sz w:val="24"/>
          <w:szCs w:val="24"/>
        </w:rPr>
        <w:t xml:space="preserve"> to access diverse financial products.</w:t>
      </w:r>
    </w:p>
    <w:p w14:paraId="1A2DE2A1" w14:textId="77777777" w:rsidR="00450976" w:rsidRDefault="00450976" w:rsidP="00AF64D8">
      <w:pPr>
        <w:pStyle w:val="NormalWeb"/>
        <w:jc w:val="both"/>
      </w:pPr>
      <w:r>
        <w:t>Overall, the discussion highlights how financial capability—expressed through knowledge, access, and socio-economic resources—shapes household borrowing behavior and repayment outcomes. The interplay between formal and informal financial mechanisms, socio-economic characteristics, and capability dimensions offers important policy implications for designing interventions that promote productive borrowing, reduce default risk, and strengthen household financial resilience.</w:t>
      </w:r>
    </w:p>
    <w:p w14:paraId="3BE9B79B" w14:textId="6C4F71D0" w:rsidR="00FE3513" w:rsidRPr="0026709C" w:rsidRDefault="00797A1B" w:rsidP="00410DEC">
      <w:pPr>
        <w:pStyle w:val="Heading1"/>
        <w:spacing w:line="240" w:lineRule="auto"/>
        <w:rPr>
          <w:rFonts w:ascii="Times New Roman" w:hAnsi="Times New Roman" w:cs="Times New Roman"/>
          <w:sz w:val="24"/>
          <w:szCs w:val="24"/>
        </w:rPr>
      </w:pPr>
      <w:r w:rsidRPr="0026709C">
        <w:rPr>
          <w:rFonts w:ascii="Times New Roman" w:hAnsi="Times New Roman" w:cs="Times New Roman"/>
          <w:sz w:val="24"/>
          <w:szCs w:val="24"/>
        </w:rPr>
        <w:t xml:space="preserve"> </w:t>
      </w:r>
      <w:r w:rsidR="00EF6D43" w:rsidRPr="0026709C">
        <w:rPr>
          <w:rFonts w:ascii="Times New Roman" w:hAnsi="Times New Roman" w:cs="Times New Roman"/>
          <w:sz w:val="24"/>
          <w:szCs w:val="24"/>
        </w:rPr>
        <w:t xml:space="preserve">6.0 </w:t>
      </w:r>
      <w:r w:rsidR="00FE3513" w:rsidRPr="0026709C">
        <w:rPr>
          <w:rFonts w:ascii="Times New Roman" w:hAnsi="Times New Roman" w:cs="Times New Roman"/>
          <w:sz w:val="24"/>
          <w:szCs w:val="24"/>
        </w:rPr>
        <w:t>Conclusion</w:t>
      </w:r>
      <w:r w:rsidR="004D4B7B">
        <w:rPr>
          <w:rFonts w:ascii="Times New Roman" w:hAnsi="Times New Roman" w:cs="Times New Roman"/>
          <w:sz w:val="24"/>
          <w:szCs w:val="24"/>
        </w:rPr>
        <w:t>, Limitations and future research</w:t>
      </w:r>
    </w:p>
    <w:p w14:paraId="10359778" w14:textId="77777777" w:rsidR="004D4B7B" w:rsidRPr="0026709C" w:rsidRDefault="004D4B7B" w:rsidP="00410DEC">
      <w:pPr>
        <w:pStyle w:val="Heading2"/>
        <w:spacing w:line="240" w:lineRule="auto"/>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6.1 Conclusion</w:t>
      </w:r>
    </w:p>
    <w:p w14:paraId="7300881E" w14:textId="77777777" w:rsidR="00FE3513" w:rsidRPr="00AE154B" w:rsidRDefault="00FE3513" w:rsidP="00410DEC">
      <w:pPr>
        <w:spacing w:before="100" w:beforeAutospacing="1" w:after="100" w:afterAutospacing="1" w:line="240" w:lineRule="auto"/>
        <w:jc w:val="both"/>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 xml:space="preserve">Overall, the study underscores that </w:t>
      </w:r>
      <w:r w:rsidRPr="00AE154B">
        <w:rPr>
          <w:rFonts w:ascii="Times New Roman" w:eastAsia="Times New Roman" w:hAnsi="Times New Roman" w:cs="Times New Roman"/>
          <w:bCs/>
          <w:sz w:val="24"/>
          <w:szCs w:val="24"/>
        </w:rPr>
        <w:t>productive loan utilization—anchored in financial capability and inclusion—serves as a cornerstone of family financial resilience</w:t>
      </w:r>
      <w:r w:rsidR="00DE01FB" w:rsidRPr="00AE154B">
        <w:rPr>
          <w:rFonts w:ascii="Times New Roman" w:eastAsia="Times New Roman" w:hAnsi="Times New Roman" w:cs="Times New Roman"/>
          <w:bCs/>
          <w:sz w:val="24"/>
          <w:szCs w:val="24"/>
        </w:rPr>
        <w:t xml:space="preserve"> and loan repayment</w:t>
      </w:r>
      <w:r w:rsidRPr="00AE154B">
        <w:rPr>
          <w:rFonts w:ascii="Times New Roman" w:eastAsia="Times New Roman" w:hAnsi="Times New Roman" w:cs="Times New Roman"/>
          <w:sz w:val="24"/>
          <w:szCs w:val="24"/>
        </w:rPr>
        <w:t>. By promoting informed decision-making, stable income generation, and formal financial participation, households can minimize default risk and build sustainable financial well-being.</w:t>
      </w:r>
    </w:p>
    <w:p w14:paraId="7672E992" w14:textId="77777777" w:rsidR="0007592B" w:rsidRPr="00AE154B" w:rsidRDefault="00FE3513" w:rsidP="00410DEC">
      <w:pPr>
        <w:spacing w:line="240" w:lineRule="auto"/>
        <w:jc w:val="both"/>
        <w:rPr>
          <w:rFonts w:ascii="Times New Roman" w:hAnsi="Times New Roman" w:cs="Times New Roman"/>
          <w:sz w:val="24"/>
          <w:szCs w:val="24"/>
        </w:rPr>
      </w:pPr>
      <w:r w:rsidRPr="00AE154B">
        <w:rPr>
          <w:rFonts w:ascii="Times New Roman" w:hAnsi="Times New Roman" w:cs="Times New Roman"/>
          <w:bCs/>
          <w:sz w:val="24"/>
          <w:szCs w:val="24"/>
        </w:rPr>
        <w:lastRenderedPageBreak/>
        <w:t>Policy Implications</w:t>
      </w:r>
      <w:r w:rsidR="0007592B" w:rsidRPr="00AE154B">
        <w:rPr>
          <w:rFonts w:ascii="Times New Roman" w:hAnsi="Times New Roman" w:cs="Times New Roman"/>
          <w:bCs/>
          <w:sz w:val="24"/>
          <w:szCs w:val="24"/>
        </w:rPr>
        <w:t xml:space="preserve">: </w:t>
      </w:r>
      <w:r w:rsidRPr="00AE154B">
        <w:rPr>
          <w:rFonts w:ascii="Times New Roman" w:hAnsi="Times New Roman" w:cs="Times New Roman"/>
          <w:bCs/>
          <w:sz w:val="24"/>
          <w:szCs w:val="24"/>
        </w:rPr>
        <w:t>F</w:t>
      </w:r>
      <w:r w:rsidR="00525710" w:rsidRPr="00AE154B">
        <w:rPr>
          <w:rFonts w:ascii="Times New Roman" w:hAnsi="Times New Roman" w:cs="Times New Roman"/>
          <w:bCs/>
          <w:sz w:val="24"/>
          <w:szCs w:val="24"/>
        </w:rPr>
        <w:t>inancial capability development</w:t>
      </w:r>
      <w:r w:rsidR="00525710" w:rsidRPr="00AE154B">
        <w:rPr>
          <w:rFonts w:ascii="Times New Roman" w:eastAsia="Times New Roman" w:hAnsi="Times New Roman" w:cs="Times New Roman"/>
          <w:sz w:val="24"/>
          <w:szCs w:val="24"/>
        </w:rPr>
        <w:t>—</w:t>
      </w:r>
      <w:r w:rsidRPr="00AE154B">
        <w:rPr>
          <w:rFonts w:ascii="Times New Roman" w:hAnsi="Times New Roman" w:cs="Times New Roman"/>
          <w:sz w:val="24"/>
          <w:szCs w:val="24"/>
        </w:rPr>
        <w:t>Policymakers should embed financial education and behavioral interventions into community-based programs to enhance informed borrowing and responsible utilization.</w:t>
      </w:r>
      <w:r w:rsidR="0007592B" w:rsidRPr="00AE154B">
        <w:rPr>
          <w:rFonts w:ascii="Times New Roman" w:hAnsi="Times New Roman" w:cs="Times New Roman"/>
          <w:sz w:val="24"/>
          <w:szCs w:val="24"/>
        </w:rPr>
        <w:t xml:space="preserve"> </w:t>
      </w:r>
      <w:r w:rsidRPr="00AE154B">
        <w:rPr>
          <w:rFonts w:ascii="Times New Roman" w:hAnsi="Times New Roman" w:cs="Times New Roman"/>
          <w:bCs/>
          <w:sz w:val="24"/>
          <w:szCs w:val="24"/>
        </w:rPr>
        <w:t>Strengthening financial resilience:</w:t>
      </w:r>
      <w:r w:rsidRPr="00AE154B">
        <w:rPr>
          <w:rFonts w:ascii="Times New Roman" w:hAnsi="Times New Roman" w:cs="Times New Roman"/>
          <w:sz w:val="24"/>
          <w:szCs w:val="24"/>
        </w:rPr>
        <w:t xml:space="preserve"> Programs promoting savings, insurance, and investment among low-income households can reduce dependence on informal credit and enhance repayment capacity.</w:t>
      </w:r>
      <w:r w:rsidR="002C33DE" w:rsidRPr="00AE154B">
        <w:rPr>
          <w:rFonts w:ascii="Times New Roman" w:hAnsi="Times New Roman" w:cs="Times New Roman"/>
          <w:sz w:val="24"/>
          <w:szCs w:val="24"/>
        </w:rPr>
        <w:t xml:space="preserve"> </w:t>
      </w:r>
      <w:r w:rsidRPr="00AE154B">
        <w:rPr>
          <w:rFonts w:ascii="Times New Roman" w:hAnsi="Times New Roman" w:cs="Times New Roman"/>
          <w:bCs/>
          <w:sz w:val="24"/>
          <w:szCs w:val="24"/>
        </w:rPr>
        <w:t>Inclusive finance infrastructure:</w:t>
      </w:r>
      <w:r w:rsidRPr="00AE154B">
        <w:rPr>
          <w:rFonts w:ascii="Times New Roman" w:hAnsi="Times New Roman" w:cs="Times New Roman"/>
          <w:sz w:val="24"/>
          <w:szCs w:val="24"/>
        </w:rPr>
        <w:t xml:space="preserve"> Expanding access to formal banking and digital finance platforms will increase the reach of productive credit and reduce vulnerability to loan misuse.</w:t>
      </w:r>
      <w:r w:rsidR="008E608D">
        <w:rPr>
          <w:rFonts w:ascii="Times New Roman" w:hAnsi="Times New Roman" w:cs="Times New Roman"/>
          <w:sz w:val="24"/>
          <w:szCs w:val="24"/>
        </w:rPr>
        <w:t xml:space="preserve"> Besides </w:t>
      </w:r>
      <w:r w:rsidR="008E608D">
        <w:rPr>
          <w:rFonts w:ascii="Times New Roman" w:hAnsi="Times New Roman" w:cs="Times New Roman"/>
          <w:sz w:val="24"/>
          <w:szCs w:val="24"/>
        </w:rPr>
        <w:fldChar w:fldCharType="begin" w:fldLock="1"/>
      </w:r>
      <w:r w:rsidR="00445F6D">
        <w:rPr>
          <w:rFonts w:ascii="Times New Roman" w:hAnsi="Times New Roman" w:cs="Times New Roman"/>
          <w:sz w:val="24"/>
          <w:szCs w:val="24"/>
        </w:rPr>
        <w:instrText>ADDIN CSL_CITATION {"citationItems":[{"id":"ITEM-1","itemData":{"DOI":"10.1016/j.frl.2021.102604","ISSN":"1544-6123","author":[{"dropping-particle":"","family":"Yue","given":"Pengpeng","non-dropping-particle":"","parse-names":false,"suffix":""},{"dropping-particle":"","family":"Gizem","given":"Aslihan","non-dropping-particle":"","parse-names":false,"suffix":""},{"dropping-particle":"","family":"Yin","given":"Zhichao","non-dropping-particle":"","parse-names":false,"suffix":""},{"dropping-particle":"","family":"Zhou","given":"Haigang","non-dropping-particle":"","parse-names":false,"suffix":""}],"container-title":"Finance Research Letters","id":"ITEM-1","issue":"November","issued":{"date-parts":[["2021"]]},"page":"102604","publisher":"Elsevier Inc.","title":"The rise of digital finance : Financial inclusion or debt trap ?","type":"article-journal"},"uris":["http://www.mendeley.com/documents/?uuid=d26158db-38de-4f63-8082-c1e8b3a8c22c"]},{"id":"ITEM-2","itemData":{"author":[{"dropping-particle":"","family":"Agu","given":"Edith Ebele","non-dropping-particle":"","parse-names":false,"suffix":""},{"dropping-particle":"","family":"Abhulimen","given":"Angela Omozele","non-dropping-particle":"","parse-names":false,"suffix":""},{"dropping-particle":"","family":"Obiki-osafiele","given":"Anwuli Nkemchor","non-dropping-particle":"","parse-names":false,"suffix":""},{"dropping-particle":"","family":"Osundare","given":"Olajide Soji","non-dropping-particle":"","parse-names":false,"suffix":""},{"dropping-particle":"","family":"Adeniran","given":"Ibrahim Adedeji","non-dropping-particle":"","parse-names":false,"suffix":""},{"dropping-particle":"","family":"Efunniyi","given":"Christianah Pelumi","non-dropping-particle":"","parse-names":false,"suffix":""}],"id":"ITEM-2","issued":{"date-parts":[["2024"]]},"title":"Utilizing AI-driven predictive analytics to reduce credit risk and enhance financial inclusion","type":"article-journal"},"uris":["http://www.mendeley.com/documents/?uuid=d443c9d7-81a9-4402-9123-36f1b76e1a91"]}],"mendeley":{"formattedCitation":"(Agu et al., 2024; Yue et al., 2021)","plainTextFormattedCitation":"(Agu et al., 2024; Yue et al., 2021)","previouslyFormattedCitation":"(Agu et al., 2024; Yue et al., 2021)"},"properties":{"noteIndex":0},"schema":"https://github.com/citation-style-language/schema/raw/master/csl-citation.json"}</w:instrText>
      </w:r>
      <w:r w:rsidR="008E608D">
        <w:rPr>
          <w:rFonts w:ascii="Times New Roman" w:hAnsi="Times New Roman" w:cs="Times New Roman"/>
          <w:sz w:val="24"/>
          <w:szCs w:val="24"/>
        </w:rPr>
        <w:fldChar w:fldCharType="separate"/>
      </w:r>
      <w:r w:rsidR="009B0AAB" w:rsidRPr="009B0AAB">
        <w:rPr>
          <w:rFonts w:ascii="Times New Roman" w:hAnsi="Times New Roman" w:cs="Times New Roman"/>
          <w:noProof/>
          <w:sz w:val="24"/>
          <w:szCs w:val="24"/>
        </w:rPr>
        <w:t>(Agu et al., 2024; Yue et al., 2021)</w:t>
      </w:r>
      <w:r w:rsidR="008E608D">
        <w:rPr>
          <w:rFonts w:ascii="Times New Roman" w:hAnsi="Times New Roman" w:cs="Times New Roman"/>
          <w:sz w:val="24"/>
          <w:szCs w:val="24"/>
        </w:rPr>
        <w:fldChar w:fldCharType="end"/>
      </w:r>
      <w:r w:rsidR="008E608D">
        <w:rPr>
          <w:rFonts w:ascii="Times New Roman" w:hAnsi="Times New Roman" w:cs="Times New Roman"/>
          <w:sz w:val="24"/>
          <w:szCs w:val="24"/>
        </w:rPr>
        <w:t xml:space="preserve"> identify information technology a strong tool for </w:t>
      </w:r>
      <w:r w:rsidR="009B0AAB">
        <w:rPr>
          <w:rFonts w:ascii="Times New Roman" w:hAnsi="Times New Roman" w:cs="Times New Roman"/>
          <w:sz w:val="24"/>
          <w:szCs w:val="24"/>
        </w:rPr>
        <w:t xml:space="preserve">effective </w:t>
      </w:r>
      <w:r w:rsidR="008E608D">
        <w:rPr>
          <w:rFonts w:ascii="Times New Roman" w:hAnsi="Times New Roman" w:cs="Times New Roman"/>
          <w:sz w:val="24"/>
          <w:szCs w:val="24"/>
        </w:rPr>
        <w:t>financial inclusion</w:t>
      </w:r>
      <w:r w:rsidR="009B0AAB">
        <w:rPr>
          <w:rFonts w:ascii="Times New Roman" w:hAnsi="Times New Roman" w:cs="Times New Roman"/>
          <w:sz w:val="24"/>
          <w:szCs w:val="24"/>
        </w:rPr>
        <w:t xml:space="preserve"> and risk mitigation</w:t>
      </w:r>
      <w:r w:rsidR="008E608D">
        <w:rPr>
          <w:rFonts w:ascii="Times New Roman" w:hAnsi="Times New Roman" w:cs="Times New Roman"/>
          <w:sz w:val="24"/>
          <w:szCs w:val="24"/>
        </w:rPr>
        <w:t xml:space="preserve">. </w:t>
      </w:r>
    </w:p>
    <w:p w14:paraId="31777DDA" w14:textId="77777777" w:rsidR="00FE3513" w:rsidRDefault="00FE3513" w:rsidP="00410DEC">
      <w:pPr>
        <w:spacing w:line="240" w:lineRule="auto"/>
        <w:jc w:val="both"/>
        <w:rPr>
          <w:rFonts w:ascii="Times New Roman" w:hAnsi="Times New Roman" w:cs="Times New Roman"/>
          <w:sz w:val="24"/>
          <w:szCs w:val="24"/>
        </w:rPr>
      </w:pPr>
      <w:r w:rsidRPr="00AE154B">
        <w:rPr>
          <w:rFonts w:ascii="Times New Roman" w:hAnsi="Times New Roman" w:cs="Times New Roman"/>
          <w:bCs/>
          <w:sz w:val="24"/>
          <w:szCs w:val="24"/>
        </w:rPr>
        <w:t>Theoretical Implications</w:t>
      </w:r>
      <w:r w:rsidR="0007592B" w:rsidRPr="00AE154B">
        <w:rPr>
          <w:rFonts w:ascii="Times New Roman" w:hAnsi="Times New Roman" w:cs="Times New Roman"/>
          <w:bCs/>
          <w:sz w:val="24"/>
          <w:szCs w:val="24"/>
        </w:rPr>
        <w:t xml:space="preserve">: </w:t>
      </w:r>
      <w:r w:rsidRPr="00AE154B">
        <w:rPr>
          <w:rFonts w:ascii="Times New Roman" w:hAnsi="Times New Roman" w:cs="Times New Roman"/>
          <w:sz w:val="24"/>
          <w:szCs w:val="24"/>
        </w:rPr>
        <w:t xml:space="preserve">The results validate </w:t>
      </w:r>
      <w:r w:rsidRPr="00AE154B">
        <w:rPr>
          <w:rFonts w:ascii="Times New Roman" w:hAnsi="Times New Roman" w:cs="Times New Roman"/>
          <w:bCs/>
          <w:sz w:val="24"/>
          <w:szCs w:val="24"/>
        </w:rPr>
        <w:t>Financial Capability Theory</w:t>
      </w:r>
      <w:r w:rsidRPr="00AE154B">
        <w:rPr>
          <w:rFonts w:ascii="Times New Roman" w:hAnsi="Times New Roman" w:cs="Times New Roman"/>
          <w:sz w:val="24"/>
          <w:szCs w:val="24"/>
        </w:rPr>
        <w:t>, showing that informed and confident borrowers achieve better repayment outcomes and enhanced resilience.</w:t>
      </w:r>
      <w:r w:rsidR="0007592B" w:rsidRPr="00AE154B">
        <w:rPr>
          <w:rFonts w:ascii="Times New Roman" w:hAnsi="Times New Roman" w:cs="Times New Roman"/>
          <w:sz w:val="24"/>
          <w:szCs w:val="24"/>
        </w:rPr>
        <w:t xml:space="preserve"> </w:t>
      </w:r>
      <w:r w:rsidRPr="00AE154B">
        <w:rPr>
          <w:rFonts w:ascii="Times New Roman" w:hAnsi="Times New Roman" w:cs="Times New Roman"/>
          <w:sz w:val="24"/>
          <w:szCs w:val="24"/>
        </w:rPr>
        <w:t xml:space="preserve">The findings also extend the </w:t>
      </w:r>
      <w:r w:rsidRPr="00AE154B">
        <w:rPr>
          <w:rFonts w:ascii="Times New Roman" w:hAnsi="Times New Roman" w:cs="Times New Roman"/>
          <w:bCs/>
          <w:sz w:val="24"/>
          <w:szCs w:val="24"/>
        </w:rPr>
        <w:t>Family Financial Resilience</w:t>
      </w:r>
      <w:r w:rsidRPr="00AE154B">
        <w:rPr>
          <w:rFonts w:ascii="Times New Roman" w:hAnsi="Times New Roman" w:cs="Times New Roman"/>
          <w:sz w:val="24"/>
          <w:szCs w:val="24"/>
        </w:rPr>
        <w:t xml:space="preserve"> model, demonstrating that credit utilization is not merely a financial act but a resilience-building process mediated by knowledge, access, and social capital.</w:t>
      </w:r>
      <w:r w:rsidR="0007592B" w:rsidRPr="00AE154B">
        <w:rPr>
          <w:rFonts w:ascii="Times New Roman" w:hAnsi="Times New Roman" w:cs="Times New Roman"/>
          <w:sz w:val="24"/>
          <w:szCs w:val="24"/>
        </w:rPr>
        <w:t xml:space="preserve"> </w:t>
      </w:r>
    </w:p>
    <w:p w14:paraId="5023D8C1" w14:textId="77777777" w:rsidR="004D4B7B" w:rsidRPr="0026709C" w:rsidRDefault="004D4B7B" w:rsidP="00410DEC">
      <w:pPr>
        <w:pStyle w:val="Heading2"/>
        <w:spacing w:line="240" w:lineRule="auto"/>
        <w:rPr>
          <w:rFonts w:ascii="Times New Roman" w:hAnsi="Times New Roman" w:cs="Times New Roman"/>
          <w:sz w:val="24"/>
          <w:szCs w:val="24"/>
        </w:rPr>
      </w:pPr>
      <w:r w:rsidRPr="0026709C">
        <w:rPr>
          <w:rFonts w:ascii="Times New Roman" w:hAnsi="Times New Roman" w:cs="Times New Roman"/>
          <w:sz w:val="24"/>
          <w:szCs w:val="24"/>
        </w:rPr>
        <w:t>6.2 Limitations and future research</w:t>
      </w:r>
    </w:p>
    <w:p w14:paraId="0A3F45AC" w14:textId="6601C519" w:rsidR="004D4B7B" w:rsidRDefault="004D4B7B" w:rsidP="00410DEC">
      <w:pPr>
        <w:autoSpaceDE w:val="0"/>
        <w:autoSpaceDN w:val="0"/>
        <w:adjustRightInd w:val="0"/>
        <w:spacing w:after="0" w:line="240" w:lineRule="auto"/>
        <w:jc w:val="both"/>
        <w:rPr>
          <w:rFonts w:ascii="Times New Roman" w:hAnsi="Times New Roman" w:cs="Times New Roman"/>
          <w:sz w:val="24"/>
          <w:szCs w:val="24"/>
        </w:rPr>
      </w:pPr>
      <w:r w:rsidRPr="00277ED6">
        <w:rPr>
          <w:rFonts w:ascii="Times New Roman" w:hAnsi="Times New Roman" w:cs="Times New Roman"/>
          <w:sz w:val="24"/>
          <w:szCs w:val="24"/>
        </w:rPr>
        <w:t xml:space="preserve">This study has several limitations which may be considered together with its contributions. First, pairwise correlations and marginal effects are suggestive but not definitive causal estimates. Where possible, future studies may exploit exogenous variation (instrumental variables, randomized disbursement methods, or natural experiments) to identify other causal impacts loan utilization </w:t>
      </w:r>
      <w:r w:rsidR="00F94976" w:rsidRPr="00277ED6">
        <w:rPr>
          <w:rFonts w:ascii="Times New Roman" w:hAnsi="Times New Roman" w:cs="Times New Roman"/>
          <w:sz w:val="24"/>
          <w:szCs w:val="24"/>
        </w:rPr>
        <w:t>and</w:t>
      </w:r>
      <w:r w:rsidRPr="00277ED6">
        <w:rPr>
          <w:rFonts w:ascii="Times New Roman" w:hAnsi="Times New Roman" w:cs="Times New Roman"/>
          <w:sz w:val="24"/>
          <w:szCs w:val="24"/>
        </w:rPr>
        <w:t xml:space="preserve"> repayment. Secondly, further exploration of heterogeneity by gender, location, </w:t>
      </w:r>
      <w:r w:rsidR="00B6427E" w:rsidRPr="00277ED6">
        <w:rPr>
          <w:rFonts w:ascii="Times New Roman" w:hAnsi="Times New Roman" w:cs="Times New Roman"/>
          <w:sz w:val="24"/>
          <w:szCs w:val="24"/>
        </w:rPr>
        <w:t>etc.</w:t>
      </w:r>
      <w:r w:rsidRPr="00277ED6">
        <w:rPr>
          <w:rFonts w:ascii="Times New Roman" w:hAnsi="Times New Roman" w:cs="Times New Roman"/>
          <w:sz w:val="24"/>
          <w:szCs w:val="24"/>
        </w:rPr>
        <w:t xml:space="preserve"> may provide deeper insights. Thirdly the negative association of social networks with productive use calls for an expanded set of measures to include aspects like obligations, remittance flows, norms about sharing, and network position etc.</w:t>
      </w:r>
    </w:p>
    <w:p w14:paraId="6CF3408C" w14:textId="77777777" w:rsidR="008346C1" w:rsidRPr="00277ED6" w:rsidRDefault="008346C1" w:rsidP="00410DEC">
      <w:pPr>
        <w:autoSpaceDE w:val="0"/>
        <w:autoSpaceDN w:val="0"/>
        <w:adjustRightInd w:val="0"/>
        <w:spacing w:after="0" w:line="240" w:lineRule="auto"/>
        <w:jc w:val="both"/>
        <w:rPr>
          <w:rFonts w:ascii="Times New Roman" w:hAnsi="Times New Roman" w:cs="Times New Roman"/>
          <w:sz w:val="24"/>
          <w:szCs w:val="24"/>
        </w:rPr>
      </w:pPr>
    </w:p>
    <w:p w14:paraId="6E9F3F8E" w14:textId="77777777" w:rsidR="008346C1" w:rsidRDefault="008346C1" w:rsidP="004D4B7B">
      <w:pPr>
        <w:autoSpaceDE w:val="0"/>
        <w:autoSpaceDN w:val="0"/>
        <w:adjustRightInd w:val="0"/>
        <w:spacing w:after="0" w:line="360" w:lineRule="auto"/>
        <w:jc w:val="both"/>
        <w:rPr>
          <w:rFonts w:ascii="Times New Roman" w:hAnsi="Times New Roman" w:cs="Times New Roman"/>
          <w:b/>
          <w:bCs/>
          <w:sz w:val="24"/>
          <w:szCs w:val="24"/>
        </w:rPr>
      </w:pPr>
      <w:r w:rsidRPr="008346C1">
        <w:rPr>
          <w:rFonts w:ascii="Times New Roman" w:hAnsi="Times New Roman" w:cs="Times New Roman"/>
          <w:b/>
          <w:bCs/>
          <w:sz w:val="24"/>
          <w:szCs w:val="24"/>
        </w:rPr>
        <w:t>Disclaimer (Artificial intelligence)</w:t>
      </w:r>
      <w:r>
        <w:rPr>
          <w:rFonts w:ascii="Times New Roman" w:hAnsi="Times New Roman" w:cs="Times New Roman"/>
          <w:b/>
          <w:bCs/>
          <w:sz w:val="24"/>
          <w:szCs w:val="24"/>
        </w:rPr>
        <w:t xml:space="preserve">: </w:t>
      </w:r>
    </w:p>
    <w:p w14:paraId="21BA0EE0" w14:textId="6BE9423E" w:rsidR="004D4B7B" w:rsidRPr="00277ED6" w:rsidRDefault="004D4B7B" w:rsidP="004D4B7B">
      <w:pPr>
        <w:autoSpaceDE w:val="0"/>
        <w:autoSpaceDN w:val="0"/>
        <w:adjustRightInd w:val="0"/>
        <w:spacing w:after="0" w:line="360" w:lineRule="auto"/>
        <w:jc w:val="both"/>
        <w:rPr>
          <w:rFonts w:ascii="Times New Roman" w:hAnsi="Times New Roman" w:cs="Times New Roman"/>
          <w:sz w:val="24"/>
          <w:szCs w:val="24"/>
        </w:rPr>
      </w:pPr>
      <w:r w:rsidRPr="00277ED6">
        <w:rPr>
          <w:rFonts w:ascii="Times New Roman" w:hAnsi="Times New Roman" w:cs="Times New Roman"/>
          <w:sz w:val="24"/>
          <w:szCs w:val="24"/>
        </w:rPr>
        <w:t>AI powered language editing software was used to edit, format and improve the language of the manuscript during preparation. No generated AI input, datasets and analysis were used. The responsibility of the work’s originality and integrity lies entirely with the authors.</w:t>
      </w:r>
    </w:p>
    <w:p w14:paraId="79D971C7" w14:textId="77777777" w:rsidR="00B92641" w:rsidRDefault="00B92641" w:rsidP="002E7B50">
      <w:pPr>
        <w:spacing w:line="360" w:lineRule="auto"/>
        <w:jc w:val="both"/>
        <w:rPr>
          <w:rFonts w:ascii="Times New Roman" w:hAnsi="Times New Roman" w:cs="Times New Roman"/>
          <w:sz w:val="24"/>
          <w:szCs w:val="24"/>
        </w:rPr>
      </w:pPr>
    </w:p>
    <w:p w14:paraId="25EEC74C" w14:textId="77777777" w:rsidR="00410DEC" w:rsidRDefault="00410DEC" w:rsidP="002E7B50">
      <w:pPr>
        <w:spacing w:line="360" w:lineRule="auto"/>
        <w:jc w:val="both"/>
        <w:rPr>
          <w:rFonts w:ascii="Times New Roman" w:hAnsi="Times New Roman" w:cs="Times New Roman"/>
          <w:sz w:val="24"/>
          <w:szCs w:val="24"/>
        </w:rPr>
      </w:pPr>
    </w:p>
    <w:p w14:paraId="54606694" w14:textId="176E0B47" w:rsidR="00410DEC" w:rsidRDefault="00410DEC" w:rsidP="002E7B50">
      <w:pPr>
        <w:spacing w:line="360" w:lineRule="auto"/>
        <w:jc w:val="both"/>
        <w:rPr>
          <w:rFonts w:ascii="Times New Roman" w:hAnsi="Times New Roman" w:cs="Times New Roman"/>
          <w:sz w:val="24"/>
          <w:szCs w:val="24"/>
        </w:rPr>
      </w:pPr>
    </w:p>
    <w:p w14:paraId="73B35E0F" w14:textId="17C18602" w:rsidR="003F5F35" w:rsidRDefault="003F5F35" w:rsidP="002E7B50">
      <w:pPr>
        <w:spacing w:line="360" w:lineRule="auto"/>
        <w:jc w:val="both"/>
        <w:rPr>
          <w:rFonts w:ascii="Times New Roman" w:hAnsi="Times New Roman" w:cs="Times New Roman"/>
          <w:sz w:val="24"/>
          <w:szCs w:val="24"/>
        </w:rPr>
      </w:pPr>
    </w:p>
    <w:p w14:paraId="763EC341" w14:textId="7FCA5248" w:rsidR="003F5F35" w:rsidRDefault="003F5F35" w:rsidP="002E7B50">
      <w:pPr>
        <w:spacing w:line="360" w:lineRule="auto"/>
        <w:jc w:val="both"/>
        <w:rPr>
          <w:rFonts w:ascii="Times New Roman" w:hAnsi="Times New Roman" w:cs="Times New Roman"/>
          <w:sz w:val="24"/>
          <w:szCs w:val="24"/>
        </w:rPr>
      </w:pPr>
    </w:p>
    <w:p w14:paraId="0FC38334" w14:textId="0D3977B0" w:rsidR="003F5F35" w:rsidRDefault="003F5F35" w:rsidP="002E7B50">
      <w:pPr>
        <w:spacing w:line="360" w:lineRule="auto"/>
        <w:jc w:val="both"/>
        <w:rPr>
          <w:rFonts w:ascii="Times New Roman" w:hAnsi="Times New Roman" w:cs="Times New Roman"/>
          <w:sz w:val="24"/>
          <w:szCs w:val="24"/>
        </w:rPr>
      </w:pPr>
    </w:p>
    <w:p w14:paraId="114C2FE8" w14:textId="77777777" w:rsidR="005C27E2" w:rsidRPr="00AE154B" w:rsidRDefault="005F026D" w:rsidP="001A3851">
      <w:pPr>
        <w:spacing w:line="240" w:lineRule="auto"/>
        <w:rPr>
          <w:rFonts w:ascii="Times New Roman" w:hAnsi="Times New Roman" w:cs="Times New Roman"/>
          <w:b/>
        </w:rPr>
      </w:pPr>
      <w:r w:rsidRPr="00AE154B">
        <w:rPr>
          <w:rFonts w:ascii="Times New Roman" w:hAnsi="Times New Roman" w:cs="Times New Roman"/>
          <w:b/>
        </w:rPr>
        <w:t xml:space="preserve">References </w:t>
      </w:r>
    </w:p>
    <w:bookmarkStart w:id="7" w:name="_Ref211436683"/>
    <w:p w14:paraId="32D69F97" w14:textId="77777777" w:rsidR="00FC2D24" w:rsidRPr="00FC2D24" w:rsidRDefault="005F026D"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AE154B">
        <w:rPr>
          <w:rFonts w:ascii="Times New Roman" w:hAnsi="Times New Roman" w:cs="Times New Roman"/>
        </w:rPr>
        <w:fldChar w:fldCharType="begin" w:fldLock="1"/>
      </w:r>
      <w:r w:rsidRPr="00AE154B">
        <w:rPr>
          <w:rFonts w:ascii="Times New Roman" w:hAnsi="Times New Roman" w:cs="Times New Roman"/>
        </w:rPr>
        <w:instrText xml:space="preserve">ADDIN Mendeley Bibliography CSL_BIBLIOGRAPHY </w:instrText>
      </w:r>
      <w:r w:rsidRPr="00AE154B">
        <w:rPr>
          <w:rFonts w:ascii="Times New Roman" w:hAnsi="Times New Roman" w:cs="Times New Roman"/>
        </w:rPr>
        <w:fldChar w:fldCharType="separate"/>
      </w:r>
      <w:r w:rsidR="00FC2D24" w:rsidRPr="00FC2D24">
        <w:rPr>
          <w:rFonts w:ascii="Times New Roman" w:hAnsi="Times New Roman" w:cs="Times New Roman"/>
          <w:noProof/>
          <w:szCs w:val="24"/>
        </w:rPr>
        <w:t xml:space="preserve">Adbi, A., Lee, M., &amp; Singh, J. (2024). Community influence on microfinance loan defaults under crisis conditions: Evidence from Indian demonetization. </w:t>
      </w:r>
      <w:r w:rsidR="00FC2D24" w:rsidRPr="00FC2D24">
        <w:rPr>
          <w:rFonts w:ascii="Times New Roman" w:hAnsi="Times New Roman" w:cs="Times New Roman"/>
          <w:i/>
          <w:iCs/>
          <w:noProof/>
          <w:szCs w:val="24"/>
        </w:rPr>
        <w:t>Strategic Management Journal</w:t>
      </w:r>
      <w:r w:rsidR="00FC2D24" w:rsidRPr="00FC2D24">
        <w:rPr>
          <w:rFonts w:ascii="Times New Roman" w:hAnsi="Times New Roman" w:cs="Times New Roman"/>
          <w:noProof/>
          <w:szCs w:val="24"/>
        </w:rPr>
        <w:t xml:space="preserve">, </w:t>
      </w:r>
      <w:r w:rsidR="00FC2D24" w:rsidRPr="00FC2D24">
        <w:rPr>
          <w:rFonts w:ascii="Times New Roman" w:hAnsi="Times New Roman" w:cs="Times New Roman"/>
          <w:i/>
          <w:iCs/>
          <w:noProof/>
          <w:szCs w:val="24"/>
        </w:rPr>
        <w:t>45</w:t>
      </w:r>
      <w:r w:rsidR="00FC2D24" w:rsidRPr="00FC2D24">
        <w:rPr>
          <w:rFonts w:ascii="Times New Roman" w:hAnsi="Times New Roman" w:cs="Times New Roman"/>
          <w:noProof/>
          <w:szCs w:val="24"/>
        </w:rPr>
        <w:t>(3), 535–563.</w:t>
      </w:r>
    </w:p>
    <w:p w14:paraId="6EB52231"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lastRenderedPageBreak/>
        <w:t xml:space="preserve">Agu, E. E., Abhulimen, A. O., Obiki-osafiele, A. N., Osundare, O. S., Adeniran, I. A., &amp; Efunniyi, C. P. (2024). </w:t>
      </w:r>
      <w:r w:rsidRPr="00FC2D24">
        <w:rPr>
          <w:rFonts w:ascii="Times New Roman" w:hAnsi="Times New Roman" w:cs="Times New Roman"/>
          <w:i/>
          <w:iCs/>
          <w:noProof/>
          <w:szCs w:val="24"/>
        </w:rPr>
        <w:t>Utilizing AI-driven predictive analytics to reduce credit risk and enhance financial inclusion</w:t>
      </w:r>
      <w:r w:rsidRPr="00FC2D24">
        <w:rPr>
          <w:rFonts w:ascii="Times New Roman" w:hAnsi="Times New Roman" w:cs="Times New Roman"/>
          <w:noProof/>
          <w:szCs w:val="24"/>
        </w:rPr>
        <w:t>.</w:t>
      </w:r>
    </w:p>
    <w:p w14:paraId="35EDB6CD" w14:textId="38D4C902" w:rsid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Ahamed, A. (2025). </w:t>
      </w:r>
      <w:r w:rsidRPr="00FC2D24">
        <w:rPr>
          <w:rFonts w:ascii="Times New Roman" w:hAnsi="Times New Roman" w:cs="Times New Roman"/>
          <w:i/>
          <w:iCs/>
          <w:noProof/>
          <w:szCs w:val="24"/>
        </w:rPr>
        <w:t>FINANCIAL LITERACY AFM Jalal Ahamed , Ph . D . Associate Professor School of Business , University of Skövde</w:t>
      </w:r>
      <w:r w:rsidRPr="00FC2D24">
        <w:rPr>
          <w:rFonts w:ascii="Times New Roman" w:hAnsi="Times New Roman" w:cs="Times New Roman"/>
          <w:noProof/>
          <w:szCs w:val="24"/>
        </w:rPr>
        <w:t>. https://doi.org/10.2139/ssrn.5084835</w:t>
      </w:r>
    </w:p>
    <w:p w14:paraId="7B8A99D4"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Ajzerle, S., Brimble, M., &amp; Freudenberg, B. (2013). Is financial capability related to the effective use of debt in Australia? </w:t>
      </w:r>
      <w:r w:rsidRPr="00FC2D24">
        <w:rPr>
          <w:rFonts w:ascii="Times New Roman" w:hAnsi="Times New Roman" w:cs="Times New Roman"/>
          <w:i/>
          <w:iCs/>
          <w:noProof/>
          <w:szCs w:val="24"/>
        </w:rPr>
        <w:t>Australasian Accounting, Business and Finance Journal</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7</w:t>
      </w:r>
      <w:r w:rsidRPr="00FC2D24">
        <w:rPr>
          <w:rFonts w:ascii="Times New Roman" w:hAnsi="Times New Roman" w:cs="Times New Roman"/>
          <w:noProof/>
          <w:szCs w:val="24"/>
        </w:rPr>
        <w:t>(3).</w:t>
      </w:r>
    </w:p>
    <w:p w14:paraId="0F3C6589"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Ameh, M., &amp; Lee, S. H. (2022). Determinants of Loan Acquisition and Utilization among Smallholder Rice Producers in Lagos State, Nigeria. </w:t>
      </w:r>
      <w:r w:rsidRPr="00FC2D24">
        <w:rPr>
          <w:rFonts w:ascii="Times New Roman" w:hAnsi="Times New Roman" w:cs="Times New Roman"/>
          <w:i/>
          <w:iCs/>
          <w:noProof/>
          <w:szCs w:val="24"/>
        </w:rPr>
        <w:t>Sustainability (Switzerland)</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14</w:t>
      </w:r>
      <w:r w:rsidRPr="00FC2D24">
        <w:rPr>
          <w:rFonts w:ascii="Times New Roman" w:hAnsi="Times New Roman" w:cs="Times New Roman"/>
          <w:noProof/>
          <w:szCs w:val="24"/>
        </w:rPr>
        <w:t>(7), 1–14. https://doi.org/10.3390/su14073900</w:t>
      </w:r>
    </w:p>
    <w:p w14:paraId="1B0FF4A4" w14:textId="03D63061" w:rsid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Asiseh, F., Ng’ombe, J. N., Quaicoe, O., Vorsah, R., &amp; Prah, S. (2025). Are Credit Doors Equally Open? Gender Perspectives on Agricultural Credit Access in Sub‐Saharan Africa. </w:t>
      </w:r>
      <w:r w:rsidRPr="00FC2D24">
        <w:rPr>
          <w:rFonts w:ascii="Times New Roman" w:hAnsi="Times New Roman" w:cs="Times New Roman"/>
          <w:i/>
          <w:iCs/>
          <w:noProof/>
          <w:szCs w:val="24"/>
        </w:rPr>
        <w:t>Review of Development Economics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29</w:t>
      </w:r>
      <w:r w:rsidRPr="00FC2D24">
        <w:rPr>
          <w:rFonts w:ascii="Times New Roman" w:hAnsi="Times New Roman" w:cs="Times New Roman"/>
          <w:noProof/>
          <w:szCs w:val="24"/>
        </w:rPr>
        <w:t>(3), 1597–1612.</w:t>
      </w:r>
    </w:p>
    <w:p w14:paraId="4B0A9E1A" w14:textId="3E7161D5" w:rsidR="00101509" w:rsidRPr="00FC2D24" w:rsidRDefault="00101509"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99311B">
        <w:rPr>
          <w:rFonts w:ascii="Times New Roman" w:hAnsi="Times New Roman" w:cs="Times New Roman"/>
          <w:bCs/>
          <w:noProof/>
          <w:szCs w:val="24"/>
        </w:rPr>
        <w:t xml:space="preserve">Atkinson, A., &amp; Messy, F.-A. (2012). </w:t>
      </w:r>
      <w:r w:rsidRPr="0099311B">
        <w:rPr>
          <w:rFonts w:ascii="Times New Roman" w:hAnsi="Times New Roman" w:cs="Times New Roman"/>
          <w:i/>
          <w:iCs/>
          <w:noProof/>
          <w:szCs w:val="24"/>
        </w:rPr>
        <w:t>Measuring financial literacy: Results of the OECD / International Network on Financial Education (INFE) Pilot Study.</w:t>
      </w:r>
      <w:r w:rsidRPr="0099311B">
        <w:rPr>
          <w:rFonts w:ascii="Times New Roman" w:hAnsi="Times New Roman" w:cs="Times New Roman"/>
          <w:noProof/>
          <w:szCs w:val="24"/>
        </w:rPr>
        <w:t xml:space="preserve"> OECD Working Papers on Finance, Insurance and Private Pensions, No. 15, OECD Publishing.</w:t>
      </w:r>
      <w:r>
        <w:rPr>
          <w:rFonts w:ascii="Times New Roman" w:hAnsi="Times New Roman" w:cs="Times New Roman"/>
          <w:noProof/>
          <w:szCs w:val="24"/>
        </w:rPr>
        <w:t xml:space="preserve"> </w:t>
      </w:r>
      <w:r w:rsidRPr="0099311B">
        <w:rPr>
          <w:rFonts w:ascii="Times New Roman" w:hAnsi="Times New Roman" w:cs="Times New Roman"/>
          <w:noProof/>
          <w:szCs w:val="24"/>
        </w:rPr>
        <w:t>https://doi.org/10.1787/5k9csfs90fr4-en</w:t>
      </w:r>
    </w:p>
    <w:p w14:paraId="4E28F013"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Baltagi, B. H. (2008). Econometric analysis of panel data. </w:t>
      </w:r>
      <w:r w:rsidRPr="00FC2D24">
        <w:rPr>
          <w:rFonts w:ascii="Times New Roman" w:hAnsi="Times New Roman" w:cs="Times New Roman"/>
          <w:i/>
          <w:iCs/>
          <w:noProof/>
          <w:szCs w:val="24"/>
        </w:rPr>
        <w:t>Rohn Wiley</w:t>
      </w:r>
      <w:r w:rsidRPr="00FC2D24">
        <w:rPr>
          <w:rFonts w:ascii="Times New Roman" w:hAnsi="Times New Roman" w:cs="Times New Roman"/>
          <w:noProof/>
          <w:szCs w:val="24"/>
        </w:rPr>
        <w:t>.</w:t>
      </w:r>
    </w:p>
    <w:p w14:paraId="138EE119"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Banerjee, T., Roy, M., Raychaudhuri, A., &amp; Ghosh, C. (2015). What drives households to divert loans? A village level study. </w:t>
      </w:r>
      <w:r w:rsidRPr="00FC2D24">
        <w:rPr>
          <w:rFonts w:ascii="Times New Roman" w:hAnsi="Times New Roman" w:cs="Times New Roman"/>
          <w:i/>
          <w:iCs/>
          <w:noProof/>
          <w:szCs w:val="24"/>
        </w:rPr>
        <w:t>Asia-Pacific Social Science Review</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15</w:t>
      </w:r>
      <w:r w:rsidRPr="00FC2D24">
        <w:rPr>
          <w:rFonts w:ascii="Times New Roman" w:hAnsi="Times New Roman" w:cs="Times New Roman"/>
          <w:noProof/>
          <w:szCs w:val="24"/>
        </w:rPr>
        <w:t>(2), 4.</w:t>
      </w:r>
    </w:p>
    <w:p w14:paraId="6B5E278A"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Bongomin, G. O. C., Ntayi, J. M., Munene, J. C., &amp; Nabeta, I. N. (2016). Social capital: mediator of financial literacy and financial inclusion in rural Uganda. </w:t>
      </w:r>
      <w:r w:rsidRPr="00FC2D24">
        <w:rPr>
          <w:rFonts w:ascii="Times New Roman" w:hAnsi="Times New Roman" w:cs="Times New Roman"/>
          <w:i/>
          <w:iCs/>
          <w:noProof/>
          <w:szCs w:val="24"/>
        </w:rPr>
        <w:t>Review of International Business and Strategy</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26</w:t>
      </w:r>
      <w:r w:rsidRPr="00FC2D24">
        <w:rPr>
          <w:rFonts w:ascii="Times New Roman" w:hAnsi="Times New Roman" w:cs="Times New Roman"/>
          <w:noProof/>
          <w:szCs w:val="24"/>
        </w:rPr>
        <w:t>(2), 291–312.</w:t>
      </w:r>
    </w:p>
    <w:p w14:paraId="161FC076"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Cappellari, L., &amp; Jenkins, S. P. (2004). Modelling low income transitions. </w:t>
      </w:r>
      <w:r w:rsidRPr="00FC2D24">
        <w:rPr>
          <w:rFonts w:ascii="Times New Roman" w:hAnsi="Times New Roman" w:cs="Times New Roman"/>
          <w:i/>
          <w:iCs/>
          <w:noProof/>
          <w:szCs w:val="24"/>
        </w:rPr>
        <w:t>Journal of Applied Econometrics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19</w:t>
      </w:r>
      <w:r w:rsidRPr="00FC2D24">
        <w:rPr>
          <w:rFonts w:ascii="Times New Roman" w:hAnsi="Times New Roman" w:cs="Times New Roman"/>
          <w:noProof/>
          <w:szCs w:val="24"/>
        </w:rPr>
        <w:t>(5), 593–610.</w:t>
      </w:r>
    </w:p>
    <w:p w14:paraId="5B2734EC"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Castiglione, D., Van Deth, J. W., &amp; Wolleb, G. (2008). </w:t>
      </w:r>
      <w:r w:rsidRPr="00FC2D24">
        <w:rPr>
          <w:rFonts w:ascii="Times New Roman" w:hAnsi="Times New Roman" w:cs="Times New Roman"/>
          <w:i/>
          <w:iCs/>
          <w:noProof/>
          <w:szCs w:val="24"/>
        </w:rPr>
        <w:t>The handbook of social capital</w:t>
      </w:r>
      <w:r w:rsidRPr="00FC2D24">
        <w:rPr>
          <w:rFonts w:ascii="Times New Roman" w:hAnsi="Times New Roman" w:cs="Times New Roman"/>
          <w:noProof/>
          <w:szCs w:val="24"/>
        </w:rPr>
        <w:t>. Oxford University Press.</w:t>
      </w:r>
    </w:p>
    <w:p w14:paraId="0A263B92"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Çera, G., Ajaz Khan, K., Mlouk, A., &amp; Brabenec, T. (2021). Improving financial capability: the mediating role of financial behaviour. </w:t>
      </w:r>
      <w:r w:rsidRPr="00FC2D24">
        <w:rPr>
          <w:rFonts w:ascii="Times New Roman" w:hAnsi="Times New Roman" w:cs="Times New Roman"/>
          <w:i/>
          <w:iCs/>
          <w:noProof/>
          <w:szCs w:val="24"/>
        </w:rPr>
        <w:t>Economic Research-Ekonomska Istraživanja</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34</w:t>
      </w:r>
      <w:r w:rsidRPr="00FC2D24">
        <w:rPr>
          <w:rFonts w:ascii="Times New Roman" w:hAnsi="Times New Roman" w:cs="Times New Roman"/>
          <w:noProof/>
          <w:szCs w:val="24"/>
        </w:rPr>
        <w:t>(1), 1265–1282.</w:t>
      </w:r>
    </w:p>
    <w:p w14:paraId="77C810D9"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Chakraborty, T., &amp; Gupta, A. (2023). </w:t>
      </w:r>
      <w:r w:rsidRPr="00FC2D24">
        <w:rPr>
          <w:rFonts w:ascii="Times New Roman" w:hAnsi="Times New Roman" w:cs="Times New Roman"/>
          <w:i/>
          <w:iCs/>
          <w:noProof/>
          <w:szCs w:val="24"/>
        </w:rPr>
        <w:t>Loan repayment behaviour of farmers: Analysing Indian households</w:t>
      </w:r>
      <w:r w:rsidRPr="00FC2D24">
        <w:rPr>
          <w:rFonts w:ascii="Times New Roman" w:hAnsi="Times New Roman" w:cs="Times New Roman"/>
          <w:noProof/>
          <w:szCs w:val="24"/>
        </w:rPr>
        <w:t>. Indian Institute of Management Calcutta.</w:t>
      </w:r>
    </w:p>
    <w:p w14:paraId="513B599B"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Chamboko, R., &amp; Guvuriro, S. (2022). On the predictors of loan utilization and delinquency among microfinance borrowers in Zimbabwe: A Poisson regression approach. </w:t>
      </w:r>
      <w:r w:rsidRPr="00FC2D24">
        <w:rPr>
          <w:rFonts w:ascii="Times New Roman" w:hAnsi="Times New Roman" w:cs="Times New Roman"/>
          <w:i/>
          <w:iCs/>
          <w:noProof/>
          <w:szCs w:val="24"/>
        </w:rPr>
        <w:t>Cogent Economics and Finance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10</w:t>
      </w:r>
      <w:r w:rsidRPr="00FC2D24">
        <w:rPr>
          <w:rFonts w:ascii="Times New Roman" w:hAnsi="Times New Roman" w:cs="Times New Roman"/>
          <w:noProof/>
          <w:szCs w:val="24"/>
        </w:rPr>
        <w:t>(1). https://doi.org/10.1080/23322039.2022.2111799</w:t>
      </w:r>
    </w:p>
    <w:p w14:paraId="6CE9640D"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Chen, A. J. Y., Kang, J. K., &amp; Wittenberg-moerman, R. (2025). </w:t>
      </w:r>
      <w:r w:rsidRPr="00FC2D24">
        <w:rPr>
          <w:rFonts w:ascii="Times New Roman" w:hAnsi="Times New Roman" w:cs="Times New Roman"/>
          <w:i/>
          <w:iCs/>
          <w:noProof/>
          <w:szCs w:val="24"/>
        </w:rPr>
        <w:t>Digital Lending and Financial Well-Being: Through the Lens of Mobile Phone Data</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XX</w:t>
      </w:r>
      <w:r w:rsidRPr="00FC2D24">
        <w:rPr>
          <w:rFonts w:ascii="Times New Roman" w:hAnsi="Times New Roman" w:cs="Times New Roman"/>
          <w:noProof/>
          <w:szCs w:val="24"/>
        </w:rPr>
        <w:t>(Xx), 1–25. https://doi.org/10.2308/TAR-2024-0046</w:t>
      </w:r>
    </w:p>
    <w:p w14:paraId="50B03145"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Collier, B. L., Ellis, C. M., &amp; Keys, B. J. (2025). The cost of consumer collateral: Evidence from bunching. </w:t>
      </w:r>
      <w:r w:rsidRPr="00FC2D24">
        <w:rPr>
          <w:rFonts w:ascii="Times New Roman" w:hAnsi="Times New Roman" w:cs="Times New Roman"/>
          <w:i/>
          <w:iCs/>
          <w:noProof/>
          <w:szCs w:val="24"/>
        </w:rPr>
        <w:t>Econometrica</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93</w:t>
      </w:r>
      <w:r w:rsidRPr="00FC2D24">
        <w:rPr>
          <w:rFonts w:ascii="Times New Roman" w:hAnsi="Times New Roman" w:cs="Times New Roman"/>
          <w:noProof/>
          <w:szCs w:val="24"/>
        </w:rPr>
        <w:t>(3), 779–819.</w:t>
      </w:r>
    </w:p>
    <w:p w14:paraId="125F094C"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Ding, X., &amp; Elahi, E. (2025). Social networks, household entrepreneurship, and relative poverty in rural China: the role of information access and informal funding. </w:t>
      </w:r>
      <w:r w:rsidRPr="00FC2D24">
        <w:rPr>
          <w:rFonts w:ascii="Times New Roman" w:hAnsi="Times New Roman" w:cs="Times New Roman"/>
          <w:i/>
          <w:iCs/>
          <w:noProof/>
          <w:szCs w:val="24"/>
        </w:rPr>
        <w:t>Humanities and Social Sciences Communications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12</w:t>
      </w:r>
      <w:r w:rsidRPr="00FC2D24">
        <w:rPr>
          <w:rFonts w:ascii="Times New Roman" w:hAnsi="Times New Roman" w:cs="Times New Roman"/>
          <w:noProof/>
          <w:szCs w:val="24"/>
        </w:rPr>
        <w:t>(1), 1–13. https://doi.org/10.1057/s41599-025-04562-z</w:t>
      </w:r>
    </w:p>
    <w:p w14:paraId="62F46B4B"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lastRenderedPageBreak/>
        <w:t xml:space="preserve">Dufhues, T., Buchenrieder, G., &amp; Dirk, G. (2010). </w:t>
      </w:r>
      <w:r w:rsidRPr="00FC2D24">
        <w:rPr>
          <w:rFonts w:ascii="Times New Roman" w:hAnsi="Times New Roman" w:cs="Times New Roman"/>
          <w:i/>
          <w:iCs/>
          <w:noProof/>
          <w:szCs w:val="24"/>
        </w:rPr>
        <w:t>The Journal of Development Network Based Social Capital and Individual Loan Repayment Performance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November 2014</w:t>
      </w:r>
      <w:r w:rsidRPr="00FC2D24">
        <w:rPr>
          <w:rFonts w:ascii="Times New Roman" w:hAnsi="Times New Roman" w:cs="Times New Roman"/>
          <w:noProof/>
          <w:szCs w:val="24"/>
        </w:rPr>
        <w:t>, 37–41. https://doi.org/10.1080/00220388.2010.547936</w:t>
      </w:r>
    </w:p>
    <w:p w14:paraId="55C50F69"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Faruqee, R., Khalily, M. A. B., Akhter, N., &amp; Alam, M. (2011). Multiple borrowing by mfi clients. </w:t>
      </w:r>
      <w:r w:rsidRPr="00FC2D24">
        <w:rPr>
          <w:rFonts w:ascii="Times New Roman" w:hAnsi="Times New Roman" w:cs="Times New Roman"/>
          <w:i/>
          <w:iCs/>
          <w:noProof/>
          <w:szCs w:val="24"/>
        </w:rPr>
        <w:t>Policy Paper, Institute of Microfinance, Dhaka, Bangladesh</w:t>
      </w:r>
      <w:r w:rsidRPr="00FC2D24">
        <w:rPr>
          <w:rFonts w:ascii="Times New Roman" w:hAnsi="Times New Roman" w:cs="Times New Roman"/>
          <w:noProof/>
          <w:szCs w:val="24"/>
        </w:rPr>
        <w:t>.</w:t>
      </w:r>
    </w:p>
    <w:p w14:paraId="03ED0FF5"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FinScope. (2024). </w:t>
      </w:r>
      <w:r w:rsidRPr="00FC2D24">
        <w:rPr>
          <w:rFonts w:ascii="Times New Roman" w:hAnsi="Times New Roman" w:cs="Times New Roman"/>
          <w:i/>
          <w:iCs/>
          <w:noProof/>
          <w:szCs w:val="24"/>
        </w:rPr>
        <w:t>FINSCOPE UGANDA 2023 FINDINGS 11 APRIL 2024 Kampala</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April</w:t>
      </w:r>
      <w:r w:rsidRPr="00FC2D24">
        <w:rPr>
          <w:rFonts w:ascii="Times New Roman" w:hAnsi="Times New Roman" w:cs="Times New Roman"/>
          <w:noProof/>
          <w:szCs w:val="24"/>
        </w:rPr>
        <w:t>.</w:t>
      </w:r>
    </w:p>
    <w:p w14:paraId="3889D131"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Friedman, M. (1957). The permanent income hypothesis. In </w:t>
      </w:r>
      <w:r w:rsidRPr="00FC2D24">
        <w:rPr>
          <w:rFonts w:ascii="Times New Roman" w:hAnsi="Times New Roman" w:cs="Times New Roman"/>
          <w:i/>
          <w:iCs/>
          <w:noProof/>
          <w:szCs w:val="24"/>
        </w:rPr>
        <w:t>A theory of the consumption function</w:t>
      </w:r>
      <w:r w:rsidRPr="00FC2D24">
        <w:rPr>
          <w:rFonts w:ascii="Times New Roman" w:hAnsi="Times New Roman" w:cs="Times New Roman"/>
          <w:noProof/>
          <w:szCs w:val="24"/>
        </w:rPr>
        <w:t xml:space="preserve"> (pp. 20–37). Princeton University Press.</w:t>
      </w:r>
    </w:p>
    <w:p w14:paraId="1A2B1E91"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FSD Uganda. (2024). </w:t>
      </w:r>
      <w:r w:rsidRPr="00FC2D24">
        <w:rPr>
          <w:rFonts w:ascii="Times New Roman" w:hAnsi="Times New Roman" w:cs="Times New Roman"/>
          <w:i/>
          <w:iCs/>
          <w:noProof/>
          <w:szCs w:val="24"/>
        </w:rPr>
        <w:t>Annual 2024</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24256790</w:t>
      </w:r>
      <w:r w:rsidRPr="00FC2D24">
        <w:rPr>
          <w:rFonts w:ascii="Times New Roman" w:hAnsi="Times New Roman" w:cs="Times New Roman"/>
          <w:noProof/>
          <w:szCs w:val="24"/>
        </w:rPr>
        <w:t>.</w:t>
      </w:r>
    </w:p>
    <w:p w14:paraId="03406B62"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Granovetter, M. (2018). The impact of social structure on economic outcomes. In </w:t>
      </w:r>
      <w:r w:rsidRPr="00FC2D24">
        <w:rPr>
          <w:rFonts w:ascii="Times New Roman" w:hAnsi="Times New Roman" w:cs="Times New Roman"/>
          <w:i/>
          <w:iCs/>
          <w:noProof/>
          <w:szCs w:val="24"/>
        </w:rPr>
        <w:t>The sociology of economic life</w:t>
      </w:r>
      <w:r w:rsidRPr="00FC2D24">
        <w:rPr>
          <w:rFonts w:ascii="Times New Roman" w:hAnsi="Times New Roman" w:cs="Times New Roman"/>
          <w:noProof/>
          <w:szCs w:val="24"/>
        </w:rPr>
        <w:t xml:space="preserve"> (pp. 46–61). Routledge.</w:t>
      </w:r>
    </w:p>
    <w:p w14:paraId="596445BF"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Heckman, J. J. (1981). Statistical models for discrete panel data. </w:t>
      </w:r>
      <w:r w:rsidRPr="00FC2D24">
        <w:rPr>
          <w:rFonts w:ascii="Times New Roman" w:hAnsi="Times New Roman" w:cs="Times New Roman"/>
          <w:i/>
          <w:iCs/>
          <w:noProof/>
          <w:szCs w:val="24"/>
        </w:rPr>
        <w:t>Structural Analysis of Discrete Data with Econometric Applications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114</w:t>
      </w:r>
      <w:r w:rsidRPr="00FC2D24">
        <w:rPr>
          <w:rFonts w:ascii="Times New Roman" w:hAnsi="Times New Roman" w:cs="Times New Roman"/>
          <w:noProof/>
          <w:szCs w:val="24"/>
        </w:rPr>
        <w:t>, 178.</w:t>
      </w:r>
    </w:p>
    <w:p w14:paraId="76D4A49A" w14:textId="4A1ED081" w:rsid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HIDAJAT, T. (2021). The Relationship between Debt Literacy and Peer-To-Peer Lending: A Case Study in Indonesia. </w:t>
      </w:r>
      <w:r w:rsidRPr="00FC2D24">
        <w:rPr>
          <w:rFonts w:ascii="Times New Roman" w:hAnsi="Times New Roman" w:cs="Times New Roman"/>
          <w:i/>
          <w:iCs/>
          <w:noProof/>
          <w:szCs w:val="24"/>
        </w:rPr>
        <w:t>The Journal of Asian Finance, Economics and Business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8</w:t>
      </w:r>
      <w:r w:rsidRPr="00FC2D24">
        <w:rPr>
          <w:rFonts w:ascii="Times New Roman" w:hAnsi="Times New Roman" w:cs="Times New Roman"/>
          <w:noProof/>
          <w:szCs w:val="24"/>
        </w:rPr>
        <w:t>(5), 403–411.</w:t>
      </w:r>
    </w:p>
    <w:p w14:paraId="1B31BC9B" w14:textId="22D3FF33" w:rsidR="001228EF" w:rsidRPr="00FC2D24" w:rsidRDefault="001228EF"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99311B">
        <w:rPr>
          <w:rFonts w:ascii="Times New Roman" w:hAnsi="Times New Roman" w:cs="Times New Roman"/>
          <w:bCs/>
          <w:noProof/>
          <w:szCs w:val="24"/>
        </w:rPr>
        <w:t xml:space="preserve">Hung, A. A., Parker, A. M., &amp; Yoong, J. K. (2009). </w:t>
      </w:r>
      <w:r w:rsidRPr="0099311B">
        <w:rPr>
          <w:rFonts w:ascii="Times New Roman" w:hAnsi="Times New Roman" w:cs="Times New Roman"/>
          <w:i/>
          <w:iCs/>
          <w:noProof/>
          <w:szCs w:val="24"/>
        </w:rPr>
        <w:t>Defining and measuring financial literacy.</w:t>
      </w:r>
      <w:r w:rsidRPr="0099311B">
        <w:rPr>
          <w:rFonts w:ascii="Times New Roman" w:hAnsi="Times New Roman" w:cs="Times New Roman"/>
          <w:noProof/>
          <w:szCs w:val="24"/>
        </w:rPr>
        <w:t xml:space="preserve"> RAND Corporation.</w:t>
      </w:r>
      <w:r>
        <w:rPr>
          <w:rFonts w:ascii="Times New Roman" w:hAnsi="Times New Roman" w:cs="Times New Roman"/>
          <w:noProof/>
          <w:szCs w:val="24"/>
        </w:rPr>
        <w:t xml:space="preserve"> </w:t>
      </w:r>
      <w:r w:rsidRPr="0099311B">
        <w:rPr>
          <w:rFonts w:ascii="Times New Roman" w:hAnsi="Times New Roman" w:cs="Times New Roman"/>
          <w:noProof/>
          <w:szCs w:val="24"/>
        </w:rPr>
        <w:t>https://doi.org/10.7249/WR708</w:t>
      </w:r>
    </w:p>
    <w:p w14:paraId="56BB8E39"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Ijioma, J. C., &amp; Osondu, C. K. (2015). Agricultural credit sources and determinants of credit acquisition by farmers in Idemili Local Government Area of Anambra State. </w:t>
      </w:r>
      <w:r w:rsidRPr="00FC2D24">
        <w:rPr>
          <w:rFonts w:ascii="Times New Roman" w:hAnsi="Times New Roman" w:cs="Times New Roman"/>
          <w:i/>
          <w:iCs/>
          <w:noProof/>
          <w:szCs w:val="24"/>
        </w:rPr>
        <w:t>Journal of Agricultural Science and Technology B</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5</w:t>
      </w:r>
      <w:r w:rsidRPr="00FC2D24">
        <w:rPr>
          <w:rFonts w:ascii="Times New Roman" w:hAnsi="Times New Roman" w:cs="Times New Roman"/>
          <w:noProof/>
          <w:szCs w:val="24"/>
        </w:rPr>
        <w:t>(1), 34–43.</w:t>
      </w:r>
    </w:p>
    <w:p w14:paraId="744BF84C"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Indarte, S. (2023). Moral hazard versus liquidity in household bankruptcy. </w:t>
      </w:r>
      <w:r w:rsidRPr="00FC2D24">
        <w:rPr>
          <w:rFonts w:ascii="Times New Roman" w:hAnsi="Times New Roman" w:cs="Times New Roman"/>
          <w:i/>
          <w:iCs/>
          <w:noProof/>
          <w:szCs w:val="24"/>
        </w:rPr>
        <w:t>The Journal of Finance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78</w:t>
      </w:r>
      <w:r w:rsidRPr="00FC2D24">
        <w:rPr>
          <w:rFonts w:ascii="Times New Roman" w:hAnsi="Times New Roman" w:cs="Times New Roman"/>
          <w:noProof/>
          <w:szCs w:val="24"/>
        </w:rPr>
        <w:t>(5), 2421–2464.</w:t>
      </w:r>
    </w:p>
    <w:p w14:paraId="2181626A" w14:textId="51E5FF2D" w:rsidR="00FC2D24" w:rsidRPr="00FC2D24" w:rsidRDefault="00FC2D24" w:rsidP="008346C1">
      <w:pPr>
        <w:rPr>
          <w:rFonts w:ascii="Times New Roman" w:hAnsi="Times New Roman" w:cs="Times New Roman"/>
          <w:noProof/>
          <w:szCs w:val="24"/>
        </w:rPr>
      </w:pPr>
      <w:r w:rsidRPr="00FC2D24">
        <w:rPr>
          <w:rFonts w:ascii="Times New Roman" w:hAnsi="Times New Roman" w:cs="Times New Roman"/>
          <w:noProof/>
          <w:szCs w:val="24"/>
        </w:rPr>
        <w:t>Jakhar, B., &amp; Kumar, V. (2023).</w:t>
      </w:r>
      <w:r w:rsidR="003F5F35" w:rsidRPr="00FC2D24">
        <w:rPr>
          <w:rFonts w:ascii="Times New Roman" w:hAnsi="Times New Roman" w:cs="Times New Roman"/>
          <w:noProof/>
          <w:szCs w:val="24"/>
        </w:rPr>
        <w:t xml:space="preserve"> </w:t>
      </w:r>
      <w:r w:rsidR="008346C1" w:rsidRPr="008346C1">
        <w:rPr>
          <w:rFonts w:ascii="Times New Roman" w:hAnsi="Times New Roman" w:cs="Times New Roman"/>
          <w:noProof/>
          <w:szCs w:val="24"/>
        </w:rPr>
        <w:t>LOAN UTILISATION AND REPAYMENT BEHAVIOUR: EVIDENCE</w:t>
      </w:r>
      <w:r w:rsidR="008346C1">
        <w:rPr>
          <w:rFonts w:ascii="Times New Roman" w:hAnsi="Times New Roman" w:cs="Times New Roman"/>
          <w:noProof/>
          <w:szCs w:val="24"/>
        </w:rPr>
        <w:t xml:space="preserve"> </w:t>
      </w:r>
      <w:r w:rsidR="008346C1" w:rsidRPr="008346C1">
        <w:rPr>
          <w:rFonts w:ascii="Times New Roman" w:hAnsi="Times New Roman" w:cs="Times New Roman"/>
          <w:noProof/>
          <w:szCs w:val="24"/>
        </w:rPr>
        <w:t>FROM FARMERS OF HARYANA</w:t>
      </w:r>
      <w:r w:rsidR="003F5F35" w:rsidRPr="00FC2D24">
        <w:rPr>
          <w:rFonts w:ascii="Times New Roman" w:hAnsi="Times New Roman" w:cs="Times New Roman"/>
          <w:noProof/>
          <w:szCs w:val="24"/>
        </w:rPr>
        <w:t>.</w:t>
      </w:r>
      <w:r w:rsidRPr="00FC2D24">
        <w:rPr>
          <w:rFonts w:ascii="Times New Roman" w:hAnsi="Times New Roman" w:cs="Times New Roman"/>
          <w:noProof/>
          <w:szCs w:val="24"/>
        </w:rPr>
        <w:t xml:space="preserve"> </w:t>
      </w:r>
      <w:r w:rsidR="008346C1">
        <w:rPr>
          <w:rFonts w:ascii="Times New Roman" w:hAnsi="Times New Roman" w:cs="Times New Roman"/>
          <w:noProof/>
          <w:szCs w:val="24"/>
        </w:rPr>
        <w:t>[</w:t>
      </w:r>
      <w:r w:rsidR="008346C1" w:rsidRPr="008346C1">
        <w:rPr>
          <w:rFonts w:ascii="Times New Roman" w:hAnsi="Times New Roman" w:cs="Times New Roman"/>
          <w:noProof/>
          <w:szCs w:val="24"/>
        </w:rPr>
        <w:t>ZACHOWANIA W ZAKRESIE WYKORZYSTANIA I SPŁATY POŻYCZEK: NA PRZYKŁADZIE ROLNIKÓW ZE STANU HARIANA</w:t>
      </w:r>
      <w:r w:rsidR="008346C1">
        <w:rPr>
          <w:rFonts w:ascii="Times New Roman" w:hAnsi="Times New Roman" w:cs="Times New Roman"/>
          <w:noProof/>
          <w:szCs w:val="24"/>
        </w:rPr>
        <w:t xml:space="preserve">] </w:t>
      </w:r>
      <w:r w:rsidRPr="00FC2D24">
        <w:rPr>
          <w:rFonts w:ascii="Times New Roman" w:hAnsi="Times New Roman" w:cs="Times New Roman"/>
          <w:i/>
          <w:iCs/>
          <w:noProof/>
          <w:szCs w:val="24"/>
        </w:rPr>
        <w:t>Economic and Regional Studies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16</w:t>
      </w:r>
      <w:r w:rsidRPr="00FC2D24">
        <w:rPr>
          <w:rFonts w:ascii="Times New Roman" w:hAnsi="Times New Roman" w:cs="Times New Roman"/>
          <w:noProof/>
          <w:szCs w:val="24"/>
        </w:rPr>
        <w:t>(2), 286–316.</w:t>
      </w:r>
      <w:r w:rsidR="008346C1" w:rsidRPr="008346C1">
        <w:t xml:space="preserve"> </w:t>
      </w:r>
      <w:r w:rsidR="008346C1" w:rsidRPr="008346C1">
        <w:rPr>
          <w:rFonts w:ascii="Times New Roman" w:hAnsi="Times New Roman" w:cs="Times New Roman"/>
          <w:noProof/>
          <w:szCs w:val="24"/>
        </w:rPr>
        <w:t>https://doi.org/10.2478/ers-2023-0019</w:t>
      </w:r>
      <w:bookmarkStart w:id="8" w:name="_GoBack"/>
      <w:bookmarkEnd w:id="8"/>
    </w:p>
    <w:p w14:paraId="7BA93813"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Kaiser, T., Lusardi, A., Menkhoff, L., &amp; Urban, C. (2022). Financial education affects financial knowledge and downstream behaviors. </w:t>
      </w:r>
      <w:r w:rsidRPr="00FC2D24">
        <w:rPr>
          <w:rFonts w:ascii="Times New Roman" w:hAnsi="Times New Roman" w:cs="Times New Roman"/>
          <w:i/>
          <w:iCs/>
          <w:noProof/>
          <w:szCs w:val="24"/>
        </w:rPr>
        <w:t>Journal of Financial Economics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145</w:t>
      </w:r>
      <w:r w:rsidRPr="00FC2D24">
        <w:rPr>
          <w:rFonts w:ascii="Times New Roman" w:hAnsi="Times New Roman" w:cs="Times New Roman"/>
          <w:noProof/>
          <w:szCs w:val="24"/>
        </w:rPr>
        <w:t>(2), 255–272.</w:t>
      </w:r>
    </w:p>
    <w:p w14:paraId="25D91A41"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Kasseeah, H., &amp; Tandrayen-Ragoobur, V. (2015). Self-employed women and their access to finance: perspectives from the informal sector. </w:t>
      </w:r>
      <w:r w:rsidRPr="00FC2D24">
        <w:rPr>
          <w:rFonts w:ascii="Times New Roman" w:hAnsi="Times New Roman" w:cs="Times New Roman"/>
          <w:i/>
          <w:iCs/>
          <w:noProof/>
          <w:szCs w:val="24"/>
        </w:rPr>
        <w:t>African Journal of Science, Technology, Innovation and Development</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7</w:t>
      </w:r>
      <w:r w:rsidRPr="00FC2D24">
        <w:rPr>
          <w:rFonts w:ascii="Times New Roman" w:hAnsi="Times New Roman" w:cs="Times New Roman"/>
          <w:noProof/>
          <w:szCs w:val="24"/>
        </w:rPr>
        <w:t>(4), 247–254.</w:t>
      </w:r>
    </w:p>
    <w:p w14:paraId="14D0F214"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Kassegn, A., &amp; Endris, E. (2022). Factors affecting loan repayment rate among smallholder farmers got loans from the Amhara Credit and Saving Institution: in the case of Habru District, Amhara Regional State, Ethiopia. </w:t>
      </w:r>
      <w:r w:rsidRPr="00FC2D24">
        <w:rPr>
          <w:rFonts w:ascii="Times New Roman" w:hAnsi="Times New Roman" w:cs="Times New Roman"/>
          <w:i/>
          <w:iCs/>
          <w:noProof/>
          <w:szCs w:val="24"/>
        </w:rPr>
        <w:t>International Area Studies Review</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25</w:t>
      </w:r>
      <w:r w:rsidRPr="00FC2D24">
        <w:rPr>
          <w:rFonts w:ascii="Times New Roman" w:hAnsi="Times New Roman" w:cs="Times New Roman"/>
          <w:noProof/>
          <w:szCs w:val="24"/>
        </w:rPr>
        <w:t>(1), 73–96.</w:t>
      </w:r>
    </w:p>
    <w:p w14:paraId="2EE3A12A"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Kaur, S., &amp; Kaur, A. (2018). Factors affecting diversion of institutional credit in border and non-border areas of rural Punjab. </w:t>
      </w:r>
      <w:r w:rsidRPr="00FC2D24">
        <w:rPr>
          <w:rFonts w:ascii="Times New Roman" w:hAnsi="Times New Roman" w:cs="Times New Roman"/>
          <w:i/>
          <w:iCs/>
          <w:noProof/>
          <w:szCs w:val="24"/>
        </w:rPr>
        <w:t>Journal of Agricultural Development and Policy</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28</w:t>
      </w:r>
      <w:r w:rsidRPr="00FC2D24">
        <w:rPr>
          <w:rFonts w:ascii="Times New Roman" w:hAnsi="Times New Roman" w:cs="Times New Roman"/>
          <w:noProof/>
          <w:szCs w:val="24"/>
        </w:rPr>
        <w:t>(1), 12–24.</w:t>
      </w:r>
    </w:p>
    <w:p w14:paraId="6DAA8F10"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Kebede, M., Tegegn, T., &amp; Tafese, T. (2016). Factors affecting loan repayment performance of small scale enterprises financed by micro finance institutions: study on private borrowers around wolaita and Dawuro zone. </w:t>
      </w:r>
      <w:r w:rsidRPr="00FC2D24">
        <w:rPr>
          <w:rFonts w:ascii="Times New Roman" w:hAnsi="Times New Roman" w:cs="Times New Roman"/>
          <w:i/>
          <w:iCs/>
          <w:noProof/>
          <w:szCs w:val="24"/>
        </w:rPr>
        <w:t>Global Journal of Management and Business Research: C Finance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16</w:t>
      </w:r>
      <w:r w:rsidRPr="00FC2D24">
        <w:rPr>
          <w:rFonts w:ascii="Times New Roman" w:hAnsi="Times New Roman" w:cs="Times New Roman"/>
          <w:noProof/>
          <w:szCs w:val="24"/>
        </w:rPr>
        <w:t>(7).</w:t>
      </w:r>
    </w:p>
    <w:p w14:paraId="433F4B9A"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Kumar, H., &amp; Sandhu, S. (2024). Building Financial Resilience in Emerging Adults: The Role of </w:t>
      </w:r>
      <w:r w:rsidRPr="00FC2D24">
        <w:rPr>
          <w:rFonts w:ascii="Times New Roman" w:hAnsi="Times New Roman" w:cs="Times New Roman"/>
          <w:noProof/>
          <w:szCs w:val="24"/>
        </w:rPr>
        <w:lastRenderedPageBreak/>
        <w:t xml:space="preserve">Financial Capability and Financial Self-Efficacy. </w:t>
      </w:r>
      <w:r w:rsidRPr="00FC2D24">
        <w:rPr>
          <w:rFonts w:ascii="Times New Roman" w:hAnsi="Times New Roman" w:cs="Times New Roman"/>
          <w:i/>
          <w:iCs/>
          <w:noProof/>
          <w:szCs w:val="24"/>
        </w:rPr>
        <w:t>European Economic Letters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4</w:t>
      </w:r>
      <w:r w:rsidRPr="00FC2D24">
        <w:rPr>
          <w:rFonts w:ascii="Times New Roman" w:hAnsi="Times New Roman" w:cs="Times New Roman"/>
          <w:noProof/>
          <w:szCs w:val="24"/>
        </w:rPr>
        <w:t>(2), 1–11.</w:t>
      </w:r>
    </w:p>
    <w:p w14:paraId="6E443746"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Li, Q., Yu, Y., Li, Y., &amp; Sun, G. (2023). Heterogeneous Social network shape ability and willingness of rural residents to repay loans in China. </w:t>
      </w:r>
      <w:r w:rsidRPr="00FC2D24">
        <w:rPr>
          <w:rFonts w:ascii="Times New Roman" w:hAnsi="Times New Roman" w:cs="Times New Roman"/>
          <w:i/>
          <w:iCs/>
          <w:noProof/>
          <w:szCs w:val="24"/>
        </w:rPr>
        <w:t>Research in International Business and Finance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65</w:t>
      </w:r>
      <w:r w:rsidRPr="00FC2D24">
        <w:rPr>
          <w:rFonts w:ascii="Times New Roman" w:hAnsi="Times New Roman" w:cs="Times New Roman"/>
          <w:noProof/>
          <w:szCs w:val="24"/>
        </w:rPr>
        <w:t>, 101971.</w:t>
      </w:r>
    </w:p>
    <w:p w14:paraId="4A095A96"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Lučić, A., Barbić, D., &amp; Uzelac, M. (2023). Theoretical underpinnings of consumers’ financial capability research. </w:t>
      </w:r>
      <w:r w:rsidRPr="00FC2D24">
        <w:rPr>
          <w:rFonts w:ascii="Times New Roman" w:hAnsi="Times New Roman" w:cs="Times New Roman"/>
          <w:i/>
          <w:iCs/>
          <w:noProof/>
          <w:szCs w:val="24"/>
        </w:rPr>
        <w:t>International Journal of Consumer Studies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47</w:t>
      </w:r>
      <w:r w:rsidRPr="00FC2D24">
        <w:rPr>
          <w:rFonts w:ascii="Times New Roman" w:hAnsi="Times New Roman" w:cs="Times New Roman"/>
          <w:noProof/>
          <w:szCs w:val="24"/>
        </w:rPr>
        <w:t>(1), 373–399.</w:t>
      </w:r>
    </w:p>
    <w:p w14:paraId="63E50488"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Lusardi, A., &amp; Mitchell, O. S. (2014). The economic importance of financial literacy: Theory and evidence. </w:t>
      </w:r>
      <w:r w:rsidRPr="00FC2D24">
        <w:rPr>
          <w:rFonts w:ascii="Times New Roman" w:hAnsi="Times New Roman" w:cs="Times New Roman"/>
          <w:i/>
          <w:iCs/>
          <w:noProof/>
          <w:szCs w:val="24"/>
        </w:rPr>
        <w:t>American Economic Journal: Journal of Economic Literature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52</w:t>
      </w:r>
      <w:r w:rsidRPr="00FC2D24">
        <w:rPr>
          <w:rFonts w:ascii="Times New Roman" w:hAnsi="Times New Roman" w:cs="Times New Roman"/>
          <w:noProof/>
          <w:szCs w:val="24"/>
        </w:rPr>
        <w:t>(1), 5–44.</w:t>
      </w:r>
    </w:p>
    <w:p w14:paraId="63EBBFA7"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Manyire, H. (2002). </w:t>
      </w:r>
      <w:r w:rsidRPr="00FC2D24">
        <w:rPr>
          <w:rFonts w:ascii="Times New Roman" w:hAnsi="Times New Roman" w:cs="Times New Roman"/>
          <w:i/>
          <w:iCs/>
          <w:noProof/>
          <w:szCs w:val="24"/>
        </w:rPr>
        <w:t>Gender and housing development in the low income suburbs of Jinja municipality, Uganda</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17</w:t>
      </w:r>
      <w:r w:rsidRPr="00FC2D24">
        <w:rPr>
          <w:rFonts w:ascii="Times New Roman" w:hAnsi="Times New Roman" w:cs="Times New Roman"/>
          <w:noProof/>
          <w:szCs w:val="24"/>
        </w:rPr>
        <w:t>. https://www.africaportal.org/publications/gender-and-housing-development-in-the-low-income-suburbs-of-jinja-municipality-uganda/</w:t>
      </w:r>
    </w:p>
    <w:p w14:paraId="6624593C"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Mitchell, O. S., &amp; Lusardi, A. (2015). Financial literacy and economic outcomes: Evidence and policy implications. </w:t>
      </w:r>
      <w:r w:rsidRPr="00FC2D24">
        <w:rPr>
          <w:rFonts w:ascii="Times New Roman" w:hAnsi="Times New Roman" w:cs="Times New Roman"/>
          <w:i/>
          <w:iCs/>
          <w:noProof/>
          <w:szCs w:val="24"/>
        </w:rPr>
        <w:t>The Journal of Retirement</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3</w:t>
      </w:r>
      <w:r w:rsidRPr="00FC2D24">
        <w:rPr>
          <w:rFonts w:ascii="Times New Roman" w:hAnsi="Times New Roman" w:cs="Times New Roman"/>
          <w:noProof/>
          <w:szCs w:val="24"/>
        </w:rPr>
        <w:t>(1), 107.</w:t>
      </w:r>
    </w:p>
    <w:p w14:paraId="1B803E65"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Monteiro, S. (2019). </w:t>
      </w:r>
      <w:r w:rsidRPr="00FC2D24">
        <w:rPr>
          <w:rFonts w:ascii="Times New Roman" w:hAnsi="Times New Roman" w:cs="Times New Roman"/>
          <w:i/>
          <w:iCs/>
          <w:noProof/>
          <w:szCs w:val="24"/>
        </w:rPr>
        <w:t>employment contract on credit access in Africa</w:t>
      </w:r>
      <w:r w:rsidRPr="00FC2D24">
        <w:rPr>
          <w:rFonts w:ascii="Times New Roman" w:hAnsi="Times New Roman" w:cs="Times New Roman"/>
          <w:noProof/>
          <w:szCs w:val="24"/>
        </w:rPr>
        <w:t>.</w:t>
      </w:r>
    </w:p>
    <w:p w14:paraId="21E67C3D"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Mpogole, H., Mwaungulu, I., Mlasu, S., &amp; Lubawa, G. (2012). Multiple borrowing and loan repayment: A study of microfinance clients at Iringa, Tanzania. </w:t>
      </w:r>
      <w:r w:rsidRPr="00FC2D24">
        <w:rPr>
          <w:rFonts w:ascii="Times New Roman" w:hAnsi="Times New Roman" w:cs="Times New Roman"/>
          <w:i/>
          <w:iCs/>
          <w:noProof/>
          <w:szCs w:val="24"/>
        </w:rPr>
        <w:t>Global Journal of Management and Business Research</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12</w:t>
      </w:r>
      <w:r w:rsidRPr="00FC2D24">
        <w:rPr>
          <w:rFonts w:ascii="Times New Roman" w:hAnsi="Times New Roman" w:cs="Times New Roman"/>
          <w:noProof/>
          <w:szCs w:val="24"/>
        </w:rPr>
        <w:t>(4), 97–102.</w:t>
      </w:r>
    </w:p>
    <w:p w14:paraId="2238F7F2"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Mugabi, N. (2010). Micro-credit utilization and its impact on household income: A comparative study of rural and urban areas in Iganga district. </w:t>
      </w:r>
      <w:r w:rsidRPr="00FC2D24">
        <w:rPr>
          <w:rFonts w:ascii="Times New Roman" w:hAnsi="Times New Roman" w:cs="Times New Roman"/>
          <w:i/>
          <w:iCs/>
          <w:noProof/>
          <w:szCs w:val="24"/>
        </w:rPr>
        <w:t>Makerere University</w:t>
      </w:r>
      <w:r w:rsidRPr="00FC2D24">
        <w:rPr>
          <w:rFonts w:ascii="Times New Roman" w:hAnsi="Times New Roman" w:cs="Times New Roman"/>
          <w:noProof/>
          <w:szCs w:val="24"/>
        </w:rPr>
        <w:t>.</w:t>
      </w:r>
    </w:p>
    <w:p w14:paraId="7E8CB2D6"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Rabe-Hesketh, S., &amp; Skrondal, A. (2008). </w:t>
      </w:r>
      <w:r w:rsidRPr="00FC2D24">
        <w:rPr>
          <w:rFonts w:ascii="Times New Roman" w:hAnsi="Times New Roman" w:cs="Times New Roman"/>
          <w:i/>
          <w:iCs/>
          <w:noProof/>
          <w:szCs w:val="24"/>
        </w:rPr>
        <w:t>Multilevel and longitudinal modeling using Stata</w:t>
      </w:r>
      <w:r w:rsidRPr="00FC2D24">
        <w:rPr>
          <w:rFonts w:ascii="Times New Roman" w:hAnsi="Times New Roman" w:cs="Times New Roman"/>
          <w:noProof/>
          <w:szCs w:val="24"/>
        </w:rPr>
        <w:t>. STATA press.</w:t>
      </w:r>
    </w:p>
    <w:p w14:paraId="76B5B739"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Ravi, S. (2014). Repay as you earn: loan repayment frequency, cash flows, and savings of households. </w:t>
      </w:r>
      <w:r w:rsidRPr="00FC2D24">
        <w:rPr>
          <w:rFonts w:ascii="Times New Roman" w:hAnsi="Times New Roman" w:cs="Times New Roman"/>
          <w:i/>
          <w:iCs/>
          <w:noProof/>
          <w:szCs w:val="24"/>
        </w:rPr>
        <w:t>Journal of International Development</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26</w:t>
      </w:r>
      <w:r w:rsidRPr="00FC2D24">
        <w:rPr>
          <w:rFonts w:ascii="Times New Roman" w:hAnsi="Times New Roman" w:cs="Times New Roman"/>
          <w:noProof/>
          <w:szCs w:val="24"/>
        </w:rPr>
        <w:t>(4), 438–453.</w:t>
      </w:r>
    </w:p>
    <w:p w14:paraId="3442ECBC"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Sherraden, M. S. (2010). </w:t>
      </w:r>
      <w:r w:rsidRPr="00FC2D24">
        <w:rPr>
          <w:rFonts w:ascii="Times New Roman" w:hAnsi="Times New Roman" w:cs="Times New Roman"/>
          <w:i/>
          <w:iCs/>
          <w:noProof/>
          <w:szCs w:val="24"/>
        </w:rPr>
        <w:t>Financial capability: what is it, and how can it be created?</w:t>
      </w:r>
    </w:p>
    <w:p w14:paraId="0680B8D9"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Shi, W., Ali, M., &amp; Leong, C.-M. (2025). Dynamics of personal financial management: a bibliometric and systematic review on financial literacy, financial capability and financial behavior. </w:t>
      </w:r>
      <w:r w:rsidRPr="00FC2D24">
        <w:rPr>
          <w:rFonts w:ascii="Times New Roman" w:hAnsi="Times New Roman" w:cs="Times New Roman"/>
          <w:i/>
          <w:iCs/>
          <w:noProof/>
          <w:szCs w:val="24"/>
        </w:rPr>
        <w:t>International Journal of Bank Marketing</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43</w:t>
      </w:r>
      <w:r w:rsidRPr="00FC2D24">
        <w:rPr>
          <w:rFonts w:ascii="Times New Roman" w:hAnsi="Times New Roman" w:cs="Times New Roman"/>
          <w:noProof/>
          <w:szCs w:val="24"/>
        </w:rPr>
        <w:t>(1), 125–165.</w:t>
      </w:r>
    </w:p>
    <w:p w14:paraId="13401A6D"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Ssekiziyivu, B., Bananuka, J., Nabeta, I. N., &amp; Tumwebaze, Z. (2018). Borrowers characteristics, credit terms and loan repayment performance among clients of microfinance institutions (MFIs): Evidence from rural Uganda. </w:t>
      </w:r>
      <w:r w:rsidRPr="00FC2D24">
        <w:rPr>
          <w:rFonts w:ascii="Times New Roman" w:hAnsi="Times New Roman" w:cs="Times New Roman"/>
          <w:i/>
          <w:iCs/>
          <w:noProof/>
          <w:szCs w:val="24"/>
        </w:rPr>
        <w:t>Journal of Economics and International Finance</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10</w:t>
      </w:r>
      <w:r w:rsidRPr="00FC2D24">
        <w:rPr>
          <w:rFonts w:ascii="Times New Roman" w:hAnsi="Times New Roman" w:cs="Times New Roman"/>
          <w:noProof/>
          <w:szCs w:val="24"/>
        </w:rPr>
        <w:t>(1), 1–10.</w:t>
      </w:r>
    </w:p>
    <w:p w14:paraId="1D4286EA"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Stiglitz, J. E., &amp; Weiss, A. (1981). Credit rationing in markets with imperfect information. </w:t>
      </w:r>
      <w:r w:rsidRPr="00FC2D24">
        <w:rPr>
          <w:rFonts w:ascii="Times New Roman" w:hAnsi="Times New Roman" w:cs="Times New Roman"/>
          <w:i/>
          <w:iCs/>
          <w:noProof/>
          <w:szCs w:val="24"/>
        </w:rPr>
        <w:t>The American Economic Review</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71</w:t>
      </w:r>
      <w:r w:rsidRPr="00FC2D24">
        <w:rPr>
          <w:rFonts w:ascii="Times New Roman" w:hAnsi="Times New Roman" w:cs="Times New Roman"/>
          <w:noProof/>
          <w:szCs w:val="24"/>
        </w:rPr>
        <w:t>(3), 393–410.</w:t>
      </w:r>
    </w:p>
    <w:p w14:paraId="1C3E8525"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Sun, S., Chen, Y.-C., Ansong, D., Huang, J., &amp; Sherraden, M. S. (2022). Household financial capability and economic hardship: An empirical examination of the financial capability framework. </w:t>
      </w:r>
      <w:r w:rsidRPr="00FC2D24">
        <w:rPr>
          <w:rFonts w:ascii="Times New Roman" w:hAnsi="Times New Roman" w:cs="Times New Roman"/>
          <w:i/>
          <w:iCs/>
          <w:noProof/>
          <w:szCs w:val="24"/>
        </w:rPr>
        <w:t>Journal of Family and Economic Issues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43</w:t>
      </w:r>
      <w:r w:rsidRPr="00FC2D24">
        <w:rPr>
          <w:rFonts w:ascii="Times New Roman" w:hAnsi="Times New Roman" w:cs="Times New Roman"/>
          <w:noProof/>
          <w:szCs w:val="24"/>
        </w:rPr>
        <w:t>(4), 716–729.</w:t>
      </w:r>
    </w:p>
    <w:p w14:paraId="25869085"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Thazhugal Govindan Nair, S. (2020). Sovereign credit ratings and bond yield spreads in emerging markets: Revisiting Cantor–Packer evidence in resilience. </w:t>
      </w:r>
      <w:r w:rsidRPr="00FC2D24">
        <w:rPr>
          <w:rFonts w:ascii="Times New Roman" w:hAnsi="Times New Roman" w:cs="Times New Roman"/>
          <w:i/>
          <w:iCs/>
          <w:noProof/>
          <w:szCs w:val="24"/>
        </w:rPr>
        <w:t>Journal of Financial Economic Policy</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12</w:t>
      </w:r>
      <w:r w:rsidRPr="00FC2D24">
        <w:rPr>
          <w:rFonts w:ascii="Times New Roman" w:hAnsi="Times New Roman" w:cs="Times New Roman"/>
          <w:noProof/>
          <w:szCs w:val="24"/>
        </w:rPr>
        <w:t>(2), 263–277.</w:t>
      </w:r>
    </w:p>
    <w:p w14:paraId="3662FB02"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White, R., &amp; Alam, S. A. (2013). Asset ownership and microloan repayment: Examining data from Bangladesh. </w:t>
      </w:r>
      <w:r w:rsidRPr="00FC2D24">
        <w:rPr>
          <w:rFonts w:ascii="Times New Roman" w:hAnsi="Times New Roman" w:cs="Times New Roman"/>
          <w:i/>
          <w:iCs/>
          <w:noProof/>
          <w:szCs w:val="24"/>
        </w:rPr>
        <w:t>Development Policy Review</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31</w:t>
      </w:r>
      <w:r w:rsidRPr="00FC2D24">
        <w:rPr>
          <w:rFonts w:ascii="Times New Roman" w:hAnsi="Times New Roman" w:cs="Times New Roman"/>
          <w:noProof/>
          <w:szCs w:val="24"/>
        </w:rPr>
        <w:t>(3), 343–368.</w:t>
      </w:r>
    </w:p>
    <w:p w14:paraId="0E445A84"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lastRenderedPageBreak/>
        <w:t xml:space="preserve">Wooldridge, J. M. (2010). </w:t>
      </w:r>
      <w:r w:rsidRPr="00FC2D24">
        <w:rPr>
          <w:rFonts w:ascii="Times New Roman" w:hAnsi="Times New Roman" w:cs="Times New Roman"/>
          <w:i/>
          <w:iCs/>
          <w:noProof/>
          <w:szCs w:val="24"/>
        </w:rPr>
        <w:t>Econometric analysis of cross section and panel data</w:t>
      </w:r>
      <w:r w:rsidRPr="00FC2D24">
        <w:rPr>
          <w:rFonts w:ascii="Times New Roman" w:hAnsi="Times New Roman" w:cs="Times New Roman"/>
          <w:noProof/>
          <w:szCs w:val="24"/>
        </w:rPr>
        <w:t>. MIT press.</w:t>
      </w:r>
    </w:p>
    <w:p w14:paraId="6F5124CF"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Wydick, B., Hayes, H. K., &amp; Kempf, S. H. (2011). Social Networks , Neighborhood Effects , and Credit Access : Evidence from Rural Guatemala. </w:t>
      </w:r>
      <w:r w:rsidRPr="00FC2D24">
        <w:rPr>
          <w:rFonts w:ascii="Times New Roman" w:hAnsi="Times New Roman" w:cs="Times New Roman"/>
          <w:i/>
          <w:iCs/>
          <w:noProof/>
          <w:szCs w:val="24"/>
        </w:rPr>
        <w:t>World Development</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39</w:t>
      </w:r>
      <w:r w:rsidRPr="00FC2D24">
        <w:rPr>
          <w:rFonts w:ascii="Times New Roman" w:hAnsi="Times New Roman" w:cs="Times New Roman"/>
          <w:noProof/>
          <w:szCs w:val="24"/>
        </w:rPr>
        <w:t>(6), 974–982. https://doi.org/10.1016/j.worlddev.2009.10.015</w:t>
      </w:r>
    </w:p>
    <w:p w14:paraId="16FE1582"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szCs w:val="24"/>
        </w:rPr>
      </w:pPr>
      <w:r w:rsidRPr="00FC2D24">
        <w:rPr>
          <w:rFonts w:ascii="Times New Roman" w:hAnsi="Times New Roman" w:cs="Times New Roman"/>
          <w:noProof/>
          <w:szCs w:val="24"/>
        </w:rPr>
        <w:t xml:space="preserve">Xiao, J. J., Huang, J., Goyal, K., &amp; Kumar, S. (2022). Financial capability: a systematic conceptual review, extension and synthesis. </w:t>
      </w:r>
      <w:r w:rsidRPr="00FC2D24">
        <w:rPr>
          <w:rFonts w:ascii="Times New Roman" w:hAnsi="Times New Roman" w:cs="Times New Roman"/>
          <w:i/>
          <w:iCs/>
          <w:noProof/>
          <w:szCs w:val="24"/>
        </w:rPr>
        <w:t>International Journal of Bank Marketing</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40</w:t>
      </w:r>
      <w:r w:rsidRPr="00FC2D24">
        <w:rPr>
          <w:rFonts w:ascii="Times New Roman" w:hAnsi="Times New Roman" w:cs="Times New Roman"/>
          <w:noProof/>
          <w:szCs w:val="24"/>
        </w:rPr>
        <w:t>(7), 1680–1717.</w:t>
      </w:r>
    </w:p>
    <w:p w14:paraId="2C8BDCE4" w14:textId="77777777" w:rsidR="00FC2D24" w:rsidRPr="00FC2D24" w:rsidRDefault="00FC2D24" w:rsidP="00FC2D24">
      <w:pPr>
        <w:widowControl w:val="0"/>
        <w:autoSpaceDE w:val="0"/>
        <w:autoSpaceDN w:val="0"/>
        <w:adjustRightInd w:val="0"/>
        <w:spacing w:line="240" w:lineRule="auto"/>
        <w:ind w:left="480" w:hanging="480"/>
        <w:rPr>
          <w:rFonts w:ascii="Times New Roman" w:hAnsi="Times New Roman" w:cs="Times New Roman"/>
          <w:noProof/>
        </w:rPr>
      </w:pPr>
      <w:r w:rsidRPr="00FC2D24">
        <w:rPr>
          <w:rFonts w:ascii="Times New Roman" w:hAnsi="Times New Roman" w:cs="Times New Roman"/>
          <w:noProof/>
          <w:szCs w:val="24"/>
        </w:rPr>
        <w:t xml:space="preserve">Yue, P., Gizem, A., Yin, Z., &amp; Zhou, H. (2021). The rise of digital finance : Financial inclusion or debt trap ? </w:t>
      </w:r>
      <w:r w:rsidRPr="00FC2D24">
        <w:rPr>
          <w:rFonts w:ascii="Times New Roman" w:hAnsi="Times New Roman" w:cs="Times New Roman"/>
          <w:i/>
          <w:iCs/>
          <w:noProof/>
          <w:szCs w:val="24"/>
        </w:rPr>
        <w:t>Finance Research Letters</w:t>
      </w:r>
      <w:r w:rsidRPr="00FC2D24">
        <w:rPr>
          <w:rFonts w:ascii="Times New Roman" w:hAnsi="Times New Roman" w:cs="Times New Roman"/>
          <w:noProof/>
          <w:szCs w:val="24"/>
        </w:rPr>
        <w:t xml:space="preserve">, </w:t>
      </w:r>
      <w:r w:rsidRPr="00FC2D24">
        <w:rPr>
          <w:rFonts w:ascii="Times New Roman" w:hAnsi="Times New Roman" w:cs="Times New Roman"/>
          <w:i/>
          <w:iCs/>
          <w:noProof/>
          <w:szCs w:val="24"/>
        </w:rPr>
        <w:t>November</w:t>
      </w:r>
      <w:r w:rsidRPr="00FC2D24">
        <w:rPr>
          <w:rFonts w:ascii="Times New Roman" w:hAnsi="Times New Roman" w:cs="Times New Roman"/>
          <w:noProof/>
          <w:szCs w:val="24"/>
        </w:rPr>
        <w:t>, 102604. https://doi.org/10.1016/j.frl.2021.102604</w:t>
      </w:r>
    </w:p>
    <w:p w14:paraId="0CA5E74E" w14:textId="77777777" w:rsidR="005C27E2" w:rsidRPr="00AE154B" w:rsidRDefault="005F026D" w:rsidP="001A3851">
      <w:pPr>
        <w:spacing w:line="240" w:lineRule="auto"/>
        <w:jc w:val="both"/>
        <w:rPr>
          <w:rFonts w:ascii="Times New Roman" w:hAnsi="Times New Roman" w:cs="Times New Roman"/>
        </w:rPr>
      </w:pPr>
      <w:r w:rsidRPr="00AE154B">
        <w:rPr>
          <w:rFonts w:ascii="Times New Roman" w:hAnsi="Times New Roman" w:cs="Times New Roman"/>
        </w:rPr>
        <w:fldChar w:fldCharType="end"/>
      </w:r>
      <w:bookmarkEnd w:id="7"/>
    </w:p>
    <w:sectPr w:rsidR="005C27E2" w:rsidRPr="00AE154B">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8CC30" w14:textId="77777777" w:rsidR="003033B9" w:rsidRDefault="003033B9" w:rsidP="00797A1B">
      <w:pPr>
        <w:spacing w:after="0" w:line="240" w:lineRule="auto"/>
      </w:pPr>
      <w:r>
        <w:separator/>
      </w:r>
    </w:p>
  </w:endnote>
  <w:endnote w:type="continuationSeparator" w:id="0">
    <w:p w14:paraId="47956467" w14:textId="77777777" w:rsidR="003033B9" w:rsidRDefault="003033B9" w:rsidP="0079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359164"/>
      <w:docPartObj>
        <w:docPartGallery w:val="Page Numbers (Bottom of Page)"/>
        <w:docPartUnique/>
      </w:docPartObj>
    </w:sdtPr>
    <w:sdtEndPr>
      <w:rPr>
        <w:rFonts w:ascii="Times New Roman" w:hAnsi="Times New Roman" w:cs="Times New Roman"/>
        <w:noProof/>
        <w:sz w:val="24"/>
        <w:szCs w:val="24"/>
      </w:rPr>
    </w:sdtEndPr>
    <w:sdtContent>
      <w:p w14:paraId="0E4ABDD0" w14:textId="7EAA81E5" w:rsidR="009F38EB" w:rsidRPr="005503D3" w:rsidRDefault="009F38EB">
        <w:pPr>
          <w:pStyle w:val="Footer"/>
          <w:jc w:val="center"/>
          <w:rPr>
            <w:rFonts w:ascii="Times New Roman" w:hAnsi="Times New Roman" w:cs="Times New Roman"/>
            <w:sz w:val="24"/>
            <w:szCs w:val="24"/>
          </w:rPr>
        </w:pPr>
        <w:r w:rsidRPr="005503D3">
          <w:rPr>
            <w:rFonts w:ascii="Times New Roman" w:hAnsi="Times New Roman" w:cs="Times New Roman"/>
            <w:sz w:val="24"/>
            <w:szCs w:val="24"/>
          </w:rPr>
          <w:fldChar w:fldCharType="begin"/>
        </w:r>
        <w:r w:rsidRPr="005503D3">
          <w:rPr>
            <w:rFonts w:ascii="Times New Roman" w:hAnsi="Times New Roman" w:cs="Times New Roman"/>
            <w:sz w:val="24"/>
            <w:szCs w:val="24"/>
          </w:rPr>
          <w:instrText xml:space="preserve"> PAGE   \* MERGEFORMAT </w:instrText>
        </w:r>
        <w:r w:rsidRPr="005503D3">
          <w:rPr>
            <w:rFonts w:ascii="Times New Roman" w:hAnsi="Times New Roman" w:cs="Times New Roman"/>
            <w:sz w:val="24"/>
            <w:szCs w:val="24"/>
          </w:rPr>
          <w:fldChar w:fldCharType="separate"/>
        </w:r>
        <w:r w:rsidR="008C409C">
          <w:rPr>
            <w:rFonts w:ascii="Times New Roman" w:hAnsi="Times New Roman" w:cs="Times New Roman"/>
            <w:noProof/>
            <w:sz w:val="24"/>
            <w:szCs w:val="24"/>
          </w:rPr>
          <w:t>16</w:t>
        </w:r>
        <w:r w:rsidRPr="005503D3">
          <w:rPr>
            <w:rFonts w:ascii="Times New Roman" w:hAnsi="Times New Roman" w:cs="Times New Roman"/>
            <w:noProof/>
            <w:sz w:val="24"/>
            <w:szCs w:val="24"/>
          </w:rPr>
          <w:fldChar w:fldCharType="end"/>
        </w:r>
      </w:p>
    </w:sdtContent>
  </w:sdt>
  <w:p w14:paraId="646088EF" w14:textId="77777777" w:rsidR="009F38EB" w:rsidRDefault="009F38EB" w:rsidP="005503D3">
    <w:pPr>
      <w:pStyle w:val="Footer"/>
      <w:tabs>
        <w:tab w:val="clear" w:pos="4680"/>
        <w:tab w:val="clear" w:pos="9360"/>
        <w:tab w:val="left" w:pos="660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32CAB" w14:textId="77777777" w:rsidR="003033B9" w:rsidRDefault="003033B9" w:rsidP="00797A1B">
      <w:pPr>
        <w:spacing w:after="0" w:line="240" w:lineRule="auto"/>
      </w:pPr>
      <w:r>
        <w:separator/>
      </w:r>
    </w:p>
  </w:footnote>
  <w:footnote w:type="continuationSeparator" w:id="0">
    <w:p w14:paraId="0A793CA1" w14:textId="77777777" w:rsidR="003033B9" w:rsidRDefault="003033B9" w:rsidP="00797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4D82" w14:textId="77777777" w:rsidR="009F38EB" w:rsidRDefault="009F38EB">
    <w:pPr>
      <w:pStyle w:val="Header"/>
      <w:jc w:val="center"/>
    </w:pPr>
  </w:p>
  <w:p w14:paraId="70794DC3" w14:textId="77777777" w:rsidR="009F38EB" w:rsidRDefault="009F3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77E2"/>
    <w:multiLevelType w:val="hybridMultilevel"/>
    <w:tmpl w:val="C714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40E0C"/>
    <w:multiLevelType w:val="multilevel"/>
    <w:tmpl w:val="40E6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E6E92"/>
    <w:multiLevelType w:val="multilevel"/>
    <w:tmpl w:val="273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15327"/>
    <w:multiLevelType w:val="multilevel"/>
    <w:tmpl w:val="9AEE19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6A7F99"/>
    <w:multiLevelType w:val="multilevel"/>
    <w:tmpl w:val="E98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D1A37"/>
    <w:multiLevelType w:val="multilevel"/>
    <w:tmpl w:val="DC2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95620"/>
    <w:multiLevelType w:val="multilevel"/>
    <w:tmpl w:val="A788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305F7"/>
    <w:multiLevelType w:val="multilevel"/>
    <w:tmpl w:val="2760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A7AF1"/>
    <w:multiLevelType w:val="multilevel"/>
    <w:tmpl w:val="8BC2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275FE"/>
    <w:multiLevelType w:val="hybridMultilevel"/>
    <w:tmpl w:val="3E40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768F5"/>
    <w:multiLevelType w:val="hybridMultilevel"/>
    <w:tmpl w:val="BB56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217D66"/>
    <w:multiLevelType w:val="hybridMultilevel"/>
    <w:tmpl w:val="10AAD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882F10"/>
    <w:multiLevelType w:val="hybridMultilevel"/>
    <w:tmpl w:val="5A96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51B77"/>
    <w:multiLevelType w:val="multilevel"/>
    <w:tmpl w:val="F7E6D028"/>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F8172C"/>
    <w:multiLevelType w:val="multilevel"/>
    <w:tmpl w:val="336048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8D67756"/>
    <w:multiLevelType w:val="multilevel"/>
    <w:tmpl w:val="D99A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4D3C68"/>
    <w:multiLevelType w:val="multilevel"/>
    <w:tmpl w:val="4032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F2AA0"/>
    <w:multiLevelType w:val="multilevel"/>
    <w:tmpl w:val="CCA46C6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10"/>
  </w:num>
  <w:num w:numId="4">
    <w:abstractNumId w:val="17"/>
  </w:num>
  <w:num w:numId="5">
    <w:abstractNumId w:val="2"/>
  </w:num>
  <w:num w:numId="6">
    <w:abstractNumId w:val="7"/>
  </w:num>
  <w:num w:numId="7">
    <w:abstractNumId w:val="4"/>
  </w:num>
  <w:num w:numId="8">
    <w:abstractNumId w:val="6"/>
  </w:num>
  <w:num w:numId="9">
    <w:abstractNumId w:val="9"/>
  </w:num>
  <w:num w:numId="10">
    <w:abstractNumId w:val="16"/>
  </w:num>
  <w:num w:numId="11">
    <w:abstractNumId w:val="15"/>
  </w:num>
  <w:num w:numId="12">
    <w:abstractNumId w:val="1"/>
  </w:num>
  <w:num w:numId="13">
    <w:abstractNumId w:val="5"/>
  </w:num>
  <w:num w:numId="14">
    <w:abstractNumId w:val="12"/>
  </w:num>
  <w:num w:numId="15">
    <w:abstractNumId w:val="11"/>
  </w:num>
  <w:num w:numId="16">
    <w:abstractNumId w:val="8"/>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1B"/>
    <w:rsid w:val="00006C05"/>
    <w:rsid w:val="00010026"/>
    <w:rsid w:val="0001390D"/>
    <w:rsid w:val="000418E6"/>
    <w:rsid w:val="00043452"/>
    <w:rsid w:val="00050FF2"/>
    <w:rsid w:val="00051845"/>
    <w:rsid w:val="00064948"/>
    <w:rsid w:val="0007592B"/>
    <w:rsid w:val="00076AE9"/>
    <w:rsid w:val="0008211C"/>
    <w:rsid w:val="000846DB"/>
    <w:rsid w:val="00085121"/>
    <w:rsid w:val="00085A37"/>
    <w:rsid w:val="0009282D"/>
    <w:rsid w:val="00094D53"/>
    <w:rsid w:val="000B4864"/>
    <w:rsid w:val="000C0B26"/>
    <w:rsid w:val="000C3A2C"/>
    <w:rsid w:val="000D4782"/>
    <w:rsid w:val="000E0A77"/>
    <w:rsid w:val="000E3215"/>
    <w:rsid w:val="000E6B7A"/>
    <w:rsid w:val="000F1DD3"/>
    <w:rsid w:val="000F2590"/>
    <w:rsid w:val="000F3A9F"/>
    <w:rsid w:val="000F75F8"/>
    <w:rsid w:val="00101509"/>
    <w:rsid w:val="00101ED9"/>
    <w:rsid w:val="001034A0"/>
    <w:rsid w:val="00104684"/>
    <w:rsid w:val="00117DF9"/>
    <w:rsid w:val="001228EF"/>
    <w:rsid w:val="00135883"/>
    <w:rsid w:val="00136263"/>
    <w:rsid w:val="001418FE"/>
    <w:rsid w:val="0014652F"/>
    <w:rsid w:val="00156107"/>
    <w:rsid w:val="0015689F"/>
    <w:rsid w:val="00156F27"/>
    <w:rsid w:val="00157709"/>
    <w:rsid w:val="001664A0"/>
    <w:rsid w:val="00166F6C"/>
    <w:rsid w:val="00174023"/>
    <w:rsid w:val="0017431D"/>
    <w:rsid w:val="00176B1E"/>
    <w:rsid w:val="0018374A"/>
    <w:rsid w:val="00184E3B"/>
    <w:rsid w:val="00190B48"/>
    <w:rsid w:val="00196247"/>
    <w:rsid w:val="001A3851"/>
    <w:rsid w:val="001D58F8"/>
    <w:rsid w:val="002000F1"/>
    <w:rsid w:val="002118F1"/>
    <w:rsid w:val="00222026"/>
    <w:rsid w:val="00222662"/>
    <w:rsid w:val="00223A49"/>
    <w:rsid w:val="0023142F"/>
    <w:rsid w:val="00231690"/>
    <w:rsid w:val="00243368"/>
    <w:rsid w:val="00253FDF"/>
    <w:rsid w:val="00256BBF"/>
    <w:rsid w:val="00262B3A"/>
    <w:rsid w:val="002647BD"/>
    <w:rsid w:val="0026709C"/>
    <w:rsid w:val="002769D2"/>
    <w:rsid w:val="00276B31"/>
    <w:rsid w:val="002A07C6"/>
    <w:rsid w:val="002A42DE"/>
    <w:rsid w:val="002B7DFD"/>
    <w:rsid w:val="002C2275"/>
    <w:rsid w:val="002C33DE"/>
    <w:rsid w:val="002C5157"/>
    <w:rsid w:val="002D08D5"/>
    <w:rsid w:val="002D6911"/>
    <w:rsid w:val="002D72FD"/>
    <w:rsid w:val="002E12FF"/>
    <w:rsid w:val="002E32A4"/>
    <w:rsid w:val="002E7ABB"/>
    <w:rsid w:val="002E7B50"/>
    <w:rsid w:val="002F4E21"/>
    <w:rsid w:val="003016C1"/>
    <w:rsid w:val="003033B9"/>
    <w:rsid w:val="00306E39"/>
    <w:rsid w:val="00330EF2"/>
    <w:rsid w:val="00332395"/>
    <w:rsid w:val="00340CAA"/>
    <w:rsid w:val="00345991"/>
    <w:rsid w:val="003710D8"/>
    <w:rsid w:val="00380729"/>
    <w:rsid w:val="00383251"/>
    <w:rsid w:val="00392855"/>
    <w:rsid w:val="00393EAF"/>
    <w:rsid w:val="00394DA4"/>
    <w:rsid w:val="003A2FB8"/>
    <w:rsid w:val="003C0887"/>
    <w:rsid w:val="003C12EB"/>
    <w:rsid w:val="003D0AB7"/>
    <w:rsid w:val="003E26F1"/>
    <w:rsid w:val="003E6FE7"/>
    <w:rsid w:val="003F5F35"/>
    <w:rsid w:val="003F6906"/>
    <w:rsid w:val="00410DEC"/>
    <w:rsid w:val="00417845"/>
    <w:rsid w:val="00422958"/>
    <w:rsid w:val="0043076E"/>
    <w:rsid w:val="00435801"/>
    <w:rsid w:val="00437A52"/>
    <w:rsid w:val="00440A02"/>
    <w:rsid w:val="00443916"/>
    <w:rsid w:val="00443C05"/>
    <w:rsid w:val="00445F6D"/>
    <w:rsid w:val="00446A0F"/>
    <w:rsid w:val="00450976"/>
    <w:rsid w:val="0045503C"/>
    <w:rsid w:val="00480AEC"/>
    <w:rsid w:val="00486628"/>
    <w:rsid w:val="004956B9"/>
    <w:rsid w:val="00496C9E"/>
    <w:rsid w:val="004B1D52"/>
    <w:rsid w:val="004B7D6A"/>
    <w:rsid w:val="004C594C"/>
    <w:rsid w:val="004D22EE"/>
    <w:rsid w:val="004D263F"/>
    <w:rsid w:val="004D2D6A"/>
    <w:rsid w:val="004D4B7B"/>
    <w:rsid w:val="004E27AB"/>
    <w:rsid w:val="004E4AAD"/>
    <w:rsid w:val="004E6CE3"/>
    <w:rsid w:val="004F0E8A"/>
    <w:rsid w:val="00503DAC"/>
    <w:rsid w:val="00511B3E"/>
    <w:rsid w:val="0051401B"/>
    <w:rsid w:val="00524C48"/>
    <w:rsid w:val="00525710"/>
    <w:rsid w:val="005400A9"/>
    <w:rsid w:val="005455D6"/>
    <w:rsid w:val="005503D3"/>
    <w:rsid w:val="00552E5B"/>
    <w:rsid w:val="005569E1"/>
    <w:rsid w:val="00562ECE"/>
    <w:rsid w:val="00567618"/>
    <w:rsid w:val="00590E89"/>
    <w:rsid w:val="00595B5D"/>
    <w:rsid w:val="00595C53"/>
    <w:rsid w:val="005974C5"/>
    <w:rsid w:val="005A1BB9"/>
    <w:rsid w:val="005A40DA"/>
    <w:rsid w:val="005B0DD2"/>
    <w:rsid w:val="005B213B"/>
    <w:rsid w:val="005B3A12"/>
    <w:rsid w:val="005B7460"/>
    <w:rsid w:val="005C1B29"/>
    <w:rsid w:val="005C27E2"/>
    <w:rsid w:val="005C4BF6"/>
    <w:rsid w:val="005C595B"/>
    <w:rsid w:val="005D54DA"/>
    <w:rsid w:val="005F026D"/>
    <w:rsid w:val="005F21BA"/>
    <w:rsid w:val="00611535"/>
    <w:rsid w:val="006132FB"/>
    <w:rsid w:val="00614B9E"/>
    <w:rsid w:val="006260BC"/>
    <w:rsid w:val="00627235"/>
    <w:rsid w:val="00637B99"/>
    <w:rsid w:val="006474C8"/>
    <w:rsid w:val="00650030"/>
    <w:rsid w:val="0065786A"/>
    <w:rsid w:val="00670B9E"/>
    <w:rsid w:val="006772AD"/>
    <w:rsid w:val="006775E7"/>
    <w:rsid w:val="006803ED"/>
    <w:rsid w:val="006A2906"/>
    <w:rsid w:val="006B58B5"/>
    <w:rsid w:val="006D4320"/>
    <w:rsid w:val="006F0302"/>
    <w:rsid w:val="00704D9B"/>
    <w:rsid w:val="0070579F"/>
    <w:rsid w:val="00710BFB"/>
    <w:rsid w:val="0071348D"/>
    <w:rsid w:val="00722A08"/>
    <w:rsid w:val="00723E55"/>
    <w:rsid w:val="007371BD"/>
    <w:rsid w:val="00746DBF"/>
    <w:rsid w:val="00751EAE"/>
    <w:rsid w:val="00754B81"/>
    <w:rsid w:val="00757878"/>
    <w:rsid w:val="00765D6C"/>
    <w:rsid w:val="0077007D"/>
    <w:rsid w:val="007777E8"/>
    <w:rsid w:val="007815CE"/>
    <w:rsid w:val="00783B3C"/>
    <w:rsid w:val="007962BF"/>
    <w:rsid w:val="00797A1B"/>
    <w:rsid w:val="007A173E"/>
    <w:rsid w:val="007B344C"/>
    <w:rsid w:val="007C297D"/>
    <w:rsid w:val="007D22CD"/>
    <w:rsid w:val="007E06AB"/>
    <w:rsid w:val="007E0734"/>
    <w:rsid w:val="007E3D6B"/>
    <w:rsid w:val="00827058"/>
    <w:rsid w:val="008346C1"/>
    <w:rsid w:val="00841259"/>
    <w:rsid w:val="00847EFF"/>
    <w:rsid w:val="00865A88"/>
    <w:rsid w:val="00873D1D"/>
    <w:rsid w:val="008937DE"/>
    <w:rsid w:val="00895AB9"/>
    <w:rsid w:val="008A4DEB"/>
    <w:rsid w:val="008A5570"/>
    <w:rsid w:val="008B02D1"/>
    <w:rsid w:val="008B1130"/>
    <w:rsid w:val="008B3532"/>
    <w:rsid w:val="008B4363"/>
    <w:rsid w:val="008C3AE5"/>
    <w:rsid w:val="008C409C"/>
    <w:rsid w:val="008D3446"/>
    <w:rsid w:val="008D58BF"/>
    <w:rsid w:val="008D6C4A"/>
    <w:rsid w:val="008E2D8A"/>
    <w:rsid w:val="008E608D"/>
    <w:rsid w:val="008E764B"/>
    <w:rsid w:val="008F568B"/>
    <w:rsid w:val="008F6E91"/>
    <w:rsid w:val="0090681F"/>
    <w:rsid w:val="00911FEA"/>
    <w:rsid w:val="0091359C"/>
    <w:rsid w:val="0091701E"/>
    <w:rsid w:val="009232DC"/>
    <w:rsid w:val="009256D6"/>
    <w:rsid w:val="009315CF"/>
    <w:rsid w:val="00931988"/>
    <w:rsid w:val="00944D03"/>
    <w:rsid w:val="009633EC"/>
    <w:rsid w:val="0096415D"/>
    <w:rsid w:val="00965898"/>
    <w:rsid w:val="009727F7"/>
    <w:rsid w:val="00977F66"/>
    <w:rsid w:val="00983207"/>
    <w:rsid w:val="00986F16"/>
    <w:rsid w:val="0099311B"/>
    <w:rsid w:val="009A26AE"/>
    <w:rsid w:val="009A7381"/>
    <w:rsid w:val="009B0AAB"/>
    <w:rsid w:val="009D0E1E"/>
    <w:rsid w:val="009D2CC4"/>
    <w:rsid w:val="009D3E12"/>
    <w:rsid w:val="009E0DC3"/>
    <w:rsid w:val="009F0BCD"/>
    <w:rsid w:val="009F38EB"/>
    <w:rsid w:val="00A0340B"/>
    <w:rsid w:val="00A152F1"/>
    <w:rsid w:val="00A1625D"/>
    <w:rsid w:val="00A167D8"/>
    <w:rsid w:val="00A30871"/>
    <w:rsid w:val="00A3142A"/>
    <w:rsid w:val="00A37406"/>
    <w:rsid w:val="00A40C95"/>
    <w:rsid w:val="00A425FE"/>
    <w:rsid w:val="00A44A17"/>
    <w:rsid w:val="00A5512B"/>
    <w:rsid w:val="00A641F3"/>
    <w:rsid w:val="00A83A39"/>
    <w:rsid w:val="00A911EF"/>
    <w:rsid w:val="00AA67FD"/>
    <w:rsid w:val="00AB368E"/>
    <w:rsid w:val="00AB4C76"/>
    <w:rsid w:val="00AB6E82"/>
    <w:rsid w:val="00AB7C00"/>
    <w:rsid w:val="00AC062C"/>
    <w:rsid w:val="00AC2A5F"/>
    <w:rsid w:val="00AC3EA6"/>
    <w:rsid w:val="00AE154B"/>
    <w:rsid w:val="00AE1786"/>
    <w:rsid w:val="00AF64D8"/>
    <w:rsid w:val="00B03F67"/>
    <w:rsid w:val="00B12499"/>
    <w:rsid w:val="00B1348B"/>
    <w:rsid w:val="00B13F67"/>
    <w:rsid w:val="00B16545"/>
    <w:rsid w:val="00B25ABB"/>
    <w:rsid w:val="00B26B19"/>
    <w:rsid w:val="00B3221C"/>
    <w:rsid w:val="00B5465C"/>
    <w:rsid w:val="00B5528F"/>
    <w:rsid w:val="00B56948"/>
    <w:rsid w:val="00B6356C"/>
    <w:rsid w:val="00B63E8D"/>
    <w:rsid w:val="00B6427E"/>
    <w:rsid w:val="00B65A16"/>
    <w:rsid w:val="00B65A7F"/>
    <w:rsid w:val="00B72667"/>
    <w:rsid w:val="00B76AE5"/>
    <w:rsid w:val="00B77A5C"/>
    <w:rsid w:val="00B80045"/>
    <w:rsid w:val="00B85021"/>
    <w:rsid w:val="00B85500"/>
    <w:rsid w:val="00B90664"/>
    <w:rsid w:val="00B9203D"/>
    <w:rsid w:val="00B92641"/>
    <w:rsid w:val="00B927FC"/>
    <w:rsid w:val="00B94BBC"/>
    <w:rsid w:val="00B950CC"/>
    <w:rsid w:val="00BB1C1E"/>
    <w:rsid w:val="00BB5421"/>
    <w:rsid w:val="00BB5446"/>
    <w:rsid w:val="00BC0791"/>
    <w:rsid w:val="00BC3A5C"/>
    <w:rsid w:val="00BC3BE5"/>
    <w:rsid w:val="00BD212A"/>
    <w:rsid w:val="00BE4EC3"/>
    <w:rsid w:val="00BF658B"/>
    <w:rsid w:val="00C01809"/>
    <w:rsid w:val="00C035FF"/>
    <w:rsid w:val="00C07F77"/>
    <w:rsid w:val="00C115E7"/>
    <w:rsid w:val="00C121AA"/>
    <w:rsid w:val="00C14787"/>
    <w:rsid w:val="00C14AB8"/>
    <w:rsid w:val="00C1611A"/>
    <w:rsid w:val="00C25130"/>
    <w:rsid w:val="00C349BB"/>
    <w:rsid w:val="00C47483"/>
    <w:rsid w:val="00C527DD"/>
    <w:rsid w:val="00C66E65"/>
    <w:rsid w:val="00C7142E"/>
    <w:rsid w:val="00C80E99"/>
    <w:rsid w:val="00C87881"/>
    <w:rsid w:val="00C87AFA"/>
    <w:rsid w:val="00CA12E5"/>
    <w:rsid w:val="00CA6987"/>
    <w:rsid w:val="00CA7309"/>
    <w:rsid w:val="00CB0131"/>
    <w:rsid w:val="00CC13A0"/>
    <w:rsid w:val="00CD2352"/>
    <w:rsid w:val="00CE530C"/>
    <w:rsid w:val="00D0193E"/>
    <w:rsid w:val="00D01C72"/>
    <w:rsid w:val="00D11847"/>
    <w:rsid w:val="00D2110B"/>
    <w:rsid w:val="00D30DF3"/>
    <w:rsid w:val="00D36A61"/>
    <w:rsid w:val="00D4409D"/>
    <w:rsid w:val="00D63377"/>
    <w:rsid w:val="00D73702"/>
    <w:rsid w:val="00D8139D"/>
    <w:rsid w:val="00D859D1"/>
    <w:rsid w:val="00D87524"/>
    <w:rsid w:val="00DC7056"/>
    <w:rsid w:val="00DD08BB"/>
    <w:rsid w:val="00DD58B3"/>
    <w:rsid w:val="00DD5AE8"/>
    <w:rsid w:val="00DE01FB"/>
    <w:rsid w:val="00DE119B"/>
    <w:rsid w:val="00E0344F"/>
    <w:rsid w:val="00E03B8A"/>
    <w:rsid w:val="00E074B9"/>
    <w:rsid w:val="00E13D26"/>
    <w:rsid w:val="00E20AA0"/>
    <w:rsid w:val="00E231A4"/>
    <w:rsid w:val="00E41DB2"/>
    <w:rsid w:val="00E55FA9"/>
    <w:rsid w:val="00E61EDB"/>
    <w:rsid w:val="00E63B7C"/>
    <w:rsid w:val="00E74339"/>
    <w:rsid w:val="00E87D53"/>
    <w:rsid w:val="00E97261"/>
    <w:rsid w:val="00EA679A"/>
    <w:rsid w:val="00EF42B6"/>
    <w:rsid w:val="00EF6D43"/>
    <w:rsid w:val="00F156EC"/>
    <w:rsid w:val="00F252F5"/>
    <w:rsid w:val="00F279D7"/>
    <w:rsid w:val="00F300D8"/>
    <w:rsid w:val="00F32CB7"/>
    <w:rsid w:val="00F51040"/>
    <w:rsid w:val="00F518E9"/>
    <w:rsid w:val="00F606F1"/>
    <w:rsid w:val="00F62D2F"/>
    <w:rsid w:val="00F66647"/>
    <w:rsid w:val="00F718F7"/>
    <w:rsid w:val="00F74F25"/>
    <w:rsid w:val="00F76856"/>
    <w:rsid w:val="00F773AE"/>
    <w:rsid w:val="00F83D89"/>
    <w:rsid w:val="00F94723"/>
    <w:rsid w:val="00F94976"/>
    <w:rsid w:val="00FB4125"/>
    <w:rsid w:val="00FC2D24"/>
    <w:rsid w:val="00FC2E37"/>
    <w:rsid w:val="00FC618B"/>
    <w:rsid w:val="00FD3D72"/>
    <w:rsid w:val="00FE3513"/>
    <w:rsid w:val="00FF3500"/>
    <w:rsid w:val="00FF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97D4B"/>
  <w15:chartTrackingRefBased/>
  <w15:docId w15:val="{362F6AEF-B0FE-4CD4-83CE-40432C72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A1B"/>
  </w:style>
  <w:style w:type="paragraph" w:styleId="Heading1">
    <w:name w:val="heading 1"/>
    <w:basedOn w:val="Normal"/>
    <w:next w:val="Normal"/>
    <w:link w:val="Heading1Char"/>
    <w:uiPriority w:val="9"/>
    <w:qFormat/>
    <w:rsid w:val="002C51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51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E35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097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5097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n,ft,single space,FOOTNOTES,ADB,WB-Fußnotentext,Fußnote,WB-Fuﬂnotentext,Fuﬂnote,Note de bas de page Car,ALTS FOOTNOTE,Footnote Text Char Char Char Char Char Char,f,Car,Cha,Fußnotentextr,Char,footnote text,Footnote text, Char"/>
    <w:basedOn w:val="Normal"/>
    <w:link w:val="FootnoteTextChar"/>
    <w:uiPriority w:val="99"/>
    <w:unhideWhenUsed/>
    <w:qFormat/>
    <w:rsid w:val="00797A1B"/>
    <w:pPr>
      <w:spacing w:after="0" w:line="240" w:lineRule="auto"/>
    </w:pPr>
    <w:rPr>
      <w:sz w:val="20"/>
      <w:szCs w:val="20"/>
    </w:rPr>
  </w:style>
  <w:style w:type="character" w:customStyle="1" w:styleId="FootnoteTextChar">
    <w:name w:val="Footnote Text Char"/>
    <w:aliases w:val="Footnote Char,fn Char,ft Char,single space Char,FOOTNOTES Char,ADB Char,WB-Fußnotentext Char,Fußnote Char,WB-Fuﬂnotentext Char,Fuﬂnote Char,Note de bas de page Car Char,ALTS FOOTNOTE Char,f Char,Car Char,Cha Char,Fußnotentextr Char"/>
    <w:basedOn w:val="DefaultParagraphFont"/>
    <w:link w:val="FootnoteText"/>
    <w:uiPriority w:val="99"/>
    <w:rsid w:val="00797A1B"/>
    <w:rPr>
      <w:sz w:val="20"/>
      <w:szCs w:val="20"/>
    </w:rPr>
  </w:style>
  <w:style w:type="character" w:styleId="FootnoteReference">
    <w:name w:val="footnote reference"/>
    <w:aliases w:val="16 Point,Superscript 6 Point,ftref,Ref. de nota al pie.,referencia nota al pie,Fußnotenzeichen DISS,Ref. de nota al pie EDEP,pie pddes,FC,BVI fnr,Footnote Reference1,Error-Fußnotenzeichen5,Error-Fußnotenzeichen6,Ref,note bp, BVI fnr"/>
    <w:basedOn w:val="DefaultParagraphFont"/>
    <w:link w:val="BVIfnrCharCharCharCharCharChar1CharCharCharCharCharChar"/>
    <w:uiPriority w:val="99"/>
    <w:unhideWhenUsed/>
    <w:qFormat/>
    <w:rsid w:val="00797A1B"/>
    <w:rPr>
      <w:vertAlign w:val="superscript"/>
    </w:rPr>
  </w:style>
  <w:style w:type="character" w:styleId="Hyperlink">
    <w:name w:val="Hyperlink"/>
    <w:basedOn w:val="DefaultParagraphFont"/>
    <w:uiPriority w:val="99"/>
    <w:unhideWhenUsed/>
    <w:rsid w:val="00797A1B"/>
    <w:rPr>
      <w:color w:val="0000FF"/>
      <w:u w:val="single"/>
    </w:rPr>
  </w:style>
  <w:style w:type="paragraph" w:styleId="ListParagraph">
    <w:name w:val="List Paragraph"/>
    <w:aliases w:val="Citation List,F5 List Paragraph,Bullet List,FooterText,List Paragraph1,Colorful List - Accent 11,Colorful List - Accent 111,Dot pt,No Spacing1,List Paragraph Char Char Char,Indicator Text,Numbered Para 1,Bullet 1,List Paragraph12,ANNEX"/>
    <w:basedOn w:val="Normal"/>
    <w:link w:val="ListParagraphChar"/>
    <w:uiPriority w:val="34"/>
    <w:qFormat/>
    <w:rsid w:val="00797A1B"/>
    <w:pPr>
      <w:ind w:left="720"/>
      <w:contextualSpacing/>
    </w:p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link w:val="FootnoteReference"/>
    <w:uiPriority w:val="99"/>
    <w:rsid w:val="00797A1B"/>
    <w:pPr>
      <w:spacing w:after="0" w:line="240" w:lineRule="auto"/>
      <w:jc w:val="both"/>
    </w:pPr>
    <w:rPr>
      <w:vertAlign w:val="superscript"/>
    </w:rPr>
  </w:style>
  <w:style w:type="character" w:customStyle="1" w:styleId="ListParagraphChar">
    <w:name w:val="List Paragraph Char"/>
    <w:aliases w:val="Citation List Char,F5 List Paragraph Char,Bullet List Char,FooterText Char,List Paragraph1 Char,Colorful List - Accent 11 Char,Colorful List - Accent 111 Char,Dot pt Char,No Spacing1 Char,List Paragraph Char Char Char Char,ANNEX Char"/>
    <w:basedOn w:val="DefaultParagraphFont"/>
    <w:link w:val="ListParagraph"/>
    <w:uiPriority w:val="34"/>
    <w:rsid w:val="00797A1B"/>
  </w:style>
  <w:style w:type="character" w:styleId="Strong">
    <w:name w:val="Strong"/>
    <w:basedOn w:val="DefaultParagraphFont"/>
    <w:uiPriority w:val="22"/>
    <w:qFormat/>
    <w:rsid w:val="00797A1B"/>
    <w:rPr>
      <w:b/>
      <w:bCs/>
    </w:rPr>
  </w:style>
  <w:style w:type="paragraph" w:styleId="NormalWeb">
    <w:name w:val="Normal (Web)"/>
    <w:basedOn w:val="Normal"/>
    <w:uiPriority w:val="99"/>
    <w:unhideWhenUsed/>
    <w:rsid w:val="00797A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7A1B"/>
    <w:rPr>
      <w:i/>
      <w:iCs/>
    </w:rPr>
  </w:style>
  <w:style w:type="character" w:customStyle="1" w:styleId="katex-mathml">
    <w:name w:val="katex-mathml"/>
    <w:basedOn w:val="DefaultParagraphFont"/>
    <w:rsid w:val="00797A1B"/>
  </w:style>
  <w:style w:type="character" w:customStyle="1" w:styleId="mord">
    <w:name w:val="mord"/>
    <w:basedOn w:val="DefaultParagraphFont"/>
    <w:rsid w:val="00797A1B"/>
  </w:style>
  <w:style w:type="character" w:customStyle="1" w:styleId="vlist-s">
    <w:name w:val="vlist-s"/>
    <w:basedOn w:val="DefaultParagraphFont"/>
    <w:rsid w:val="00797A1B"/>
  </w:style>
  <w:style w:type="character" w:customStyle="1" w:styleId="mrel">
    <w:name w:val="mrel"/>
    <w:basedOn w:val="DefaultParagraphFont"/>
    <w:rsid w:val="00797A1B"/>
  </w:style>
  <w:style w:type="character" w:customStyle="1" w:styleId="mbin">
    <w:name w:val="mbin"/>
    <w:basedOn w:val="DefaultParagraphFont"/>
    <w:rsid w:val="00797A1B"/>
  </w:style>
  <w:style w:type="character" w:customStyle="1" w:styleId="mop">
    <w:name w:val="mop"/>
    <w:basedOn w:val="DefaultParagraphFont"/>
    <w:rsid w:val="00797A1B"/>
  </w:style>
  <w:style w:type="character" w:customStyle="1" w:styleId="mopen">
    <w:name w:val="mopen"/>
    <w:basedOn w:val="DefaultParagraphFont"/>
    <w:rsid w:val="00797A1B"/>
  </w:style>
  <w:style w:type="character" w:customStyle="1" w:styleId="mclose">
    <w:name w:val="mclose"/>
    <w:basedOn w:val="DefaultParagraphFont"/>
    <w:rsid w:val="00797A1B"/>
  </w:style>
  <w:style w:type="character" w:styleId="HTMLCode">
    <w:name w:val="HTML Code"/>
    <w:basedOn w:val="DefaultParagraphFont"/>
    <w:uiPriority w:val="99"/>
    <w:semiHidden/>
    <w:unhideWhenUsed/>
    <w:rsid w:val="00797A1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21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10B"/>
    <w:rPr>
      <w:rFonts w:ascii="Segoe UI" w:hAnsi="Segoe UI" w:cs="Segoe UI"/>
      <w:sz w:val="18"/>
      <w:szCs w:val="18"/>
    </w:rPr>
  </w:style>
  <w:style w:type="character" w:customStyle="1" w:styleId="ms-1">
    <w:name w:val="ms-1"/>
    <w:basedOn w:val="DefaultParagraphFont"/>
    <w:rsid w:val="00443916"/>
  </w:style>
  <w:style w:type="character" w:customStyle="1" w:styleId="max-w-15ch">
    <w:name w:val="max-w-[15ch]"/>
    <w:basedOn w:val="DefaultParagraphFont"/>
    <w:rsid w:val="00443916"/>
  </w:style>
  <w:style w:type="character" w:customStyle="1" w:styleId="-me-1">
    <w:name w:val="-me-1"/>
    <w:basedOn w:val="DefaultParagraphFont"/>
    <w:rsid w:val="00443916"/>
  </w:style>
  <w:style w:type="paragraph" w:styleId="Caption">
    <w:name w:val="caption"/>
    <w:aliases w:val="Dedication"/>
    <w:basedOn w:val="Normal"/>
    <w:next w:val="Normal"/>
    <w:link w:val="CaptionChar"/>
    <w:uiPriority w:val="35"/>
    <w:unhideWhenUsed/>
    <w:qFormat/>
    <w:rsid w:val="006132FB"/>
    <w:pPr>
      <w:spacing w:after="200" w:line="240" w:lineRule="auto"/>
    </w:pPr>
    <w:rPr>
      <w:rFonts w:ascii="Times New Roman" w:hAnsi="Times New Roman"/>
      <w:i/>
      <w:iCs/>
      <w:color w:val="44546A" w:themeColor="text2"/>
      <w:sz w:val="18"/>
      <w:szCs w:val="18"/>
    </w:rPr>
  </w:style>
  <w:style w:type="character" w:customStyle="1" w:styleId="CaptionChar">
    <w:name w:val="Caption Char"/>
    <w:aliases w:val="Dedication Char"/>
    <w:link w:val="Caption"/>
    <w:uiPriority w:val="35"/>
    <w:rsid w:val="006132FB"/>
    <w:rPr>
      <w:rFonts w:ascii="Times New Roman" w:hAnsi="Times New Roman"/>
      <w:i/>
      <w:iCs/>
      <w:color w:val="44546A" w:themeColor="text2"/>
      <w:sz w:val="18"/>
      <w:szCs w:val="18"/>
    </w:rPr>
  </w:style>
  <w:style w:type="character" w:customStyle="1" w:styleId="Heading3Char">
    <w:name w:val="Heading 3 Char"/>
    <w:basedOn w:val="DefaultParagraphFont"/>
    <w:link w:val="Heading3"/>
    <w:uiPriority w:val="9"/>
    <w:rsid w:val="00FE351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F51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040"/>
  </w:style>
  <w:style w:type="paragraph" w:styleId="Footer">
    <w:name w:val="footer"/>
    <w:basedOn w:val="Normal"/>
    <w:link w:val="FooterChar"/>
    <w:uiPriority w:val="99"/>
    <w:unhideWhenUsed/>
    <w:rsid w:val="00F51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040"/>
  </w:style>
  <w:style w:type="character" w:customStyle="1" w:styleId="Heading1Char">
    <w:name w:val="Heading 1 Char"/>
    <w:basedOn w:val="DefaultParagraphFont"/>
    <w:link w:val="Heading1"/>
    <w:uiPriority w:val="9"/>
    <w:rsid w:val="002C51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515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8211C"/>
    <w:rPr>
      <w:sz w:val="16"/>
      <w:szCs w:val="16"/>
    </w:rPr>
  </w:style>
  <w:style w:type="paragraph" w:styleId="CommentText">
    <w:name w:val="annotation text"/>
    <w:basedOn w:val="Normal"/>
    <w:link w:val="CommentTextChar"/>
    <w:uiPriority w:val="99"/>
    <w:semiHidden/>
    <w:unhideWhenUsed/>
    <w:rsid w:val="0008211C"/>
    <w:pPr>
      <w:spacing w:line="240" w:lineRule="auto"/>
    </w:pPr>
    <w:rPr>
      <w:sz w:val="20"/>
      <w:szCs w:val="20"/>
    </w:rPr>
  </w:style>
  <w:style w:type="character" w:customStyle="1" w:styleId="CommentTextChar">
    <w:name w:val="Comment Text Char"/>
    <w:basedOn w:val="DefaultParagraphFont"/>
    <w:link w:val="CommentText"/>
    <w:uiPriority w:val="99"/>
    <w:semiHidden/>
    <w:rsid w:val="0008211C"/>
    <w:rPr>
      <w:sz w:val="20"/>
      <w:szCs w:val="20"/>
    </w:rPr>
  </w:style>
  <w:style w:type="paragraph" w:styleId="CommentSubject">
    <w:name w:val="annotation subject"/>
    <w:basedOn w:val="CommentText"/>
    <w:next w:val="CommentText"/>
    <w:link w:val="CommentSubjectChar"/>
    <w:uiPriority w:val="99"/>
    <w:semiHidden/>
    <w:unhideWhenUsed/>
    <w:rsid w:val="0008211C"/>
    <w:rPr>
      <w:b/>
      <w:bCs/>
    </w:rPr>
  </w:style>
  <w:style w:type="character" w:customStyle="1" w:styleId="CommentSubjectChar">
    <w:name w:val="Comment Subject Char"/>
    <w:basedOn w:val="CommentTextChar"/>
    <w:link w:val="CommentSubject"/>
    <w:uiPriority w:val="99"/>
    <w:semiHidden/>
    <w:rsid w:val="0008211C"/>
    <w:rPr>
      <w:b/>
      <w:bCs/>
      <w:sz w:val="20"/>
      <w:szCs w:val="20"/>
    </w:rPr>
  </w:style>
  <w:style w:type="character" w:customStyle="1" w:styleId="mpunct">
    <w:name w:val="mpunct"/>
    <w:basedOn w:val="DefaultParagraphFont"/>
    <w:rsid w:val="00D63377"/>
  </w:style>
  <w:style w:type="character" w:customStyle="1" w:styleId="Heading5Char">
    <w:name w:val="Heading 5 Char"/>
    <w:basedOn w:val="DefaultParagraphFont"/>
    <w:link w:val="Heading5"/>
    <w:uiPriority w:val="9"/>
    <w:semiHidden/>
    <w:rsid w:val="0045097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50976"/>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675">
      <w:bodyDiv w:val="1"/>
      <w:marLeft w:val="0"/>
      <w:marRight w:val="0"/>
      <w:marTop w:val="0"/>
      <w:marBottom w:val="0"/>
      <w:divBdr>
        <w:top w:val="none" w:sz="0" w:space="0" w:color="auto"/>
        <w:left w:val="none" w:sz="0" w:space="0" w:color="auto"/>
        <w:bottom w:val="none" w:sz="0" w:space="0" w:color="auto"/>
        <w:right w:val="none" w:sz="0" w:space="0" w:color="auto"/>
      </w:divBdr>
    </w:div>
    <w:div w:id="114175275">
      <w:bodyDiv w:val="1"/>
      <w:marLeft w:val="0"/>
      <w:marRight w:val="0"/>
      <w:marTop w:val="0"/>
      <w:marBottom w:val="0"/>
      <w:divBdr>
        <w:top w:val="none" w:sz="0" w:space="0" w:color="auto"/>
        <w:left w:val="none" w:sz="0" w:space="0" w:color="auto"/>
        <w:bottom w:val="none" w:sz="0" w:space="0" w:color="auto"/>
        <w:right w:val="none" w:sz="0" w:space="0" w:color="auto"/>
      </w:divBdr>
    </w:div>
    <w:div w:id="214318964">
      <w:bodyDiv w:val="1"/>
      <w:marLeft w:val="0"/>
      <w:marRight w:val="0"/>
      <w:marTop w:val="0"/>
      <w:marBottom w:val="0"/>
      <w:divBdr>
        <w:top w:val="none" w:sz="0" w:space="0" w:color="auto"/>
        <w:left w:val="none" w:sz="0" w:space="0" w:color="auto"/>
        <w:bottom w:val="none" w:sz="0" w:space="0" w:color="auto"/>
        <w:right w:val="none" w:sz="0" w:space="0" w:color="auto"/>
      </w:divBdr>
    </w:div>
    <w:div w:id="293366911">
      <w:bodyDiv w:val="1"/>
      <w:marLeft w:val="0"/>
      <w:marRight w:val="0"/>
      <w:marTop w:val="0"/>
      <w:marBottom w:val="0"/>
      <w:divBdr>
        <w:top w:val="none" w:sz="0" w:space="0" w:color="auto"/>
        <w:left w:val="none" w:sz="0" w:space="0" w:color="auto"/>
        <w:bottom w:val="none" w:sz="0" w:space="0" w:color="auto"/>
        <w:right w:val="none" w:sz="0" w:space="0" w:color="auto"/>
      </w:divBdr>
    </w:div>
    <w:div w:id="363210450">
      <w:bodyDiv w:val="1"/>
      <w:marLeft w:val="0"/>
      <w:marRight w:val="0"/>
      <w:marTop w:val="0"/>
      <w:marBottom w:val="0"/>
      <w:divBdr>
        <w:top w:val="none" w:sz="0" w:space="0" w:color="auto"/>
        <w:left w:val="none" w:sz="0" w:space="0" w:color="auto"/>
        <w:bottom w:val="none" w:sz="0" w:space="0" w:color="auto"/>
        <w:right w:val="none" w:sz="0" w:space="0" w:color="auto"/>
      </w:divBdr>
    </w:div>
    <w:div w:id="382291312">
      <w:bodyDiv w:val="1"/>
      <w:marLeft w:val="0"/>
      <w:marRight w:val="0"/>
      <w:marTop w:val="0"/>
      <w:marBottom w:val="0"/>
      <w:divBdr>
        <w:top w:val="none" w:sz="0" w:space="0" w:color="auto"/>
        <w:left w:val="none" w:sz="0" w:space="0" w:color="auto"/>
        <w:bottom w:val="none" w:sz="0" w:space="0" w:color="auto"/>
        <w:right w:val="none" w:sz="0" w:space="0" w:color="auto"/>
      </w:divBdr>
    </w:div>
    <w:div w:id="724990782">
      <w:bodyDiv w:val="1"/>
      <w:marLeft w:val="0"/>
      <w:marRight w:val="0"/>
      <w:marTop w:val="0"/>
      <w:marBottom w:val="0"/>
      <w:divBdr>
        <w:top w:val="none" w:sz="0" w:space="0" w:color="auto"/>
        <w:left w:val="none" w:sz="0" w:space="0" w:color="auto"/>
        <w:bottom w:val="none" w:sz="0" w:space="0" w:color="auto"/>
        <w:right w:val="none" w:sz="0" w:space="0" w:color="auto"/>
      </w:divBdr>
    </w:div>
    <w:div w:id="823203960">
      <w:bodyDiv w:val="1"/>
      <w:marLeft w:val="0"/>
      <w:marRight w:val="0"/>
      <w:marTop w:val="0"/>
      <w:marBottom w:val="0"/>
      <w:divBdr>
        <w:top w:val="none" w:sz="0" w:space="0" w:color="auto"/>
        <w:left w:val="none" w:sz="0" w:space="0" w:color="auto"/>
        <w:bottom w:val="none" w:sz="0" w:space="0" w:color="auto"/>
        <w:right w:val="none" w:sz="0" w:space="0" w:color="auto"/>
      </w:divBdr>
    </w:div>
    <w:div w:id="1087767534">
      <w:bodyDiv w:val="1"/>
      <w:marLeft w:val="0"/>
      <w:marRight w:val="0"/>
      <w:marTop w:val="0"/>
      <w:marBottom w:val="0"/>
      <w:divBdr>
        <w:top w:val="none" w:sz="0" w:space="0" w:color="auto"/>
        <w:left w:val="none" w:sz="0" w:space="0" w:color="auto"/>
        <w:bottom w:val="none" w:sz="0" w:space="0" w:color="auto"/>
        <w:right w:val="none" w:sz="0" w:space="0" w:color="auto"/>
      </w:divBdr>
    </w:div>
    <w:div w:id="1124813927">
      <w:bodyDiv w:val="1"/>
      <w:marLeft w:val="0"/>
      <w:marRight w:val="0"/>
      <w:marTop w:val="0"/>
      <w:marBottom w:val="0"/>
      <w:divBdr>
        <w:top w:val="none" w:sz="0" w:space="0" w:color="auto"/>
        <w:left w:val="none" w:sz="0" w:space="0" w:color="auto"/>
        <w:bottom w:val="none" w:sz="0" w:space="0" w:color="auto"/>
        <w:right w:val="none" w:sz="0" w:space="0" w:color="auto"/>
      </w:divBdr>
    </w:div>
    <w:div w:id="1191139109">
      <w:bodyDiv w:val="1"/>
      <w:marLeft w:val="0"/>
      <w:marRight w:val="0"/>
      <w:marTop w:val="0"/>
      <w:marBottom w:val="0"/>
      <w:divBdr>
        <w:top w:val="none" w:sz="0" w:space="0" w:color="auto"/>
        <w:left w:val="none" w:sz="0" w:space="0" w:color="auto"/>
        <w:bottom w:val="none" w:sz="0" w:space="0" w:color="auto"/>
        <w:right w:val="none" w:sz="0" w:space="0" w:color="auto"/>
      </w:divBdr>
    </w:div>
    <w:div w:id="1352956787">
      <w:bodyDiv w:val="1"/>
      <w:marLeft w:val="0"/>
      <w:marRight w:val="0"/>
      <w:marTop w:val="0"/>
      <w:marBottom w:val="0"/>
      <w:divBdr>
        <w:top w:val="none" w:sz="0" w:space="0" w:color="auto"/>
        <w:left w:val="none" w:sz="0" w:space="0" w:color="auto"/>
        <w:bottom w:val="none" w:sz="0" w:space="0" w:color="auto"/>
        <w:right w:val="none" w:sz="0" w:space="0" w:color="auto"/>
      </w:divBdr>
    </w:div>
    <w:div w:id="1365212381">
      <w:bodyDiv w:val="1"/>
      <w:marLeft w:val="0"/>
      <w:marRight w:val="0"/>
      <w:marTop w:val="0"/>
      <w:marBottom w:val="0"/>
      <w:divBdr>
        <w:top w:val="none" w:sz="0" w:space="0" w:color="auto"/>
        <w:left w:val="none" w:sz="0" w:space="0" w:color="auto"/>
        <w:bottom w:val="none" w:sz="0" w:space="0" w:color="auto"/>
        <w:right w:val="none" w:sz="0" w:space="0" w:color="auto"/>
      </w:divBdr>
    </w:div>
    <w:div w:id="1483766331">
      <w:bodyDiv w:val="1"/>
      <w:marLeft w:val="0"/>
      <w:marRight w:val="0"/>
      <w:marTop w:val="0"/>
      <w:marBottom w:val="0"/>
      <w:divBdr>
        <w:top w:val="none" w:sz="0" w:space="0" w:color="auto"/>
        <w:left w:val="none" w:sz="0" w:space="0" w:color="auto"/>
        <w:bottom w:val="none" w:sz="0" w:space="0" w:color="auto"/>
        <w:right w:val="none" w:sz="0" w:space="0" w:color="auto"/>
      </w:divBdr>
    </w:div>
    <w:div w:id="1505393357">
      <w:bodyDiv w:val="1"/>
      <w:marLeft w:val="0"/>
      <w:marRight w:val="0"/>
      <w:marTop w:val="0"/>
      <w:marBottom w:val="0"/>
      <w:divBdr>
        <w:top w:val="none" w:sz="0" w:space="0" w:color="auto"/>
        <w:left w:val="none" w:sz="0" w:space="0" w:color="auto"/>
        <w:bottom w:val="none" w:sz="0" w:space="0" w:color="auto"/>
        <w:right w:val="none" w:sz="0" w:space="0" w:color="auto"/>
      </w:divBdr>
    </w:div>
    <w:div w:id="1610694922">
      <w:bodyDiv w:val="1"/>
      <w:marLeft w:val="0"/>
      <w:marRight w:val="0"/>
      <w:marTop w:val="0"/>
      <w:marBottom w:val="0"/>
      <w:divBdr>
        <w:top w:val="none" w:sz="0" w:space="0" w:color="auto"/>
        <w:left w:val="none" w:sz="0" w:space="0" w:color="auto"/>
        <w:bottom w:val="none" w:sz="0" w:space="0" w:color="auto"/>
        <w:right w:val="none" w:sz="0" w:space="0" w:color="auto"/>
      </w:divBdr>
    </w:div>
    <w:div w:id="1617056226">
      <w:bodyDiv w:val="1"/>
      <w:marLeft w:val="0"/>
      <w:marRight w:val="0"/>
      <w:marTop w:val="0"/>
      <w:marBottom w:val="0"/>
      <w:divBdr>
        <w:top w:val="none" w:sz="0" w:space="0" w:color="auto"/>
        <w:left w:val="none" w:sz="0" w:space="0" w:color="auto"/>
        <w:bottom w:val="none" w:sz="0" w:space="0" w:color="auto"/>
        <w:right w:val="none" w:sz="0" w:space="0" w:color="auto"/>
      </w:divBdr>
    </w:div>
    <w:div w:id="1819374000">
      <w:bodyDiv w:val="1"/>
      <w:marLeft w:val="0"/>
      <w:marRight w:val="0"/>
      <w:marTop w:val="0"/>
      <w:marBottom w:val="0"/>
      <w:divBdr>
        <w:top w:val="none" w:sz="0" w:space="0" w:color="auto"/>
        <w:left w:val="none" w:sz="0" w:space="0" w:color="auto"/>
        <w:bottom w:val="none" w:sz="0" w:space="0" w:color="auto"/>
        <w:right w:val="none" w:sz="0" w:space="0" w:color="auto"/>
      </w:divBdr>
    </w:div>
    <w:div w:id="1855260698">
      <w:bodyDiv w:val="1"/>
      <w:marLeft w:val="0"/>
      <w:marRight w:val="0"/>
      <w:marTop w:val="0"/>
      <w:marBottom w:val="0"/>
      <w:divBdr>
        <w:top w:val="none" w:sz="0" w:space="0" w:color="auto"/>
        <w:left w:val="none" w:sz="0" w:space="0" w:color="auto"/>
        <w:bottom w:val="none" w:sz="0" w:space="0" w:color="auto"/>
        <w:right w:val="none" w:sz="0" w:space="0" w:color="auto"/>
      </w:divBdr>
      <w:divsChild>
        <w:div w:id="1561598094">
          <w:marLeft w:val="0"/>
          <w:marRight w:val="0"/>
          <w:marTop w:val="0"/>
          <w:marBottom w:val="0"/>
          <w:divBdr>
            <w:top w:val="none" w:sz="0" w:space="0" w:color="auto"/>
            <w:left w:val="none" w:sz="0" w:space="0" w:color="auto"/>
            <w:bottom w:val="none" w:sz="0" w:space="0" w:color="auto"/>
            <w:right w:val="none" w:sz="0" w:space="0" w:color="auto"/>
          </w:divBdr>
          <w:divsChild>
            <w:div w:id="1272276211">
              <w:marLeft w:val="0"/>
              <w:marRight w:val="0"/>
              <w:marTop w:val="0"/>
              <w:marBottom w:val="0"/>
              <w:divBdr>
                <w:top w:val="none" w:sz="0" w:space="0" w:color="auto"/>
                <w:left w:val="none" w:sz="0" w:space="0" w:color="auto"/>
                <w:bottom w:val="none" w:sz="0" w:space="0" w:color="auto"/>
                <w:right w:val="none" w:sz="0" w:space="0" w:color="auto"/>
              </w:divBdr>
              <w:divsChild>
                <w:div w:id="728919380">
                  <w:marLeft w:val="0"/>
                  <w:marRight w:val="0"/>
                  <w:marTop w:val="0"/>
                  <w:marBottom w:val="0"/>
                  <w:divBdr>
                    <w:top w:val="none" w:sz="0" w:space="0" w:color="auto"/>
                    <w:left w:val="none" w:sz="0" w:space="0" w:color="auto"/>
                    <w:bottom w:val="none" w:sz="0" w:space="0" w:color="auto"/>
                    <w:right w:val="none" w:sz="0" w:space="0" w:color="auto"/>
                  </w:divBdr>
                  <w:divsChild>
                    <w:div w:id="425930599">
                      <w:marLeft w:val="0"/>
                      <w:marRight w:val="0"/>
                      <w:marTop w:val="0"/>
                      <w:marBottom w:val="0"/>
                      <w:divBdr>
                        <w:top w:val="none" w:sz="0" w:space="0" w:color="auto"/>
                        <w:left w:val="none" w:sz="0" w:space="0" w:color="auto"/>
                        <w:bottom w:val="none" w:sz="0" w:space="0" w:color="auto"/>
                        <w:right w:val="none" w:sz="0" w:space="0" w:color="auto"/>
                      </w:divBdr>
                      <w:divsChild>
                        <w:div w:id="1119027858">
                          <w:marLeft w:val="0"/>
                          <w:marRight w:val="0"/>
                          <w:marTop w:val="0"/>
                          <w:marBottom w:val="0"/>
                          <w:divBdr>
                            <w:top w:val="none" w:sz="0" w:space="0" w:color="auto"/>
                            <w:left w:val="none" w:sz="0" w:space="0" w:color="auto"/>
                            <w:bottom w:val="none" w:sz="0" w:space="0" w:color="auto"/>
                            <w:right w:val="none" w:sz="0" w:space="0" w:color="auto"/>
                          </w:divBdr>
                          <w:divsChild>
                            <w:div w:id="5654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454848">
          <w:marLeft w:val="0"/>
          <w:marRight w:val="0"/>
          <w:marTop w:val="0"/>
          <w:marBottom w:val="0"/>
          <w:divBdr>
            <w:top w:val="none" w:sz="0" w:space="0" w:color="auto"/>
            <w:left w:val="none" w:sz="0" w:space="0" w:color="auto"/>
            <w:bottom w:val="none" w:sz="0" w:space="0" w:color="auto"/>
            <w:right w:val="none" w:sz="0" w:space="0" w:color="auto"/>
          </w:divBdr>
          <w:divsChild>
            <w:div w:id="2037074766">
              <w:marLeft w:val="0"/>
              <w:marRight w:val="0"/>
              <w:marTop w:val="0"/>
              <w:marBottom w:val="0"/>
              <w:divBdr>
                <w:top w:val="none" w:sz="0" w:space="0" w:color="auto"/>
                <w:left w:val="none" w:sz="0" w:space="0" w:color="auto"/>
                <w:bottom w:val="none" w:sz="0" w:space="0" w:color="auto"/>
                <w:right w:val="none" w:sz="0" w:space="0" w:color="auto"/>
              </w:divBdr>
              <w:divsChild>
                <w:div w:id="1523469467">
                  <w:marLeft w:val="0"/>
                  <w:marRight w:val="0"/>
                  <w:marTop w:val="0"/>
                  <w:marBottom w:val="0"/>
                  <w:divBdr>
                    <w:top w:val="none" w:sz="0" w:space="0" w:color="auto"/>
                    <w:left w:val="none" w:sz="0" w:space="0" w:color="auto"/>
                    <w:bottom w:val="none" w:sz="0" w:space="0" w:color="auto"/>
                    <w:right w:val="none" w:sz="0" w:space="0" w:color="auto"/>
                  </w:divBdr>
                  <w:divsChild>
                    <w:div w:id="877426919">
                      <w:marLeft w:val="0"/>
                      <w:marRight w:val="0"/>
                      <w:marTop w:val="0"/>
                      <w:marBottom w:val="0"/>
                      <w:divBdr>
                        <w:top w:val="none" w:sz="0" w:space="0" w:color="auto"/>
                        <w:left w:val="none" w:sz="0" w:space="0" w:color="auto"/>
                        <w:bottom w:val="none" w:sz="0" w:space="0" w:color="auto"/>
                        <w:right w:val="none" w:sz="0" w:space="0" w:color="auto"/>
                      </w:divBdr>
                      <w:divsChild>
                        <w:div w:id="1732652493">
                          <w:marLeft w:val="0"/>
                          <w:marRight w:val="0"/>
                          <w:marTop w:val="0"/>
                          <w:marBottom w:val="0"/>
                          <w:divBdr>
                            <w:top w:val="none" w:sz="0" w:space="0" w:color="auto"/>
                            <w:left w:val="none" w:sz="0" w:space="0" w:color="auto"/>
                            <w:bottom w:val="none" w:sz="0" w:space="0" w:color="auto"/>
                            <w:right w:val="none" w:sz="0" w:space="0" w:color="auto"/>
                          </w:divBdr>
                          <w:divsChild>
                            <w:div w:id="1353796269">
                              <w:marLeft w:val="0"/>
                              <w:marRight w:val="0"/>
                              <w:marTop w:val="0"/>
                              <w:marBottom w:val="0"/>
                              <w:divBdr>
                                <w:top w:val="none" w:sz="0" w:space="0" w:color="auto"/>
                                <w:left w:val="none" w:sz="0" w:space="0" w:color="auto"/>
                                <w:bottom w:val="none" w:sz="0" w:space="0" w:color="auto"/>
                                <w:right w:val="none" w:sz="0" w:space="0" w:color="auto"/>
                              </w:divBdr>
                              <w:divsChild>
                                <w:div w:id="3742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213746">
          <w:marLeft w:val="0"/>
          <w:marRight w:val="0"/>
          <w:marTop w:val="0"/>
          <w:marBottom w:val="0"/>
          <w:divBdr>
            <w:top w:val="none" w:sz="0" w:space="0" w:color="auto"/>
            <w:left w:val="none" w:sz="0" w:space="0" w:color="auto"/>
            <w:bottom w:val="none" w:sz="0" w:space="0" w:color="auto"/>
            <w:right w:val="none" w:sz="0" w:space="0" w:color="auto"/>
          </w:divBdr>
          <w:divsChild>
            <w:div w:id="1767847922">
              <w:marLeft w:val="0"/>
              <w:marRight w:val="0"/>
              <w:marTop w:val="0"/>
              <w:marBottom w:val="0"/>
              <w:divBdr>
                <w:top w:val="none" w:sz="0" w:space="0" w:color="auto"/>
                <w:left w:val="none" w:sz="0" w:space="0" w:color="auto"/>
                <w:bottom w:val="none" w:sz="0" w:space="0" w:color="auto"/>
                <w:right w:val="none" w:sz="0" w:space="0" w:color="auto"/>
              </w:divBdr>
              <w:divsChild>
                <w:div w:id="111900623">
                  <w:marLeft w:val="0"/>
                  <w:marRight w:val="0"/>
                  <w:marTop w:val="0"/>
                  <w:marBottom w:val="0"/>
                  <w:divBdr>
                    <w:top w:val="none" w:sz="0" w:space="0" w:color="auto"/>
                    <w:left w:val="none" w:sz="0" w:space="0" w:color="auto"/>
                    <w:bottom w:val="none" w:sz="0" w:space="0" w:color="auto"/>
                    <w:right w:val="none" w:sz="0" w:space="0" w:color="auto"/>
                  </w:divBdr>
                  <w:divsChild>
                    <w:div w:id="200747264">
                      <w:marLeft w:val="0"/>
                      <w:marRight w:val="0"/>
                      <w:marTop w:val="0"/>
                      <w:marBottom w:val="0"/>
                      <w:divBdr>
                        <w:top w:val="none" w:sz="0" w:space="0" w:color="auto"/>
                        <w:left w:val="none" w:sz="0" w:space="0" w:color="auto"/>
                        <w:bottom w:val="none" w:sz="0" w:space="0" w:color="auto"/>
                        <w:right w:val="none" w:sz="0" w:space="0" w:color="auto"/>
                      </w:divBdr>
                      <w:divsChild>
                        <w:div w:id="710614392">
                          <w:marLeft w:val="0"/>
                          <w:marRight w:val="0"/>
                          <w:marTop w:val="0"/>
                          <w:marBottom w:val="0"/>
                          <w:divBdr>
                            <w:top w:val="none" w:sz="0" w:space="0" w:color="auto"/>
                            <w:left w:val="none" w:sz="0" w:space="0" w:color="auto"/>
                            <w:bottom w:val="none" w:sz="0" w:space="0" w:color="auto"/>
                            <w:right w:val="none" w:sz="0" w:space="0" w:color="auto"/>
                          </w:divBdr>
                          <w:divsChild>
                            <w:div w:id="129193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356077">
      <w:bodyDiv w:val="1"/>
      <w:marLeft w:val="0"/>
      <w:marRight w:val="0"/>
      <w:marTop w:val="0"/>
      <w:marBottom w:val="0"/>
      <w:divBdr>
        <w:top w:val="none" w:sz="0" w:space="0" w:color="auto"/>
        <w:left w:val="none" w:sz="0" w:space="0" w:color="auto"/>
        <w:bottom w:val="none" w:sz="0" w:space="0" w:color="auto"/>
        <w:right w:val="none" w:sz="0" w:space="0" w:color="auto"/>
      </w:divBdr>
    </w:div>
    <w:div w:id="1927494905">
      <w:bodyDiv w:val="1"/>
      <w:marLeft w:val="0"/>
      <w:marRight w:val="0"/>
      <w:marTop w:val="0"/>
      <w:marBottom w:val="0"/>
      <w:divBdr>
        <w:top w:val="none" w:sz="0" w:space="0" w:color="auto"/>
        <w:left w:val="none" w:sz="0" w:space="0" w:color="auto"/>
        <w:bottom w:val="none" w:sz="0" w:space="0" w:color="auto"/>
        <w:right w:val="none" w:sz="0" w:space="0" w:color="auto"/>
      </w:divBdr>
    </w:div>
    <w:div w:id="2007443010">
      <w:bodyDiv w:val="1"/>
      <w:marLeft w:val="0"/>
      <w:marRight w:val="0"/>
      <w:marTop w:val="0"/>
      <w:marBottom w:val="0"/>
      <w:divBdr>
        <w:top w:val="none" w:sz="0" w:space="0" w:color="auto"/>
        <w:left w:val="none" w:sz="0" w:space="0" w:color="auto"/>
        <w:bottom w:val="none" w:sz="0" w:space="0" w:color="auto"/>
        <w:right w:val="none" w:sz="0" w:space="0" w:color="auto"/>
      </w:divBdr>
    </w:div>
    <w:div w:id="2007781385">
      <w:bodyDiv w:val="1"/>
      <w:marLeft w:val="0"/>
      <w:marRight w:val="0"/>
      <w:marTop w:val="0"/>
      <w:marBottom w:val="0"/>
      <w:divBdr>
        <w:top w:val="none" w:sz="0" w:space="0" w:color="auto"/>
        <w:left w:val="none" w:sz="0" w:space="0" w:color="auto"/>
        <w:bottom w:val="none" w:sz="0" w:space="0" w:color="auto"/>
        <w:right w:val="none" w:sz="0" w:space="0" w:color="auto"/>
      </w:divBdr>
    </w:div>
    <w:div w:id="2053268006">
      <w:bodyDiv w:val="1"/>
      <w:marLeft w:val="0"/>
      <w:marRight w:val="0"/>
      <w:marTop w:val="0"/>
      <w:marBottom w:val="0"/>
      <w:divBdr>
        <w:top w:val="none" w:sz="0" w:space="0" w:color="auto"/>
        <w:left w:val="none" w:sz="0" w:space="0" w:color="auto"/>
        <w:bottom w:val="none" w:sz="0" w:space="0" w:color="auto"/>
        <w:right w:val="none" w:sz="0" w:space="0" w:color="auto"/>
      </w:divBdr>
    </w:div>
    <w:div w:id="21374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5D6C7-4DC6-4D49-8F80-09C00147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12171</Words>
  <Characters>69379</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5</cp:revision>
  <dcterms:created xsi:type="dcterms:W3CDTF">2025-11-28T12:58:00Z</dcterms:created>
  <dcterms:modified xsi:type="dcterms:W3CDTF">2025-12-01T12:45:00Z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http://www.zotero.org/styles/harvard-anglia-ruskin-university</vt:lpwstr>
  </property>
  <property fmtid="{D5CDD505-2E9C-101B-9397-08002B2CF9AE}" pid="9" name="Mendeley Recent Style Name 3_1">
    <vt:lpwstr>Anglia Ruskin University - Harvard</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28c256df-4aea-3d06-8d91-f23ade629b6f</vt:lpwstr>
  </property>
  <property fmtid="{D5CDD505-2E9C-101B-9397-08002B2CF9AE}" pid="24" name="Mendeley Citation Style_1">
    <vt:lpwstr>http://www.zotero.org/styles/apa</vt:lpwstr>
  </property>
</Properties>
</file>