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FA1A8" w14:textId="77777777" w:rsidR="0061521F" w:rsidRPr="0061521F" w:rsidRDefault="0061521F"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0" w:name="_Toc216522254"/>
      <w:bookmarkStart w:id="1" w:name="_GoBack"/>
      <w:bookmarkEnd w:id="1"/>
      <w:r w:rsidRPr="0061521F">
        <w:rPr>
          <w:rFonts w:ascii="Times New Roman" w:eastAsia="Times New Roman" w:hAnsi="Times New Roman" w:cs="Times New Roman"/>
          <w:b/>
          <w:bCs/>
          <w:sz w:val="36"/>
          <w:szCs w:val="36"/>
          <w:lang w:val="en-US"/>
        </w:rPr>
        <w:t>Advancing from Basics to Dexterity in Conservative Dentistry and Endodontics Using Virtual Reality: From Simulation Foundations to Clinical Readiness</w:t>
      </w:r>
      <w:bookmarkEnd w:id="0"/>
    </w:p>
    <w:p w14:paraId="21C99D6C"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2" w:name="_Toc216522255"/>
      <w:r w:rsidRPr="0061521F">
        <w:rPr>
          <w:rFonts w:ascii="Times New Roman" w:eastAsia="Times New Roman" w:hAnsi="Times New Roman" w:cs="Times New Roman"/>
          <w:b/>
          <w:bCs/>
          <w:sz w:val="27"/>
          <w:szCs w:val="27"/>
          <w:lang w:val="en-US"/>
        </w:rPr>
        <w:t>Abstract</w:t>
      </w:r>
      <w:bookmarkEnd w:id="2"/>
    </w:p>
    <w:p w14:paraId="4EA90795"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Virtual reality (VR) has moved from a niche educational technology to a serious training platform capable of shaping psychomotor learning in dentistry. Conservative Dentistry and Endodontics, in particular, demand precision, spatial reasoning, ergonomic control, and anxiety-resilient decision-making—competencies that are difficult to standardize through conventional phantom-head training alone. Modern VR ecosystems (including haptic VR simulators, immersive head-mounted displays, and analytics-enabled virtual tasks) offer repeatable practice, objective feedback, and scalable assessment across progressive levels of difficulty. This review synthesizes contemporary evidence on how VR can support a stepwise progression from foundational orientation to advanced dexterity, focusing on operative steps (cavity preparation, caries management, restorative workflows) and endodontic procedures (access cavity preparation, learning canal anatomy concepts, and early clinical skill transfer). The review highlights learning-science mechanisms underpinning skill acquisition, validity evidence for VR-based assessment, and implementation strategies for integrating VR into competency-based curricula. It also discusses limitations, including transfer variability, hardware and content constraints, faculty calibration, and equity considerations. Overall, the literature supports VR as an effective adjunct—rather than a replacement—for traditional simulation, with the greatest value emerging when VR is mapped to explicit milestones and paired with structured debriefing, deliberate practice, and clinical performance rubrics.</w:t>
      </w:r>
    </w:p>
    <w:p w14:paraId="4594C6AE"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3" w:name="_Toc216522256"/>
      <w:r w:rsidRPr="0061521F">
        <w:rPr>
          <w:rFonts w:ascii="Times New Roman" w:eastAsia="Times New Roman" w:hAnsi="Times New Roman" w:cs="Times New Roman"/>
          <w:b/>
          <w:bCs/>
          <w:sz w:val="27"/>
          <w:szCs w:val="27"/>
          <w:lang w:val="en-US"/>
        </w:rPr>
        <w:t>Keywords</w:t>
      </w:r>
      <w:bookmarkEnd w:id="3"/>
    </w:p>
    <w:p w14:paraId="7796DC19"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Virtual reality; haptic simulation; operative dentistry; restorative dentistry; endodontics; dental education; psychomotor skills; competency-based training</w:t>
      </w:r>
    </w:p>
    <w:p w14:paraId="71869195" w14:textId="77777777" w:rsidR="0061521F" w:rsidRPr="0061521F" w:rsidRDefault="0061521F" w:rsidP="000F0B59">
      <w:pPr>
        <w:spacing w:after="0" w:line="240" w:lineRule="auto"/>
        <w:jc w:val="both"/>
        <w:rPr>
          <w:rFonts w:ascii="Times New Roman" w:eastAsia="Times New Roman" w:hAnsi="Times New Roman" w:cs="Times New Roman"/>
          <w:sz w:val="24"/>
          <w:szCs w:val="24"/>
          <w:lang w:val="en-US"/>
        </w:rPr>
      </w:pPr>
    </w:p>
    <w:p w14:paraId="528BED8D" w14:textId="77777777" w:rsidR="006A2C8B" w:rsidRDefault="006A2C8B" w:rsidP="000F0B59">
      <w:pPr>
        <w:jc w:val="both"/>
        <w:rPr>
          <w:rFonts w:ascii="Times New Roman" w:eastAsia="Times New Roman" w:hAnsi="Times New Roman" w:cs="Times New Roman"/>
          <w:b/>
          <w:bCs/>
          <w:sz w:val="36"/>
          <w:szCs w:val="36"/>
          <w:lang w:val="en-US"/>
        </w:rPr>
      </w:pPr>
      <w:r>
        <w:rPr>
          <w:rFonts w:ascii="Times New Roman" w:eastAsia="Times New Roman" w:hAnsi="Times New Roman" w:cs="Times New Roman"/>
          <w:b/>
          <w:bCs/>
          <w:sz w:val="36"/>
          <w:szCs w:val="36"/>
          <w:lang w:val="en-US"/>
        </w:rPr>
        <w:br w:type="page"/>
      </w:r>
    </w:p>
    <w:p w14:paraId="5D250DC4" w14:textId="77777777" w:rsidR="0061521F" w:rsidRPr="0061521F" w:rsidRDefault="0061521F"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 w:name="_Toc216522257"/>
      <w:r w:rsidRPr="0061521F">
        <w:rPr>
          <w:rFonts w:ascii="Times New Roman" w:eastAsia="Times New Roman" w:hAnsi="Times New Roman" w:cs="Times New Roman"/>
          <w:b/>
          <w:bCs/>
          <w:sz w:val="36"/>
          <w:szCs w:val="36"/>
          <w:lang w:val="en-US"/>
        </w:rPr>
        <w:lastRenderedPageBreak/>
        <w:t>1. Introduction</w:t>
      </w:r>
      <w:bookmarkEnd w:id="4"/>
    </w:p>
    <w:p w14:paraId="718E0658" w14:textId="3BE8F7D4" w:rsidR="0061521F" w:rsidRPr="0061521F" w:rsidRDefault="000F0B59"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216A69">
        <w:rPr>
          <w:rFonts w:ascii="Cambria" w:hAnsi="Cambria"/>
          <w:color w:val="1B1B1B"/>
          <w:sz w:val="20"/>
          <w:szCs w:val="28"/>
          <w:highlight w:val="yellow"/>
          <w:shd w:val="clear" w:color="auto" w:fill="FFFFFF"/>
        </w:rPr>
        <w:t>With advancements in digital technologies, virtual reality (VR) has emerged as a transformative tool in dental education. VR offers an immersive and highly realistic learning environment, allowing students to practice procedures in a controlled, repeatable setting</w:t>
      </w:r>
      <w:r w:rsidRPr="00216A69">
        <w:rPr>
          <w:rFonts w:ascii="Times New Roman" w:eastAsia="Times New Roman" w:hAnsi="Times New Roman" w:cs="Times New Roman"/>
          <w:sz w:val="18"/>
          <w:szCs w:val="24"/>
          <w:highlight w:val="yellow"/>
          <w:lang w:val="en-US"/>
        </w:rPr>
        <w:t xml:space="preserve">. </w:t>
      </w:r>
      <w:r w:rsidRPr="00216A69">
        <w:rPr>
          <w:rFonts w:ascii="Cambria" w:hAnsi="Cambria"/>
          <w:color w:val="1B1B1B"/>
          <w:sz w:val="20"/>
          <w:szCs w:val="28"/>
          <w:highlight w:val="yellow"/>
          <w:shd w:val="clear" w:color="auto" w:fill="FFFFFF"/>
        </w:rPr>
        <w:t xml:space="preserve">VR simulators have become increasingly integrated into undergraduate dental education for developing procedural skills across various domains, including restorative dentistry and </w:t>
      </w:r>
      <w:proofErr w:type="spellStart"/>
      <w:r w:rsidRPr="00216A69">
        <w:rPr>
          <w:rFonts w:ascii="Cambria" w:hAnsi="Cambria"/>
          <w:color w:val="1B1B1B"/>
          <w:sz w:val="20"/>
          <w:szCs w:val="28"/>
          <w:highlight w:val="yellow"/>
          <w:shd w:val="clear" w:color="auto" w:fill="FFFFFF"/>
        </w:rPr>
        <w:t>anesthesia</w:t>
      </w:r>
      <w:proofErr w:type="spellEnd"/>
      <w:r w:rsidRPr="00216A69">
        <w:rPr>
          <w:rFonts w:ascii="Cambria" w:hAnsi="Cambria"/>
          <w:color w:val="1B1B1B"/>
          <w:sz w:val="20"/>
          <w:szCs w:val="28"/>
          <w:highlight w:val="yellow"/>
          <w:shd w:val="clear" w:color="auto" w:fill="FFFFFF"/>
        </w:rPr>
        <w:t xml:space="preserve"> administration</w:t>
      </w:r>
      <w:r w:rsidRPr="001571FE">
        <w:rPr>
          <w:rFonts w:ascii="Cambria" w:hAnsi="Cambria"/>
          <w:color w:val="1B1B1B"/>
          <w:sz w:val="20"/>
          <w:szCs w:val="28"/>
          <w:highlight w:val="yellow"/>
          <w:shd w:val="clear" w:color="auto" w:fill="FFFFFF"/>
        </w:rPr>
        <w:t xml:space="preserve"> (</w:t>
      </w:r>
      <w:proofErr w:type="spellStart"/>
      <w:r w:rsidRPr="00216A69">
        <w:rPr>
          <w:rFonts w:ascii="Consolas" w:eastAsia="Times New Roman" w:hAnsi="Consolas" w:cs="Times New Roman"/>
          <w:sz w:val="24"/>
          <w:szCs w:val="24"/>
          <w:highlight w:val="yellow"/>
          <w:lang w:val="en-US"/>
        </w:rPr>
        <w:t>Srakoopun</w:t>
      </w:r>
      <w:proofErr w:type="spellEnd"/>
      <w:r w:rsidRPr="00216A69">
        <w:rPr>
          <w:rFonts w:ascii="Consolas" w:eastAsia="Times New Roman" w:hAnsi="Consolas" w:cs="Times New Roman"/>
          <w:sz w:val="24"/>
          <w:szCs w:val="24"/>
          <w:highlight w:val="yellow"/>
          <w:lang w:val="en-US"/>
        </w:rPr>
        <w:t xml:space="preserve"> et al., 2025</w:t>
      </w:r>
      <w:r w:rsidRPr="001571FE">
        <w:rPr>
          <w:rFonts w:ascii="Consolas" w:eastAsia="Times New Roman" w:hAnsi="Consolas" w:cs="Times New Roman"/>
          <w:sz w:val="24"/>
          <w:szCs w:val="24"/>
          <w:highlight w:val="yellow"/>
          <w:lang w:val="en-US"/>
        </w:rPr>
        <w:t xml:space="preserve">; </w:t>
      </w:r>
      <w:r w:rsidRPr="00216A69">
        <w:rPr>
          <w:rFonts w:ascii="Arial" w:hAnsi="Arial" w:cs="Arial"/>
          <w:color w:val="222222"/>
          <w:sz w:val="20"/>
          <w:szCs w:val="20"/>
          <w:highlight w:val="yellow"/>
          <w:shd w:val="clear" w:color="auto" w:fill="FFFFFF"/>
        </w:rPr>
        <w:t>Deshpande et al., 2025</w:t>
      </w:r>
      <w:r w:rsidRPr="001571FE">
        <w:rPr>
          <w:rFonts w:ascii="Cambria" w:hAnsi="Cambria"/>
          <w:color w:val="1B1B1B"/>
          <w:sz w:val="20"/>
          <w:szCs w:val="28"/>
          <w:highlight w:val="yellow"/>
          <w:shd w:val="clear" w:color="auto" w:fill="FFFFFF"/>
        </w:rPr>
        <w:t>)</w:t>
      </w:r>
      <w:r w:rsidRPr="00216A69">
        <w:rPr>
          <w:rFonts w:ascii="Times New Roman" w:eastAsia="Times New Roman" w:hAnsi="Times New Roman" w:cs="Times New Roman"/>
          <w:sz w:val="18"/>
          <w:szCs w:val="24"/>
          <w:highlight w:val="yellow"/>
          <w:lang w:val="en-US"/>
        </w:rPr>
        <w:t>.</w:t>
      </w:r>
      <w:r w:rsidRPr="00216A69">
        <w:rPr>
          <w:rFonts w:ascii="Times New Roman" w:eastAsia="Times New Roman" w:hAnsi="Times New Roman" w:cs="Times New Roman"/>
          <w:sz w:val="18"/>
          <w:szCs w:val="24"/>
          <w:lang w:val="en-US"/>
        </w:rPr>
        <w:t xml:space="preserve"> </w:t>
      </w:r>
      <w:r w:rsidR="0061521F" w:rsidRPr="0061521F">
        <w:rPr>
          <w:rFonts w:ascii="Times New Roman" w:eastAsia="Times New Roman" w:hAnsi="Times New Roman" w:cs="Times New Roman"/>
          <w:sz w:val="24"/>
          <w:szCs w:val="24"/>
          <w:lang w:val="en-US"/>
        </w:rPr>
        <w:t>Conservative Dentistry and Endodontics sit at the intersection of fine motor control and high-stakes biological decision-making. The operator must control handpiece dynamics, depth perception, and tactile discrimination while maintaining ergonomics and procedural safety. Traditional preclinical training—typodonts, extracted teeth, and phantom heads—has long been the backbone of competency development, yet it remains vulnerable to inconsistency in feedback quality, limited opportunities for standardized assessment, and variable exposure to “edge cases” that predict clinical difficulty. As dental curricula increasingly align with competency-based education, there is growing pressure to provide reliable, measurable pathways from novice performance to dexterity and clinical readiness.</w:t>
      </w:r>
      <w:r w:rsidR="001571FE">
        <w:rPr>
          <w:rFonts w:ascii="Times New Roman" w:eastAsia="Times New Roman" w:hAnsi="Times New Roman" w:cs="Times New Roman"/>
          <w:sz w:val="24"/>
          <w:szCs w:val="24"/>
          <w:lang w:val="en-US"/>
        </w:rPr>
        <w:t xml:space="preserve"> </w:t>
      </w:r>
      <w:r w:rsidR="001571FE" w:rsidRPr="00216A69">
        <w:rPr>
          <w:rFonts w:ascii="Georgia" w:hAnsi="Georgia"/>
          <w:color w:val="1F1F1F"/>
          <w:highlight w:val="yellow"/>
        </w:rPr>
        <w:t>In educational settings, AR and VR provide an immersive platform where students can interact with three-dimensional models of teeth and supporting structures, performing everything from routine cleanings to more complex procedures such as </w:t>
      </w:r>
      <w:hyperlink r:id="rId8" w:tooltip="Learn more about root canal therapy from ScienceDirect's AI-generated Topic Pages" w:history="1">
        <w:r w:rsidR="001571FE" w:rsidRPr="00216A69">
          <w:rPr>
            <w:rStyle w:val="Hyperlink"/>
            <w:rFonts w:ascii="Georgia" w:hAnsi="Georgia"/>
            <w:color w:val="1F1F1F"/>
            <w:highlight w:val="yellow"/>
          </w:rPr>
          <w:t>root canal therapy</w:t>
        </w:r>
      </w:hyperlink>
      <w:r w:rsidR="001571FE" w:rsidRPr="00216A69">
        <w:rPr>
          <w:rFonts w:ascii="Georgia" w:hAnsi="Georgia"/>
          <w:color w:val="1F1F1F"/>
          <w:highlight w:val="yellow"/>
        </w:rPr>
        <w:t> and crown preparation. This hands-on approach facilitates a deeper understanding of </w:t>
      </w:r>
      <w:hyperlink r:id="rId9" w:tooltip="Learn more about dental anatomy from ScienceDirect's AI-generated Topic Pages" w:history="1">
        <w:r w:rsidR="001571FE" w:rsidRPr="00216A69">
          <w:rPr>
            <w:rStyle w:val="Hyperlink"/>
            <w:rFonts w:ascii="Georgia" w:hAnsi="Georgia"/>
            <w:color w:val="1F1F1F"/>
            <w:highlight w:val="yellow"/>
          </w:rPr>
          <w:t>dental anatomy</w:t>
        </w:r>
      </w:hyperlink>
      <w:r w:rsidR="001571FE" w:rsidRPr="00216A69">
        <w:rPr>
          <w:rFonts w:ascii="Georgia" w:hAnsi="Georgia"/>
          <w:color w:val="1F1F1F"/>
          <w:highlight w:val="yellow"/>
        </w:rPr>
        <w:t> and procedures, enhancing students' cognitive and </w:t>
      </w:r>
      <w:hyperlink r:id="rId10" w:tooltip="Learn more about psychomotor skills from ScienceDirect's AI-generated Topic Pages" w:history="1">
        <w:r w:rsidR="001571FE" w:rsidRPr="00216A69">
          <w:rPr>
            <w:rStyle w:val="Hyperlink"/>
            <w:rFonts w:ascii="Georgia" w:hAnsi="Georgia"/>
            <w:color w:val="1F1F1F"/>
            <w:highlight w:val="yellow"/>
          </w:rPr>
          <w:t>psychomotor skills</w:t>
        </w:r>
      </w:hyperlink>
      <w:r w:rsidR="001571FE" w:rsidRPr="00216A69">
        <w:rPr>
          <w:rFonts w:ascii="Georgia" w:hAnsi="Georgia"/>
          <w:color w:val="1F1F1F"/>
          <w:highlight w:val="yellow"/>
        </w:rPr>
        <w:t>. These technologies offer simulations in dental surgery that provide realistic, scalable, and controlled environments</w:t>
      </w:r>
      <w:r w:rsidR="00216A69" w:rsidRPr="00216A69">
        <w:rPr>
          <w:rFonts w:ascii="Georgia" w:hAnsi="Georgia"/>
          <w:color w:val="1F1F1F"/>
          <w:highlight w:val="yellow"/>
        </w:rPr>
        <w:t xml:space="preserve"> (</w:t>
      </w:r>
      <w:proofErr w:type="spellStart"/>
      <w:r w:rsidR="00216A69" w:rsidRPr="00216A69">
        <w:rPr>
          <w:rFonts w:ascii="Helvetica" w:hAnsi="Helvetica" w:cs="Helvetica"/>
          <w:color w:val="222222"/>
          <w:highlight w:val="yellow"/>
        </w:rPr>
        <w:t>Mansoory</w:t>
      </w:r>
      <w:proofErr w:type="spellEnd"/>
      <w:r w:rsidR="00216A69" w:rsidRPr="00216A69">
        <w:rPr>
          <w:rFonts w:ascii="Helvetica" w:hAnsi="Helvetica" w:cs="Helvetica"/>
          <w:color w:val="222222"/>
          <w:highlight w:val="yellow"/>
        </w:rPr>
        <w:t xml:space="preserve"> et al., 2022</w:t>
      </w:r>
      <w:r w:rsidR="00216A69" w:rsidRPr="00216A69">
        <w:rPr>
          <w:rFonts w:ascii="Georgia" w:hAnsi="Georgia"/>
          <w:color w:val="1F1F1F"/>
          <w:highlight w:val="yellow"/>
        </w:rPr>
        <w:t>).</w:t>
      </w:r>
    </w:p>
    <w:p w14:paraId="70965E9E"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VR technologies—especially haptic VR simulators—address several long-standing constraints in preclinical skill development. They enable repeated practice without material depletion, provide immediate performance feedback, and create a data trail of errors, time, and motion patterns that can support coaching and assessment. Systematic reviews and broad syntheses generally report that VR and interactive simulation improve learning outcomes and student engagement, while also increasing perceived preparedness and motivation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 Moussa et al., 2022). Importantly, the educational promise of VR is not that it “automatically” produces better clinicians, but that it can structure learning in a way that reliably scaffolds progression—from basics, to controlled performance, to flexible dexterity and clinical transfer.</w:t>
      </w:r>
    </w:p>
    <w:p w14:paraId="53B8CEF4" w14:textId="77777777" w:rsidR="0061521F" w:rsidRPr="0061521F" w:rsidRDefault="0061521F" w:rsidP="000F0B59">
      <w:pPr>
        <w:spacing w:after="0" w:line="240" w:lineRule="auto"/>
        <w:jc w:val="both"/>
        <w:rPr>
          <w:rFonts w:ascii="Times New Roman" w:eastAsia="Times New Roman" w:hAnsi="Times New Roman" w:cs="Times New Roman"/>
          <w:sz w:val="24"/>
          <w:szCs w:val="24"/>
          <w:lang w:val="en-US"/>
        </w:rPr>
      </w:pPr>
    </w:p>
    <w:p w14:paraId="73E854B5" w14:textId="77777777" w:rsidR="0083179B" w:rsidRPr="0083179B" w:rsidRDefault="0083179B"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5" w:name="_Toc216522258"/>
      <w:r w:rsidRPr="0083179B">
        <w:rPr>
          <w:rFonts w:ascii="Times New Roman" w:eastAsia="Times New Roman" w:hAnsi="Times New Roman" w:cs="Times New Roman"/>
          <w:b/>
          <w:bCs/>
          <w:sz w:val="36"/>
          <w:szCs w:val="36"/>
          <w:lang w:val="en-US"/>
        </w:rPr>
        <w:t>2. Objectives and Methodology</w:t>
      </w:r>
      <w:bookmarkEnd w:id="5"/>
    </w:p>
    <w:p w14:paraId="33069D70" w14:textId="77777777" w:rsidR="0083179B" w:rsidRPr="0083179B" w:rsidRDefault="0083179B"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6" w:name="_Toc216522259"/>
      <w:r w:rsidRPr="0083179B">
        <w:rPr>
          <w:rFonts w:ascii="Times New Roman" w:eastAsia="Times New Roman" w:hAnsi="Times New Roman" w:cs="Times New Roman"/>
          <w:b/>
          <w:bCs/>
          <w:sz w:val="27"/>
          <w:szCs w:val="27"/>
          <w:lang w:val="en-US"/>
        </w:rPr>
        <w:t>2.1 Objectives</w:t>
      </w:r>
      <w:bookmarkEnd w:id="6"/>
    </w:p>
    <w:p w14:paraId="1FD2AAEE" w14:textId="77777777" w:rsidR="0083179B" w:rsidRPr="0083179B" w:rsidRDefault="0083179B"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83179B">
        <w:rPr>
          <w:rFonts w:ascii="Times New Roman" w:eastAsia="Times New Roman" w:hAnsi="Times New Roman" w:cs="Times New Roman"/>
          <w:sz w:val="24"/>
          <w:szCs w:val="24"/>
          <w:lang w:val="en-US"/>
        </w:rPr>
        <w:t xml:space="preserve">This review aims to explain how virtual reality can support a structured progression from foundational skills to clinical-grade dexterity in Conservative Dentistry and Endodontics. The first objective is to clarify which VR modalities are most relevant to operative and endodontic skill development and what each modality is realistically able to train. The second objective is to connect VR training to learning-science principles so that improvements in performance are interpreted as a consequence of deliberate practice, feedback quality, and staged task complexity rather than simple exposure to technology. The third objective is to describe an educationally defensible pathway for skill building in operative dentistry and endodontic access, emphasizing readiness for early clinical transfer. The final objective is to translate the </w:t>
      </w:r>
      <w:r w:rsidRPr="0083179B">
        <w:rPr>
          <w:rFonts w:ascii="Times New Roman" w:eastAsia="Times New Roman" w:hAnsi="Times New Roman" w:cs="Times New Roman"/>
          <w:sz w:val="24"/>
          <w:szCs w:val="24"/>
          <w:lang w:val="en-US"/>
        </w:rPr>
        <w:lastRenderedPageBreak/>
        <w:t>evidence into curriculum-facing guidance, including how VR can be embedded in competency-based assessment systems, how analytics can be used responsibly, and what implementation conditions are required for sustainable adoption.</w:t>
      </w:r>
    </w:p>
    <w:p w14:paraId="6FF42CBF" w14:textId="77777777" w:rsidR="0083179B" w:rsidRPr="0083179B" w:rsidRDefault="0083179B"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7" w:name="_Toc216522260"/>
      <w:r w:rsidRPr="0083179B">
        <w:rPr>
          <w:rFonts w:ascii="Times New Roman" w:eastAsia="Times New Roman" w:hAnsi="Times New Roman" w:cs="Times New Roman"/>
          <w:b/>
          <w:bCs/>
          <w:sz w:val="27"/>
          <w:szCs w:val="27"/>
          <w:lang w:val="en-US"/>
        </w:rPr>
        <w:t>2.2 Methodology</w:t>
      </w:r>
      <w:bookmarkEnd w:id="7"/>
    </w:p>
    <w:p w14:paraId="056595C0" w14:textId="77777777" w:rsidR="0083179B" w:rsidRPr="0083179B" w:rsidRDefault="0083179B"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83179B">
        <w:rPr>
          <w:rFonts w:ascii="Times New Roman" w:eastAsia="Times New Roman" w:hAnsi="Times New Roman" w:cs="Times New Roman"/>
          <w:sz w:val="24"/>
          <w:szCs w:val="24"/>
          <w:lang w:val="en-US"/>
        </w:rPr>
        <w:t>A narrative, evidence-informed approach was used to synthesize research and implementation insights relevant to VR-supported dexterity training in dentistry. The review prioritized recent peer-reviewed journal literature focused on dental VR, haptic simulation, operative/restorative training, and endodontic access instruction, alongside education research that helps interpret feedback, assessment, and skill transfer. Studies were considered when they provided clear relevance to psychomotor learning, performance measurement, learner experience, curriculum integration, or clinical transfer outcomes. Both quantitative and qualitative study designs were included to capture not only measurable performance effects but also usability, acceptance, and adoption barriers that influence real-world implementation.</w:t>
      </w:r>
    </w:p>
    <w:p w14:paraId="252E8BB1" w14:textId="77777777" w:rsidR="0083179B" w:rsidRPr="0083179B" w:rsidRDefault="0083179B"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83179B">
        <w:rPr>
          <w:rFonts w:ascii="Times New Roman" w:eastAsia="Times New Roman" w:hAnsi="Times New Roman" w:cs="Times New Roman"/>
          <w:sz w:val="24"/>
          <w:szCs w:val="24"/>
          <w:lang w:val="en-US"/>
        </w:rPr>
        <w:t xml:space="preserve">Evidence was organized thematically and then arranged into a staged progression framework that mirrors how learners typically advance: orientation and control, consistency and error reduction, variability tolerance, and supervised clinical transfer. Throughout synthesis, emphasis was placed on educational interpretability: how outcomes relate to competence, what types of feedback appear actionable for novices, and what constraints limit generalization across settings. </w:t>
      </w:r>
    </w:p>
    <w:p w14:paraId="05B1CDD6" w14:textId="77777777" w:rsidR="0061521F" w:rsidRPr="0061521F" w:rsidRDefault="0061521F" w:rsidP="000F0B59">
      <w:pPr>
        <w:spacing w:after="0" w:line="240" w:lineRule="auto"/>
        <w:jc w:val="both"/>
        <w:rPr>
          <w:rFonts w:ascii="Times New Roman" w:eastAsia="Times New Roman" w:hAnsi="Times New Roman" w:cs="Times New Roman"/>
          <w:sz w:val="24"/>
          <w:szCs w:val="24"/>
          <w:lang w:val="en-US"/>
        </w:rPr>
      </w:pPr>
    </w:p>
    <w:p w14:paraId="113237A1" w14:textId="77777777" w:rsidR="0061521F" w:rsidRPr="0061521F" w:rsidRDefault="0061521F"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8" w:name="_Toc216522261"/>
      <w:r w:rsidRPr="0061521F">
        <w:rPr>
          <w:rFonts w:ascii="Times New Roman" w:eastAsia="Times New Roman" w:hAnsi="Times New Roman" w:cs="Times New Roman"/>
          <w:b/>
          <w:bCs/>
          <w:sz w:val="36"/>
          <w:szCs w:val="36"/>
          <w:lang w:val="en-US"/>
        </w:rPr>
        <w:t>3. Virtual Reality Modalities Relevant to Dental Dexterity</w:t>
      </w:r>
      <w:bookmarkEnd w:id="8"/>
    </w:p>
    <w:p w14:paraId="4E8CC765"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9" w:name="_Toc216522262"/>
      <w:r w:rsidRPr="0061521F">
        <w:rPr>
          <w:rFonts w:ascii="Times New Roman" w:eastAsia="Times New Roman" w:hAnsi="Times New Roman" w:cs="Times New Roman"/>
          <w:b/>
          <w:bCs/>
          <w:sz w:val="27"/>
          <w:szCs w:val="27"/>
          <w:lang w:val="en-US"/>
        </w:rPr>
        <w:t>3.1 Haptic VR simulators</w:t>
      </w:r>
      <w:bookmarkEnd w:id="9"/>
    </w:p>
    <w:p w14:paraId="09CA5878"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Haptic virtual reality (VR) simulators are the most directly “dexterity-facing” modality in Conservative Dentistry and Endodontics because they combine a virtual operative field with force-feedback that approximates tactile consequences of instrument contact. In practical terms, these systems allow learners to rehearse handpiece control, bur angulation, pressure modulation, and fine spatial targeting while receiving immediate feedback on over-preparation, surface violations, and error patterns that are otherwise difficult to quantify consistently in conventional phantom-head sessions. The wider dental education literature has repeatedly positioned haptic VR as a high-value adjunct for preclinical psychomotor learning precisely because it can support repeated practice with standardized feedback loops, while also reducing dependence on consumable materials (Towers et al., 2019; Moussa et al., 2022;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w:t>
      </w:r>
    </w:p>
    <w:p w14:paraId="32B0A0DA"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A key strength of haptic simulation is that it can be engineered to emphasize specific micro-skills that cumulatively form operative dexterity, such as maintaining a stable fulcrum, controlling entry depth, and preserving conservative margins. When these tasks are paired with detailed analytics, the simulator shifts from being only a “practice environment” to also serving as a feedback and assessment platform. Evidence has shown that VR simulator exercises can be designed to provide clinically meaningful feedback and demonstrate validity in how performance is scored and interpreted, which is important if VR outputs are used to </w:t>
      </w:r>
      <w:r w:rsidRPr="0061521F">
        <w:rPr>
          <w:rFonts w:ascii="Times New Roman" w:eastAsia="Times New Roman" w:hAnsi="Times New Roman" w:cs="Times New Roman"/>
          <w:sz w:val="24"/>
          <w:szCs w:val="24"/>
          <w:lang w:val="en-US"/>
        </w:rPr>
        <w:lastRenderedPageBreak/>
        <w:t>guide progression, remediation, or readiness decisions (Dixon et al., 2021). Furthermore, technical design features within haptic VR can meaningfully affect learning. For example, research evaluating hand-tool alignment and stereopsis in an immersive, bimanual simulator indicates that alignment characteristics can influence learning gains and the accuracy of skill assessment, underscoring that “VR modality” includes not only content but also visual-motor mapping and ergonomics of interaction (</w:t>
      </w:r>
      <w:proofErr w:type="spellStart"/>
      <w:r w:rsidRPr="0061521F">
        <w:rPr>
          <w:rFonts w:ascii="Times New Roman" w:eastAsia="Times New Roman" w:hAnsi="Times New Roman" w:cs="Times New Roman"/>
          <w:sz w:val="24"/>
          <w:szCs w:val="24"/>
          <w:lang w:val="en-US"/>
        </w:rPr>
        <w:t>Kaluschke</w:t>
      </w:r>
      <w:proofErr w:type="spellEnd"/>
      <w:r w:rsidRPr="0061521F">
        <w:rPr>
          <w:rFonts w:ascii="Times New Roman" w:eastAsia="Times New Roman" w:hAnsi="Times New Roman" w:cs="Times New Roman"/>
          <w:sz w:val="24"/>
          <w:szCs w:val="24"/>
          <w:lang w:val="en-US"/>
        </w:rPr>
        <w:t xml:space="preserve"> et al., 2023).</w:t>
      </w:r>
    </w:p>
    <w:p w14:paraId="3D1799F2"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In Conservative Dentistry training specifically, students often report that haptic VR supports early confidence-building and self-correction because feedback is immediate and repeatable. In an interventional preclinical restorative dentistry context, VR haptic simulation was associated with improved learning experience and perceived preparedness, consistent with the idea that structured, feedback-rich repetition helps stabilize foundational motor patterns before learners encounter the variability and stress of clinic (</w:t>
      </w:r>
      <w:proofErr w:type="spellStart"/>
      <w:r w:rsidRPr="0061521F">
        <w:rPr>
          <w:rFonts w:ascii="Times New Roman" w:eastAsia="Times New Roman" w:hAnsi="Times New Roman" w:cs="Times New Roman"/>
          <w:sz w:val="24"/>
          <w:szCs w:val="24"/>
          <w:lang w:val="en-US"/>
        </w:rPr>
        <w:t>Daud</w:t>
      </w:r>
      <w:proofErr w:type="spellEnd"/>
      <w:r w:rsidRPr="0061521F">
        <w:rPr>
          <w:rFonts w:ascii="Times New Roman" w:eastAsia="Times New Roman" w:hAnsi="Times New Roman" w:cs="Times New Roman"/>
          <w:sz w:val="24"/>
          <w:szCs w:val="24"/>
          <w:lang w:val="en-US"/>
        </w:rPr>
        <w:t xml:space="preserve"> et al., 2023). At an institutional level, uptake is increasingly shaped by readiness to integrate haptic VR into curricula and timetables. A survey-based study across Gulf Cooperation Council dental schools illustrates that adoption is no longer hypothetical; programs are actively evaluating how haptic VR fits within competency structures and resource constraints (</w:t>
      </w:r>
      <w:proofErr w:type="spellStart"/>
      <w:r w:rsidRPr="0061521F">
        <w:rPr>
          <w:rFonts w:ascii="Times New Roman" w:eastAsia="Times New Roman" w:hAnsi="Times New Roman" w:cs="Times New Roman"/>
          <w:sz w:val="24"/>
          <w:szCs w:val="24"/>
          <w:lang w:val="en-US"/>
        </w:rPr>
        <w:t>Matoug-Elwerfelli</w:t>
      </w:r>
      <w:proofErr w:type="spellEnd"/>
      <w:r w:rsidRPr="0061521F">
        <w:rPr>
          <w:rFonts w:ascii="Times New Roman" w:eastAsia="Times New Roman" w:hAnsi="Times New Roman" w:cs="Times New Roman"/>
          <w:sz w:val="24"/>
          <w:szCs w:val="24"/>
          <w:lang w:val="en-US"/>
        </w:rPr>
        <w:t xml:space="preserve"> et al., 2025).</w:t>
      </w:r>
    </w:p>
    <w:p w14:paraId="4D79AF15"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10" w:name="_Toc216522263"/>
      <w:r w:rsidRPr="0061521F">
        <w:rPr>
          <w:rFonts w:ascii="Times New Roman" w:eastAsia="Times New Roman" w:hAnsi="Times New Roman" w:cs="Times New Roman"/>
          <w:b/>
          <w:bCs/>
          <w:sz w:val="27"/>
          <w:szCs w:val="27"/>
          <w:lang w:val="en-US"/>
        </w:rPr>
        <w:t>3.2 Immersive VR and task-based environments</w:t>
      </w:r>
      <w:bookmarkEnd w:id="10"/>
    </w:p>
    <w:p w14:paraId="503E8E1F"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Immersive VR typically refers to head-mounted display environments that support stereoscopic viewing, head tracking, and controller-based interaction. For dental dexterity development, immersive VR can be especially useful for training spatial orientation, procedural sequencing, and situational control under distraction or time pressure, even when fine tactile replication is less prominent than in dedicated haptic simulators. Importantly, immersive learning technologies should be understood along a continuum that includes augmented reality and mixed reality, which can overlay guidance or anatomy cues on physical tasks. A theory-informed synthesis of AR/VR/MR in health professions education emphasizes that learning benefits depend strongly on instructional design choices—such as cognitive load management, scaffolding, and feedback structure—rather than immersion alone (</w:t>
      </w:r>
      <w:proofErr w:type="spellStart"/>
      <w:r w:rsidRPr="0061521F">
        <w:rPr>
          <w:rFonts w:ascii="Times New Roman" w:eastAsia="Times New Roman" w:hAnsi="Times New Roman" w:cs="Times New Roman"/>
          <w:sz w:val="24"/>
          <w:szCs w:val="24"/>
          <w:lang w:val="en-US"/>
        </w:rPr>
        <w:t>Asoodar</w:t>
      </w:r>
      <w:proofErr w:type="spellEnd"/>
      <w:r w:rsidRPr="0061521F">
        <w:rPr>
          <w:rFonts w:ascii="Times New Roman" w:eastAsia="Times New Roman" w:hAnsi="Times New Roman" w:cs="Times New Roman"/>
          <w:sz w:val="24"/>
          <w:szCs w:val="24"/>
          <w:lang w:val="en-US"/>
        </w:rPr>
        <w:t xml:space="preserve"> et al., 2024). This point is highly relevant to Conservative Dentistry and Endodontics, where “seeing more” does not automatically translate into “doing better” unless learners are guided toward the correct perceptual cues and motor strategies.</w:t>
      </w:r>
    </w:p>
    <w:p w14:paraId="0ADF1EC5"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Within dental education research, systematic reviews suggest that VR—across immersive and simulator formats—often improves engagement and learner attitudes, with more variable effects on objective performance depending on study design and outcome selection (Moussa et al., 2022;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 For dexterity, immersive VR’s value is frequently indirect: it can strengthen orientation to operative fields, reinforce stepwise workflows, and support deliberate practice in recognizing and responding to errors. In endodontic training contexts, immersive and simulator-based VR environments are also being explored for their potential to reduce anxiety and build readiness, which is relevant because stress can degrade fine motor control and decision-making in novice operators (Sánchez-Herrera et al., 2025).</w:t>
      </w:r>
    </w:p>
    <w:p w14:paraId="2CAC2770"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11" w:name="_Toc216522264"/>
      <w:r w:rsidRPr="0061521F">
        <w:rPr>
          <w:rFonts w:ascii="Times New Roman" w:eastAsia="Times New Roman" w:hAnsi="Times New Roman" w:cs="Times New Roman"/>
          <w:b/>
          <w:bCs/>
          <w:sz w:val="27"/>
          <w:szCs w:val="27"/>
          <w:lang w:val="en-US"/>
        </w:rPr>
        <w:t>3.3 Hybrid simulation: VR plus conventional training</w:t>
      </w:r>
      <w:bookmarkEnd w:id="11"/>
    </w:p>
    <w:p w14:paraId="6371AC2E"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Across the literature, a converging conclusion is that VR modalities deliver the strongest educational value when deployed as part of a hybrid simulation ecosystem rather than as a standalone replacement for traditional preclinical training. Scoping and systematic reviews </w:t>
      </w:r>
      <w:r w:rsidRPr="0061521F">
        <w:rPr>
          <w:rFonts w:ascii="Times New Roman" w:eastAsia="Times New Roman" w:hAnsi="Times New Roman" w:cs="Times New Roman"/>
          <w:sz w:val="24"/>
          <w:szCs w:val="24"/>
          <w:lang w:val="en-US"/>
        </w:rPr>
        <w:lastRenderedPageBreak/>
        <w:t xml:space="preserve">repeatedly characterize VR as a complementary tool that can standardize early practice, provide scalable feedback, and broaden exposure to controlled variation, while conventional typodont and extracted-tooth training continues to provide material realism and clinically familiar constraints (Towers et al., 2019; Moussa et al., 2022;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 A practical hybrid model uses VR to accelerate the transition from basic hand control to repeatable technical consistency, then consolidates learning on physical substrates before clinic. Evidence from preclinical restorative education supports this logic: learners report that VR haptic simulation helps them recognize errors and refine control, but benefit most when that experience is integrated with conventional laboratory teaching and instructor guidance (</w:t>
      </w:r>
      <w:proofErr w:type="spellStart"/>
      <w:r w:rsidRPr="0061521F">
        <w:rPr>
          <w:rFonts w:ascii="Times New Roman" w:eastAsia="Times New Roman" w:hAnsi="Times New Roman" w:cs="Times New Roman"/>
          <w:sz w:val="24"/>
          <w:szCs w:val="24"/>
          <w:lang w:val="en-US"/>
        </w:rPr>
        <w:t>Daud</w:t>
      </w:r>
      <w:proofErr w:type="spellEnd"/>
      <w:r w:rsidRPr="0061521F">
        <w:rPr>
          <w:rFonts w:ascii="Times New Roman" w:eastAsia="Times New Roman" w:hAnsi="Times New Roman" w:cs="Times New Roman"/>
          <w:sz w:val="24"/>
          <w:szCs w:val="24"/>
          <w:lang w:val="en-US"/>
        </w:rPr>
        <w:t xml:space="preserve"> et al., 2023).</w:t>
      </w:r>
    </w:p>
    <w:p w14:paraId="1AE75F44"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Hybrid designs are also attractive because they can be aligned to competency milestones. A broad review of simulator technologies in dental education emphasizes that simulators should be selected and evaluated based on the skill domain being targeted (psychomotor precision, procedural workflow, assessment needs) and the intended stage of training (Li et al., 2021). In endodontics, where access cavity preparation demands both accuracy and composure, early evidence suggests that using haptic VR prior to patient procedures can improve clinical performance and reduce situational anxiety, supporting the “VR-first for safe repetition, then supervised transfer” approach (Sánchez-Herrera et al., 2025). Finally, hybrid implementation requires faculty and institutional readiness. Faculty-focused evidence indicates that adoption and effective use of haptic VR in dentistry depends on educator familiarity, calibration, and confidence in interpreting simulator feedback—factors that directly influence whether VR data is translated into meaningful coaching and fair assessment decisions (Hashem et al., 2025).</w:t>
      </w:r>
    </w:p>
    <w:p w14:paraId="393E8587" w14:textId="77777777" w:rsidR="0061521F" w:rsidRPr="0061521F" w:rsidRDefault="0061521F" w:rsidP="000F0B59">
      <w:pPr>
        <w:spacing w:after="0" w:line="240" w:lineRule="auto"/>
        <w:jc w:val="both"/>
        <w:rPr>
          <w:rFonts w:ascii="Times New Roman" w:eastAsia="Times New Roman" w:hAnsi="Times New Roman" w:cs="Times New Roman"/>
          <w:sz w:val="24"/>
          <w:szCs w:val="24"/>
          <w:lang w:val="en-US"/>
        </w:rPr>
      </w:pPr>
    </w:p>
    <w:p w14:paraId="2E954D02" w14:textId="77777777" w:rsidR="0061521F" w:rsidRPr="0061521F" w:rsidRDefault="0061521F"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12" w:name="_Toc216522265"/>
      <w:r w:rsidRPr="0061521F">
        <w:rPr>
          <w:rFonts w:ascii="Times New Roman" w:eastAsia="Times New Roman" w:hAnsi="Times New Roman" w:cs="Times New Roman"/>
          <w:b/>
          <w:bCs/>
          <w:sz w:val="36"/>
          <w:szCs w:val="36"/>
          <w:lang w:val="en-US"/>
        </w:rPr>
        <w:t>4. Learning-Science Rationale: How VR Can Build Dexterity</w:t>
      </w:r>
      <w:bookmarkEnd w:id="12"/>
    </w:p>
    <w:p w14:paraId="30B80BB6"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13" w:name="_Toc216522266"/>
      <w:r w:rsidRPr="0061521F">
        <w:rPr>
          <w:rFonts w:ascii="Times New Roman" w:eastAsia="Times New Roman" w:hAnsi="Times New Roman" w:cs="Times New Roman"/>
          <w:b/>
          <w:bCs/>
          <w:sz w:val="27"/>
          <w:szCs w:val="27"/>
          <w:lang w:val="en-US"/>
        </w:rPr>
        <w:t>4.1 From declarative knowledge to embodied performance</w:t>
      </w:r>
      <w:bookmarkEnd w:id="13"/>
    </w:p>
    <w:p w14:paraId="1FA6119F"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Dexterity in Conservative Dentistry and Endodontics is not a single ability but a coordinated product of perception, planning, hand–eye control, and continuous error correction under tight spatial constraints. Novices typically begin with declarative knowledge of steps and geometry, yet struggle to translate that knowledge into smooth, safe motor execution. Learning-science frameworks help explain why VR can accelerate this transition when it is designed as progressive skills training rather than as “immersion for its own sake.” Cognitive load theory, for example, predicts that early learners are vulnerable to overload because working memory is limited and the task is inherently complex; instruction must therefore reduce extraneous demands while managing intrinsic complexity to support learning (van </w:t>
      </w:r>
      <w:proofErr w:type="spellStart"/>
      <w:r w:rsidRPr="0061521F">
        <w:rPr>
          <w:rFonts w:ascii="Times New Roman" w:eastAsia="Times New Roman" w:hAnsi="Times New Roman" w:cs="Times New Roman"/>
          <w:sz w:val="24"/>
          <w:szCs w:val="24"/>
          <w:lang w:val="en-US"/>
        </w:rPr>
        <w:t>Merriënboer</w:t>
      </w:r>
      <w:proofErr w:type="spellEnd"/>
      <w:r w:rsidRPr="0061521F">
        <w:rPr>
          <w:rFonts w:ascii="Times New Roman" w:eastAsia="Times New Roman" w:hAnsi="Times New Roman" w:cs="Times New Roman"/>
          <w:sz w:val="24"/>
          <w:szCs w:val="24"/>
          <w:lang w:val="en-US"/>
        </w:rPr>
        <w:t xml:space="preserve"> &amp; </w:t>
      </w:r>
      <w:proofErr w:type="spellStart"/>
      <w:r w:rsidRPr="0061521F">
        <w:rPr>
          <w:rFonts w:ascii="Times New Roman" w:eastAsia="Times New Roman" w:hAnsi="Times New Roman" w:cs="Times New Roman"/>
          <w:sz w:val="24"/>
          <w:szCs w:val="24"/>
          <w:lang w:val="en-US"/>
        </w:rPr>
        <w:t>Sweller</w:t>
      </w:r>
      <w:proofErr w:type="spellEnd"/>
      <w:r w:rsidRPr="0061521F">
        <w:rPr>
          <w:rFonts w:ascii="Times New Roman" w:eastAsia="Times New Roman" w:hAnsi="Times New Roman" w:cs="Times New Roman"/>
          <w:sz w:val="24"/>
          <w:szCs w:val="24"/>
          <w:lang w:val="en-US"/>
        </w:rPr>
        <w:t xml:space="preserve">, 2010). </w:t>
      </w:r>
    </w:p>
    <w:p w14:paraId="40FEC5B2"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VR can operationalize these principles by sequencing tasks from basic orientation to increasingly complex operative challenges, while keeping the environment stable enough for repeated practice. Theory-focused syntheses in health professions education argue that the educational value of AR/VR/MR depends on how well the technology is aligned with learning objectives, scaffolding, and feedback—not simply on realism or novelty (</w:t>
      </w:r>
      <w:proofErr w:type="spellStart"/>
      <w:r w:rsidRPr="0061521F">
        <w:rPr>
          <w:rFonts w:ascii="Times New Roman" w:eastAsia="Times New Roman" w:hAnsi="Times New Roman" w:cs="Times New Roman"/>
          <w:sz w:val="24"/>
          <w:szCs w:val="24"/>
          <w:lang w:val="en-US"/>
        </w:rPr>
        <w:t>Asoodar</w:t>
      </w:r>
      <w:proofErr w:type="spellEnd"/>
      <w:r w:rsidRPr="0061521F">
        <w:rPr>
          <w:rFonts w:ascii="Times New Roman" w:eastAsia="Times New Roman" w:hAnsi="Times New Roman" w:cs="Times New Roman"/>
          <w:sz w:val="24"/>
          <w:szCs w:val="24"/>
          <w:lang w:val="en-US"/>
        </w:rPr>
        <w:t xml:space="preserve"> et al., 2024). In dental education specifically, reviews have emphasized that simulators should </w:t>
      </w:r>
      <w:r w:rsidRPr="0061521F">
        <w:rPr>
          <w:rFonts w:ascii="Times New Roman" w:eastAsia="Times New Roman" w:hAnsi="Times New Roman" w:cs="Times New Roman"/>
          <w:sz w:val="24"/>
          <w:szCs w:val="24"/>
          <w:lang w:val="en-US"/>
        </w:rPr>
        <w:lastRenderedPageBreak/>
        <w:t xml:space="preserve">be selected for their match to skill domain and training stage, because dexterity development requires different supports than knowledge acquisition alone (Li et al., 2021). </w:t>
      </w:r>
    </w:p>
    <w:p w14:paraId="08F31BB4"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14" w:name="_Toc216522267"/>
      <w:r w:rsidRPr="0061521F">
        <w:rPr>
          <w:rFonts w:ascii="Times New Roman" w:eastAsia="Times New Roman" w:hAnsi="Times New Roman" w:cs="Times New Roman"/>
          <w:b/>
          <w:bCs/>
          <w:sz w:val="27"/>
          <w:szCs w:val="27"/>
          <w:lang w:val="en-US"/>
        </w:rPr>
        <w:t>4.2 Deliberate practice and mastery learning as the engine of dexterity</w:t>
      </w:r>
      <w:bookmarkEnd w:id="14"/>
    </w:p>
    <w:p w14:paraId="717A7A4A"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A core reason VR can build dexterity is that it supports deliberate practice: focused repetition aimed at improving specific components of performance, with clear goals, feedback, and opportunities to correct errors (Ericsson et al., 1993). In conventional preclinical dentistry, the amount and quality of coaching can vary substantially across sessions and supervisors. VR environments can partially standardize the practice conditions and feedback loops so that learners repeatedly address the same high-yield motor problems, such as drift in bur angulation or inconsistent depth control.</w:t>
      </w:r>
    </w:p>
    <w:p w14:paraId="02B2680A"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However, deliberate practice is most effective when paired with mastery learning principles, where learners progress only after achieving a defined performance standard and remediation is structured rather than ad hoc. Evidence from medical education demonstrates that simulation-based mastery learning can produce strong educational outcomes and, in some cases, downstream translational effects, reinforcing the logic of competency thresholds rather than time-based exposure (</w:t>
      </w:r>
      <w:proofErr w:type="spellStart"/>
      <w:r w:rsidRPr="0061521F">
        <w:rPr>
          <w:rFonts w:ascii="Times New Roman" w:eastAsia="Times New Roman" w:hAnsi="Times New Roman" w:cs="Times New Roman"/>
          <w:sz w:val="24"/>
          <w:szCs w:val="24"/>
          <w:lang w:val="en-US"/>
        </w:rPr>
        <w:t>McGaghie</w:t>
      </w:r>
      <w:proofErr w:type="spellEnd"/>
      <w:r w:rsidRPr="0061521F">
        <w:rPr>
          <w:rFonts w:ascii="Times New Roman" w:eastAsia="Times New Roman" w:hAnsi="Times New Roman" w:cs="Times New Roman"/>
          <w:sz w:val="24"/>
          <w:szCs w:val="24"/>
          <w:lang w:val="en-US"/>
        </w:rPr>
        <w:t xml:space="preserve"> et al., 2014). VR is well suited to mastery learning because it can offer repeatable tasks, objective performance indicators, and rapid re-attempt cycles without material constraints. In dental contexts, systematic reviews broadly suggest VR and interactive simulation can improve learning outcomes and engagement, while emphasizing heterogeneity in platforms and measures (Moussa et al., 2022;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 These findings align with a learning-science interpretation: VR adds value when it reliably enables structured practice toward stable, criterion-level performance.</w:t>
      </w:r>
    </w:p>
    <w:p w14:paraId="114E048D"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15" w:name="_Toc216522268"/>
      <w:r w:rsidRPr="0061521F">
        <w:rPr>
          <w:rFonts w:ascii="Times New Roman" w:eastAsia="Times New Roman" w:hAnsi="Times New Roman" w:cs="Times New Roman"/>
          <w:b/>
          <w:bCs/>
          <w:sz w:val="27"/>
          <w:szCs w:val="27"/>
          <w:lang w:val="en-US"/>
        </w:rPr>
        <w:t>4.3 Feedback, error calibration, and validity of performance metrics</w:t>
      </w:r>
      <w:bookmarkEnd w:id="15"/>
    </w:p>
    <w:p w14:paraId="7911628C"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Feedback is the mechanism that converts practice into learning, but its effect depends on what the learner can do with it. High-impact feedback clarifies the gap between current performance and the target, supports strategy selection, and encourages self-regulation (Hattie &amp; Timperley, 2007). VR can deliver immediate, specific cues about errors that are otherwise difficult to observe in real time, such as repeated micro-collisions with a critical zone or consistent overextension at a margin. This is especially useful early in training, when students may not yet have the perceptual sensitivity to recognize the cause of an error from the outcome alone.</w:t>
      </w:r>
    </w:p>
    <w:p w14:paraId="2AFE9716"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For VR feedback to support dexterity, learners must trust that the feedback is clinically meaningful and that scores reflect real competence rather than “gaming the simulator.” Work on dental VR simulators has demonstrated that it is feasible to generate reliable, clinically relevant qualitative feedback and to argue for concurrent validity of simulator-based assessment and feedback (Dixon et al., 2021). Student-focused studies in restorative preclinical settings further suggest that learners perceive haptic VR as improving their ability to identify mistakes and refine control, particularly when VR sessions are integrated with instructor guidance and reflection (</w:t>
      </w:r>
      <w:proofErr w:type="spellStart"/>
      <w:r w:rsidRPr="0061521F">
        <w:rPr>
          <w:rFonts w:ascii="Times New Roman" w:eastAsia="Times New Roman" w:hAnsi="Times New Roman" w:cs="Times New Roman"/>
          <w:sz w:val="24"/>
          <w:szCs w:val="24"/>
          <w:lang w:val="en-US"/>
        </w:rPr>
        <w:t>Daud</w:t>
      </w:r>
      <w:proofErr w:type="spellEnd"/>
      <w:r w:rsidRPr="0061521F">
        <w:rPr>
          <w:rFonts w:ascii="Times New Roman" w:eastAsia="Times New Roman" w:hAnsi="Times New Roman" w:cs="Times New Roman"/>
          <w:sz w:val="24"/>
          <w:szCs w:val="24"/>
          <w:lang w:val="en-US"/>
        </w:rPr>
        <w:t xml:space="preserve"> et al., 2023, 2024). Faculty calibration remains crucial because instructors translate VR analytics into coaching decisions and remediation plans; faculty perspectives research indicates that educator readiness and training shape the success of haptic VR integration (Hashem et al., 2025). </w:t>
      </w:r>
    </w:p>
    <w:p w14:paraId="03F6F525"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16" w:name="_Toc216522269"/>
      <w:r w:rsidRPr="0061521F">
        <w:rPr>
          <w:rFonts w:ascii="Times New Roman" w:eastAsia="Times New Roman" w:hAnsi="Times New Roman" w:cs="Times New Roman"/>
          <w:b/>
          <w:bCs/>
          <w:sz w:val="27"/>
          <w:szCs w:val="27"/>
          <w:lang w:val="en-US"/>
        </w:rPr>
        <w:t>4.4 Variability, stress-tolerant performance, and transfer to clinic</w:t>
      </w:r>
      <w:bookmarkEnd w:id="16"/>
    </w:p>
    <w:p w14:paraId="3427513A"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lastRenderedPageBreak/>
        <w:t>Dexterity is ultimately defined by stability under variation: different tooth morphologies, access limitations, altered visibility, and time pressure. VR can introduce controlled variability while still maintaining standardized measurement, which helps learners build adaptable motor strategies instead of rigid routines. Experimental work shows that technical design features such as hand-tool alignment and stereoscopic conditions can influence learning effectiveness and skill transfer, highlighting that “how VR maps perception to action” matters for motor learning (</w:t>
      </w:r>
      <w:proofErr w:type="spellStart"/>
      <w:r w:rsidRPr="0061521F">
        <w:rPr>
          <w:rFonts w:ascii="Times New Roman" w:eastAsia="Times New Roman" w:hAnsi="Times New Roman" w:cs="Times New Roman"/>
          <w:sz w:val="24"/>
          <w:szCs w:val="24"/>
          <w:lang w:val="en-US"/>
        </w:rPr>
        <w:t>Kaluschke</w:t>
      </w:r>
      <w:proofErr w:type="spellEnd"/>
      <w:r w:rsidRPr="0061521F">
        <w:rPr>
          <w:rFonts w:ascii="Times New Roman" w:eastAsia="Times New Roman" w:hAnsi="Times New Roman" w:cs="Times New Roman"/>
          <w:sz w:val="24"/>
          <w:szCs w:val="24"/>
          <w:lang w:val="en-US"/>
        </w:rPr>
        <w:t xml:space="preserve"> et al., 2023). </w:t>
      </w:r>
    </w:p>
    <w:p w14:paraId="6363EE2B"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VR may also support affective readiness, especially for endodontic access tasks where anxiety can disrupt fine motor control and decision-making. A controlled clinical study in the International Endodontic Journal reported that haptic VR training prior to real-patient endodontic procedures improved clinical performance and was associated with favorable perceptions regarding preparedness and visualization (Sánchez-Herrera et al., 2025). Complementary evidence from a randomized trial in the Journal of Endodontics found that VR haptic simulation (and a companion mobile tool) improved clinical performance indicators and reduced stress before early clinical procedures, reinforcing the role of structured pre-exposure in the transition from lab to clinic (</w:t>
      </w:r>
      <w:proofErr w:type="spellStart"/>
      <w:r w:rsidRPr="0061521F">
        <w:rPr>
          <w:rFonts w:ascii="Times New Roman" w:eastAsia="Times New Roman" w:hAnsi="Times New Roman" w:cs="Times New Roman"/>
          <w:sz w:val="24"/>
          <w:szCs w:val="24"/>
          <w:lang w:val="en-US"/>
        </w:rPr>
        <w:t>Usta</w:t>
      </w:r>
      <w:proofErr w:type="spellEnd"/>
      <w:r w:rsidRPr="0061521F">
        <w:rPr>
          <w:rFonts w:ascii="Times New Roman" w:eastAsia="Times New Roman" w:hAnsi="Times New Roman" w:cs="Times New Roman"/>
          <w:sz w:val="24"/>
          <w:szCs w:val="24"/>
          <w:lang w:val="en-US"/>
        </w:rPr>
        <w:t xml:space="preserve"> et al., 2025). At the program level, implementation studies show that institutions are actively exploring where VR fits in curricula, commonly positioning it as preparatory deliberate practice that strengthens early competence before students face clinical variability (</w:t>
      </w:r>
      <w:proofErr w:type="spellStart"/>
      <w:r w:rsidRPr="0061521F">
        <w:rPr>
          <w:rFonts w:ascii="Times New Roman" w:eastAsia="Times New Roman" w:hAnsi="Times New Roman" w:cs="Times New Roman"/>
          <w:sz w:val="24"/>
          <w:szCs w:val="24"/>
          <w:lang w:val="en-US"/>
        </w:rPr>
        <w:t>Matoug-Elwerfelli</w:t>
      </w:r>
      <w:proofErr w:type="spellEnd"/>
      <w:r w:rsidRPr="0061521F">
        <w:rPr>
          <w:rFonts w:ascii="Times New Roman" w:eastAsia="Times New Roman" w:hAnsi="Times New Roman" w:cs="Times New Roman"/>
          <w:sz w:val="24"/>
          <w:szCs w:val="24"/>
          <w:lang w:val="en-US"/>
        </w:rPr>
        <w:t xml:space="preserve"> et al., 2025; Towers et al., 2019). </w:t>
      </w:r>
    </w:p>
    <w:p w14:paraId="0BB4C822" w14:textId="77777777" w:rsidR="0061521F" w:rsidRPr="0061521F" w:rsidRDefault="0061521F" w:rsidP="000F0B59">
      <w:pPr>
        <w:spacing w:after="0" w:line="240" w:lineRule="auto"/>
        <w:jc w:val="both"/>
        <w:rPr>
          <w:rFonts w:ascii="Times New Roman" w:eastAsia="Times New Roman" w:hAnsi="Times New Roman" w:cs="Times New Roman"/>
          <w:sz w:val="24"/>
          <w:szCs w:val="24"/>
          <w:lang w:val="en-US"/>
        </w:rPr>
      </w:pPr>
    </w:p>
    <w:p w14:paraId="316E7208" w14:textId="77777777" w:rsidR="0061521F" w:rsidRPr="0061521F" w:rsidRDefault="0061521F"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17" w:name="_Toc216522270"/>
      <w:r w:rsidRPr="0061521F">
        <w:rPr>
          <w:rFonts w:ascii="Times New Roman" w:eastAsia="Times New Roman" w:hAnsi="Times New Roman" w:cs="Times New Roman"/>
          <w:b/>
          <w:bCs/>
          <w:sz w:val="36"/>
          <w:szCs w:val="36"/>
          <w:lang w:val="en-US"/>
        </w:rPr>
        <w:t>5. VR for Conservative Dentistry: Building Operative Skills Stepwise</w:t>
      </w:r>
      <w:bookmarkEnd w:id="17"/>
    </w:p>
    <w:p w14:paraId="751960CA"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18" w:name="_Toc216522271"/>
      <w:r w:rsidRPr="0061521F">
        <w:rPr>
          <w:rFonts w:ascii="Times New Roman" w:eastAsia="Times New Roman" w:hAnsi="Times New Roman" w:cs="Times New Roman"/>
          <w:b/>
          <w:bCs/>
          <w:sz w:val="27"/>
          <w:szCs w:val="27"/>
          <w:lang w:val="en-US"/>
        </w:rPr>
        <w:t>5.1 Foundational orientation before cutting tooth structure</w:t>
      </w:r>
      <w:bookmarkEnd w:id="18"/>
    </w:p>
    <w:p w14:paraId="69A314F3"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A stepwise VR pathway for conservative dentistry should begin by stabilizing the “basics that prevent bad habits,” because early psychomotor patterns can become difficult to unlearn later. The first VR sessions are most defensible when they focus on ergonomic set-up (operator posture, instrument grasp, finger rest/fulcrum use), depth perception support, and safe hand-piece handling while the learner is still forming internal models of “how steady feels.” Evidence from restorative-dentistry VR haptic simulation suggests students value VR as a supplement to conventional phantom-head training, particularly for building confidence with manual control and for receiving structured feedback without the anxiety of damaging real tooth structure too early (</w:t>
      </w:r>
      <w:proofErr w:type="spellStart"/>
      <w:r w:rsidRPr="0061521F">
        <w:rPr>
          <w:rFonts w:ascii="Times New Roman" w:eastAsia="Times New Roman" w:hAnsi="Times New Roman" w:cs="Times New Roman"/>
          <w:sz w:val="24"/>
          <w:szCs w:val="24"/>
          <w:lang w:val="en-US"/>
        </w:rPr>
        <w:t>Daud</w:t>
      </w:r>
      <w:proofErr w:type="spellEnd"/>
      <w:r w:rsidRPr="0061521F">
        <w:rPr>
          <w:rFonts w:ascii="Times New Roman" w:eastAsia="Times New Roman" w:hAnsi="Times New Roman" w:cs="Times New Roman"/>
          <w:sz w:val="24"/>
          <w:szCs w:val="24"/>
          <w:lang w:val="en-US"/>
        </w:rPr>
        <w:t xml:space="preserve"> et al., 2023). </w:t>
      </w:r>
    </w:p>
    <w:p w14:paraId="306799F3"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Within conservative dentistry, “orientation” should also include deliberate practice of indirect vision and mirror-guided movement because these are foundational to access, cavity refinement, and posterior restorative steps. VR environments can repeatedly expose students to consistent viewpoints, lighting, and instrument angles, which helps standardize early learning conditions while faculty calibrate expectations. Student perceptions reported in qualitative work highlight that learners notice—and want—greater realism and clinical fidelity, implying that early VR stages should be framed as controlled skill scaffolding rather than as a full replacement for conventional simulation (</w:t>
      </w:r>
      <w:proofErr w:type="spellStart"/>
      <w:r w:rsidRPr="0061521F">
        <w:rPr>
          <w:rFonts w:ascii="Times New Roman" w:eastAsia="Times New Roman" w:hAnsi="Times New Roman" w:cs="Times New Roman"/>
          <w:sz w:val="24"/>
          <w:szCs w:val="24"/>
          <w:lang w:val="en-US"/>
        </w:rPr>
        <w:t>Daud</w:t>
      </w:r>
      <w:proofErr w:type="spellEnd"/>
      <w:r w:rsidRPr="0061521F">
        <w:rPr>
          <w:rFonts w:ascii="Times New Roman" w:eastAsia="Times New Roman" w:hAnsi="Times New Roman" w:cs="Times New Roman"/>
          <w:sz w:val="24"/>
          <w:szCs w:val="24"/>
          <w:lang w:val="en-US"/>
        </w:rPr>
        <w:t xml:space="preserve"> et al., 2024). </w:t>
      </w:r>
    </w:p>
    <w:p w14:paraId="1189D9CB"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19" w:name="_Toc216522272"/>
      <w:r w:rsidRPr="0061521F">
        <w:rPr>
          <w:rFonts w:ascii="Times New Roman" w:eastAsia="Times New Roman" w:hAnsi="Times New Roman" w:cs="Times New Roman"/>
          <w:b/>
          <w:bCs/>
          <w:sz w:val="27"/>
          <w:szCs w:val="27"/>
          <w:lang w:val="en-US"/>
        </w:rPr>
        <w:t>5.2 Controlled cavity preparation as a “graded precision ladder”</w:t>
      </w:r>
      <w:bookmarkEnd w:id="19"/>
    </w:p>
    <w:p w14:paraId="70750467"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lastRenderedPageBreak/>
        <w:t xml:space="preserve">After orientation, VR modules can progress to a graded ladder of operative tasks where each level adds </w:t>
      </w:r>
      <w:r w:rsidRPr="0061521F">
        <w:rPr>
          <w:rFonts w:ascii="Times New Roman" w:eastAsia="Times New Roman" w:hAnsi="Times New Roman" w:cs="Times New Roman"/>
          <w:b/>
          <w:bCs/>
          <w:sz w:val="24"/>
          <w:szCs w:val="24"/>
          <w:lang w:val="en-US"/>
        </w:rPr>
        <w:t>one new precision demand</w:t>
      </w:r>
      <w:r w:rsidRPr="0061521F">
        <w:rPr>
          <w:rFonts w:ascii="Times New Roman" w:eastAsia="Times New Roman" w:hAnsi="Times New Roman" w:cs="Times New Roman"/>
          <w:sz w:val="24"/>
          <w:szCs w:val="24"/>
          <w:lang w:val="en-US"/>
        </w:rPr>
        <w:t xml:space="preserve"> at a time. A common, defensible sequence is: (</w:t>
      </w:r>
      <w:proofErr w:type="spellStart"/>
      <w:r w:rsidRPr="0061521F">
        <w:rPr>
          <w:rFonts w:ascii="Times New Roman" w:eastAsia="Times New Roman" w:hAnsi="Times New Roman" w:cs="Times New Roman"/>
          <w:sz w:val="24"/>
          <w:szCs w:val="24"/>
          <w:lang w:val="en-US"/>
        </w:rPr>
        <w:t>i</w:t>
      </w:r>
      <w:proofErr w:type="spellEnd"/>
      <w:r w:rsidRPr="0061521F">
        <w:rPr>
          <w:rFonts w:ascii="Times New Roman" w:eastAsia="Times New Roman" w:hAnsi="Times New Roman" w:cs="Times New Roman"/>
          <w:sz w:val="24"/>
          <w:szCs w:val="24"/>
          <w:lang w:val="en-US"/>
        </w:rPr>
        <w:t>) bur positioning and entry point accuracy, (ii) outline form control for simple occlusal preparations, (iii) depth consistency and wall convergence/divergence control, and then (iv) margin refinement under time and visibility constraints. Randomized evidence using a dental VR simulator in preclinical operative dentistry has shown higher proportions of satisfactory Class I preparations among students exposed to a VR dental trainer compared with those without VR exposure, supporting the concept that VR can strengthen early competence when it is integrated into the operative curriculum rather than used as a stand-alone novelty (</w:t>
      </w:r>
      <w:proofErr w:type="spellStart"/>
      <w:r w:rsidRPr="0061521F">
        <w:rPr>
          <w:rFonts w:ascii="Times New Roman" w:eastAsia="Times New Roman" w:hAnsi="Times New Roman" w:cs="Times New Roman"/>
          <w:sz w:val="24"/>
          <w:szCs w:val="24"/>
          <w:lang w:val="en-US"/>
        </w:rPr>
        <w:t>Murbay</w:t>
      </w:r>
      <w:proofErr w:type="spellEnd"/>
      <w:r w:rsidRPr="0061521F">
        <w:rPr>
          <w:rFonts w:ascii="Times New Roman" w:eastAsia="Times New Roman" w:hAnsi="Times New Roman" w:cs="Times New Roman"/>
          <w:sz w:val="24"/>
          <w:szCs w:val="24"/>
          <w:lang w:val="en-US"/>
        </w:rPr>
        <w:t xml:space="preserve"> et al., 2020). </w:t>
      </w:r>
    </w:p>
    <w:p w14:paraId="5436E472" w14:textId="522EDAD3"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More recent controlled educational designs also support the idea of combining VR with conventional practice. For example, a 2025 study that integrated VR simulator practice with acrylic-tooth training reported improvements in competence outcomes compared with conventional-only pathways, consistent with VR working best as an adjunct that accelerates early error reduction and consistency (</w:t>
      </w:r>
      <w:proofErr w:type="spellStart"/>
      <w:r w:rsidRPr="0061521F">
        <w:rPr>
          <w:rFonts w:ascii="Times New Roman" w:eastAsia="Times New Roman" w:hAnsi="Times New Roman" w:cs="Times New Roman"/>
          <w:sz w:val="24"/>
          <w:szCs w:val="24"/>
          <w:lang w:val="en-US"/>
        </w:rPr>
        <w:t>Heidaridarani</w:t>
      </w:r>
      <w:proofErr w:type="spellEnd"/>
      <w:r w:rsidRPr="0061521F">
        <w:rPr>
          <w:rFonts w:ascii="Times New Roman" w:eastAsia="Times New Roman" w:hAnsi="Times New Roman" w:cs="Times New Roman"/>
          <w:sz w:val="24"/>
          <w:szCs w:val="24"/>
          <w:lang w:val="en-US"/>
        </w:rPr>
        <w:t xml:space="preserve"> et al., 2025). </w:t>
      </w:r>
    </w:p>
    <w:p w14:paraId="58E6BB29"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20" w:name="_Toc216522273"/>
      <w:r w:rsidRPr="0061521F">
        <w:rPr>
          <w:rFonts w:ascii="Times New Roman" w:eastAsia="Times New Roman" w:hAnsi="Times New Roman" w:cs="Times New Roman"/>
          <w:b/>
          <w:bCs/>
          <w:sz w:val="27"/>
          <w:szCs w:val="27"/>
          <w:lang w:val="en-US"/>
        </w:rPr>
        <w:t>5.3 Dexterity building through feedback, self-assessment, and repeated exposure</w:t>
      </w:r>
      <w:bookmarkEnd w:id="20"/>
    </w:p>
    <w:p w14:paraId="26A6F441"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Once learners can produce acceptable preparations, VR can shift emphasis from “meeting a rubric” to “refining micro-control,” such as minimizing over-preparation, smoothing internal line angles, and improving bimanual coordination. A practical strength of VR in this phase is the </w:t>
      </w:r>
      <w:r w:rsidRPr="0061521F">
        <w:rPr>
          <w:rFonts w:ascii="Times New Roman" w:eastAsia="Times New Roman" w:hAnsi="Times New Roman" w:cs="Times New Roman"/>
          <w:b/>
          <w:bCs/>
          <w:sz w:val="24"/>
          <w:szCs w:val="24"/>
          <w:lang w:val="en-US"/>
        </w:rPr>
        <w:t>density of feedback</w:t>
      </w:r>
      <w:r w:rsidRPr="0061521F">
        <w:rPr>
          <w:rFonts w:ascii="Times New Roman" w:eastAsia="Times New Roman" w:hAnsi="Times New Roman" w:cs="Times New Roman"/>
          <w:sz w:val="24"/>
          <w:szCs w:val="24"/>
          <w:lang w:val="en-US"/>
        </w:rPr>
        <w:t xml:space="preserve">: learners can repeat tasks with near-immediate performance metrics and self-evaluation prompts. In an operative-dentistry VR haptic prototype evaluation, student performance (for example, drill time) improved across sessions and students reported perceived benefits in manual-force control and interest in learning operative dentistry, illustrating how repeated VR exposures can reinforce self-monitoring and motivation—two drivers of deliberate practice (Rodrigues et al., 2023). </w:t>
      </w:r>
    </w:p>
    <w:p w14:paraId="6DF52BB7"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Importantly, VR can also cultivate “clinical readiness behaviors” that indirectly support restorative success, such as patient-centered workflow awareness, communication timing, and procedural sequencing. Even though patient-centered VR training is broader than cavity preparation alone, early experiences show that VR can be used to rehearse the human factors of dentistry—attention allocation, procedural flow, and coping with interruptions—which can protect technical performance under real-world cognitive load (Serrano et al., 2020). </w:t>
      </w:r>
    </w:p>
    <w:p w14:paraId="719AFDF8" w14:textId="77777777" w:rsidR="0061521F" w:rsidRPr="0061521F" w:rsidRDefault="0061521F"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21" w:name="_Toc216522274"/>
      <w:r w:rsidRPr="0061521F">
        <w:rPr>
          <w:rFonts w:ascii="Times New Roman" w:eastAsia="Times New Roman" w:hAnsi="Times New Roman" w:cs="Times New Roman"/>
          <w:b/>
          <w:bCs/>
          <w:sz w:val="27"/>
          <w:szCs w:val="27"/>
          <w:lang w:val="en-US"/>
        </w:rPr>
        <w:t>5.4 Assessment, remediation, and faculty adoption for sustained curriculum integration</w:t>
      </w:r>
      <w:bookmarkEnd w:id="21"/>
    </w:p>
    <w:p w14:paraId="620E01E9"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 xml:space="preserve">A stepwise VR pathway becomes more credible in conservative dentistry when it supports </w:t>
      </w:r>
      <w:r w:rsidRPr="0061521F">
        <w:rPr>
          <w:rFonts w:ascii="Times New Roman" w:eastAsia="Times New Roman" w:hAnsi="Times New Roman" w:cs="Times New Roman"/>
          <w:b/>
          <w:bCs/>
          <w:sz w:val="24"/>
          <w:szCs w:val="24"/>
          <w:lang w:val="en-US"/>
        </w:rPr>
        <w:t>remediation and early identification</w:t>
      </w:r>
      <w:r w:rsidRPr="0061521F">
        <w:rPr>
          <w:rFonts w:ascii="Times New Roman" w:eastAsia="Times New Roman" w:hAnsi="Times New Roman" w:cs="Times New Roman"/>
          <w:sz w:val="24"/>
          <w:szCs w:val="24"/>
          <w:lang w:val="en-US"/>
        </w:rPr>
        <w:t xml:space="preserve"> of learners who need targeted help. Evidence from a VR haptic simulator study in dental training suggests that aggregated simulator performance can have predictive value for later clinical performance, which opens a practical route for “early warning” support and structured coaching before high-stakes patient care (Al-Saud et al., 2020). </w:t>
      </w:r>
    </w:p>
    <w:p w14:paraId="4E6C3A5C"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At the implementation level, faculty perception and readiness can determine whether VR remains a short-lived pilot or becomes a dependable part of operative skills training. Faculty-</w:t>
      </w:r>
      <w:r w:rsidRPr="0061521F">
        <w:rPr>
          <w:rFonts w:ascii="Times New Roman" w:eastAsia="Times New Roman" w:hAnsi="Times New Roman" w:cs="Times New Roman"/>
          <w:sz w:val="24"/>
          <w:szCs w:val="24"/>
          <w:lang w:val="en-US"/>
        </w:rPr>
        <w:lastRenderedPageBreak/>
        <w:t xml:space="preserve">focused findings indicate that structured exposure (such as workshops) can increase willingness to adopt haptic VR as an adjunct across preclinical and clinical training, while also highlighting the need for ongoing faculty development to use these tools effectively (Hashem et al., 2025). </w:t>
      </w:r>
    </w:p>
    <w:p w14:paraId="2907B8C9"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Finally, the broader evidence base is moving toward synthesis and quality appraisal: a systematic review of haptic simulators in preclinical dental education reports improvements in motor skill acquisition across multiple dental domains and supports the overall educational plausibility of haptic/VR training—while still implying that curriculum design, validity evidence, and realism limitations must be addressed explicitly (</w:t>
      </w:r>
      <w:proofErr w:type="spellStart"/>
      <w:r w:rsidRPr="0061521F">
        <w:rPr>
          <w:rFonts w:ascii="Times New Roman" w:eastAsia="Times New Roman" w:hAnsi="Times New Roman" w:cs="Times New Roman"/>
          <w:sz w:val="24"/>
          <w:szCs w:val="24"/>
          <w:lang w:val="en-US"/>
        </w:rPr>
        <w:t>Bandiaky</w:t>
      </w:r>
      <w:proofErr w:type="spellEnd"/>
      <w:r w:rsidRPr="0061521F">
        <w:rPr>
          <w:rFonts w:ascii="Times New Roman" w:eastAsia="Times New Roman" w:hAnsi="Times New Roman" w:cs="Times New Roman"/>
          <w:sz w:val="24"/>
          <w:szCs w:val="24"/>
          <w:lang w:val="en-US"/>
        </w:rPr>
        <w:t xml:space="preserve"> et al., 2024). In conservative dentistry, this means treating VR as a </w:t>
      </w:r>
      <w:r w:rsidRPr="0061521F">
        <w:rPr>
          <w:rFonts w:ascii="Times New Roman" w:eastAsia="Times New Roman" w:hAnsi="Times New Roman" w:cs="Times New Roman"/>
          <w:b/>
          <w:bCs/>
          <w:sz w:val="24"/>
          <w:szCs w:val="24"/>
          <w:lang w:val="en-US"/>
        </w:rPr>
        <w:t>sequenced skills accelerator</w:t>
      </w:r>
      <w:r w:rsidRPr="0061521F">
        <w:rPr>
          <w:rFonts w:ascii="Times New Roman" w:eastAsia="Times New Roman" w:hAnsi="Times New Roman" w:cs="Times New Roman"/>
          <w:sz w:val="24"/>
          <w:szCs w:val="24"/>
          <w:lang w:val="en-US"/>
        </w:rPr>
        <w:t xml:space="preserve"> (especially for feedback-rich repetition) that is intentionally bridged to phantom heads and clinical supervision, rather than positioning it as a wholesale replacement for established preclinical training.</w:t>
      </w:r>
    </w:p>
    <w:p w14:paraId="2848B6EF" w14:textId="77777777" w:rsidR="0061521F" w:rsidRPr="0061521F" w:rsidRDefault="0061521F" w:rsidP="000F0B59">
      <w:pPr>
        <w:spacing w:after="0" w:line="240" w:lineRule="auto"/>
        <w:jc w:val="both"/>
        <w:rPr>
          <w:rFonts w:ascii="Times New Roman" w:eastAsia="Times New Roman" w:hAnsi="Times New Roman" w:cs="Times New Roman"/>
          <w:sz w:val="24"/>
          <w:szCs w:val="24"/>
          <w:lang w:val="en-US"/>
        </w:rPr>
      </w:pPr>
    </w:p>
    <w:p w14:paraId="089EC658" w14:textId="77777777" w:rsidR="00676549" w:rsidRPr="00676549" w:rsidRDefault="00676549"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22" w:name="_Toc216522275"/>
      <w:r w:rsidRPr="00676549">
        <w:rPr>
          <w:rFonts w:ascii="Times New Roman" w:eastAsia="Times New Roman" w:hAnsi="Times New Roman" w:cs="Times New Roman"/>
          <w:b/>
          <w:bCs/>
          <w:sz w:val="36"/>
          <w:szCs w:val="36"/>
          <w:lang w:val="en-US"/>
        </w:rPr>
        <w:t>6. VR for Endodontics: From Access Fundamentals to Early Clinical Transfer</w:t>
      </w:r>
      <w:bookmarkEnd w:id="22"/>
    </w:p>
    <w:p w14:paraId="4E2BD770" w14:textId="77777777" w:rsidR="00676549" w:rsidRPr="00676549" w:rsidRDefault="00676549"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23" w:name="_Toc216522276"/>
      <w:r w:rsidRPr="00676549">
        <w:rPr>
          <w:rFonts w:ascii="Times New Roman" w:eastAsia="Times New Roman" w:hAnsi="Times New Roman" w:cs="Times New Roman"/>
          <w:b/>
          <w:bCs/>
          <w:sz w:val="27"/>
          <w:szCs w:val="27"/>
          <w:lang w:val="en-US"/>
        </w:rPr>
        <w:t>6.1. Why endodontic access is a “high-yield” target for VR dexterity training</w:t>
      </w:r>
      <w:bookmarkEnd w:id="23"/>
    </w:p>
    <w:p w14:paraId="02F4C9BE" w14:textId="77777777" w:rsidR="00676549" w:rsidRPr="00676549" w:rsidRDefault="00676549"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6549">
        <w:rPr>
          <w:rFonts w:ascii="Times New Roman" w:eastAsia="Times New Roman" w:hAnsi="Times New Roman" w:cs="Times New Roman"/>
          <w:sz w:val="24"/>
          <w:szCs w:val="24"/>
          <w:lang w:val="en-US"/>
        </w:rPr>
        <w:t>Endodontic access cavity preparation is an ideal entry point for VR-enabled dexterity building because the task is both psychomotor-intensive and highly error-sensitive, yet sufficiently standardized to be practiced repeatedly with objective feedback. Early learners must coordinate fine handpiece control, depth perception, and spatial judgment while identifying internal anatomy that is largely invisible until enamel and dentin are removed. Foundational work in endodontic haptic simulation emphasized that VR environments can capture not only final outcomes but also “process signatures” such as motion patterns and force application, enabling a richer picture of developing proficiency than conventional bench practice alone (</w:t>
      </w:r>
      <w:proofErr w:type="spellStart"/>
      <w:r w:rsidRPr="00676549">
        <w:rPr>
          <w:rFonts w:ascii="Times New Roman" w:eastAsia="Times New Roman" w:hAnsi="Times New Roman" w:cs="Times New Roman"/>
          <w:sz w:val="24"/>
          <w:szCs w:val="24"/>
          <w:lang w:val="en-US"/>
        </w:rPr>
        <w:t>Suebnukarn</w:t>
      </w:r>
      <w:proofErr w:type="spellEnd"/>
      <w:r w:rsidRPr="00676549">
        <w:rPr>
          <w:rFonts w:ascii="Times New Roman" w:eastAsia="Times New Roman" w:hAnsi="Times New Roman" w:cs="Times New Roman"/>
          <w:sz w:val="24"/>
          <w:szCs w:val="24"/>
          <w:lang w:val="en-US"/>
        </w:rPr>
        <w:t xml:space="preserve"> et al., 2010). When VR modules are designed around access fundamentals—outline form, conservative dentin removal, chamber deroofing, and canal orifice location—they align naturally with competency-based education because the same target performance can be attempted multiple times under controlled conditions. Contemporary comparative training studies reinforce that learners accept VR-haptic access modules as credible supplements to traditional artificial-tooth practice, particularly when faculty guidance and structured feedback loops are built into the session design (</w:t>
      </w:r>
      <w:proofErr w:type="spellStart"/>
      <w:r w:rsidRPr="00676549">
        <w:rPr>
          <w:rFonts w:ascii="Times New Roman" w:eastAsia="Times New Roman" w:hAnsi="Times New Roman" w:cs="Times New Roman"/>
          <w:sz w:val="24"/>
          <w:szCs w:val="24"/>
          <w:lang w:val="en-US"/>
        </w:rPr>
        <w:t>Slaczka</w:t>
      </w:r>
      <w:proofErr w:type="spellEnd"/>
      <w:r w:rsidRPr="00676549">
        <w:rPr>
          <w:rFonts w:ascii="Times New Roman" w:eastAsia="Times New Roman" w:hAnsi="Times New Roman" w:cs="Times New Roman"/>
          <w:sz w:val="24"/>
          <w:szCs w:val="24"/>
          <w:lang w:val="en-US"/>
        </w:rPr>
        <w:t xml:space="preserve"> et al., 2024).</w:t>
      </w:r>
    </w:p>
    <w:p w14:paraId="03EC40A4" w14:textId="77777777" w:rsidR="00676549" w:rsidRPr="00676549" w:rsidRDefault="00676549"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24" w:name="_Toc216522277"/>
      <w:r w:rsidRPr="00676549">
        <w:rPr>
          <w:rFonts w:ascii="Times New Roman" w:eastAsia="Times New Roman" w:hAnsi="Times New Roman" w:cs="Times New Roman"/>
          <w:b/>
          <w:bCs/>
          <w:sz w:val="27"/>
          <w:szCs w:val="27"/>
          <w:lang w:val="en-US"/>
        </w:rPr>
        <w:t>6.2. Haptic VR for “tissue-feel,” error prevention, and 3D internal anatomy mapping</w:t>
      </w:r>
      <w:bookmarkEnd w:id="24"/>
    </w:p>
    <w:p w14:paraId="1978730E" w14:textId="77777777" w:rsidR="00676549" w:rsidRPr="00676549" w:rsidRDefault="00676549"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6549">
        <w:rPr>
          <w:rFonts w:ascii="Times New Roman" w:eastAsia="Times New Roman" w:hAnsi="Times New Roman" w:cs="Times New Roman"/>
          <w:sz w:val="24"/>
          <w:szCs w:val="24"/>
          <w:lang w:val="en-US"/>
        </w:rPr>
        <w:t xml:space="preserve">A key pedagogical advantage of VR-haptic platforms for endodontics is the potential to approximate differences in tactile sensation across substrates and to link that sensation to correct decision-making during access. In real teeth, novice errors often stem from poorly calibrated pressure, bur angulation drift, and inadequate anticipation of pulp chamber depth and roof thickness. Haptic VR environments can be engineered to emphasize those thresholds by providing immediate force-feedback consequences and by logging micro-errors (for example, excessive removal, perforation risk trajectories, or inefficient kinematics), which </w:t>
      </w:r>
      <w:r w:rsidRPr="00676549">
        <w:rPr>
          <w:rFonts w:ascii="Times New Roman" w:eastAsia="Times New Roman" w:hAnsi="Times New Roman" w:cs="Times New Roman"/>
          <w:sz w:val="24"/>
          <w:szCs w:val="24"/>
          <w:lang w:val="en-US"/>
        </w:rPr>
        <w:lastRenderedPageBreak/>
        <w:t>can then be reviewed as actionable feedback (</w:t>
      </w:r>
      <w:proofErr w:type="spellStart"/>
      <w:r w:rsidRPr="00676549">
        <w:rPr>
          <w:rFonts w:ascii="Times New Roman" w:eastAsia="Times New Roman" w:hAnsi="Times New Roman" w:cs="Times New Roman"/>
          <w:sz w:val="24"/>
          <w:szCs w:val="24"/>
          <w:lang w:val="en-US"/>
        </w:rPr>
        <w:t>Suebnukarn</w:t>
      </w:r>
      <w:proofErr w:type="spellEnd"/>
      <w:r w:rsidRPr="00676549">
        <w:rPr>
          <w:rFonts w:ascii="Times New Roman" w:eastAsia="Times New Roman" w:hAnsi="Times New Roman" w:cs="Times New Roman"/>
          <w:sz w:val="24"/>
          <w:szCs w:val="24"/>
          <w:lang w:val="en-US"/>
        </w:rPr>
        <w:t xml:space="preserve"> et al., 2010). A randomized controlled trial using haptic VR combined with microcomputed tomography–based tooth models showed that simulation can be configured not merely for repetition but for deliberate practice aimed at minimizing procedural errors in access preparation (</w:t>
      </w:r>
      <w:proofErr w:type="spellStart"/>
      <w:r w:rsidRPr="00676549">
        <w:rPr>
          <w:rFonts w:ascii="Times New Roman" w:eastAsia="Times New Roman" w:hAnsi="Times New Roman" w:cs="Times New Roman"/>
          <w:sz w:val="24"/>
          <w:szCs w:val="24"/>
          <w:lang w:val="en-US"/>
        </w:rPr>
        <w:t>Suebnukarn</w:t>
      </w:r>
      <w:proofErr w:type="spellEnd"/>
      <w:r w:rsidRPr="00676549">
        <w:rPr>
          <w:rFonts w:ascii="Times New Roman" w:eastAsia="Times New Roman" w:hAnsi="Times New Roman" w:cs="Times New Roman"/>
          <w:sz w:val="24"/>
          <w:szCs w:val="24"/>
          <w:lang w:val="en-US"/>
        </w:rPr>
        <w:t xml:space="preserve"> et al., 2011). For curricula that prioritize minimally invasive endodontics, such calibration is particularly relevant: the learner must develop “restraint” as a motor skill, not only speed or completeness. As VR systems mature, evidence that their scoring and benchmarking can distinguish levels of expertise supports their use for structured assessment—an important bridge from practice to competency sign-off in endodontic modules (</w:t>
      </w:r>
      <w:proofErr w:type="spellStart"/>
      <w:r w:rsidRPr="00676549">
        <w:rPr>
          <w:rFonts w:ascii="Times New Roman" w:eastAsia="Times New Roman" w:hAnsi="Times New Roman" w:cs="Times New Roman"/>
          <w:sz w:val="24"/>
          <w:szCs w:val="24"/>
          <w:lang w:val="en-US"/>
        </w:rPr>
        <w:t>Suebnukarn</w:t>
      </w:r>
      <w:proofErr w:type="spellEnd"/>
      <w:r w:rsidRPr="00676549">
        <w:rPr>
          <w:rFonts w:ascii="Times New Roman" w:eastAsia="Times New Roman" w:hAnsi="Times New Roman" w:cs="Times New Roman"/>
          <w:sz w:val="24"/>
          <w:szCs w:val="24"/>
          <w:lang w:val="en-US"/>
        </w:rPr>
        <w:t xml:space="preserve"> et al., 2014). Importantly, the educational impact of VR also depends on how it is paired with conventional training; recent work suggests that combining virtual simulation with phantom-based exercises can enhance preclinical outcomes in access and coronal cavity preparation, with training sequence potentially influencing learning benefits (Wei &amp; Peng, 2024).</w:t>
      </w:r>
    </w:p>
    <w:p w14:paraId="3CE28F48" w14:textId="77777777" w:rsidR="00676549" w:rsidRPr="00676549" w:rsidRDefault="00676549"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25" w:name="_Toc216522278"/>
      <w:r w:rsidRPr="00676549">
        <w:rPr>
          <w:rFonts w:ascii="Times New Roman" w:eastAsia="Times New Roman" w:hAnsi="Times New Roman" w:cs="Times New Roman"/>
          <w:b/>
          <w:bCs/>
          <w:sz w:val="27"/>
          <w:szCs w:val="27"/>
          <w:lang w:val="en-US"/>
        </w:rPr>
        <w:t>6.3. Sequencing VR with conventional preclinical training to strengthen confidence and reduce stress</w:t>
      </w:r>
      <w:bookmarkEnd w:id="25"/>
    </w:p>
    <w:p w14:paraId="5A9F9861" w14:textId="77777777" w:rsidR="00676549" w:rsidRPr="00676549" w:rsidRDefault="00676549"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6549">
        <w:rPr>
          <w:rFonts w:ascii="Times New Roman" w:eastAsia="Times New Roman" w:hAnsi="Times New Roman" w:cs="Times New Roman"/>
          <w:sz w:val="24"/>
          <w:szCs w:val="24"/>
          <w:lang w:val="en-US"/>
        </w:rPr>
        <w:t xml:space="preserve">Dexterity in endodontics is not purely mechanical; it is expressed under time pressure, attentional load, and the anxiety of irreversible error. A growing theme across recent studies is that </w:t>
      </w:r>
      <w:r w:rsidRPr="00676549">
        <w:rPr>
          <w:rFonts w:ascii="Times New Roman" w:eastAsia="Times New Roman" w:hAnsi="Times New Roman" w:cs="Times New Roman"/>
          <w:i/>
          <w:iCs/>
          <w:sz w:val="24"/>
          <w:szCs w:val="24"/>
          <w:lang w:val="en-US"/>
        </w:rPr>
        <w:t>when</w:t>
      </w:r>
      <w:r w:rsidRPr="00676549">
        <w:rPr>
          <w:rFonts w:ascii="Times New Roman" w:eastAsia="Times New Roman" w:hAnsi="Times New Roman" w:cs="Times New Roman"/>
          <w:sz w:val="24"/>
          <w:szCs w:val="24"/>
          <w:lang w:val="en-US"/>
        </w:rPr>
        <w:t xml:space="preserve"> haptic VR is introduced may be as important as </w:t>
      </w:r>
      <w:r w:rsidRPr="00676549">
        <w:rPr>
          <w:rFonts w:ascii="Times New Roman" w:eastAsia="Times New Roman" w:hAnsi="Times New Roman" w:cs="Times New Roman"/>
          <w:i/>
          <w:iCs/>
          <w:sz w:val="24"/>
          <w:szCs w:val="24"/>
          <w:lang w:val="en-US"/>
        </w:rPr>
        <w:t>whether</w:t>
      </w:r>
      <w:r w:rsidRPr="00676549">
        <w:rPr>
          <w:rFonts w:ascii="Times New Roman" w:eastAsia="Times New Roman" w:hAnsi="Times New Roman" w:cs="Times New Roman"/>
          <w:sz w:val="24"/>
          <w:szCs w:val="24"/>
          <w:lang w:val="en-US"/>
        </w:rPr>
        <w:t xml:space="preserve"> it is introduced. In a controlled comparison of sequence effects during preclinical endodontic training, early exposure to VR-haptic sessions (before extensive artificial-tooth drilling) was associated with improvements in manual dexterity scores, higher self-confidence, and reductions in perceived stress during subsequent training phases (</w:t>
      </w:r>
      <w:proofErr w:type="spellStart"/>
      <w:r w:rsidRPr="00676549">
        <w:rPr>
          <w:rFonts w:ascii="Times New Roman" w:eastAsia="Times New Roman" w:hAnsi="Times New Roman" w:cs="Times New Roman"/>
          <w:sz w:val="24"/>
          <w:szCs w:val="24"/>
          <w:lang w:val="en-US"/>
        </w:rPr>
        <w:t>Usta</w:t>
      </w:r>
      <w:proofErr w:type="spellEnd"/>
      <w:r w:rsidRPr="00676549">
        <w:rPr>
          <w:rFonts w:ascii="Times New Roman" w:eastAsia="Times New Roman" w:hAnsi="Times New Roman" w:cs="Times New Roman"/>
          <w:sz w:val="24"/>
          <w:szCs w:val="24"/>
          <w:lang w:val="en-US"/>
        </w:rPr>
        <w:t xml:space="preserve"> et al., 2025a). This sequencing logic fits learning-science principles of scaffolding: VR can front-load safe exploration and feedback-rich repetition, allowing learners to stabilize basic motor programs and reduce cognitive overload before encountering the messier variability of conventional simulation. Complementing this, preclinical research that integrated haptic VR as a preparatory step before phantom-head training reported improvements in specific technical aspects of access cavity preparation, while also highlighting learner perceptions about realism and usability that can guide implementation (Sánchez-Herrera et al., 2025a). Together, these findings suggest that haptic VR is most defensible educationally when positioned as an </w:t>
      </w:r>
      <w:r w:rsidRPr="00676549">
        <w:rPr>
          <w:rFonts w:ascii="Times New Roman" w:eastAsia="Times New Roman" w:hAnsi="Times New Roman" w:cs="Times New Roman"/>
          <w:i/>
          <w:iCs/>
          <w:sz w:val="24"/>
          <w:szCs w:val="24"/>
          <w:lang w:val="en-US"/>
        </w:rPr>
        <w:t>early calibration tool</w:t>
      </w:r>
      <w:r w:rsidRPr="00676549">
        <w:rPr>
          <w:rFonts w:ascii="Times New Roman" w:eastAsia="Times New Roman" w:hAnsi="Times New Roman" w:cs="Times New Roman"/>
          <w:sz w:val="24"/>
          <w:szCs w:val="24"/>
          <w:lang w:val="en-US"/>
        </w:rPr>
        <w:t>—a way to build confident, controlled movements before students face higher-stakes practice settings.</w:t>
      </w:r>
    </w:p>
    <w:p w14:paraId="37A5B3E1" w14:textId="77777777" w:rsidR="00676549" w:rsidRPr="00676549" w:rsidRDefault="00676549"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26" w:name="_Toc216522279"/>
      <w:r w:rsidRPr="00676549">
        <w:rPr>
          <w:rFonts w:ascii="Times New Roman" w:eastAsia="Times New Roman" w:hAnsi="Times New Roman" w:cs="Times New Roman"/>
          <w:b/>
          <w:bCs/>
          <w:sz w:val="27"/>
          <w:szCs w:val="27"/>
          <w:lang w:val="en-US"/>
        </w:rPr>
        <w:t>6.4. Early clinical transfer: bridging from simulated competence to first patient procedures</w:t>
      </w:r>
      <w:bookmarkEnd w:id="26"/>
    </w:p>
    <w:p w14:paraId="6AF29521" w14:textId="77777777" w:rsidR="00676549" w:rsidRPr="00676549" w:rsidRDefault="00676549"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6549">
        <w:rPr>
          <w:rFonts w:ascii="Times New Roman" w:eastAsia="Times New Roman" w:hAnsi="Times New Roman" w:cs="Times New Roman"/>
          <w:sz w:val="24"/>
          <w:szCs w:val="24"/>
          <w:lang w:val="en-US"/>
        </w:rPr>
        <w:t>For endodontics, the strongest argument for VR is not novelty but demonstrable transfer into early clinical performance. Evidence is now emerging that VR-haptic preparation can translate into measurable improvements during initial patient-based endodontic procedures. In a randomized controlled clinical study, a VR-haptic simulator (paired with a supportive digital tool) improved students’ clinical and self-assessed performance, reduced drilling time, lowered pre-procedure stress, and increased perceived preparedness during early clinical endodontic practice (</w:t>
      </w:r>
      <w:proofErr w:type="spellStart"/>
      <w:r w:rsidRPr="00676549">
        <w:rPr>
          <w:rFonts w:ascii="Times New Roman" w:eastAsia="Times New Roman" w:hAnsi="Times New Roman" w:cs="Times New Roman"/>
          <w:sz w:val="24"/>
          <w:szCs w:val="24"/>
          <w:lang w:val="en-US"/>
        </w:rPr>
        <w:t>Usta</w:t>
      </w:r>
      <w:proofErr w:type="spellEnd"/>
      <w:r w:rsidRPr="00676549">
        <w:rPr>
          <w:rFonts w:ascii="Times New Roman" w:eastAsia="Times New Roman" w:hAnsi="Times New Roman" w:cs="Times New Roman"/>
          <w:sz w:val="24"/>
          <w:szCs w:val="24"/>
          <w:lang w:val="en-US"/>
        </w:rPr>
        <w:t xml:space="preserve"> et al., 2025b). Importantly, these outcomes align with what faculty value in novices: controlled access, appropriate efficiency, and reduced anxiety that might otherwise degrade fine motor control. Parallel clinical evidence indicates that prior haptic VR simulation can improve clinical performance during endodontic access cavity preparation on real patients and can support anxiety management, suggesting that simulation may influence both technical and affective dimensions of readiness (Sánchez-Herrera et al., 2025b). In </w:t>
      </w:r>
      <w:r w:rsidRPr="00676549">
        <w:rPr>
          <w:rFonts w:ascii="Times New Roman" w:eastAsia="Times New Roman" w:hAnsi="Times New Roman" w:cs="Times New Roman"/>
          <w:sz w:val="24"/>
          <w:szCs w:val="24"/>
          <w:lang w:val="en-US"/>
        </w:rPr>
        <w:lastRenderedPageBreak/>
        <w:t>practical curricular terms, these studies strengthen the case for using VR-haptic access modules as a “gateway” that prepares learners for their first supervised clinical cases, rather than treating VR as an optional enrichment activity.</w:t>
      </w:r>
    </w:p>
    <w:p w14:paraId="774FFD62" w14:textId="77777777" w:rsidR="00676549" w:rsidRPr="00676549" w:rsidRDefault="00676549"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27" w:name="_Toc216522280"/>
      <w:r w:rsidRPr="00676549">
        <w:rPr>
          <w:rFonts w:ascii="Times New Roman" w:eastAsia="Times New Roman" w:hAnsi="Times New Roman" w:cs="Times New Roman"/>
          <w:b/>
          <w:bCs/>
          <w:sz w:val="27"/>
          <w:szCs w:val="27"/>
          <w:lang w:val="en-US"/>
        </w:rPr>
        <w:t>6.5. Extending beyond access: anatomy cognition, curriculum integration, and implementation realism</w:t>
      </w:r>
      <w:bookmarkEnd w:id="27"/>
    </w:p>
    <w:p w14:paraId="52B8961B" w14:textId="77777777" w:rsidR="00676549" w:rsidRPr="00676549" w:rsidRDefault="00676549"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6549">
        <w:rPr>
          <w:rFonts w:ascii="Times New Roman" w:eastAsia="Times New Roman" w:hAnsi="Times New Roman" w:cs="Times New Roman"/>
          <w:sz w:val="24"/>
          <w:szCs w:val="24"/>
          <w:lang w:val="en-US"/>
        </w:rPr>
        <w:t>While access cavity preparation is the natural starting point, the endodontic VR pathway should also address a persistent bottleneck: internal anatomy comprehension. Immersive VR has been shown to improve students’ perceived understanding of root canal anatomy compared with conventional imaging approaches, supporting the idea that cognitive 3D mapping and psychomotor execution should be trained together rather than in isolation (</w:t>
      </w:r>
      <w:proofErr w:type="spellStart"/>
      <w:r w:rsidRPr="00676549">
        <w:rPr>
          <w:rFonts w:ascii="Times New Roman" w:eastAsia="Times New Roman" w:hAnsi="Times New Roman" w:cs="Times New Roman"/>
          <w:sz w:val="24"/>
          <w:szCs w:val="24"/>
          <w:lang w:val="en-US"/>
        </w:rPr>
        <w:t>Reymus</w:t>
      </w:r>
      <w:proofErr w:type="spellEnd"/>
      <w:r w:rsidRPr="00676549">
        <w:rPr>
          <w:rFonts w:ascii="Times New Roman" w:eastAsia="Times New Roman" w:hAnsi="Times New Roman" w:cs="Times New Roman"/>
          <w:sz w:val="24"/>
          <w:szCs w:val="24"/>
          <w:lang w:val="en-US"/>
        </w:rPr>
        <w:t xml:space="preserve"> et al., 2020). However, successful implementation requires institutional realism: simulator access, faculty calibration, assessment policies, and integration across years. Broader curriculum studies examining </w:t>
      </w:r>
      <w:proofErr w:type="spellStart"/>
      <w:r w:rsidRPr="00676549">
        <w:rPr>
          <w:rFonts w:ascii="Times New Roman" w:eastAsia="Times New Roman" w:hAnsi="Times New Roman" w:cs="Times New Roman"/>
          <w:sz w:val="24"/>
          <w:szCs w:val="24"/>
          <w:lang w:val="en-US"/>
        </w:rPr>
        <w:t>Simodont</w:t>
      </w:r>
      <w:proofErr w:type="spellEnd"/>
      <w:r w:rsidRPr="00676549">
        <w:rPr>
          <w:rFonts w:ascii="Times New Roman" w:eastAsia="Times New Roman" w:hAnsi="Times New Roman" w:cs="Times New Roman"/>
          <w:sz w:val="24"/>
          <w:szCs w:val="24"/>
          <w:lang w:val="en-US"/>
        </w:rPr>
        <w:t xml:space="preserve"> integration across stages of dental education have reported strong educational potential while also noting that some programs still exclude endodontic exercises—underscoring that, despite progress, endodontic VR adoption remains uneven and evidence-sensitive (Bakr et al., 2024). This makes rigorous local evaluation essential: schools can justify endodontic VR not by replacing conventional training, but by demonstrating improved readiness, reduced stress, and more consistent attainment of access competencies before learners move into patient care (</w:t>
      </w:r>
      <w:proofErr w:type="spellStart"/>
      <w:r w:rsidRPr="00676549">
        <w:rPr>
          <w:rFonts w:ascii="Times New Roman" w:eastAsia="Times New Roman" w:hAnsi="Times New Roman" w:cs="Times New Roman"/>
          <w:sz w:val="24"/>
          <w:szCs w:val="24"/>
          <w:lang w:val="en-US"/>
        </w:rPr>
        <w:t>Usta</w:t>
      </w:r>
      <w:proofErr w:type="spellEnd"/>
      <w:r w:rsidRPr="00676549">
        <w:rPr>
          <w:rFonts w:ascii="Times New Roman" w:eastAsia="Times New Roman" w:hAnsi="Times New Roman" w:cs="Times New Roman"/>
          <w:sz w:val="24"/>
          <w:szCs w:val="24"/>
          <w:lang w:val="en-US"/>
        </w:rPr>
        <w:t xml:space="preserve"> et al., 2025a; </w:t>
      </w:r>
      <w:proofErr w:type="spellStart"/>
      <w:r w:rsidRPr="00676549">
        <w:rPr>
          <w:rFonts w:ascii="Times New Roman" w:eastAsia="Times New Roman" w:hAnsi="Times New Roman" w:cs="Times New Roman"/>
          <w:sz w:val="24"/>
          <w:szCs w:val="24"/>
          <w:lang w:val="en-US"/>
        </w:rPr>
        <w:t>Usta</w:t>
      </w:r>
      <w:proofErr w:type="spellEnd"/>
      <w:r w:rsidRPr="00676549">
        <w:rPr>
          <w:rFonts w:ascii="Times New Roman" w:eastAsia="Times New Roman" w:hAnsi="Times New Roman" w:cs="Times New Roman"/>
          <w:sz w:val="24"/>
          <w:szCs w:val="24"/>
          <w:lang w:val="en-US"/>
        </w:rPr>
        <w:t xml:space="preserve"> et al., 2025b; Sánchez-Herrera et al., 2025b).</w:t>
      </w:r>
    </w:p>
    <w:p w14:paraId="0E636D3E" w14:textId="77777777" w:rsidR="0061521F" w:rsidRPr="0061521F" w:rsidRDefault="0061521F" w:rsidP="000F0B59">
      <w:pPr>
        <w:spacing w:after="0" w:line="240" w:lineRule="auto"/>
        <w:jc w:val="both"/>
        <w:rPr>
          <w:rFonts w:ascii="Times New Roman" w:eastAsia="Times New Roman" w:hAnsi="Times New Roman" w:cs="Times New Roman"/>
          <w:sz w:val="24"/>
          <w:szCs w:val="24"/>
          <w:lang w:val="en-US"/>
        </w:rPr>
      </w:pPr>
    </w:p>
    <w:p w14:paraId="1762986D" w14:textId="77777777" w:rsidR="0067007E" w:rsidRPr="0067007E" w:rsidRDefault="0067007E"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28" w:name="_Toc216522281"/>
      <w:r w:rsidRPr="0067007E">
        <w:rPr>
          <w:rFonts w:ascii="Times New Roman" w:eastAsia="Times New Roman" w:hAnsi="Times New Roman" w:cs="Times New Roman"/>
          <w:b/>
          <w:bCs/>
          <w:sz w:val="36"/>
          <w:szCs w:val="36"/>
          <w:lang w:val="en-US"/>
        </w:rPr>
        <w:t>7. Analytics, Feedback, and Competency Decisions</w:t>
      </w:r>
      <w:bookmarkEnd w:id="28"/>
    </w:p>
    <w:p w14:paraId="3C7E4A37"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29" w:name="_Toc216522282"/>
      <w:r w:rsidRPr="0067007E">
        <w:rPr>
          <w:rFonts w:ascii="Times New Roman" w:eastAsia="Times New Roman" w:hAnsi="Times New Roman" w:cs="Times New Roman"/>
          <w:b/>
          <w:bCs/>
          <w:sz w:val="27"/>
          <w:szCs w:val="27"/>
          <w:lang w:val="en-US"/>
        </w:rPr>
        <w:t>7.1. What “analytics” means in VR dentistry and why it matters for defensible decisions</w:t>
      </w:r>
      <w:bookmarkEnd w:id="29"/>
    </w:p>
    <w:p w14:paraId="53F1F7CC"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In VR-based training for conservative dentistry and endodontics, analytics should be understood as a structured interpretation of learner performance data that connects </w:t>
      </w:r>
      <w:r w:rsidRPr="0067007E">
        <w:rPr>
          <w:rFonts w:ascii="Times New Roman" w:eastAsia="Times New Roman" w:hAnsi="Times New Roman" w:cs="Times New Roman"/>
          <w:i/>
          <w:iCs/>
          <w:sz w:val="24"/>
          <w:szCs w:val="24"/>
          <w:lang w:val="en-US"/>
        </w:rPr>
        <w:t>how</w:t>
      </w:r>
      <w:r w:rsidRPr="0067007E">
        <w:rPr>
          <w:rFonts w:ascii="Times New Roman" w:eastAsia="Times New Roman" w:hAnsi="Times New Roman" w:cs="Times New Roman"/>
          <w:sz w:val="24"/>
          <w:szCs w:val="24"/>
          <w:lang w:val="en-US"/>
        </w:rPr>
        <w:t xml:space="preserve"> a task was performed (process) and </w:t>
      </w:r>
      <w:r w:rsidRPr="0067007E">
        <w:rPr>
          <w:rFonts w:ascii="Times New Roman" w:eastAsia="Times New Roman" w:hAnsi="Times New Roman" w:cs="Times New Roman"/>
          <w:i/>
          <w:iCs/>
          <w:sz w:val="24"/>
          <w:szCs w:val="24"/>
          <w:lang w:val="en-US"/>
        </w:rPr>
        <w:t>what</w:t>
      </w:r>
      <w:r w:rsidRPr="0067007E">
        <w:rPr>
          <w:rFonts w:ascii="Times New Roman" w:eastAsia="Times New Roman" w:hAnsi="Times New Roman" w:cs="Times New Roman"/>
          <w:sz w:val="24"/>
          <w:szCs w:val="24"/>
          <w:lang w:val="en-US"/>
        </w:rPr>
        <w:t xml:space="preserve"> was produced (outcome) to explicit competency expectations. This is a meaningful shift from traditional practical assessments that often privilege a single end product score. VR simulators can capture fine-grained indicators such as handpiece trajectory consistency, time-on-task patterns, repeated corrective movements, force application tendencies, and the stability of performance across multiple attempts. When these indicators are used responsibly, they can support a stronger educational logic: learners receive targeted feedback early, and educators can make higher-stakes competency decisions based on </w:t>
      </w:r>
      <w:r w:rsidRPr="0067007E">
        <w:rPr>
          <w:rFonts w:ascii="Times New Roman" w:eastAsia="Times New Roman" w:hAnsi="Times New Roman" w:cs="Times New Roman"/>
          <w:i/>
          <w:iCs/>
          <w:sz w:val="24"/>
          <w:szCs w:val="24"/>
          <w:lang w:val="en-US"/>
        </w:rPr>
        <w:t>longitudinal evidence</w:t>
      </w:r>
      <w:r w:rsidRPr="0067007E">
        <w:rPr>
          <w:rFonts w:ascii="Times New Roman" w:eastAsia="Times New Roman" w:hAnsi="Times New Roman" w:cs="Times New Roman"/>
          <w:sz w:val="24"/>
          <w:szCs w:val="24"/>
          <w:lang w:val="en-US"/>
        </w:rPr>
        <w:t xml:space="preserve"> rather than isolated performances. This direction aligns with current dental education thinking that competence judgments should be based on multiple data points sampled over time, interpreted through appropriate frameworks, and paired with feedback systems that actively promote learning rather than merely labeling performance (</w:t>
      </w:r>
      <w:proofErr w:type="spellStart"/>
      <w:r w:rsidRPr="0067007E">
        <w:rPr>
          <w:rFonts w:ascii="Times New Roman" w:eastAsia="Times New Roman" w:hAnsi="Times New Roman" w:cs="Times New Roman"/>
          <w:sz w:val="24"/>
          <w:szCs w:val="24"/>
          <w:lang w:val="en-US"/>
        </w:rPr>
        <w:t>Tonni</w:t>
      </w:r>
      <w:proofErr w:type="spellEnd"/>
      <w:r w:rsidRPr="0067007E">
        <w:rPr>
          <w:rFonts w:ascii="Times New Roman" w:eastAsia="Times New Roman" w:hAnsi="Times New Roman" w:cs="Times New Roman"/>
          <w:sz w:val="24"/>
          <w:szCs w:val="24"/>
          <w:lang w:val="en-US"/>
        </w:rPr>
        <w:t xml:space="preserve"> et al., 2020). </w:t>
      </w:r>
    </w:p>
    <w:p w14:paraId="04BC2275"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30" w:name="_Toc216522283"/>
      <w:r w:rsidRPr="0067007E">
        <w:rPr>
          <w:rFonts w:ascii="Times New Roman" w:eastAsia="Times New Roman" w:hAnsi="Times New Roman" w:cs="Times New Roman"/>
          <w:b/>
          <w:bCs/>
          <w:sz w:val="27"/>
          <w:szCs w:val="27"/>
          <w:lang w:val="en-US"/>
        </w:rPr>
        <w:t>7.2. Moving from raw scores to clinically meaningful feedback</w:t>
      </w:r>
      <w:bookmarkEnd w:id="30"/>
    </w:p>
    <w:p w14:paraId="408291B6"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Analytics become educationally powerful only when they are translated into feedback that learners can act on. A critical contribution of contemporary VR dental research is the </w:t>
      </w:r>
      <w:r w:rsidRPr="0067007E">
        <w:rPr>
          <w:rFonts w:ascii="Times New Roman" w:eastAsia="Times New Roman" w:hAnsi="Times New Roman" w:cs="Times New Roman"/>
          <w:sz w:val="24"/>
          <w:szCs w:val="24"/>
          <w:lang w:val="en-US"/>
        </w:rPr>
        <w:lastRenderedPageBreak/>
        <w:t xml:space="preserve">emphasis on making simulator output clinically interpretable, not just numerically precise. In a widely cited demonstration of concurrent validity work, a VR simulator exercise was designed around clinically relevant criteria and compared with faculty judgments, showing that simulator-generated feedback can be aligned with expert evaluation at a level that supports meaningful formative use (Dixon et al., 2021). </w:t>
      </w:r>
      <w:r w:rsidRPr="0067007E">
        <w:rPr>
          <w:rFonts w:ascii="Times New Roman" w:eastAsia="Times New Roman" w:hAnsi="Times New Roman" w:cs="Times New Roman"/>
          <w:sz w:val="24"/>
          <w:szCs w:val="24"/>
          <w:lang w:val="en-US"/>
        </w:rPr>
        <w:br/>
        <w:t xml:space="preserve">For endodontics and operative dentistry, this implies that feedback should not simply state that a preparation is “incorrect,” but should link performance to actionable features such as outline adherence, smoothness, conservation of critical tooth structure, and procedural risk signals. Importantly, feedback must also be </w:t>
      </w:r>
      <w:r w:rsidRPr="0067007E">
        <w:rPr>
          <w:rFonts w:ascii="Times New Roman" w:eastAsia="Times New Roman" w:hAnsi="Times New Roman" w:cs="Times New Roman"/>
          <w:i/>
          <w:iCs/>
          <w:sz w:val="24"/>
          <w:szCs w:val="24"/>
          <w:lang w:val="en-US"/>
        </w:rPr>
        <w:t>prioritized</w:t>
      </w:r>
      <w:r w:rsidRPr="0067007E">
        <w:rPr>
          <w:rFonts w:ascii="Times New Roman" w:eastAsia="Times New Roman" w:hAnsi="Times New Roman" w:cs="Times New Roman"/>
          <w:sz w:val="24"/>
          <w:szCs w:val="24"/>
          <w:lang w:val="en-US"/>
        </w:rPr>
        <w:t>: novice learners benefit most when systems highlight the small number of changes that will produce the largest clinical safety gain. This is where analytics should be interpreted through staged expectations—for example, prioritizing iatrogenic risk reduction and controlled instrument handling before demanding higher efficiency or speed.</w:t>
      </w:r>
    </w:p>
    <w:p w14:paraId="6C1CB73A"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31" w:name="_Toc216522284"/>
      <w:r w:rsidRPr="0067007E">
        <w:rPr>
          <w:rFonts w:ascii="Times New Roman" w:eastAsia="Times New Roman" w:hAnsi="Times New Roman" w:cs="Times New Roman"/>
          <w:b/>
          <w:bCs/>
          <w:sz w:val="27"/>
          <w:szCs w:val="27"/>
          <w:lang w:val="en-US"/>
        </w:rPr>
        <w:t>7.3. Reliability, validity, and fairness: prerequisites for competency use</w:t>
      </w:r>
      <w:bookmarkEnd w:id="31"/>
    </w:p>
    <w:p w14:paraId="24AE0A2F"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If VR metrics are used in competency decisions, programs must treat them as assessment instruments requiring the same rigor as any other high-stakes evaluation. Reliability concerns include whether a score is stable across repeated attempts, whether it generalizes across different teeth/tasks, and whether it is robust to “gaming” strategies that increase a score without improving true clinical performance. Validity concerns include whether the metric truly represents the intended construct (for example, conservative access design rather than mere material removal) and whether it is meaningfully related to independent indicators of expertise. Evidence that simulators can discriminate between levels of training experience supports construct-oriented arguments, but it also highlights the need for careful task design and interpretation boundaries (</w:t>
      </w:r>
      <w:proofErr w:type="spellStart"/>
      <w:r w:rsidRPr="0067007E">
        <w:rPr>
          <w:rFonts w:ascii="Times New Roman" w:eastAsia="Times New Roman" w:hAnsi="Times New Roman" w:cs="Times New Roman"/>
          <w:sz w:val="24"/>
          <w:szCs w:val="24"/>
          <w:lang w:val="en-US"/>
        </w:rPr>
        <w:t>Mirghani</w:t>
      </w:r>
      <w:proofErr w:type="spellEnd"/>
      <w:r w:rsidRPr="0067007E">
        <w:rPr>
          <w:rFonts w:ascii="Times New Roman" w:eastAsia="Times New Roman" w:hAnsi="Times New Roman" w:cs="Times New Roman"/>
          <w:sz w:val="24"/>
          <w:szCs w:val="24"/>
          <w:lang w:val="en-US"/>
        </w:rPr>
        <w:t xml:space="preserve"> et al., 2018). </w:t>
      </w:r>
      <w:r w:rsidRPr="0067007E">
        <w:rPr>
          <w:rFonts w:ascii="Times New Roman" w:eastAsia="Times New Roman" w:hAnsi="Times New Roman" w:cs="Times New Roman"/>
          <w:sz w:val="24"/>
          <w:szCs w:val="24"/>
          <w:lang w:val="en-US"/>
        </w:rPr>
        <w:br/>
        <w:t xml:space="preserve">The systematic review evidence base also cautions against over-claiming: while haptic VR devices can provide objective evaluation and reproducible practice opportunities, the certainty of effects varies across study designs and contexts, and programs should avoid treating simulator scoring as a standalone surrogate for clinical competence (Patil et al., 2023). </w:t>
      </w:r>
      <w:r w:rsidRPr="0067007E">
        <w:rPr>
          <w:rFonts w:ascii="Times New Roman" w:eastAsia="Times New Roman" w:hAnsi="Times New Roman" w:cs="Times New Roman"/>
          <w:sz w:val="24"/>
          <w:szCs w:val="24"/>
          <w:lang w:val="en-US"/>
        </w:rPr>
        <w:br/>
        <w:t>A fairness lens is equally important. Analytics systems can amplify inequities if students differ in prior gaming/technology exposure, ergonomic comfort, or access time to simulation labs. Therefore, defensible use requires transparent standards, adequate practice opportunity, and structured support for learners who begin at a disadvantage.</w:t>
      </w:r>
    </w:p>
    <w:p w14:paraId="43C965F2"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32" w:name="_Toc216522285"/>
      <w:r w:rsidRPr="0067007E">
        <w:rPr>
          <w:rFonts w:ascii="Times New Roman" w:eastAsia="Times New Roman" w:hAnsi="Times New Roman" w:cs="Times New Roman"/>
          <w:b/>
          <w:bCs/>
          <w:sz w:val="27"/>
          <w:szCs w:val="27"/>
          <w:lang w:val="en-US"/>
        </w:rPr>
        <w:t>7.4. From “single-test” decisions to programmatic competency committees</w:t>
      </w:r>
      <w:bookmarkEnd w:id="32"/>
    </w:p>
    <w:p w14:paraId="2058C996"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Competency decisions in high-performing curricula increasingly rely on aggregation—multiple assessment points, multiple assessors, and multiple contexts interpreted by a committee using explicit rules. This approach is especially relevant for VR, because its main advantage is the ability to provide repeated, low-risk sampling of performance. Programmatic assessment research outside dentistry underscores a core lesson: if learners perceive every data point as summative, they may engage less with feedback and more with performance protection, undermining the learning function of assessment (Bok et al., 2013). </w:t>
      </w:r>
      <w:r w:rsidRPr="0067007E">
        <w:rPr>
          <w:rFonts w:ascii="Times New Roman" w:eastAsia="Times New Roman" w:hAnsi="Times New Roman" w:cs="Times New Roman"/>
          <w:sz w:val="24"/>
          <w:szCs w:val="24"/>
          <w:lang w:val="en-US"/>
        </w:rPr>
        <w:br/>
        <w:t xml:space="preserve">In dentistry, frameworks emphasizing workplace-based assessment and longitudinal interpretation similarly argue that defensible progression decisions require careful aggregation and faculty development in judgment and feedback literacy (Bissell &amp; Dawson, 2022; </w:t>
      </w:r>
      <w:proofErr w:type="spellStart"/>
      <w:r w:rsidRPr="0067007E">
        <w:rPr>
          <w:rFonts w:ascii="Times New Roman" w:eastAsia="Times New Roman" w:hAnsi="Times New Roman" w:cs="Times New Roman"/>
          <w:sz w:val="24"/>
          <w:szCs w:val="24"/>
          <w:lang w:val="en-US"/>
        </w:rPr>
        <w:t>Tonni</w:t>
      </w:r>
      <w:proofErr w:type="spellEnd"/>
      <w:r w:rsidRPr="0067007E">
        <w:rPr>
          <w:rFonts w:ascii="Times New Roman" w:eastAsia="Times New Roman" w:hAnsi="Times New Roman" w:cs="Times New Roman"/>
          <w:sz w:val="24"/>
          <w:szCs w:val="24"/>
          <w:lang w:val="en-US"/>
        </w:rPr>
        <w:t xml:space="preserve"> et al., 2020). </w:t>
      </w:r>
      <w:r w:rsidRPr="0067007E">
        <w:rPr>
          <w:rFonts w:ascii="Times New Roman" w:eastAsia="Times New Roman" w:hAnsi="Times New Roman" w:cs="Times New Roman"/>
          <w:sz w:val="24"/>
          <w:szCs w:val="24"/>
          <w:lang w:val="en-US"/>
        </w:rPr>
        <w:br/>
        <w:t xml:space="preserve">Within this structure, VR analytics are best positioned as </w:t>
      </w:r>
      <w:r w:rsidRPr="0067007E">
        <w:rPr>
          <w:rFonts w:ascii="Times New Roman" w:eastAsia="Times New Roman" w:hAnsi="Times New Roman" w:cs="Times New Roman"/>
          <w:i/>
          <w:iCs/>
          <w:sz w:val="24"/>
          <w:szCs w:val="24"/>
          <w:lang w:val="en-US"/>
        </w:rPr>
        <w:t>one stream of evidence</w:t>
      </w:r>
      <w:r w:rsidRPr="0067007E">
        <w:rPr>
          <w:rFonts w:ascii="Times New Roman" w:eastAsia="Times New Roman" w:hAnsi="Times New Roman" w:cs="Times New Roman"/>
          <w:sz w:val="24"/>
          <w:szCs w:val="24"/>
          <w:lang w:val="en-US"/>
        </w:rPr>
        <w:t>—high-</w:t>
      </w:r>
      <w:r w:rsidRPr="0067007E">
        <w:rPr>
          <w:rFonts w:ascii="Times New Roman" w:eastAsia="Times New Roman" w:hAnsi="Times New Roman" w:cs="Times New Roman"/>
          <w:sz w:val="24"/>
          <w:szCs w:val="24"/>
          <w:lang w:val="en-US"/>
        </w:rPr>
        <w:lastRenderedPageBreak/>
        <w:t>frequency, standardized, and feedback-rich—rather than as the final gatekeeper. Competency committees can use VR data to detect persistent risk patterns (for example, repeated excessive removal tendencies or unstable instrument control), to guide remediation plans, and to justify readiness for supervised clinical transfer when corroborated by other assessments.</w:t>
      </w:r>
    </w:p>
    <w:p w14:paraId="093A3CB6"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33" w:name="_Toc216522286"/>
      <w:r w:rsidRPr="0067007E">
        <w:rPr>
          <w:rFonts w:ascii="Times New Roman" w:eastAsia="Times New Roman" w:hAnsi="Times New Roman" w:cs="Times New Roman"/>
          <w:b/>
          <w:bCs/>
          <w:sz w:val="27"/>
          <w:szCs w:val="27"/>
          <w:lang w:val="en-US"/>
        </w:rPr>
        <w:t>7.5. Linking analytics to EPAs and readiness-to-practice decisions</w:t>
      </w:r>
      <w:bookmarkEnd w:id="33"/>
    </w:p>
    <w:p w14:paraId="1A37D4F5"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A practical way to connect VR analytics to competency decisions is to map simulator tasks and metrics to </w:t>
      </w:r>
      <w:proofErr w:type="spellStart"/>
      <w:r w:rsidRPr="0067007E">
        <w:rPr>
          <w:rFonts w:ascii="Times New Roman" w:eastAsia="Times New Roman" w:hAnsi="Times New Roman" w:cs="Times New Roman"/>
          <w:sz w:val="24"/>
          <w:szCs w:val="24"/>
          <w:lang w:val="en-US"/>
        </w:rPr>
        <w:t>Entrustable</w:t>
      </w:r>
      <w:proofErr w:type="spellEnd"/>
      <w:r w:rsidRPr="0067007E">
        <w:rPr>
          <w:rFonts w:ascii="Times New Roman" w:eastAsia="Times New Roman" w:hAnsi="Times New Roman" w:cs="Times New Roman"/>
          <w:sz w:val="24"/>
          <w:szCs w:val="24"/>
          <w:lang w:val="en-US"/>
        </w:rPr>
        <w:t xml:space="preserve"> Professional Activities (EPAs) or comparable task-based outcomes. EPAs have been explicitly developed for predoctoral dental education to support clearer readiness judgments about whether learners can perform essential professional tasks with appropriate supervision levels (Ramaswamy et al., 2021). </w:t>
      </w:r>
      <w:r w:rsidRPr="0067007E">
        <w:rPr>
          <w:rFonts w:ascii="Times New Roman" w:eastAsia="Times New Roman" w:hAnsi="Times New Roman" w:cs="Times New Roman"/>
          <w:sz w:val="24"/>
          <w:szCs w:val="24"/>
          <w:lang w:val="en-US"/>
        </w:rPr>
        <w:br/>
        <w:t>When VR metrics are aligned to EPA-relevant task elements—such as safe execution of access fundamentals, conservative operative preparations, and procedural self-monitoring—analytics can contribute to entrustment discussions by providing concrete longitudinal evidence of performance consistency. Crucially, the EPA lens also highlights what VR cannot fully measure: communication, patient management, and adaptive decision-making under real clinical variability. Therefore, VR analytics should be used to strengthen the “shows how” portion of competence while supporting (not replacing) workplace-based observations at the “does” level.</w:t>
      </w:r>
    </w:p>
    <w:p w14:paraId="6AF16F60"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34" w:name="_Toc216522287"/>
      <w:r w:rsidRPr="0067007E">
        <w:rPr>
          <w:rFonts w:ascii="Times New Roman" w:eastAsia="Times New Roman" w:hAnsi="Times New Roman" w:cs="Times New Roman"/>
          <w:b/>
          <w:bCs/>
          <w:sz w:val="27"/>
          <w:szCs w:val="27"/>
          <w:lang w:val="en-US"/>
        </w:rPr>
        <w:t>7.6. Dashboards, learning analytics, and governance: using data without losing trust</w:t>
      </w:r>
      <w:bookmarkEnd w:id="34"/>
    </w:p>
    <w:p w14:paraId="4B4AB4CE"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Finally, as simulation data volume grows, dental programs will increasingly rely on dashboards and learning analytics workflows to interpret performance trajectories and identify learners needing support. Health professions education literature shows that learning analytics can be used to understand engagement patterns, relate behaviors to outcomes, and enable early intervention, but it also raises governance requirements around privacy, transparency, and responsible interpretation (</w:t>
      </w:r>
      <w:proofErr w:type="spellStart"/>
      <w:r w:rsidRPr="0067007E">
        <w:rPr>
          <w:rFonts w:ascii="Times New Roman" w:eastAsia="Times New Roman" w:hAnsi="Times New Roman" w:cs="Times New Roman"/>
          <w:sz w:val="24"/>
          <w:szCs w:val="24"/>
          <w:lang w:val="en-US"/>
        </w:rPr>
        <w:t>Bojic</w:t>
      </w:r>
      <w:proofErr w:type="spellEnd"/>
      <w:r w:rsidRPr="0067007E">
        <w:rPr>
          <w:rFonts w:ascii="Times New Roman" w:eastAsia="Times New Roman" w:hAnsi="Times New Roman" w:cs="Times New Roman"/>
          <w:sz w:val="24"/>
          <w:szCs w:val="24"/>
          <w:lang w:val="en-US"/>
        </w:rPr>
        <w:t xml:space="preserve"> et al., 2023). </w:t>
      </w:r>
      <w:r w:rsidRPr="0067007E">
        <w:rPr>
          <w:rFonts w:ascii="Times New Roman" w:eastAsia="Times New Roman" w:hAnsi="Times New Roman" w:cs="Times New Roman"/>
          <w:sz w:val="24"/>
          <w:szCs w:val="24"/>
          <w:lang w:val="en-US"/>
        </w:rPr>
        <w:br/>
        <w:t xml:space="preserve">Implementation studies in dentistry similarly emphasize that faculty development is a practical prerequisite: educators must be comfortable interpreting simulator outputs, coaching learners, and deciding what weight analytics should carry in progression decisions (Hashem et al., 2025). </w:t>
      </w:r>
      <w:r w:rsidRPr="0067007E">
        <w:rPr>
          <w:rFonts w:ascii="Times New Roman" w:eastAsia="Times New Roman" w:hAnsi="Times New Roman" w:cs="Times New Roman"/>
          <w:sz w:val="24"/>
          <w:szCs w:val="24"/>
          <w:lang w:val="en-US"/>
        </w:rPr>
        <w:br/>
        <w:t>A defensible governance approach should clarify who can access individual learner analytics, how long data are stored, how remediation is supported, and how students can meaningfully review and contest interpretations. Without these protections, analytics risk being perceived as surveillance rather than support—reducing learner trust and blunting the educational value of VR.</w:t>
      </w:r>
    </w:p>
    <w:p w14:paraId="0C07114A" w14:textId="77777777" w:rsidR="0067007E" w:rsidRPr="0067007E" w:rsidRDefault="0067007E"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35" w:name="_Toc216522288"/>
      <w:r w:rsidRPr="0067007E">
        <w:rPr>
          <w:rFonts w:ascii="Times New Roman" w:eastAsia="Times New Roman" w:hAnsi="Times New Roman" w:cs="Times New Roman"/>
          <w:b/>
          <w:bCs/>
          <w:sz w:val="36"/>
          <w:szCs w:val="36"/>
          <w:lang w:val="en-US"/>
        </w:rPr>
        <w:t>8. Curriculum Integration: From Add-On Technology to a Competency Pathway</w:t>
      </w:r>
      <w:bookmarkEnd w:id="35"/>
    </w:p>
    <w:p w14:paraId="062EFE2E"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36" w:name="_Toc216522289"/>
      <w:r w:rsidRPr="0067007E">
        <w:rPr>
          <w:rFonts w:ascii="Times New Roman" w:eastAsia="Times New Roman" w:hAnsi="Times New Roman" w:cs="Times New Roman"/>
          <w:b/>
          <w:bCs/>
          <w:sz w:val="27"/>
          <w:szCs w:val="27"/>
          <w:lang w:val="en-US"/>
        </w:rPr>
        <w:t>8.1. Begin with outcomes: mapping VR tasks to competency statements and EPAs</w:t>
      </w:r>
      <w:bookmarkEnd w:id="36"/>
    </w:p>
    <w:p w14:paraId="53D9EA53"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 xml:space="preserve">VR becomes “curriculum” rather than “technology” only when each simulator activity is explicitly mapped to what a learner must reliably do, at an appropriate supervision level, at a </w:t>
      </w:r>
      <w:r w:rsidRPr="0067007E">
        <w:rPr>
          <w:rFonts w:ascii="Times New Roman" w:eastAsia="Times New Roman" w:hAnsi="Times New Roman" w:cs="Times New Roman"/>
          <w:sz w:val="24"/>
          <w:szCs w:val="24"/>
          <w:lang w:val="en-US"/>
        </w:rPr>
        <w:lastRenderedPageBreak/>
        <w:t>given stage of training. In competency-based dental education, this mapping is essential because assessment must represent meaningful clinical capability rather than time spent or exposure alone (</w:t>
      </w:r>
      <w:proofErr w:type="spellStart"/>
      <w:r w:rsidRPr="0067007E">
        <w:rPr>
          <w:rFonts w:ascii="Times New Roman" w:eastAsia="Times New Roman" w:hAnsi="Times New Roman" w:cs="Times New Roman"/>
          <w:sz w:val="24"/>
          <w:szCs w:val="24"/>
          <w:lang w:val="en-US"/>
        </w:rPr>
        <w:t>Tonni</w:t>
      </w:r>
      <w:proofErr w:type="spellEnd"/>
      <w:r w:rsidRPr="0067007E">
        <w:rPr>
          <w:rFonts w:ascii="Times New Roman" w:eastAsia="Times New Roman" w:hAnsi="Times New Roman" w:cs="Times New Roman"/>
          <w:sz w:val="24"/>
          <w:szCs w:val="24"/>
          <w:lang w:val="en-US"/>
        </w:rPr>
        <w:t xml:space="preserve"> et al., 2020). A practical way to operationalize this is to align VR tasks with </w:t>
      </w:r>
      <w:proofErr w:type="spellStart"/>
      <w:r w:rsidRPr="0067007E">
        <w:rPr>
          <w:rFonts w:ascii="Times New Roman" w:eastAsia="Times New Roman" w:hAnsi="Times New Roman" w:cs="Times New Roman"/>
          <w:sz w:val="24"/>
          <w:szCs w:val="24"/>
          <w:lang w:val="en-US"/>
        </w:rPr>
        <w:t>Entrustable</w:t>
      </w:r>
      <w:proofErr w:type="spellEnd"/>
      <w:r w:rsidRPr="0067007E">
        <w:rPr>
          <w:rFonts w:ascii="Times New Roman" w:eastAsia="Times New Roman" w:hAnsi="Times New Roman" w:cs="Times New Roman"/>
          <w:sz w:val="24"/>
          <w:szCs w:val="24"/>
          <w:lang w:val="en-US"/>
        </w:rPr>
        <w:t xml:space="preserve"> Professional Activities (EPAs), which translate competencies into discrete, practice-facing tasks for readiness-to-practice decisions (Ramaswamy et al., 2021). For conservative dentistry, early VR outcomes can focus on controlled bur angulation, conservative outline form, and safe margin refinement; for endodontics, outcomes can emphasize access fundamentals, safe depth control, and chamber deroofing without iatrogenic risk. This mapping also clarifies what VR should </w:t>
      </w:r>
      <w:r w:rsidRPr="0067007E">
        <w:rPr>
          <w:rFonts w:ascii="Times New Roman" w:eastAsia="Times New Roman" w:hAnsi="Times New Roman" w:cs="Times New Roman"/>
          <w:i/>
          <w:iCs/>
          <w:sz w:val="24"/>
          <w:szCs w:val="24"/>
          <w:lang w:val="en-US"/>
        </w:rPr>
        <w:t>not</w:t>
      </w:r>
      <w:r w:rsidRPr="0067007E">
        <w:rPr>
          <w:rFonts w:ascii="Times New Roman" w:eastAsia="Times New Roman" w:hAnsi="Times New Roman" w:cs="Times New Roman"/>
          <w:sz w:val="24"/>
          <w:szCs w:val="24"/>
          <w:lang w:val="en-US"/>
        </w:rPr>
        <w:t xml:space="preserve"> be asked to certify on its own—such as communication, consent, and complex adaptive decision-making—so that simulator evidence is placed appropriately within a broader assessment program.</w:t>
      </w:r>
    </w:p>
    <w:p w14:paraId="69FF5428"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37" w:name="_Toc216522290"/>
      <w:r w:rsidRPr="0067007E">
        <w:rPr>
          <w:rFonts w:ascii="Times New Roman" w:eastAsia="Times New Roman" w:hAnsi="Times New Roman" w:cs="Times New Roman"/>
          <w:b/>
          <w:bCs/>
          <w:sz w:val="27"/>
          <w:szCs w:val="27"/>
          <w:lang w:val="en-US"/>
        </w:rPr>
        <w:t>8.2. Replace “extra sessions” with a staged pathway and hybrid progression gates</w:t>
      </w:r>
      <w:bookmarkEnd w:id="37"/>
    </w:p>
    <w:p w14:paraId="034C72DA"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When VR is offered as an optional add-on, its educational effect is often diluted by inconsistent participation and unclear expectations. Integration improves when VR sessions are scheduled as a staged pathway: a foundational phase for calibration and error prevention, an intermediate phase for consistency and efficiency, and a transfer phase that bridges toward supervised clinical care. Scoping work on VR in preclinical dental education has emphasized both the growth of VR use and the need for careful decisions about how and why it is deployed, including attention to validation and appropriate educational design (Towers et al., 2019). Evidence from preclinical restorative dentistry supports hybrid integration specifically: students report VR-haptic simulators as most useful when they complement conventional teaching rather than replace it, particularly because VR supports repetition, immediate feedback, and confidence-building while phantom-head work provides material realism and instructor-guided nuance (</w:t>
      </w:r>
      <w:proofErr w:type="spellStart"/>
      <w:r w:rsidRPr="0067007E">
        <w:rPr>
          <w:rFonts w:ascii="Times New Roman" w:eastAsia="Times New Roman" w:hAnsi="Times New Roman" w:cs="Times New Roman"/>
          <w:sz w:val="24"/>
          <w:szCs w:val="24"/>
          <w:lang w:val="en-US"/>
        </w:rPr>
        <w:t>Daud</w:t>
      </w:r>
      <w:proofErr w:type="spellEnd"/>
      <w:r w:rsidRPr="0067007E">
        <w:rPr>
          <w:rFonts w:ascii="Times New Roman" w:eastAsia="Times New Roman" w:hAnsi="Times New Roman" w:cs="Times New Roman"/>
          <w:sz w:val="24"/>
          <w:szCs w:val="24"/>
          <w:lang w:val="en-US"/>
        </w:rPr>
        <w:t xml:space="preserve"> et al., 2023, 2024). </w:t>
      </w:r>
    </w:p>
    <w:p w14:paraId="26DED363"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A staged pathway is strengthened when it includes clear “progression gates” that are framed as supportive milestones rather than punitive tests. Reviews of haptic/VR simulation consistently report improvements in motor skill acquisition and learner perception across preclinical contexts, while also underscoring variability in platforms, measures, and validation maturity—exactly the conditions that make deliberate pathway design necessary (</w:t>
      </w:r>
      <w:proofErr w:type="spellStart"/>
      <w:r w:rsidRPr="0067007E">
        <w:rPr>
          <w:rFonts w:ascii="Times New Roman" w:eastAsia="Times New Roman" w:hAnsi="Times New Roman" w:cs="Times New Roman"/>
          <w:sz w:val="24"/>
          <w:szCs w:val="24"/>
          <w:lang w:val="en-US"/>
        </w:rPr>
        <w:t>Bandiaky</w:t>
      </w:r>
      <w:proofErr w:type="spellEnd"/>
      <w:r w:rsidRPr="0067007E">
        <w:rPr>
          <w:rFonts w:ascii="Times New Roman" w:eastAsia="Times New Roman" w:hAnsi="Times New Roman" w:cs="Times New Roman"/>
          <w:sz w:val="24"/>
          <w:szCs w:val="24"/>
          <w:lang w:val="en-US"/>
        </w:rPr>
        <w:t xml:space="preserve"> et al., 2024; </w:t>
      </w:r>
      <w:proofErr w:type="spellStart"/>
      <w:r w:rsidRPr="0067007E">
        <w:rPr>
          <w:rFonts w:ascii="Times New Roman" w:eastAsia="Times New Roman" w:hAnsi="Times New Roman" w:cs="Times New Roman"/>
          <w:sz w:val="24"/>
          <w:szCs w:val="24"/>
          <w:lang w:val="en-US"/>
        </w:rPr>
        <w:t>Felszeghy</w:t>
      </w:r>
      <w:proofErr w:type="spellEnd"/>
      <w:r w:rsidRPr="0067007E">
        <w:rPr>
          <w:rFonts w:ascii="Times New Roman" w:eastAsia="Times New Roman" w:hAnsi="Times New Roman" w:cs="Times New Roman"/>
          <w:sz w:val="24"/>
          <w:szCs w:val="24"/>
          <w:lang w:val="en-US"/>
        </w:rPr>
        <w:t xml:space="preserve"> et al., 2024). In practical terms, schools can require that learners demonstrate stability on a set of VR tasks (with multiple attempts over time) before advancing to higher-risk procedures on physical teeth or to early clinical experiences, while preserving the educator’s role in judging readiness using multiple evidence streams.</w:t>
      </w:r>
    </w:p>
    <w:p w14:paraId="4D604DAA"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38" w:name="_Toc216522291"/>
      <w:r w:rsidRPr="0067007E">
        <w:rPr>
          <w:rFonts w:ascii="Times New Roman" w:eastAsia="Times New Roman" w:hAnsi="Times New Roman" w:cs="Times New Roman"/>
          <w:b/>
          <w:bCs/>
          <w:sz w:val="27"/>
          <w:szCs w:val="27"/>
          <w:lang w:val="en-US"/>
        </w:rPr>
        <w:t>8.3. Embed VR evidence within programmatic assessment rather than treating it as a single exam</w:t>
      </w:r>
      <w:bookmarkEnd w:id="38"/>
    </w:p>
    <w:p w14:paraId="0290554B"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A competency pathway works best when VR analytics are treated as “frequent low-stakes data points” that feed longitudinal judgments, rather than as a one-time hurdle. Programmatic assessment models emphasize that robust competence decisions come from combining many observations across time and context, each serving both learning (feedback) and decision-making (documentation) functions (Bok et al., 2013). In dental education, the push toward clearer competency-based assessment similarly highlights the need for intentional assessment design, appropriate weighting of different tools, and faculty capacity to interpret evidence fairly (</w:t>
      </w:r>
      <w:proofErr w:type="spellStart"/>
      <w:r w:rsidRPr="0067007E">
        <w:rPr>
          <w:rFonts w:ascii="Times New Roman" w:eastAsia="Times New Roman" w:hAnsi="Times New Roman" w:cs="Times New Roman"/>
          <w:sz w:val="24"/>
          <w:szCs w:val="24"/>
          <w:lang w:val="en-US"/>
        </w:rPr>
        <w:t>Tonni</w:t>
      </w:r>
      <w:proofErr w:type="spellEnd"/>
      <w:r w:rsidRPr="0067007E">
        <w:rPr>
          <w:rFonts w:ascii="Times New Roman" w:eastAsia="Times New Roman" w:hAnsi="Times New Roman" w:cs="Times New Roman"/>
          <w:sz w:val="24"/>
          <w:szCs w:val="24"/>
          <w:lang w:val="en-US"/>
        </w:rPr>
        <w:t xml:space="preserve"> et al., 2020). </w:t>
      </w:r>
    </w:p>
    <w:p w14:paraId="7624CC40"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lastRenderedPageBreak/>
        <w:t>Within this structure, VR is uniquely positioned to supply standardized, repeatable performance samples at high frequency. Yet, to avoid the common pitfall of “score chasing,” curricula should specify which VR metrics are formative (used to guide practice and coaching) and which are summative (used only after adequate practice opportunity and with clear standard-setting). When VR is embedded in this way, its value becomes less about producing a single numeric score and more about showing trajectories—how quickly a learner stabilizes safe technique, how consistently errors recur, and how effectively remediation changes performance.</w:t>
      </w:r>
    </w:p>
    <w:p w14:paraId="7CBCA152"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39" w:name="_Toc216522292"/>
      <w:r w:rsidRPr="0067007E">
        <w:rPr>
          <w:rFonts w:ascii="Times New Roman" w:eastAsia="Times New Roman" w:hAnsi="Times New Roman" w:cs="Times New Roman"/>
          <w:b/>
          <w:bCs/>
          <w:sz w:val="27"/>
          <w:szCs w:val="27"/>
          <w:lang w:val="en-US"/>
        </w:rPr>
        <w:t>8.4. Faculty development, calibration, and operational readiness</w:t>
      </w:r>
      <w:bookmarkEnd w:id="39"/>
    </w:p>
    <w:p w14:paraId="6B85B11C"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Faculty are the critical translation layer between simulator metrics and meaningful coaching or competency decisions. A faculty-focused study on haptic VR simulation in dentistry highlights that educator knowledge, perceptions, and training needs directly influence whether HVRS is used confidently and consistently within dental programs (Hashem et al., 2025). This implies that integration plans should include structured faculty onboarding (how the simulator scores tasks, what common novice error patterns look like, how to coach off the analytics), plus periodic calibration so that feedback remains consistent across instructors and cohorts.</w:t>
      </w:r>
    </w:p>
    <w:p w14:paraId="02E875CA"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Curriculum integration also depends on institutional fit—space, scheduling, maintenance, and learner access. Survey-based evidence from Gulf Cooperation Council dental schools shows that haptic VR integration is actively being explored and implemented, but also implies variability in adoption and integration depth across programs (</w:t>
      </w:r>
      <w:proofErr w:type="spellStart"/>
      <w:r w:rsidRPr="0067007E">
        <w:rPr>
          <w:rFonts w:ascii="Times New Roman" w:eastAsia="Times New Roman" w:hAnsi="Times New Roman" w:cs="Times New Roman"/>
          <w:sz w:val="24"/>
          <w:szCs w:val="24"/>
          <w:lang w:val="en-US"/>
        </w:rPr>
        <w:t>Matoug-Elwerfelli</w:t>
      </w:r>
      <w:proofErr w:type="spellEnd"/>
      <w:r w:rsidRPr="0067007E">
        <w:rPr>
          <w:rFonts w:ascii="Times New Roman" w:eastAsia="Times New Roman" w:hAnsi="Times New Roman" w:cs="Times New Roman"/>
          <w:sz w:val="24"/>
          <w:szCs w:val="24"/>
          <w:lang w:val="en-US"/>
        </w:rPr>
        <w:t xml:space="preserve"> et al., 2025). These realities mean that a competency pathway must be designed around reliable access and support capacity; otherwise, VR becomes an inequitable resource that benefits only those who can obtain more practice time.</w:t>
      </w:r>
    </w:p>
    <w:p w14:paraId="2AFB682D" w14:textId="77777777" w:rsidR="0067007E" w:rsidRPr="0067007E" w:rsidRDefault="0067007E" w:rsidP="000F0B59">
      <w:pPr>
        <w:spacing w:before="100" w:beforeAutospacing="1" w:after="100" w:afterAutospacing="1" w:line="240" w:lineRule="auto"/>
        <w:jc w:val="both"/>
        <w:outlineLvl w:val="2"/>
        <w:rPr>
          <w:rFonts w:ascii="Times New Roman" w:eastAsia="Times New Roman" w:hAnsi="Times New Roman" w:cs="Times New Roman"/>
          <w:b/>
          <w:bCs/>
          <w:sz w:val="27"/>
          <w:szCs w:val="27"/>
          <w:lang w:val="en-US"/>
        </w:rPr>
      </w:pPr>
      <w:bookmarkStart w:id="40" w:name="_Toc216522293"/>
      <w:r w:rsidRPr="0067007E">
        <w:rPr>
          <w:rFonts w:ascii="Times New Roman" w:eastAsia="Times New Roman" w:hAnsi="Times New Roman" w:cs="Times New Roman"/>
          <w:b/>
          <w:bCs/>
          <w:sz w:val="27"/>
          <w:szCs w:val="27"/>
          <w:lang w:val="en-US"/>
        </w:rPr>
        <w:t>8.5. Governance, equity, and continuous evaluation</w:t>
      </w:r>
      <w:bookmarkEnd w:id="40"/>
    </w:p>
    <w:p w14:paraId="09D85D1F"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To sustain VR as a competency pathway, programs should make explicit decisions about access equity, data governance, and continuous improvement. Equity requires that all learners have comparable opportunities for practice and feedback, including accommodations for ergonomic needs and support for students with less prior technology exposure. Governance requires clarity on who can view individual analytics, how long data are stored, how they are used in remediation or progression discussions, and how students can review and respond to interpretations. Finally, continuous evaluation should be planned from the outset: schools can track whether VR integration changes the distribution of common errors in subsequent preclinical work, whether remediation time decreases, and whether early clinical transition becomes safer and less stressful. Models for simulator integration across curricular stages—including work proposing structured integration of virtual simulators within dental curricula—illustrate that thoughtful design is feasible, but only when implementation is treated as a curricular change process rather than a device purchase (Bakr et al., 2024).</w:t>
      </w:r>
    </w:p>
    <w:p w14:paraId="4C791F6A" w14:textId="77777777" w:rsidR="0061521F" w:rsidRPr="0061521F" w:rsidRDefault="0061521F"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1" w:name="_Toc216522294"/>
      <w:r w:rsidRPr="0061521F">
        <w:rPr>
          <w:rFonts w:ascii="Times New Roman" w:eastAsia="Times New Roman" w:hAnsi="Times New Roman" w:cs="Times New Roman"/>
          <w:b/>
          <w:bCs/>
          <w:sz w:val="36"/>
          <w:szCs w:val="36"/>
          <w:lang w:val="en-US"/>
        </w:rPr>
        <w:t>9. Conceptual Framework: A “Basics-to-Dexterity” VR Ladder for Conservative Dentistry and Endodontics</w:t>
      </w:r>
      <w:bookmarkEnd w:id="41"/>
    </w:p>
    <w:p w14:paraId="5DB70557"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A practical synthesis emerging from the literature is that VR should be used as a ladder rather than a single intervention. A curriculum-aligned ladder can be conceptualized as:</w:t>
      </w:r>
      <w:r w:rsidRPr="0061521F">
        <w:rPr>
          <w:rFonts w:ascii="Times New Roman" w:eastAsia="Times New Roman" w:hAnsi="Times New Roman" w:cs="Times New Roman"/>
          <w:sz w:val="24"/>
          <w:szCs w:val="24"/>
          <w:lang w:val="en-US"/>
        </w:rPr>
        <w:br/>
      </w:r>
      <w:r w:rsidRPr="0061521F">
        <w:rPr>
          <w:rFonts w:ascii="Times New Roman" w:eastAsia="Times New Roman" w:hAnsi="Times New Roman" w:cs="Times New Roman"/>
          <w:b/>
          <w:bCs/>
          <w:sz w:val="24"/>
          <w:szCs w:val="24"/>
          <w:lang w:val="en-US"/>
        </w:rPr>
        <w:lastRenderedPageBreak/>
        <w:t>Stage 1 (Basics):</w:t>
      </w:r>
      <w:r w:rsidRPr="0061521F">
        <w:rPr>
          <w:rFonts w:ascii="Times New Roman" w:eastAsia="Times New Roman" w:hAnsi="Times New Roman" w:cs="Times New Roman"/>
          <w:sz w:val="24"/>
          <w:szCs w:val="24"/>
          <w:lang w:val="en-US"/>
        </w:rPr>
        <w:t xml:space="preserve"> ergonomics, orientation, hand-tool stability, simple targets with immediate feedback.</w:t>
      </w:r>
      <w:r w:rsidRPr="0061521F">
        <w:rPr>
          <w:rFonts w:ascii="Times New Roman" w:eastAsia="Times New Roman" w:hAnsi="Times New Roman" w:cs="Times New Roman"/>
          <w:sz w:val="24"/>
          <w:szCs w:val="24"/>
          <w:lang w:val="en-US"/>
        </w:rPr>
        <w:br/>
      </w:r>
      <w:r w:rsidRPr="0061521F">
        <w:rPr>
          <w:rFonts w:ascii="Times New Roman" w:eastAsia="Times New Roman" w:hAnsi="Times New Roman" w:cs="Times New Roman"/>
          <w:b/>
          <w:bCs/>
          <w:sz w:val="24"/>
          <w:szCs w:val="24"/>
          <w:lang w:val="en-US"/>
        </w:rPr>
        <w:t>Stage 2 (Control):</w:t>
      </w:r>
      <w:r w:rsidRPr="0061521F">
        <w:rPr>
          <w:rFonts w:ascii="Times New Roman" w:eastAsia="Times New Roman" w:hAnsi="Times New Roman" w:cs="Times New Roman"/>
          <w:sz w:val="24"/>
          <w:szCs w:val="24"/>
          <w:lang w:val="en-US"/>
        </w:rPr>
        <w:t xml:space="preserve"> structured cavity/access tasks with constraints and error mapping, focusing on safety thresholds.</w:t>
      </w:r>
      <w:r w:rsidRPr="0061521F">
        <w:rPr>
          <w:rFonts w:ascii="Times New Roman" w:eastAsia="Times New Roman" w:hAnsi="Times New Roman" w:cs="Times New Roman"/>
          <w:sz w:val="24"/>
          <w:szCs w:val="24"/>
          <w:lang w:val="en-US"/>
        </w:rPr>
        <w:br/>
      </w:r>
      <w:r w:rsidRPr="0061521F">
        <w:rPr>
          <w:rFonts w:ascii="Times New Roman" w:eastAsia="Times New Roman" w:hAnsi="Times New Roman" w:cs="Times New Roman"/>
          <w:b/>
          <w:bCs/>
          <w:sz w:val="24"/>
          <w:szCs w:val="24"/>
          <w:lang w:val="en-US"/>
        </w:rPr>
        <w:t>Stage 3 (Consistency):</w:t>
      </w:r>
      <w:r w:rsidRPr="0061521F">
        <w:rPr>
          <w:rFonts w:ascii="Times New Roman" w:eastAsia="Times New Roman" w:hAnsi="Times New Roman" w:cs="Times New Roman"/>
          <w:sz w:val="24"/>
          <w:szCs w:val="24"/>
          <w:lang w:val="en-US"/>
        </w:rPr>
        <w:t xml:space="preserve"> repeated performance across varied cases, aiming for stable quality and reduced catastrophic errors.</w:t>
      </w:r>
      <w:r w:rsidRPr="0061521F">
        <w:rPr>
          <w:rFonts w:ascii="Times New Roman" w:eastAsia="Times New Roman" w:hAnsi="Times New Roman" w:cs="Times New Roman"/>
          <w:sz w:val="24"/>
          <w:szCs w:val="24"/>
          <w:lang w:val="en-US"/>
        </w:rPr>
        <w:br/>
      </w:r>
      <w:r w:rsidRPr="0061521F">
        <w:rPr>
          <w:rFonts w:ascii="Times New Roman" w:eastAsia="Times New Roman" w:hAnsi="Times New Roman" w:cs="Times New Roman"/>
          <w:b/>
          <w:bCs/>
          <w:sz w:val="24"/>
          <w:szCs w:val="24"/>
          <w:lang w:val="en-US"/>
        </w:rPr>
        <w:t>Stage 4 (Dexterity):</w:t>
      </w:r>
      <w:r w:rsidRPr="0061521F">
        <w:rPr>
          <w:rFonts w:ascii="Times New Roman" w:eastAsia="Times New Roman" w:hAnsi="Times New Roman" w:cs="Times New Roman"/>
          <w:sz w:val="24"/>
          <w:szCs w:val="24"/>
          <w:lang w:val="en-US"/>
        </w:rPr>
        <w:t xml:space="preserve"> variability under time and visibility constraints, emphasizing adaptive performance and error recovery.</w:t>
      </w:r>
      <w:r w:rsidRPr="0061521F">
        <w:rPr>
          <w:rFonts w:ascii="Times New Roman" w:eastAsia="Times New Roman" w:hAnsi="Times New Roman" w:cs="Times New Roman"/>
          <w:sz w:val="24"/>
          <w:szCs w:val="24"/>
          <w:lang w:val="en-US"/>
        </w:rPr>
        <w:br/>
      </w:r>
      <w:r w:rsidRPr="0061521F">
        <w:rPr>
          <w:rFonts w:ascii="Times New Roman" w:eastAsia="Times New Roman" w:hAnsi="Times New Roman" w:cs="Times New Roman"/>
          <w:b/>
          <w:bCs/>
          <w:sz w:val="24"/>
          <w:szCs w:val="24"/>
          <w:lang w:val="en-US"/>
        </w:rPr>
        <w:t>Stage 5 (Transfer):</w:t>
      </w:r>
      <w:r w:rsidRPr="0061521F">
        <w:rPr>
          <w:rFonts w:ascii="Times New Roman" w:eastAsia="Times New Roman" w:hAnsi="Times New Roman" w:cs="Times New Roman"/>
          <w:sz w:val="24"/>
          <w:szCs w:val="24"/>
          <w:lang w:val="en-US"/>
        </w:rPr>
        <w:t xml:space="preserve"> transition to extracted teeth/typodonts and supervised clinical procedures with rubric-based evaluation.</w:t>
      </w:r>
    </w:p>
    <w:p w14:paraId="5154C0A8" w14:textId="77777777" w:rsidR="0061521F" w:rsidRPr="0061521F" w:rsidRDefault="0061521F"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1521F">
        <w:rPr>
          <w:rFonts w:ascii="Times New Roman" w:eastAsia="Times New Roman" w:hAnsi="Times New Roman" w:cs="Times New Roman"/>
          <w:sz w:val="24"/>
          <w:szCs w:val="24"/>
          <w:lang w:val="en-US"/>
        </w:rPr>
        <w:t>This ladder aligns with the general conclusion of broad reviews that VR improves outcomes most reliably when integrated intentionally into curricula and paired with structured assessment and coaching (</w:t>
      </w:r>
      <w:proofErr w:type="spellStart"/>
      <w:r w:rsidRPr="0061521F">
        <w:rPr>
          <w:rFonts w:ascii="Times New Roman" w:eastAsia="Times New Roman" w:hAnsi="Times New Roman" w:cs="Times New Roman"/>
          <w:sz w:val="24"/>
          <w:szCs w:val="24"/>
          <w:lang w:val="en-US"/>
        </w:rPr>
        <w:t>Algarni</w:t>
      </w:r>
      <w:proofErr w:type="spellEnd"/>
      <w:r w:rsidRPr="0061521F">
        <w:rPr>
          <w:rFonts w:ascii="Times New Roman" w:eastAsia="Times New Roman" w:hAnsi="Times New Roman" w:cs="Times New Roman"/>
          <w:sz w:val="24"/>
          <w:szCs w:val="24"/>
          <w:lang w:val="en-US"/>
        </w:rPr>
        <w:t xml:space="preserve"> et al., 2024; Moussa et al., 2022).</w:t>
      </w:r>
    </w:p>
    <w:p w14:paraId="3B6FD602" w14:textId="77777777" w:rsidR="0067007E" w:rsidRPr="0067007E" w:rsidRDefault="0067007E"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2" w:name="_Toc216522295"/>
      <w:r w:rsidRPr="0067007E">
        <w:rPr>
          <w:rFonts w:ascii="Times New Roman" w:eastAsia="Times New Roman" w:hAnsi="Times New Roman" w:cs="Times New Roman"/>
          <w:b/>
          <w:bCs/>
          <w:sz w:val="36"/>
          <w:szCs w:val="36"/>
          <w:lang w:val="en-US"/>
        </w:rPr>
        <w:t>10. Future Directions</w:t>
      </w:r>
      <w:bookmarkEnd w:id="42"/>
    </w:p>
    <w:p w14:paraId="4C71D08F"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Virtual reality in Conservative Dentistry and Endodontics is likely to shift from being a “simulation option” to becoming a structured, competency-linked training layer that continuously supports learners from preclinical entry to early clinical independence. One major direction is the development of more clinically faithful environments that capture real constraints such as soft-tissue dynamics, moisture control, limited mouth opening, indirect vision fatigue, and the ergonomics of sustained procedures. As these constraints are modeled more realistically, training can move beyond isolated tooth preparations toward whole-procedure rehearsal that includes workflow discipline, safety checkpoints, and recovery from common intra-operative disruptions.</w:t>
      </w:r>
    </w:p>
    <w:p w14:paraId="455AE2E1"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Another key direction is intelligent feedback that goes beyond error counting. Future VR platforms will increasingly identify patterns—such as unstable hand trajectories, inefficient motion, or unsafe pressure habits—and translate them into coaching cues that are specific, prioritized, and matched to the learner’s stage. This would support personalized pathways where the system recommends targeted practice modules, suggests remediation strategies, and adapts task difficulty to maintain challenge without overwhelming novices.</w:t>
      </w:r>
    </w:p>
    <w:p w14:paraId="4ABE9EEA"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Interoperability and standardization will also become crucial. If VR is to function as part of a competency pathway, programs will need shared definitions of performance thresholds, transparent scoring logic, and portable learning records that allow performance trajectories to be interpreted consistently across devices and institutions. At the same time, governance frameworks must evolve to address privacy, equity of access, and fair use of analytics in progression decisions.</w:t>
      </w:r>
    </w:p>
    <w:p w14:paraId="0DE3544C" w14:textId="777777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Finally, future research and implementation will likely focus on demonstrating durable clinical impact. The most valuable next step is to establish how VR-supported learning changes real patient outcomes, reduces avoidable procedural errors, improves efficiency without compromising conservation, and strengthens novice confidence in a way that supports safe clinical transfer.</w:t>
      </w:r>
    </w:p>
    <w:p w14:paraId="6525A08E" w14:textId="77777777" w:rsidR="0067007E" w:rsidRPr="0067007E" w:rsidRDefault="0067007E"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3" w:name="_Toc216522296"/>
      <w:r w:rsidRPr="0067007E">
        <w:rPr>
          <w:rFonts w:ascii="Times New Roman" w:eastAsia="Times New Roman" w:hAnsi="Times New Roman" w:cs="Times New Roman"/>
          <w:b/>
          <w:bCs/>
          <w:sz w:val="36"/>
          <w:szCs w:val="36"/>
          <w:lang w:val="en-US"/>
        </w:rPr>
        <w:t>11. Conclusions</w:t>
      </w:r>
      <w:bookmarkEnd w:id="43"/>
    </w:p>
    <w:p w14:paraId="4A193B99" w14:textId="75217A77" w:rsidR="0067007E" w:rsidRPr="0067007E" w:rsidRDefault="0067007E" w:rsidP="000F0B59">
      <w:p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lastRenderedPageBreak/>
        <w:t>Virtual reality offers a practical, scalable route to strengthen the progression from basic hand control to dependable clinical dexterity in Conservative Dentistry and Endodontics, particularly when training is structured rather than opportunistic.</w:t>
      </w:r>
      <w:r w:rsidR="000F0B59">
        <w:rPr>
          <w:rFonts w:ascii="Times New Roman" w:eastAsia="Times New Roman" w:hAnsi="Times New Roman" w:cs="Times New Roman"/>
          <w:sz w:val="24"/>
          <w:szCs w:val="24"/>
          <w:lang w:val="en-US"/>
        </w:rPr>
        <w:t xml:space="preserve"> </w:t>
      </w:r>
      <w:r w:rsidRPr="0067007E">
        <w:rPr>
          <w:rFonts w:ascii="Times New Roman" w:eastAsia="Times New Roman" w:hAnsi="Times New Roman" w:cs="Times New Roman"/>
          <w:sz w:val="24"/>
          <w:szCs w:val="24"/>
          <w:lang w:val="en-US"/>
        </w:rPr>
        <w:t>The strongest educational value of VR emerges when it is used as an adjunct to conventional simulation, helping students stabilize foundational motor patterns before transferring skills to phantom-head work, extracted teeth, and supervised patient care.</w:t>
      </w:r>
      <w:r w:rsidR="000F0B59">
        <w:rPr>
          <w:rFonts w:ascii="Times New Roman" w:eastAsia="Times New Roman" w:hAnsi="Times New Roman" w:cs="Times New Roman"/>
          <w:sz w:val="24"/>
          <w:szCs w:val="24"/>
          <w:lang w:val="en-US"/>
        </w:rPr>
        <w:t xml:space="preserve"> </w:t>
      </w:r>
      <w:r w:rsidRPr="0067007E">
        <w:rPr>
          <w:rFonts w:ascii="Times New Roman" w:eastAsia="Times New Roman" w:hAnsi="Times New Roman" w:cs="Times New Roman"/>
          <w:sz w:val="24"/>
          <w:szCs w:val="24"/>
          <w:lang w:val="en-US"/>
        </w:rPr>
        <w:t>Haptic VR is especially relevant for operative dentistry and endodontic access training because it supports repeated practice with immediate, consistent feedback, enabling learners to correct technique early and reduce unsafe habits.</w:t>
      </w:r>
      <w:r w:rsidR="000F0B59">
        <w:rPr>
          <w:rFonts w:ascii="Times New Roman" w:eastAsia="Times New Roman" w:hAnsi="Times New Roman" w:cs="Times New Roman"/>
          <w:sz w:val="24"/>
          <w:szCs w:val="24"/>
          <w:lang w:val="en-US"/>
        </w:rPr>
        <w:t xml:space="preserve"> </w:t>
      </w:r>
      <w:r w:rsidRPr="0067007E">
        <w:rPr>
          <w:rFonts w:ascii="Times New Roman" w:eastAsia="Times New Roman" w:hAnsi="Times New Roman" w:cs="Times New Roman"/>
          <w:sz w:val="24"/>
          <w:szCs w:val="24"/>
          <w:lang w:val="en-US"/>
        </w:rPr>
        <w:t>Immersive and task-based VR environments can add important benefits beyond tactile replication by supporting spatial orientation, procedural sequencing, ergonomic awareness, and readiness to perform under realistic attention demands.</w:t>
      </w:r>
      <w:r w:rsidR="000F0B59">
        <w:rPr>
          <w:rFonts w:ascii="Times New Roman" w:eastAsia="Times New Roman" w:hAnsi="Times New Roman" w:cs="Times New Roman"/>
          <w:sz w:val="24"/>
          <w:szCs w:val="24"/>
          <w:lang w:val="en-US"/>
        </w:rPr>
        <w:t xml:space="preserve"> </w:t>
      </w:r>
      <w:r w:rsidRPr="0067007E">
        <w:rPr>
          <w:rFonts w:ascii="Times New Roman" w:eastAsia="Times New Roman" w:hAnsi="Times New Roman" w:cs="Times New Roman"/>
          <w:sz w:val="24"/>
          <w:szCs w:val="24"/>
          <w:lang w:val="en-US"/>
        </w:rPr>
        <w:t>Implementation must be supported by clear governance on data use, transparency of scoring, and equity safeguards so that analytics are experienced as supportive learning tools rather than surveillance systems.</w:t>
      </w:r>
      <w:r w:rsidR="000F0B59">
        <w:rPr>
          <w:rFonts w:ascii="Times New Roman" w:eastAsia="Times New Roman" w:hAnsi="Times New Roman" w:cs="Times New Roman"/>
          <w:sz w:val="24"/>
          <w:szCs w:val="24"/>
          <w:lang w:val="en-US"/>
        </w:rPr>
        <w:t xml:space="preserve"> </w:t>
      </w:r>
      <w:r w:rsidRPr="0067007E">
        <w:rPr>
          <w:rFonts w:ascii="Times New Roman" w:eastAsia="Times New Roman" w:hAnsi="Times New Roman" w:cs="Times New Roman"/>
          <w:sz w:val="24"/>
          <w:szCs w:val="24"/>
          <w:lang w:val="en-US"/>
        </w:rPr>
        <w:t>Future progress will be driven by improved realism, better adaptive feedback, and stronger evidence linking VR-supported training to durable clinical performance, safety, and early independent competence.</w:t>
      </w:r>
    </w:p>
    <w:p w14:paraId="45103885" w14:textId="77777777" w:rsidR="0061521F" w:rsidRPr="0061521F" w:rsidRDefault="0061521F" w:rsidP="000F0B59">
      <w:pPr>
        <w:spacing w:after="0" w:line="240" w:lineRule="auto"/>
        <w:jc w:val="both"/>
        <w:rPr>
          <w:rFonts w:ascii="Times New Roman" w:eastAsia="Times New Roman" w:hAnsi="Times New Roman" w:cs="Times New Roman"/>
          <w:sz w:val="24"/>
          <w:szCs w:val="24"/>
          <w:lang w:val="en-US"/>
        </w:rPr>
      </w:pPr>
    </w:p>
    <w:p w14:paraId="1A551B4A" w14:textId="77777777" w:rsidR="0067007E" w:rsidRPr="0067007E" w:rsidRDefault="0067007E"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4" w:name="_Toc216522297"/>
      <w:r w:rsidRPr="0067007E">
        <w:rPr>
          <w:rFonts w:ascii="Times New Roman" w:eastAsia="Times New Roman" w:hAnsi="Times New Roman" w:cs="Times New Roman"/>
          <w:b/>
          <w:bCs/>
          <w:sz w:val="36"/>
          <w:szCs w:val="36"/>
          <w:lang w:val="en-US"/>
        </w:rPr>
        <w:t>12. Limitations</w:t>
      </w:r>
      <w:bookmarkEnd w:id="44"/>
    </w:p>
    <w:p w14:paraId="4E04989C" w14:textId="77777777" w:rsidR="0067007E" w:rsidRPr="0067007E" w:rsidRDefault="0067007E" w:rsidP="000F0B5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This article is a narrative review rather than a formal systematic review; therefore, it does not provide pooled effect estimates or a comprehensive risk-of-bias synthesis across all eligible studies.</w:t>
      </w:r>
    </w:p>
    <w:p w14:paraId="215F7164" w14:textId="77777777" w:rsidR="0067007E" w:rsidRPr="0067007E" w:rsidRDefault="0067007E" w:rsidP="000F0B5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The evidence base for VR in Conservative Dentistry and Endodontics is heterogeneous, with wide variation in hardware type, haptic fidelity, software tasks, scoring algorithms, and outcome measures, which limits direct comparability across studies.</w:t>
      </w:r>
    </w:p>
    <w:p w14:paraId="658DBF33" w14:textId="77777777" w:rsidR="0067007E" w:rsidRPr="0067007E" w:rsidRDefault="0067007E" w:rsidP="000F0B5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Many studies emphasize short-term performance gains or learner perceptions; fewer studies demonstrate long-term retention, durable clinical transfer, or impact on patient-centered outcomes.</w:t>
      </w:r>
    </w:p>
    <w:p w14:paraId="09ECF85F" w14:textId="77777777" w:rsidR="0067007E" w:rsidRPr="0067007E" w:rsidRDefault="0067007E" w:rsidP="000F0B5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Simulator metrics may not fully capture clinically important competencies such as case selection, adaptive judgment, communication, infection control behaviors, and real-time decision-making under true clinical uncertainty.</w:t>
      </w:r>
    </w:p>
    <w:p w14:paraId="63011D1E" w14:textId="77777777" w:rsidR="0067007E" w:rsidRPr="0067007E" w:rsidRDefault="0067007E" w:rsidP="000F0B5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Realism constraints remain, including incomplete representation of moisture control, soft tissue interference, restricted access, and patient movement, which can reduce the fidelity of transfer to chairside practice.</w:t>
      </w:r>
    </w:p>
    <w:p w14:paraId="3CC6E21D" w14:textId="77777777" w:rsidR="0067007E" w:rsidRPr="0067007E" w:rsidRDefault="0067007E" w:rsidP="000F0B5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Implementation outcomes are highly context dependent, influenced by faculty calibration, curriculum design, assessment policies, and availability of structured debriefing; results from one institution may not generalize to another.</w:t>
      </w:r>
    </w:p>
    <w:p w14:paraId="34DD40B0" w14:textId="77777777" w:rsidR="0067007E" w:rsidRPr="0067007E" w:rsidRDefault="0067007E" w:rsidP="000F0B5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Equity and access can be limiting factors because practice time, device availability, and learner familiarity with technology may vary, potentially widening performance gaps if not managed proactively.</w:t>
      </w:r>
    </w:p>
    <w:p w14:paraId="270764B9" w14:textId="77777777" w:rsidR="0067007E" w:rsidRPr="0067007E" w:rsidRDefault="0067007E" w:rsidP="000F0B5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Overreliance on automated scoring can encourage “score optimization” behaviors rather than clinical quality improvement if feedback is not prioritized, interpreted, and integrated with faculty coaching.</w:t>
      </w:r>
    </w:p>
    <w:p w14:paraId="61AFDD4E" w14:textId="77777777" w:rsidR="0067007E" w:rsidRPr="0067007E" w:rsidRDefault="0067007E" w:rsidP="000F0B59">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val="en-US"/>
        </w:rPr>
      </w:pPr>
      <w:r w:rsidRPr="0067007E">
        <w:rPr>
          <w:rFonts w:ascii="Times New Roman" w:eastAsia="Times New Roman" w:hAnsi="Times New Roman" w:cs="Times New Roman"/>
          <w:sz w:val="24"/>
          <w:szCs w:val="24"/>
          <w:lang w:val="en-US"/>
        </w:rPr>
        <w:t>Cost, maintenance, and content updating requirements can be substantial, potentially restricting adoption in resource-limited settings and affecting long-term sustainability.</w:t>
      </w:r>
    </w:p>
    <w:p w14:paraId="3E97C52F" w14:textId="77777777" w:rsidR="00D11E3D" w:rsidRPr="000F0B59" w:rsidRDefault="00D11E3D" w:rsidP="000F0B59">
      <w:pPr>
        <w:jc w:val="both"/>
        <w:rPr>
          <w:b/>
          <w:highlight w:val="yellow"/>
        </w:rPr>
      </w:pPr>
      <w:r w:rsidRPr="000F0B59">
        <w:rPr>
          <w:b/>
          <w:highlight w:val="yellow"/>
        </w:rPr>
        <w:t>Disclaimer (Artificial intelligence)</w:t>
      </w:r>
    </w:p>
    <w:p w14:paraId="0FD6FAF6" w14:textId="77777777" w:rsidR="00D11E3D" w:rsidRPr="000F0B59" w:rsidRDefault="00D11E3D" w:rsidP="000F0B59">
      <w:pPr>
        <w:jc w:val="both"/>
        <w:rPr>
          <w:highlight w:val="yellow"/>
        </w:rPr>
      </w:pPr>
      <w:r w:rsidRPr="000F0B59">
        <w:rPr>
          <w:highlight w:val="yellow"/>
        </w:rPr>
        <w:lastRenderedPageBreak/>
        <w:t>Author(s) hereby declare that NO generative AI technologies such as Large Language Models (</w:t>
      </w:r>
      <w:proofErr w:type="spellStart"/>
      <w:r w:rsidRPr="000F0B59">
        <w:rPr>
          <w:highlight w:val="yellow"/>
        </w:rPr>
        <w:t>ChatGPT</w:t>
      </w:r>
      <w:proofErr w:type="spellEnd"/>
      <w:r w:rsidRPr="000F0B59">
        <w:rPr>
          <w:highlight w:val="yellow"/>
        </w:rPr>
        <w:t xml:space="preserve">, COPILOT, etc.) and text-to-image generators have been used during the writing or editing of this manuscript. </w:t>
      </w:r>
    </w:p>
    <w:p w14:paraId="45666F48" w14:textId="77777777" w:rsidR="00D11E3D" w:rsidRPr="000F0B59" w:rsidRDefault="00D11E3D" w:rsidP="000F0B59">
      <w:pPr>
        <w:jc w:val="both"/>
        <w:rPr>
          <w:highlight w:val="yellow"/>
        </w:rPr>
      </w:pPr>
      <w:r w:rsidRPr="000F0B59">
        <w:rPr>
          <w:highlight w:val="yellow"/>
        </w:rPr>
        <w:t xml:space="preserve">Option 2: </w:t>
      </w:r>
    </w:p>
    <w:p w14:paraId="05C7F4AD" w14:textId="77777777" w:rsidR="00D11E3D" w:rsidRPr="000F0B59" w:rsidRDefault="00D11E3D" w:rsidP="000F0B59">
      <w:pPr>
        <w:jc w:val="both"/>
        <w:rPr>
          <w:highlight w:val="yellow"/>
        </w:rPr>
      </w:pPr>
      <w:r w:rsidRPr="000F0B5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3024A51" w14:textId="77777777" w:rsidR="00D11E3D" w:rsidRPr="000F0B59" w:rsidRDefault="00D11E3D" w:rsidP="000F0B59">
      <w:pPr>
        <w:jc w:val="both"/>
        <w:rPr>
          <w:highlight w:val="yellow"/>
        </w:rPr>
      </w:pPr>
      <w:r w:rsidRPr="000F0B59">
        <w:rPr>
          <w:highlight w:val="yellow"/>
        </w:rPr>
        <w:t>Details of the AI usage are given below:</w:t>
      </w:r>
    </w:p>
    <w:p w14:paraId="69E9EB7A" w14:textId="0B22A047" w:rsidR="00D11E3D" w:rsidRPr="000F0B59" w:rsidRDefault="00D11E3D" w:rsidP="000F0B59">
      <w:pPr>
        <w:jc w:val="both"/>
        <w:rPr>
          <w:highlight w:val="yellow"/>
        </w:rPr>
      </w:pPr>
      <w:r w:rsidRPr="000F0B59">
        <w:rPr>
          <w:highlight w:val="yellow"/>
        </w:rPr>
        <w:t>1</w:t>
      </w:r>
      <w:r w:rsidR="000F0B59">
        <w:rPr>
          <w:highlight w:val="yellow"/>
        </w:rPr>
        <w:t>.</w:t>
      </w:r>
    </w:p>
    <w:p w14:paraId="4DFB904B" w14:textId="77777777" w:rsidR="00D11E3D" w:rsidRPr="000F0B59" w:rsidRDefault="00D11E3D" w:rsidP="000F0B59">
      <w:pPr>
        <w:jc w:val="both"/>
        <w:rPr>
          <w:highlight w:val="yellow"/>
        </w:rPr>
      </w:pPr>
      <w:r w:rsidRPr="000F0B59">
        <w:rPr>
          <w:highlight w:val="yellow"/>
        </w:rPr>
        <w:t>2.</w:t>
      </w:r>
    </w:p>
    <w:p w14:paraId="46DB7971" w14:textId="77777777" w:rsidR="00D11E3D" w:rsidRPr="00D047BB" w:rsidRDefault="00D11E3D" w:rsidP="000F0B59">
      <w:pPr>
        <w:jc w:val="both"/>
      </w:pPr>
      <w:r w:rsidRPr="000F0B59">
        <w:rPr>
          <w:highlight w:val="yellow"/>
        </w:rPr>
        <w:t>3.</w:t>
      </w:r>
    </w:p>
    <w:p w14:paraId="32C9D9D8" w14:textId="77777777" w:rsidR="0061521F" w:rsidRPr="0061521F" w:rsidRDefault="0061521F" w:rsidP="000F0B59">
      <w:pPr>
        <w:spacing w:after="0" w:line="240" w:lineRule="auto"/>
        <w:jc w:val="both"/>
        <w:rPr>
          <w:rFonts w:ascii="Times New Roman" w:eastAsia="Times New Roman" w:hAnsi="Times New Roman" w:cs="Times New Roman"/>
          <w:sz w:val="24"/>
          <w:szCs w:val="24"/>
          <w:lang w:val="en-US"/>
        </w:rPr>
      </w:pPr>
    </w:p>
    <w:p w14:paraId="04B70B83" w14:textId="77777777" w:rsidR="0061521F" w:rsidRPr="0061521F" w:rsidRDefault="0061521F" w:rsidP="000F0B59">
      <w:pPr>
        <w:spacing w:before="100" w:beforeAutospacing="1" w:after="100" w:afterAutospacing="1" w:line="240" w:lineRule="auto"/>
        <w:jc w:val="both"/>
        <w:outlineLvl w:val="1"/>
        <w:rPr>
          <w:rFonts w:ascii="Times New Roman" w:eastAsia="Times New Roman" w:hAnsi="Times New Roman" w:cs="Times New Roman"/>
          <w:b/>
          <w:bCs/>
          <w:sz w:val="36"/>
          <w:szCs w:val="36"/>
          <w:lang w:val="en-US"/>
        </w:rPr>
      </w:pPr>
      <w:bookmarkStart w:id="45" w:name="_Toc216522298"/>
      <w:r w:rsidRPr="0061521F">
        <w:rPr>
          <w:rFonts w:ascii="Times New Roman" w:eastAsia="Times New Roman" w:hAnsi="Times New Roman" w:cs="Times New Roman"/>
          <w:b/>
          <w:bCs/>
          <w:sz w:val="36"/>
          <w:szCs w:val="36"/>
          <w:lang w:val="en-US"/>
        </w:rPr>
        <w:t>References</w:t>
      </w:r>
      <w:bookmarkEnd w:id="45"/>
      <w:r w:rsidRPr="0061521F">
        <w:rPr>
          <w:rFonts w:ascii="Times New Roman" w:eastAsia="Times New Roman" w:hAnsi="Times New Roman" w:cs="Times New Roman"/>
          <w:b/>
          <w:bCs/>
          <w:sz w:val="36"/>
          <w:szCs w:val="36"/>
          <w:lang w:val="en-US"/>
        </w:rPr>
        <w:t xml:space="preserve"> </w:t>
      </w:r>
    </w:p>
    <w:p w14:paraId="52D3B660" w14:textId="1D1FBE7A" w:rsidR="00164222" w:rsidRDefault="00164222" w:rsidP="000F0B59">
      <w:pPr>
        <w:pStyle w:val="NormalWeb"/>
        <w:ind w:left="360"/>
        <w:jc w:val="both"/>
      </w:pPr>
      <w:proofErr w:type="spellStart"/>
      <w:r w:rsidRPr="00164222">
        <w:t>Algarni</w:t>
      </w:r>
      <w:proofErr w:type="spellEnd"/>
      <w:r w:rsidRPr="00164222">
        <w:t xml:space="preserve">, Y. A., Saini, R. S., </w:t>
      </w:r>
      <w:proofErr w:type="spellStart"/>
      <w:r w:rsidRPr="00164222">
        <w:t>Vaddamanu</w:t>
      </w:r>
      <w:proofErr w:type="spellEnd"/>
      <w:r w:rsidRPr="00164222">
        <w:t xml:space="preserve">, S. K., </w:t>
      </w:r>
      <w:proofErr w:type="spellStart"/>
      <w:r w:rsidRPr="00164222">
        <w:t>Quadri</w:t>
      </w:r>
      <w:proofErr w:type="spellEnd"/>
      <w:r w:rsidRPr="00164222">
        <w:t xml:space="preserve">, S. A., </w:t>
      </w:r>
      <w:proofErr w:type="spellStart"/>
      <w:r w:rsidRPr="00164222">
        <w:t>Gurumurthy</w:t>
      </w:r>
      <w:proofErr w:type="spellEnd"/>
      <w:r w:rsidRPr="00164222">
        <w:t xml:space="preserve">, V., Vyas, R., Baba, S. M., Avetisyan, A., </w:t>
      </w:r>
      <w:proofErr w:type="spellStart"/>
      <w:r w:rsidRPr="00164222">
        <w:t>Mosaddad</w:t>
      </w:r>
      <w:proofErr w:type="spellEnd"/>
      <w:r w:rsidRPr="00164222">
        <w:t xml:space="preserve">, S. A., &amp; </w:t>
      </w:r>
      <w:proofErr w:type="spellStart"/>
      <w:r w:rsidRPr="00164222">
        <w:t>Heboyan</w:t>
      </w:r>
      <w:proofErr w:type="spellEnd"/>
      <w:r w:rsidRPr="00164222">
        <w:t xml:space="preserve">, A. (2024). The impact of virtual reality simulation on dental education: A systematic review of learning outcomes and student engagement. Journal of Dental Education, 88(11), 1549–1562. </w:t>
      </w:r>
      <w:hyperlink r:id="rId11" w:history="1">
        <w:r w:rsidRPr="00081DB7">
          <w:rPr>
            <w:rStyle w:val="Hyperlink"/>
          </w:rPr>
          <w:t>https://doi.org/10.1002/jdd.13619</w:t>
        </w:r>
      </w:hyperlink>
    </w:p>
    <w:p w14:paraId="79177C6A" w14:textId="6CDC3778" w:rsidR="00164222" w:rsidRDefault="00164222" w:rsidP="000F0B59">
      <w:pPr>
        <w:pStyle w:val="NormalWeb"/>
        <w:ind w:left="360"/>
        <w:jc w:val="both"/>
      </w:pPr>
      <w:r w:rsidRPr="00164222">
        <w:t xml:space="preserve">Al-Saud, L. M., Mushtaq, F., Mann, R. P., </w:t>
      </w:r>
      <w:proofErr w:type="spellStart"/>
      <w:r w:rsidRPr="00164222">
        <w:t>Mirghani</w:t>
      </w:r>
      <w:proofErr w:type="spellEnd"/>
      <w:r w:rsidRPr="00164222">
        <w:t xml:space="preserve">, I., </w:t>
      </w:r>
      <w:proofErr w:type="spellStart"/>
      <w:r w:rsidRPr="00164222">
        <w:t>Balkhoyor</w:t>
      </w:r>
      <w:proofErr w:type="spellEnd"/>
      <w:r w:rsidRPr="00164222">
        <w:t xml:space="preserve">, A., Harris, R., </w:t>
      </w:r>
      <w:proofErr w:type="spellStart"/>
      <w:r w:rsidRPr="00164222">
        <w:t>Osnes</w:t>
      </w:r>
      <w:proofErr w:type="spellEnd"/>
      <w:r w:rsidRPr="00164222">
        <w:t xml:space="preserve">, C., Keeling, A., Mon-Williams, M. A., &amp; </w:t>
      </w:r>
      <w:proofErr w:type="spellStart"/>
      <w:r w:rsidRPr="00164222">
        <w:t>Manogue</w:t>
      </w:r>
      <w:proofErr w:type="spellEnd"/>
      <w:r w:rsidRPr="00164222">
        <w:t xml:space="preserve">, M. (2020). Early assessment with a virtual reality haptic simulator predicts performance in clinical practice. BMJ Simulation &amp; Technology Enhanced Learning, 6(5), 274–278. </w:t>
      </w:r>
      <w:hyperlink r:id="rId12" w:history="1">
        <w:r w:rsidRPr="00081DB7">
          <w:rPr>
            <w:rStyle w:val="Hyperlink"/>
          </w:rPr>
          <w:t>https://doi.org/10.1136/bmjstel-2018-000420</w:t>
        </w:r>
      </w:hyperlink>
    </w:p>
    <w:p w14:paraId="1B2996B2" w14:textId="1A8073BA" w:rsidR="00164222" w:rsidRDefault="00164222" w:rsidP="000F0B59">
      <w:pPr>
        <w:pStyle w:val="NormalWeb"/>
        <w:ind w:left="360"/>
        <w:jc w:val="both"/>
      </w:pPr>
      <w:proofErr w:type="spellStart"/>
      <w:r w:rsidRPr="00164222">
        <w:t>Asoodar</w:t>
      </w:r>
      <w:proofErr w:type="spellEnd"/>
      <w:r w:rsidRPr="00164222">
        <w:t xml:space="preserve">, M., </w:t>
      </w:r>
      <w:proofErr w:type="spellStart"/>
      <w:r w:rsidRPr="00164222">
        <w:t>Janesarvatan</w:t>
      </w:r>
      <w:proofErr w:type="spellEnd"/>
      <w:r w:rsidRPr="00164222">
        <w:t xml:space="preserve">, F., Yu, H., &amp; de Jong, N. (2024). Theoretical foundations and implications of augmented reality, virtual reality, and mixed reality for immersive learning in health professions education. Advances in Simulation </w:t>
      </w:r>
      <w:hyperlink r:id="rId13" w:history="1">
        <w:r w:rsidRPr="00081DB7">
          <w:rPr>
            <w:rStyle w:val="Hyperlink"/>
          </w:rPr>
          <w:t>https://doi.org/10.1186/s41077-024-00311-5</w:t>
        </w:r>
      </w:hyperlink>
    </w:p>
    <w:p w14:paraId="49B88A00" w14:textId="5884A172" w:rsidR="00164222" w:rsidRDefault="00164222" w:rsidP="000F0B59">
      <w:pPr>
        <w:pStyle w:val="NormalWeb"/>
        <w:ind w:left="360"/>
        <w:jc w:val="both"/>
      </w:pPr>
      <w:r w:rsidRPr="00164222">
        <w:t xml:space="preserve">Bakr, M. M., </w:t>
      </w:r>
      <w:proofErr w:type="spellStart"/>
      <w:r w:rsidRPr="00164222">
        <w:t>Alharbi</w:t>
      </w:r>
      <w:proofErr w:type="spellEnd"/>
      <w:r w:rsidRPr="00164222">
        <w:t xml:space="preserve">, S. F., Kurdi, A., Lawal, F. B., &amp; El Tantawi, M. (2024). The potential integration of </w:t>
      </w:r>
      <w:proofErr w:type="spellStart"/>
      <w:r w:rsidRPr="00164222">
        <w:t>Simodont</w:t>
      </w:r>
      <w:proofErr w:type="spellEnd"/>
      <w:r w:rsidRPr="00164222">
        <w:t xml:space="preserve">® Dental Trainer in different stages of the dental curriculum. The Saudi Dental Journal. </w:t>
      </w:r>
      <w:hyperlink r:id="rId14" w:history="1">
        <w:r w:rsidRPr="00081DB7">
          <w:rPr>
            <w:rStyle w:val="Hyperlink"/>
          </w:rPr>
          <w:t>https://doi.org/10.1016/j.sdentj.2024.09.002</w:t>
        </w:r>
      </w:hyperlink>
    </w:p>
    <w:p w14:paraId="524FCAF8" w14:textId="2E324B00" w:rsidR="00164222" w:rsidRPr="008D563F" w:rsidRDefault="00164222"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Bandiaky</w:t>
      </w:r>
      <w:proofErr w:type="spellEnd"/>
      <w:r w:rsidRPr="008D563F">
        <w:rPr>
          <w:rFonts w:ascii="Times New Roman" w:eastAsia="Times New Roman" w:hAnsi="Times New Roman" w:cs="Times New Roman"/>
          <w:sz w:val="24"/>
          <w:szCs w:val="24"/>
          <w:lang w:val="en-US"/>
        </w:rPr>
        <w:t xml:space="preserve">, O. N., Lopez, S., Hamon, L., Clouet, R., </w:t>
      </w:r>
      <w:proofErr w:type="spellStart"/>
      <w:r w:rsidRPr="008D563F">
        <w:rPr>
          <w:rFonts w:ascii="Times New Roman" w:eastAsia="Times New Roman" w:hAnsi="Times New Roman" w:cs="Times New Roman"/>
          <w:sz w:val="24"/>
          <w:szCs w:val="24"/>
          <w:lang w:val="en-US"/>
        </w:rPr>
        <w:t>Soueidan</w:t>
      </w:r>
      <w:proofErr w:type="spellEnd"/>
      <w:r w:rsidRPr="008D563F">
        <w:rPr>
          <w:rFonts w:ascii="Times New Roman" w:eastAsia="Times New Roman" w:hAnsi="Times New Roman" w:cs="Times New Roman"/>
          <w:sz w:val="24"/>
          <w:szCs w:val="24"/>
          <w:lang w:val="en-US"/>
        </w:rPr>
        <w:t xml:space="preserve">, A., &amp; Le </w:t>
      </w:r>
      <w:proofErr w:type="spellStart"/>
      <w:r w:rsidRPr="008D563F">
        <w:rPr>
          <w:rFonts w:ascii="Times New Roman" w:eastAsia="Times New Roman" w:hAnsi="Times New Roman" w:cs="Times New Roman"/>
          <w:sz w:val="24"/>
          <w:szCs w:val="24"/>
          <w:lang w:val="en-US"/>
        </w:rPr>
        <w:t>Guehennec</w:t>
      </w:r>
      <w:proofErr w:type="spellEnd"/>
      <w:r w:rsidRPr="008D563F">
        <w:rPr>
          <w:rFonts w:ascii="Times New Roman" w:eastAsia="Times New Roman" w:hAnsi="Times New Roman" w:cs="Times New Roman"/>
          <w:sz w:val="24"/>
          <w:szCs w:val="24"/>
          <w:lang w:val="en-US"/>
        </w:rPr>
        <w:t xml:space="preserve">, L. (2024). Impact of haptic simulators in preclinical dental education: A systematic review. Journal of Dental Education, 88(3), 366–379. </w:t>
      </w:r>
      <w:hyperlink r:id="rId15" w:history="1">
        <w:r w:rsidRPr="008D563F">
          <w:rPr>
            <w:rStyle w:val="Hyperlink"/>
            <w:rFonts w:ascii="Times New Roman" w:eastAsia="Times New Roman" w:hAnsi="Times New Roman" w:cs="Times New Roman"/>
            <w:sz w:val="24"/>
            <w:szCs w:val="24"/>
            <w:lang w:val="en-US"/>
          </w:rPr>
          <w:t>https://doi.org/10.1002/jdd.13426</w:t>
        </w:r>
      </w:hyperlink>
    </w:p>
    <w:p w14:paraId="76E97046" w14:textId="1EB1BE43" w:rsidR="00164222" w:rsidRDefault="00164222" w:rsidP="000F0B59">
      <w:pPr>
        <w:pStyle w:val="NormalWeb"/>
        <w:ind w:left="360"/>
        <w:jc w:val="both"/>
      </w:pPr>
      <w:proofErr w:type="spellStart"/>
      <w:r w:rsidRPr="00164222">
        <w:t>Bevizova</w:t>
      </w:r>
      <w:proofErr w:type="spellEnd"/>
      <w:r w:rsidRPr="00164222">
        <w:t xml:space="preserve">, K., </w:t>
      </w:r>
      <w:proofErr w:type="spellStart"/>
      <w:r w:rsidRPr="00164222">
        <w:t>Falougy</w:t>
      </w:r>
      <w:proofErr w:type="spellEnd"/>
      <w:r w:rsidRPr="00164222">
        <w:t xml:space="preserve">, H., El </w:t>
      </w:r>
      <w:proofErr w:type="spellStart"/>
      <w:r w:rsidRPr="00164222">
        <w:t>Thurzo</w:t>
      </w:r>
      <w:proofErr w:type="spellEnd"/>
      <w:r w:rsidRPr="00164222">
        <w:t xml:space="preserve">, A., &amp; </w:t>
      </w:r>
      <w:proofErr w:type="spellStart"/>
      <w:r w:rsidRPr="00164222">
        <w:t>Harsanyi</w:t>
      </w:r>
      <w:proofErr w:type="spellEnd"/>
      <w:r w:rsidRPr="00164222">
        <w:t xml:space="preserve">, S. (2024). Is virtual reality enhancing dental anatomy education? A systematic review and meta-analysis. BMC Medical Education, 24, 1395. </w:t>
      </w:r>
      <w:hyperlink r:id="rId16" w:history="1">
        <w:r w:rsidRPr="00081DB7">
          <w:rPr>
            <w:rStyle w:val="Hyperlink"/>
          </w:rPr>
          <w:t>https://doi.org/10.1186/s12909-024-06233-0</w:t>
        </w:r>
      </w:hyperlink>
    </w:p>
    <w:p w14:paraId="4C7826DC" w14:textId="42AEC334" w:rsidR="00164222" w:rsidRDefault="00164222" w:rsidP="000F0B59">
      <w:pPr>
        <w:pStyle w:val="NormalWeb"/>
        <w:ind w:left="360"/>
        <w:jc w:val="both"/>
      </w:pPr>
      <w:r w:rsidRPr="00164222">
        <w:lastRenderedPageBreak/>
        <w:t xml:space="preserve">Bissell, V., &amp; Dawson, L. J. (2022). Assessment and feedback in dental education: A journey. British Dental Journal, 233, 499–502. </w:t>
      </w:r>
      <w:hyperlink r:id="rId17" w:history="1">
        <w:r w:rsidRPr="00081DB7">
          <w:rPr>
            <w:rStyle w:val="Hyperlink"/>
          </w:rPr>
          <w:t>https://doi.org/10.1038/s41415-022-4968-1</w:t>
        </w:r>
      </w:hyperlink>
    </w:p>
    <w:p w14:paraId="0828F2CF" w14:textId="3DF532F0" w:rsidR="00164222" w:rsidRDefault="00164222" w:rsidP="000F0B59">
      <w:pPr>
        <w:pStyle w:val="NormalWeb"/>
        <w:ind w:left="360"/>
        <w:jc w:val="both"/>
      </w:pPr>
      <w:proofErr w:type="spellStart"/>
      <w:r w:rsidRPr="00164222">
        <w:t>Bojic</w:t>
      </w:r>
      <w:proofErr w:type="spellEnd"/>
      <w:r w:rsidRPr="00164222">
        <w:t xml:space="preserve">, I., Marshall, P., Goh, P. S., et al. (2023). Empowering health care education through learning analytics: In-depth scoping review. Journal of Medical Internet Research </w:t>
      </w:r>
      <w:hyperlink r:id="rId18" w:history="1">
        <w:r w:rsidRPr="00081DB7">
          <w:rPr>
            <w:rStyle w:val="Hyperlink"/>
          </w:rPr>
          <w:t>https://doi.org/10.2196/41671</w:t>
        </w:r>
      </w:hyperlink>
    </w:p>
    <w:p w14:paraId="7541D267" w14:textId="6BF6FE5F" w:rsidR="00164222" w:rsidRPr="008D563F" w:rsidRDefault="00164222"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Bok, H. G. J., </w:t>
      </w:r>
      <w:proofErr w:type="spellStart"/>
      <w:r w:rsidRPr="008D563F">
        <w:rPr>
          <w:rFonts w:ascii="Times New Roman" w:eastAsia="Times New Roman" w:hAnsi="Times New Roman" w:cs="Times New Roman"/>
          <w:sz w:val="24"/>
          <w:szCs w:val="24"/>
          <w:lang w:val="en-US"/>
        </w:rPr>
        <w:t>Teunissen</w:t>
      </w:r>
      <w:proofErr w:type="spellEnd"/>
      <w:r w:rsidRPr="008D563F">
        <w:rPr>
          <w:rFonts w:ascii="Times New Roman" w:eastAsia="Times New Roman" w:hAnsi="Times New Roman" w:cs="Times New Roman"/>
          <w:sz w:val="24"/>
          <w:szCs w:val="24"/>
          <w:lang w:val="en-US"/>
        </w:rPr>
        <w:t xml:space="preserve">, P. W., Favier, R. P., </w:t>
      </w:r>
      <w:proofErr w:type="spellStart"/>
      <w:r w:rsidRPr="008D563F">
        <w:rPr>
          <w:rFonts w:ascii="Times New Roman" w:eastAsia="Times New Roman" w:hAnsi="Times New Roman" w:cs="Times New Roman"/>
          <w:sz w:val="24"/>
          <w:szCs w:val="24"/>
          <w:lang w:val="en-US"/>
        </w:rPr>
        <w:t>Rietbroek</w:t>
      </w:r>
      <w:proofErr w:type="spellEnd"/>
      <w:r w:rsidRPr="008D563F">
        <w:rPr>
          <w:rFonts w:ascii="Times New Roman" w:eastAsia="Times New Roman" w:hAnsi="Times New Roman" w:cs="Times New Roman"/>
          <w:sz w:val="24"/>
          <w:szCs w:val="24"/>
          <w:lang w:val="en-US"/>
        </w:rPr>
        <w:t xml:space="preserve">, N. J., </w:t>
      </w:r>
      <w:proofErr w:type="spellStart"/>
      <w:r w:rsidRPr="008D563F">
        <w:rPr>
          <w:rFonts w:ascii="Times New Roman" w:eastAsia="Times New Roman" w:hAnsi="Times New Roman" w:cs="Times New Roman"/>
          <w:sz w:val="24"/>
          <w:szCs w:val="24"/>
          <w:lang w:val="en-US"/>
        </w:rPr>
        <w:t>Theyse</w:t>
      </w:r>
      <w:proofErr w:type="spellEnd"/>
      <w:r w:rsidRPr="008D563F">
        <w:rPr>
          <w:rFonts w:ascii="Times New Roman" w:eastAsia="Times New Roman" w:hAnsi="Times New Roman" w:cs="Times New Roman"/>
          <w:sz w:val="24"/>
          <w:szCs w:val="24"/>
          <w:lang w:val="en-US"/>
        </w:rPr>
        <w:t xml:space="preserve">, L. F. H., </w:t>
      </w:r>
      <w:proofErr w:type="spellStart"/>
      <w:r w:rsidRPr="008D563F">
        <w:rPr>
          <w:rFonts w:ascii="Times New Roman" w:eastAsia="Times New Roman" w:hAnsi="Times New Roman" w:cs="Times New Roman"/>
          <w:sz w:val="24"/>
          <w:szCs w:val="24"/>
          <w:lang w:val="en-US"/>
        </w:rPr>
        <w:t>Brommer</w:t>
      </w:r>
      <w:proofErr w:type="spellEnd"/>
      <w:r w:rsidRPr="008D563F">
        <w:rPr>
          <w:rFonts w:ascii="Times New Roman" w:eastAsia="Times New Roman" w:hAnsi="Times New Roman" w:cs="Times New Roman"/>
          <w:sz w:val="24"/>
          <w:szCs w:val="24"/>
          <w:lang w:val="en-US"/>
        </w:rPr>
        <w:t xml:space="preserve">, H., </w:t>
      </w:r>
      <w:proofErr w:type="spellStart"/>
      <w:r w:rsidRPr="008D563F">
        <w:rPr>
          <w:rFonts w:ascii="Times New Roman" w:eastAsia="Times New Roman" w:hAnsi="Times New Roman" w:cs="Times New Roman"/>
          <w:sz w:val="24"/>
          <w:szCs w:val="24"/>
          <w:lang w:val="en-US"/>
        </w:rPr>
        <w:t>Haarhuis</w:t>
      </w:r>
      <w:proofErr w:type="spellEnd"/>
      <w:r w:rsidRPr="008D563F">
        <w:rPr>
          <w:rFonts w:ascii="Times New Roman" w:eastAsia="Times New Roman" w:hAnsi="Times New Roman" w:cs="Times New Roman"/>
          <w:sz w:val="24"/>
          <w:szCs w:val="24"/>
          <w:lang w:val="en-US"/>
        </w:rPr>
        <w:t xml:space="preserve">, J. C. T., van </w:t>
      </w:r>
      <w:proofErr w:type="spellStart"/>
      <w:r w:rsidRPr="008D563F">
        <w:rPr>
          <w:rFonts w:ascii="Times New Roman" w:eastAsia="Times New Roman" w:hAnsi="Times New Roman" w:cs="Times New Roman"/>
          <w:sz w:val="24"/>
          <w:szCs w:val="24"/>
          <w:lang w:val="en-US"/>
        </w:rPr>
        <w:t>Beukelen</w:t>
      </w:r>
      <w:proofErr w:type="spellEnd"/>
      <w:r w:rsidRPr="008D563F">
        <w:rPr>
          <w:rFonts w:ascii="Times New Roman" w:eastAsia="Times New Roman" w:hAnsi="Times New Roman" w:cs="Times New Roman"/>
          <w:sz w:val="24"/>
          <w:szCs w:val="24"/>
          <w:lang w:val="en-US"/>
        </w:rPr>
        <w:t xml:space="preserve">, P., van der Vleuten, C. P. M., &amp; </w:t>
      </w:r>
      <w:proofErr w:type="spellStart"/>
      <w:r w:rsidRPr="008D563F">
        <w:rPr>
          <w:rFonts w:ascii="Times New Roman" w:eastAsia="Times New Roman" w:hAnsi="Times New Roman" w:cs="Times New Roman"/>
          <w:sz w:val="24"/>
          <w:szCs w:val="24"/>
          <w:lang w:val="en-US"/>
        </w:rPr>
        <w:t>Jaarsma</w:t>
      </w:r>
      <w:proofErr w:type="spellEnd"/>
      <w:r w:rsidRPr="008D563F">
        <w:rPr>
          <w:rFonts w:ascii="Times New Roman" w:eastAsia="Times New Roman" w:hAnsi="Times New Roman" w:cs="Times New Roman"/>
          <w:sz w:val="24"/>
          <w:szCs w:val="24"/>
          <w:lang w:val="en-US"/>
        </w:rPr>
        <w:t xml:space="preserve">, D. A. D. C. (2013). Programmatic assessment of competency-based workplace learning: When theory meets practice. BMC Medical Education, 13, 123. </w:t>
      </w:r>
      <w:hyperlink r:id="rId19" w:history="1">
        <w:r w:rsidRPr="008D563F">
          <w:rPr>
            <w:rStyle w:val="Hyperlink"/>
            <w:rFonts w:ascii="Times New Roman" w:eastAsia="Times New Roman" w:hAnsi="Times New Roman" w:cs="Times New Roman"/>
            <w:sz w:val="24"/>
            <w:szCs w:val="24"/>
            <w:lang w:val="en-US"/>
          </w:rPr>
          <w:t>https://doi.org/10.1186/1472-6920-13-123</w:t>
        </w:r>
      </w:hyperlink>
    </w:p>
    <w:p w14:paraId="079688FC" w14:textId="6D699C50" w:rsidR="00164222" w:rsidRPr="008D563F" w:rsidRDefault="00164222"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Daud</w:t>
      </w:r>
      <w:proofErr w:type="spellEnd"/>
      <w:r w:rsidRPr="008D563F">
        <w:rPr>
          <w:rFonts w:ascii="Times New Roman" w:eastAsia="Times New Roman" w:hAnsi="Times New Roman" w:cs="Times New Roman"/>
          <w:sz w:val="24"/>
          <w:szCs w:val="24"/>
          <w:lang w:val="en-US"/>
        </w:rPr>
        <w:t xml:space="preserve">, A., </w:t>
      </w:r>
      <w:proofErr w:type="spellStart"/>
      <w:r w:rsidRPr="008D563F">
        <w:rPr>
          <w:rFonts w:ascii="Times New Roman" w:eastAsia="Times New Roman" w:hAnsi="Times New Roman" w:cs="Times New Roman"/>
          <w:sz w:val="24"/>
          <w:szCs w:val="24"/>
          <w:lang w:val="en-US"/>
        </w:rPr>
        <w:t>Matoug-Elwerfelli</w:t>
      </w:r>
      <w:proofErr w:type="spellEnd"/>
      <w:r w:rsidRPr="008D563F">
        <w:rPr>
          <w:rFonts w:ascii="Times New Roman" w:eastAsia="Times New Roman" w:hAnsi="Times New Roman" w:cs="Times New Roman"/>
          <w:sz w:val="24"/>
          <w:szCs w:val="24"/>
          <w:lang w:val="en-US"/>
        </w:rPr>
        <w:t xml:space="preserve">, M., </w:t>
      </w:r>
      <w:proofErr w:type="spellStart"/>
      <w:r w:rsidRPr="008D563F">
        <w:rPr>
          <w:rFonts w:ascii="Times New Roman" w:eastAsia="Times New Roman" w:hAnsi="Times New Roman" w:cs="Times New Roman"/>
          <w:sz w:val="24"/>
          <w:szCs w:val="24"/>
          <w:lang w:val="en-US"/>
        </w:rPr>
        <w:t>Daas</w:t>
      </w:r>
      <w:proofErr w:type="spellEnd"/>
      <w:r w:rsidRPr="008D563F">
        <w:rPr>
          <w:rFonts w:ascii="Times New Roman" w:eastAsia="Times New Roman" w:hAnsi="Times New Roman" w:cs="Times New Roman"/>
          <w:sz w:val="24"/>
          <w:szCs w:val="24"/>
          <w:lang w:val="en-US"/>
        </w:rPr>
        <w:t xml:space="preserve">, H., Zahra, D., &amp; Ali, K. (2023). Enhancing learning experiences in pre-clinical restorative dentistry: The impact of virtual reality haptic simulators. BMC Medical Education, 23, 948. </w:t>
      </w:r>
      <w:hyperlink r:id="rId20" w:history="1">
        <w:r w:rsidRPr="008D563F">
          <w:rPr>
            <w:rStyle w:val="Hyperlink"/>
            <w:rFonts w:ascii="Times New Roman" w:eastAsia="Times New Roman" w:hAnsi="Times New Roman" w:cs="Times New Roman"/>
            <w:sz w:val="24"/>
            <w:szCs w:val="24"/>
            <w:lang w:val="en-US"/>
          </w:rPr>
          <w:t>https://doi.org/10.1186/s12909-023-04904-y</w:t>
        </w:r>
      </w:hyperlink>
    </w:p>
    <w:p w14:paraId="07691B60" w14:textId="38202D8A" w:rsidR="00164222" w:rsidRPr="008D563F" w:rsidRDefault="00164222"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Daud</w:t>
      </w:r>
      <w:proofErr w:type="spellEnd"/>
      <w:r w:rsidRPr="008D563F">
        <w:rPr>
          <w:rFonts w:ascii="Times New Roman" w:eastAsia="Times New Roman" w:hAnsi="Times New Roman" w:cs="Times New Roman"/>
          <w:sz w:val="24"/>
          <w:szCs w:val="24"/>
          <w:lang w:val="en-US"/>
        </w:rPr>
        <w:t xml:space="preserve">, A., </w:t>
      </w:r>
      <w:proofErr w:type="spellStart"/>
      <w:r w:rsidRPr="008D563F">
        <w:rPr>
          <w:rFonts w:ascii="Times New Roman" w:eastAsia="Times New Roman" w:hAnsi="Times New Roman" w:cs="Times New Roman"/>
          <w:sz w:val="24"/>
          <w:szCs w:val="24"/>
          <w:lang w:val="en-US"/>
        </w:rPr>
        <w:t>Matoug-Elwerfelli</w:t>
      </w:r>
      <w:proofErr w:type="spellEnd"/>
      <w:r w:rsidRPr="008D563F">
        <w:rPr>
          <w:rFonts w:ascii="Times New Roman" w:eastAsia="Times New Roman" w:hAnsi="Times New Roman" w:cs="Times New Roman"/>
          <w:sz w:val="24"/>
          <w:szCs w:val="24"/>
          <w:lang w:val="en-US"/>
        </w:rPr>
        <w:t xml:space="preserve">, M., Khalid, A., &amp; Ali, K. (2024). The impact of virtual reality haptic simulators in pre-clinical restorative dentistry: A qualitative enquiry into dental students’ perceptions. BMC Oral Health, 24, 988. </w:t>
      </w:r>
      <w:hyperlink r:id="rId21" w:history="1">
        <w:r w:rsidRPr="008D563F">
          <w:rPr>
            <w:rStyle w:val="Hyperlink"/>
            <w:rFonts w:ascii="Times New Roman" w:eastAsia="Times New Roman" w:hAnsi="Times New Roman" w:cs="Times New Roman"/>
            <w:sz w:val="24"/>
            <w:szCs w:val="24"/>
            <w:lang w:val="en-US"/>
          </w:rPr>
          <w:t>https://doi.org/10.1186/s12903-024-04704-w</w:t>
        </w:r>
      </w:hyperlink>
    </w:p>
    <w:p w14:paraId="0971CFD4" w14:textId="4CF53D83" w:rsidR="00164222" w:rsidRDefault="00164222" w:rsidP="000F0B59">
      <w:pPr>
        <w:pStyle w:val="NormalWeb"/>
        <w:ind w:left="360"/>
        <w:jc w:val="both"/>
      </w:pPr>
      <w:r w:rsidRPr="00164222">
        <w:t xml:space="preserve">Dixon, J., Towers, A., Martin, N., &amp; Field, J. (2021). Re-defining the virtual reality dental simulator: Demonstrating concurrent validity of clinically relevant assessment and feedback. European Journal of Dental Education, 25(1), 108–116. </w:t>
      </w:r>
      <w:hyperlink r:id="rId22" w:history="1">
        <w:r w:rsidRPr="00081DB7">
          <w:rPr>
            <w:rStyle w:val="Hyperlink"/>
          </w:rPr>
          <w:t>https://doi.org/10.1111/eje.12581</w:t>
        </w:r>
      </w:hyperlink>
    </w:p>
    <w:p w14:paraId="5750DA98" w14:textId="563181D9" w:rsidR="00164222" w:rsidRDefault="00164222" w:rsidP="000F0B59">
      <w:pPr>
        <w:pStyle w:val="NormalWeb"/>
        <w:ind w:left="360"/>
        <w:jc w:val="both"/>
      </w:pPr>
      <w:r w:rsidRPr="00164222">
        <w:t xml:space="preserve">Ericsson, K. A., </w:t>
      </w:r>
      <w:proofErr w:type="spellStart"/>
      <w:r w:rsidRPr="00164222">
        <w:t>Krampe</w:t>
      </w:r>
      <w:proofErr w:type="spellEnd"/>
      <w:r w:rsidRPr="00164222">
        <w:t xml:space="preserve">, R. T., &amp; </w:t>
      </w:r>
      <w:proofErr w:type="spellStart"/>
      <w:r w:rsidRPr="00164222">
        <w:t>Tesch-Römer</w:t>
      </w:r>
      <w:proofErr w:type="spellEnd"/>
      <w:r w:rsidRPr="00164222">
        <w:t xml:space="preserve">, C. (1993). The role of deliberate practice in the acquisition of expert performance. Psychological Review, 100(3), 363–406. </w:t>
      </w:r>
      <w:hyperlink r:id="rId23" w:history="1">
        <w:r w:rsidRPr="00081DB7">
          <w:rPr>
            <w:rStyle w:val="Hyperlink"/>
          </w:rPr>
          <w:t>https://doi.org/10.1037/0033-295X.100.3.363</w:t>
        </w:r>
      </w:hyperlink>
    </w:p>
    <w:p w14:paraId="04CF93F0" w14:textId="4652FD83" w:rsidR="00164222" w:rsidRPr="008D563F" w:rsidRDefault="00164222"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Felszeghy</w:t>
      </w:r>
      <w:proofErr w:type="spellEnd"/>
      <w:r w:rsidRPr="008D563F">
        <w:rPr>
          <w:rFonts w:ascii="Times New Roman" w:eastAsia="Times New Roman" w:hAnsi="Times New Roman" w:cs="Times New Roman"/>
          <w:sz w:val="24"/>
          <w:szCs w:val="24"/>
          <w:lang w:val="en-US"/>
        </w:rPr>
        <w:t xml:space="preserve">, S., Szabo, K., et al. (2025). Benefits and challenges of the integration of haptics-enhanced virtual reality training within dental curricula. Journal of Dental Education. </w:t>
      </w:r>
      <w:hyperlink r:id="rId24" w:history="1">
        <w:r w:rsidRPr="008D563F">
          <w:rPr>
            <w:rStyle w:val="Hyperlink"/>
            <w:rFonts w:ascii="Times New Roman" w:eastAsia="Times New Roman" w:hAnsi="Times New Roman" w:cs="Times New Roman"/>
            <w:sz w:val="24"/>
            <w:szCs w:val="24"/>
            <w:lang w:val="en-US"/>
          </w:rPr>
          <w:t>https://doi.org/10.1002/jdd.13800</w:t>
        </w:r>
      </w:hyperlink>
    </w:p>
    <w:p w14:paraId="179FB4D8" w14:textId="27F349E4" w:rsidR="00164222" w:rsidRPr="008D563F" w:rsidRDefault="00164222"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Gal, G. B., Weiss, E. I., Gafni, N., &amp; </w:t>
      </w:r>
      <w:proofErr w:type="spellStart"/>
      <w:r w:rsidRPr="008D563F">
        <w:rPr>
          <w:rFonts w:ascii="Times New Roman" w:eastAsia="Times New Roman" w:hAnsi="Times New Roman" w:cs="Times New Roman"/>
          <w:sz w:val="24"/>
          <w:szCs w:val="24"/>
          <w:lang w:val="en-US"/>
        </w:rPr>
        <w:t>Ziv</w:t>
      </w:r>
      <w:proofErr w:type="spellEnd"/>
      <w:r w:rsidRPr="008D563F">
        <w:rPr>
          <w:rFonts w:ascii="Times New Roman" w:eastAsia="Times New Roman" w:hAnsi="Times New Roman" w:cs="Times New Roman"/>
          <w:sz w:val="24"/>
          <w:szCs w:val="24"/>
          <w:lang w:val="en-US"/>
        </w:rPr>
        <w:t xml:space="preserve">, A. (2011). Preliminary assessment of faculty and student perception of a haptic virtual reality simulator for training dental manual dexterity. Journal of Dental Education, 75(4), 496–504. </w:t>
      </w:r>
      <w:hyperlink r:id="rId25" w:history="1">
        <w:r w:rsidRPr="008D563F">
          <w:rPr>
            <w:rStyle w:val="Hyperlink"/>
            <w:rFonts w:ascii="Times New Roman" w:eastAsia="Times New Roman" w:hAnsi="Times New Roman" w:cs="Times New Roman"/>
            <w:sz w:val="24"/>
            <w:szCs w:val="24"/>
            <w:lang w:val="en-US"/>
          </w:rPr>
          <w:t>https://doi.org/10.1002/j.0022-0337.2011.75.4.tb05073.x</w:t>
        </w:r>
      </w:hyperlink>
    </w:p>
    <w:p w14:paraId="0452FD7F" w14:textId="732EF9F0" w:rsidR="00164222" w:rsidRDefault="00164222" w:rsidP="000F0B59">
      <w:pPr>
        <w:pStyle w:val="NormalWeb"/>
        <w:ind w:left="360"/>
        <w:jc w:val="both"/>
      </w:pPr>
      <w:r w:rsidRPr="00164222">
        <w:t xml:space="preserve">Hashem, D., Farag, A., </w:t>
      </w:r>
      <w:proofErr w:type="spellStart"/>
      <w:r w:rsidRPr="00164222">
        <w:t>Algarni</w:t>
      </w:r>
      <w:proofErr w:type="spellEnd"/>
      <w:r w:rsidRPr="00164222">
        <w:t xml:space="preserve">, A. A., Mubarak, R. Z., Hassan, N. N., </w:t>
      </w:r>
      <w:proofErr w:type="spellStart"/>
      <w:r w:rsidRPr="00164222">
        <w:t>Alqussier</w:t>
      </w:r>
      <w:proofErr w:type="spellEnd"/>
      <w:r w:rsidRPr="00164222">
        <w:t xml:space="preserve">, A., &amp; Saleh, S. A. (2025). Integrating haptic simulation in dentistry: Faculty insights and future directions. Frontiers in Oral Health, 6, 1592095. </w:t>
      </w:r>
      <w:hyperlink r:id="rId26" w:history="1">
        <w:r w:rsidRPr="00081DB7">
          <w:rPr>
            <w:rStyle w:val="Hyperlink"/>
          </w:rPr>
          <w:t>https://doi.org/10.3389/froh.2025.1592095</w:t>
        </w:r>
      </w:hyperlink>
    </w:p>
    <w:p w14:paraId="49F7A9E3" w14:textId="35A8B4ED" w:rsidR="00164222" w:rsidRDefault="00164222" w:rsidP="000F0B59">
      <w:pPr>
        <w:pStyle w:val="NormalWeb"/>
        <w:ind w:left="360"/>
        <w:jc w:val="both"/>
      </w:pPr>
      <w:r w:rsidRPr="00164222">
        <w:t xml:space="preserve">Hattie, J., &amp; Timperley, H. (2007). The power of feedback. Review of Educational Research, 77(1), 81–112. </w:t>
      </w:r>
      <w:hyperlink r:id="rId27" w:history="1">
        <w:r w:rsidRPr="00081DB7">
          <w:rPr>
            <w:rStyle w:val="Hyperlink"/>
          </w:rPr>
          <w:t>https://doi.org/10.3102/003465430298487</w:t>
        </w:r>
      </w:hyperlink>
    </w:p>
    <w:p w14:paraId="2CD9F524" w14:textId="37489370" w:rsidR="00164222" w:rsidRPr="008D563F" w:rsidRDefault="00164222"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lastRenderedPageBreak/>
        <w:t>Heidaridarani</w:t>
      </w:r>
      <w:proofErr w:type="spellEnd"/>
      <w:r w:rsidRPr="008D563F">
        <w:rPr>
          <w:rFonts w:ascii="Times New Roman" w:eastAsia="Times New Roman" w:hAnsi="Times New Roman" w:cs="Times New Roman"/>
          <w:sz w:val="24"/>
          <w:szCs w:val="24"/>
          <w:lang w:val="en-US"/>
        </w:rPr>
        <w:t xml:space="preserve">, M. M., </w:t>
      </w:r>
      <w:proofErr w:type="spellStart"/>
      <w:r w:rsidRPr="008D563F">
        <w:rPr>
          <w:rFonts w:ascii="Times New Roman" w:eastAsia="Times New Roman" w:hAnsi="Times New Roman" w:cs="Times New Roman"/>
          <w:sz w:val="24"/>
          <w:szCs w:val="24"/>
          <w:lang w:val="en-US"/>
        </w:rPr>
        <w:t>Farzaneh</w:t>
      </w:r>
      <w:proofErr w:type="spellEnd"/>
      <w:r w:rsidRPr="008D563F">
        <w:rPr>
          <w:rFonts w:ascii="Times New Roman" w:eastAsia="Times New Roman" w:hAnsi="Times New Roman" w:cs="Times New Roman"/>
          <w:sz w:val="24"/>
          <w:szCs w:val="24"/>
          <w:lang w:val="en-US"/>
        </w:rPr>
        <w:t xml:space="preserve">, F., </w:t>
      </w:r>
      <w:proofErr w:type="spellStart"/>
      <w:r w:rsidRPr="008D563F">
        <w:rPr>
          <w:rFonts w:ascii="Times New Roman" w:eastAsia="Times New Roman" w:hAnsi="Times New Roman" w:cs="Times New Roman"/>
          <w:sz w:val="24"/>
          <w:szCs w:val="24"/>
          <w:lang w:val="en-US"/>
        </w:rPr>
        <w:t>Rezvani</w:t>
      </w:r>
      <w:proofErr w:type="spellEnd"/>
      <w:r w:rsidRPr="008D563F">
        <w:rPr>
          <w:rFonts w:ascii="Times New Roman" w:eastAsia="Times New Roman" w:hAnsi="Times New Roman" w:cs="Times New Roman"/>
          <w:sz w:val="24"/>
          <w:szCs w:val="24"/>
          <w:lang w:val="en-US"/>
        </w:rPr>
        <w:t xml:space="preserve">, G., </w:t>
      </w:r>
      <w:proofErr w:type="spellStart"/>
      <w:r w:rsidRPr="008D563F">
        <w:rPr>
          <w:rFonts w:ascii="Times New Roman" w:eastAsia="Times New Roman" w:hAnsi="Times New Roman" w:cs="Times New Roman"/>
          <w:sz w:val="24"/>
          <w:szCs w:val="24"/>
          <w:lang w:val="en-US"/>
        </w:rPr>
        <w:t>Ahmady</w:t>
      </w:r>
      <w:proofErr w:type="spellEnd"/>
      <w:r w:rsidRPr="008D563F">
        <w:rPr>
          <w:rFonts w:ascii="Times New Roman" w:eastAsia="Times New Roman" w:hAnsi="Times New Roman" w:cs="Times New Roman"/>
          <w:sz w:val="24"/>
          <w:szCs w:val="24"/>
          <w:lang w:val="en-US"/>
        </w:rPr>
        <w:t xml:space="preserve">, S., </w:t>
      </w:r>
      <w:proofErr w:type="spellStart"/>
      <w:r w:rsidRPr="008D563F">
        <w:rPr>
          <w:rFonts w:ascii="Times New Roman" w:eastAsia="Times New Roman" w:hAnsi="Times New Roman" w:cs="Times New Roman"/>
          <w:sz w:val="24"/>
          <w:szCs w:val="24"/>
          <w:lang w:val="en-US"/>
        </w:rPr>
        <w:t>Dehestani</w:t>
      </w:r>
      <w:proofErr w:type="spellEnd"/>
      <w:r w:rsidRPr="008D563F">
        <w:rPr>
          <w:rFonts w:ascii="Times New Roman" w:eastAsia="Times New Roman" w:hAnsi="Times New Roman" w:cs="Times New Roman"/>
          <w:sz w:val="24"/>
          <w:szCs w:val="24"/>
          <w:lang w:val="en-US"/>
        </w:rPr>
        <w:t xml:space="preserve"> </w:t>
      </w:r>
      <w:proofErr w:type="spellStart"/>
      <w:r w:rsidRPr="008D563F">
        <w:rPr>
          <w:rFonts w:ascii="Times New Roman" w:eastAsia="Times New Roman" w:hAnsi="Times New Roman" w:cs="Times New Roman"/>
          <w:sz w:val="24"/>
          <w:szCs w:val="24"/>
          <w:lang w:val="en-US"/>
        </w:rPr>
        <w:t>Ardakani</w:t>
      </w:r>
      <w:proofErr w:type="spellEnd"/>
      <w:r w:rsidRPr="008D563F">
        <w:rPr>
          <w:rFonts w:ascii="Times New Roman" w:eastAsia="Times New Roman" w:hAnsi="Times New Roman" w:cs="Times New Roman"/>
          <w:sz w:val="24"/>
          <w:szCs w:val="24"/>
          <w:lang w:val="en-US"/>
        </w:rPr>
        <w:t xml:space="preserve">, F., &amp; </w:t>
      </w:r>
      <w:proofErr w:type="spellStart"/>
      <w:r w:rsidRPr="008D563F">
        <w:rPr>
          <w:rFonts w:ascii="Times New Roman" w:eastAsia="Times New Roman" w:hAnsi="Times New Roman" w:cs="Times New Roman"/>
          <w:sz w:val="24"/>
          <w:szCs w:val="24"/>
          <w:lang w:val="en-US"/>
        </w:rPr>
        <w:t>Mahrooz</w:t>
      </w:r>
      <w:proofErr w:type="spellEnd"/>
      <w:r w:rsidRPr="008D563F">
        <w:rPr>
          <w:rFonts w:ascii="Times New Roman" w:eastAsia="Times New Roman" w:hAnsi="Times New Roman" w:cs="Times New Roman"/>
          <w:sz w:val="24"/>
          <w:szCs w:val="24"/>
          <w:lang w:val="en-US"/>
        </w:rPr>
        <w:t xml:space="preserve">, M. H. (2025). Effect of a virtual reality simulator for preclinical instruction of operative dentistry on level of competence of undergraduate dental students. BMC Medical Education </w:t>
      </w:r>
      <w:hyperlink r:id="rId28" w:history="1">
        <w:r w:rsidRPr="008D563F">
          <w:rPr>
            <w:rStyle w:val="Hyperlink"/>
            <w:rFonts w:ascii="Times New Roman" w:eastAsia="Times New Roman" w:hAnsi="Times New Roman" w:cs="Times New Roman"/>
            <w:sz w:val="24"/>
            <w:szCs w:val="24"/>
            <w:lang w:val="en-US"/>
          </w:rPr>
          <w:t>https://doi.org/10.1186/s12909-025-08045-2</w:t>
        </w:r>
      </w:hyperlink>
    </w:p>
    <w:p w14:paraId="0F6D6444" w14:textId="6C3A1F14" w:rsidR="00164222" w:rsidRDefault="00164222" w:rsidP="000F0B59">
      <w:pPr>
        <w:pStyle w:val="NormalWeb"/>
        <w:ind w:left="360"/>
        <w:jc w:val="both"/>
      </w:pPr>
      <w:proofErr w:type="spellStart"/>
      <w:r w:rsidRPr="00164222">
        <w:t>Kaluschke</w:t>
      </w:r>
      <w:proofErr w:type="spellEnd"/>
      <w:r w:rsidRPr="00164222">
        <w:t xml:space="preserve">, M., Yin, M. S., </w:t>
      </w:r>
      <w:proofErr w:type="spellStart"/>
      <w:r w:rsidRPr="00164222">
        <w:t>Haddawy</w:t>
      </w:r>
      <w:proofErr w:type="spellEnd"/>
      <w:r w:rsidRPr="00164222">
        <w:t xml:space="preserve">, P., </w:t>
      </w:r>
      <w:proofErr w:type="spellStart"/>
      <w:r w:rsidRPr="00164222">
        <w:t>Suebnukarn</w:t>
      </w:r>
      <w:proofErr w:type="spellEnd"/>
      <w:r w:rsidRPr="00164222">
        <w:t xml:space="preserve">, S., &amp; </w:t>
      </w:r>
      <w:proofErr w:type="spellStart"/>
      <w:r w:rsidRPr="00164222">
        <w:t>Zachmann</w:t>
      </w:r>
      <w:proofErr w:type="spellEnd"/>
      <w:r w:rsidRPr="00164222">
        <w:t xml:space="preserve">, G. (2023). The effect of 3D stereopsis and hand-tool alignment on learning effectiveness and skill transfer of a VR-based simulator for dental training. PLOS ONE, 18, e0291389. </w:t>
      </w:r>
      <w:hyperlink r:id="rId29" w:history="1">
        <w:r w:rsidRPr="00081DB7">
          <w:rPr>
            <w:rStyle w:val="Hyperlink"/>
          </w:rPr>
          <w:t>https://doi.org/10.1371/journal.pone.0291389</w:t>
        </w:r>
      </w:hyperlink>
    </w:p>
    <w:p w14:paraId="7E52D60F" w14:textId="41F6AD50" w:rsidR="00164222" w:rsidRPr="008D563F" w:rsidRDefault="00164222"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Li, Y., Ye, H., Wu, S., Zhao, X., Liu, Y., </w:t>
      </w:r>
      <w:proofErr w:type="spellStart"/>
      <w:r w:rsidRPr="008D563F">
        <w:rPr>
          <w:rFonts w:ascii="Times New Roman" w:eastAsia="Times New Roman" w:hAnsi="Times New Roman" w:cs="Times New Roman"/>
          <w:sz w:val="24"/>
          <w:szCs w:val="24"/>
          <w:lang w:val="en-US"/>
        </w:rPr>
        <w:t>Lv</w:t>
      </w:r>
      <w:proofErr w:type="spellEnd"/>
      <w:r w:rsidRPr="008D563F">
        <w:rPr>
          <w:rFonts w:ascii="Times New Roman" w:eastAsia="Times New Roman" w:hAnsi="Times New Roman" w:cs="Times New Roman"/>
          <w:sz w:val="24"/>
          <w:szCs w:val="24"/>
          <w:lang w:val="en-US"/>
        </w:rPr>
        <w:t xml:space="preserve">, L., Zhang, P., Zhang, X., &amp; Zhou, Y. (2022). Mixed reality and haptic–based dental simulator for tooth preparation: Research, development, and preliminary evaluation. JMIR Serious Games, 10(1), e30653 </w:t>
      </w:r>
      <w:hyperlink r:id="rId30" w:history="1">
        <w:r w:rsidRPr="008D563F">
          <w:rPr>
            <w:rStyle w:val="Hyperlink"/>
            <w:rFonts w:ascii="Times New Roman" w:eastAsia="Times New Roman" w:hAnsi="Times New Roman" w:cs="Times New Roman"/>
            <w:sz w:val="24"/>
            <w:szCs w:val="24"/>
            <w:lang w:val="en-US"/>
          </w:rPr>
          <w:t>https://doi.org/10.2196/30653</w:t>
        </w:r>
      </w:hyperlink>
    </w:p>
    <w:p w14:paraId="4F0D47A4" w14:textId="0119DB96" w:rsidR="00164222" w:rsidRDefault="00164222" w:rsidP="000F0B59">
      <w:pPr>
        <w:pStyle w:val="NormalWeb"/>
        <w:ind w:left="360"/>
        <w:jc w:val="both"/>
      </w:pPr>
      <w:r w:rsidRPr="00164222">
        <w:t xml:space="preserve">Li, Y., Ye, H., Ye, F., Liu, Y., </w:t>
      </w:r>
      <w:proofErr w:type="spellStart"/>
      <w:r w:rsidRPr="00164222">
        <w:t>Lv</w:t>
      </w:r>
      <w:proofErr w:type="spellEnd"/>
      <w:r w:rsidRPr="00164222">
        <w:t xml:space="preserve">, L., Zhang, P., Zhang, X., &amp; Zhou, Y. (2021). The current situation and future prospects of simulators in dental education. Journal of Medical Internet Research, 23(4) </w:t>
      </w:r>
      <w:hyperlink r:id="rId31" w:history="1">
        <w:r w:rsidRPr="00081DB7">
          <w:rPr>
            <w:rStyle w:val="Hyperlink"/>
          </w:rPr>
          <w:t>https://doi.org/10.2196/23635</w:t>
        </w:r>
      </w:hyperlink>
    </w:p>
    <w:p w14:paraId="4D1DF472" w14:textId="1B87E38B" w:rsidR="00164222" w:rsidRDefault="00164222" w:rsidP="000F0B59">
      <w:pPr>
        <w:pStyle w:val="NormalWeb"/>
        <w:ind w:left="360"/>
        <w:jc w:val="both"/>
      </w:pPr>
      <w:proofErr w:type="spellStart"/>
      <w:r w:rsidRPr="00164222">
        <w:t>Matoug-Elwerfelli</w:t>
      </w:r>
      <w:proofErr w:type="spellEnd"/>
      <w:r w:rsidRPr="00164222">
        <w:t>, M., Al-</w:t>
      </w:r>
      <w:proofErr w:type="spellStart"/>
      <w:r w:rsidRPr="00164222">
        <w:t>Khabuli</w:t>
      </w:r>
      <w:proofErr w:type="spellEnd"/>
      <w:r w:rsidRPr="00164222">
        <w:t xml:space="preserve">, J., </w:t>
      </w:r>
      <w:proofErr w:type="spellStart"/>
      <w:r w:rsidRPr="00164222">
        <w:t>Alhobeira</w:t>
      </w:r>
      <w:proofErr w:type="spellEnd"/>
      <w:r w:rsidRPr="00164222">
        <w:t xml:space="preserve">, H., </w:t>
      </w:r>
      <w:proofErr w:type="spellStart"/>
      <w:r w:rsidRPr="00164222">
        <w:t>Dass</w:t>
      </w:r>
      <w:proofErr w:type="spellEnd"/>
      <w:r w:rsidRPr="00164222">
        <w:t xml:space="preserve">, H., Abdou, A., &amp; Ali, K. (2025). Integration of haptic virtual reality simulators in undergraduate dental curricula: A survey-based study in Gulf Cooperation Council countries. PLOS ONE </w:t>
      </w:r>
      <w:hyperlink r:id="rId32" w:history="1">
        <w:r w:rsidRPr="00081DB7">
          <w:rPr>
            <w:rStyle w:val="Hyperlink"/>
          </w:rPr>
          <w:t>https://doi.org/10.1371/journal.pone.0322810</w:t>
        </w:r>
      </w:hyperlink>
    </w:p>
    <w:p w14:paraId="480A1533" w14:textId="657B95A0" w:rsidR="00164222" w:rsidRDefault="00164222" w:rsidP="000F0B59">
      <w:pPr>
        <w:pStyle w:val="NormalWeb"/>
        <w:ind w:left="360"/>
        <w:jc w:val="both"/>
      </w:pPr>
      <w:proofErr w:type="spellStart"/>
      <w:r w:rsidRPr="00164222">
        <w:t>McGaghie</w:t>
      </w:r>
      <w:proofErr w:type="spellEnd"/>
      <w:r w:rsidRPr="00164222">
        <w:t xml:space="preserve">, W. C., Issenberg, S. B., </w:t>
      </w:r>
      <w:proofErr w:type="spellStart"/>
      <w:r w:rsidRPr="00164222">
        <w:t>Barsuk</w:t>
      </w:r>
      <w:proofErr w:type="spellEnd"/>
      <w:r w:rsidRPr="00164222">
        <w:t xml:space="preserve">, J. H., &amp; Wayne, D. B. (2014). A critical review of simulation-based mastery learning with translational outcomes. Medical Education, 48(4), 375–385. </w:t>
      </w:r>
      <w:hyperlink r:id="rId33" w:history="1">
        <w:r w:rsidRPr="00081DB7">
          <w:rPr>
            <w:rStyle w:val="Hyperlink"/>
          </w:rPr>
          <w:t>https://doi.org/10.1111/medu.12391</w:t>
        </w:r>
      </w:hyperlink>
    </w:p>
    <w:p w14:paraId="55A7433B" w14:textId="0144C42B" w:rsidR="00164222" w:rsidRPr="008D563F" w:rsidRDefault="00164222"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Mirghani</w:t>
      </w:r>
      <w:proofErr w:type="spellEnd"/>
      <w:r w:rsidRPr="008D563F">
        <w:rPr>
          <w:rFonts w:ascii="Times New Roman" w:eastAsia="Times New Roman" w:hAnsi="Times New Roman" w:cs="Times New Roman"/>
          <w:sz w:val="24"/>
          <w:szCs w:val="24"/>
          <w:lang w:val="en-US"/>
        </w:rPr>
        <w:t xml:space="preserve">, I., Mushtaq, F., </w:t>
      </w:r>
      <w:proofErr w:type="spellStart"/>
      <w:r w:rsidRPr="008D563F">
        <w:rPr>
          <w:rFonts w:ascii="Times New Roman" w:eastAsia="Times New Roman" w:hAnsi="Times New Roman" w:cs="Times New Roman"/>
          <w:sz w:val="24"/>
          <w:szCs w:val="24"/>
          <w:lang w:val="en-US"/>
        </w:rPr>
        <w:t>Allsop</w:t>
      </w:r>
      <w:proofErr w:type="spellEnd"/>
      <w:r w:rsidRPr="008D563F">
        <w:rPr>
          <w:rFonts w:ascii="Times New Roman" w:eastAsia="Times New Roman" w:hAnsi="Times New Roman" w:cs="Times New Roman"/>
          <w:sz w:val="24"/>
          <w:szCs w:val="24"/>
          <w:lang w:val="en-US"/>
        </w:rPr>
        <w:t xml:space="preserve">, M. J., Al-Saud, L. M., </w:t>
      </w:r>
      <w:proofErr w:type="spellStart"/>
      <w:r w:rsidRPr="008D563F">
        <w:rPr>
          <w:rFonts w:ascii="Times New Roman" w:eastAsia="Times New Roman" w:hAnsi="Times New Roman" w:cs="Times New Roman"/>
          <w:sz w:val="24"/>
          <w:szCs w:val="24"/>
          <w:lang w:val="en-US"/>
        </w:rPr>
        <w:t>Tickhill</w:t>
      </w:r>
      <w:proofErr w:type="spellEnd"/>
      <w:r w:rsidRPr="008D563F">
        <w:rPr>
          <w:rFonts w:ascii="Times New Roman" w:eastAsia="Times New Roman" w:hAnsi="Times New Roman" w:cs="Times New Roman"/>
          <w:sz w:val="24"/>
          <w:szCs w:val="24"/>
          <w:lang w:val="en-US"/>
        </w:rPr>
        <w:t xml:space="preserve">, N., Potter, C., Keeling, A., Mon-Williams, M. A., &amp; </w:t>
      </w:r>
      <w:proofErr w:type="spellStart"/>
      <w:r w:rsidRPr="008D563F">
        <w:rPr>
          <w:rFonts w:ascii="Times New Roman" w:eastAsia="Times New Roman" w:hAnsi="Times New Roman" w:cs="Times New Roman"/>
          <w:sz w:val="24"/>
          <w:szCs w:val="24"/>
          <w:lang w:val="en-US"/>
        </w:rPr>
        <w:t>Manogue</w:t>
      </w:r>
      <w:proofErr w:type="spellEnd"/>
      <w:r w:rsidRPr="008D563F">
        <w:rPr>
          <w:rFonts w:ascii="Times New Roman" w:eastAsia="Times New Roman" w:hAnsi="Times New Roman" w:cs="Times New Roman"/>
          <w:sz w:val="24"/>
          <w:szCs w:val="24"/>
          <w:lang w:val="en-US"/>
        </w:rPr>
        <w:t xml:space="preserve">, M. (2018). Capturing differences in dental training using a virtual reality simulator. European Journal of Dental Education, 22(1), 67–71. </w:t>
      </w:r>
      <w:hyperlink r:id="rId34" w:history="1">
        <w:r w:rsidRPr="008D563F">
          <w:rPr>
            <w:rStyle w:val="Hyperlink"/>
            <w:rFonts w:ascii="Times New Roman" w:eastAsia="Times New Roman" w:hAnsi="Times New Roman" w:cs="Times New Roman"/>
            <w:sz w:val="24"/>
            <w:szCs w:val="24"/>
            <w:lang w:val="en-US"/>
          </w:rPr>
          <w:t>https://doi.org/10.1111/eje.12245</w:t>
        </w:r>
      </w:hyperlink>
    </w:p>
    <w:p w14:paraId="686F4921" w14:textId="17D4132A" w:rsidR="00164222" w:rsidRDefault="00164222" w:rsidP="000F0B59">
      <w:pPr>
        <w:pStyle w:val="NormalWeb"/>
        <w:ind w:left="360"/>
        <w:jc w:val="both"/>
      </w:pPr>
      <w:r w:rsidRPr="00164222">
        <w:t xml:space="preserve">Moussa, R., </w:t>
      </w:r>
      <w:proofErr w:type="spellStart"/>
      <w:r w:rsidRPr="00164222">
        <w:t>Alghazaly</w:t>
      </w:r>
      <w:proofErr w:type="spellEnd"/>
      <w:r w:rsidRPr="00164222">
        <w:t xml:space="preserve">, A., </w:t>
      </w:r>
      <w:proofErr w:type="spellStart"/>
      <w:r w:rsidRPr="00164222">
        <w:t>Althagafi</w:t>
      </w:r>
      <w:proofErr w:type="spellEnd"/>
      <w:r w:rsidRPr="00164222">
        <w:t xml:space="preserve">, N., </w:t>
      </w:r>
      <w:proofErr w:type="spellStart"/>
      <w:r w:rsidRPr="00164222">
        <w:t>Eshky</w:t>
      </w:r>
      <w:proofErr w:type="spellEnd"/>
      <w:r w:rsidRPr="00164222">
        <w:t xml:space="preserve">, R., &amp; </w:t>
      </w:r>
      <w:proofErr w:type="spellStart"/>
      <w:r w:rsidRPr="00164222">
        <w:t>Borzangy</w:t>
      </w:r>
      <w:proofErr w:type="spellEnd"/>
      <w:r w:rsidRPr="00164222">
        <w:t xml:space="preserve">, S. (2022). Effectiveness of virtual reality and interactive simulators on dental education outcomes: Systematic review. European Journal of Dentistry, 16(1), 14–31. </w:t>
      </w:r>
      <w:hyperlink r:id="rId35" w:history="1">
        <w:r w:rsidRPr="00081DB7">
          <w:rPr>
            <w:rStyle w:val="Hyperlink"/>
          </w:rPr>
          <w:t>https://doi.org/10.1055/s-0041-1731837</w:t>
        </w:r>
      </w:hyperlink>
    </w:p>
    <w:p w14:paraId="038D4538" w14:textId="449FEF8F" w:rsidR="00164222" w:rsidRDefault="00164222" w:rsidP="000F0B59">
      <w:pPr>
        <w:pStyle w:val="NormalWeb"/>
        <w:ind w:left="360"/>
        <w:jc w:val="both"/>
      </w:pPr>
      <w:proofErr w:type="spellStart"/>
      <w:r w:rsidRPr="00164222">
        <w:t>Murbay</w:t>
      </w:r>
      <w:proofErr w:type="spellEnd"/>
      <w:r w:rsidRPr="00164222">
        <w:t xml:space="preserve">, S., </w:t>
      </w:r>
      <w:proofErr w:type="spellStart"/>
      <w:r w:rsidRPr="00164222">
        <w:t>Neelakantan</w:t>
      </w:r>
      <w:proofErr w:type="spellEnd"/>
      <w:r w:rsidRPr="00164222">
        <w:t xml:space="preserve">, P., Chang, J. W. W., &amp; Yeung, S. (2020). Evaluation of the introduction of a dental virtual simulator on the performance of undergraduate dental students in the pre-clinical operative dentistry course. European Journal of Dental Education, 24(1), 5–16. </w:t>
      </w:r>
      <w:hyperlink r:id="rId36" w:history="1">
        <w:r w:rsidRPr="00081DB7">
          <w:rPr>
            <w:rStyle w:val="Hyperlink"/>
          </w:rPr>
          <w:t>https://doi.org/10.1111/eje.12453</w:t>
        </w:r>
      </w:hyperlink>
    </w:p>
    <w:p w14:paraId="73C33094" w14:textId="39A9E633" w:rsidR="00164222" w:rsidRDefault="00164222" w:rsidP="000F0B59">
      <w:pPr>
        <w:pStyle w:val="NormalWeb"/>
        <w:ind w:left="360"/>
        <w:jc w:val="both"/>
      </w:pPr>
      <w:r w:rsidRPr="00164222">
        <w:t xml:space="preserve">Patil, S., </w:t>
      </w:r>
      <w:proofErr w:type="spellStart"/>
      <w:r w:rsidRPr="00164222">
        <w:t>Bhandi</w:t>
      </w:r>
      <w:proofErr w:type="spellEnd"/>
      <w:r w:rsidRPr="00164222">
        <w:t xml:space="preserve">, S., Awan, K. H., Licari, F. W., Di Blasio, M., </w:t>
      </w:r>
      <w:proofErr w:type="spellStart"/>
      <w:r w:rsidRPr="00164222">
        <w:t>Ronsivalle</w:t>
      </w:r>
      <w:proofErr w:type="spellEnd"/>
      <w:r w:rsidRPr="00164222">
        <w:t xml:space="preserve">, V., </w:t>
      </w:r>
      <w:proofErr w:type="spellStart"/>
      <w:r w:rsidRPr="00164222">
        <w:t>Cicciù</w:t>
      </w:r>
      <w:proofErr w:type="spellEnd"/>
      <w:r w:rsidRPr="00164222">
        <w:t xml:space="preserve">, M., &amp; </w:t>
      </w:r>
      <w:proofErr w:type="spellStart"/>
      <w:r w:rsidRPr="00164222">
        <w:t>Minervini</w:t>
      </w:r>
      <w:proofErr w:type="spellEnd"/>
      <w:r w:rsidRPr="00164222">
        <w:t xml:space="preserve">, G. (2023). Effectiveness of haptic feedback devices in preclinical training of dental students—A systematic review. BMC Oral Health, 23, 739. </w:t>
      </w:r>
      <w:hyperlink r:id="rId37" w:history="1">
        <w:r w:rsidRPr="00081DB7">
          <w:rPr>
            <w:rStyle w:val="Hyperlink"/>
          </w:rPr>
          <w:t>https://doi.org/10.1186/s12903-023-03410-3</w:t>
        </w:r>
      </w:hyperlink>
    </w:p>
    <w:p w14:paraId="16BF865D" w14:textId="044E6710" w:rsidR="00164222" w:rsidRDefault="00164222" w:rsidP="000F0B59">
      <w:pPr>
        <w:pStyle w:val="NormalWeb"/>
        <w:ind w:left="360"/>
        <w:jc w:val="both"/>
      </w:pPr>
      <w:r w:rsidRPr="00164222">
        <w:t xml:space="preserve">Ramaswamy, V., Wolcott, M. D., Mason, M. R., </w:t>
      </w:r>
      <w:proofErr w:type="spellStart"/>
      <w:r w:rsidRPr="00164222">
        <w:t>Quinonez</w:t>
      </w:r>
      <w:proofErr w:type="spellEnd"/>
      <w:r w:rsidRPr="00164222">
        <w:t xml:space="preserve">, R. B., De Rossi, S. S., &amp; Broome, A. M. (2021). </w:t>
      </w:r>
      <w:proofErr w:type="spellStart"/>
      <w:r w:rsidRPr="00164222">
        <w:t>Entrustable</w:t>
      </w:r>
      <w:proofErr w:type="spellEnd"/>
      <w:r w:rsidRPr="00164222">
        <w:t xml:space="preserve"> professional activities framework for assessment in </w:t>
      </w:r>
      <w:r w:rsidRPr="00164222">
        <w:lastRenderedPageBreak/>
        <w:t xml:space="preserve">predoctoral dental education, developed using a modified Delphi process. Journal of Dental Education, 85(8), 1349–1361. </w:t>
      </w:r>
      <w:hyperlink r:id="rId38" w:history="1">
        <w:r w:rsidRPr="00081DB7">
          <w:rPr>
            <w:rStyle w:val="Hyperlink"/>
          </w:rPr>
          <w:t>https://doi.org/10.1002/jdd.12620</w:t>
        </w:r>
      </w:hyperlink>
    </w:p>
    <w:p w14:paraId="093D8AA7" w14:textId="230F8B73" w:rsidR="00164222" w:rsidRDefault="00164222" w:rsidP="000F0B59">
      <w:pPr>
        <w:pStyle w:val="NormalWeb"/>
        <w:ind w:left="360"/>
        <w:jc w:val="both"/>
      </w:pPr>
      <w:proofErr w:type="spellStart"/>
      <w:r w:rsidRPr="00164222">
        <w:t>Reymus</w:t>
      </w:r>
      <w:proofErr w:type="spellEnd"/>
      <w:r w:rsidRPr="00164222">
        <w:t xml:space="preserve">, M., Liebermann, A., &amp; </w:t>
      </w:r>
      <w:proofErr w:type="spellStart"/>
      <w:r w:rsidRPr="00164222">
        <w:t>Diegritz</w:t>
      </w:r>
      <w:proofErr w:type="spellEnd"/>
      <w:r w:rsidRPr="00164222">
        <w:t xml:space="preserve">, C. (2020). Virtual reality: An effective tool for teaching root canal anatomy to undergraduate dental students—A preliminary study. International Endodontic Journal, 53(11), 1581–1587. </w:t>
      </w:r>
      <w:hyperlink r:id="rId39" w:history="1">
        <w:r w:rsidRPr="00081DB7">
          <w:rPr>
            <w:rStyle w:val="Hyperlink"/>
          </w:rPr>
          <w:t>https://doi.org/10.1111/iej.13380</w:t>
        </w:r>
      </w:hyperlink>
    </w:p>
    <w:p w14:paraId="021E7356" w14:textId="3D58495F" w:rsidR="00164222" w:rsidRDefault="00164222" w:rsidP="000F0B59">
      <w:pPr>
        <w:pStyle w:val="NormalWeb"/>
        <w:ind w:left="360"/>
        <w:jc w:val="both"/>
      </w:pPr>
      <w:r w:rsidRPr="00164222">
        <w:t xml:space="preserve">Rodrigues, P., </w:t>
      </w:r>
      <w:proofErr w:type="spellStart"/>
      <w:r w:rsidRPr="00164222">
        <w:t>Nicolau</w:t>
      </w:r>
      <w:proofErr w:type="spellEnd"/>
      <w:r w:rsidRPr="00164222">
        <w:t xml:space="preserve">, F., Norte, M., </w:t>
      </w:r>
      <w:proofErr w:type="spellStart"/>
      <w:r w:rsidRPr="00164222">
        <w:t>Zorzal</w:t>
      </w:r>
      <w:proofErr w:type="spellEnd"/>
      <w:r w:rsidRPr="00164222">
        <w:t xml:space="preserve">, E., Botelho, J., Machado, V., </w:t>
      </w:r>
      <w:proofErr w:type="spellStart"/>
      <w:r w:rsidRPr="00164222">
        <w:t>Proença</w:t>
      </w:r>
      <w:proofErr w:type="spellEnd"/>
      <w:r w:rsidRPr="00164222">
        <w:t xml:space="preserve">, L., Alves, R., </w:t>
      </w:r>
      <w:proofErr w:type="spellStart"/>
      <w:r w:rsidRPr="00164222">
        <w:t>Zagalo</w:t>
      </w:r>
      <w:proofErr w:type="spellEnd"/>
      <w:r w:rsidRPr="00164222">
        <w:t xml:space="preserve">, C., Lopes, D. S., &amp; Mendes, J. J. (2023). Preclinical dental </w:t>
      </w:r>
      <w:proofErr w:type="gramStart"/>
      <w:r w:rsidRPr="00164222">
        <w:t>students</w:t>
      </w:r>
      <w:proofErr w:type="gramEnd"/>
      <w:r w:rsidRPr="00164222">
        <w:t xml:space="preserve"> self-assessment of an improved operative dentistry virtual reality simulator with haptic feedback. Scientific Reports, 13(1), 2823. </w:t>
      </w:r>
      <w:hyperlink r:id="rId40" w:history="1">
        <w:r w:rsidRPr="00081DB7">
          <w:rPr>
            <w:rStyle w:val="Hyperlink"/>
          </w:rPr>
          <w:t>https://doi.org/10.1038/s41598-023-29537-5</w:t>
        </w:r>
      </w:hyperlink>
    </w:p>
    <w:p w14:paraId="199A3C3C" w14:textId="29940CB6" w:rsidR="00164222" w:rsidRDefault="00164222" w:rsidP="000F0B59">
      <w:pPr>
        <w:pStyle w:val="NormalWeb"/>
        <w:ind w:left="360"/>
        <w:jc w:val="both"/>
      </w:pPr>
      <w:r w:rsidRPr="00164222">
        <w:t xml:space="preserve">Sánchez-Herrera, G., Alfaro-Ochoa, F. J., </w:t>
      </w:r>
      <w:proofErr w:type="spellStart"/>
      <w:r w:rsidRPr="00164222">
        <w:t>Sayas</w:t>
      </w:r>
      <w:proofErr w:type="spellEnd"/>
      <w:r w:rsidRPr="00164222">
        <w:t>-Balaguer, E., Pérez-Leal, M., Palma-</w:t>
      </w:r>
      <w:proofErr w:type="spellStart"/>
      <w:r w:rsidRPr="00164222">
        <w:t>Carrió</w:t>
      </w:r>
      <w:proofErr w:type="spellEnd"/>
      <w:r w:rsidRPr="00164222">
        <w:t xml:space="preserve">, C., &amp; Flacco, N. (2025). Effect of prior haptic virtual reality simulation on preclinical endodontic access cavity preparation. Frontiers in Oral Health, 6, 1673147. </w:t>
      </w:r>
      <w:hyperlink r:id="rId41" w:history="1">
        <w:r w:rsidRPr="00081DB7">
          <w:rPr>
            <w:rStyle w:val="Hyperlink"/>
          </w:rPr>
          <w:t>https://doi.org/10.3389/froh.2025.1673147</w:t>
        </w:r>
      </w:hyperlink>
    </w:p>
    <w:p w14:paraId="5F9CCB17" w14:textId="3D9A93C4" w:rsidR="00164222" w:rsidRPr="008D563F" w:rsidRDefault="00164222" w:rsidP="000F0B59">
      <w:pPr>
        <w:spacing w:before="100" w:beforeAutospacing="1" w:after="100" w:afterAutospacing="1" w:line="240" w:lineRule="auto"/>
        <w:ind w:left="360"/>
        <w:jc w:val="both"/>
        <w:rPr>
          <w:rStyle w:val="author"/>
          <w:rFonts w:ascii="Times New Roman" w:eastAsia="Times New Roman" w:hAnsi="Times New Roman" w:cs="Times New Roman"/>
          <w:sz w:val="24"/>
          <w:szCs w:val="24"/>
          <w:lang w:val="en-US"/>
        </w:rPr>
      </w:pPr>
      <w:r w:rsidRPr="008D563F">
        <w:rPr>
          <w:rStyle w:val="author"/>
          <w:rFonts w:ascii="Times New Roman" w:eastAsia="Times New Roman" w:hAnsi="Times New Roman" w:cs="Times New Roman"/>
          <w:color w:val="1C1D1E"/>
          <w:sz w:val="24"/>
          <w:szCs w:val="24"/>
          <w:shd w:val="clear" w:color="auto" w:fill="FFFFFF"/>
          <w:lang w:val="en-US"/>
        </w:rPr>
        <w:t xml:space="preserve">Sánchez-Herrera, G., Alfaro-Ochoa, F. J., </w:t>
      </w:r>
      <w:proofErr w:type="spellStart"/>
      <w:r w:rsidRPr="008D563F">
        <w:rPr>
          <w:rStyle w:val="author"/>
          <w:rFonts w:ascii="Times New Roman" w:eastAsia="Times New Roman" w:hAnsi="Times New Roman" w:cs="Times New Roman"/>
          <w:color w:val="1C1D1E"/>
          <w:sz w:val="24"/>
          <w:szCs w:val="24"/>
          <w:shd w:val="clear" w:color="auto" w:fill="FFFFFF"/>
          <w:lang w:val="en-US"/>
        </w:rPr>
        <w:t>Sayas</w:t>
      </w:r>
      <w:proofErr w:type="spellEnd"/>
      <w:r w:rsidRPr="008D563F">
        <w:rPr>
          <w:rStyle w:val="author"/>
          <w:rFonts w:ascii="Times New Roman" w:eastAsia="Times New Roman" w:hAnsi="Times New Roman" w:cs="Times New Roman"/>
          <w:color w:val="1C1D1E"/>
          <w:sz w:val="24"/>
          <w:szCs w:val="24"/>
          <w:shd w:val="clear" w:color="auto" w:fill="FFFFFF"/>
          <w:lang w:val="en-US"/>
        </w:rPr>
        <w:t>-Balaguer, E., Pérez-Leal, M., Palma-</w:t>
      </w:r>
      <w:proofErr w:type="spellStart"/>
      <w:r w:rsidRPr="008D563F">
        <w:rPr>
          <w:rStyle w:val="author"/>
          <w:rFonts w:ascii="Times New Roman" w:eastAsia="Times New Roman" w:hAnsi="Times New Roman" w:cs="Times New Roman"/>
          <w:color w:val="1C1D1E"/>
          <w:sz w:val="24"/>
          <w:szCs w:val="24"/>
          <w:shd w:val="clear" w:color="auto" w:fill="FFFFFF"/>
          <w:lang w:val="en-US"/>
        </w:rPr>
        <w:t>Carrió</w:t>
      </w:r>
      <w:proofErr w:type="spellEnd"/>
      <w:r w:rsidRPr="008D563F">
        <w:rPr>
          <w:rStyle w:val="author"/>
          <w:rFonts w:ascii="Times New Roman" w:eastAsia="Times New Roman" w:hAnsi="Times New Roman" w:cs="Times New Roman"/>
          <w:color w:val="1C1D1E"/>
          <w:sz w:val="24"/>
          <w:szCs w:val="24"/>
          <w:shd w:val="clear" w:color="auto" w:fill="FFFFFF"/>
          <w:lang w:val="en-US"/>
        </w:rPr>
        <w:t xml:space="preserve">, C., &amp; Flacco, N. (2025). Impact of Haptic Virtual Reality Simulation on Dental Students' Clinical Endodontic Performance and Anxiety Management. International Endodontic Journal. </w:t>
      </w:r>
      <w:hyperlink r:id="rId42" w:history="1">
        <w:r w:rsidRPr="008D563F">
          <w:rPr>
            <w:rStyle w:val="Hyperlink"/>
            <w:rFonts w:ascii="Times New Roman" w:eastAsia="Times New Roman" w:hAnsi="Times New Roman" w:cs="Times New Roman"/>
            <w:sz w:val="24"/>
            <w:szCs w:val="24"/>
            <w:shd w:val="clear" w:color="auto" w:fill="FFFFFF"/>
            <w:lang w:val="en-US"/>
          </w:rPr>
          <w:t>https://doi.org/10.1111/iej.70074</w:t>
        </w:r>
      </w:hyperlink>
    </w:p>
    <w:p w14:paraId="1728B2E5" w14:textId="432921EA" w:rsidR="00164222" w:rsidRDefault="00164222" w:rsidP="000F0B59">
      <w:pPr>
        <w:pStyle w:val="NormalWeb"/>
        <w:ind w:left="360"/>
        <w:jc w:val="both"/>
      </w:pPr>
      <w:r w:rsidRPr="00164222">
        <w:t xml:space="preserve">Serrano, C. M., </w:t>
      </w:r>
      <w:proofErr w:type="spellStart"/>
      <w:r w:rsidRPr="00164222">
        <w:t>Wesselink</w:t>
      </w:r>
      <w:proofErr w:type="spellEnd"/>
      <w:r w:rsidRPr="00164222">
        <w:t xml:space="preserve">, P. R., &amp; </w:t>
      </w:r>
      <w:proofErr w:type="spellStart"/>
      <w:r w:rsidRPr="00164222">
        <w:t>Vervoorn</w:t>
      </w:r>
      <w:proofErr w:type="spellEnd"/>
      <w:r w:rsidRPr="00164222">
        <w:t xml:space="preserve">, J. M. (2020). First experiences with patient-centered training in virtual reality. Journal of Dental Education, 84(5), 607–614. </w:t>
      </w:r>
      <w:hyperlink r:id="rId43" w:history="1">
        <w:r w:rsidRPr="00081DB7">
          <w:rPr>
            <w:rStyle w:val="Hyperlink"/>
          </w:rPr>
          <w:t>https://doi.org/10.1002/jdd.12037</w:t>
        </w:r>
      </w:hyperlink>
    </w:p>
    <w:p w14:paraId="731AA9CB" w14:textId="6B3EF72B" w:rsidR="00164222" w:rsidRDefault="00164222" w:rsidP="000F0B59">
      <w:pPr>
        <w:pStyle w:val="NormalWeb"/>
        <w:ind w:left="360"/>
        <w:jc w:val="both"/>
      </w:pPr>
      <w:proofErr w:type="spellStart"/>
      <w:r w:rsidRPr="00164222">
        <w:t>Slaczka</w:t>
      </w:r>
      <w:proofErr w:type="spellEnd"/>
      <w:r w:rsidRPr="00164222">
        <w:t xml:space="preserve">, D. M., Shah, R., Liu, C., Zou, F., &amp; Karunanayake, G. A. (2024). Endodontic access cavity training using artificial teeth and </w:t>
      </w:r>
      <w:proofErr w:type="spellStart"/>
      <w:r w:rsidRPr="00164222">
        <w:t>Simodont</w:t>
      </w:r>
      <w:proofErr w:type="spellEnd"/>
      <w:r w:rsidRPr="00164222">
        <w:t xml:space="preserve">® dental trainer: A comparison of student performance and acceptance. International Endodontic Journal. </w:t>
      </w:r>
      <w:hyperlink r:id="rId44" w:history="1">
        <w:r w:rsidRPr="00081DB7">
          <w:rPr>
            <w:rStyle w:val="Hyperlink"/>
          </w:rPr>
          <w:t>https://doi.org/10.1111/iej.14171</w:t>
        </w:r>
      </w:hyperlink>
    </w:p>
    <w:p w14:paraId="265981D0" w14:textId="56B969C1" w:rsidR="00164222" w:rsidRDefault="00164222" w:rsidP="000F0B59">
      <w:pPr>
        <w:pStyle w:val="NormalWeb"/>
        <w:ind w:left="360"/>
        <w:jc w:val="both"/>
      </w:pPr>
      <w:proofErr w:type="spellStart"/>
      <w:r w:rsidRPr="00164222">
        <w:t>Suebnukarn</w:t>
      </w:r>
      <w:proofErr w:type="spellEnd"/>
      <w:r w:rsidRPr="00164222">
        <w:t xml:space="preserve">, S., </w:t>
      </w:r>
      <w:proofErr w:type="spellStart"/>
      <w:r w:rsidRPr="00164222">
        <w:t>Chaisombat</w:t>
      </w:r>
      <w:proofErr w:type="spellEnd"/>
      <w:r w:rsidRPr="00164222">
        <w:t xml:space="preserve">, M., </w:t>
      </w:r>
      <w:proofErr w:type="spellStart"/>
      <w:r w:rsidRPr="00164222">
        <w:t>Kongpunwijit</w:t>
      </w:r>
      <w:proofErr w:type="spellEnd"/>
      <w:r w:rsidRPr="00164222">
        <w:t xml:space="preserve">, T., &amp; </w:t>
      </w:r>
      <w:proofErr w:type="spellStart"/>
      <w:r w:rsidRPr="00164222">
        <w:t>Rhienmora</w:t>
      </w:r>
      <w:proofErr w:type="spellEnd"/>
      <w:r w:rsidRPr="00164222">
        <w:t xml:space="preserve">, P. (2014). Construct validity and expert benchmarking of the haptic virtual reality dental simulator. Journal of Dental Education, 78(10), 1442–1450. </w:t>
      </w:r>
      <w:hyperlink r:id="rId45" w:history="1">
        <w:r w:rsidRPr="00081DB7">
          <w:rPr>
            <w:rStyle w:val="Hyperlink"/>
          </w:rPr>
          <w:t>https://doi.org/10.1002/j.0022-0337.2014.78.10.tb05818.x</w:t>
        </w:r>
      </w:hyperlink>
    </w:p>
    <w:p w14:paraId="105E381C" w14:textId="3A84BB01" w:rsidR="00164222" w:rsidRPr="008D563F" w:rsidRDefault="00164222"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Suebnukarn</w:t>
      </w:r>
      <w:proofErr w:type="spellEnd"/>
      <w:r w:rsidRPr="008D563F">
        <w:rPr>
          <w:rFonts w:ascii="Times New Roman" w:eastAsia="Times New Roman" w:hAnsi="Times New Roman" w:cs="Times New Roman"/>
          <w:sz w:val="24"/>
          <w:szCs w:val="24"/>
          <w:lang w:val="en-US"/>
        </w:rPr>
        <w:t xml:space="preserve">, S., </w:t>
      </w:r>
      <w:proofErr w:type="spellStart"/>
      <w:r w:rsidRPr="008D563F">
        <w:rPr>
          <w:rFonts w:ascii="Times New Roman" w:eastAsia="Times New Roman" w:hAnsi="Times New Roman" w:cs="Times New Roman"/>
          <w:sz w:val="24"/>
          <w:szCs w:val="24"/>
          <w:lang w:val="en-US"/>
        </w:rPr>
        <w:t>Haddawy</w:t>
      </w:r>
      <w:proofErr w:type="spellEnd"/>
      <w:r w:rsidRPr="008D563F">
        <w:rPr>
          <w:rFonts w:ascii="Times New Roman" w:eastAsia="Times New Roman" w:hAnsi="Times New Roman" w:cs="Times New Roman"/>
          <w:sz w:val="24"/>
          <w:szCs w:val="24"/>
          <w:lang w:val="en-US"/>
        </w:rPr>
        <w:t xml:space="preserve">, P., </w:t>
      </w:r>
      <w:proofErr w:type="spellStart"/>
      <w:r w:rsidRPr="008D563F">
        <w:rPr>
          <w:rFonts w:ascii="Times New Roman" w:eastAsia="Times New Roman" w:hAnsi="Times New Roman" w:cs="Times New Roman"/>
          <w:sz w:val="24"/>
          <w:szCs w:val="24"/>
          <w:lang w:val="en-US"/>
        </w:rPr>
        <w:t>Rhienmora</w:t>
      </w:r>
      <w:proofErr w:type="spellEnd"/>
      <w:r w:rsidRPr="008D563F">
        <w:rPr>
          <w:rFonts w:ascii="Times New Roman" w:eastAsia="Times New Roman" w:hAnsi="Times New Roman" w:cs="Times New Roman"/>
          <w:sz w:val="24"/>
          <w:szCs w:val="24"/>
          <w:lang w:val="en-US"/>
        </w:rPr>
        <w:t xml:space="preserve">, P., &amp; </w:t>
      </w:r>
      <w:proofErr w:type="spellStart"/>
      <w:r w:rsidRPr="008D563F">
        <w:rPr>
          <w:rFonts w:ascii="Times New Roman" w:eastAsia="Times New Roman" w:hAnsi="Times New Roman" w:cs="Times New Roman"/>
          <w:sz w:val="24"/>
          <w:szCs w:val="24"/>
          <w:lang w:val="en-US"/>
        </w:rPr>
        <w:t>Gajananan</w:t>
      </w:r>
      <w:proofErr w:type="spellEnd"/>
      <w:r w:rsidRPr="008D563F">
        <w:rPr>
          <w:rFonts w:ascii="Times New Roman" w:eastAsia="Times New Roman" w:hAnsi="Times New Roman" w:cs="Times New Roman"/>
          <w:sz w:val="24"/>
          <w:szCs w:val="24"/>
          <w:lang w:val="en-US"/>
        </w:rPr>
        <w:t xml:space="preserve">, K. (2010). Haptic virtual reality for skill acquisition in endodontics. Journal of Endodontics, 36(1), 53–55. </w:t>
      </w:r>
      <w:hyperlink r:id="rId46" w:history="1">
        <w:r w:rsidRPr="008D563F">
          <w:rPr>
            <w:rStyle w:val="Hyperlink"/>
            <w:rFonts w:ascii="Times New Roman" w:eastAsia="Times New Roman" w:hAnsi="Times New Roman" w:cs="Times New Roman"/>
            <w:sz w:val="24"/>
            <w:szCs w:val="24"/>
            <w:lang w:val="en-US"/>
          </w:rPr>
          <w:t>https://doi.org/10.1016/j.joen.2009.09.020</w:t>
        </w:r>
      </w:hyperlink>
    </w:p>
    <w:p w14:paraId="0EA5B6FC" w14:textId="5892BCB4" w:rsidR="0083179B" w:rsidRPr="008D563F" w:rsidRDefault="0083179B" w:rsidP="000F0B59">
      <w:pPr>
        <w:spacing w:before="100" w:beforeAutospacing="1" w:after="100" w:afterAutospacing="1" w:line="240" w:lineRule="auto"/>
        <w:ind w:left="360"/>
        <w:jc w:val="both"/>
        <w:rPr>
          <w:rFonts w:ascii="Times New Roman" w:eastAsia="Times New Roman" w:hAnsi="Times New Roman" w:cs="Times New Roman"/>
          <w:sz w:val="24"/>
          <w:szCs w:val="24"/>
          <w:lang w:val="en-US"/>
        </w:rPr>
      </w:pPr>
      <w:proofErr w:type="spellStart"/>
      <w:r w:rsidRPr="008D563F">
        <w:rPr>
          <w:rFonts w:ascii="Times New Roman" w:eastAsia="Times New Roman" w:hAnsi="Times New Roman" w:cs="Times New Roman"/>
          <w:sz w:val="24"/>
          <w:szCs w:val="24"/>
          <w:lang w:val="en-US"/>
        </w:rPr>
        <w:t>Suebnukarn</w:t>
      </w:r>
      <w:proofErr w:type="spellEnd"/>
      <w:r w:rsidRPr="008D563F">
        <w:rPr>
          <w:rFonts w:ascii="Times New Roman" w:eastAsia="Times New Roman" w:hAnsi="Times New Roman" w:cs="Times New Roman"/>
          <w:sz w:val="24"/>
          <w:szCs w:val="24"/>
          <w:lang w:val="en-US"/>
        </w:rPr>
        <w:t xml:space="preserve">, S., </w:t>
      </w:r>
      <w:proofErr w:type="spellStart"/>
      <w:r w:rsidRPr="008D563F">
        <w:rPr>
          <w:rFonts w:ascii="Times New Roman" w:eastAsia="Times New Roman" w:hAnsi="Times New Roman" w:cs="Times New Roman"/>
          <w:sz w:val="24"/>
          <w:szCs w:val="24"/>
          <w:lang w:val="en-US"/>
        </w:rPr>
        <w:t>Haddawy</w:t>
      </w:r>
      <w:proofErr w:type="spellEnd"/>
      <w:r w:rsidRPr="008D563F">
        <w:rPr>
          <w:rFonts w:ascii="Times New Roman" w:eastAsia="Times New Roman" w:hAnsi="Times New Roman" w:cs="Times New Roman"/>
          <w:sz w:val="24"/>
          <w:szCs w:val="24"/>
          <w:lang w:val="en-US"/>
        </w:rPr>
        <w:t xml:space="preserve">, P., </w:t>
      </w:r>
      <w:proofErr w:type="spellStart"/>
      <w:r w:rsidRPr="008D563F">
        <w:rPr>
          <w:rFonts w:ascii="Times New Roman" w:eastAsia="Times New Roman" w:hAnsi="Times New Roman" w:cs="Times New Roman"/>
          <w:sz w:val="24"/>
          <w:szCs w:val="24"/>
          <w:lang w:val="en-US"/>
        </w:rPr>
        <w:t>Rhienmora</w:t>
      </w:r>
      <w:proofErr w:type="spellEnd"/>
      <w:r w:rsidRPr="008D563F">
        <w:rPr>
          <w:rFonts w:ascii="Times New Roman" w:eastAsia="Times New Roman" w:hAnsi="Times New Roman" w:cs="Times New Roman"/>
          <w:sz w:val="24"/>
          <w:szCs w:val="24"/>
          <w:lang w:val="en-US"/>
        </w:rPr>
        <w:t xml:space="preserve">, P., </w:t>
      </w:r>
      <w:proofErr w:type="spellStart"/>
      <w:r w:rsidRPr="008D563F">
        <w:rPr>
          <w:rFonts w:ascii="Times New Roman" w:eastAsia="Times New Roman" w:hAnsi="Times New Roman" w:cs="Times New Roman"/>
          <w:sz w:val="24"/>
          <w:szCs w:val="24"/>
          <w:lang w:val="en-US"/>
        </w:rPr>
        <w:t>Jittimanee</w:t>
      </w:r>
      <w:proofErr w:type="spellEnd"/>
      <w:r w:rsidRPr="008D563F">
        <w:rPr>
          <w:rFonts w:ascii="Times New Roman" w:eastAsia="Times New Roman" w:hAnsi="Times New Roman" w:cs="Times New Roman"/>
          <w:sz w:val="24"/>
          <w:szCs w:val="24"/>
          <w:lang w:val="en-US"/>
        </w:rPr>
        <w:t xml:space="preserve">, P., &amp; </w:t>
      </w:r>
      <w:proofErr w:type="spellStart"/>
      <w:r w:rsidRPr="008D563F">
        <w:rPr>
          <w:rFonts w:ascii="Times New Roman" w:eastAsia="Times New Roman" w:hAnsi="Times New Roman" w:cs="Times New Roman"/>
          <w:sz w:val="24"/>
          <w:szCs w:val="24"/>
          <w:lang w:val="en-US"/>
        </w:rPr>
        <w:t>Viratket</w:t>
      </w:r>
      <w:proofErr w:type="spellEnd"/>
      <w:r w:rsidRPr="008D563F">
        <w:rPr>
          <w:rFonts w:ascii="Times New Roman" w:eastAsia="Times New Roman" w:hAnsi="Times New Roman" w:cs="Times New Roman"/>
          <w:sz w:val="24"/>
          <w:szCs w:val="24"/>
          <w:lang w:val="en-US"/>
        </w:rPr>
        <w:t xml:space="preserve">, P. (2011). Augmented virtual reality for dental training: A randomized trial. </w:t>
      </w:r>
      <w:r w:rsidRPr="008D563F">
        <w:rPr>
          <w:rFonts w:ascii="Times New Roman" w:eastAsia="Times New Roman" w:hAnsi="Times New Roman" w:cs="Times New Roman"/>
          <w:i/>
          <w:iCs/>
          <w:sz w:val="24"/>
          <w:szCs w:val="24"/>
          <w:lang w:val="en-US"/>
        </w:rPr>
        <w:t>International Endodontic Journal, 44</w:t>
      </w:r>
      <w:r w:rsidRPr="008D563F">
        <w:rPr>
          <w:rFonts w:ascii="Times New Roman" w:eastAsia="Times New Roman" w:hAnsi="Times New Roman" w:cs="Times New Roman"/>
          <w:sz w:val="24"/>
          <w:szCs w:val="24"/>
          <w:lang w:val="en-US"/>
        </w:rPr>
        <w:t xml:space="preserve">(7), 651–657. </w:t>
      </w:r>
      <w:hyperlink r:id="rId47" w:history="1">
        <w:r w:rsidRPr="008D563F">
          <w:rPr>
            <w:rStyle w:val="Hyperlink"/>
            <w:rFonts w:ascii="Times New Roman" w:eastAsia="Times New Roman" w:hAnsi="Times New Roman" w:cs="Times New Roman"/>
            <w:sz w:val="24"/>
            <w:szCs w:val="24"/>
            <w:lang w:val="en-US"/>
          </w:rPr>
          <w:t>https://doi.org/10.1111/j.1365-2591.2011.01899.x</w:t>
        </w:r>
      </w:hyperlink>
      <w:r w:rsidRPr="008D563F">
        <w:rPr>
          <w:rFonts w:ascii="Times New Roman" w:eastAsia="Times New Roman" w:hAnsi="Times New Roman" w:cs="Times New Roman"/>
          <w:sz w:val="24"/>
          <w:szCs w:val="24"/>
          <w:lang w:val="en-US"/>
        </w:rPr>
        <w:t xml:space="preserve"> </w:t>
      </w:r>
    </w:p>
    <w:p w14:paraId="6A1DB0E6" w14:textId="699B7E56" w:rsidR="00164222" w:rsidRDefault="00164222" w:rsidP="000F0B59">
      <w:pPr>
        <w:pStyle w:val="NormalWeb"/>
        <w:ind w:left="360"/>
        <w:jc w:val="both"/>
      </w:pPr>
      <w:proofErr w:type="spellStart"/>
      <w:r w:rsidRPr="00164222">
        <w:t>Tonni</w:t>
      </w:r>
      <w:proofErr w:type="spellEnd"/>
      <w:r w:rsidRPr="00164222">
        <w:t xml:space="preserve">, I., </w:t>
      </w:r>
      <w:proofErr w:type="spellStart"/>
      <w:r w:rsidRPr="00164222">
        <w:t>Gadbury-Amyot</w:t>
      </w:r>
      <w:proofErr w:type="spellEnd"/>
      <w:r w:rsidRPr="00164222">
        <w:t xml:space="preserve">, C. C., </w:t>
      </w:r>
      <w:proofErr w:type="spellStart"/>
      <w:r w:rsidRPr="00164222">
        <w:t>Govaerts</w:t>
      </w:r>
      <w:proofErr w:type="spellEnd"/>
      <w:r w:rsidRPr="00164222">
        <w:t xml:space="preserve">, M., ten Cate, O., Davis, J., Garcia, L. T., &amp; </w:t>
      </w:r>
      <w:proofErr w:type="spellStart"/>
      <w:r w:rsidRPr="00164222">
        <w:t>Valachovic</w:t>
      </w:r>
      <w:proofErr w:type="spellEnd"/>
      <w:r w:rsidRPr="00164222">
        <w:t xml:space="preserve">, R. W. (2020). ADEA-ADEE Shaping the Future of Dental Education III: Assessment in competency-based dental education: Ways forward. Journal of Dental Education, 84(1), 97–104. </w:t>
      </w:r>
      <w:hyperlink r:id="rId48" w:history="1">
        <w:r w:rsidRPr="00081DB7">
          <w:rPr>
            <w:rStyle w:val="Hyperlink"/>
          </w:rPr>
          <w:t>https://doi.org/10.1002/jdd.12024</w:t>
        </w:r>
      </w:hyperlink>
    </w:p>
    <w:p w14:paraId="1CCC8BA9" w14:textId="7BF806BB" w:rsidR="00164222" w:rsidRDefault="00164222" w:rsidP="000F0B59">
      <w:pPr>
        <w:pStyle w:val="NormalWeb"/>
        <w:ind w:left="360"/>
        <w:jc w:val="both"/>
      </w:pPr>
      <w:r w:rsidRPr="00164222">
        <w:lastRenderedPageBreak/>
        <w:t xml:space="preserve">Towers, A., Field, J., Stokes, C., Maddock, S., &amp; Martin, N. (2019). A scoping review of the use and application of virtual reality in pre-clinical dental education. British Dental Journal, 226(5), 358–366. </w:t>
      </w:r>
      <w:hyperlink r:id="rId49" w:history="1">
        <w:r w:rsidRPr="00081DB7">
          <w:rPr>
            <w:rStyle w:val="Hyperlink"/>
          </w:rPr>
          <w:t>https://doi.org/10.1038/s41415-019-0041-0</w:t>
        </w:r>
      </w:hyperlink>
    </w:p>
    <w:p w14:paraId="287FDF86" w14:textId="713E43E3" w:rsidR="00164222" w:rsidRDefault="00164222" w:rsidP="000F0B59">
      <w:pPr>
        <w:pStyle w:val="NormalWeb"/>
        <w:ind w:left="360"/>
        <w:jc w:val="both"/>
      </w:pPr>
      <w:proofErr w:type="spellStart"/>
      <w:r w:rsidRPr="00164222">
        <w:t>Usta</w:t>
      </w:r>
      <w:proofErr w:type="spellEnd"/>
      <w:r w:rsidRPr="00164222">
        <w:t xml:space="preserve">, S. N., Silva, E. J. N. L., </w:t>
      </w:r>
      <w:proofErr w:type="spellStart"/>
      <w:r w:rsidRPr="00164222">
        <w:t>Keskin</w:t>
      </w:r>
      <w:proofErr w:type="spellEnd"/>
      <w:r w:rsidRPr="00164222">
        <w:t xml:space="preserve">, C., </w:t>
      </w:r>
      <w:proofErr w:type="spellStart"/>
      <w:r w:rsidRPr="00164222">
        <w:t>Tekkanat</w:t>
      </w:r>
      <w:proofErr w:type="spellEnd"/>
      <w:r w:rsidRPr="00164222">
        <w:t xml:space="preserve">, H., </w:t>
      </w:r>
      <w:proofErr w:type="spellStart"/>
      <w:r w:rsidRPr="00164222">
        <w:t>Liukkonen</w:t>
      </w:r>
      <w:proofErr w:type="spellEnd"/>
      <w:r w:rsidRPr="00164222">
        <w:t xml:space="preserve">, M., &amp; </w:t>
      </w:r>
      <w:proofErr w:type="spellStart"/>
      <w:r w:rsidRPr="00164222">
        <w:t>Felszeghy</w:t>
      </w:r>
      <w:proofErr w:type="spellEnd"/>
      <w:r w:rsidRPr="00164222">
        <w:t xml:space="preserve">, S. (2025). A comparison of traditional and virtual reality haptic simulator approaches in preclinical endodontic training: Impacts on skill acquisition, confidence and stress. International Endodontic Journal. </w:t>
      </w:r>
      <w:hyperlink r:id="rId50" w:history="1">
        <w:r w:rsidRPr="00081DB7">
          <w:rPr>
            <w:rStyle w:val="Hyperlink"/>
          </w:rPr>
          <w:t>https://doi.org/10.1111/iej.14236</w:t>
        </w:r>
      </w:hyperlink>
    </w:p>
    <w:p w14:paraId="30D1EB80" w14:textId="2BB5D4AB" w:rsidR="00164222" w:rsidRDefault="00164222" w:rsidP="000F0B59">
      <w:pPr>
        <w:pStyle w:val="NormalWeb"/>
        <w:ind w:left="360"/>
        <w:jc w:val="both"/>
      </w:pPr>
      <w:proofErr w:type="spellStart"/>
      <w:r w:rsidRPr="00164222">
        <w:t>Usta</w:t>
      </w:r>
      <w:proofErr w:type="spellEnd"/>
      <w:r w:rsidRPr="00164222">
        <w:t xml:space="preserve">, S. N., Silva, E. J. N. L., </w:t>
      </w:r>
      <w:proofErr w:type="spellStart"/>
      <w:r w:rsidRPr="00164222">
        <w:t>Tekkanat</w:t>
      </w:r>
      <w:proofErr w:type="spellEnd"/>
      <w:r w:rsidRPr="00164222">
        <w:t xml:space="preserve">, H., &amp; </w:t>
      </w:r>
      <w:proofErr w:type="spellStart"/>
      <w:r w:rsidRPr="00164222">
        <w:t>Keskin</w:t>
      </w:r>
      <w:proofErr w:type="spellEnd"/>
      <w:r w:rsidRPr="00164222">
        <w:t xml:space="preserve">, C. (2025). Virtual reality haptic simulators and mobile applications—Potential AI-enhanced tools for improving clinical endodontic training: A randomized controlled trial. Journal of Endodontics. </w:t>
      </w:r>
      <w:hyperlink r:id="rId51" w:history="1">
        <w:r w:rsidRPr="00081DB7">
          <w:rPr>
            <w:rStyle w:val="Hyperlink"/>
          </w:rPr>
          <w:t>https://doi.org/10.1016/j.joen.2025.11.005</w:t>
        </w:r>
      </w:hyperlink>
    </w:p>
    <w:p w14:paraId="0EEE0302" w14:textId="1D19C244" w:rsidR="00164222" w:rsidRDefault="00164222" w:rsidP="000F0B59">
      <w:pPr>
        <w:pStyle w:val="NormalWeb"/>
        <w:ind w:left="360"/>
        <w:jc w:val="both"/>
      </w:pPr>
      <w:r w:rsidRPr="00164222">
        <w:t xml:space="preserve">van </w:t>
      </w:r>
      <w:proofErr w:type="spellStart"/>
      <w:r w:rsidRPr="00164222">
        <w:t>Merriënboer</w:t>
      </w:r>
      <w:proofErr w:type="spellEnd"/>
      <w:r w:rsidRPr="00164222">
        <w:t xml:space="preserve">, J. J. G., &amp; </w:t>
      </w:r>
      <w:proofErr w:type="spellStart"/>
      <w:r w:rsidRPr="00164222">
        <w:t>Sweller</w:t>
      </w:r>
      <w:proofErr w:type="spellEnd"/>
      <w:r w:rsidRPr="00164222">
        <w:t xml:space="preserve">, J. (2010). Cognitive load theory in health professional education: Design principles and strategies. Medical Education, 44(1), 85–93. </w:t>
      </w:r>
      <w:hyperlink r:id="rId52" w:history="1">
        <w:r w:rsidRPr="00081DB7">
          <w:rPr>
            <w:rStyle w:val="Hyperlink"/>
          </w:rPr>
          <w:t>https://doi.org/10.1111/j.1365-2923.2009.03498.x</w:t>
        </w:r>
      </w:hyperlink>
    </w:p>
    <w:p w14:paraId="650FCA81" w14:textId="4BED4AF5" w:rsidR="008A4BFC" w:rsidRDefault="00164222" w:rsidP="000F0B59">
      <w:pPr>
        <w:ind w:left="360"/>
        <w:jc w:val="both"/>
        <w:rPr>
          <w:rFonts w:ascii="Times New Roman" w:eastAsia="Times New Roman" w:hAnsi="Times New Roman" w:cs="Times New Roman"/>
          <w:sz w:val="24"/>
          <w:szCs w:val="24"/>
          <w:lang w:val="en-US"/>
        </w:rPr>
      </w:pPr>
      <w:r w:rsidRPr="008D563F">
        <w:rPr>
          <w:rFonts w:ascii="Times New Roman" w:eastAsia="Times New Roman" w:hAnsi="Times New Roman" w:cs="Times New Roman"/>
          <w:sz w:val="24"/>
          <w:szCs w:val="24"/>
          <w:lang w:val="en-US"/>
        </w:rPr>
        <w:t xml:space="preserve">Wei, Y., &amp; Peng, Z. (2024). Application of </w:t>
      </w:r>
      <w:proofErr w:type="spellStart"/>
      <w:r w:rsidRPr="008D563F">
        <w:rPr>
          <w:rFonts w:ascii="Times New Roman" w:eastAsia="Times New Roman" w:hAnsi="Times New Roman" w:cs="Times New Roman"/>
          <w:sz w:val="24"/>
          <w:szCs w:val="24"/>
          <w:lang w:val="en-US"/>
        </w:rPr>
        <w:t>Simodont</w:t>
      </w:r>
      <w:proofErr w:type="spellEnd"/>
      <w:r w:rsidRPr="008D563F">
        <w:rPr>
          <w:rFonts w:ascii="Times New Roman" w:eastAsia="Times New Roman" w:hAnsi="Times New Roman" w:cs="Times New Roman"/>
          <w:sz w:val="24"/>
          <w:szCs w:val="24"/>
          <w:lang w:val="en-US"/>
        </w:rPr>
        <w:t xml:space="preserve"> virtual simulation system for preclinical teaching of access and coronal cavity preparation. PLOS ONE, 19(12), e0315732. </w:t>
      </w:r>
      <w:hyperlink r:id="rId53" w:history="1">
        <w:r w:rsidR="000F0B59" w:rsidRPr="00CA1FA8">
          <w:rPr>
            <w:rStyle w:val="Hyperlink"/>
            <w:rFonts w:ascii="Times New Roman" w:eastAsia="Times New Roman" w:hAnsi="Times New Roman" w:cs="Times New Roman"/>
            <w:sz w:val="24"/>
            <w:szCs w:val="24"/>
            <w:lang w:val="en-US"/>
          </w:rPr>
          <w:t>https://doi.org/10.1371/journal.pone.0315732</w:t>
        </w:r>
      </w:hyperlink>
    </w:p>
    <w:p w14:paraId="0A545D90" w14:textId="77777777" w:rsidR="000F0B59" w:rsidRPr="00216A69" w:rsidRDefault="000F0B59" w:rsidP="000F0B59">
      <w:pPr>
        <w:spacing w:after="0" w:line="240" w:lineRule="auto"/>
        <w:rPr>
          <w:rFonts w:ascii="Consolas" w:eastAsia="Times New Roman" w:hAnsi="Consolas" w:cs="Times New Roman"/>
          <w:sz w:val="24"/>
          <w:szCs w:val="24"/>
          <w:highlight w:val="yellow"/>
          <w:lang w:val="en-US"/>
        </w:rPr>
      </w:pPr>
      <w:proofErr w:type="spellStart"/>
      <w:r w:rsidRPr="00216A69">
        <w:rPr>
          <w:rFonts w:ascii="Consolas" w:eastAsia="Times New Roman" w:hAnsi="Consolas" w:cs="Times New Roman"/>
          <w:sz w:val="24"/>
          <w:szCs w:val="24"/>
          <w:highlight w:val="yellow"/>
          <w:lang w:val="en-US"/>
        </w:rPr>
        <w:t>Srakoopun</w:t>
      </w:r>
      <w:proofErr w:type="spellEnd"/>
      <w:r w:rsidRPr="00216A69">
        <w:rPr>
          <w:rFonts w:ascii="Consolas" w:eastAsia="Times New Roman" w:hAnsi="Consolas" w:cs="Times New Roman"/>
          <w:sz w:val="24"/>
          <w:szCs w:val="24"/>
          <w:highlight w:val="yellow"/>
          <w:lang w:val="en-US"/>
        </w:rPr>
        <w:t xml:space="preserve"> C, </w:t>
      </w:r>
      <w:proofErr w:type="spellStart"/>
      <w:r w:rsidRPr="00216A69">
        <w:rPr>
          <w:rFonts w:ascii="Consolas" w:eastAsia="Times New Roman" w:hAnsi="Consolas" w:cs="Times New Roman"/>
          <w:sz w:val="24"/>
          <w:szCs w:val="24"/>
          <w:highlight w:val="yellow"/>
          <w:lang w:val="en-US"/>
        </w:rPr>
        <w:t>Suebnukarn</w:t>
      </w:r>
      <w:proofErr w:type="spellEnd"/>
      <w:r w:rsidRPr="00216A69">
        <w:rPr>
          <w:rFonts w:ascii="Consolas" w:eastAsia="Times New Roman" w:hAnsi="Consolas" w:cs="Times New Roman"/>
          <w:sz w:val="24"/>
          <w:szCs w:val="24"/>
          <w:highlight w:val="yellow"/>
          <w:lang w:val="en-US"/>
        </w:rPr>
        <w:t xml:space="preserve"> S, </w:t>
      </w:r>
      <w:proofErr w:type="spellStart"/>
      <w:r w:rsidRPr="00216A69">
        <w:rPr>
          <w:rFonts w:ascii="Consolas" w:eastAsia="Times New Roman" w:hAnsi="Consolas" w:cs="Times New Roman"/>
          <w:sz w:val="24"/>
          <w:szCs w:val="24"/>
          <w:highlight w:val="yellow"/>
          <w:lang w:val="en-US"/>
        </w:rPr>
        <w:t>Haddawy</w:t>
      </w:r>
      <w:proofErr w:type="spellEnd"/>
      <w:r w:rsidRPr="00216A69">
        <w:rPr>
          <w:rFonts w:ascii="Consolas" w:eastAsia="Times New Roman" w:hAnsi="Consolas" w:cs="Times New Roman"/>
          <w:sz w:val="24"/>
          <w:szCs w:val="24"/>
          <w:highlight w:val="yellow"/>
          <w:lang w:val="en-US"/>
        </w:rPr>
        <w:t xml:space="preserve"> P, </w:t>
      </w:r>
      <w:proofErr w:type="spellStart"/>
      <w:r w:rsidRPr="00216A69">
        <w:rPr>
          <w:rFonts w:ascii="Consolas" w:eastAsia="Times New Roman" w:hAnsi="Consolas" w:cs="Times New Roman"/>
          <w:sz w:val="24"/>
          <w:szCs w:val="24"/>
          <w:highlight w:val="yellow"/>
          <w:lang w:val="en-US"/>
        </w:rPr>
        <w:t>Kaluschke</w:t>
      </w:r>
      <w:proofErr w:type="spellEnd"/>
      <w:r w:rsidRPr="00216A69">
        <w:rPr>
          <w:rFonts w:ascii="Consolas" w:eastAsia="Times New Roman" w:hAnsi="Consolas" w:cs="Times New Roman"/>
          <w:sz w:val="24"/>
          <w:szCs w:val="24"/>
          <w:highlight w:val="yellow"/>
          <w:lang w:val="en-US"/>
        </w:rPr>
        <w:t xml:space="preserve"> M, Weller R, Yin MS, Aguilar P, </w:t>
      </w:r>
      <w:proofErr w:type="spellStart"/>
      <w:r w:rsidRPr="00216A69">
        <w:rPr>
          <w:rFonts w:ascii="Consolas" w:eastAsia="Times New Roman" w:hAnsi="Consolas" w:cs="Times New Roman"/>
          <w:sz w:val="24"/>
          <w:szCs w:val="24"/>
          <w:highlight w:val="yellow"/>
          <w:lang w:val="en-US"/>
        </w:rPr>
        <w:t>Phumpatrakom</w:t>
      </w:r>
      <w:proofErr w:type="spellEnd"/>
      <w:r w:rsidRPr="00216A69">
        <w:rPr>
          <w:rFonts w:ascii="Consolas" w:eastAsia="Times New Roman" w:hAnsi="Consolas" w:cs="Times New Roman"/>
          <w:sz w:val="24"/>
          <w:szCs w:val="24"/>
          <w:highlight w:val="yellow"/>
          <w:lang w:val="en-US"/>
        </w:rPr>
        <w:t xml:space="preserve"> P, </w:t>
      </w:r>
      <w:proofErr w:type="spellStart"/>
      <w:r w:rsidRPr="00216A69">
        <w:rPr>
          <w:rFonts w:ascii="Consolas" w:eastAsia="Times New Roman" w:hAnsi="Consolas" w:cs="Times New Roman"/>
          <w:sz w:val="24"/>
          <w:szCs w:val="24"/>
          <w:highlight w:val="yellow"/>
          <w:lang w:val="en-US"/>
        </w:rPr>
        <w:t>Pinchamnankool</w:t>
      </w:r>
      <w:proofErr w:type="spellEnd"/>
      <w:r w:rsidRPr="00216A69">
        <w:rPr>
          <w:rFonts w:ascii="Consolas" w:eastAsia="Times New Roman" w:hAnsi="Consolas" w:cs="Times New Roman"/>
          <w:sz w:val="24"/>
          <w:szCs w:val="24"/>
          <w:highlight w:val="yellow"/>
          <w:lang w:val="en-US"/>
        </w:rPr>
        <w:t xml:space="preserve"> K, </w:t>
      </w:r>
      <w:proofErr w:type="spellStart"/>
      <w:r w:rsidRPr="00216A69">
        <w:rPr>
          <w:rFonts w:ascii="Consolas" w:eastAsia="Times New Roman" w:hAnsi="Consolas" w:cs="Times New Roman"/>
          <w:sz w:val="24"/>
          <w:szCs w:val="24"/>
          <w:highlight w:val="yellow"/>
          <w:lang w:val="en-US"/>
        </w:rPr>
        <w:t>Budsaba</w:t>
      </w:r>
      <w:proofErr w:type="spellEnd"/>
      <w:r w:rsidRPr="00216A69">
        <w:rPr>
          <w:rFonts w:ascii="Consolas" w:eastAsia="Times New Roman" w:hAnsi="Consolas" w:cs="Times New Roman"/>
          <w:sz w:val="24"/>
          <w:szCs w:val="24"/>
          <w:highlight w:val="yellow"/>
          <w:lang w:val="en-US"/>
        </w:rPr>
        <w:t xml:space="preserve"> K, </w:t>
      </w:r>
      <w:proofErr w:type="spellStart"/>
      <w:r w:rsidRPr="00216A69">
        <w:rPr>
          <w:rFonts w:ascii="Consolas" w:eastAsia="Times New Roman" w:hAnsi="Consolas" w:cs="Times New Roman"/>
          <w:sz w:val="24"/>
          <w:szCs w:val="24"/>
          <w:highlight w:val="yellow"/>
          <w:lang w:val="en-US"/>
        </w:rPr>
        <w:t>Zachmann</w:t>
      </w:r>
      <w:proofErr w:type="spellEnd"/>
      <w:r w:rsidRPr="00216A69">
        <w:rPr>
          <w:rFonts w:ascii="Consolas" w:eastAsia="Times New Roman" w:hAnsi="Consolas" w:cs="Times New Roman"/>
          <w:sz w:val="24"/>
          <w:szCs w:val="24"/>
          <w:highlight w:val="yellow"/>
          <w:lang w:val="en-US"/>
        </w:rPr>
        <w:t xml:space="preserve"> G. Virtual reality simulation for learning minimally invasive endodontics: a randomized controlled trial. BMC Med Educ. 2025 Oct 2;25(1):1310. </w:t>
      </w:r>
      <w:proofErr w:type="spellStart"/>
      <w:r w:rsidRPr="00216A69">
        <w:rPr>
          <w:rFonts w:ascii="Consolas" w:eastAsia="Times New Roman" w:hAnsi="Consolas" w:cs="Times New Roman"/>
          <w:sz w:val="24"/>
          <w:szCs w:val="24"/>
          <w:highlight w:val="yellow"/>
          <w:lang w:val="en-US"/>
        </w:rPr>
        <w:t>doi</w:t>
      </w:r>
      <w:proofErr w:type="spellEnd"/>
      <w:r w:rsidRPr="00216A69">
        <w:rPr>
          <w:rFonts w:ascii="Consolas" w:eastAsia="Times New Roman" w:hAnsi="Consolas" w:cs="Times New Roman"/>
          <w:sz w:val="24"/>
          <w:szCs w:val="24"/>
          <w:highlight w:val="yellow"/>
          <w:lang w:val="en-US"/>
        </w:rPr>
        <w:t>: 10.1186/s12909-025-07889-y. PMID: 41039447; PMCID: PMC12492536.</w:t>
      </w:r>
    </w:p>
    <w:p w14:paraId="28DFC665" w14:textId="663668F9" w:rsidR="000F0B59" w:rsidRPr="00216A69" w:rsidRDefault="000F0B59" w:rsidP="000F0B59">
      <w:pPr>
        <w:ind w:left="360"/>
        <w:jc w:val="both"/>
        <w:rPr>
          <w:highlight w:val="yellow"/>
        </w:rPr>
      </w:pPr>
    </w:p>
    <w:p w14:paraId="50660900" w14:textId="085E114F" w:rsidR="000F0B59" w:rsidRDefault="000F0B59" w:rsidP="00216A69">
      <w:pPr>
        <w:jc w:val="both"/>
        <w:rPr>
          <w:highlight w:val="yellow"/>
        </w:rPr>
      </w:pPr>
      <w:r w:rsidRPr="00216A69">
        <w:rPr>
          <w:rFonts w:ascii="Arial" w:hAnsi="Arial" w:cs="Arial"/>
          <w:color w:val="222222"/>
          <w:sz w:val="20"/>
          <w:szCs w:val="20"/>
          <w:highlight w:val="yellow"/>
          <w:shd w:val="clear" w:color="auto" w:fill="FFFFFF"/>
        </w:rPr>
        <w:t xml:space="preserve">Deshpande, A., Licari, F. W., Patil, S., &amp; </w:t>
      </w:r>
      <w:proofErr w:type="spellStart"/>
      <w:r w:rsidRPr="00216A69">
        <w:rPr>
          <w:rFonts w:ascii="Arial" w:hAnsi="Arial" w:cs="Arial"/>
          <w:color w:val="222222"/>
          <w:sz w:val="20"/>
          <w:szCs w:val="20"/>
          <w:highlight w:val="yellow"/>
          <w:shd w:val="clear" w:color="auto" w:fill="FFFFFF"/>
        </w:rPr>
        <w:t>Bhandi</w:t>
      </w:r>
      <w:proofErr w:type="spellEnd"/>
      <w:r w:rsidRPr="00216A69">
        <w:rPr>
          <w:rFonts w:ascii="Arial" w:hAnsi="Arial" w:cs="Arial"/>
          <w:color w:val="222222"/>
          <w:sz w:val="20"/>
          <w:szCs w:val="20"/>
          <w:highlight w:val="yellow"/>
          <w:shd w:val="clear" w:color="auto" w:fill="FFFFFF"/>
        </w:rPr>
        <w:t>, S. (2025). Effectiveness of Virtual Reality for Endodontic Education in Undergraduate Dental Students—A Systematic Review. </w:t>
      </w:r>
      <w:r w:rsidRPr="00216A69">
        <w:rPr>
          <w:rFonts w:ascii="Arial" w:hAnsi="Arial" w:cs="Arial"/>
          <w:i/>
          <w:iCs/>
          <w:color w:val="222222"/>
          <w:sz w:val="20"/>
          <w:szCs w:val="20"/>
          <w:highlight w:val="yellow"/>
          <w:shd w:val="clear" w:color="auto" w:fill="FFFFFF"/>
        </w:rPr>
        <w:t>Journal of Dental Education</w:t>
      </w:r>
      <w:r w:rsidRPr="00216A69">
        <w:rPr>
          <w:rFonts w:ascii="Arial" w:hAnsi="Arial" w:cs="Arial"/>
          <w:color w:val="222222"/>
          <w:sz w:val="20"/>
          <w:szCs w:val="20"/>
          <w:highlight w:val="yellow"/>
          <w:shd w:val="clear" w:color="auto" w:fill="FFFFFF"/>
        </w:rPr>
        <w:t xml:space="preserve">. </w:t>
      </w:r>
      <w:hyperlink r:id="rId54" w:history="1">
        <w:r w:rsidRPr="00216A69">
          <w:rPr>
            <w:rStyle w:val="Hyperlink"/>
            <w:rFonts w:ascii="Arial" w:hAnsi="Arial" w:cs="Arial"/>
            <w:b/>
            <w:bCs/>
            <w:color w:val="123D80"/>
            <w:sz w:val="21"/>
            <w:szCs w:val="21"/>
            <w:highlight w:val="yellow"/>
            <w:shd w:val="clear" w:color="auto" w:fill="FFFFFF"/>
          </w:rPr>
          <w:t>https://doi.org/10.1002/jdd.70007</w:t>
        </w:r>
      </w:hyperlink>
    </w:p>
    <w:p w14:paraId="50CC9E29" w14:textId="77777777" w:rsidR="00216A69" w:rsidRDefault="00216A69" w:rsidP="00216A69">
      <w:pPr>
        <w:pStyle w:val="c-bibliographic-informationcitation"/>
        <w:shd w:val="clear" w:color="auto" w:fill="FFFFFF"/>
        <w:spacing w:before="0" w:beforeAutospacing="0" w:after="240" w:afterAutospacing="0"/>
        <w:rPr>
          <w:rFonts w:ascii="Helvetica" w:hAnsi="Helvetica" w:cs="Helvetica"/>
          <w:color w:val="222222"/>
        </w:rPr>
      </w:pPr>
      <w:proofErr w:type="spellStart"/>
      <w:r w:rsidRPr="00216A69">
        <w:rPr>
          <w:rFonts w:ascii="Helvetica" w:hAnsi="Helvetica" w:cs="Helvetica"/>
          <w:color w:val="222222"/>
          <w:highlight w:val="yellow"/>
        </w:rPr>
        <w:t>Mansoory</w:t>
      </w:r>
      <w:proofErr w:type="spellEnd"/>
      <w:r w:rsidRPr="00216A69">
        <w:rPr>
          <w:rFonts w:ascii="Helvetica" w:hAnsi="Helvetica" w:cs="Helvetica"/>
          <w:color w:val="222222"/>
          <w:highlight w:val="yellow"/>
        </w:rPr>
        <w:t xml:space="preserve">, M., Azizi, S.M., </w:t>
      </w:r>
      <w:proofErr w:type="spellStart"/>
      <w:r w:rsidRPr="00216A69">
        <w:rPr>
          <w:rFonts w:ascii="Helvetica" w:hAnsi="Helvetica" w:cs="Helvetica"/>
          <w:color w:val="222222"/>
          <w:highlight w:val="yellow"/>
        </w:rPr>
        <w:t>Mirhosseini</w:t>
      </w:r>
      <w:proofErr w:type="spellEnd"/>
      <w:r w:rsidRPr="00216A69">
        <w:rPr>
          <w:rFonts w:ascii="Helvetica" w:hAnsi="Helvetica" w:cs="Helvetica"/>
          <w:color w:val="222222"/>
          <w:highlight w:val="yellow"/>
        </w:rPr>
        <w:t>, F. </w:t>
      </w:r>
      <w:r w:rsidRPr="00216A69">
        <w:rPr>
          <w:rFonts w:ascii="Helvetica" w:hAnsi="Helvetica" w:cs="Helvetica"/>
          <w:i/>
          <w:iCs/>
          <w:color w:val="222222"/>
          <w:highlight w:val="yellow"/>
        </w:rPr>
        <w:t>et al.</w:t>
      </w:r>
      <w:r w:rsidRPr="00216A69">
        <w:rPr>
          <w:rFonts w:ascii="Helvetica" w:hAnsi="Helvetica" w:cs="Helvetica"/>
          <w:color w:val="222222"/>
          <w:highlight w:val="yellow"/>
        </w:rPr>
        <w:t> A study to investigate the effectiveness of the application of virtual reality technology in dental education. </w:t>
      </w:r>
      <w:r w:rsidRPr="00216A69">
        <w:rPr>
          <w:rFonts w:ascii="Helvetica" w:hAnsi="Helvetica" w:cs="Helvetica"/>
          <w:i/>
          <w:iCs/>
          <w:color w:val="222222"/>
          <w:highlight w:val="yellow"/>
        </w:rPr>
        <w:t>BMC Med Educ</w:t>
      </w:r>
      <w:r w:rsidRPr="00216A69">
        <w:rPr>
          <w:rFonts w:ascii="Helvetica" w:hAnsi="Helvetica" w:cs="Helvetica"/>
          <w:color w:val="222222"/>
          <w:highlight w:val="yellow"/>
        </w:rPr>
        <w:t> </w:t>
      </w:r>
      <w:r w:rsidRPr="00216A69">
        <w:rPr>
          <w:rFonts w:ascii="Helvetica" w:hAnsi="Helvetica" w:cs="Helvetica"/>
          <w:b/>
          <w:bCs/>
          <w:color w:val="222222"/>
          <w:highlight w:val="yellow"/>
        </w:rPr>
        <w:t>22</w:t>
      </w:r>
      <w:r w:rsidRPr="00216A69">
        <w:rPr>
          <w:rFonts w:ascii="Helvetica" w:hAnsi="Helvetica" w:cs="Helvetica"/>
          <w:color w:val="222222"/>
          <w:highlight w:val="yellow"/>
        </w:rPr>
        <w:t>, 457 (2022). https://doi.org/10.1186/s12909-022-03543-z</w:t>
      </w:r>
    </w:p>
    <w:p w14:paraId="3DBE63DB" w14:textId="7A48AAC7" w:rsidR="001571FE" w:rsidRPr="0061521F" w:rsidRDefault="001571FE" w:rsidP="00216A69">
      <w:pPr>
        <w:jc w:val="both"/>
      </w:pPr>
    </w:p>
    <w:sectPr w:rsidR="001571FE" w:rsidRPr="0061521F" w:rsidSect="00CB6EB6">
      <w:headerReference w:type="even" r:id="rId55"/>
      <w:headerReference w:type="default" r:id="rId56"/>
      <w:footerReference w:type="even" r:id="rId57"/>
      <w:footerReference w:type="default" r:id="rId58"/>
      <w:headerReference w:type="first" r:id="rId59"/>
      <w:footerReference w:type="first" r:id="rId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E9960" w14:textId="77777777" w:rsidR="002472A7" w:rsidRDefault="002472A7" w:rsidP="00B24A8B">
      <w:pPr>
        <w:spacing w:after="0" w:line="240" w:lineRule="auto"/>
      </w:pPr>
      <w:r>
        <w:separator/>
      </w:r>
    </w:p>
  </w:endnote>
  <w:endnote w:type="continuationSeparator" w:id="0">
    <w:p w14:paraId="01249D05" w14:textId="77777777" w:rsidR="002472A7" w:rsidRDefault="002472A7" w:rsidP="00B24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26125" w14:textId="77777777" w:rsidR="00B24A8B" w:rsidRDefault="00B24A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6749" w14:textId="77777777" w:rsidR="00B24A8B" w:rsidRDefault="00B24A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F9D39" w14:textId="77777777" w:rsidR="00B24A8B" w:rsidRDefault="00B24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7E543" w14:textId="77777777" w:rsidR="002472A7" w:rsidRDefault="002472A7" w:rsidP="00B24A8B">
      <w:pPr>
        <w:spacing w:after="0" w:line="240" w:lineRule="auto"/>
      </w:pPr>
      <w:r>
        <w:separator/>
      </w:r>
    </w:p>
  </w:footnote>
  <w:footnote w:type="continuationSeparator" w:id="0">
    <w:p w14:paraId="7AC9D4CB" w14:textId="77777777" w:rsidR="002472A7" w:rsidRDefault="002472A7" w:rsidP="00B24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FBD0" w14:textId="1287E7CE" w:rsidR="00B24A8B" w:rsidRDefault="002472A7">
    <w:pPr>
      <w:pStyle w:val="Header"/>
    </w:pPr>
    <w:r>
      <w:rPr>
        <w:noProof/>
      </w:rPr>
      <w:pict w14:anchorId="05B1D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634079"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1FDD9" w14:textId="4FB3347C" w:rsidR="00B24A8B" w:rsidRDefault="002472A7">
    <w:pPr>
      <w:pStyle w:val="Header"/>
    </w:pPr>
    <w:r>
      <w:rPr>
        <w:noProof/>
      </w:rPr>
      <w:pict w14:anchorId="76C3C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634080"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B5BC8" w14:textId="6690B6E3" w:rsidR="00B24A8B" w:rsidRDefault="002472A7">
    <w:pPr>
      <w:pStyle w:val="Header"/>
    </w:pPr>
    <w:r>
      <w:rPr>
        <w:noProof/>
      </w:rPr>
      <w:pict w14:anchorId="7749D5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634078"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3C5CE3"/>
    <w:multiLevelType w:val="hybridMultilevel"/>
    <w:tmpl w:val="460C86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18"/>
  </w:num>
  <w:num w:numId="4">
    <w:abstractNumId w:val="20"/>
  </w:num>
  <w:num w:numId="5">
    <w:abstractNumId w:val="16"/>
  </w:num>
  <w:num w:numId="6">
    <w:abstractNumId w:val="1"/>
  </w:num>
  <w:num w:numId="7">
    <w:abstractNumId w:val="17"/>
  </w:num>
  <w:num w:numId="8">
    <w:abstractNumId w:val="5"/>
  </w:num>
  <w:num w:numId="9">
    <w:abstractNumId w:val="3"/>
  </w:num>
  <w:num w:numId="10">
    <w:abstractNumId w:val="10"/>
  </w:num>
  <w:num w:numId="11">
    <w:abstractNumId w:val="2"/>
  </w:num>
  <w:num w:numId="12">
    <w:abstractNumId w:val="12"/>
  </w:num>
  <w:num w:numId="13">
    <w:abstractNumId w:val="4"/>
  </w:num>
  <w:num w:numId="14">
    <w:abstractNumId w:val="15"/>
  </w:num>
  <w:num w:numId="15">
    <w:abstractNumId w:val="0"/>
  </w:num>
  <w:num w:numId="16">
    <w:abstractNumId w:val="7"/>
  </w:num>
  <w:num w:numId="17">
    <w:abstractNumId w:val="8"/>
  </w:num>
  <w:num w:numId="18">
    <w:abstractNumId w:val="11"/>
  </w:num>
  <w:num w:numId="19">
    <w:abstractNumId w:val="9"/>
  </w:num>
  <w:num w:numId="20">
    <w:abstractNumId w:val="13"/>
  </w:num>
  <w:num w:numId="21">
    <w:abstractNumId w:val="14"/>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A2NTCwNDE1NzU2MDVW0lEKTi0uzszPAykwrAUA+LwbpSwAAAA="/>
  </w:docVars>
  <w:rsids>
    <w:rsidRoot w:val="00761CB6"/>
    <w:rsid w:val="000425DD"/>
    <w:rsid w:val="00053D7A"/>
    <w:rsid w:val="0006413B"/>
    <w:rsid w:val="000643E7"/>
    <w:rsid w:val="000A0EB4"/>
    <w:rsid w:val="000C4F0E"/>
    <w:rsid w:val="000F0B59"/>
    <w:rsid w:val="000F27AA"/>
    <w:rsid w:val="001261CC"/>
    <w:rsid w:val="00126ADF"/>
    <w:rsid w:val="00131E50"/>
    <w:rsid w:val="00135191"/>
    <w:rsid w:val="00142919"/>
    <w:rsid w:val="001560E3"/>
    <w:rsid w:val="001571FE"/>
    <w:rsid w:val="00164222"/>
    <w:rsid w:val="00186E2A"/>
    <w:rsid w:val="001A3703"/>
    <w:rsid w:val="001E6EC5"/>
    <w:rsid w:val="00216A69"/>
    <w:rsid w:val="0022042D"/>
    <w:rsid w:val="0024324D"/>
    <w:rsid w:val="002472A7"/>
    <w:rsid w:val="00284F1F"/>
    <w:rsid w:val="002B76E6"/>
    <w:rsid w:val="002C48BB"/>
    <w:rsid w:val="002E40E4"/>
    <w:rsid w:val="00307595"/>
    <w:rsid w:val="0031286E"/>
    <w:rsid w:val="003664CE"/>
    <w:rsid w:val="003975AE"/>
    <w:rsid w:val="003A104D"/>
    <w:rsid w:val="003A4787"/>
    <w:rsid w:val="003B3553"/>
    <w:rsid w:val="003B400E"/>
    <w:rsid w:val="003B6CCD"/>
    <w:rsid w:val="00405181"/>
    <w:rsid w:val="004132B1"/>
    <w:rsid w:val="004148F5"/>
    <w:rsid w:val="00416C8C"/>
    <w:rsid w:val="00456E20"/>
    <w:rsid w:val="004A5427"/>
    <w:rsid w:val="004C6306"/>
    <w:rsid w:val="004E7311"/>
    <w:rsid w:val="00516AA1"/>
    <w:rsid w:val="0054487D"/>
    <w:rsid w:val="0056389E"/>
    <w:rsid w:val="00564FB4"/>
    <w:rsid w:val="00571246"/>
    <w:rsid w:val="005D04BC"/>
    <w:rsid w:val="0061521F"/>
    <w:rsid w:val="00622C65"/>
    <w:rsid w:val="00626F6E"/>
    <w:rsid w:val="00632906"/>
    <w:rsid w:val="00661483"/>
    <w:rsid w:val="006618F5"/>
    <w:rsid w:val="0067007E"/>
    <w:rsid w:val="00676549"/>
    <w:rsid w:val="0067685B"/>
    <w:rsid w:val="00692471"/>
    <w:rsid w:val="00695D59"/>
    <w:rsid w:val="006A2C8B"/>
    <w:rsid w:val="006A39B3"/>
    <w:rsid w:val="006D455D"/>
    <w:rsid w:val="006E4B0A"/>
    <w:rsid w:val="00711B14"/>
    <w:rsid w:val="00713825"/>
    <w:rsid w:val="00720F41"/>
    <w:rsid w:val="00761CB6"/>
    <w:rsid w:val="00766A25"/>
    <w:rsid w:val="00777ABC"/>
    <w:rsid w:val="0078275D"/>
    <w:rsid w:val="007C7951"/>
    <w:rsid w:val="007D03BC"/>
    <w:rsid w:val="007E249F"/>
    <w:rsid w:val="008107F6"/>
    <w:rsid w:val="00812006"/>
    <w:rsid w:val="0083179B"/>
    <w:rsid w:val="008374C4"/>
    <w:rsid w:val="00856AFD"/>
    <w:rsid w:val="008811F8"/>
    <w:rsid w:val="008A4BFC"/>
    <w:rsid w:val="008D563F"/>
    <w:rsid w:val="008F3850"/>
    <w:rsid w:val="00951A3D"/>
    <w:rsid w:val="00992B92"/>
    <w:rsid w:val="00994A4A"/>
    <w:rsid w:val="009B55DE"/>
    <w:rsid w:val="009D5BA5"/>
    <w:rsid w:val="009F0120"/>
    <w:rsid w:val="00A029C3"/>
    <w:rsid w:val="00A2270F"/>
    <w:rsid w:val="00A478B2"/>
    <w:rsid w:val="00A50845"/>
    <w:rsid w:val="00A5299F"/>
    <w:rsid w:val="00A54719"/>
    <w:rsid w:val="00A57A87"/>
    <w:rsid w:val="00A7055A"/>
    <w:rsid w:val="00AE651D"/>
    <w:rsid w:val="00B1065D"/>
    <w:rsid w:val="00B24A8B"/>
    <w:rsid w:val="00B451DB"/>
    <w:rsid w:val="00B84C19"/>
    <w:rsid w:val="00BC43AE"/>
    <w:rsid w:val="00BD22E5"/>
    <w:rsid w:val="00BF0896"/>
    <w:rsid w:val="00BF26BF"/>
    <w:rsid w:val="00C13468"/>
    <w:rsid w:val="00C404E0"/>
    <w:rsid w:val="00C6694F"/>
    <w:rsid w:val="00C93A8A"/>
    <w:rsid w:val="00CB6EB6"/>
    <w:rsid w:val="00CE0C42"/>
    <w:rsid w:val="00CE5BFA"/>
    <w:rsid w:val="00D11E3D"/>
    <w:rsid w:val="00D40796"/>
    <w:rsid w:val="00D63323"/>
    <w:rsid w:val="00D75C9D"/>
    <w:rsid w:val="00DC6BC2"/>
    <w:rsid w:val="00DF20BB"/>
    <w:rsid w:val="00DF5AB4"/>
    <w:rsid w:val="00E125DA"/>
    <w:rsid w:val="00E643E8"/>
    <w:rsid w:val="00E7044C"/>
    <w:rsid w:val="00EE2E7D"/>
    <w:rsid w:val="00F13040"/>
    <w:rsid w:val="00F6047F"/>
    <w:rsid w:val="00F754E8"/>
    <w:rsid w:val="00FA03AB"/>
    <w:rsid w:val="00FA7321"/>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E67B6E"/>
  <w15:docId w15:val="{DAA01024-CCB4-485A-893B-A4AD5341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UnresolvedMention">
    <w:name w:val="Unresolved Mention"/>
    <w:basedOn w:val="DefaultParagraphFont"/>
    <w:uiPriority w:val="99"/>
    <w:semiHidden/>
    <w:unhideWhenUsed/>
    <w:rsid w:val="00164222"/>
    <w:rPr>
      <w:color w:val="605E5C"/>
      <w:shd w:val="clear" w:color="auto" w:fill="E1DFDD"/>
    </w:rPr>
  </w:style>
  <w:style w:type="paragraph" w:styleId="Header">
    <w:name w:val="header"/>
    <w:basedOn w:val="Normal"/>
    <w:link w:val="HeaderChar"/>
    <w:uiPriority w:val="99"/>
    <w:unhideWhenUsed/>
    <w:rsid w:val="00B24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A8B"/>
  </w:style>
  <w:style w:type="paragraph" w:styleId="Footer">
    <w:name w:val="footer"/>
    <w:basedOn w:val="Normal"/>
    <w:link w:val="FooterChar"/>
    <w:uiPriority w:val="99"/>
    <w:unhideWhenUsed/>
    <w:rsid w:val="00B24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A8B"/>
  </w:style>
  <w:style w:type="character" w:customStyle="1" w:styleId="anchor-text">
    <w:name w:val="anchor-text"/>
    <w:basedOn w:val="DefaultParagraphFont"/>
    <w:rsid w:val="001571FE"/>
  </w:style>
  <w:style w:type="paragraph" w:customStyle="1" w:styleId="c-bibliographic-informationcitation">
    <w:name w:val="c-bibliographic-information__citation"/>
    <w:basedOn w:val="Normal"/>
    <w:rsid w:val="00216A6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5820956">
      <w:bodyDiv w:val="1"/>
      <w:marLeft w:val="0"/>
      <w:marRight w:val="0"/>
      <w:marTop w:val="0"/>
      <w:marBottom w:val="0"/>
      <w:divBdr>
        <w:top w:val="none" w:sz="0" w:space="0" w:color="auto"/>
        <w:left w:val="none" w:sz="0" w:space="0" w:color="auto"/>
        <w:bottom w:val="none" w:sz="0" w:space="0" w:color="auto"/>
        <w:right w:val="none" w:sz="0" w:space="0" w:color="auto"/>
      </w:divBdr>
      <w:divsChild>
        <w:div w:id="291793848">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19528779">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41077-024-00311-5" TargetMode="External"/><Relationship Id="rId18" Type="http://schemas.openxmlformats.org/officeDocument/2006/relationships/hyperlink" Target="https://doi.org/10.2196/41671" TargetMode="External"/><Relationship Id="rId26" Type="http://schemas.openxmlformats.org/officeDocument/2006/relationships/hyperlink" Target="https://doi.org/10.3389/froh.2025.1592095" TargetMode="External"/><Relationship Id="rId39" Type="http://schemas.openxmlformats.org/officeDocument/2006/relationships/hyperlink" Target="https://doi.org/10.1111/iej.13380" TargetMode="External"/><Relationship Id="rId21" Type="http://schemas.openxmlformats.org/officeDocument/2006/relationships/hyperlink" Target="https://doi.org/10.1186/s12903-024-04704-w" TargetMode="External"/><Relationship Id="rId34" Type="http://schemas.openxmlformats.org/officeDocument/2006/relationships/hyperlink" Target="https://doi.org/10.1111/eje.12245" TargetMode="External"/><Relationship Id="rId42" Type="http://schemas.openxmlformats.org/officeDocument/2006/relationships/hyperlink" Target="https://doi.org/10.1111/iej.70074" TargetMode="External"/><Relationship Id="rId47" Type="http://schemas.openxmlformats.org/officeDocument/2006/relationships/hyperlink" Target="https://doi.org/10.1111/j.1365-2591.2011.01899.x" TargetMode="External"/><Relationship Id="rId50" Type="http://schemas.openxmlformats.org/officeDocument/2006/relationships/hyperlink" Target="https://doi.org/10.1111/iej.14236"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86/s12909-024-06233-0" TargetMode="External"/><Relationship Id="rId29" Type="http://schemas.openxmlformats.org/officeDocument/2006/relationships/hyperlink" Target="https://doi.org/10.1371/journal.pone.0291389" TargetMode="External"/><Relationship Id="rId11" Type="http://schemas.openxmlformats.org/officeDocument/2006/relationships/hyperlink" Target="https://doi.org/10.1002/jdd.13619" TargetMode="External"/><Relationship Id="rId24" Type="http://schemas.openxmlformats.org/officeDocument/2006/relationships/hyperlink" Target="https://doi.org/10.1002/jdd.13800" TargetMode="External"/><Relationship Id="rId32" Type="http://schemas.openxmlformats.org/officeDocument/2006/relationships/hyperlink" Target="https://doi.org/10.1371/journal.pone.0322810" TargetMode="External"/><Relationship Id="rId37" Type="http://schemas.openxmlformats.org/officeDocument/2006/relationships/hyperlink" Target="https://doi.org/10.1186/s12903-023-03410-3" TargetMode="External"/><Relationship Id="rId40" Type="http://schemas.openxmlformats.org/officeDocument/2006/relationships/hyperlink" Target="https://doi.org/10.1038/s41598-023-29537-5" TargetMode="External"/><Relationship Id="rId45" Type="http://schemas.openxmlformats.org/officeDocument/2006/relationships/hyperlink" Target="https://doi.org/10.1002/j.0022-0337.2014.78.10.tb05818.x" TargetMode="External"/><Relationship Id="rId53" Type="http://schemas.openxmlformats.org/officeDocument/2006/relationships/hyperlink" Target="https://doi.org/10.1371/journal.pone.0315732" TargetMode="External"/><Relationship Id="rId58"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186/1472-6920-13-123" TargetMode="External"/><Relationship Id="rId14" Type="http://schemas.openxmlformats.org/officeDocument/2006/relationships/hyperlink" Target="https://doi.org/10.1016/j.sdentj.2024.09.002" TargetMode="External"/><Relationship Id="rId22" Type="http://schemas.openxmlformats.org/officeDocument/2006/relationships/hyperlink" Target="https://doi.org/10.1111/eje.12581" TargetMode="External"/><Relationship Id="rId27" Type="http://schemas.openxmlformats.org/officeDocument/2006/relationships/hyperlink" Target="https://doi.org/10.3102/003465430298487" TargetMode="External"/><Relationship Id="rId30" Type="http://schemas.openxmlformats.org/officeDocument/2006/relationships/hyperlink" Target="https://doi.org/10.2196/30653" TargetMode="External"/><Relationship Id="rId35" Type="http://schemas.openxmlformats.org/officeDocument/2006/relationships/hyperlink" Target="https://doi.org/10.1055/s-0041-1731837" TargetMode="External"/><Relationship Id="rId43" Type="http://schemas.openxmlformats.org/officeDocument/2006/relationships/hyperlink" Target="https://doi.org/10.1002/jdd.12037" TargetMode="External"/><Relationship Id="rId48" Type="http://schemas.openxmlformats.org/officeDocument/2006/relationships/hyperlink" Target="https://doi.org/10.1002/jdd.12024" TargetMode="External"/><Relationship Id="rId56" Type="http://schemas.openxmlformats.org/officeDocument/2006/relationships/header" Target="header2.xml"/><Relationship Id="rId8" Type="http://schemas.openxmlformats.org/officeDocument/2006/relationships/hyperlink" Target="https://www.sciencedirect.com/topics/medicine-and-dentistry/endodontic-procedure" TargetMode="External"/><Relationship Id="rId51" Type="http://schemas.openxmlformats.org/officeDocument/2006/relationships/hyperlink" Target="https://doi.org/10.1016/j.joen.2025.11.005" TargetMode="External"/><Relationship Id="rId3" Type="http://schemas.openxmlformats.org/officeDocument/2006/relationships/styles" Target="styles.xml"/><Relationship Id="rId12" Type="http://schemas.openxmlformats.org/officeDocument/2006/relationships/hyperlink" Target="https://doi.org/10.1136/bmjstel-2018-000420" TargetMode="External"/><Relationship Id="rId17" Type="http://schemas.openxmlformats.org/officeDocument/2006/relationships/hyperlink" Target="https://doi.org/10.1038/s41415-022-4968-1" TargetMode="External"/><Relationship Id="rId25" Type="http://schemas.openxmlformats.org/officeDocument/2006/relationships/hyperlink" Target="https://doi.org/10.1002/j.0022-0337.2011.75.4.tb05073.x" TargetMode="External"/><Relationship Id="rId33" Type="http://schemas.openxmlformats.org/officeDocument/2006/relationships/hyperlink" Target="https://doi.org/10.1111/medu.12391" TargetMode="External"/><Relationship Id="rId38" Type="http://schemas.openxmlformats.org/officeDocument/2006/relationships/hyperlink" Target="https://doi.org/10.1002/jdd.12620" TargetMode="External"/><Relationship Id="rId46" Type="http://schemas.openxmlformats.org/officeDocument/2006/relationships/hyperlink" Target="https://doi.org/10.1016/j.joen.2009.09.020" TargetMode="External"/><Relationship Id="rId59" Type="http://schemas.openxmlformats.org/officeDocument/2006/relationships/header" Target="header3.xml"/><Relationship Id="rId20" Type="http://schemas.openxmlformats.org/officeDocument/2006/relationships/hyperlink" Target="https://doi.org/10.1186/s12909-023-04904-y" TargetMode="External"/><Relationship Id="rId41" Type="http://schemas.openxmlformats.org/officeDocument/2006/relationships/hyperlink" Target="https://doi.org/10.3389/froh.2025.1673147" TargetMode="External"/><Relationship Id="rId54" Type="http://schemas.openxmlformats.org/officeDocument/2006/relationships/hyperlink" Target="https://doi.org/10.1002/jdd.70007"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jdd.13426" TargetMode="External"/><Relationship Id="rId23" Type="http://schemas.openxmlformats.org/officeDocument/2006/relationships/hyperlink" Target="https://doi.org/10.1037/0033-295X.100.3.363" TargetMode="External"/><Relationship Id="rId28" Type="http://schemas.openxmlformats.org/officeDocument/2006/relationships/hyperlink" Target="https://doi.org/10.1186/s12909-025-08045-2" TargetMode="External"/><Relationship Id="rId36" Type="http://schemas.openxmlformats.org/officeDocument/2006/relationships/hyperlink" Target="https://doi.org/10.1111/eje.12453" TargetMode="External"/><Relationship Id="rId49" Type="http://schemas.openxmlformats.org/officeDocument/2006/relationships/hyperlink" Target="https://doi.org/10.1038/s41415-019-0041-0" TargetMode="External"/><Relationship Id="rId57" Type="http://schemas.openxmlformats.org/officeDocument/2006/relationships/footer" Target="footer1.xml"/><Relationship Id="rId10" Type="http://schemas.openxmlformats.org/officeDocument/2006/relationships/hyperlink" Target="https://www.sciencedirect.com/topics/medicine-and-dentistry/psychomotor-performance" TargetMode="External"/><Relationship Id="rId31" Type="http://schemas.openxmlformats.org/officeDocument/2006/relationships/hyperlink" Target="https://doi.org/10.2196/23635" TargetMode="External"/><Relationship Id="rId44" Type="http://schemas.openxmlformats.org/officeDocument/2006/relationships/hyperlink" Target="https://doi.org/10.1111/iej.14171" TargetMode="External"/><Relationship Id="rId52" Type="http://schemas.openxmlformats.org/officeDocument/2006/relationships/hyperlink" Target="https://doi.org/10.1111/j.1365-2923.2009.03498.x" TargetMode="External"/><Relationship Id="rId6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ciencedirect.com/topics/medicine-and-dentistry/dental-anat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25B28-7CFD-4E94-B34B-E735695AC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22</Pages>
  <Words>10916</Words>
  <Characters>62222</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41</cp:revision>
  <cp:lastPrinted>2025-12-13T07:14:00Z</cp:lastPrinted>
  <dcterms:created xsi:type="dcterms:W3CDTF">2025-09-24T12:44:00Z</dcterms:created>
  <dcterms:modified xsi:type="dcterms:W3CDTF">2025-12-16T09:35:00Z</dcterms:modified>
</cp:coreProperties>
</file>