
<file path=[Content_Types].xml><?xml version="1.0" encoding="utf-8"?>
<Types xmlns="http://schemas.openxmlformats.org/package/2006/content-types">
  <Default Extension="bmp" ContentType="image/bmp"/>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9D1FE" w14:textId="77777777" w:rsidR="00754C9A" w:rsidRDefault="00754C9A" w:rsidP="00441B6F">
      <w:pPr>
        <w:pStyle w:val="Titre"/>
        <w:spacing w:after="0"/>
        <w:jc w:val="both"/>
        <w:rPr>
          <w:rFonts w:ascii="Arial" w:hAnsi="Arial" w:cs="Arial"/>
        </w:rPr>
      </w:pPr>
    </w:p>
    <w:p w14:paraId="54C9306F" w14:textId="77777777" w:rsidR="00771662" w:rsidRPr="00771662" w:rsidRDefault="00771662" w:rsidP="00771662">
      <w:pPr>
        <w:pStyle w:val="Author"/>
        <w:rPr>
          <w:rFonts w:ascii="Arial" w:hAnsi="Arial" w:cs="Arial"/>
          <w:bCs/>
          <w:i/>
          <w:iCs/>
          <w:sz w:val="18"/>
          <w:szCs w:val="18"/>
          <w:u w:val="single"/>
        </w:rPr>
      </w:pPr>
      <w:r w:rsidRPr="00771662">
        <w:rPr>
          <w:rFonts w:ascii="Arial" w:hAnsi="Arial" w:cs="Arial"/>
          <w:bCs/>
          <w:i/>
          <w:iCs/>
          <w:sz w:val="18"/>
          <w:szCs w:val="18"/>
          <w:u w:val="single"/>
        </w:rPr>
        <w:t xml:space="preserve">Case report </w:t>
      </w:r>
    </w:p>
    <w:p w14:paraId="64B714A7" w14:textId="15FD9F50" w:rsidR="00A258C3" w:rsidRPr="00D86E25" w:rsidRDefault="004B3D98" w:rsidP="00D86E25">
      <w:pPr>
        <w:pStyle w:val="Author"/>
        <w:spacing w:line="240" w:lineRule="auto"/>
        <w:rPr>
          <w:rFonts w:ascii="Arial" w:hAnsi="Arial" w:cs="Arial"/>
          <w:sz w:val="40"/>
        </w:rPr>
      </w:pPr>
      <w:r w:rsidRPr="004B3D98">
        <w:rPr>
          <w:rFonts w:ascii="Arial" w:hAnsi="Arial" w:cs="Arial"/>
          <w:sz w:val="40"/>
        </w:rPr>
        <w:t xml:space="preserve">Unusual </w:t>
      </w:r>
      <w:r w:rsidR="002E0F80" w:rsidRPr="002E0F80">
        <w:rPr>
          <w:rFonts w:ascii="Arial" w:hAnsi="Arial" w:cs="Arial"/>
          <w:sz w:val="40"/>
        </w:rPr>
        <w:t xml:space="preserve">Coexistence: </w:t>
      </w:r>
      <w:r w:rsidR="002E0F80" w:rsidRPr="002E0F80">
        <w:rPr>
          <w:rFonts w:ascii="Arial" w:hAnsi="Arial" w:cs="Arial"/>
          <w:sz w:val="40"/>
        </w:rPr>
        <w:t xml:space="preserve">Inferior Vena Cava Agenesis, a Free-Floating Right Atrial Thrombus, and Severe Pulmonary Embolism </w:t>
      </w:r>
      <w:r w:rsidR="002E0F80">
        <w:rPr>
          <w:rFonts w:ascii="Arial" w:hAnsi="Arial" w:cs="Arial"/>
          <w:sz w:val="40"/>
        </w:rPr>
        <w:t xml:space="preserve">Successfully </w:t>
      </w:r>
      <w:r w:rsidR="002E0F80" w:rsidRPr="002E0F80">
        <w:rPr>
          <w:rFonts w:ascii="Arial" w:hAnsi="Arial" w:cs="Arial"/>
          <w:sz w:val="40"/>
        </w:rPr>
        <w:t>Treated with Tenecteplase</w:t>
      </w:r>
    </w:p>
    <w:p w14:paraId="25B21710" w14:textId="77777777" w:rsidR="00790ADA" w:rsidRPr="002E0F80" w:rsidRDefault="00790ADA" w:rsidP="00441B6F">
      <w:pPr>
        <w:pStyle w:val="Affiliation"/>
        <w:spacing w:after="0" w:line="240" w:lineRule="auto"/>
        <w:jc w:val="both"/>
        <w:rPr>
          <w:rFonts w:ascii="Arial" w:hAnsi="Arial" w:cs="Arial"/>
          <w:b/>
          <w:sz w:val="40"/>
        </w:rPr>
      </w:pPr>
    </w:p>
    <w:p w14:paraId="3C2B9808" w14:textId="77777777" w:rsidR="002C57D2" w:rsidRPr="002E0F80" w:rsidRDefault="002C57D2" w:rsidP="00441B6F">
      <w:pPr>
        <w:pStyle w:val="Affiliation"/>
        <w:spacing w:after="0" w:line="240" w:lineRule="auto"/>
        <w:jc w:val="both"/>
        <w:rPr>
          <w:rFonts w:ascii="Arial" w:hAnsi="Arial" w:cs="Arial"/>
          <w:b/>
          <w:sz w:val="40"/>
        </w:rPr>
      </w:pPr>
    </w:p>
    <w:p w14:paraId="6F742EDD" w14:textId="49E72735" w:rsidR="00B01FCD" w:rsidRPr="00FB3A86" w:rsidRDefault="009734B5" w:rsidP="00441B6F">
      <w:pPr>
        <w:pStyle w:val="Copyright"/>
        <w:spacing w:after="0" w:line="240" w:lineRule="auto"/>
        <w:jc w:val="both"/>
        <w:rPr>
          <w:rFonts w:ascii="Arial" w:hAnsi="Arial" w:cs="Arial"/>
        </w:rPr>
        <w:sectPr w:rsidR="00B01FCD" w:rsidRPr="00FB3A86" w:rsidSect="00796BC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62CAF5D" wp14:editId="487EF76F">
                <wp:extent cx="5303520" cy="635"/>
                <wp:effectExtent l="15240" t="15875" r="15240" b="12065"/>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296258E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" strokeweight="1.5pt">
                <w10:anchorlock/>
              </v:shape>
            </w:pict>
          </mc:Fallback>
        </mc:AlternateContent>
      </w:r>
      <w:r w:rsidR="00FB3A86">
        <w:rPr>
          <w:rFonts w:ascii="Arial" w:hAnsi="Arial" w:cs="Arial"/>
        </w:rPr>
        <w:t>.</w:t>
      </w:r>
    </w:p>
    <w:p w14:paraId="5736CAD2" w14:textId="77777777" w:rsidR="00E669AA" w:rsidRDefault="00E669AA" w:rsidP="00441B6F">
      <w:pPr>
        <w:pStyle w:val="AbstHead"/>
        <w:spacing w:after="0"/>
        <w:jc w:val="both"/>
        <w:rPr>
          <w:rFonts w:ascii="Arial" w:hAnsi="Arial" w:cs="Arial"/>
        </w:rPr>
      </w:pPr>
    </w:p>
    <w:p w14:paraId="6C0FC1EA"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38F0FDE" w14:textId="77777777" w:rsidR="00790ADA" w:rsidRPr="00FB3A86" w:rsidRDefault="00790ADA" w:rsidP="002E2B7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94"/>
      </w:tblGrid>
      <w:tr w:rsidR="00296529" w:rsidRPr="001E44FE" w14:paraId="61073AA0" w14:textId="77777777" w:rsidTr="001E44FE">
        <w:tc>
          <w:tcPr>
            <w:tcW w:w="9576" w:type="dxa"/>
            <w:shd w:val="clear" w:color="auto" w:fill="F2F2F2"/>
          </w:tcPr>
          <w:p w14:paraId="75A89E42" w14:textId="372D7341" w:rsidR="00AA62AB" w:rsidRPr="00AA62AB" w:rsidRDefault="00AA62AB" w:rsidP="00AA62AB">
            <w:pPr>
              <w:pStyle w:val="Body"/>
              <w:rPr>
                <w:rFonts w:ascii="Arial" w:hAnsi="Arial" w:cs="Arial"/>
                <w:sz w:val="22"/>
                <w:szCs w:val="28"/>
              </w:rPr>
            </w:pPr>
            <w:r w:rsidRPr="00AA62AB">
              <w:rPr>
                <w:rFonts w:ascii="Arial" w:hAnsi="Arial" w:cs="Arial"/>
                <w:b/>
                <w:bCs/>
                <w:sz w:val="22"/>
                <w:szCs w:val="28"/>
              </w:rPr>
              <w:t>Background:</w:t>
            </w:r>
            <w:r w:rsidRPr="00AA62AB">
              <w:rPr>
                <w:rFonts w:ascii="Arial" w:hAnsi="Arial" w:cs="Arial"/>
                <w:sz w:val="22"/>
                <w:szCs w:val="28"/>
              </w:rPr>
              <w:t xml:space="preserve"> Inferior vena cava agenesis (IVCA) is rare, and its association with severe pulmonary embolism (PE) is exceptional.</w:t>
            </w:r>
          </w:p>
          <w:p w14:paraId="60CC3F2A" w14:textId="77777777" w:rsidR="00AA62AB" w:rsidRPr="00AA62AB" w:rsidRDefault="00AA62AB" w:rsidP="00AA62AB">
            <w:pPr>
              <w:pStyle w:val="Body"/>
              <w:rPr>
                <w:rFonts w:ascii="Arial" w:hAnsi="Arial" w:cs="Arial"/>
                <w:sz w:val="22"/>
                <w:szCs w:val="28"/>
              </w:rPr>
            </w:pPr>
            <w:r w:rsidRPr="00AA62AB">
              <w:rPr>
                <w:rFonts w:ascii="Arial" w:hAnsi="Arial" w:cs="Arial"/>
                <w:b/>
                <w:bCs/>
                <w:sz w:val="22"/>
                <w:szCs w:val="28"/>
              </w:rPr>
              <w:t>Case Presentation:</w:t>
            </w:r>
            <w:r w:rsidRPr="00AA62AB">
              <w:rPr>
                <w:rFonts w:ascii="Arial" w:hAnsi="Arial" w:cs="Arial"/>
                <w:sz w:val="22"/>
                <w:szCs w:val="28"/>
              </w:rPr>
              <w:t xml:space="preserve"> A 56-year-old man with insulin-dependent diabetes but no major venous thromboembolic risk factors presented with repeated syncope and hemodynamic shock. He was tachycardic, hypoxemic, and hypotensive. Echocardiography showed a free-floating right atrial thrombus with severe right ventricular dysfunction. CT confirmed massive bilateral PE and revealed IVCA with azygos continuation.</w:t>
            </w:r>
          </w:p>
          <w:p w14:paraId="14E1F311" w14:textId="77777777" w:rsidR="00AA62AB" w:rsidRPr="00AA62AB" w:rsidRDefault="00AA62AB" w:rsidP="00AA62AB">
            <w:pPr>
              <w:pStyle w:val="Body"/>
              <w:rPr>
                <w:rFonts w:ascii="Arial" w:hAnsi="Arial" w:cs="Arial"/>
                <w:sz w:val="22"/>
                <w:szCs w:val="28"/>
              </w:rPr>
            </w:pPr>
            <w:r w:rsidRPr="00AA62AB">
              <w:rPr>
                <w:rFonts w:ascii="Arial" w:hAnsi="Arial" w:cs="Arial"/>
                <w:b/>
                <w:bCs/>
                <w:sz w:val="22"/>
                <w:szCs w:val="28"/>
              </w:rPr>
              <w:t>Management and Outcome</w:t>
            </w:r>
            <w:r w:rsidRPr="00AA62AB">
              <w:rPr>
                <w:rFonts w:ascii="Arial" w:hAnsi="Arial" w:cs="Arial"/>
                <w:sz w:val="22"/>
                <w:szCs w:val="28"/>
              </w:rPr>
              <w:t xml:space="preserve">: Because of persistent instability and the unavailability of alteplase, weight-adjusted </w:t>
            </w:r>
            <w:proofErr w:type="spellStart"/>
            <w:r w:rsidRPr="00AA62AB">
              <w:rPr>
                <w:rFonts w:ascii="Arial" w:hAnsi="Arial" w:cs="Arial"/>
                <w:sz w:val="22"/>
                <w:szCs w:val="28"/>
              </w:rPr>
              <w:t>tenecteplase</w:t>
            </w:r>
            <w:proofErr w:type="spellEnd"/>
            <w:r w:rsidRPr="00AA62AB">
              <w:rPr>
                <w:rFonts w:ascii="Arial" w:hAnsi="Arial" w:cs="Arial"/>
                <w:sz w:val="22"/>
                <w:szCs w:val="28"/>
              </w:rPr>
              <w:t xml:space="preserve"> was administered, followed by unfractionated heparin. The patient improved rapidly. Echocardiography at 24 hours showed complete disappearance of the thrombus and recovery of right ventricular function. Follow-up CT demonstrated reduced clot burden. Workup for thrombophilia was negative. The patient was discharged on oral anticoagulation and remained asymptomatic at follow-up.</w:t>
            </w:r>
          </w:p>
          <w:p w14:paraId="4FB4AABF" w14:textId="3759B503" w:rsidR="00505F06" w:rsidRPr="00BA1B01" w:rsidRDefault="00AA62AB" w:rsidP="00AA62AB">
            <w:pPr>
              <w:pStyle w:val="Body"/>
              <w:spacing w:after="0"/>
              <w:rPr>
                <w:rFonts w:ascii="Arial" w:eastAsia="Calibri" w:hAnsi="Arial" w:cs="Arial"/>
                <w:szCs w:val="22"/>
              </w:rPr>
            </w:pPr>
            <w:r w:rsidRPr="00AA62AB">
              <w:rPr>
                <w:rFonts w:ascii="Arial" w:hAnsi="Arial" w:cs="Arial"/>
                <w:b/>
                <w:bCs/>
                <w:sz w:val="22"/>
                <w:szCs w:val="28"/>
              </w:rPr>
              <w:t>Conclusion</w:t>
            </w:r>
            <w:r w:rsidRPr="00AA62AB">
              <w:rPr>
                <w:rFonts w:ascii="Arial" w:hAnsi="Arial" w:cs="Arial"/>
                <w:sz w:val="22"/>
                <w:szCs w:val="28"/>
              </w:rPr>
              <w:t xml:space="preserve">: This case illustrates a rare presentation of IVCA revealed by life-threatening PE and supports considering off-label </w:t>
            </w:r>
            <w:proofErr w:type="spellStart"/>
            <w:r w:rsidRPr="00AA62AB">
              <w:rPr>
                <w:rFonts w:ascii="Arial" w:hAnsi="Arial" w:cs="Arial"/>
                <w:sz w:val="22"/>
                <w:szCs w:val="28"/>
              </w:rPr>
              <w:t>tenecteplase</w:t>
            </w:r>
            <w:proofErr w:type="spellEnd"/>
            <w:r w:rsidRPr="00AA62AB">
              <w:rPr>
                <w:rFonts w:ascii="Arial" w:hAnsi="Arial" w:cs="Arial"/>
                <w:sz w:val="22"/>
                <w:szCs w:val="28"/>
              </w:rPr>
              <w:t xml:space="preserve"> when no approved fibrinolytic agent is available.</w:t>
            </w:r>
          </w:p>
        </w:tc>
      </w:tr>
    </w:tbl>
    <w:p w14:paraId="6D60F2C6" w14:textId="77777777" w:rsidR="00636EB2" w:rsidRDefault="00636EB2" w:rsidP="00441B6F">
      <w:pPr>
        <w:pStyle w:val="Body"/>
        <w:spacing w:after="0"/>
        <w:rPr>
          <w:rFonts w:ascii="Arial" w:hAnsi="Arial" w:cs="Arial"/>
          <w:i/>
        </w:rPr>
      </w:pPr>
    </w:p>
    <w:p w14:paraId="3B4E904A" w14:textId="6B533B79" w:rsidR="00A24E7E" w:rsidRPr="002E2B71" w:rsidRDefault="00A24E7E" w:rsidP="00441B6F">
      <w:pPr>
        <w:pStyle w:val="Body"/>
        <w:spacing w:after="0"/>
        <w:rPr>
          <w:rFonts w:ascii="Arial" w:hAnsi="Arial" w:cs="Arial"/>
          <w:i/>
        </w:rPr>
      </w:pPr>
      <w:r>
        <w:rPr>
          <w:rFonts w:ascii="Arial" w:hAnsi="Arial" w:cs="Arial"/>
          <w:i/>
        </w:rPr>
        <w:t xml:space="preserve">Keywords: </w:t>
      </w:r>
      <w:r w:rsidR="007E6FE4" w:rsidRPr="007E6FE4">
        <w:rPr>
          <w:rFonts w:ascii="Arial" w:hAnsi="Arial" w:cs="Arial"/>
          <w:i/>
          <w:color w:val="000000" w:themeColor="text1"/>
        </w:rPr>
        <w:t xml:space="preserve">Inferior vena cava </w:t>
      </w:r>
      <w:r w:rsidR="00796BC8" w:rsidRPr="007E6FE4">
        <w:rPr>
          <w:rFonts w:ascii="Arial" w:hAnsi="Arial" w:cs="Arial"/>
          <w:i/>
          <w:color w:val="000000" w:themeColor="text1"/>
        </w:rPr>
        <w:t>agenesis</w:t>
      </w:r>
      <w:r w:rsidR="00796BC8" w:rsidRPr="002E2B71">
        <w:rPr>
          <w:rFonts w:ascii="Arial" w:hAnsi="Arial" w:cs="Arial"/>
          <w:i/>
          <w:color w:val="000000" w:themeColor="text1"/>
        </w:rPr>
        <w:t>; thrombolysis</w:t>
      </w:r>
      <w:r w:rsidR="00CD3B3C" w:rsidRPr="002E2B71">
        <w:rPr>
          <w:rFonts w:ascii="Arial" w:hAnsi="Arial" w:cs="Arial"/>
          <w:i/>
          <w:color w:val="000000" w:themeColor="text1"/>
        </w:rPr>
        <w:t xml:space="preserve">; </w:t>
      </w:r>
      <w:r w:rsidR="007E6FE4">
        <w:rPr>
          <w:rFonts w:ascii="Arial" w:hAnsi="Arial" w:cs="Arial"/>
          <w:i/>
          <w:color w:val="000000" w:themeColor="text1"/>
        </w:rPr>
        <w:t>Tenecteplase; Pulmonary Embolism</w:t>
      </w:r>
    </w:p>
    <w:p w14:paraId="5002322F" w14:textId="77777777" w:rsidR="0024282C" w:rsidRDefault="0024282C" w:rsidP="00441B6F">
      <w:pPr>
        <w:pStyle w:val="Body"/>
        <w:spacing w:after="0"/>
        <w:rPr>
          <w:rFonts w:ascii="Arial" w:hAnsi="Arial" w:cs="Arial"/>
          <w:i/>
          <w:sz w:val="18"/>
        </w:rPr>
      </w:pPr>
    </w:p>
    <w:p w14:paraId="7F4C23F7" w14:textId="77777777" w:rsidR="002E2B71" w:rsidRDefault="002E2B71" w:rsidP="00441B6F">
      <w:pPr>
        <w:pStyle w:val="Body"/>
        <w:spacing w:after="0"/>
        <w:rPr>
          <w:rFonts w:ascii="Arial" w:hAnsi="Arial" w:cs="Arial"/>
          <w:b/>
          <w:i/>
          <w:sz w:val="22"/>
        </w:rPr>
      </w:pPr>
    </w:p>
    <w:p w14:paraId="2D6F3FF4" w14:textId="77777777" w:rsidR="002E2B71" w:rsidRPr="00A24E7E" w:rsidRDefault="002E2B71" w:rsidP="00441B6F">
      <w:pPr>
        <w:pStyle w:val="Body"/>
        <w:spacing w:after="0"/>
        <w:rPr>
          <w:rFonts w:ascii="Arial" w:hAnsi="Arial" w:cs="Arial"/>
          <w:i/>
        </w:rPr>
      </w:pPr>
    </w:p>
    <w:p w14:paraId="1FF53F05" w14:textId="77777777" w:rsidR="007F7B32" w:rsidRPr="007C202E" w:rsidRDefault="00902823" w:rsidP="00441B6F">
      <w:pPr>
        <w:pStyle w:val="AbstHead"/>
        <w:spacing w:after="0"/>
        <w:jc w:val="both"/>
        <w:rPr>
          <w:rFonts w:ascii="Arial" w:hAnsi="Arial" w:cs="Arial"/>
        </w:rPr>
      </w:pPr>
      <w:r w:rsidRPr="007C202E">
        <w:rPr>
          <w:rFonts w:ascii="Arial" w:hAnsi="Arial" w:cs="Arial"/>
        </w:rPr>
        <w:t xml:space="preserve">1. </w:t>
      </w:r>
      <w:r w:rsidR="00B01FCD" w:rsidRPr="007C202E">
        <w:rPr>
          <w:rFonts w:ascii="Arial" w:hAnsi="Arial" w:cs="Arial"/>
        </w:rPr>
        <w:t>INTRODUCTION</w:t>
      </w:r>
      <w:r w:rsidR="007F7B32" w:rsidRPr="007C202E">
        <w:rPr>
          <w:rFonts w:ascii="Arial" w:hAnsi="Arial" w:cs="Arial"/>
        </w:rPr>
        <w:t xml:space="preserve"> </w:t>
      </w:r>
    </w:p>
    <w:p w14:paraId="1E7F7251" w14:textId="77777777" w:rsidR="00790ADA" w:rsidRPr="00FB3A86" w:rsidRDefault="00790ADA" w:rsidP="00441B6F">
      <w:pPr>
        <w:pStyle w:val="AbstHead"/>
        <w:spacing w:after="0"/>
        <w:jc w:val="both"/>
        <w:rPr>
          <w:rFonts w:ascii="Arial" w:hAnsi="Arial" w:cs="Arial"/>
        </w:rPr>
      </w:pPr>
    </w:p>
    <w:p w14:paraId="3E585FDE" w14:textId="0116A8B9" w:rsidR="00790ADA" w:rsidRPr="00796BC8" w:rsidRDefault="007E6FE4" w:rsidP="00796BC8">
      <w:pPr>
        <w:pStyle w:val="Body"/>
        <w:spacing w:after="0"/>
        <w:rPr>
          <w:rFonts w:asciiTheme="minorBidi" w:hAnsiTheme="minorBidi" w:cstheme="minorBidi"/>
        </w:rPr>
      </w:pPr>
      <w:r w:rsidRPr="00796BC8">
        <w:rPr>
          <w:rFonts w:asciiTheme="minorBidi" w:hAnsiTheme="minorBidi" w:cstheme="minorBidi"/>
          <w:color w:val="000000"/>
        </w:rPr>
        <w:t>Inferior vena cava agenesis (IVCA) is a rare and underreported congenital malformation. Despite its low frequency, IVCA and all vena cava malformations are known to cause deep vein thrombosis [1].  Nevertheless, the pulmonary embolism</w:t>
      </w:r>
      <w:r w:rsidR="00BE2AFB">
        <w:rPr>
          <w:rFonts w:asciiTheme="minorBidi" w:hAnsiTheme="minorBidi" w:cstheme="minorBidi"/>
          <w:color w:val="000000"/>
        </w:rPr>
        <w:t xml:space="preserve"> (PE)</w:t>
      </w:r>
      <w:r w:rsidRPr="00796BC8">
        <w:rPr>
          <w:rFonts w:asciiTheme="minorBidi" w:hAnsiTheme="minorBidi" w:cstheme="minorBidi"/>
          <w:color w:val="000000"/>
        </w:rPr>
        <w:t xml:space="preserve"> remains much less described in association with this anatomical anomaly [2]. Moreover, until today, no case of inferior vena cave agenesis with severe pulmonary embolism has been reported. We report a case of a patient with agenesis of the inferior vena </w:t>
      </w:r>
      <w:r w:rsidRPr="00796BC8">
        <w:rPr>
          <w:rFonts w:asciiTheme="minorBidi" w:hAnsiTheme="minorBidi" w:cstheme="minorBidi"/>
          <w:color w:val="000000"/>
        </w:rPr>
        <w:lastRenderedPageBreak/>
        <w:t>with azygous continuation, who presented with a severe pulmonary embolism and was treated successfully with Tenecteplase.</w:t>
      </w:r>
    </w:p>
    <w:p w14:paraId="5F62AEE6" w14:textId="77777777" w:rsidR="00E669AA" w:rsidRPr="00796BC8" w:rsidRDefault="00E669AA" w:rsidP="00796BC8">
      <w:pPr>
        <w:pStyle w:val="Body"/>
        <w:spacing w:after="0"/>
        <w:rPr>
          <w:rFonts w:asciiTheme="minorBidi" w:hAnsiTheme="minorBidi" w:cstheme="minorBidi"/>
        </w:rPr>
      </w:pPr>
    </w:p>
    <w:p w14:paraId="05A71F57" w14:textId="77777777" w:rsidR="003070FE" w:rsidRDefault="003070FE" w:rsidP="00441B6F">
      <w:pPr>
        <w:pStyle w:val="Body"/>
        <w:spacing w:after="0"/>
        <w:rPr>
          <w:rFonts w:ascii="Arial" w:hAnsi="Arial" w:cs="Arial"/>
        </w:rPr>
      </w:pPr>
    </w:p>
    <w:p w14:paraId="5C55C8C4" w14:textId="77777777" w:rsidR="007F7B32" w:rsidRDefault="00902823" w:rsidP="00441B6F">
      <w:pPr>
        <w:pStyle w:val="AbstHead"/>
        <w:spacing w:after="0"/>
        <w:jc w:val="both"/>
        <w:rPr>
          <w:rFonts w:ascii="Arial" w:hAnsi="Arial" w:cs="Arial"/>
        </w:rPr>
      </w:pPr>
      <w:r>
        <w:rPr>
          <w:rFonts w:ascii="Arial" w:hAnsi="Arial" w:cs="Arial"/>
        </w:rPr>
        <w:t xml:space="preserve">2. </w:t>
      </w:r>
      <w:r w:rsidR="00D86E25">
        <w:rPr>
          <w:rFonts w:ascii="Arial" w:hAnsi="Arial" w:cs="Arial"/>
        </w:rPr>
        <w:t>CASE PRESENTATION</w:t>
      </w:r>
    </w:p>
    <w:p w14:paraId="6203E3BD" w14:textId="77777777" w:rsidR="00790ADA" w:rsidRPr="00D86E25" w:rsidRDefault="00790ADA" w:rsidP="00D86E25">
      <w:pPr>
        <w:pStyle w:val="AbstHead"/>
        <w:spacing w:after="0"/>
        <w:jc w:val="both"/>
        <w:rPr>
          <w:rFonts w:ascii="Arial" w:hAnsi="Arial" w:cs="Arial"/>
          <w:sz w:val="18"/>
        </w:rPr>
      </w:pPr>
    </w:p>
    <w:p w14:paraId="48214193" w14:textId="73E83CED" w:rsidR="00A03B96" w:rsidRDefault="007E6FE4" w:rsidP="00441B6F">
      <w:pPr>
        <w:pStyle w:val="Body"/>
        <w:spacing w:after="0"/>
        <w:rPr>
          <w:rFonts w:asciiTheme="minorBidi" w:hAnsiTheme="minorBidi" w:cstheme="minorBidi"/>
          <w:color w:val="000000"/>
        </w:rPr>
      </w:pPr>
      <w:r w:rsidRPr="00796BC8">
        <w:rPr>
          <w:rFonts w:asciiTheme="minorBidi" w:hAnsiTheme="minorBidi" w:cstheme="minorBidi"/>
          <w:color w:val="000000"/>
        </w:rPr>
        <w:t xml:space="preserve"> A 56-year-old patient with insulin-dependent diabetes as a cardiovascular risk factor. He had no major risk factor for venous thromboembolic disease.  He was admitted with a 24 </w:t>
      </w:r>
      <w:proofErr w:type="gramStart"/>
      <w:r w:rsidRPr="00796BC8">
        <w:rPr>
          <w:rFonts w:asciiTheme="minorBidi" w:hAnsiTheme="minorBidi" w:cstheme="minorBidi"/>
          <w:color w:val="000000"/>
        </w:rPr>
        <w:t>hours  history</w:t>
      </w:r>
      <w:proofErr w:type="gramEnd"/>
      <w:r w:rsidRPr="00796BC8">
        <w:rPr>
          <w:rFonts w:asciiTheme="minorBidi" w:hAnsiTheme="minorBidi" w:cstheme="minorBidi"/>
          <w:color w:val="000000"/>
        </w:rPr>
        <w:t xml:space="preserve"> of   syncope repeated 3 times in the same hour with profuse sweating, without prodromes, without sign of convulsion or notion of loss of urine. </w:t>
      </w:r>
      <w:r w:rsidRPr="00796BC8">
        <w:rPr>
          <w:rFonts w:asciiTheme="minorBidi" w:hAnsiTheme="minorBidi" w:cstheme="minorBidi"/>
          <w:color w:val="000000"/>
        </w:rPr>
        <w:br/>
        <w:t>On physical examination, patient in shock: hemodynamically unstable with systolic blood pressure at 85mmHg, tachycardia at 120bpm, polypnea at 33 cycles per minute with hypoxemia on room air (SaO2: 86%). </w:t>
      </w:r>
      <w:r w:rsidRPr="00796BC8">
        <w:rPr>
          <w:rFonts w:asciiTheme="minorBidi" w:hAnsiTheme="minorBidi" w:cstheme="minorBidi"/>
          <w:color w:val="000000"/>
        </w:rPr>
        <w:br/>
        <w:t xml:space="preserve">The ECG performed in first intention found a sinus tachycardia at 125 beats per minute, a right axial deviation with incomplete right bundle block. A trans-thoracic echocardiography was then performed showing a floating right auricle thrombus (Figure 1), a dilated right ventricle in severe dysfunction with paradoxical septum, and pulmonary artery systolic pressure is 62 mmHg. The global contractility of the left ventricle remained nevertheless preserved with a left ventricular ejection fraction at 50%, the whole evoking a severe pulmonary embolism. A thoracic </w:t>
      </w:r>
      <w:proofErr w:type="spellStart"/>
      <w:r w:rsidRPr="00796BC8">
        <w:rPr>
          <w:rFonts w:asciiTheme="minorBidi" w:hAnsiTheme="minorBidi" w:cstheme="minorBidi"/>
          <w:color w:val="000000"/>
        </w:rPr>
        <w:t>angioscanner</w:t>
      </w:r>
      <w:proofErr w:type="spellEnd"/>
      <w:r w:rsidRPr="00796BC8">
        <w:rPr>
          <w:rFonts w:asciiTheme="minorBidi" w:hAnsiTheme="minorBidi" w:cstheme="minorBidi"/>
          <w:color w:val="000000"/>
        </w:rPr>
        <w:t xml:space="preserve"> was performed showing a massive bilateral pulmonary embolism (Figure 2a), a situs inversus in the proximal abdomen, and anomaly of venous return with agenesis of the inferior vena cave with Azygos continuation (Figure 2b).</w:t>
      </w:r>
      <w:r w:rsidRPr="00796BC8">
        <w:rPr>
          <w:rFonts w:asciiTheme="minorBidi" w:hAnsiTheme="minorBidi" w:cstheme="minorBidi"/>
          <w:color w:val="000000"/>
        </w:rPr>
        <w:br/>
        <w:t xml:space="preserve">The patient immediately received thrombolytic therapy, </w:t>
      </w:r>
      <w:proofErr w:type="spellStart"/>
      <w:r w:rsidRPr="00796BC8">
        <w:rPr>
          <w:rFonts w:asciiTheme="minorBidi" w:hAnsiTheme="minorBidi" w:cstheme="minorBidi"/>
          <w:color w:val="000000"/>
        </w:rPr>
        <w:t>tenecteplase</w:t>
      </w:r>
      <w:proofErr w:type="spellEnd"/>
      <w:r w:rsidRPr="00796BC8">
        <w:rPr>
          <w:rFonts w:asciiTheme="minorBidi" w:hAnsiTheme="minorBidi" w:cstheme="minorBidi"/>
          <w:color w:val="000000"/>
        </w:rPr>
        <w:t xml:space="preserve"> (recombinant tissue plasminogen activator) at dose-weight, followed by unfractionated heparin. Clinically, the patient improved markedly with hemodynamic and respiratory stability. A trans-thoracic echocardiogram performed 24 hours later showed complete disappearance of the right heart thrombus with improvement in right ventricular function and a decrease in pulmonary artery systolic pressure to 36 mmHg. The follow-up </w:t>
      </w:r>
      <w:proofErr w:type="spellStart"/>
      <w:r w:rsidRPr="00796BC8">
        <w:rPr>
          <w:rFonts w:asciiTheme="minorBidi" w:hAnsiTheme="minorBidi" w:cstheme="minorBidi"/>
          <w:color w:val="000000"/>
        </w:rPr>
        <w:t>angioscanner</w:t>
      </w:r>
      <w:proofErr w:type="spellEnd"/>
      <w:r w:rsidRPr="00796BC8">
        <w:rPr>
          <w:rFonts w:asciiTheme="minorBidi" w:hAnsiTheme="minorBidi" w:cstheme="minorBidi"/>
          <w:color w:val="000000"/>
        </w:rPr>
        <w:t xml:space="preserve"> performed 48 hours after thrombolysis showed improvement compared with the initial images. The patient underwent a Doppler ultrasound of the lower limbs which came back without abnormalities. In addition, etiologic assessment looking for a </w:t>
      </w:r>
      <w:proofErr w:type="spellStart"/>
      <w:r w:rsidRPr="00796BC8">
        <w:rPr>
          <w:rFonts w:asciiTheme="minorBidi" w:hAnsiTheme="minorBidi" w:cstheme="minorBidi"/>
          <w:color w:val="000000"/>
        </w:rPr>
        <w:t>thrombophilic</w:t>
      </w:r>
      <w:proofErr w:type="spellEnd"/>
      <w:r w:rsidRPr="00796BC8">
        <w:rPr>
          <w:rFonts w:asciiTheme="minorBidi" w:hAnsiTheme="minorBidi" w:cstheme="minorBidi"/>
          <w:color w:val="000000"/>
        </w:rPr>
        <w:t xml:space="preserve"> background has been done and came back negative. The patient was then discharged from the hospital on the 8th day after stabilization of his INR (international normalized ratio) under oral anticoagulation with regular follow-up in the outpatient department. Follow up at 3 and 6 months revealed no new thrombotic episode.</w:t>
      </w:r>
    </w:p>
    <w:p w14:paraId="55A3193F" w14:textId="77777777" w:rsidR="007C202E" w:rsidRPr="00796BC8" w:rsidRDefault="007C202E" w:rsidP="00441B6F">
      <w:pPr>
        <w:pStyle w:val="Body"/>
        <w:spacing w:after="0"/>
        <w:rPr>
          <w:rFonts w:asciiTheme="minorBidi" w:hAnsiTheme="minorBidi" w:cstheme="minorBidi"/>
          <w:color w:val="000000"/>
        </w:rPr>
      </w:pPr>
    </w:p>
    <w:p w14:paraId="75068EE7" w14:textId="77777777" w:rsidR="007C202E" w:rsidRDefault="007C202E" w:rsidP="007C202E">
      <w:pPr>
        <w:autoSpaceDE w:val="0"/>
        <w:autoSpaceDN w:val="0"/>
        <w:adjustRightInd w:val="0"/>
        <w:jc w:val="center"/>
        <w:rPr>
          <w:rFonts w:ascii="Arial" w:hAnsi="Arial" w:cs="Arial"/>
          <w:b/>
          <w:bCs/>
          <w:szCs w:val="22"/>
        </w:rPr>
      </w:pPr>
      <w:r>
        <w:rPr>
          <w:noProof/>
          <w:lang w:eastAsia="fr-FR"/>
        </w:rPr>
        <w:drawing>
          <wp:inline distT="0" distB="0" distL="0" distR="0" wp14:anchorId="11CB43E1" wp14:editId="3DF7DACA">
            <wp:extent cx="3325585" cy="278554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7576" cy="2803968"/>
                    </a:xfrm>
                    <a:prstGeom prst="rect">
                      <a:avLst/>
                    </a:prstGeom>
                    <a:noFill/>
                    <a:ln>
                      <a:noFill/>
                    </a:ln>
                  </pic:spPr>
                </pic:pic>
              </a:graphicData>
            </a:graphic>
          </wp:inline>
        </w:drawing>
      </w:r>
      <w:r>
        <w:rPr>
          <w:rFonts w:ascii="Times New Roman" w:hAnsi="Times New Roman"/>
          <w:noProof/>
          <w:lang w:eastAsia="fr-FR"/>
        </w:rPr>
        <w:t xml:space="preserve"> </w:t>
      </w:r>
    </w:p>
    <w:p w14:paraId="17A51E3E" w14:textId="77777777" w:rsidR="007C202E" w:rsidRDefault="007C202E" w:rsidP="007C202E">
      <w:pPr>
        <w:autoSpaceDE w:val="0"/>
        <w:autoSpaceDN w:val="0"/>
        <w:adjustRightInd w:val="0"/>
        <w:jc w:val="both"/>
        <w:rPr>
          <w:rFonts w:ascii="Arial" w:hAnsi="Arial" w:cs="Arial"/>
          <w:b/>
          <w:bCs/>
          <w:szCs w:val="22"/>
        </w:rPr>
      </w:pPr>
    </w:p>
    <w:p w14:paraId="348600C6" w14:textId="2B768DC9" w:rsidR="007C202E" w:rsidRDefault="007C202E" w:rsidP="007C202E">
      <w:pPr>
        <w:autoSpaceDE w:val="0"/>
        <w:autoSpaceDN w:val="0"/>
        <w:adjustRightInd w:val="0"/>
        <w:jc w:val="center"/>
        <w:rPr>
          <w:rFonts w:ascii="Arial" w:hAnsi="Arial" w:cs="Arial"/>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Pr>
          <w:rFonts w:ascii="Calibri" w:hAnsi="Calibri" w:cs="Calibri"/>
          <w:b/>
          <w:bCs/>
          <w:color w:val="000000"/>
          <w:sz w:val="22"/>
          <w:szCs w:val="22"/>
        </w:rPr>
        <w:t>Transthoracic echocardiography showing multiple mobile thrombi in the right atrium (Red arrows).</w:t>
      </w:r>
    </w:p>
    <w:p w14:paraId="13D87404" w14:textId="50DD44DA" w:rsidR="007C202E" w:rsidRDefault="007C202E" w:rsidP="007C202E">
      <w:pPr>
        <w:pStyle w:val="Body"/>
        <w:spacing w:after="0"/>
        <w:jc w:val="center"/>
        <w:rPr>
          <w:rFonts w:ascii="Arial" w:hAnsi="Arial" w:cs="Arial"/>
        </w:rPr>
      </w:pPr>
      <w:r>
        <w:rPr>
          <w:rFonts w:ascii="Arial" w:hAnsi="Arial" w:cs="Arial"/>
          <w:noProof/>
        </w:rPr>
        <w:lastRenderedPageBreak/>
        <w:drawing>
          <wp:inline distT="0" distB="0" distL="0" distR="0" wp14:anchorId="68915F3B" wp14:editId="05823464">
            <wp:extent cx="2625343" cy="19018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5">
                      <a:extLst>
                        <a:ext uri="{28A0092B-C50C-407E-A947-70E740481C1C}">
                          <a14:useLocalDpi xmlns:a14="http://schemas.microsoft.com/office/drawing/2010/main" val="0"/>
                        </a:ext>
                      </a:extLst>
                    </a:blip>
                    <a:srcRect t="4804" b="4804"/>
                    <a:stretch>
                      <a:fillRect/>
                    </a:stretch>
                  </pic:blipFill>
                  <pic:spPr bwMode="auto">
                    <a:xfrm>
                      <a:off x="0" y="0"/>
                      <a:ext cx="2625343" cy="1901863"/>
                    </a:xfrm>
                    <a:prstGeom prst="rect">
                      <a:avLst/>
                    </a:prstGeom>
                    <a:noFill/>
                    <a:ln>
                      <a:noFill/>
                    </a:ln>
                    <a:extLst>
                      <a:ext uri="{53640926-AAD7-44D8-BBD7-CCE9431645EC}">
                        <a14:shadowObscured xmlns:a14="http://schemas.microsoft.com/office/drawing/2010/main"/>
                      </a:ext>
                    </a:extLst>
                  </pic:spPr>
                </pic:pic>
              </a:graphicData>
            </a:graphic>
          </wp:inline>
        </w:drawing>
      </w:r>
      <w:r w:rsidRPr="007E6FE4">
        <w:rPr>
          <w:rFonts w:ascii="Arial" w:hAnsi="Arial" w:cs="Arial"/>
        </w:rPr>
        <w:t xml:space="preserve"> </w:t>
      </w:r>
      <w:r>
        <w:rPr>
          <w:rFonts w:ascii="Arial" w:hAnsi="Arial" w:cs="Arial"/>
          <w:noProof/>
        </w:rPr>
        <w:drawing>
          <wp:inline distT="0" distB="0" distL="0" distR="0" wp14:anchorId="7CDAC12E" wp14:editId="4F3ABE5D">
            <wp:extent cx="2392359" cy="191974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92359" cy="1919743"/>
                    </a:xfrm>
                    <a:prstGeom prst="rect">
                      <a:avLst/>
                    </a:prstGeom>
                    <a:noFill/>
                    <a:ln>
                      <a:noFill/>
                    </a:ln>
                  </pic:spPr>
                </pic:pic>
              </a:graphicData>
            </a:graphic>
          </wp:inline>
        </w:drawing>
      </w:r>
    </w:p>
    <w:p w14:paraId="71E766E3" w14:textId="77777777" w:rsidR="007C202E" w:rsidRPr="00FB3A86" w:rsidRDefault="007C202E" w:rsidP="007C202E">
      <w:pPr>
        <w:pStyle w:val="Body"/>
        <w:spacing w:after="0"/>
        <w:jc w:val="center"/>
        <w:rPr>
          <w:rFonts w:ascii="Arial" w:hAnsi="Arial" w:cs="Arial"/>
        </w:rPr>
      </w:pPr>
    </w:p>
    <w:p w14:paraId="5562FD76" w14:textId="77777777" w:rsidR="007C202E" w:rsidRPr="007E6FE4" w:rsidRDefault="007C202E" w:rsidP="007C202E">
      <w:pPr>
        <w:rPr>
          <w:rFonts w:ascii="Arial" w:hAnsi="Arial" w:cs="Arial"/>
          <w:b/>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Pr>
          <w:rFonts w:ascii="Arial" w:hAnsi="Arial" w:cs="Arial"/>
          <w:b/>
        </w:rPr>
        <w:t>(</w:t>
      </w:r>
      <w:r w:rsidRPr="007E6FE4">
        <w:rPr>
          <w:rFonts w:ascii="Arial" w:hAnsi="Arial" w:cs="Arial"/>
          <w:b/>
        </w:rPr>
        <w:t>a</w:t>
      </w:r>
      <w:r>
        <w:rPr>
          <w:rFonts w:ascii="Arial" w:hAnsi="Arial" w:cs="Arial"/>
          <w:b/>
        </w:rPr>
        <w:t>)</w:t>
      </w:r>
      <w:r w:rsidRPr="007E6FE4">
        <w:rPr>
          <w:rFonts w:ascii="Arial" w:hAnsi="Arial" w:cs="Arial"/>
          <w:b/>
        </w:rPr>
        <w:t xml:space="preserve">. Thoracic </w:t>
      </w:r>
      <w:proofErr w:type="spellStart"/>
      <w:r w:rsidRPr="007E6FE4">
        <w:rPr>
          <w:rFonts w:ascii="Arial" w:hAnsi="Arial" w:cs="Arial"/>
          <w:b/>
        </w:rPr>
        <w:t>angioscanner</w:t>
      </w:r>
      <w:proofErr w:type="spellEnd"/>
      <w:r w:rsidRPr="007E6FE4">
        <w:rPr>
          <w:rFonts w:ascii="Arial" w:hAnsi="Arial" w:cs="Arial"/>
          <w:b/>
        </w:rPr>
        <w:t xml:space="preserve"> revealing a massive bilateral pulmonary embolism </w:t>
      </w:r>
    </w:p>
    <w:p w14:paraId="51A28064" w14:textId="77777777" w:rsidR="007C202E" w:rsidRDefault="007C202E" w:rsidP="007C202E">
      <w:pPr>
        <w:jc w:val="center"/>
        <w:rPr>
          <w:sz w:val="32"/>
        </w:rPr>
      </w:pPr>
      <w:r>
        <w:rPr>
          <w:rFonts w:ascii="Arial" w:hAnsi="Arial" w:cs="Arial"/>
          <w:b/>
        </w:rPr>
        <w:t>(b)</w:t>
      </w:r>
      <w:r w:rsidRPr="007E6FE4">
        <w:rPr>
          <w:rFonts w:ascii="Arial" w:hAnsi="Arial" w:cs="Arial"/>
          <w:b/>
        </w:rPr>
        <w:t xml:space="preserve">. Thoracic </w:t>
      </w:r>
      <w:proofErr w:type="spellStart"/>
      <w:r w:rsidRPr="007E6FE4">
        <w:rPr>
          <w:rFonts w:ascii="Arial" w:hAnsi="Arial" w:cs="Arial"/>
          <w:b/>
        </w:rPr>
        <w:t>angioscanner</w:t>
      </w:r>
      <w:proofErr w:type="spellEnd"/>
      <w:r w:rsidRPr="007E6FE4">
        <w:rPr>
          <w:rFonts w:ascii="Arial" w:hAnsi="Arial" w:cs="Arial"/>
          <w:b/>
        </w:rPr>
        <w:t xml:space="preserve"> revealing agenesis of the inferior vena cave with Azygos continuation.</w:t>
      </w:r>
    </w:p>
    <w:p w14:paraId="62246513" w14:textId="77777777" w:rsidR="007C202E" w:rsidRDefault="007C202E" w:rsidP="007C202E">
      <w:pPr>
        <w:autoSpaceDE w:val="0"/>
        <w:autoSpaceDN w:val="0"/>
        <w:adjustRightInd w:val="0"/>
        <w:jc w:val="both"/>
        <w:rPr>
          <w:rFonts w:ascii="Arial" w:hAnsi="Arial" w:cs="Arial"/>
        </w:rPr>
      </w:pPr>
    </w:p>
    <w:p w14:paraId="3A8FD8AF" w14:textId="77777777" w:rsidR="00790ADA" w:rsidRPr="00FB3A86" w:rsidRDefault="00790ADA" w:rsidP="007C202E">
      <w:pPr>
        <w:pStyle w:val="AbstHead"/>
        <w:spacing w:after="0"/>
        <w:jc w:val="both"/>
        <w:rPr>
          <w:rFonts w:ascii="Arial" w:hAnsi="Arial" w:cs="Arial"/>
        </w:rPr>
      </w:pPr>
    </w:p>
    <w:p w14:paraId="3B78741D" w14:textId="77777777" w:rsidR="00902823" w:rsidRDefault="00000F8F" w:rsidP="007C202E">
      <w:pPr>
        <w:pStyle w:val="AbstHead"/>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70B5268" w14:textId="77777777" w:rsidR="00790ADA" w:rsidRPr="00FB3A86" w:rsidRDefault="00790ADA" w:rsidP="00441B6F">
      <w:pPr>
        <w:pStyle w:val="Head1"/>
        <w:spacing w:after="0"/>
        <w:jc w:val="both"/>
        <w:rPr>
          <w:rFonts w:ascii="Arial" w:hAnsi="Arial" w:cs="Arial"/>
        </w:rPr>
      </w:pPr>
    </w:p>
    <w:p w14:paraId="68AB26D6"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The IVCA is recognized as one of the entities responsible for deep vein thrombosis (DVT) [1]. </w:t>
      </w:r>
    </w:p>
    <w:p w14:paraId="08FDE053" w14:textId="6464E90A"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xml:space="preserve">The evolution of DVT on the IVCA rarely leads to pulmonary embolism [2]. </w:t>
      </w:r>
      <w:r w:rsidR="00BE2AFB">
        <w:rPr>
          <w:rFonts w:asciiTheme="minorBidi" w:hAnsiTheme="minorBidi" w:cstheme="minorBidi"/>
          <w:color w:val="000000"/>
        </w:rPr>
        <w:t xml:space="preserve">No cases </w:t>
      </w:r>
      <w:r w:rsidRPr="00796BC8">
        <w:rPr>
          <w:rFonts w:asciiTheme="minorBidi" w:hAnsiTheme="minorBidi" w:cstheme="minorBidi"/>
          <w:color w:val="000000"/>
        </w:rPr>
        <w:t xml:space="preserve">of Inferior Vena Cava Agenesis with Free-floating right heart </w:t>
      </w:r>
      <w:r w:rsidR="006B3C39">
        <w:rPr>
          <w:rFonts w:asciiTheme="minorBidi" w:hAnsiTheme="minorBidi" w:cstheme="minorBidi"/>
          <w:color w:val="000000"/>
        </w:rPr>
        <w:t xml:space="preserve">thrombus </w:t>
      </w:r>
      <w:r w:rsidRPr="00796BC8">
        <w:rPr>
          <w:rFonts w:asciiTheme="minorBidi" w:hAnsiTheme="minorBidi" w:cstheme="minorBidi"/>
          <w:color w:val="000000"/>
        </w:rPr>
        <w:t>and severe pulmonary embolism have been reported in the literature</w:t>
      </w:r>
      <w:r w:rsidR="00AA62AB">
        <w:rPr>
          <w:rFonts w:asciiTheme="minorBidi" w:hAnsiTheme="minorBidi" w:cstheme="minorBidi"/>
          <w:color w:val="000000"/>
        </w:rPr>
        <w:t>.</w:t>
      </w:r>
    </w:p>
    <w:p w14:paraId="0E9377F1"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w:t>
      </w:r>
    </w:p>
    <w:p w14:paraId="6889664E" w14:textId="100BB567" w:rsidR="00D42D13" w:rsidRDefault="00D42D13" w:rsidP="00796BC8">
      <w:pPr>
        <w:pStyle w:val="Body"/>
        <w:spacing w:after="0"/>
      </w:pPr>
      <w:r>
        <w:t>Pulmonary embolism is generally managed with anticoagulation, using agents such as unfractionated heparin or low-molecular-weight heparin</w:t>
      </w:r>
      <w:r w:rsidR="002E14D4">
        <w:t xml:space="preserve"> </w:t>
      </w:r>
      <w:r w:rsidR="002E14D4" w:rsidRPr="00796BC8">
        <w:rPr>
          <w:rFonts w:asciiTheme="minorBidi" w:hAnsiTheme="minorBidi" w:cstheme="minorBidi"/>
          <w:color w:val="000000"/>
        </w:rPr>
        <w:t xml:space="preserve">[3].  </w:t>
      </w:r>
      <w:r>
        <w:t xml:space="preserve">These treatments do not dissolve the thrombus itself; rather, they prevent further clot propagation. In contrast, fibrinolytic drugs—including alteplase and </w:t>
      </w:r>
      <w:proofErr w:type="spellStart"/>
      <w:r>
        <w:t>tenecteplase</w:t>
      </w:r>
      <w:proofErr w:type="spellEnd"/>
      <w:r>
        <w:t>—actively degrade established thrombi and can rapidly restore perfusion</w:t>
      </w:r>
      <w:r w:rsidR="00F72F2A">
        <w:t xml:space="preserve"> [4]</w:t>
      </w:r>
      <w:r>
        <w:t>. Their use, however, is limited by the risk of bleeding complications. In real-world practice, major hemorrhage has been reported in up to one fifth of patients treated with thrombolytics, and intracranial bleeding, although less frequent, remains a serious concern</w:t>
      </w:r>
      <w:r w:rsidR="002E14D4">
        <w:t xml:space="preserve"> [</w:t>
      </w:r>
      <w:r w:rsidR="00F72F2A">
        <w:t>5</w:t>
      </w:r>
      <w:r w:rsidR="002E14D4">
        <w:t>]</w:t>
      </w:r>
      <w:r>
        <w:t>. For this reason, thrombolytic therapy should be reserved for carefully selected patients in whom the expected benefits outweigh the potential harms.</w:t>
      </w:r>
    </w:p>
    <w:p w14:paraId="3A68B151" w14:textId="77777777" w:rsidR="00D42D13" w:rsidRDefault="00D42D13" w:rsidP="00796BC8">
      <w:pPr>
        <w:pStyle w:val="Body"/>
        <w:spacing w:after="0"/>
      </w:pPr>
    </w:p>
    <w:p w14:paraId="4A6D1D56" w14:textId="0A7F839C"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xml:space="preserve">Free-floating right heart thrombus is a severe form of thromboembolic disease that usually coexists with a massive </w:t>
      </w:r>
      <w:r w:rsidR="00F862CC">
        <w:rPr>
          <w:rFonts w:asciiTheme="minorBidi" w:hAnsiTheme="minorBidi" w:cstheme="minorBidi"/>
          <w:color w:val="000000"/>
        </w:rPr>
        <w:t xml:space="preserve">PE </w:t>
      </w:r>
      <w:r w:rsidRPr="00796BC8">
        <w:rPr>
          <w:rFonts w:asciiTheme="minorBidi" w:hAnsiTheme="minorBidi" w:cstheme="minorBidi"/>
          <w:color w:val="000000"/>
        </w:rPr>
        <w:t>and substantially increased risk of mortality compared to the presence of pulmonary thromboembolism alone [</w:t>
      </w:r>
      <w:r w:rsidR="00F72F2A">
        <w:rPr>
          <w:rFonts w:asciiTheme="minorBidi" w:hAnsiTheme="minorBidi" w:cstheme="minorBidi"/>
          <w:color w:val="000000"/>
        </w:rPr>
        <w:t>6</w:t>
      </w:r>
      <w:r w:rsidRPr="00796BC8">
        <w:rPr>
          <w:rFonts w:asciiTheme="minorBidi" w:hAnsiTheme="minorBidi" w:cstheme="minorBidi"/>
          <w:color w:val="000000"/>
        </w:rPr>
        <w:t xml:space="preserve">].  A right atrial thrombus and a massive PE with presentation of shock (either a systolic blood pressure of less than 90 mmHg or a pressure drop of at least 40 mmHg that lasts 15 minutes or longer), thrombolytic therapy is recommended as first-line therapy </w:t>
      </w:r>
      <w:r w:rsidR="00D42D13">
        <w:rPr>
          <w:rFonts w:asciiTheme="minorBidi" w:hAnsiTheme="minorBidi" w:cstheme="minorBidi"/>
          <w:color w:val="000000"/>
        </w:rPr>
        <w:t>i</w:t>
      </w:r>
      <w:r w:rsidRPr="00796BC8">
        <w:rPr>
          <w:rFonts w:asciiTheme="minorBidi" w:hAnsiTheme="minorBidi" w:cstheme="minorBidi"/>
          <w:color w:val="000000"/>
        </w:rPr>
        <w:t>n the absence of contraindications, [</w:t>
      </w:r>
      <w:r w:rsidR="00F72F2A">
        <w:rPr>
          <w:rFonts w:asciiTheme="minorBidi" w:hAnsiTheme="minorBidi" w:cstheme="minorBidi"/>
          <w:color w:val="000000"/>
        </w:rPr>
        <w:t>7</w:t>
      </w:r>
      <w:r w:rsidRPr="00796BC8">
        <w:rPr>
          <w:rFonts w:asciiTheme="minorBidi" w:hAnsiTheme="minorBidi" w:cstheme="minorBidi"/>
          <w:color w:val="000000"/>
        </w:rPr>
        <w:t>].</w:t>
      </w:r>
    </w:p>
    <w:p w14:paraId="6516B61C" w14:textId="69CABEE9" w:rsidR="007E6FE4" w:rsidRPr="00796BC8" w:rsidRDefault="007E6FE4" w:rsidP="00505B8D">
      <w:pPr>
        <w:pStyle w:val="Body"/>
        <w:spacing w:after="0"/>
        <w:rPr>
          <w:rFonts w:asciiTheme="minorBidi" w:hAnsiTheme="minorBidi" w:cstheme="minorBidi"/>
          <w:color w:val="000000"/>
        </w:rPr>
      </w:pPr>
      <w:r w:rsidRPr="00796BC8">
        <w:rPr>
          <w:rFonts w:asciiTheme="minorBidi" w:hAnsiTheme="minorBidi" w:cstheme="minorBidi"/>
          <w:color w:val="000000"/>
        </w:rPr>
        <w:t>Accelerated i</w:t>
      </w:r>
      <w:r w:rsidR="00BE2AFB">
        <w:rPr>
          <w:rFonts w:asciiTheme="minorBidi" w:hAnsiTheme="minorBidi" w:cstheme="minorBidi"/>
          <w:color w:val="000000"/>
        </w:rPr>
        <w:t>ntravenous</w:t>
      </w:r>
      <w:r w:rsidRPr="00796BC8">
        <w:rPr>
          <w:rFonts w:asciiTheme="minorBidi" w:hAnsiTheme="minorBidi" w:cstheme="minorBidi"/>
          <w:color w:val="000000"/>
        </w:rPr>
        <w:t xml:space="preserve"> administration of recombinant tissue-type plasminogen activator (</w:t>
      </w:r>
      <w:proofErr w:type="spellStart"/>
      <w:r w:rsidRPr="00796BC8">
        <w:rPr>
          <w:rFonts w:asciiTheme="minorBidi" w:hAnsiTheme="minorBidi" w:cstheme="minorBidi"/>
          <w:color w:val="000000"/>
        </w:rPr>
        <w:t>rtPA</w:t>
      </w:r>
      <w:proofErr w:type="spellEnd"/>
      <w:r w:rsidRPr="00796BC8">
        <w:rPr>
          <w:rFonts w:asciiTheme="minorBidi" w:hAnsiTheme="minorBidi" w:cstheme="minorBidi"/>
          <w:color w:val="000000"/>
        </w:rPr>
        <w:t xml:space="preserve">; 100 mg over 2 h) is preferable to prolonged infusions of first-generation thrombolytic agents (streptokinase and urokinase). UFH may be administered during continuous infusion of alteplase, but must be discontinued during infusion of streptokinase or urokinase. Tenecteplase has also been investigated, at present, Tenecteplase is not </w:t>
      </w:r>
      <w:r w:rsidR="00F862CC">
        <w:rPr>
          <w:color w:val="000000"/>
          <w:shd w:val="clear" w:color="auto" w:fill="FFFFFF"/>
        </w:rPr>
        <w:t xml:space="preserve">FDA-approved for use in </w:t>
      </w:r>
      <w:r w:rsidRPr="00796BC8">
        <w:rPr>
          <w:rFonts w:asciiTheme="minorBidi" w:hAnsiTheme="minorBidi" w:cstheme="minorBidi"/>
          <w:color w:val="000000"/>
        </w:rPr>
        <w:t>PE</w:t>
      </w:r>
      <w:r w:rsidR="00F862CC">
        <w:rPr>
          <w:rFonts w:asciiTheme="minorBidi" w:hAnsiTheme="minorBidi" w:cstheme="minorBidi"/>
          <w:color w:val="000000"/>
        </w:rPr>
        <w:t xml:space="preserve"> [</w:t>
      </w:r>
      <w:r w:rsidR="00F72F2A">
        <w:rPr>
          <w:rFonts w:asciiTheme="minorBidi" w:hAnsiTheme="minorBidi" w:cstheme="minorBidi"/>
          <w:color w:val="000000"/>
        </w:rPr>
        <w:t>8,9</w:t>
      </w:r>
      <w:r w:rsidR="00F862CC">
        <w:rPr>
          <w:rFonts w:asciiTheme="minorBidi" w:hAnsiTheme="minorBidi" w:cstheme="minorBidi"/>
          <w:color w:val="000000"/>
        </w:rPr>
        <w:t>]</w:t>
      </w:r>
      <w:r w:rsidRPr="00796BC8">
        <w:rPr>
          <w:rFonts w:asciiTheme="minorBidi" w:hAnsiTheme="minorBidi" w:cstheme="minorBidi"/>
          <w:color w:val="000000"/>
        </w:rPr>
        <w:t>.</w:t>
      </w:r>
      <w:r w:rsidR="00D42D13">
        <w:rPr>
          <w:rFonts w:asciiTheme="minorBidi" w:hAnsiTheme="minorBidi" w:cstheme="minorBidi"/>
          <w:color w:val="000000"/>
        </w:rPr>
        <w:t xml:space="preserve"> </w:t>
      </w:r>
    </w:p>
    <w:p w14:paraId="33554E94" w14:textId="38132C4E" w:rsidR="007E6FE4" w:rsidRPr="00796BC8" w:rsidRDefault="00505B8D" w:rsidP="00796BC8">
      <w:pPr>
        <w:pStyle w:val="Body"/>
        <w:spacing w:after="0"/>
        <w:rPr>
          <w:rFonts w:asciiTheme="minorBidi" w:hAnsiTheme="minorBidi" w:cstheme="minorBidi"/>
          <w:color w:val="000000"/>
        </w:rPr>
      </w:pPr>
      <w:r>
        <w:t xml:space="preserve">In our case, faced with a high-risk pulmonary embolism and the unavailability of alteplase, the patient received systemic thrombolytic therapy with </w:t>
      </w:r>
      <w:proofErr w:type="spellStart"/>
      <w:r>
        <w:t>tenecteplase</w:t>
      </w:r>
      <w:proofErr w:type="spellEnd"/>
      <w:r>
        <w:t xml:space="preserve">. This choice was supported by several meta-analyses evaluating the efficacy and safety of </w:t>
      </w:r>
      <w:proofErr w:type="spellStart"/>
      <w:r>
        <w:t>tenecteplase</w:t>
      </w:r>
      <w:proofErr w:type="spellEnd"/>
      <w:r>
        <w:t xml:space="preserve"> in patients with high-risk PE</w:t>
      </w:r>
      <w:r w:rsidR="003C0E5C">
        <w:t xml:space="preserve"> [10</w:t>
      </w:r>
      <w:r w:rsidR="00F52E97">
        <w:t>].</w:t>
      </w:r>
      <w:r w:rsidR="00F52E97" w:rsidRPr="00796BC8">
        <w:rPr>
          <w:rFonts w:asciiTheme="minorBidi" w:hAnsiTheme="minorBidi" w:cstheme="minorBidi"/>
          <w:color w:val="000000"/>
        </w:rPr>
        <w:t xml:space="preserve"> The</w:t>
      </w:r>
      <w:r w:rsidR="007E6FE4" w:rsidRPr="00796BC8">
        <w:rPr>
          <w:rFonts w:asciiTheme="minorBidi" w:hAnsiTheme="minorBidi" w:cstheme="minorBidi"/>
          <w:color w:val="000000"/>
        </w:rPr>
        <w:t xml:space="preserve"> Doppler ultrasound of the lower limbs - which was only performed in a second phase, after stabilization of the patient did not find DVT, raising the question of the presence of DVT before the administration of Tenecteplase.</w:t>
      </w:r>
    </w:p>
    <w:p w14:paraId="498C520B" w14:textId="77777777" w:rsidR="00927834" w:rsidRDefault="00927834" w:rsidP="00441B6F">
      <w:pPr>
        <w:autoSpaceDE w:val="0"/>
        <w:autoSpaceDN w:val="0"/>
        <w:adjustRightInd w:val="0"/>
        <w:jc w:val="both"/>
        <w:rPr>
          <w:rFonts w:ascii="Arial" w:hAnsi="Arial" w:cs="Arial"/>
          <w:b/>
          <w:bCs/>
          <w:szCs w:val="22"/>
        </w:rPr>
      </w:pPr>
    </w:p>
    <w:p w14:paraId="273450BB" w14:textId="77777777" w:rsidR="00E053D0" w:rsidRDefault="00E053D0" w:rsidP="00441B6F">
      <w:pPr>
        <w:pStyle w:val="Body"/>
        <w:spacing w:after="0"/>
        <w:rPr>
          <w:rFonts w:ascii="Arial" w:hAnsi="Arial" w:cs="Arial"/>
        </w:rPr>
      </w:pPr>
    </w:p>
    <w:p w14:paraId="1D09DC85" w14:textId="77777777" w:rsidR="00790ADA" w:rsidRPr="00FB3A86" w:rsidRDefault="00790ADA" w:rsidP="00441B6F">
      <w:pPr>
        <w:pStyle w:val="Body"/>
        <w:spacing w:after="0"/>
        <w:rPr>
          <w:rFonts w:ascii="Arial" w:hAnsi="Arial" w:cs="Arial"/>
        </w:rPr>
      </w:pPr>
    </w:p>
    <w:p w14:paraId="1E5D91D7" w14:textId="77777777" w:rsidR="00B01FCD" w:rsidRDefault="00000F8F" w:rsidP="007C202E">
      <w:pPr>
        <w:pStyle w:val="Abst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6B0AF70" w14:textId="77777777" w:rsidR="00790ADA" w:rsidRPr="00FB3A86" w:rsidRDefault="00790ADA" w:rsidP="00441B6F">
      <w:pPr>
        <w:pStyle w:val="ConcHead"/>
        <w:spacing w:after="0"/>
        <w:jc w:val="both"/>
        <w:rPr>
          <w:rFonts w:ascii="Arial" w:hAnsi="Arial" w:cs="Arial"/>
        </w:rPr>
      </w:pPr>
    </w:p>
    <w:p w14:paraId="006CE434" w14:textId="77777777" w:rsidR="00DA50DD" w:rsidRDefault="00DA50DD" w:rsidP="00796BC8">
      <w:pPr>
        <w:pStyle w:val="Body"/>
        <w:spacing w:after="0"/>
      </w:pPr>
      <w:r>
        <w:t>Although the association between inferior vena cava agenesis and massive pulmonary embolism may be incidental, this case raises the question of whether such congenital anomalies could predispose to more severe presentations. Further studies are needed to explore this possible relationship.</w:t>
      </w:r>
    </w:p>
    <w:p w14:paraId="760AA378" w14:textId="4EFD3563"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xml:space="preserve">In patients with severe pulmonary embolism, if the </w:t>
      </w:r>
      <w:r w:rsidR="00B0483C">
        <w:rPr>
          <w:rFonts w:asciiTheme="minorBidi" w:hAnsiTheme="minorBidi" w:cstheme="minorBidi"/>
          <w:color w:val="000000"/>
        </w:rPr>
        <w:t>alteplase</w:t>
      </w:r>
      <w:r w:rsidRPr="00796BC8">
        <w:rPr>
          <w:rFonts w:asciiTheme="minorBidi" w:hAnsiTheme="minorBidi" w:cstheme="minorBidi"/>
          <w:color w:val="000000"/>
        </w:rPr>
        <w:t xml:space="preserve"> is not available, the physicians should take action </w:t>
      </w:r>
      <w:r w:rsidR="00B0483C">
        <w:rPr>
          <w:rFonts w:asciiTheme="minorBidi" w:hAnsiTheme="minorBidi" w:cstheme="minorBidi"/>
          <w:color w:val="000000"/>
        </w:rPr>
        <w:t>beyond</w:t>
      </w:r>
      <w:r w:rsidR="00B0483C">
        <w:t xml:space="preserve"> strict on-label indications </w:t>
      </w:r>
      <w:r w:rsidR="00B0483C">
        <w:t xml:space="preserve">and </w:t>
      </w:r>
      <w:r w:rsidRPr="00796BC8">
        <w:rPr>
          <w:rFonts w:asciiTheme="minorBidi" w:hAnsiTheme="minorBidi" w:cstheme="minorBidi"/>
          <w:color w:val="000000"/>
        </w:rPr>
        <w:t>guidelines to save a life.</w:t>
      </w:r>
    </w:p>
    <w:p w14:paraId="5EA56AE2" w14:textId="77777777" w:rsidR="00315186" w:rsidRPr="00315186" w:rsidRDefault="00315186" w:rsidP="00441B6F"/>
    <w:p w14:paraId="32252887" w14:textId="77777777" w:rsidR="00E669AA" w:rsidRPr="007C202E" w:rsidRDefault="00E669AA" w:rsidP="007C202E">
      <w:pPr>
        <w:pStyle w:val="AbstHead"/>
        <w:spacing w:after="0"/>
        <w:jc w:val="both"/>
        <w:rPr>
          <w:rFonts w:ascii="Arial" w:hAnsi="Arial" w:cs="Arial"/>
        </w:rPr>
      </w:pPr>
    </w:p>
    <w:p w14:paraId="56908A39" w14:textId="77777777" w:rsidR="002B685A" w:rsidRPr="007C202E" w:rsidRDefault="002B685A" w:rsidP="007C202E">
      <w:pPr>
        <w:pStyle w:val="AbstHead"/>
        <w:spacing w:after="0"/>
        <w:jc w:val="both"/>
        <w:rPr>
          <w:rFonts w:ascii="Arial" w:hAnsi="Arial" w:cs="Arial"/>
        </w:rPr>
      </w:pPr>
      <w:r w:rsidRPr="007C202E">
        <w:rPr>
          <w:rFonts w:ascii="Arial" w:hAnsi="Arial" w:cs="Arial"/>
        </w:rPr>
        <w:t>Consent (where</w:t>
      </w:r>
      <w:r w:rsidR="007369E6" w:rsidRPr="007C202E">
        <w:rPr>
          <w:rFonts w:ascii="Arial" w:hAnsi="Arial" w:cs="Arial"/>
        </w:rPr>
        <w:t xml:space="preserve"> </w:t>
      </w:r>
      <w:r w:rsidRPr="007C202E">
        <w:rPr>
          <w:rFonts w:ascii="Arial" w:hAnsi="Arial" w:cs="Arial"/>
        </w:rPr>
        <w:t>ever applicable)</w:t>
      </w:r>
    </w:p>
    <w:p w14:paraId="02139BFB" w14:textId="77777777" w:rsidR="002B685A" w:rsidRPr="002B685A" w:rsidRDefault="002B685A" w:rsidP="00441B6F">
      <w:pPr>
        <w:pStyle w:val="ReferHead"/>
        <w:spacing w:after="0"/>
        <w:jc w:val="both"/>
        <w:rPr>
          <w:rFonts w:ascii="Arial" w:hAnsi="Arial" w:cs="Arial"/>
          <w:bCs/>
        </w:rPr>
      </w:pPr>
    </w:p>
    <w:p w14:paraId="4553958B" w14:textId="77777777" w:rsidR="001A29D8" w:rsidRPr="00F469F0" w:rsidRDefault="00E669AA" w:rsidP="00E669AA">
      <w:pPr>
        <w:pStyle w:val="ReferHead"/>
        <w:spacing w:after="0"/>
        <w:jc w:val="both"/>
        <w:rPr>
          <w:rFonts w:ascii="Arial" w:hAnsi="Arial" w:cs="Arial"/>
          <w:b w:val="0"/>
          <w:caps w:val="0"/>
          <w:sz w:val="20"/>
          <w:u w:val="single"/>
        </w:rPr>
      </w:pPr>
      <w:r>
        <w:rPr>
          <w:rFonts w:ascii="Arial" w:hAnsi="Arial" w:cs="Arial"/>
          <w:b w:val="0"/>
          <w:caps w:val="0"/>
          <w:sz w:val="20"/>
        </w:rPr>
        <w:t>As per international standard or university standard, patient(s) written consent has been collected and preserved by the author(s).</w:t>
      </w:r>
    </w:p>
    <w:p w14:paraId="329CD987" w14:textId="77777777" w:rsidR="001A29D8" w:rsidRDefault="001A29D8" w:rsidP="00441B6F">
      <w:pPr>
        <w:pStyle w:val="ReferHead"/>
        <w:spacing w:after="0"/>
        <w:jc w:val="both"/>
        <w:rPr>
          <w:rFonts w:ascii="Arial" w:hAnsi="Arial" w:cs="Arial"/>
          <w:b w:val="0"/>
          <w:caps w:val="0"/>
          <w:sz w:val="20"/>
        </w:rPr>
      </w:pPr>
    </w:p>
    <w:p w14:paraId="4651ED54" w14:textId="77777777" w:rsidR="005C784C" w:rsidRPr="007C202E" w:rsidRDefault="005C784C" w:rsidP="007C202E">
      <w:pPr>
        <w:pStyle w:val="AbstHead"/>
        <w:spacing w:after="0"/>
        <w:jc w:val="both"/>
        <w:rPr>
          <w:rFonts w:ascii="Arial" w:hAnsi="Arial" w:cs="Arial"/>
        </w:rPr>
      </w:pPr>
    </w:p>
    <w:p w14:paraId="500A8ED3" w14:textId="77777777" w:rsidR="005C784C" w:rsidRPr="007C202E" w:rsidRDefault="005C784C" w:rsidP="007C202E">
      <w:pPr>
        <w:pStyle w:val="AbstHead"/>
        <w:spacing w:after="0"/>
        <w:jc w:val="both"/>
        <w:rPr>
          <w:rFonts w:ascii="Arial" w:hAnsi="Arial" w:cs="Arial"/>
        </w:rPr>
      </w:pPr>
      <w:r w:rsidRPr="007C202E">
        <w:rPr>
          <w:rFonts w:ascii="Arial" w:hAnsi="Arial" w:cs="Arial"/>
        </w:rPr>
        <w:t>Ethical approval (where</w:t>
      </w:r>
      <w:r w:rsidR="007369E6" w:rsidRPr="007C202E">
        <w:rPr>
          <w:rFonts w:ascii="Arial" w:hAnsi="Arial" w:cs="Arial"/>
        </w:rPr>
        <w:t xml:space="preserve"> </w:t>
      </w:r>
      <w:r w:rsidRPr="007C202E">
        <w:rPr>
          <w:rFonts w:ascii="Arial" w:hAnsi="Arial" w:cs="Arial"/>
        </w:rPr>
        <w:t>ever applicable)</w:t>
      </w:r>
    </w:p>
    <w:p w14:paraId="4016104A" w14:textId="77777777" w:rsidR="005C784C" w:rsidRPr="002B685A" w:rsidRDefault="005C784C" w:rsidP="00441B6F">
      <w:pPr>
        <w:pStyle w:val="ReferHead"/>
        <w:spacing w:after="0"/>
        <w:jc w:val="both"/>
        <w:rPr>
          <w:rFonts w:ascii="Arial" w:hAnsi="Arial" w:cs="Arial"/>
          <w:bCs/>
        </w:rPr>
      </w:pPr>
    </w:p>
    <w:p w14:paraId="297BC658" w14:textId="2FE598F0" w:rsidR="0041027F" w:rsidRDefault="00E669AA" w:rsidP="00E669AA">
      <w:pPr>
        <w:pStyle w:val="ReferHead"/>
        <w:spacing w:after="0"/>
        <w:jc w:val="both"/>
        <w:rPr>
          <w:rFonts w:ascii="Arial" w:hAnsi="Arial" w:cs="Arial"/>
          <w:b w:val="0"/>
          <w:caps w:val="0"/>
          <w:sz w:val="20"/>
        </w:rPr>
      </w:pPr>
      <w:r>
        <w:rPr>
          <w:rFonts w:ascii="Arial" w:hAnsi="Arial" w:cs="Arial"/>
          <w:b w:val="0"/>
          <w:caps w:val="0"/>
          <w:sz w:val="20"/>
        </w:rPr>
        <w:t xml:space="preserve">It is not applicable. </w:t>
      </w:r>
    </w:p>
    <w:p w14:paraId="16290C54" w14:textId="3C806315" w:rsidR="004A7E2D" w:rsidRDefault="004A7E2D" w:rsidP="00E669AA">
      <w:pPr>
        <w:pStyle w:val="ReferHead"/>
        <w:spacing w:after="0"/>
        <w:jc w:val="both"/>
        <w:rPr>
          <w:rFonts w:ascii="Arial" w:hAnsi="Arial" w:cs="Arial"/>
          <w:b w:val="0"/>
          <w:caps w:val="0"/>
          <w:sz w:val="20"/>
          <w:u w:val="single"/>
        </w:rPr>
      </w:pPr>
    </w:p>
    <w:p w14:paraId="7F538DA6" w14:textId="77777777" w:rsidR="00B0483C" w:rsidRDefault="00B0483C" w:rsidP="00E669AA">
      <w:pPr>
        <w:pStyle w:val="ReferHead"/>
        <w:spacing w:after="0"/>
        <w:jc w:val="both"/>
        <w:rPr>
          <w:rFonts w:ascii="Arial" w:hAnsi="Arial" w:cs="Arial"/>
        </w:rPr>
      </w:pPr>
      <w:r>
        <w:rPr>
          <w:rFonts w:ascii="Arial" w:hAnsi="Arial" w:cs="Arial"/>
        </w:rPr>
        <w:t>DISCLAIMER (ARTIFICIAL INTELLIGENCE)</w:t>
      </w:r>
    </w:p>
    <w:p w14:paraId="2466023C" w14:textId="36608DE5" w:rsidR="001E1B8F" w:rsidRDefault="00B0483C" w:rsidP="00E669AA">
      <w:pPr>
        <w:pStyle w:val="ReferHead"/>
        <w:spacing w:after="0"/>
        <w:jc w:val="both"/>
        <w:rPr>
          <w:rFonts w:ascii="Arial" w:hAnsi="Arial" w:cs="Arial"/>
          <w:b w:val="0"/>
          <w:caps w:val="0"/>
          <w:sz w:val="20"/>
          <w:u w:val="single"/>
        </w:rPr>
      </w:pPr>
      <w:r>
        <w:rPr>
          <w:rFonts w:ascii="Arial" w:hAnsi="Arial" w:cs="Arial"/>
          <w:b w:val="0"/>
          <w:caps w:val="0"/>
          <w:sz w:val="20"/>
        </w:rPr>
        <w:t xml:space="preserve">Author(s) </w:t>
      </w:r>
      <w:proofErr w:type="spellStart"/>
      <w:r>
        <w:rPr>
          <w:rFonts w:ascii="Arial" w:hAnsi="Arial" w:cs="Arial"/>
          <w:b w:val="0"/>
          <w:caps w:val="0"/>
          <w:sz w:val="20"/>
        </w:rPr>
        <w:t>herevy</w:t>
      </w:r>
      <w:proofErr w:type="spellEnd"/>
      <w:r>
        <w:rPr>
          <w:rFonts w:ascii="Arial" w:hAnsi="Arial" w:cs="Arial"/>
          <w:b w:val="0"/>
          <w:caps w:val="0"/>
          <w:sz w:val="20"/>
        </w:rPr>
        <w:t xml:space="preserve"> declare that NO generative AI technologies such as Language Models (</w:t>
      </w:r>
      <w:proofErr w:type="spellStart"/>
      <w:r>
        <w:rPr>
          <w:rFonts w:ascii="Arial" w:hAnsi="Arial" w:cs="Arial"/>
          <w:b w:val="0"/>
          <w:caps w:val="0"/>
          <w:sz w:val="20"/>
        </w:rPr>
        <w:t>ChatGPT</w:t>
      </w:r>
      <w:proofErr w:type="spellEnd"/>
      <w:r>
        <w:rPr>
          <w:rFonts w:ascii="Arial" w:hAnsi="Arial" w:cs="Arial"/>
          <w:b w:val="0"/>
          <w:caps w:val="0"/>
          <w:sz w:val="20"/>
        </w:rPr>
        <w:t xml:space="preserve">, COPILOT, </w:t>
      </w:r>
      <w:proofErr w:type="spellStart"/>
      <w:r>
        <w:rPr>
          <w:rFonts w:ascii="Arial" w:hAnsi="Arial" w:cs="Arial"/>
          <w:b w:val="0"/>
          <w:caps w:val="0"/>
          <w:sz w:val="20"/>
        </w:rPr>
        <w:t>etc</w:t>
      </w:r>
      <w:proofErr w:type="spellEnd"/>
      <w:r>
        <w:rPr>
          <w:rFonts w:ascii="Arial" w:hAnsi="Arial" w:cs="Arial"/>
          <w:b w:val="0"/>
          <w:caps w:val="0"/>
          <w:sz w:val="20"/>
        </w:rPr>
        <w:t>) and text-to-image generators have been used during the writing or editing of this manuscript.</w:t>
      </w:r>
    </w:p>
    <w:p w14:paraId="0D9099EE" w14:textId="7F6DFBED" w:rsidR="001E1B8F" w:rsidRDefault="001E1B8F" w:rsidP="00E669AA">
      <w:pPr>
        <w:pStyle w:val="ReferHead"/>
        <w:spacing w:after="0"/>
        <w:jc w:val="both"/>
        <w:rPr>
          <w:rFonts w:ascii="Arial" w:hAnsi="Arial" w:cs="Arial"/>
          <w:b w:val="0"/>
          <w:caps w:val="0"/>
          <w:sz w:val="20"/>
          <w:u w:val="single"/>
        </w:rPr>
      </w:pPr>
    </w:p>
    <w:p w14:paraId="3966A357" w14:textId="31306814" w:rsidR="001E1B8F" w:rsidRPr="00F469F0" w:rsidRDefault="001E1B8F" w:rsidP="00E669AA">
      <w:pPr>
        <w:pStyle w:val="ReferHead"/>
        <w:spacing w:after="0"/>
        <w:jc w:val="both"/>
        <w:rPr>
          <w:rFonts w:ascii="Arial" w:hAnsi="Arial" w:cs="Arial"/>
          <w:b w:val="0"/>
          <w:caps w:val="0"/>
          <w:sz w:val="20"/>
          <w:u w:val="single"/>
        </w:rPr>
      </w:pPr>
    </w:p>
    <w:p w14:paraId="0C74E12F" w14:textId="77777777" w:rsidR="00860000" w:rsidRDefault="00860000" w:rsidP="00441B6F">
      <w:pPr>
        <w:pStyle w:val="ReferHead"/>
        <w:spacing w:after="0"/>
        <w:jc w:val="both"/>
        <w:rPr>
          <w:rFonts w:ascii="Arial" w:hAnsi="Arial" w:cs="Arial"/>
        </w:rPr>
      </w:pPr>
    </w:p>
    <w:p w14:paraId="7AEF78ED" w14:textId="77777777" w:rsidR="00B01FCD" w:rsidRDefault="00B01FCD" w:rsidP="007C202E">
      <w:pPr>
        <w:pStyle w:val="AbstHead"/>
        <w:spacing w:after="0"/>
        <w:jc w:val="both"/>
        <w:rPr>
          <w:rFonts w:ascii="Arial" w:hAnsi="Arial" w:cs="Arial"/>
        </w:rPr>
      </w:pPr>
      <w:r w:rsidRPr="00FB3A86">
        <w:rPr>
          <w:rFonts w:ascii="Arial" w:hAnsi="Arial" w:cs="Arial"/>
        </w:rPr>
        <w:t>References</w:t>
      </w:r>
    </w:p>
    <w:p w14:paraId="4FFF066C" w14:textId="77777777" w:rsidR="00790ADA" w:rsidRPr="00FB3A86" w:rsidRDefault="00790ADA" w:rsidP="00441B6F">
      <w:pPr>
        <w:pStyle w:val="ReferHead"/>
        <w:spacing w:after="0"/>
        <w:jc w:val="both"/>
        <w:rPr>
          <w:rFonts w:ascii="Arial" w:hAnsi="Arial" w:cs="Arial"/>
        </w:rPr>
      </w:pPr>
    </w:p>
    <w:p w14:paraId="09BB3B2B" w14:textId="77777777" w:rsidR="00796BC8" w:rsidRPr="00796BC8" w:rsidRDefault="00796BC8" w:rsidP="00796BC8">
      <w:pPr>
        <w:spacing w:after="240"/>
        <w:ind w:hanging="384"/>
        <w:rPr>
          <w:rFonts w:ascii="Times New Roman" w:hAnsi="Times New Roman"/>
          <w:sz w:val="24"/>
          <w:szCs w:val="24"/>
          <w:lang w:eastAsia="fr-MA"/>
        </w:rPr>
      </w:pPr>
      <w:r w:rsidRPr="00796BC8">
        <w:rPr>
          <w:rFonts w:ascii="Calibri" w:hAnsi="Calibri" w:cs="Calibri"/>
          <w:color w:val="000000"/>
          <w:sz w:val="24"/>
          <w:szCs w:val="24"/>
          <w:lang w:eastAsia="fr-MA"/>
        </w:rPr>
        <w:t xml:space="preserve">1.   </w:t>
      </w:r>
      <w:r w:rsidRPr="00796BC8">
        <w:rPr>
          <w:rFonts w:ascii="Arial" w:hAnsi="Arial" w:cs="Arial"/>
          <w:color w:val="212121"/>
          <w:sz w:val="22"/>
          <w:szCs w:val="22"/>
          <w:shd w:val="clear" w:color="auto" w:fill="FFFFFF"/>
          <w:lang w:eastAsia="fr-MA"/>
        </w:rPr>
        <w:t xml:space="preserve">Kim S, Kunkel S, </w:t>
      </w:r>
      <w:proofErr w:type="spellStart"/>
      <w:r w:rsidRPr="00796BC8">
        <w:rPr>
          <w:rFonts w:ascii="Arial" w:hAnsi="Arial" w:cs="Arial"/>
          <w:color w:val="212121"/>
          <w:sz w:val="22"/>
          <w:szCs w:val="22"/>
          <w:shd w:val="clear" w:color="auto" w:fill="FFFFFF"/>
          <w:lang w:eastAsia="fr-MA"/>
        </w:rPr>
        <w:t>Browske</w:t>
      </w:r>
      <w:proofErr w:type="spellEnd"/>
      <w:r w:rsidRPr="00796BC8">
        <w:rPr>
          <w:rFonts w:ascii="Arial" w:hAnsi="Arial" w:cs="Arial"/>
          <w:color w:val="212121"/>
          <w:sz w:val="22"/>
          <w:szCs w:val="22"/>
          <w:shd w:val="clear" w:color="auto" w:fill="FFFFFF"/>
          <w:lang w:eastAsia="fr-MA"/>
        </w:rPr>
        <w:t xml:space="preserve"> K. Absent Inferior Vena Cava Leading to Recurrent Lower Extremity Deep Vein Thrombosis in a United States Marine. Mil Med. 2018 Jan 1;183(1-2</w:t>
      </w:r>
      <w:proofErr w:type="gramStart"/>
      <w:r w:rsidRPr="00796BC8">
        <w:rPr>
          <w:rFonts w:ascii="Arial" w:hAnsi="Arial" w:cs="Arial"/>
          <w:color w:val="212121"/>
          <w:sz w:val="22"/>
          <w:szCs w:val="22"/>
          <w:shd w:val="clear" w:color="auto" w:fill="FFFFFF"/>
          <w:lang w:eastAsia="fr-MA"/>
        </w:rPr>
        <w:t>):e</w:t>
      </w:r>
      <w:proofErr w:type="gramEnd"/>
      <w:r w:rsidRPr="00796BC8">
        <w:rPr>
          <w:rFonts w:ascii="Arial" w:hAnsi="Arial" w:cs="Arial"/>
          <w:color w:val="212121"/>
          <w:sz w:val="22"/>
          <w:szCs w:val="22"/>
          <w:shd w:val="clear" w:color="auto" w:fill="FFFFFF"/>
          <w:lang w:eastAsia="fr-MA"/>
        </w:rPr>
        <w:t xml:space="preserve">172-e174. </w:t>
      </w:r>
      <w:proofErr w:type="spellStart"/>
      <w:r w:rsidRPr="00796BC8">
        <w:rPr>
          <w:rFonts w:ascii="Arial" w:hAnsi="Arial" w:cs="Arial"/>
          <w:color w:val="212121"/>
          <w:sz w:val="22"/>
          <w:szCs w:val="22"/>
          <w:shd w:val="clear" w:color="auto" w:fill="FFFFFF"/>
          <w:lang w:eastAsia="fr-MA"/>
        </w:rPr>
        <w:t>doi</w:t>
      </w:r>
      <w:proofErr w:type="spellEnd"/>
      <w:r w:rsidRPr="00796BC8">
        <w:rPr>
          <w:rFonts w:ascii="Arial" w:hAnsi="Arial" w:cs="Arial"/>
          <w:color w:val="212121"/>
          <w:sz w:val="22"/>
          <w:szCs w:val="22"/>
          <w:shd w:val="clear" w:color="auto" w:fill="FFFFFF"/>
          <w:lang w:eastAsia="fr-MA"/>
        </w:rPr>
        <w:t>: 10.1093/</w:t>
      </w:r>
      <w:proofErr w:type="spellStart"/>
      <w:r w:rsidRPr="00796BC8">
        <w:rPr>
          <w:rFonts w:ascii="Arial" w:hAnsi="Arial" w:cs="Arial"/>
          <w:color w:val="212121"/>
          <w:sz w:val="22"/>
          <w:szCs w:val="22"/>
          <w:shd w:val="clear" w:color="auto" w:fill="FFFFFF"/>
          <w:lang w:eastAsia="fr-MA"/>
        </w:rPr>
        <w:t>milmed</w:t>
      </w:r>
      <w:proofErr w:type="spellEnd"/>
      <w:r w:rsidRPr="00796BC8">
        <w:rPr>
          <w:rFonts w:ascii="Arial" w:hAnsi="Arial" w:cs="Arial"/>
          <w:color w:val="212121"/>
          <w:sz w:val="22"/>
          <w:szCs w:val="22"/>
          <w:shd w:val="clear" w:color="auto" w:fill="FFFFFF"/>
          <w:lang w:eastAsia="fr-MA"/>
        </w:rPr>
        <w:t>/usx041. PMID: 29401342.</w:t>
      </w:r>
    </w:p>
    <w:p w14:paraId="6ED992D2" w14:textId="3B863ADE" w:rsidR="00796BC8" w:rsidRDefault="00796BC8" w:rsidP="00796BC8">
      <w:pPr>
        <w:spacing w:after="240"/>
        <w:ind w:hanging="384"/>
        <w:rPr>
          <w:rFonts w:ascii="Arial" w:hAnsi="Arial" w:cs="Arial"/>
          <w:color w:val="212121"/>
          <w:sz w:val="22"/>
          <w:szCs w:val="22"/>
          <w:shd w:val="clear" w:color="auto" w:fill="FFFFFF"/>
          <w:lang w:eastAsia="fr-MA"/>
        </w:rPr>
      </w:pPr>
      <w:r w:rsidRPr="00796BC8">
        <w:rPr>
          <w:rFonts w:ascii="Calibri" w:hAnsi="Calibri" w:cs="Calibri"/>
          <w:color w:val="000000"/>
          <w:sz w:val="24"/>
          <w:szCs w:val="24"/>
          <w:lang w:eastAsia="fr-MA"/>
        </w:rPr>
        <w:t xml:space="preserve">2. </w:t>
      </w:r>
      <w:r w:rsidRPr="00796BC8">
        <w:rPr>
          <w:rFonts w:ascii="Arial" w:hAnsi="Arial" w:cs="Arial"/>
          <w:color w:val="212121"/>
          <w:sz w:val="22"/>
          <w:szCs w:val="22"/>
          <w:shd w:val="clear" w:color="auto" w:fill="FFFFFF"/>
          <w:lang w:eastAsia="fr-MA"/>
        </w:rPr>
        <w:t xml:space="preserve">Oblitas CM, García-García A, Galeano-Valle F, Palacios-Bermejo A, Ojeda-García R, </w:t>
      </w:r>
      <w:proofErr w:type="spellStart"/>
      <w:r w:rsidRPr="00796BC8">
        <w:rPr>
          <w:rFonts w:ascii="Arial" w:hAnsi="Arial" w:cs="Arial"/>
          <w:color w:val="212121"/>
          <w:sz w:val="22"/>
          <w:szCs w:val="22"/>
          <w:shd w:val="clear" w:color="auto" w:fill="FFFFFF"/>
          <w:lang w:eastAsia="fr-MA"/>
        </w:rPr>
        <w:t>Echenagusía-Boyra</w:t>
      </w:r>
      <w:proofErr w:type="spellEnd"/>
      <w:r w:rsidRPr="00796BC8">
        <w:rPr>
          <w:rFonts w:ascii="Arial" w:hAnsi="Arial" w:cs="Arial"/>
          <w:color w:val="212121"/>
          <w:sz w:val="22"/>
          <w:szCs w:val="22"/>
          <w:shd w:val="clear" w:color="auto" w:fill="FFFFFF"/>
          <w:lang w:eastAsia="fr-MA"/>
        </w:rPr>
        <w:t xml:space="preserve"> M, Álvarez-</w:t>
      </w:r>
      <w:proofErr w:type="spellStart"/>
      <w:r w:rsidRPr="00796BC8">
        <w:rPr>
          <w:rFonts w:ascii="Arial" w:hAnsi="Arial" w:cs="Arial"/>
          <w:color w:val="212121"/>
          <w:sz w:val="22"/>
          <w:szCs w:val="22"/>
          <w:shd w:val="clear" w:color="auto" w:fill="FFFFFF"/>
          <w:lang w:eastAsia="fr-MA"/>
        </w:rPr>
        <w:t>Luque</w:t>
      </w:r>
      <w:proofErr w:type="spellEnd"/>
      <w:r w:rsidRPr="00796BC8">
        <w:rPr>
          <w:rFonts w:ascii="Arial" w:hAnsi="Arial" w:cs="Arial"/>
          <w:color w:val="212121"/>
          <w:sz w:val="22"/>
          <w:szCs w:val="22"/>
          <w:shd w:val="clear" w:color="auto" w:fill="FFFFFF"/>
          <w:lang w:eastAsia="fr-MA"/>
        </w:rPr>
        <w:t xml:space="preserve"> A, Del-Toro-Cervera J, Demelo-Rodríguez P. Long-term anticoagulant treatment in patients with inferior vena cava agenesis and deep vein thrombosis. </w:t>
      </w:r>
      <w:proofErr w:type="spellStart"/>
      <w:r w:rsidRPr="00796BC8">
        <w:rPr>
          <w:rFonts w:ascii="Arial" w:hAnsi="Arial" w:cs="Arial"/>
          <w:color w:val="212121"/>
          <w:sz w:val="22"/>
          <w:szCs w:val="22"/>
          <w:shd w:val="clear" w:color="auto" w:fill="FFFFFF"/>
          <w:lang w:eastAsia="fr-MA"/>
        </w:rPr>
        <w:t>Thromb</w:t>
      </w:r>
      <w:proofErr w:type="spellEnd"/>
      <w:r w:rsidRPr="00796BC8">
        <w:rPr>
          <w:rFonts w:ascii="Arial" w:hAnsi="Arial" w:cs="Arial"/>
          <w:color w:val="212121"/>
          <w:sz w:val="22"/>
          <w:szCs w:val="22"/>
          <w:shd w:val="clear" w:color="auto" w:fill="FFFFFF"/>
          <w:lang w:eastAsia="fr-MA"/>
        </w:rPr>
        <w:t xml:space="preserve"> Res. 2020 </w:t>
      </w:r>
      <w:proofErr w:type="gramStart"/>
      <w:r w:rsidRPr="00796BC8">
        <w:rPr>
          <w:rFonts w:ascii="Arial" w:hAnsi="Arial" w:cs="Arial"/>
          <w:color w:val="212121"/>
          <w:sz w:val="22"/>
          <w:szCs w:val="22"/>
          <w:shd w:val="clear" w:color="auto" w:fill="FFFFFF"/>
          <w:lang w:eastAsia="fr-MA"/>
        </w:rPr>
        <w:t>Dec;196:305</w:t>
      </w:r>
      <w:proofErr w:type="gramEnd"/>
      <w:r w:rsidRPr="00796BC8">
        <w:rPr>
          <w:rFonts w:ascii="Arial" w:hAnsi="Arial" w:cs="Arial"/>
          <w:color w:val="212121"/>
          <w:sz w:val="22"/>
          <w:szCs w:val="22"/>
          <w:shd w:val="clear" w:color="auto" w:fill="FFFFFF"/>
          <w:lang w:eastAsia="fr-MA"/>
        </w:rPr>
        <w:t xml:space="preserve">-307. </w:t>
      </w:r>
      <w:proofErr w:type="spellStart"/>
      <w:r w:rsidRPr="00796BC8">
        <w:rPr>
          <w:rFonts w:ascii="Arial" w:hAnsi="Arial" w:cs="Arial"/>
          <w:color w:val="212121"/>
          <w:sz w:val="22"/>
          <w:szCs w:val="22"/>
          <w:shd w:val="clear" w:color="auto" w:fill="FFFFFF"/>
          <w:lang w:eastAsia="fr-MA"/>
        </w:rPr>
        <w:t>doi</w:t>
      </w:r>
      <w:proofErr w:type="spellEnd"/>
      <w:r w:rsidRPr="00796BC8">
        <w:rPr>
          <w:rFonts w:ascii="Arial" w:hAnsi="Arial" w:cs="Arial"/>
          <w:color w:val="212121"/>
          <w:sz w:val="22"/>
          <w:szCs w:val="22"/>
          <w:shd w:val="clear" w:color="auto" w:fill="FFFFFF"/>
          <w:lang w:eastAsia="fr-MA"/>
        </w:rPr>
        <w:t xml:space="preserve">: 10.1016/j.thromres.2020.09.009. </w:t>
      </w:r>
      <w:proofErr w:type="spellStart"/>
      <w:r w:rsidRPr="00796BC8">
        <w:rPr>
          <w:rFonts w:ascii="Arial" w:hAnsi="Arial" w:cs="Arial"/>
          <w:color w:val="212121"/>
          <w:sz w:val="22"/>
          <w:szCs w:val="22"/>
          <w:shd w:val="clear" w:color="auto" w:fill="FFFFFF"/>
          <w:lang w:eastAsia="fr-MA"/>
        </w:rPr>
        <w:t>Epub</w:t>
      </w:r>
      <w:proofErr w:type="spellEnd"/>
      <w:r w:rsidRPr="00796BC8">
        <w:rPr>
          <w:rFonts w:ascii="Arial" w:hAnsi="Arial" w:cs="Arial"/>
          <w:color w:val="212121"/>
          <w:sz w:val="22"/>
          <w:szCs w:val="22"/>
          <w:shd w:val="clear" w:color="auto" w:fill="FFFFFF"/>
          <w:lang w:eastAsia="fr-MA"/>
        </w:rPr>
        <w:t xml:space="preserve"> 2020 Sep 6. PMID: 32977127.</w:t>
      </w:r>
    </w:p>
    <w:p w14:paraId="278D1D3C" w14:textId="48402E98" w:rsidR="002E14D4" w:rsidRDefault="002E14D4" w:rsidP="00796BC8">
      <w:pPr>
        <w:spacing w:after="240"/>
        <w:ind w:hanging="384"/>
        <w:rPr>
          <w:rFonts w:ascii="Arial" w:hAnsi="Arial" w:cs="Arial"/>
          <w:color w:val="212121"/>
          <w:sz w:val="22"/>
          <w:szCs w:val="22"/>
          <w:shd w:val="clear" w:color="auto" w:fill="FFFFFF"/>
          <w:lang w:eastAsia="fr-MA"/>
        </w:rPr>
      </w:pPr>
      <w:r>
        <w:rPr>
          <w:rFonts w:ascii="Arial" w:hAnsi="Arial" w:cs="Arial"/>
          <w:color w:val="212121"/>
          <w:sz w:val="22"/>
          <w:szCs w:val="22"/>
          <w:shd w:val="clear" w:color="auto" w:fill="FFFFFF"/>
          <w:lang w:eastAsia="fr-MA"/>
        </w:rPr>
        <w:t>3.</w:t>
      </w:r>
      <w:r w:rsidRPr="008458DA">
        <w:rPr>
          <w:rFonts w:ascii="Arial" w:hAnsi="Arial" w:cs="Arial"/>
          <w:color w:val="212121"/>
          <w:sz w:val="22"/>
          <w:szCs w:val="22"/>
          <w:shd w:val="clear" w:color="auto" w:fill="FFFFFF"/>
          <w:lang w:eastAsia="fr-MA"/>
        </w:rPr>
        <w:t xml:space="preserve"> </w:t>
      </w:r>
      <w:r w:rsidRPr="002E14D4">
        <w:rPr>
          <w:rFonts w:ascii="Arial" w:hAnsi="Arial" w:cs="Arial"/>
          <w:color w:val="212121"/>
          <w:sz w:val="22"/>
          <w:szCs w:val="22"/>
          <w:shd w:val="clear" w:color="auto" w:fill="FFFFFF"/>
          <w:lang w:eastAsia="fr-MA"/>
        </w:rPr>
        <w:t xml:space="preserve">Eberle H, Lyn R, Knight T, Hodge E, Daley M. Clinical update on thrombolytic use in pulmonary embolism: A focus on intermediate-risk patients. Am J Health Syst Pharm. 2018 Sep 1;75(17):1275-1285. </w:t>
      </w:r>
      <w:proofErr w:type="spellStart"/>
      <w:r w:rsidRPr="002E14D4">
        <w:rPr>
          <w:rFonts w:ascii="Arial" w:hAnsi="Arial" w:cs="Arial"/>
          <w:color w:val="212121"/>
          <w:sz w:val="22"/>
          <w:szCs w:val="22"/>
          <w:shd w:val="clear" w:color="auto" w:fill="FFFFFF"/>
          <w:lang w:eastAsia="fr-MA"/>
        </w:rPr>
        <w:t>doi</w:t>
      </w:r>
      <w:proofErr w:type="spellEnd"/>
      <w:r w:rsidRPr="002E14D4">
        <w:rPr>
          <w:rFonts w:ascii="Arial" w:hAnsi="Arial" w:cs="Arial"/>
          <w:color w:val="212121"/>
          <w:sz w:val="22"/>
          <w:szCs w:val="22"/>
          <w:shd w:val="clear" w:color="auto" w:fill="FFFFFF"/>
          <w:lang w:eastAsia="fr-MA"/>
        </w:rPr>
        <w:t xml:space="preserve">: 10.2146/ajhp170357. </w:t>
      </w:r>
      <w:proofErr w:type="spellStart"/>
      <w:r w:rsidRPr="002E14D4">
        <w:rPr>
          <w:rFonts w:ascii="Arial" w:hAnsi="Arial" w:cs="Arial"/>
          <w:color w:val="212121"/>
          <w:sz w:val="22"/>
          <w:szCs w:val="22"/>
          <w:shd w:val="clear" w:color="auto" w:fill="FFFFFF"/>
          <w:lang w:eastAsia="fr-MA"/>
        </w:rPr>
        <w:t>Epub</w:t>
      </w:r>
      <w:proofErr w:type="spellEnd"/>
      <w:r w:rsidRPr="002E14D4">
        <w:rPr>
          <w:rFonts w:ascii="Arial" w:hAnsi="Arial" w:cs="Arial"/>
          <w:color w:val="212121"/>
          <w:sz w:val="22"/>
          <w:szCs w:val="22"/>
          <w:shd w:val="clear" w:color="auto" w:fill="FFFFFF"/>
          <w:lang w:eastAsia="fr-MA"/>
        </w:rPr>
        <w:t xml:space="preserve"> 2018 Jun 12. PMID: 29895520.</w:t>
      </w:r>
    </w:p>
    <w:p w14:paraId="61486478" w14:textId="7EF4B1E2" w:rsidR="00F72F2A" w:rsidRPr="008458DA" w:rsidRDefault="00F72F2A" w:rsidP="00796BC8">
      <w:pPr>
        <w:spacing w:after="240"/>
        <w:ind w:hanging="384"/>
        <w:rPr>
          <w:rFonts w:ascii="Arial" w:hAnsi="Arial" w:cs="Arial"/>
          <w:color w:val="212121"/>
          <w:sz w:val="22"/>
          <w:szCs w:val="22"/>
          <w:shd w:val="clear" w:color="auto" w:fill="FFFFFF"/>
          <w:lang w:eastAsia="fr-MA"/>
        </w:rPr>
      </w:pPr>
      <w:r>
        <w:rPr>
          <w:rFonts w:ascii="Arial" w:hAnsi="Arial" w:cs="Arial"/>
          <w:color w:val="212121"/>
          <w:sz w:val="22"/>
          <w:szCs w:val="22"/>
          <w:shd w:val="clear" w:color="auto" w:fill="FFFFFF"/>
          <w:lang w:eastAsia="fr-MA"/>
        </w:rPr>
        <w:t xml:space="preserve">4. </w:t>
      </w:r>
      <w:r w:rsidRPr="00F72F2A">
        <w:rPr>
          <w:rFonts w:ascii="Arial" w:hAnsi="Arial" w:cs="Arial"/>
          <w:color w:val="212121"/>
          <w:sz w:val="22"/>
          <w:szCs w:val="22"/>
          <w:shd w:val="clear" w:color="auto" w:fill="FFFFFF"/>
          <w:lang w:eastAsia="fr-MA"/>
        </w:rPr>
        <w:t>Drugs that affect blood. In: Stringer J, ed. Basic Concepts in Pharmacology: What You Need to Know for Each Drug Class. 6th ed. McGraw Hill; 2022. Accessed December 16, 2022. https://accesspharmacy.mhmedical.com/content.aspx?bookid=3136&amp;sectionid=263124011</w:t>
      </w:r>
    </w:p>
    <w:p w14:paraId="2BE276F4" w14:textId="77777777" w:rsidR="00796BC8" w:rsidRPr="008458DA" w:rsidRDefault="00796BC8" w:rsidP="00796BC8">
      <w:pPr>
        <w:rPr>
          <w:rFonts w:ascii="Arial" w:hAnsi="Arial" w:cs="Arial"/>
          <w:color w:val="212121"/>
          <w:sz w:val="22"/>
          <w:szCs w:val="22"/>
          <w:shd w:val="clear" w:color="auto" w:fill="FFFFFF"/>
          <w:lang w:eastAsia="fr-MA"/>
        </w:rPr>
      </w:pPr>
    </w:p>
    <w:p w14:paraId="29FA4170" w14:textId="7E92CE93" w:rsidR="00796BC8" w:rsidRPr="008458DA" w:rsidRDefault="00F72F2A" w:rsidP="00796BC8">
      <w:pPr>
        <w:spacing w:after="240"/>
        <w:ind w:hanging="384"/>
        <w:rPr>
          <w:rFonts w:ascii="Arial" w:hAnsi="Arial" w:cs="Arial"/>
          <w:color w:val="212121"/>
          <w:sz w:val="22"/>
          <w:szCs w:val="22"/>
          <w:shd w:val="clear" w:color="auto" w:fill="FFFFFF"/>
          <w:lang w:eastAsia="fr-MA"/>
        </w:rPr>
      </w:pPr>
      <w:r w:rsidRPr="008458DA">
        <w:rPr>
          <w:rFonts w:ascii="Arial" w:hAnsi="Arial" w:cs="Arial"/>
          <w:color w:val="212121"/>
          <w:sz w:val="22"/>
          <w:szCs w:val="22"/>
          <w:shd w:val="clear" w:color="auto" w:fill="FFFFFF"/>
          <w:lang w:eastAsia="fr-MA"/>
        </w:rPr>
        <w:t>5</w:t>
      </w:r>
      <w:r w:rsidR="00796BC8" w:rsidRPr="008458DA">
        <w:rPr>
          <w:rFonts w:ascii="Arial" w:hAnsi="Arial" w:cs="Arial"/>
          <w:color w:val="212121"/>
          <w:sz w:val="22"/>
          <w:szCs w:val="22"/>
          <w:shd w:val="clear" w:color="auto" w:fill="FFFFFF"/>
          <w:lang w:eastAsia="fr-MA"/>
        </w:rPr>
        <w:t xml:space="preserve">. </w:t>
      </w:r>
      <w:proofErr w:type="spellStart"/>
      <w:r w:rsidR="00796BC8" w:rsidRPr="00796BC8">
        <w:rPr>
          <w:rFonts w:ascii="Arial" w:hAnsi="Arial" w:cs="Arial"/>
          <w:color w:val="212121"/>
          <w:sz w:val="22"/>
          <w:szCs w:val="22"/>
          <w:shd w:val="clear" w:color="auto" w:fill="FFFFFF"/>
          <w:lang w:eastAsia="fr-MA"/>
        </w:rPr>
        <w:t>Pasqui</w:t>
      </w:r>
      <w:proofErr w:type="spellEnd"/>
      <w:r w:rsidR="00796BC8" w:rsidRPr="00796BC8">
        <w:rPr>
          <w:rFonts w:ascii="Arial" w:hAnsi="Arial" w:cs="Arial"/>
          <w:color w:val="212121"/>
          <w:sz w:val="22"/>
          <w:szCs w:val="22"/>
          <w:shd w:val="clear" w:color="auto" w:fill="FFFFFF"/>
          <w:lang w:eastAsia="fr-MA"/>
        </w:rPr>
        <w:t xml:space="preserve"> E, de Donato G, Camarri S, Molinari R, </w:t>
      </w:r>
      <w:proofErr w:type="spellStart"/>
      <w:r w:rsidR="00796BC8" w:rsidRPr="00796BC8">
        <w:rPr>
          <w:rFonts w:ascii="Arial" w:hAnsi="Arial" w:cs="Arial"/>
          <w:color w:val="212121"/>
          <w:sz w:val="22"/>
          <w:szCs w:val="22"/>
          <w:shd w:val="clear" w:color="auto" w:fill="FFFFFF"/>
          <w:lang w:eastAsia="fr-MA"/>
        </w:rPr>
        <w:t>Cascinelli</w:t>
      </w:r>
      <w:proofErr w:type="spellEnd"/>
      <w:r w:rsidR="00796BC8" w:rsidRPr="00796BC8">
        <w:rPr>
          <w:rFonts w:ascii="Arial" w:hAnsi="Arial" w:cs="Arial"/>
          <w:color w:val="212121"/>
          <w:sz w:val="22"/>
          <w:szCs w:val="22"/>
          <w:shd w:val="clear" w:color="auto" w:fill="FFFFFF"/>
          <w:lang w:eastAsia="fr-MA"/>
        </w:rPr>
        <w:t xml:space="preserve"> I, Pelini V, Abate L, </w:t>
      </w:r>
      <w:proofErr w:type="spellStart"/>
      <w:r w:rsidR="00796BC8" w:rsidRPr="00796BC8">
        <w:rPr>
          <w:rFonts w:ascii="Arial" w:hAnsi="Arial" w:cs="Arial"/>
          <w:color w:val="212121"/>
          <w:sz w:val="22"/>
          <w:szCs w:val="22"/>
          <w:shd w:val="clear" w:color="auto" w:fill="FFFFFF"/>
          <w:lang w:eastAsia="fr-MA"/>
        </w:rPr>
        <w:t>Palasciano</w:t>
      </w:r>
      <w:proofErr w:type="spellEnd"/>
      <w:r w:rsidR="00796BC8" w:rsidRPr="00796BC8">
        <w:rPr>
          <w:rFonts w:ascii="Arial" w:hAnsi="Arial" w:cs="Arial"/>
          <w:color w:val="212121"/>
          <w:sz w:val="22"/>
          <w:szCs w:val="22"/>
          <w:shd w:val="clear" w:color="auto" w:fill="FFFFFF"/>
          <w:lang w:eastAsia="fr-MA"/>
        </w:rPr>
        <w:t xml:space="preserve"> G. Case Report: Inferior Vena Cava Agenesia in a Young Male Patient Presenting </w:t>
      </w:r>
      <w:proofErr w:type="gramStart"/>
      <w:r w:rsidR="00796BC8" w:rsidRPr="00796BC8">
        <w:rPr>
          <w:rFonts w:ascii="Arial" w:hAnsi="Arial" w:cs="Arial"/>
          <w:color w:val="212121"/>
          <w:sz w:val="22"/>
          <w:szCs w:val="22"/>
          <w:shd w:val="clear" w:color="auto" w:fill="FFFFFF"/>
          <w:lang w:eastAsia="fr-MA"/>
        </w:rPr>
        <w:t>With</w:t>
      </w:r>
      <w:proofErr w:type="gramEnd"/>
      <w:r w:rsidR="00796BC8" w:rsidRPr="00796BC8">
        <w:rPr>
          <w:rFonts w:ascii="Arial" w:hAnsi="Arial" w:cs="Arial"/>
          <w:color w:val="212121"/>
          <w:sz w:val="22"/>
          <w:szCs w:val="22"/>
          <w:shd w:val="clear" w:color="auto" w:fill="FFFFFF"/>
          <w:lang w:eastAsia="fr-MA"/>
        </w:rPr>
        <w:t xml:space="preserve"> Bilateral Iliac Veins Thrombosis. Front Surg. 2022 Mar </w:t>
      </w:r>
      <w:proofErr w:type="gramStart"/>
      <w:r w:rsidR="00796BC8" w:rsidRPr="00796BC8">
        <w:rPr>
          <w:rFonts w:ascii="Arial" w:hAnsi="Arial" w:cs="Arial"/>
          <w:color w:val="212121"/>
          <w:sz w:val="22"/>
          <w:szCs w:val="22"/>
          <w:shd w:val="clear" w:color="auto" w:fill="FFFFFF"/>
          <w:lang w:eastAsia="fr-MA"/>
        </w:rPr>
        <w:t>22;9:832336</w:t>
      </w:r>
      <w:proofErr w:type="gramEnd"/>
      <w:r w:rsidR="00796BC8" w:rsidRPr="00796BC8">
        <w:rPr>
          <w:rFonts w:ascii="Arial" w:hAnsi="Arial" w:cs="Arial"/>
          <w:color w:val="212121"/>
          <w:sz w:val="22"/>
          <w:szCs w:val="22"/>
          <w:shd w:val="clear" w:color="auto" w:fill="FFFFFF"/>
          <w:lang w:eastAsia="fr-MA"/>
        </w:rPr>
        <w:t xml:space="preserve">. </w:t>
      </w:r>
      <w:proofErr w:type="spellStart"/>
      <w:r w:rsidR="00796BC8" w:rsidRPr="00796BC8">
        <w:rPr>
          <w:rFonts w:ascii="Arial" w:hAnsi="Arial" w:cs="Arial"/>
          <w:color w:val="212121"/>
          <w:sz w:val="22"/>
          <w:szCs w:val="22"/>
          <w:shd w:val="clear" w:color="auto" w:fill="FFFFFF"/>
          <w:lang w:eastAsia="fr-MA"/>
        </w:rPr>
        <w:t>doi</w:t>
      </w:r>
      <w:proofErr w:type="spellEnd"/>
      <w:r w:rsidR="00796BC8" w:rsidRPr="00796BC8">
        <w:rPr>
          <w:rFonts w:ascii="Arial" w:hAnsi="Arial" w:cs="Arial"/>
          <w:color w:val="212121"/>
          <w:sz w:val="22"/>
          <w:szCs w:val="22"/>
          <w:shd w:val="clear" w:color="auto" w:fill="FFFFFF"/>
          <w:lang w:eastAsia="fr-MA"/>
        </w:rPr>
        <w:t>: 10.3389/fsurg.2022.832336. PMID: 35392062; PMCID: PMC8980272.</w:t>
      </w:r>
    </w:p>
    <w:p w14:paraId="00AD3484" w14:textId="1FBCEF92" w:rsidR="00796BC8" w:rsidRPr="008458DA" w:rsidRDefault="00F72F2A" w:rsidP="00796BC8">
      <w:pPr>
        <w:shd w:val="clear" w:color="auto" w:fill="FFFFFF"/>
        <w:rPr>
          <w:rFonts w:ascii="Arial" w:hAnsi="Arial" w:cs="Arial"/>
          <w:color w:val="212121"/>
          <w:sz w:val="22"/>
          <w:szCs w:val="22"/>
          <w:shd w:val="clear" w:color="auto" w:fill="FFFFFF"/>
          <w:lang w:eastAsia="fr-MA"/>
        </w:rPr>
      </w:pPr>
      <w:r w:rsidRPr="008458DA">
        <w:rPr>
          <w:rFonts w:ascii="Arial" w:hAnsi="Arial" w:cs="Arial"/>
          <w:color w:val="212121"/>
          <w:sz w:val="22"/>
          <w:szCs w:val="22"/>
          <w:shd w:val="clear" w:color="auto" w:fill="FFFFFF"/>
          <w:lang w:eastAsia="fr-MA"/>
        </w:rPr>
        <w:lastRenderedPageBreak/>
        <w:t>6</w:t>
      </w:r>
      <w:r w:rsidR="002E14D4" w:rsidRPr="008458DA">
        <w:rPr>
          <w:rFonts w:ascii="Arial" w:hAnsi="Arial" w:cs="Arial"/>
          <w:color w:val="212121"/>
          <w:sz w:val="22"/>
          <w:szCs w:val="22"/>
          <w:shd w:val="clear" w:color="auto" w:fill="FFFFFF"/>
          <w:lang w:eastAsia="fr-MA"/>
        </w:rPr>
        <w:t xml:space="preserve">. </w:t>
      </w:r>
      <w:r w:rsidR="002E14D4" w:rsidRPr="008458DA">
        <w:rPr>
          <w:rFonts w:ascii="Arial" w:hAnsi="Arial" w:cs="Arial"/>
          <w:color w:val="212121"/>
          <w:sz w:val="22"/>
          <w:szCs w:val="22"/>
          <w:shd w:val="clear" w:color="auto" w:fill="FFFFFF"/>
          <w:lang w:eastAsia="fr-MA"/>
        </w:rPr>
        <w:t xml:space="preserve">Chatterjee S, Chakraborty A, Weinberg I, </w:t>
      </w:r>
      <w:proofErr w:type="spellStart"/>
      <w:r w:rsidR="002E14D4" w:rsidRPr="008458DA">
        <w:rPr>
          <w:rFonts w:ascii="Arial" w:hAnsi="Arial" w:cs="Arial"/>
          <w:color w:val="212121"/>
          <w:sz w:val="22"/>
          <w:szCs w:val="22"/>
          <w:shd w:val="clear" w:color="auto" w:fill="FFFFFF"/>
          <w:lang w:eastAsia="fr-MA"/>
        </w:rPr>
        <w:t>Kadakia</w:t>
      </w:r>
      <w:proofErr w:type="spellEnd"/>
      <w:r w:rsidR="002E14D4" w:rsidRPr="008458DA">
        <w:rPr>
          <w:rFonts w:ascii="Arial" w:hAnsi="Arial" w:cs="Arial"/>
          <w:color w:val="212121"/>
          <w:sz w:val="22"/>
          <w:szCs w:val="22"/>
          <w:shd w:val="clear" w:color="auto" w:fill="FFFFFF"/>
          <w:lang w:eastAsia="fr-MA"/>
        </w:rPr>
        <w:t xml:space="preserve"> M, Wilensky RL, Sardar P, </w:t>
      </w:r>
      <w:proofErr w:type="spellStart"/>
      <w:r w:rsidR="002E14D4" w:rsidRPr="008458DA">
        <w:rPr>
          <w:rFonts w:ascii="Arial" w:hAnsi="Arial" w:cs="Arial"/>
          <w:color w:val="212121"/>
          <w:sz w:val="22"/>
          <w:szCs w:val="22"/>
          <w:shd w:val="clear" w:color="auto" w:fill="FFFFFF"/>
          <w:lang w:eastAsia="fr-MA"/>
        </w:rPr>
        <w:t>Kumbhani</w:t>
      </w:r>
      <w:proofErr w:type="spellEnd"/>
      <w:r w:rsidR="002E14D4" w:rsidRPr="008458DA">
        <w:rPr>
          <w:rFonts w:ascii="Arial" w:hAnsi="Arial" w:cs="Arial"/>
          <w:color w:val="212121"/>
          <w:sz w:val="22"/>
          <w:szCs w:val="22"/>
          <w:shd w:val="clear" w:color="auto" w:fill="FFFFFF"/>
          <w:lang w:eastAsia="fr-MA"/>
        </w:rPr>
        <w:t xml:space="preserve"> DJ, Mukherjee D, </w:t>
      </w:r>
      <w:proofErr w:type="spellStart"/>
      <w:r w:rsidR="002E14D4" w:rsidRPr="008458DA">
        <w:rPr>
          <w:rFonts w:ascii="Arial" w:hAnsi="Arial" w:cs="Arial"/>
          <w:color w:val="212121"/>
          <w:sz w:val="22"/>
          <w:szCs w:val="22"/>
          <w:shd w:val="clear" w:color="auto" w:fill="FFFFFF"/>
          <w:lang w:eastAsia="fr-MA"/>
        </w:rPr>
        <w:t>Jaff</w:t>
      </w:r>
      <w:proofErr w:type="spellEnd"/>
      <w:r w:rsidR="002E14D4" w:rsidRPr="008458DA">
        <w:rPr>
          <w:rFonts w:ascii="Arial" w:hAnsi="Arial" w:cs="Arial"/>
          <w:color w:val="212121"/>
          <w:sz w:val="22"/>
          <w:szCs w:val="22"/>
          <w:shd w:val="clear" w:color="auto" w:fill="FFFFFF"/>
          <w:lang w:eastAsia="fr-MA"/>
        </w:rPr>
        <w:t xml:space="preserve"> MR, </w:t>
      </w:r>
      <w:proofErr w:type="spellStart"/>
      <w:r w:rsidR="002E14D4" w:rsidRPr="008458DA">
        <w:rPr>
          <w:rFonts w:ascii="Arial" w:hAnsi="Arial" w:cs="Arial"/>
          <w:color w:val="212121"/>
          <w:sz w:val="22"/>
          <w:szCs w:val="22"/>
          <w:shd w:val="clear" w:color="auto" w:fill="FFFFFF"/>
          <w:lang w:eastAsia="fr-MA"/>
        </w:rPr>
        <w:t>Giri</w:t>
      </w:r>
      <w:proofErr w:type="spellEnd"/>
      <w:r w:rsidR="002E14D4" w:rsidRPr="008458DA">
        <w:rPr>
          <w:rFonts w:ascii="Arial" w:hAnsi="Arial" w:cs="Arial"/>
          <w:color w:val="212121"/>
          <w:sz w:val="22"/>
          <w:szCs w:val="22"/>
          <w:shd w:val="clear" w:color="auto" w:fill="FFFFFF"/>
          <w:lang w:eastAsia="fr-MA"/>
        </w:rPr>
        <w:t xml:space="preserve"> J. Thrombolysis for pulmonary embolism and risk of all-cause mortality, major bleeding, and intracranial hemorrhage: a meta-analysis. JAMA. 2014 Jun 18;311(23):2414-21. </w:t>
      </w:r>
      <w:proofErr w:type="spellStart"/>
      <w:r w:rsidR="002E14D4" w:rsidRPr="008458DA">
        <w:rPr>
          <w:rFonts w:ascii="Arial" w:hAnsi="Arial" w:cs="Arial"/>
          <w:color w:val="212121"/>
          <w:sz w:val="22"/>
          <w:szCs w:val="22"/>
          <w:shd w:val="clear" w:color="auto" w:fill="FFFFFF"/>
          <w:lang w:eastAsia="fr-MA"/>
        </w:rPr>
        <w:t>doi</w:t>
      </w:r>
      <w:proofErr w:type="spellEnd"/>
      <w:r w:rsidR="002E14D4" w:rsidRPr="008458DA">
        <w:rPr>
          <w:rFonts w:ascii="Arial" w:hAnsi="Arial" w:cs="Arial"/>
          <w:color w:val="212121"/>
          <w:sz w:val="22"/>
          <w:szCs w:val="22"/>
          <w:shd w:val="clear" w:color="auto" w:fill="FFFFFF"/>
          <w:lang w:eastAsia="fr-MA"/>
        </w:rPr>
        <w:t>: 10.1001/jama.2014.5990. PMID: 24938564.</w:t>
      </w:r>
    </w:p>
    <w:p w14:paraId="06523F11" w14:textId="77777777" w:rsidR="002E14D4" w:rsidRPr="008458DA" w:rsidRDefault="002E14D4" w:rsidP="00796BC8">
      <w:pPr>
        <w:shd w:val="clear" w:color="auto" w:fill="FFFFFF"/>
        <w:rPr>
          <w:rFonts w:ascii="Arial" w:hAnsi="Arial" w:cs="Arial"/>
          <w:color w:val="212121"/>
          <w:sz w:val="22"/>
          <w:szCs w:val="22"/>
          <w:shd w:val="clear" w:color="auto" w:fill="FFFFFF"/>
          <w:lang w:eastAsia="fr-MA"/>
        </w:rPr>
      </w:pPr>
    </w:p>
    <w:p w14:paraId="0FC462BB" w14:textId="55A8F420" w:rsidR="00796BC8" w:rsidRPr="008458DA" w:rsidRDefault="00F72F2A" w:rsidP="00796BC8">
      <w:pPr>
        <w:shd w:val="clear" w:color="auto" w:fill="FFFFFF"/>
        <w:rPr>
          <w:rFonts w:ascii="Arial" w:hAnsi="Arial" w:cs="Arial"/>
          <w:color w:val="212121"/>
          <w:sz w:val="22"/>
          <w:szCs w:val="22"/>
          <w:shd w:val="clear" w:color="auto" w:fill="FFFFFF"/>
          <w:lang w:eastAsia="fr-MA"/>
        </w:rPr>
      </w:pPr>
      <w:r w:rsidRPr="008458DA">
        <w:rPr>
          <w:rFonts w:ascii="Arial" w:hAnsi="Arial" w:cs="Arial"/>
          <w:color w:val="212121"/>
          <w:sz w:val="22"/>
          <w:szCs w:val="22"/>
          <w:shd w:val="clear" w:color="auto" w:fill="FFFFFF"/>
          <w:lang w:eastAsia="fr-MA"/>
        </w:rPr>
        <w:t>7</w:t>
      </w:r>
      <w:r w:rsidR="00796BC8" w:rsidRPr="008458DA">
        <w:rPr>
          <w:rFonts w:ascii="Arial" w:hAnsi="Arial" w:cs="Arial"/>
          <w:color w:val="212121"/>
          <w:sz w:val="22"/>
          <w:szCs w:val="22"/>
          <w:shd w:val="clear" w:color="auto" w:fill="FFFFFF"/>
          <w:lang w:eastAsia="fr-MA"/>
        </w:rPr>
        <w:t xml:space="preserve">. </w:t>
      </w:r>
      <w:r w:rsidR="00796BC8" w:rsidRPr="00796BC8">
        <w:rPr>
          <w:rFonts w:ascii="Arial" w:hAnsi="Arial" w:cs="Arial"/>
          <w:color w:val="212121"/>
          <w:sz w:val="22"/>
          <w:szCs w:val="22"/>
          <w:shd w:val="clear" w:color="auto" w:fill="FFFFFF"/>
          <w:lang w:eastAsia="fr-MA"/>
        </w:rPr>
        <w:t xml:space="preserve">The European Cooperative Study on the clinical significance of right heart thrombi. European Working Group on Echocardiography. Eur Heart J. 1989 Dec;10(12):1046-59. </w:t>
      </w:r>
      <w:proofErr w:type="spellStart"/>
      <w:r w:rsidR="00796BC8" w:rsidRPr="00796BC8">
        <w:rPr>
          <w:rFonts w:ascii="Arial" w:hAnsi="Arial" w:cs="Arial"/>
          <w:color w:val="212121"/>
          <w:sz w:val="22"/>
          <w:szCs w:val="22"/>
          <w:shd w:val="clear" w:color="auto" w:fill="FFFFFF"/>
          <w:lang w:eastAsia="fr-MA"/>
        </w:rPr>
        <w:t>doi</w:t>
      </w:r>
      <w:proofErr w:type="spellEnd"/>
      <w:r w:rsidR="00796BC8" w:rsidRPr="00796BC8">
        <w:rPr>
          <w:rFonts w:ascii="Arial" w:hAnsi="Arial" w:cs="Arial"/>
          <w:color w:val="212121"/>
          <w:sz w:val="22"/>
          <w:szCs w:val="22"/>
          <w:shd w:val="clear" w:color="auto" w:fill="FFFFFF"/>
          <w:lang w:eastAsia="fr-MA"/>
        </w:rPr>
        <w:t>: 10.1093/oxfordjournals.eurheartj.a059427. PMID: 2606115.</w:t>
      </w:r>
    </w:p>
    <w:p w14:paraId="7C0C4AF1" w14:textId="77777777" w:rsidR="00796BC8" w:rsidRPr="008458DA" w:rsidRDefault="00796BC8" w:rsidP="00796BC8">
      <w:pPr>
        <w:shd w:val="clear" w:color="auto" w:fill="FFFFFF"/>
        <w:rPr>
          <w:rFonts w:ascii="Arial" w:hAnsi="Arial" w:cs="Arial"/>
          <w:color w:val="212121"/>
          <w:sz w:val="22"/>
          <w:szCs w:val="22"/>
          <w:shd w:val="clear" w:color="auto" w:fill="FFFFFF"/>
          <w:lang w:eastAsia="fr-MA"/>
        </w:rPr>
      </w:pPr>
    </w:p>
    <w:p w14:paraId="7EA3EEEE" w14:textId="1CDEDD38" w:rsidR="00796BC8" w:rsidRPr="008458DA" w:rsidRDefault="00F72F2A" w:rsidP="00796BC8">
      <w:pPr>
        <w:spacing w:after="200"/>
        <w:rPr>
          <w:rFonts w:ascii="Arial" w:hAnsi="Arial" w:cs="Arial"/>
          <w:color w:val="212121"/>
          <w:sz w:val="22"/>
          <w:szCs w:val="22"/>
          <w:shd w:val="clear" w:color="auto" w:fill="FFFFFF"/>
          <w:lang w:eastAsia="fr-MA"/>
        </w:rPr>
      </w:pPr>
      <w:r w:rsidRPr="008458DA">
        <w:rPr>
          <w:rFonts w:ascii="Arial" w:hAnsi="Arial" w:cs="Arial"/>
          <w:color w:val="212121"/>
          <w:sz w:val="22"/>
          <w:szCs w:val="22"/>
          <w:shd w:val="clear" w:color="auto" w:fill="FFFFFF"/>
          <w:lang w:eastAsia="fr-MA"/>
        </w:rPr>
        <w:t>8</w:t>
      </w:r>
      <w:r w:rsidR="00796BC8" w:rsidRPr="008458DA">
        <w:rPr>
          <w:rFonts w:ascii="Arial" w:hAnsi="Arial" w:cs="Arial"/>
          <w:color w:val="212121"/>
          <w:sz w:val="22"/>
          <w:szCs w:val="22"/>
          <w:shd w:val="clear" w:color="auto" w:fill="FFFFFF"/>
          <w:lang w:eastAsia="fr-MA"/>
        </w:rPr>
        <w:t xml:space="preserve">. </w:t>
      </w:r>
      <w:r w:rsidR="00796BC8" w:rsidRPr="00796BC8">
        <w:rPr>
          <w:rFonts w:ascii="Arial" w:hAnsi="Arial" w:cs="Arial"/>
          <w:color w:val="212121"/>
          <w:sz w:val="22"/>
          <w:szCs w:val="22"/>
          <w:shd w:val="clear" w:color="auto" w:fill="FFFFFF"/>
          <w:lang w:eastAsia="fr-MA"/>
        </w:rPr>
        <w:t xml:space="preserve">Kline JA, </w:t>
      </w:r>
      <w:proofErr w:type="spellStart"/>
      <w:r w:rsidR="00796BC8" w:rsidRPr="00796BC8">
        <w:rPr>
          <w:rFonts w:ascii="Arial" w:hAnsi="Arial" w:cs="Arial"/>
          <w:color w:val="212121"/>
          <w:sz w:val="22"/>
          <w:szCs w:val="22"/>
          <w:shd w:val="clear" w:color="auto" w:fill="FFFFFF"/>
          <w:lang w:eastAsia="fr-MA"/>
        </w:rPr>
        <w:t>Nordenholz</w:t>
      </w:r>
      <w:proofErr w:type="spellEnd"/>
      <w:r w:rsidR="00796BC8" w:rsidRPr="00796BC8">
        <w:rPr>
          <w:rFonts w:ascii="Arial" w:hAnsi="Arial" w:cs="Arial"/>
          <w:color w:val="212121"/>
          <w:sz w:val="22"/>
          <w:szCs w:val="22"/>
          <w:shd w:val="clear" w:color="auto" w:fill="FFFFFF"/>
          <w:lang w:eastAsia="fr-MA"/>
        </w:rPr>
        <w:t xml:space="preserve"> KE, Courtney DM, </w:t>
      </w:r>
      <w:proofErr w:type="spellStart"/>
      <w:r w:rsidR="00796BC8" w:rsidRPr="00796BC8">
        <w:rPr>
          <w:rFonts w:ascii="Arial" w:hAnsi="Arial" w:cs="Arial"/>
          <w:color w:val="212121"/>
          <w:sz w:val="22"/>
          <w:szCs w:val="22"/>
          <w:shd w:val="clear" w:color="auto" w:fill="FFFFFF"/>
          <w:lang w:eastAsia="fr-MA"/>
        </w:rPr>
        <w:t>Kabrhel</w:t>
      </w:r>
      <w:proofErr w:type="spellEnd"/>
      <w:r w:rsidR="00796BC8" w:rsidRPr="00796BC8">
        <w:rPr>
          <w:rFonts w:ascii="Arial" w:hAnsi="Arial" w:cs="Arial"/>
          <w:color w:val="212121"/>
          <w:sz w:val="22"/>
          <w:szCs w:val="22"/>
          <w:shd w:val="clear" w:color="auto" w:fill="FFFFFF"/>
          <w:lang w:eastAsia="fr-MA"/>
        </w:rPr>
        <w:t xml:space="preserve"> C, Jones AE, Rondina MT, Diercks DB, Klinger JR, Hernandez J. Treatment of </w:t>
      </w:r>
      <w:proofErr w:type="spellStart"/>
      <w:r w:rsidR="00796BC8" w:rsidRPr="00796BC8">
        <w:rPr>
          <w:rFonts w:ascii="Arial" w:hAnsi="Arial" w:cs="Arial"/>
          <w:color w:val="212121"/>
          <w:sz w:val="22"/>
          <w:szCs w:val="22"/>
          <w:shd w:val="clear" w:color="auto" w:fill="FFFFFF"/>
          <w:lang w:eastAsia="fr-MA"/>
        </w:rPr>
        <w:t>submassive</w:t>
      </w:r>
      <w:proofErr w:type="spellEnd"/>
      <w:r w:rsidR="00796BC8" w:rsidRPr="00796BC8">
        <w:rPr>
          <w:rFonts w:ascii="Arial" w:hAnsi="Arial" w:cs="Arial"/>
          <w:color w:val="212121"/>
          <w:sz w:val="22"/>
          <w:szCs w:val="22"/>
          <w:shd w:val="clear" w:color="auto" w:fill="FFFFFF"/>
          <w:lang w:eastAsia="fr-MA"/>
        </w:rPr>
        <w:t xml:space="preserve"> pulmonary embolism with </w:t>
      </w:r>
      <w:proofErr w:type="spellStart"/>
      <w:r w:rsidR="00796BC8" w:rsidRPr="00796BC8">
        <w:rPr>
          <w:rFonts w:ascii="Arial" w:hAnsi="Arial" w:cs="Arial"/>
          <w:color w:val="212121"/>
          <w:sz w:val="22"/>
          <w:szCs w:val="22"/>
          <w:shd w:val="clear" w:color="auto" w:fill="FFFFFF"/>
          <w:lang w:eastAsia="fr-MA"/>
        </w:rPr>
        <w:t>tenecteplase</w:t>
      </w:r>
      <w:proofErr w:type="spellEnd"/>
      <w:r w:rsidR="00796BC8" w:rsidRPr="00796BC8">
        <w:rPr>
          <w:rFonts w:ascii="Arial" w:hAnsi="Arial" w:cs="Arial"/>
          <w:color w:val="212121"/>
          <w:sz w:val="22"/>
          <w:szCs w:val="22"/>
          <w:shd w:val="clear" w:color="auto" w:fill="FFFFFF"/>
          <w:lang w:eastAsia="fr-MA"/>
        </w:rPr>
        <w:t xml:space="preserve"> or placebo: cardiopulmonary outcomes at 3 months: multicenter double-blind, placebo-controlled randomized trial. J </w:t>
      </w:r>
      <w:proofErr w:type="spellStart"/>
      <w:r w:rsidR="00796BC8" w:rsidRPr="00796BC8">
        <w:rPr>
          <w:rFonts w:ascii="Arial" w:hAnsi="Arial" w:cs="Arial"/>
          <w:color w:val="212121"/>
          <w:sz w:val="22"/>
          <w:szCs w:val="22"/>
          <w:shd w:val="clear" w:color="auto" w:fill="FFFFFF"/>
          <w:lang w:eastAsia="fr-MA"/>
        </w:rPr>
        <w:t>Thromb</w:t>
      </w:r>
      <w:proofErr w:type="spellEnd"/>
      <w:r w:rsidR="00796BC8" w:rsidRPr="00796BC8">
        <w:rPr>
          <w:rFonts w:ascii="Arial" w:hAnsi="Arial" w:cs="Arial"/>
          <w:color w:val="212121"/>
          <w:sz w:val="22"/>
          <w:szCs w:val="22"/>
          <w:shd w:val="clear" w:color="auto" w:fill="FFFFFF"/>
          <w:lang w:eastAsia="fr-MA"/>
        </w:rPr>
        <w:t xml:space="preserve"> </w:t>
      </w:r>
      <w:proofErr w:type="spellStart"/>
      <w:r w:rsidR="00796BC8" w:rsidRPr="00796BC8">
        <w:rPr>
          <w:rFonts w:ascii="Arial" w:hAnsi="Arial" w:cs="Arial"/>
          <w:color w:val="212121"/>
          <w:sz w:val="22"/>
          <w:szCs w:val="22"/>
          <w:shd w:val="clear" w:color="auto" w:fill="FFFFFF"/>
          <w:lang w:eastAsia="fr-MA"/>
        </w:rPr>
        <w:t>Haemost</w:t>
      </w:r>
      <w:proofErr w:type="spellEnd"/>
      <w:r w:rsidR="00796BC8" w:rsidRPr="00796BC8">
        <w:rPr>
          <w:rFonts w:ascii="Arial" w:hAnsi="Arial" w:cs="Arial"/>
          <w:color w:val="212121"/>
          <w:sz w:val="22"/>
          <w:szCs w:val="22"/>
          <w:shd w:val="clear" w:color="auto" w:fill="FFFFFF"/>
          <w:lang w:eastAsia="fr-MA"/>
        </w:rPr>
        <w:t xml:space="preserve">. 2014 Apr;12(4):459-68. </w:t>
      </w:r>
      <w:proofErr w:type="spellStart"/>
      <w:r w:rsidR="00796BC8" w:rsidRPr="00796BC8">
        <w:rPr>
          <w:rFonts w:ascii="Arial" w:hAnsi="Arial" w:cs="Arial"/>
          <w:color w:val="212121"/>
          <w:sz w:val="22"/>
          <w:szCs w:val="22"/>
          <w:shd w:val="clear" w:color="auto" w:fill="FFFFFF"/>
          <w:lang w:eastAsia="fr-MA"/>
        </w:rPr>
        <w:t>doi</w:t>
      </w:r>
      <w:proofErr w:type="spellEnd"/>
      <w:r w:rsidR="00796BC8" w:rsidRPr="00796BC8">
        <w:rPr>
          <w:rFonts w:ascii="Arial" w:hAnsi="Arial" w:cs="Arial"/>
          <w:color w:val="212121"/>
          <w:sz w:val="22"/>
          <w:szCs w:val="22"/>
          <w:shd w:val="clear" w:color="auto" w:fill="FFFFFF"/>
          <w:lang w:eastAsia="fr-MA"/>
        </w:rPr>
        <w:t>: 10.1111/jth.12521. PMID: 24484241.</w:t>
      </w:r>
    </w:p>
    <w:p w14:paraId="05387771" w14:textId="727DE897" w:rsidR="00441B6F" w:rsidRPr="008458DA" w:rsidRDefault="00F72F2A" w:rsidP="00441B6F">
      <w:pPr>
        <w:pStyle w:val="Body"/>
        <w:spacing w:after="0"/>
        <w:jc w:val="left"/>
        <w:rPr>
          <w:rFonts w:ascii="Arial" w:hAnsi="Arial" w:cs="Arial"/>
          <w:color w:val="212121"/>
          <w:sz w:val="22"/>
          <w:szCs w:val="22"/>
          <w:shd w:val="clear" w:color="auto" w:fill="FFFFFF"/>
          <w:lang w:eastAsia="fr-MA"/>
        </w:rPr>
      </w:pPr>
      <w:r w:rsidRPr="008458DA">
        <w:rPr>
          <w:rFonts w:ascii="Arial" w:hAnsi="Arial" w:cs="Arial"/>
          <w:color w:val="212121"/>
          <w:sz w:val="22"/>
          <w:szCs w:val="22"/>
          <w:shd w:val="clear" w:color="auto" w:fill="FFFFFF"/>
          <w:lang w:eastAsia="fr-MA"/>
        </w:rPr>
        <w:t>9</w:t>
      </w:r>
      <w:r w:rsidR="00F862CC" w:rsidRPr="008458DA">
        <w:rPr>
          <w:rFonts w:ascii="Arial" w:hAnsi="Arial" w:cs="Arial"/>
          <w:color w:val="212121"/>
          <w:sz w:val="22"/>
          <w:szCs w:val="22"/>
          <w:shd w:val="clear" w:color="auto" w:fill="FFFFFF"/>
          <w:lang w:eastAsia="fr-MA"/>
        </w:rPr>
        <w:t xml:space="preserve">. </w:t>
      </w:r>
      <w:r w:rsidR="00F862CC" w:rsidRPr="008458DA">
        <w:rPr>
          <w:rFonts w:ascii="Arial" w:hAnsi="Arial" w:cs="Arial"/>
          <w:color w:val="212121"/>
          <w:sz w:val="22"/>
          <w:szCs w:val="22"/>
          <w:shd w:val="clear" w:color="auto" w:fill="FFFFFF"/>
          <w:lang w:eastAsia="fr-MA"/>
        </w:rPr>
        <w:t xml:space="preserve">Bach KT, Lui F. </w:t>
      </w:r>
      <w:proofErr w:type="spellStart"/>
      <w:r w:rsidR="00F862CC" w:rsidRPr="008458DA">
        <w:rPr>
          <w:rFonts w:ascii="Arial" w:hAnsi="Arial" w:cs="Arial"/>
          <w:color w:val="212121"/>
          <w:sz w:val="22"/>
          <w:szCs w:val="22"/>
          <w:shd w:val="clear" w:color="auto" w:fill="FFFFFF"/>
          <w:lang w:eastAsia="fr-MA"/>
        </w:rPr>
        <w:t>Tenecteplase</w:t>
      </w:r>
      <w:proofErr w:type="spellEnd"/>
      <w:r w:rsidR="00F862CC" w:rsidRPr="008458DA">
        <w:rPr>
          <w:rFonts w:ascii="Arial" w:hAnsi="Arial" w:cs="Arial"/>
          <w:color w:val="212121"/>
          <w:sz w:val="22"/>
          <w:szCs w:val="22"/>
          <w:shd w:val="clear" w:color="auto" w:fill="FFFFFF"/>
          <w:lang w:eastAsia="fr-MA"/>
        </w:rPr>
        <w:t xml:space="preserve">. 2023 Jun 25. In: </w:t>
      </w:r>
      <w:proofErr w:type="spellStart"/>
      <w:r w:rsidR="00F862CC" w:rsidRPr="008458DA">
        <w:rPr>
          <w:rFonts w:ascii="Arial" w:hAnsi="Arial" w:cs="Arial"/>
          <w:color w:val="212121"/>
          <w:sz w:val="22"/>
          <w:szCs w:val="22"/>
          <w:shd w:val="clear" w:color="auto" w:fill="FFFFFF"/>
          <w:lang w:eastAsia="fr-MA"/>
        </w:rPr>
        <w:t>StatPearls</w:t>
      </w:r>
      <w:proofErr w:type="spellEnd"/>
      <w:r w:rsidR="00F862CC" w:rsidRPr="008458DA">
        <w:rPr>
          <w:rFonts w:ascii="Arial" w:hAnsi="Arial" w:cs="Arial"/>
          <w:color w:val="212121"/>
          <w:sz w:val="22"/>
          <w:szCs w:val="22"/>
          <w:shd w:val="clear" w:color="auto" w:fill="FFFFFF"/>
          <w:lang w:eastAsia="fr-MA"/>
        </w:rPr>
        <w:t xml:space="preserve"> [Internet]. Treasure Island (FL): </w:t>
      </w:r>
      <w:proofErr w:type="spellStart"/>
      <w:r w:rsidR="00F862CC" w:rsidRPr="008458DA">
        <w:rPr>
          <w:rFonts w:ascii="Arial" w:hAnsi="Arial" w:cs="Arial"/>
          <w:color w:val="212121"/>
          <w:sz w:val="22"/>
          <w:szCs w:val="22"/>
          <w:shd w:val="clear" w:color="auto" w:fill="FFFFFF"/>
          <w:lang w:eastAsia="fr-MA"/>
        </w:rPr>
        <w:t>StatPearls</w:t>
      </w:r>
      <w:proofErr w:type="spellEnd"/>
      <w:r w:rsidR="00F862CC" w:rsidRPr="008458DA">
        <w:rPr>
          <w:rFonts w:ascii="Arial" w:hAnsi="Arial" w:cs="Arial"/>
          <w:color w:val="212121"/>
          <w:sz w:val="22"/>
          <w:szCs w:val="22"/>
          <w:shd w:val="clear" w:color="auto" w:fill="FFFFFF"/>
          <w:lang w:eastAsia="fr-MA"/>
        </w:rPr>
        <w:t xml:space="preserve"> Publishing; 2025 Jan–. PMID: 37276288.</w:t>
      </w:r>
    </w:p>
    <w:p w14:paraId="6350CD7B" w14:textId="2DE7E5CA" w:rsidR="003C0E5C" w:rsidRPr="008458DA" w:rsidRDefault="003C0E5C" w:rsidP="00441B6F">
      <w:pPr>
        <w:pStyle w:val="Body"/>
        <w:spacing w:after="0"/>
        <w:jc w:val="left"/>
        <w:rPr>
          <w:rFonts w:ascii="Arial" w:hAnsi="Arial" w:cs="Arial"/>
          <w:color w:val="212121"/>
          <w:sz w:val="22"/>
          <w:szCs w:val="22"/>
          <w:shd w:val="clear" w:color="auto" w:fill="FFFFFF"/>
          <w:lang w:eastAsia="fr-MA"/>
        </w:rPr>
      </w:pPr>
    </w:p>
    <w:p w14:paraId="346744C2" w14:textId="6187D1EF" w:rsidR="003C0E5C" w:rsidRPr="008458DA" w:rsidRDefault="003C0E5C" w:rsidP="00441B6F">
      <w:pPr>
        <w:pStyle w:val="Body"/>
        <w:spacing w:after="0"/>
        <w:jc w:val="left"/>
        <w:rPr>
          <w:rFonts w:ascii="Arial" w:hAnsi="Arial" w:cs="Arial"/>
          <w:color w:val="212121"/>
          <w:sz w:val="22"/>
          <w:szCs w:val="22"/>
          <w:shd w:val="clear" w:color="auto" w:fill="FFFFFF"/>
          <w:lang w:eastAsia="fr-MA"/>
        </w:rPr>
      </w:pPr>
      <w:r w:rsidRPr="008458DA">
        <w:rPr>
          <w:rFonts w:ascii="Arial" w:hAnsi="Arial" w:cs="Arial"/>
          <w:color w:val="212121"/>
          <w:sz w:val="22"/>
          <w:szCs w:val="22"/>
          <w:shd w:val="clear" w:color="auto" w:fill="FFFFFF"/>
          <w:lang w:eastAsia="fr-MA"/>
        </w:rPr>
        <w:t xml:space="preserve">10. </w:t>
      </w:r>
      <w:r w:rsidRPr="008458DA">
        <w:rPr>
          <w:rFonts w:ascii="Arial" w:hAnsi="Arial" w:cs="Arial"/>
          <w:color w:val="212121"/>
          <w:sz w:val="22"/>
          <w:szCs w:val="22"/>
          <w:shd w:val="clear" w:color="auto" w:fill="FFFFFF"/>
          <w:lang w:eastAsia="fr-MA"/>
        </w:rPr>
        <w:t xml:space="preserve">Zhang Z, Xi L, Zhang S, Zhang Y, Fan G, Tao X, Gao Q, </w:t>
      </w:r>
      <w:proofErr w:type="spellStart"/>
      <w:r w:rsidRPr="008458DA">
        <w:rPr>
          <w:rFonts w:ascii="Arial" w:hAnsi="Arial" w:cs="Arial"/>
          <w:color w:val="212121"/>
          <w:sz w:val="22"/>
          <w:szCs w:val="22"/>
          <w:shd w:val="clear" w:color="auto" w:fill="FFFFFF"/>
          <w:lang w:eastAsia="fr-MA"/>
        </w:rPr>
        <w:t>Xie</w:t>
      </w:r>
      <w:proofErr w:type="spellEnd"/>
      <w:r w:rsidRPr="008458DA">
        <w:rPr>
          <w:rFonts w:ascii="Arial" w:hAnsi="Arial" w:cs="Arial"/>
          <w:color w:val="212121"/>
          <w:sz w:val="22"/>
          <w:szCs w:val="22"/>
          <w:shd w:val="clear" w:color="auto" w:fill="FFFFFF"/>
          <w:lang w:eastAsia="fr-MA"/>
        </w:rPr>
        <w:t xml:space="preserve"> W, Yang P, </w:t>
      </w:r>
      <w:proofErr w:type="spellStart"/>
      <w:r w:rsidRPr="008458DA">
        <w:rPr>
          <w:rFonts w:ascii="Arial" w:hAnsi="Arial" w:cs="Arial"/>
          <w:color w:val="212121"/>
          <w:sz w:val="22"/>
          <w:szCs w:val="22"/>
          <w:shd w:val="clear" w:color="auto" w:fill="FFFFFF"/>
          <w:lang w:eastAsia="fr-MA"/>
        </w:rPr>
        <w:t>Zhai</w:t>
      </w:r>
      <w:proofErr w:type="spellEnd"/>
      <w:r w:rsidRPr="008458DA">
        <w:rPr>
          <w:rFonts w:ascii="Arial" w:hAnsi="Arial" w:cs="Arial"/>
          <w:color w:val="212121"/>
          <w:sz w:val="22"/>
          <w:szCs w:val="22"/>
          <w:shd w:val="clear" w:color="auto" w:fill="FFFFFF"/>
          <w:lang w:eastAsia="fr-MA"/>
        </w:rPr>
        <w:t xml:space="preserve"> Z, Wang C. Tenecteplase in Pulmonary Embolism Patients: A Meta-Analysis and Systematic Review. Front Med (Lausanne). 2022 Mar </w:t>
      </w:r>
      <w:proofErr w:type="gramStart"/>
      <w:r w:rsidRPr="008458DA">
        <w:rPr>
          <w:rFonts w:ascii="Arial" w:hAnsi="Arial" w:cs="Arial"/>
          <w:color w:val="212121"/>
          <w:sz w:val="22"/>
          <w:szCs w:val="22"/>
          <w:shd w:val="clear" w:color="auto" w:fill="FFFFFF"/>
          <w:lang w:eastAsia="fr-MA"/>
        </w:rPr>
        <w:t>31;9:860565</w:t>
      </w:r>
      <w:proofErr w:type="gramEnd"/>
      <w:r w:rsidRPr="008458DA">
        <w:rPr>
          <w:rFonts w:ascii="Arial" w:hAnsi="Arial" w:cs="Arial"/>
          <w:color w:val="212121"/>
          <w:sz w:val="22"/>
          <w:szCs w:val="22"/>
          <w:shd w:val="clear" w:color="auto" w:fill="FFFFFF"/>
          <w:lang w:eastAsia="fr-MA"/>
        </w:rPr>
        <w:t xml:space="preserve">. </w:t>
      </w:r>
      <w:proofErr w:type="spellStart"/>
      <w:r w:rsidRPr="008458DA">
        <w:rPr>
          <w:rFonts w:ascii="Arial" w:hAnsi="Arial" w:cs="Arial"/>
          <w:color w:val="212121"/>
          <w:sz w:val="22"/>
          <w:szCs w:val="22"/>
          <w:shd w:val="clear" w:color="auto" w:fill="FFFFFF"/>
          <w:lang w:eastAsia="fr-MA"/>
        </w:rPr>
        <w:t>doi</w:t>
      </w:r>
      <w:proofErr w:type="spellEnd"/>
      <w:r w:rsidRPr="008458DA">
        <w:rPr>
          <w:rFonts w:ascii="Arial" w:hAnsi="Arial" w:cs="Arial"/>
          <w:color w:val="212121"/>
          <w:sz w:val="22"/>
          <w:szCs w:val="22"/>
          <w:shd w:val="clear" w:color="auto" w:fill="FFFFFF"/>
          <w:lang w:eastAsia="fr-MA"/>
        </w:rPr>
        <w:t>: 10.3389/fmed.2022.860565. PMID: 35433747; PMCID: PMC9008780.</w:t>
      </w:r>
    </w:p>
    <w:sectPr w:rsidR="003C0E5C" w:rsidRPr="008458DA" w:rsidSect="00796BC8">
      <w:headerReference w:type="even" r:id="rId17"/>
      <w:headerReference w:type="default" r:id="rId18"/>
      <w:footerReference w:type="default" r:id="rId19"/>
      <w:headerReference w:type="first" r:id="rId20"/>
      <w:type w:val="continuous"/>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F6836" w14:textId="77777777" w:rsidR="002158CD" w:rsidRDefault="002158CD" w:rsidP="00C37E61">
      <w:r>
        <w:separator/>
      </w:r>
    </w:p>
  </w:endnote>
  <w:endnote w:type="continuationSeparator" w:id="0">
    <w:p w14:paraId="4EB3A0B5" w14:textId="77777777" w:rsidR="002158CD" w:rsidRDefault="002158C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1D4A" w14:textId="77777777" w:rsidR="00F55D3B" w:rsidRDefault="00F55D3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AC7C" w14:textId="77777777" w:rsidR="00F55D3B" w:rsidRDefault="00F55D3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68D8" w14:textId="77777777" w:rsidR="00640B5C" w:rsidRDefault="00640B5C">
    <w:pPr>
      <w:pStyle w:val="Pieddepage"/>
      <w:rPr>
        <w:rFonts w:ascii="Arial" w:hAnsi="Arial" w:cs="Arial"/>
        <w:sz w:val="16"/>
      </w:rPr>
    </w:pPr>
  </w:p>
  <w:p w14:paraId="719AEF85" w14:textId="77777777" w:rsidR="00640B5C" w:rsidRDefault="00640B5C" w:rsidP="009E048A">
    <w:pPr>
      <w:pStyle w:val="Pieddepage"/>
      <w:jc w:val="center"/>
      <w:rPr>
        <w:rFonts w:ascii="Arial" w:hAnsi="Arial" w:cs="Arial"/>
        <w:sz w:val="16"/>
      </w:rPr>
    </w:pPr>
    <w:r>
      <w:rPr>
        <w:rFonts w:ascii="Arial" w:hAnsi="Arial" w:cs="Arial"/>
        <w:sz w:val="16"/>
      </w:rPr>
      <w:t>____________________________________________________________________________________________</w:t>
    </w:r>
  </w:p>
  <w:p w14:paraId="5FE3C557" w14:textId="77777777" w:rsidR="00640B5C" w:rsidRDefault="00640B5C">
    <w:pPr>
      <w:pStyle w:val="Pieddepage"/>
      <w:rPr>
        <w:rFonts w:ascii="Arial" w:hAnsi="Arial" w:cs="Arial"/>
        <w:sz w:val="16"/>
      </w:rPr>
    </w:pPr>
  </w:p>
  <w:p w14:paraId="4016768B" w14:textId="77777777" w:rsidR="00640B5C" w:rsidRPr="009E048A" w:rsidRDefault="00640B5C">
    <w:pPr>
      <w:pStyle w:val="Pieddepage"/>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B951" w14:textId="77777777" w:rsidR="00640B5C" w:rsidRPr="00C37E61" w:rsidRDefault="00640B5C"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70CAC" w14:textId="77777777" w:rsidR="002158CD" w:rsidRDefault="002158CD" w:rsidP="00C37E61">
      <w:r>
        <w:separator/>
      </w:r>
    </w:p>
  </w:footnote>
  <w:footnote w:type="continuationSeparator" w:id="0">
    <w:p w14:paraId="4FB6F658" w14:textId="77777777" w:rsidR="002158CD" w:rsidRDefault="002158C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FD87" w14:textId="0BB3F89B" w:rsidR="00F55D3B" w:rsidRDefault="002158CD">
    <w:pPr>
      <w:pStyle w:val="En-tte"/>
    </w:pPr>
    <w:r>
      <w:rPr>
        <w:noProof/>
      </w:rPr>
      <w:pict w14:anchorId="35CCC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19" o:spid="_x0000_s2050" type="#_x0000_t136" style="position:absolute;margin-left:0;margin-top:0;width:595.7pt;height:67.2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83F8" w14:textId="72E5DBD7" w:rsidR="00F55D3B" w:rsidRDefault="002158CD">
    <w:pPr>
      <w:pStyle w:val="En-tte"/>
    </w:pPr>
    <w:r>
      <w:rPr>
        <w:noProof/>
      </w:rPr>
      <w:pict w14:anchorId="78265D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20" o:spid="_x0000_s2051" type="#_x0000_t136" style="position:absolute;margin-left:0;margin-top:0;width:595.7pt;height:67.2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DDE6" w14:textId="7DA76B51" w:rsidR="00640B5C" w:rsidRPr="00296529" w:rsidRDefault="002158CD" w:rsidP="00296529">
    <w:pPr>
      <w:ind w:left="2160"/>
      <w:jc w:val="center"/>
      <w:rPr>
        <w:rFonts w:ascii="Times New Roman" w:eastAsia="Calibri" w:hAnsi="Times New Roman"/>
        <w:i/>
        <w:sz w:val="18"/>
        <w:szCs w:val="22"/>
      </w:rPr>
    </w:pPr>
    <w:r>
      <w:rPr>
        <w:noProof/>
      </w:rPr>
      <w:pict w14:anchorId="08D20F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18" o:spid="_x0000_s2049" type="#_x0000_t136" style="position:absolute;left:0;text-align:left;margin-left:0;margin-top:0;width:595.7pt;height:67.2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4C49273" w14:textId="77777777" w:rsidR="00640B5C" w:rsidRPr="00296529" w:rsidRDefault="00640B5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4333413" w14:textId="77777777" w:rsidR="00640B5C" w:rsidRPr="00296529" w:rsidRDefault="00640B5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617EC5" w14:textId="77777777" w:rsidR="00640B5C" w:rsidRPr="00296529" w:rsidRDefault="00640B5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648F215" w14:textId="77777777" w:rsidR="00640B5C" w:rsidRDefault="00640B5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7BD10B" w14:textId="77777777" w:rsidR="00640B5C" w:rsidRDefault="00640B5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40F5C6D" w14:textId="77777777" w:rsidR="00640B5C" w:rsidRDefault="00640B5C">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D996" w14:textId="51CB08D9" w:rsidR="00F55D3B" w:rsidRDefault="002158CD">
    <w:pPr>
      <w:pStyle w:val="En-tte"/>
    </w:pPr>
    <w:r>
      <w:rPr>
        <w:noProof/>
      </w:rPr>
      <w:pict w14:anchorId="103810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22" o:spid="_x0000_s2053" type="#_x0000_t136" style="position:absolute;margin-left:0;margin-top:0;width:595.7pt;height:67.2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1F0B" w14:textId="4C9F3223" w:rsidR="00F55D3B" w:rsidRDefault="002158CD">
    <w:pPr>
      <w:pStyle w:val="En-tte"/>
    </w:pPr>
    <w:r>
      <w:rPr>
        <w:noProof/>
      </w:rPr>
      <w:pict w14:anchorId="73BA4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23" o:spid="_x0000_s2054" type="#_x0000_t136" style="position:absolute;margin-left:0;margin-top:0;width:595.7pt;height:67.2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3CD8" w14:textId="6BB40675" w:rsidR="00F55D3B" w:rsidRDefault="002158CD">
    <w:pPr>
      <w:pStyle w:val="En-tte"/>
    </w:pPr>
    <w:r>
      <w:rPr>
        <w:noProof/>
      </w:rPr>
      <w:pict w14:anchorId="08562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21" o:spid="_x0000_s2052" type="#_x0000_t136" style="position:absolute;margin-left:0;margin-top:0;width:595.7pt;height:67.2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51E7649"/>
    <w:multiLevelType w:val="hybridMultilevel"/>
    <w:tmpl w:val="F0FA2BDC"/>
    <w:lvl w:ilvl="0" w:tplc="1AF814B6">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0A46"/>
    <w:rsid w:val="000A47FA"/>
    <w:rsid w:val="000A65D3"/>
    <w:rsid w:val="000B1E33"/>
    <w:rsid w:val="000D689F"/>
    <w:rsid w:val="000E7B7B"/>
    <w:rsid w:val="000E7D62"/>
    <w:rsid w:val="00103357"/>
    <w:rsid w:val="00123C9F"/>
    <w:rsid w:val="00126190"/>
    <w:rsid w:val="00130F17"/>
    <w:rsid w:val="001320BF"/>
    <w:rsid w:val="00163BC4"/>
    <w:rsid w:val="00166233"/>
    <w:rsid w:val="001815F7"/>
    <w:rsid w:val="00191062"/>
    <w:rsid w:val="00192B72"/>
    <w:rsid w:val="001A29D8"/>
    <w:rsid w:val="001A5CAA"/>
    <w:rsid w:val="001B0427"/>
    <w:rsid w:val="001D3A51"/>
    <w:rsid w:val="001E10D2"/>
    <w:rsid w:val="001E1B8F"/>
    <w:rsid w:val="001E25B4"/>
    <w:rsid w:val="001E44FE"/>
    <w:rsid w:val="00200595"/>
    <w:rsid w:val="00204835"/>
    <w:rsid w:val="002158CD"/>
    <w:rsid w:val="00231920"/>
    <w:rsid w:val="0023195C"/>
    <w:rsid w:val="0024282C"/>
    <w:rsid w:val="002460DC"/>
    <w:rsid w:val="00250985"/>
    <w:rsid w:val="002556F6"/>
    <w:rsid w:val="00267D35"/>
    <w:rsid w:val="00283105"/>
    <w:rsid w:val="00284C4C"/>
    <w:rsid w:val="00296529"/>
    <w:rsid w:val="002A603A"/>
    <w:rsid w:val="002B27FB"/>
    <w:rsid w:val="002B685A"/>
    <w:rsid w:val="002C57D2"/>
    <w:rsid w:val="002E0D56"/>
    <w:rsid w:val="002E0F80"/>
    <w:rsid w:val="002E14D4"/>
    <w:rsid w:val="002E2B71"/>
    <w:rsid w:val="002F5240"/>
    <w:rsid w:val="003070FE"/>
    <w:rsid w:val="00315186"/>
    <w:rsid w:val="0033343E"/>
    <w:rsid w:val="003512C2"/>
    <w:rsid w:val="00371FB6"/>
    <w:rsid w:val="003760E8"/>
    <w:rsid w:val="003763C1"/>
    <w:rsid w:val="00376BBE"/>
    <w:rsid w:val="0039224F"/>
    <w:rsid w:val="003A43A4"/>
    <w:rsid w:val="003A7E18"/>
    <w:rsid w:val="003C0E5C"/>
    <w:rsid w:val="003C4C86"/>
    <w:rsid w:val="003C6258"/>
    <w:rsid w:val="003E2904"/>
    <w:rsid w:val="00401927"/>
    <w:rsid w:val="0041027F"/>
    <w:rsid w:val="00412475"/>
    <w:rsid w:val="00423789"/>
    <w:rsid w:val="00440F43"/>
    <w:rsid w:val="00441B6F"/>
    <w:rsid w:val="00446221"/>
    <w:rsid w:val="00450E62"/>
    <w:rsid w:val="004539DB"/>
    <w:rsid w:val="00471A80"/>
    <w:rsid w:val="004A7E2D"/>
    <w:rsid w:val="004B3D98"/>
    <w:rsid w:val="004D1A49"/>
    <w:rsid w:val="004D305E"/>
    <w:rsid w:val="004D4277"/>
    <w:rsid w:val="00502516"/>
    <w:rsid w:val="00505B8D"/>
    <w:rsid w:val="00505F06"/>
    <w:rsid w:val="00506828"/>
    <w:rsid w:val="0053056E"/>
    <w:rsid w:val="00533FFD"/>
    <w:rsid w:val="00554FDA"/>
    <w:rsid w:val="005B5EE3"/>
    <w:rsid w:val="005C784C"/>
    <w:rsid w:val="005D1726"/>
    <w:rsid w:val="005D17F6"/>
    <w:rsid w:val="005E5539"/>
    <w:rsid w:val="00602BF5"/>
    <w:rsid w:val="00617FDD"/>
    <w:rsid w:val="00633614"/>
    <w:rsid w:val="00633F68"/>
    <w:rsid w:val="00636EB2"/>
    <w:rsid w:val="006375B8"/>
    <w:rsid w:val="00640B5C"/>
    <w:rsid w:val="00662B82"/>
    <w:rsid w:val="0066510A"/>
    <w:rsid w:val="00673F9F"/>
    <w:rsid w:val="00686953"/>
    <w:rsid w:val="00687DEA"/>
    <w:rsid w:val="00687E67"/>
    <w:rsid w:val="006967F7"/>
    <w:rsid w:val="006A250C"/>
    <w:rsid w:val="006B21D3"/>
    <w:rsid w:val="006B3C39"/>
    <w:rsid w:val="006B57D0"/>
    <w:rsid w:val="006D30FF"/>
    <w:rsid w:val="006D6940"/>
    <w:rsid w:val="006F11EC"/>
    <w:rsid w:val="006F31FB"/>
    <w:rsid w:val="0070082C"/>
    <w:rsid w:val="007369E6"/>
    <w:rsid w:val="00746E59"/>
    <w:rsid w:val="00754C9A"/>
    <w:rsid w:val="0075599A"/>
    <w:rsid w:val="00761D52"/>
    <w:rsid w:val="00771662"/>
    <w:rsid w:val="0077749E"/>
    <w:rsid w:val="00790ADA"/>
    <w:rsid w:val="00796BC8"/>
    <w:rsid w:val="007C202E"/>
    <w:rsid w:val="007C3176"/>
    <w:rsid w:val="007D1754"/>
    <w:rsid w:val="007D2288"/>
    <w:rsid w:val="007E088F"/>
    <w:rsid w:val="007E6FE4"/>
    <w:rsid w:val="007F7B32"/>
    <w:rsid w:val="00804BC2"/>
    <w:rsid w:val="0081431A"/>
    <w:rsid w:val="0083216F"/>
    <w:rsid w:val="008458DA"/>
    <w:rsid w:val="00860000"/>
    <w:rsid w:val="00863BD3"/>
    <w:rsid w:val="00866D66"/>
    <w:rsid w:val="008671C6"/>
    <w:rsid w:val="00875803"/>
    <w:rsid w:val="008B459E"/>
    <w:rsid w:val="008D162C"/>
    <w:rsid w:val="008E13AE"/>
    <w:rsid w:val="008E1506"/>
    <w:rsid w:val="008E710C"/>
    <w:rsid w:val="008F69D6"/>
    <w:rsid w:val="00902823"/>
    <w:rsid w:val="00915CA6"/>
    <w:rsid w:val="00924BCB"/>
    <w:rsid w:val="00927834"/>
    <w:rsid w:val="009500A6"/>
    <w:rsid w:val="00957C18"/>
    <w:rsid w:val="009659BA"/>
    <w:rsid w:val="009734B5"/>
    <w:rsid w:val="00983040"/>
    <w:rsid w:val="0099743B"/>
    <w:rsid w:val="009B3FB9"/>
    <w:rsid w:val="009C2465"/>
    <w:rsid w:val="009D1E50"/>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62AB"/>
    <w:rsid w:val="00AA74E0"/>
    <w:rsid w:val="00AB703F"/>
    <w:rsid w:val="00AC6BB8"/>
    <w:rsid w:val="00AE008F"/>
    <w:rsid w:val="00B01FCD"/>
    <w:rsid w:val="00B0483C"/>
    <w:rsid w:val="00B1776C"/>
    <w:rsid w:val="00B52896"/>
    <w:rsid w:val="00B9064A"/>
    <w:rsid w:val="00B95236"/>
    <w:rsid w:val="00B96BD9"/>
    <w:rsid w:val="00BA1B01"/>
    <w:rsid w:val="00BA2641"/>
    <w:rsid w:val="00BB37AA"/>
    <w:rsid w:val="00BC53A0"/>
    <w:rsid w:val="00BE2AFB"/>
    <w:rsid w:val="00BE62AD"/>
    <w:rsid w:val="00BF121F"/>
    <w:rsid w:val="00BF1F80"/>
    <w:rsid w:val="00C166EF"/>
    <w:rsid w:val="00C17EB0"/>
    <w:rsid w:val="00C234C2"/>
    <w:rsid w:val="00C27F5F"/>
    <w:rsid w:val="00C30A0F"/>
    <w:rsid w:val="00C37E61"/>
    <w:rsid w:val="00C424A4"/>
    <w:rsid w:val="00C70F1B"/>
    <w:rsid w:val="00C71A47"/>
    <w:rsid w:val="00C7464C"/>
    <w:rsid w:val="00C85588"/>
    <w:rsid w:val="00CD3B3C"/>
    <w:rsid w:val="00CD6755"/>
    <w:rsid w:val="00CD6856"/>
    <w:rsid w:val="00CE0089"/>
    <w:rsid w:val="00CE793C"/>
    <w:rsid w:val="00D07C29"/>
    <w:rsid w:val="00D173F1"/>
    <w:rsid w:val="00D23159"/>
    <w:rsid w:val="00D42D13"/>
    <w:rsid w:val="00D8295D"/>
    <w:rsid w:val="00D86E25"/>
    <w:rsid w:val="00DA50DD"/>
    <w:rsid w:val="00DC2A65"/>
    <w:rsid w:val="00DE15F0"/>
    <w:rsid w:val="00DE5663"/>
    <w:rsid w:val="00DE78AA"/>
    <w:rsid w:val="00E053D0"/>
    <w:rsid w:val="00E15994"/>
    <w:rsid w:val="00E3114E"/>
    <w:rsid w:val="00E31A70"/>
    <w:rsid w:val="00E35B02"/>
    <w:rsid w:val="00E57DB9"/>
    <w:rsid w:val="00E66496"/>
    <w:rsid w:val="00E669AA"/>
    <w:rsid w:val="00E66B35"/>
    <w:rsid w:val="00E66E10"/>
    <w:rsid w:val="00E769F6"/>
    <w:rsid w:val="00E8407C"/>
    <w:rsid w:val="00E84F3C"/>
    <w:rsid w:val="00E870DD"/>
    <w:rsid w:val="00EA012C"/>
    <w:rsid w:val="00ED0288"/>
    <w:rsid w:val="00EE52CB"/>
    <w:rsid w:val="00EF579F"/>
    <w:rsid w:val="00EF581D"/>
    <w:rsid w:val="00EF7FD8"/>
    <w:rsid w:val="00F06F59"/>
    <w:rsid w:val="00F17988"/>
    <w:rsid w:val="00F33EBF"/>
    <w:rsid w:val="00F469F0"/>
    <w:rsid w:val="00F52258"/>
    <w:rsid w:val="00F52E97"/>
    <w:rsid w:val="00F53273"/>
    <w:rsid w:val="00F55D3B"/>
    <w:rsid w:val="00F561F1"/>
    <w:rsid w:val="00F72F2A"/>
    <w:rsid w:val="00F755E4"/>
    <w:rsid w:val="00F77D02"/>
    <w:rsid w:val="00F862C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A200BB3"/>
  <w15:docId w15:val="{2008E01F-0317-AF41-8B71-2FBE4F3A3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paragraph" w:styleId="NormalWeb">
    <w:name w:val="Normal (Web)"/>
    <w:basedOn w:val="Normal"/>
    <w:uiPriority w:val="99"/>
    <w:semiHidden/>
    <w:unhideWhenUsed/>
    <w:rsid w:val="00E669AA"/>
    <w:pPr>
      <w:spacing w:before="100" w:beforeAutospacing="1" w:after="100" w:afterAutospacing="1"/>
    </w:pPr>
    <w:rPr>
      <w:rFonts w:ascii="Times New Roman" w:hAnsi="Times New Roman"/>
      <w:sz w:val="24"/>
      <w:szCs w:val="24"/>
      <w:lang w:val="fr-MA" w:eastAsia="fr-FR"/>
    </w:rPr>
  </w:style>
  <w:style w:type="paragraph" w:styleId="Paragraphedeliste">
    <w:name w:val="List Paragraph"/>
    <w:basedOn w:val="Normal"/>
    <w:uiPriority w:val="34"/>
    <w:qFormat/>
    <w:rsid w:val="00E669AA"/>
    <w:pPr>
      <w:ind w:left="720"/>
      <w:contextualSpacing/>
    </w:pPr>
    <w:rPr>
      <w:rFonts w:asciiTheme="minorHAnsi" w:eastAsiaTheme="minorHAnsi" w:hAnsiTheme="minorHAnsi" w:cstheme="minorBidi"/>
      <w:sz w:val="24"/>
      <w:szCs w:val="24"/>
      <w:lang w:val="fr-MA"/>
    </w:rPr>
  </w:style>
  <w:style w:type="character" w:styleId="Mentionnonrsolue">
    <w:name w:val="Unresolved Mention"/>
    <w:basedOn w:val="Policepardfaut"/>
    <w:uiPriority w:val="99"/>
    <w:semiHidden/>
    <w:unhideWhenUsed/>
    <w:rsid w:val="00307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3379695">
      <w:bodyDiv w:val="1"/>
      <w:marLeft w:val="0"/>
      <w:marRight w:val="0"/>
      <w:marTop w:val="0"/>
      <w:marBottom w:val="0"/>
      <w:divBdr>
        <w:top w:val="none" w:sz="0" w:space="0" w:color="auto"/>
        <w:left w:val="none" w:sz="0" w:space="0" w:color="auto"/>
        <w:bottom w:val="none" w:sz="0" w:space="0" w:color="auto"/>
        <w:right w:val="none" w:sz="0" w:space="0" w:color="auto"/>
      </w:divBdr>
    </w:div>
    <w:div w:id="10362094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80497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381895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0504015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096589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2507710">
      <w:bodyDiv w:val="1"/>
      <w:marLeft w:val="0"/>
      <w:marRight w:val="0"/>
      <w:marTop w:val="0"/>
      <w:marBottom w:val="0"/>
      <w:divBdr>
        <w:top w:val="none" w:sz="0" w:space="0" w:color="auto"/>
        <w:left w:val="none" w:sz="0" w:space="0" w:color="auto"/>
        <w:bottom w:val="none" w:sz="0" w:space="0" w:color="auto"/>
        <w:right w:val="none" w:sz="0" w:space="0" w:color="auto"/>
      </w:divBdr>
    </w:div>
    <w:div w:id="214527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bmp"/><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bmp"/><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EA3FC-7238-486E-81F0-A65FC6F73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98</TotalTime>
  <Pages>5</Pages>
  <Words>1741</Words>
  <Characters>9578</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11297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Ghita Bennis</cp:lastModifiedBy>
  <cp:revision>12</cp:revision>
  <cp:lastPrinted>2025-11-20T07:16:00Z</cp:lastPrinted>
  <dcterms:created xsi:type="dcterms:W3CDTF">2025-11-19T22:06:00Z</dcterms:created>
  <dcterms:modified xsi:type="dcterms:W3CDTF">2025-11-22T01:13:00Z</dcterms:modified>
</cp:coreProperties>
</file>