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571D" w:rsidRPr="00C2571D" w:rsidRDefault="00C2571D" w:rsidP="00C2571D">
      <w:pPr>
        <w:rPr>
          <w:b/>
          <w:bCs/>
          <w:noProof/>
          <w:color w:val="FF0000"/>
          <w:lang w:val="fr-FR" w:eastAsia="fr-FR"/>
        </w:rPr>
      </w:pPr>
      <w:r w:rsidRPr="00C2571D">
        <w:rPr>
          <w:b/>
          <w:bCs/>
          <w:noProof/>
          <w:color w:val="FF0000"/>
          <w:lang w:val="fr-FR" w:eastAsia="fr-FR"/>
        </w:rPr>
        <w:t xml:space="preserve">Alcohol-Induced Syncope in a Healthy Young Adult: A Case of Transient Nodal Dysfunction </w:t>
      </w:r>
    </w:p>
    <w:p w:rsidR="00C2571D" w:rsidRPr="00C2571D" w:rsidRDefault="00C2571D" w:rsidP="00C2571D">
      <w:pPr>
        <w:ind w:left="360"/>
        <w:rPr>
          <w:noProof/>
          <w:lang w:val="fr-FR" w:eastAsia="fr-FR"/>
        </w:rPr>
      </w:pPr>
      <w:bookmarkStart w:id="0" w:name="_GoBack"/>
      <w:bookmarkEnd w:id="0"/>
    </w:p>
    <w:p w:rsidR="00C2571D" w:rsidRPr="00C2571D" w:rsidRDefault="00C2571D" w:rsidP="00C2571D">
      <w:pPr>
        <w:ind w:left="360"/>
        <w:rPr>
          <w:noProof/>
          <w:lang w:val="fr-FR" w:eastAsia="fr-FR"/>
        </w:rPr>
      </w:pPr>
      <w:r>
        <w:rPr>
          <w:noProof/>
          <w:lang w:val="fr-FR" w:eastAsia="fr-FR"/>
        </w:rPr>
        <w:t>Abstract</w:t>
      </w:r>
    </w:p>
    <w:p w:rsidR="00C2571D" w:rsidRPr="00C2571D" w:rsidRDefault="00C2571D" w:rsidP="00C2571D">
      <w:pPr>
        <w:ind w:left="360"/>
        <w:rPr>
          <w:noProof/>
          <w:lang w:val="fr-FR" w:eastAsia="fr-FR"/>
        </w:rPr>
      </w:pPr>
      <w:r>
        <w:rPr>
          <w:noProof/>
          <w:lang w:val="fr-FR" w:eastAsia="fr-FR"/>
        </w:rPr>
        <w:t>Aims:</w:t>
      </w:r>
      <w:r w:rsidRPr="00C2571D">
        <w:rPr>
          <w:noProof/>
          <w:lang w:val="fr-FR" w:eastAsia="fr-FR"/>
        </w:rPr>
        <w:t xml:space="preserve"> To emphasize that acute alcohol consumption may provoke transient sinoatrial or atrioventricular conduction disturbances leading to syncope in otherwise healthy young adults, and to advocate for prolonged electrocardiographic monitoring in such settings.  </w:t>
      </w:r>
    </w:p>
    <w:p w:rsidR="00C2571D" w:rsidRPr="00C2571D" w:rsidRDefault="00C2571D" w:rsidP="00C2571D">
      <w:pPr>
        <w:ind w:left="360"/>
        <w:rPr>
          <w:noProof/>
          <w:lang w:val="fr-FR" w:eastAsia="fr-FR"/>
        </w:rPr>
      </w:pPr>
      <w:r>
        <w:rPr>
          <w:noProof/>
          <w:lang w:val="fr-FR" w:eastAsia="fr-FR"/>
        </w:rPr>
        <w:t>Presentation of Case:</w:t>
      </w:r>
      <w:r w:rsidRPr="00C2571D">
        <w:rPr>
          <w:noProof/>
          <w:lang w:val="fr-FR" w:eastAsia="fr-FR"/>
        </w:rPr>
        <w:t xml:space="preserve"> A 35-year-old man with no prior medical history presented to the emergency department following a witnessed episode of transient loss of consciousness after consuming six to seven beers the previous evening. Clinical examination, vital signs, standard 12-lead electrocardiogram (ECG), and routine laboratory tests—including cardiac biomarkers and electrolytes—were unremarkable. In-hospital continuous telemetry monitoring over 24 hours revealed no arrhythmias, pauses, or conduction abnormalities. Despite features suggestive of reflex syncope, the temporal association with heavy alcohol intake prompted concern for transient electrophysiological dysfunction. A 72-hour Holter ECG was therefore prescribed for further evaluation.  </w:t>
      </w:r>
    </w:p>
    <w:p w:rsidR="00C2571D" w:rsidRPr="00C2571D" w:rsidRDefault="00C2571D" w:rsidP="00C2571D">
      <w:pPr>
        <w:ind w:left="360"/>
        <w:rPr>
          <w:noProof/>
          <w:lang w:val="fr-FR" w:eastAsia="fr-FR"/>
        </w:rPr>
      </w:pPr>
      <w:r>
        <w:rPr>
          <w:noProof/>
          <w:lang w:val="fr-FR" w:eastAsia="fr-FR"/>
        </w:rPr>
        <w:t>Discussion:</w:t>
      </w:r>
      <w:r w:rsidRPr="00C2571D">
        <w:rPr>
          <w:noProof/>
          <w:lang w:val="fr-FR" w:eastAsia="fr-FR"/>
        </w:rPr>
        <w:t xml:space="preserve"> Ethanol exerts multiple cardiovascular effects, including vasodilation, autonomic imbalance (increased vagal tone, reduced sympathetic activity), and direct electrophysiological actions on cardiac ion channels. These can transiently depress sinoatrial and atrioventricular nodal function, even in structurally normal hearts. Prior case reports and experimental studies have documented reversible sinoatrial block, sinus bradycardia, and second-degree AV block after acute alcohol ingestion. Such disturbances often resolve within 24 hours and may escape detection on standard ECG or short-term monitoring.  </w:t>
      </w:r>
    </w:p>
    <w:p w:rsidR="00C2571D" w:rsidRPr="00C2571D" w:rsidRDefault="00C2571D" w:rsidP="00C2571D">
      <w:pPr>
        <w:ind w:left="360"/>
        <w:rPr>
          <w:noProof/>
          <w:lang w:val="fr-FR" w:eastAsia="fr-FR"/>
        </w:rPr>
      </w:pPr>
      <w:r>
        <w:rPr>
          <w:noProof/>
          <w:lang w:val="fr-FR" w:eastAsia="fr-FR"/>
        </w:rPr>
        <w:t>Conclusion:</w:t>
      </w:r>
      <w:r w:rsidRPr="00C2571D">
        <w:rPr>
          <w:noProof/>
          <w:lang w:val="fr-FR" w:eastAsia="fr-FR"/>
        </w:rPr>
        <w:t xml:space="preserve"> Syncope after acute alcohol intake in young adults may result from transient conduction abnormalities not captured during initial workup. Clinicians should consider alcohol as a potential trigger of electrophysiological instability and employ prolonged Holter monitoring to avoid misattribution to benign reflex mechanisms alone.</w:t>
      </w:r>
    </w:p>
    <w:p w:rsidR="00C2571D" w:rsidRDefault="00C2571D" w:rsidP="00C2571D">
      <w:pPr>
        <w:ind w:left="360"/>
        <w:rPr>
          <w:noProof/>
          <w:lang w:val="fr-FR" w:eastAsia="fr-FR"/>
        </w:rPr>
      </w:pPr>
    </w:p>
    <w:p w:rsidR="00C2571D" w:rsidRDefault="00F25DF2" w:rsidP="00F25DF2">
      <w:pPr>
        <w:ind w:left="360"/>
        <w:rPr>
          <w:noProof/>
          <w:lang w:val="fr-FR" w:eastAsia="fr-FR"/>
        </w:rPr>
      </w:pPr>
      <w:r>
        <w:rPr>
          <w:noProof/>
          <w:lang w:val="fr-FR" w:eastAsia="fr-FR"/>
        </w:rPr>
        <w:t>K</w:t>
      </w:r>
      <w:r w:rsidRPr="00F25DF2">
        <w:rPr>
          <w:noProof/>
          <w:lang w:val="fr-FR" w:eastAsia="fr-FR"/>
        </w:rPr>
        <w:t>eywords:</w:t>
      </w:r>
      <w:r>
        <w:rPr>
          <w:noProof/>
          <w:lang w:val="fr-FR" w:eastAsia="fr-FR"/>
        </w:rPr>
        <w:t xml:space="preserve"> </w:t>
      </w:r>
      <w:r w:rsidRPr="00F25DF2">
        <w:rPr>
          <w:noProof/>
          <w:lang w:val="fr-FR" w:eastAsia="fr-FR"/>
        </w:rPr>
        <w:t>Alcohol-induced syncope; transient sinoatrial dysfunction; atrioventricular conduction block; holiday heart syndrome; vagally-mediated bradycardia; young adult; prolonged ECG monitoring; reversible conduction disorder</w:t>
      </w:r>
    </w:p>
    <w:p w:rsidR="00C2571D" w:rsidRPr="00C2571D" w:rsidRDefault="00C2571D" w:rsidP="00C2571D">
      <w:pPr>
        <w:ind w:left="360"/>
        <w:rPr>
          <w:noProof/>
          <w:lang w:val="fr-FR" w:eastAsia="fr-FR"/>
        </w:rPr>
      </w:pPr>
    </w:p>
    <w:p w:rsidR="00C2571D" w:rsidRDefault="00C2571D" w:rsidP="00C2571D">
      <w:pPr>
        <w:rPr>
          <w:noProof/>
          <w:lang w:val="fr-FR" w:eastAsia="fr-FR"/>
        </w:rPr>
      </w:pPr>
      <w:r>
        <w:rPr>
          <w:noProof/>
          <w:lang w:val="fr-FR" w:eastAsia="fr-FR"/>
        </w:rPr>
        <w:t>Introduction</w:t>
      </w:r>
    </w:p>
    <w:p w:rsidR="00C2571D" w:rsidRPr="00C2571D" w:rsidRDefault="00C2571D" w:rsidP="00C2571D">
      <w:pPr>
        <w:rPr>
          <w:noProof/>
          <w:lang w:val="fr-FR" w:eastAsia="fr-FR"/>
        </w:rPr>
      </w:pPr>
      <w:r w:rsidRPr="00C2571D">
        <w:rPr>
          <w:noProof/>
          <w:lang w:val="fr-FR" w:eastAsia="fr-FR"/>
        </w:rPr>
        <w:lastRenderedPageBreak/>
        <w:t xml:space="preserve">Syncope is a common reason for emergency department visits, particularly among young adults, where it is often presumed benign and attributed to vasovagal or orthostatic causes. However, the ingestion of alcohol adds complexity to the diagnostic evaluation. Acute ethanol exposure induces a spectrum of cardiovascular effects, including peripheral vasodilation, volume depletion, autonomic dysregulation, and direct electrophysiological actions on the cardiac conduction system [1–3].  </w:t>
      </w:r>
    </w:p>
    <w:p w:rsidR="00C2571D" w:rsidRPr="00C2571D" w:rsidRDefault="00C2571D" w:rsidP="00C2571D">
      <w:pPr>
        <w:ind w:left="360"/>
        <w:rPr>
          <w:noProof/>
          <w:lang w:val="fr-FR" w:eastAsia="fr-FR"/>
        </w:rPr>
      </w:pPr>
    </w:p>
    <w:p w:rsidR="00C2571D" w:rsidRPr="00C2571D" w:rsidRDefault="00C2571D" w:rsidP="00C2571D">
      <w:pPr>
        <w:ind w:left="360"/>
        <w:rPr>
          <w:noProof/>
          <w:lang w:val="fr-FR" w:eastAsia="fr-FR"/>
        </w:rPr>
      </w:pPr>
      <w:r w:rsidRPr="00C2571D">
        <w:rPr>
          <w:noProof/>
          <w:lang w:val="fr-FR" w:eastAsia="fr-FR"/>
        </w:rPr>
        <w:t xml:space="preserve">While "holiday heart syndrome" traditionally refers to alcohol-induced atrial fibrillation, less attention has been paid to alcohol’s potential to impair sinoatrial (SA) and atrioventricular (AV) nodal function [4]. Experimental and clinical evidence suggests that ethanol can transiently depress automaticity and conduction in the cardiac nodes via modulation of calcium and sodium channels, as well as through autonomic shifts favoring vagal dominance [5–7]. These effects may culminate in bradycardia or conduction blocks that, if severe, can provoke syncope.  </w:t>
      </w:r>
    </w:p>
    <w:p w:rsidR="00C2571D" w:rsidRPr="00C2571D" w:rsidRDefault="00C2571D" w:rsidP="00C2571D">
      <w:pPr>
        <w:ind w:left="360"/>
        <w:rPr>
          <w:noProof/>
          <w:lang w:val="fr-FR" w:eastAsia="fr-FR"/>
        </w:rPr>
      </w:pPr>
    </w:p>
    <w:p w:rsidR="00C2571D" w:rsidRPr="00C2571D" w:rsidRDefault="00C2571D" w:rsidP="00C2571D">
      <w:pPr>
        <w:ind w:left="360"/>
        <w:rPr>
          <w:noProof/>
          <w:lang w:val="fr-FR" w:eastAsia="fr-FR"/>
        </w:rPr>
      </w:pPr>
      <w:r w:rsidRPr="00C2571D">
        <w:rPr>
          <w:noProof/>
          <w:lang w:val="fr-FR" w:eastAsia="fr-FR"/>
        </w:rPr>
        <w:t>We present a case of syncope in a healthy young man following moderate-to-heavy beer consumption, with normal initial workup but high suspicion for transient nodal dysfunction. This report aims to raise awareness of alcohol as an underrecognized trigger of conduction-related syncope and to support the use of extended monitoring in similar clinical scenarios.</w:t>
      </w:r>
    </w:p>
    <w:p w:rsidR="00C2571D" w:rsidRPr="00C2571D" w:rsidRDefault="00C2571D" w:rsidP="00C2571D">
      <w:pPr>
        <w:ind w:left="360"/>
        <w:rPr>
          <w:noProof/>
          <w:lang w:val="fr-FR" w:eastAsia="fr-FR"/>
        </w:rPr>
      </w:pPr>
    </w:p>
    <w:p w:rsidR="00C2571D" w:rsidRPr="00C2571D" w:rsidRDefault="00C2571D" w:rsidP="00C2571D">
      <w:pPr>
        <w:ind w:left="360"/>
        <w:rPr>
          <w:noProof/>
          <w:lang w:val="fr-FR" w:eastAsia="fr-FR"/>
        </w:rPr>
      </w:pPr>
      <w:r>
        <w:rPr>
          <w:noProof/>
          <w:lang w:val="fr-FR" w:eastAsia="fr-FR"/>
        </w:rPr>
        <w:t>Case Presentation</w:t>
      </w:r>
    </w:p>
    <w:p w:rsidR="00C2571D" w:rsidRPr="00C2571D" w:rsidRDefault="00C2571D" w:rsidP="00C2571D">
      <w:pPr>
        <w:ind w:left="360"/>
        <w:rPr>
          <w:noProof/>
          <w:lang w:val="fr-FR" w:eastAsia="fr-FR"/>
        </w:rPr>
      </w:pPr>
      <w:r w:rsidRPr="00C2571D">
        <w:rPr>
          <w:noProof/>
          <w:lang w:val="fr-FR" w:eastAsia="fr-FR"/>
        </w:rPr>
        <w:t xml:space="preserve">A 35-year-old man with no known medical history presented to our emergency department after a single episode of transient loss of consciousness the night before. The event occurred approximately 2–3 hours after consuming six to seven standard beers during a social gathering. He was found lying on the floor by friends but regained consciousness spontaneously within seconds, with no post-ictal confusion, tongue biting, or urinary incontinence. No seizure-like activity was reported.  </w:t>
      </w:r>
    </w:p>
    <w:p w:rsidR="00C2571D" w:rsidRPr="00C2571D" w:rsidRDefault="00C2571D" w:rsidP="00C2571D">
      <w:pPr>
        <w:ind w:left="360"/>
        <w:rPr>
          <w:noProof/>
          <w:lang w:val="fr-FR" w:eastAsia="fr-FR"/>
        </w:rPr>
      </w:pPr>
    </w:p>
    <w:p w:rsidR="00C2571D" w:rsidRPr="00C2571D" w:rsidRDefault="00C2571D" w:rsidP="00C2571D">
      <w:pPr>
        <w:ind w:left="360"/>
        <w:rPr>
          <w:noProof/>
          <w:lang w:val="fr-FR" w:eastAsia="fr-FR"/>
        </w:rPr>
      </w:pPr>
      <w:r w:rsidRPr="00C2571D">
        <w:rPr>
          <w:noProof/>
          <w:lang w:val="fr-FR" w:eastAsia="fr-FR"/>
        </w:rPr>
        <w:t xml:space="preserve">On arrival, vital signs were stable: blood pressure 120/78 mmHg, heart rate 72 bpm, respiratory rate 14/min, and oxygen saturation 99% on room air. Physical examination was unremarkable, with no signs of trauma, dehydration, or cardiac abnormalities. Neurological assessment was normal.  </w:t>
      </w:r>
    </w:p>
    <w:p w:rsidR="00C2571D" w:rsidRPr="00C2571D" w:rsidRDefault="00C2571D" w:rsidP="00C2571D">
      <w:pPr>
        <w:ind w:left="360"/>
        <w:rPr>
          <w:noProof/>
          <w:lang w:val="fr-FR" w:eastAsia="fr-FR"/>
        </w:rPr>
      </w:pPr>
    </w:p>
    <w:p w:rsidR="00C2571D" w:rsidRDefault="00C2571D" w:rsidP="00C2571D">
      <w:pPr>
        <w:ind w:left="360"/>
        <w:rPr>
          <w:noProof/>
          <w:lang w:val="fr-FR" w:eastAsia="fr-FR"/>
        </w:rPr>
      </w:pPr>
      <w:r w:rsidRPr="00C2571D">
        <w:rPr>
          <w:noProof/>
          <w:lang w:val="fr-FR" w:eastAsia="fr-FR"/>
        </w:rPr>
        <w:t xml:space="preserve">A 12-lead ECG showed normal sinus rhythm (72 bpm), normal PR interval (160 ms), QRS duration (90 ms), and no ST-T abnormalities. Laboratory investigations—including </w:t>
      </w:r>
      <w:r w:rsidRPr="00C2571D">
        <w:rPr>
          <w:noProof/>
          <w:lang w:val="fr-FR" w:eastAsia="fr-FR"/>
        </w:rPr>
        <w:lastRenderedPageBreak/>
        <w:t xml:space="preserve">complete blood count, electrolytes, renal function, glucose, troponin I, and liver enzymes—were within normal limits.  </w:t>
      </w:r>
    </w:p>
    <w:p w:rsidR="00C2571D" w:rsidRPr="00C2571D" w:rsidRDefault="00C2571D" w:rsidP="00C2571D">
      <w:pPr>
        <w:ind w:left="360"/>
        <w:rPr>
          <w:noProof/>
          <w:lang w:val="fr-FR" w:eastAsia="fr-FR"/>
        </w:rPr>
      </w:pPr>
      <w:r>
        <w:rPr>
          <w:noProof/>
          <w:lang w:val="fr-FR" w:eastAsia="fr-FR"/>
        </w:rPr>
        <w:drawing>
          <wp:inline distT="0" distB="0" distL="0" distR="0" wp14:anchorId="0664E2D1">
            <wp:extent cx="5700395" cy="3078480"/>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0395" cy="3078480"/>
                    </a:xfrm>
                    <a:prstGeom prst="rect">
                      <a:avLst/>
                    </a:prstGeom>
                    <a:noFill/>
                  </pic:spPr>
                </pic:pic>
              </a:graphicData>
            </a:graphic>
          </wp:inline>
        </w:drawing>
      </w:r>
    </w:p>
    <w:p w:rsidR="00C2571D" w:rsidRPr="00C2571D" w:rsidRDefault="00C2571D" w:rsidP="00C2571D">
      <w:pPr>
        <w:ind w:left="360"/>
        <w:rPr>
          <w:noProof/>
          <w:lang w:val="fr-FR" w:eastAsia="fr-FR"/>
        </w:rPr>
      </w:pPr>
      <w:r>
        <w:rPr>
          <w:noProof/>
          <w:lang w:val="fr-FR" w:eastAsia="fr-FR"/>
        </w:rPr>
        <w:t xml:space="preserve">Figure 1 </w:t>
      </w:r>
      <w:r w:rsidRPr="00C2571D">
        <w:rPr>
          <w:noProof/>
          <w:lang w:val="fr-FR" w:eastAsia="fr-FR"/>
        </w:rPr>
        <w:t>A 12-lead ECG showed normal sinus rhythm (72 bpm), normal PR interval (160 ms), QRS duration (90 ms), and no ST-T abnormalities.</w:t>
      </w:r>
    </w:p>
    <w:p w:rsidR="00C2571D" w:rsidRPr="00C2571D" w:rsidRDefault="00C2571D" w:rsidP="00C2571D">
      <w:pPr>
        <w:ind w:left="360"/>
        <w:rPr>
          <w:noProof/>
          <w:lang w:val="fr-FR" w:eastAsia="fr-FR"/>
        </w:rPr>
      </w:pPr>
      <w:r w:rsidRPr="00C2571D">
        <w:rPr>
          <w:noProof/>
          <w:lang w:val="fr-FR" w:eastAsia="fr-FR"/>
        </w:rPr>
        <w:t>The patient was admitted for observation and placed on continuous telemetry for 24 hours, which revealed no arrhythmias, pauses &gt;3 seconds, or conduction blocks. Given the absence of structural heart disease and normal initial testing, reflex syncope was considered likely. However, due to the strong temporal link with acute alcohol intake—and literature suggesting reversible alcohol-induced conduction disturbances—a 72-hour ambulatory Holter ECG was prescribed prior to discharge for further evaluation.</w:t>
      </w:r>
    </w:p>
    <w:p w:rsidR="00C2571D" w:rsidRPr="00C2571D" w:rsidRDefault="00C2571D" w:rsidP="00C2571D">
      <w:pPr>
        <w:ind w:left="360"/>
        <w:rPr>
          <w:noProof/>
          <w:lang w:val="fr-FR" w:eastAsia="fr-FR"/>
        </w:rPr>
      </w:pPr>
    </w:p>
    <w:p w:rsidR="00C2571D" w:rsidRPr="00C2571D" w:rsidRDefault="00C2571D" w:rsidP="00C2571D">
      <w:pPr>
        <w:ind w:left="360"/>
        <w:rPr>
          <w:noProof/>
          <w:lang w:val="fr-FR" w:eastAsia="fr-FR"/>
        </w:rPr>
      </w:pPr>
      <w:r>
        <w:rPr>
          <w:noProof/>
          <w:lang w:val="fr-FR" w:eastAsia="fr-FR"/>
        </w:rPr>
        <w:t>Discussion</w:t>
      </w:r>
    </w:p>
    <w:p w:rsidR="00C2571D" w:rsidRPr="00C2571D" w:rsidRDefault="00C2571D" w:rsidP="00C2571D">
      <w:pPr>
        <w:ind w:left="360"/>
        <w:rPr>
          <w:noProof/>
          <w:lang w:val="fr-FR" w:eastAsia="fr-FR"/>
        </w:rPr>
      </w:pPr>
      <w:r w:rsidRPr="00C2571D">
        <w:rPr>
          <w:noProof/>
          <w:lang w:val="fr-FR" w:eastAsia="fr-FR"/>
        </w:rPr>
        <w:t xml:space="preserve">This case illustrates a diagnostic dilemma common in emergency and cardiology practice: syncope following alcohol consumption in a young, otherwise healthy individual. While reflex (vasovagal) mechanisms are often presumed, alcohol can independently provoke transient electrophysiological instability through several interrelated pathways.  </w:t>
      </w:r>
    </w:p>
    <w:p w:rsidR="00C2571D" w:rsidRPr="00C2571D" w:rsidRDefault="00C2571D" w:rsidP="00C2571D">
      <w:pPr>
        <w:ind w:left="360"/>
        <w:rPr>
          <w:noProof/>
          <w:lang w:val="fr-FR" w:eastAsia="fr-FR"/>
        </w:rPr>
      </w:pPr>
    </w:p>
    <w:p w:rsidR="00C2571D" w:rsidRPr="00C2571D" w:rsidRDefault="00C2571D" w:rsidP="00C2571D">
      <w:pPr>
        <w:ind w:left="360"/>
        <w:rPr>
          <w:noProof/>
          <w:lang w:val="fr-FR" w:eastAsia="fr-FR"/>
        </w:rPr>
      </w:pPr>
      <w:r w:rsidRPr="00C2571D">
        <w:rPr>
          <w:noProof/>
          <w:lang w:val="fr-FR" w:eastAsia="fr-FR"/>
        </w:rPr>
        <w:t xml:space="preserve">First, ethanol acutely increases parasympathetic (vagal) tone and suppresses sympathetic activity, as demonstrated by heart rate variability studies [3]. This autonomic shift can slow sinus rate and impair AV conduction, predisposing to </w:t>
      </w:r>
      <w:r w:rsidRPr="00C2571D">
        <w:rPr>
          <w:noProof/>
          <w:lang w:val="fr-FR" w:eastAsia="fr-FR"/>
        </w:rPr>
        <w:lastRenderedPageBreak/>
        <w:t xml:space="preserve">bradycardia or high-grade AV block [2,4]. Second, ethanol and its metabolite acetaldehyde directly affect cardiac ion channels: they inhibit L-type calcium channels and fast sodium currents, thereby reducing automaticity and conduction velocity in nodal tissue [7]. Third, alcohol-induced vasodilation and mild hypovolemia reduce venous return and cardiac preload, potentially triggering a Bezold-Jarisch–like reflex that further augments vagal output [1].  </w:t>
      </w:r>
    </w:p>
    <w:p w:rsidR="00C2571D" w:rsidRPr="00C2571D" w:rsidRDefault="00C2571D" w:rsidP="00C2571D">
      <w:pPr>
        <w:ind w:left="360"/>
        <w:rPr>
          <w:noProof/>
          <w:lang w:val="fr-FR" w:eastAsia="fr-FR"/>
        </w:rPr>
      </w:pPr>
    </w:p>
    <w:p w:rsidR="00C2571D" w:rsidRPr="00C2571D" w:rsidRDefault="00C2571D" w:rsidP="00C2571D">
      <w:pPr>
        <w:ind w:left="360"/>
        <w:rPr>
          <w:noProof/>
          <w:lang w:val="fr-FR" w:eastAsia="fr-FR"/>
        </w:rPr>
      </w:pPr>
      <w:r w:rsidRPr="00C2571D">
        <w:rPr>
          <w:noProof/>
          <w:lang w:val="fr-FR" w:eastAsia="fr-FR"/>
        </w:rPr>
        <w:t xml:space="preserve">Several case reports corroborate this pathophysiology. **Sajadieh et al.** described alcohol-induced sinoatrial block in a healthy young man, resolving within hours [5]. Similarly, **Panduranga et al.** reported transient complete heart block after acute alcohol ingestion, with full recovery [6]. Experimental data by **Spaak et al.** confirmed dose-dependent autonomic and hemodynamic effects of alcohol on cardiac regulation [4].  </w:t>
      </w:r>
    </w:p>
    <w:p w:rsidR="00C2571D" w:rsidRPr="00C2571D" w:rsidRDefault="00C2571D" w:rsidP="00C2571D">
      <w:pPr>
        <w:ind w:left="360"/>
        <w:rPr>
          <w:noProof/>
          <w:lang w:val="fr-FR" w:eastAsia="fr-FR"/>
        </w:rPr>
      </w:pPr>
    </w:p>
    <w:p w:rsidR="00C2571D" w:rsidRPr="00C2571D" w:rsidRDefault="00C2571D" w:rsidP="00C2571D">
      <w:pPr>
        <w:ind w:left="360"/>
        <w:rPr>
          <w:noProof/>
          <w:lang w:val="fr-FR" w:eastAsia="fr-FR"/>
        </w:rPr>
      </w:pPr>
      <w:r w:rsidRPr="00C2571D">
        <w:rPr>
          <w:noProof/>
          <w:lang w:val="fr-FR" w:eastAsia="fr-FR"/>
        </w:rPr>
        <w:t xml:space="preserve">Critically, these disturbances are often transient and may not be captured during standard ECG or brief telemetry—exactly as observed in our patient. The 2018 European Society of Cardiology (ESC) Guidelines for Syncope recommend prolonged ECG monitoring (e.g., Holter, external loop recorder) when intermittent conduction disease is suspected despite normal baseline evaluation [8]. Our decision to order a 72-hour Holter aligns with this guidance.  </w:t>
      </w:r>
    </w:p>
    <w:p w:rsidR="00C2571D" w:rsidRPr="00C2571D" w:rsidRDefault="00C2571D" w:rsidP="00C2571D">
      <w:pPr>
        <w:ind w:left="360"/>
        <w:rPr>
          <w:noProof/>
          <w:lang w:val="fr-FR" w:eastAsia="fr-FR"/>
        </w:rPr>
      </w:pPr>
    </w:p>
    <w:p w:rsidR="00C2571D" w:rsidRPr="00C2571D" w:rsidRDefault="00C2571D" w:rsidP="00C2571D">
      <w:pPr>
        <w:ind w:left="360"/>
        <w:rPr>
          <w:noProof/>
          <w:lang w:val="fr-FR" w:eastAsia="fr-FR"/>
        </w:rPr>
      </w:pPr>
      <w:r w:rsidRPr="00C2571D">
        <w:rPr>
          <w:noProof/>
          <w:lang w:val="fr-FR" w:eastAsia="fr-FR"/>
        </w:rPr>
        <w:t>It is also worth noting that while "holiday heart syndrome" typically evokes atrial fibrillation, nodal dysfunction represents an underappreciated manifestation. Mislabeling such episodes as purely vasovagal may lead to missed diagnoses and inadequate counseling.</w:t>
      </w:r>
    </w:p>
    <w:p w:rsidR="00C2571D" w:rsidRPr="00C2571D" w:rsidRDefault="00C2571D" w:rsidP="00C2571D">
      <w:pPr>
        <w:ind w:left="360"/>
        <w:rPr>
          <w:noProof/>
          <w:lang w:val="fr-FR" w:eastAsia="fr-FR"/>
        </w:rPr>
      </w:pPr>
    </w:p>
    <w:p w:rsidR="00C2571D" w:rsidRPr="00C2571D" w:rsidRDefault="00C2571D" w:rsidP="00C2571D">
      <w:pPr>
        <w:ind w:left="360"/>
        <w:rPr>
          <w:noProof/>
          <w:lang w:val="fr-FR" w:eastAsia="fr-FR"/>
        </w:rPr>
      </w:pPr>
      <w:r>
        <w:rPr>
          <w:noProof/>
          <w:lang w:val="fr-FR" w:eastAsia="fr-FR"/>
        </w:rPr>
        <w:t>Conclusion</w:t>
      </w:r>
    </w:p>
    <w:p w:rsidR="00C2571D" w:rsidRPr="00C2571D" w:rsidRDefault="00C2571D" w:rsidP="00C2571D">
      <w:pPr>
        <w:ind w:left="360"/>
        <w:rPr>
          <w:noProof/>
          <w:lang w:val="fr-FR" w:eastAsia="fr-FR"/>
        </w:rPr>
      </w:pPr>
      <w:r w:rsidRPr="00C2571D">
        <w:rPr>
          <w:noProof/>
          <w:lang w:val="fr-FR" w:eastAsia="fr-FR"/>
        </w:rPr>
        <w:t>Syncope after acute alcohol consumption in young adults should not be automatically attributed to benign reflex mechanisms. Transient sinoatrial or atrioventricular nodal dysfunction—mediated by autonomic imbalance, ion channel modulation, and direct myocardial depression—can occur even in the absence of structural heart disease. Given the fleeting nature of these disturbances, initial ECG and telemetry may appear normal. Prolonged ambulatory monitoring (e.g., 72-hour Holter) is a reasonable and guideline-supported strategy to detect intermittent conduction abnormalities. Recognizing alcohol as a potential electrophysiological trigger enhances diagnostic precision and informs patient education regarding responsible alcohol use.</w:t>
      </w:r>
    </w:p>
    <w:p w:rsidR="00C2571D" w:rsidRPr="00C2571D" w:rsidRDefault="00C2571D" w:rsidP="00C2571D">
      <w:pPr>
        <w:ind w:left="360"/>
        <w:rPr>
          <w:noProof/>
          <w:lang w:val="fr-FR" w:eastAsia="fr-FR"/>
        </w:rPr>
      </w:pPr>
    </w:p>
    <w:p w:rsidR="00C2571D" w:rsidRPr="00C2571D" w:rsidRDefault="00C2571D" w:rsidP="00C2571D">
      <w:pPr>
        <w:ind w:left="360"/>
        <w:rPr>
          <w:noProof/>
          <w:lang w:val="fr-FR" w:eastAsia="fr-FR"/>
        </w:rPr>
      </w:pPr>
      <w:r w:rsidRPr="00C2571D">
        <w:rPr>
          <w:noProof/>
          <w:lang w:val="fr-FR" w:eastAsia="fr-FR"/>
        </w:rPr>
        <w:lastRenderedPageBreak/>
        <w:t>Disclaim</w:t>
      </w:r>
      <w:r>
        <w:rPr>
          <w:noProof/>
          <w:lang w:val="fr-FR" w:eastAsia="fr-FR"/>
        </w:rPr>
        <w:t xml:space="preserve">er </w:t>
      </w:r>
    </w:p>
    <w:p w:rsidR="00C2571D" w:rsidRPr="00C2571D" w:rsidRDefault="00C2571D" w:rsidP="00C2571D">
      <w:pPr>
        <w:ind w:left="360"/>
        <w:rPr>
          <w:noProof/>
          <w:lang w:val="fr-FR" w:eastAsia="fr-FR"/>
        </w:rPr>
      </w:pPr>
      <w:r w:rsidRPr="00C2571D">
        <w:rPr>
          <w:noProof/>
          <w:lang w:val="fr-FR" w:eastAsia="fr-FR"/>
        </w:rPr>
        <w:t>Author(s) hereby declare that NO generative AI technologies such as Large Language Models (ChatGPT, COPILOT, etc.) and text-to-image generators have been used during the writing or editing of this manuscript.</w:t>
      </w:r>
    </w:p>
    <w:p w:rsidR="00C2571D" w:rsidRPr="00C2571D" w:rsidRDefault="00C2571D" w:rsidP="00C2571D">
      <w:pPr>
        <w:ind w:left="360"/>
        <w:rPr>
          <w:noProof/>
          <w:lang w:val="fr-FR" w:eastAsia="fr-FR"/>
        </w:rPr>
      </w:pPr>
    </w:p>
    <w:p w:rsidR="00C2571D" w:rsidRPr="00C2571D" w:rsidRDefault="00C2571D" w:rsidP="00C2571D">
      <w:pPr>
        <w:ind w:left="360"/>
        <w:rPr>
          <w:noProof/>
          <w:lang w:val="fr-FR" w:eastAsia="fr-FR"/>
        </w:rPr>
      </w:pPr>
      <w:r>
        <w:rPr>
          <w:noProof/>
          <w:lang w:val="fr-FR" w:eastAsia="fr-FR"/>
        </w:rPr>
        <w:t>References</w:t>
      </w:r>
    </w:p>
    <w:p w:rsidR="00C2571D" w:rsidRPr="00C2571D" w:rsidRDefault="00C2571D" w:rsidP="00C2571D">
      <w:pPr>
        <w:ind w:left="360"/>
        <w:rPr>
          <w:noProof/>
          <w:lang w:val="fr-FR" w:eastAsia="fr-FR"/>
        </w:rPr>
      </w:pPr>
      <w:r w:rsidRPr="00C2571D">
        <w:rPr>
          <w:noProof/>
          <w:lang w:val="fr-FR" w:eastAsia="fr-FR"/>
        </w:rPr>
        <w:t xml:space="preserve">1. Ettinger PO, Wu CF, De La Cruz C Jr, Weisse AB, Ahmed SS, Regan TJ. Arrhythmias and the "Holiday Heart": alcohol-associated cardiac rhythm disorders. *Am Heart J.* 1978;95(5):555–558. https://doi.org/10.1016/0002-8703(78)90296-X  </w:t>
      </w:r>
    </w:p>
    <w:p w:rsidR="00C2571D" w:rsidRPr="00C2571D" w:rsidRDefault="00C2571D" w:rsidP="00C2571D">
      <w:pPr>
        <w:ind w:left="360"/>
        <w:rPr>
          <w:noProof/>
          <w:lang w:val="fr-FR" w:eastAsia="fr-FR"/>
        </w:rPr>
      </w:pPr>
      <w:r w:rsidRPr="00C2571D">
        <w:rPr>
          <w:noProof/>
          <w:lang w:val="fr-FR" w:eastAsia="fr-FR"/>
        </w:rPr>
        <w:t xml:space="preserve">2. Kupari M. Acute cardiovascular effects of alcohol ingestion. *J Am Coll Cardiol.* 1987;10(6):1268–1274. https://doi.org/10.1016/S0735-1097(87)80021-1  </w:t>
      </w:r>
    </w:p>
    <w:p w:rsidR="00C2571D" w:rsidRPr="00C2571D" w:rsidRDefault="00C2571D" w:rsidP="00C2571D">
      <w:pPr>
        <w:ind w:left="360"/>
        <w:rPr>
          <w:noProof/>
          <w:lang w:val="fr-FR" w:eastAsia="fr-FR"/>
        </w:rPr>
      </w:pPr>
      <w:r w:rsidRPr="00C2571D">
        <w:rPr>
          <w:noProof/>
          <w:lang w:val="fr-FR" w:eastAsia="fr-FR"/>
        </w:rPr>
        <w:t xml:space="preserve">3. Viljoen CA, van der Westhuizen J, Joubert G, van Zyl DG. The acute effects of alcohol on heart rate variability in healthy male social drinkers. *S Afr J Sci.* 2016;112(5/6):020140283. https://doi.org/10.17159/sajs.2016/20140283  </w:t>
      </w:r>
    </w:p>
    <w:p w:rsidR="00C2571D" w:rsidRPr="00C2571D" w:rsidRDefault="00C2571D" w:rsidP="00C2571D">
      <w:pPr>
        <w:ind w:left="360"/>
        <w:rPr>
          <w:noProof/>
          <w:lang w:val="fr-FR" w:eastAsia="fr-FR"/>
        </w:rPr>
      </w:pPr>
      <w:r w:rsidRPr="00C2571D">
        <w:rPr>
          <w:noProof/>
          <w:lang w:val="fr-FR" w:eastAsia="fr-FR"/>
        </w:rPr>
        <w:t xml:space="preserve">4. Spaak J, Merlocco AC, Soleas GJ, Tomlinson G, Morris BL, Picton P, et al. Dose-related effects of red wine and alcohol on hemodynamics, sympathetic nerve activity, and arterial diameter. *Am J Physiol Heart Circ Physiol.* 2008;295(2):H624–H630. https://doi.org/10.1152/ajpheart.01162.2007  </w:t>
      </w:r>
    </w:p>
    <w:p w:rsidR="00C2571D" w:rsidRPr="00C2571D" w:rsidRDefault="00C2571D" w:rsidP="00C2571D">
      <w:pPr>
        <w:ind w:left="360"/>
        <w:rPr>
          <w:noProof/>
          <w:lang w:val="fr-FR" w:eastAsia="fr-FR"/>
        </w:rPr>
      </w:pPr>
      <w:r w:rsidRPr="00C2571D">
        <w:rPr>
          <w:noProof/>
          <w:lang w:val="fr-FR" w:eastAsia="fr-FR"/>
        </w:rPr>
        <w:t xml:space="preserve">5. Sajadieh A, Nielsen OW, Rasmussen V, Haase C, Seibaek M. Alcohol-induced sinoatrial block in a healthy young man. *J Electrocardiol.* 2006;39(1):93–95. https://doi.org/10.1016/j.jelectrocard.2005.05.005  </w:t>
      </w:r>
    </w:p>
    <w:p w:rsidR="00C2571D" w:rsidRPr="00C2571D" w:rsidRDefault="00C2571D" w:rsidP="00C2571D">
      <w:pPr>
        <w:ind w:left="360"/>
        <w:rPr>
          <w:noProof/>
          <w:lang w:val="fr-FR" w:eastAsia="fr-FR"/>
        </w:rPr>
      </w:pPr>
      <w:r w:rsidRPr="00C2571D">
        <w:rPr>
          <w:noProof/>
          <w:lang w:val="fr-FR" w:eastAsia="fr-FR"/>
        </w:rPr>
        <w:t xml:space="preserve">6. Panduranga P, Al-Rawahi N, Al-Zakwani I. Alcohol-induced complete heart block in a healthy young adult. *Oman Med J.* 2012;27(6):495–497. https://doi.org/10.5001/omj.2012.125  </w:t>
      </w:r>
    </w:p>
    <w:p w:rsidR="00C2571D" w:rsidRPr="00C2571D" w:rsidRDefault="00C2571D" w:rsidP="00C2571D">
      <w:pPr>
        <w:ind w:left="360"/>
        <w:rPr>
          <w:noProof/>
          <w:lang w:val="fr-FR" w:eastAsia="fr-FR"/>
        </w:rPr>
      </w:pPr>
      <w:r w:rsidRPr="00C2571D">
        <w:rPr>
          <w:noProof/>
          <w:lang w:val="fr-FR" w:eastAsia="fr-FR"/>
        </w:rPr>
        <w:t xml:space="preserve">7. Klatsky AL. Alcohol and cardiovascular diseases. *Expert Rev Cardiovasc Ther.* 2010;8(6):825–831. https://doi.org/10.1586/erc.10.64  </w:t>
      </w:r>
    </w:p>
    <w:p w:rsidR="00C2571D" w:rsidRPr="00C2571D" w:rsidRDefault="00C2571D" w:rsidP="00C2571D">
      <w:pPr>
        <w:ind w:left="360"/>
        <w:rPr>
          <w:noProof/>
          <w:lang w:val="fr-FR" w:eastAsia="fr-FR"/>
        </w:rPr>
      </w:pPr>
      <w:r w:rsidRPr="00C2571D">
        <w:rPr>
          <w:noProof/>
          <w:lang w:val="fr-FR" w:eastAsia="fr-FR"/>
        </w:rPr>
        <w:t xml:space="preserve">8. Brignole M, Moya A, de Lange FJ, Deharo JC, Elliott PM, Fanciulli A, et al. 2018 ESC Guidelines for the diagnosis and management of syncope. *Eur Heart J.* 2018;39(21):1883–1948. https://doi.org/10.1093/eurheartj/ehy037  </w:t>
      </w:r>
    </w:p>
    <w:p w:rsidR="00C2571D" w:rsidRPr="00C2571D" w:rsidRDefault="00C2571D" w:rsidP="00C2571D">
      <w:pPr>
        <w:ind w:left="360"/>
        <w:rPr>
          <w:noProof/>
          <w:lang w:val="fr-FR" w:eastAsia="fr-FR"/>
        </w:rPr>
      </w:pPr>
    </w:p>
    <w:p w:rsidR="00C2571D" w:rsidRPr="00C2571D" w:rsidRDefault="00C2571D" w:rsidP="00C2571D">
      <w:pPr>
        <w:rPr>
          <w:noProof/>
          <w:lang w:val="fr-FR" w:eastAsia="fr-FR"/>
        </w:rPr>
      </w:pPr>
    </w:p>
    <w:p w:rsidR="00C2571D" w:rsidRPr="00C2571D" w:rsidRDefault="00C2571D" w:rsidP="00C2571D">
      <w:pPr>
        <w:rPr>
          <w:noProof/>
          <w:lang w:val="fr-FR" w:eastAsia="fr-FR"/>
        </w:rPr>
      </w:pPr>
    </w:p>
    <w:p w:rsidR="00C2571D" w:rsidRPr="00C2571D" w:rsidRDefault="00C2571D" w:rsidP="00C2571D">
      <w:pPr>
        <w:ind w:left="360"/>
        <w:rPr>
          <w:noProof/>
          <w:lang w:val="fr-FR" w:eastAsia="fr-FR"/>
        </w:rPr>
      </w:pPr>
    </w:p>
    <w:p w:rsidR="005C015D" w:rsidRPr="005C015D" w:rsidRDefault="005C015D" w:rsidP="005C015D">
      <w:pPr>
        <w:ind w:left="360"/>
        <w:rPr>
          <w:noProof/>
          <w:lang w:val="fr-FR" w:eastAsia="fr-FR"/>
        </w:rPr>
      </w:pPr>
    </w:p>
    <w:p w:rsidR="00F4777D" w:rsidRDefault="00F4777D" w:rsidP="00222490">
      <w:pPr>
        <w:ind w:left="360"/>
        <w:rPr>
          <w:noProof/>
          <w:lang w:val="fr-FR" w:eastAsia="fr-FR"/>
        </w:rPr>
      </w:pPr>
    </w:p>
    <w:p w:rsidR="00222490" w:rsidRDefault="00222490" w:rsidP="00222490">
      <w:pPr>
        <w:ind w:left="360"/>
      </w:pPr>
    </w:p>
    <w:p w:rsidR="00222490" w:rsidRDefault="00222490" w:rsidP="00222490">
      <w:pPr>
        <w:ind w:left="360"/>
      </w:pPr>
    </w:p>
    <w:sectPr w:rsidR="0022249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DAC5B0A"/>
    <w:multiLevelType w:val="hybridMultilevel"/>
    <w:tmpl w:val="4B068E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2051"/>
    <w:rsid w:val="0015074B"/>
    <w:rsid w:val="00222490"/>
    <w:rsid w:val="0029639D"/>
    <w:rsid w:val="00326F90"/>
    <w:rsid w:val="005C015D"/>
    <w:rsid w:val="00714E44"/>
    <w:rsid w:val="00AA1D8D"/>
    <w:rsid w:val="00B47730"/>
    <w:rsid w:val="00C2571D"/>
    <w:rsid w:val="00CB0664"/>
    <w:rsid w:val="00F25DF2"/>
    <w:rsid w:val="00F4777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02D4249D-1737-4141-AF5F-0C8BCE43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2224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4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01141-EE48-45B5-9E6F-2CFCD7F5E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1541</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1186</cp:lastModifiedBy>
  <cp:revision>7</cp:revision>
  <dcterms:created xsi:type="dcterms:W3CDTF">2013-12-23T23:15:00Z</dcterms:created>
  <dcterms:modified xsi:type="dcterms:W3CDTF">2025-11-28T08:06:00Z</dcterms:modified>
  <cp:category/>
</cp:coreProperties>
</file>