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188" w:rsidRDefault="002A6D0C">
      <w:pPr>
        <w:pStyle w:val="Header"/>
        <w:rPr>
          <w:b/>
          <w:bCs/>
          <w:i/>
          <w:iCs/>
          <w:sz w:val="32"/>
          <w:szCs w:val="32"/>
          <w:u w:val="single"/>
          <w:lang w:val="en-US"/>
        </w:rPr>
      </w:pPr>
      <w:r>
        <w:rPr>
          <w:b/>
          <w:bCs/>
          <w:i/>
          <w:iCs/>
          <w:sz w:val="32"/>
          <w:szCs w:val="32"/>
          <w:u w:val="single"/>
          <w:lang w:val="en-US"/>
        </w:rPr>
        <w:t xml:space="preserve">Case report </w:t>
      </w:r>
    </w:p>
    <w:p w:rsidR="001B6188" w:rsidRDefault="002A6D0C">
      <w:pPr>
        <w:pStyle w:val="Header"/>
        <w:jc w:val="right"/>
        <w:rPr>
          <w:b/>
          <w:bCs/>
          <w:i/>
          <w:iCs/>
          <w:sz w:val="32"/>
          <w:szCs w:val="32"/>
          <w:lang w:val="en-US"/>
        </w:rPr>
      </w:pPr>
      <w:r>
        <w:rPr>
          <w:b/>
          <w:bCs/>
          <w:i/>
          <w:iCs/>
          <w:sz w:val="32"/>
          <w:szCs w:val="32"/>
          <w:lang w:val="en-US"/>
        </w:rPr>
        <w:t>Unexpected cause of abdominal mass in an adult: Isolated enteric duplication cyst</w:t>
      </w:r>
    </w:p>
    <w:p w:rsidR="001B6188" w:rsidRDefault="001B6188">
      <w:pPr>
        <w:pStyle w:val="Header"/>
        <w:wordWrap w:val="0"/>
        <w:jc w:val="right"/>
        <w:rPr>
          <w:b/>
          <w:bCs/>
          <w:i/>
          <w:iCs/>
          <w:sz w:val="22"/>
          <w:szCs w:val="22"/>
          <w:lang w:val="en-US"/>
        </w:rPr>
      </w:pPr>
    </w:p>
    <w:tbl>
      <w:tblPr>
        <w:tblStyle w:val="Style51"/>
        <w:tblpPr w:leftFromText="180" w:rightFromText="180" w:vertAnchor="text" w:horzAnchor="page" w:tblpX="1339" w:tblpY="948"/>
        <w:tblOverlap w:val="never"/>
        <w:tblW w:w="100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096"/>
      </w:tblGrid>
      <w:tr w:rsidR="001B6188">
        <w:trPr>
          <w:trHeight w:val="1920"/>
        </w:trPr>
        <w:tc>
          <w:tcPr>
            <w:tcW w:w="10096" w:type="dxa"/>
            <w:tcBorders>
              <w:top w:val="single" w:sz="8" w:space="0" w:color="2A6EBB"/>
              <w:left w:val="single" w:sz="8" w:space="0" w:color="FFFFFF"/>
              <w:bottom w:val="nil"/>
              <w:right w:val="single" w:sz="8" w:space="0" w:color="FFFFFF"/>
            </w:tcBorders>
            <w:tcMar>
              <w:top w:w="100" w:type="dxa"/>
              <w:left w:w="100" w:type="dxa"/>
              <w:bottom w:w="100" w:type="dxa"/>
              <w:right w:w="100" w:type="dxa"/>
            </w:tcMar>
          </w:tcPr>
          <w:p w:rsidR="001B6188" w:rsidRPr="009D5B70" w:rsidRDefault="002A6D0C">
            <w:pPr>
              <w:rPr>
                <w:rFonts w:eastAsia="Calibri"/>
                <w:b/>
                <w:lang w:val="en-US"/>
              </w:rPr>
            </w:pPr>
            <w:r w:rsidRPr="009D5B70">
              <w:rPr>
                <w:rFonts w:eastAsia="Calibri"/>
                <w:b/>
                <w:lang w:val="en-US"/>
              </w:rPr>
              <w:t>ABSTRACT</w:t>
            </w:r>
          </w:p>
          <w:p w:rsidR="001B6188" w:rsidRDefault="001B6188">
            <w:pPr>
              <w:rPr>
                <w:rFonts w:eastAsia="Calibri"/>
                <w:lang w:val="en-US"/>
              </w:rPr>
            </w:pPr>
          </w:p>
          <w:p w:rsidR="001B6188" w:rsidRDefault="002A6D0C" w:rsidP="00DC1881">
            <w:pPr>
              <w:jc w:val="both"/>
              <w:rPr>
                <w:rFonts w:eastAsia="Calibri"/>
              </w:rPr>
            </w:pPr>
            <w:r>
              <w:rPr>
                <w:lang w:val="en-US"/>
              </w:rPr>
              <w:t xml:space="preserve">Enteric duplication cysts are uncommon congenital anomalies, encountered majorly in pediatric population, with an approximate prevalence of approximately 1 in 4500 births. They usually remain asymptomatic in adults. IDEC is rarest subtype of all EDCs furthermore foregut duplication cyst present in </w:t>
            </w:r>
            <w:proofErr w:type="spellStart"/>
            <w:r>
              <w:rPr>
                <w:lang w:val="en-US"/>
              </w:rPr>
              <w:t>paracaeal</w:t>
            </w:r>
            <w:proofErr w:type="spellEnd"/>
            <w:r>
              <w:rPr>
                <w:lang w:val="en-US"/>
              </w:rPr>
              <w:t xml:space="preserve"> region adds on to its rarity. We herein present a case of </w:t>
            </w:r>
            <w:r>
              <w:rPr>
                <w:rFonts w:eastAsia="Times New Roman"/>
              </w:rPr>
              <w:t xml:space="preserve">A female in her late 20s presented </w:t>
            </w:r>
            <w:r>
              <w:rPr>
                <w:rFonts w:eastAsia="Times New Roman"/>
                <w:lang w:val="en-US"/>
              </w:rPr>
              <w:t xml:space="preserve">with </w:t>
            </w:r>
            <w:r>
              <w:rPr>
                <w:rFonts w:eastAsia="Times New Roman"/>
              </w:rPr>
              <w:t>complaints of pain in the right lower abdomen for the last one year,</w:t>
            </w:r>
            <w:r>
              <w:rPr>
                <w:rFonts w:eastAsia="Times New Roman"/>
                <w:lang w:val="en-US"/>
              </w:rPr>
              <w:t xml:space="preserve"> with a palpable lump on examination</w:t>
            </w:r>
            <w:r>
              <w:rPr>
                <w:rFonts w:eastAsia="Times New Roman"/>
              </w:rPr>
              <w:t>.</w:t>
            </w:r>
            <w:r>
              <w:rPr>
                <w:rFonts w:eastAsia="Times New Roman"/>
                <w:lang w:val="en-US"/>
              </w:rPr>
              <w:t xml:space="preserve"> She underwent exploratory laparotomy and the cyst was excised with all its walls intact with no bowel resection. On HPE it was suggestive of enteric (foregut) duplication cyst presented in </w:t>
            </w:r>
            <w:proofErr w:type="spellStart"/>
            <w:r>
              <w:rPr>
                <w:rFonts w:eastAsia="Times New Roman"/>
                <w:lang w:val="en-US"/>
              </w:rPr>
              <w:t>paracaecal</w:t>
            </w:r>
            <w:proofErr w:type="spellEnd"/>
            <w:r>
              <w:rPr>
                <w:rFonts w:eastAsia="Times New Roman"/>
                <w:lang w:val="en-US"/>
              </w:rPr>
              <w:t xml:space="preserve"> region.</w:t>
            </w:r>
            <w:r>
              <w:rPr>
                <w:rFonts w:eastAsia="Times New Roman"/>
              </w:rPr>
              <w:t xml:space="preserve"> </w:t>
            </w:r>
            <w:r>
              <w:t>The post-op period and follow-up were uneventful.</w:t>
            </w:r>
            <w:r w:rsidR="00AE2B4D">
              <w:t xml:space="preserve"> </w:t>
            </w:r>
            <w:proofErr w:type="gramStart"/>
            <w:r>
              <w:rPr>
                <w:rFonts w:eastAsia="Calibri"/>
              </w:rPr>
              <w:t>The</w:t>
            </w:r>
            <w:proofErr w:type="gramEnd"/>
            <w:r>
              <w:rPr>
                <w:rFonts w:eastAsia="Calibri"/>
              </w:rPr>
              <w:t xml:space="preserve"> treatment involves surgical management with </w:t>
            </w:r>
            <w:proofErr w:type="spellStart"/>
            <w:r>
              <w:rPr>
                <w:rFonts w:eastAsia="Calibri"/>
              </w:rPr>
              <w:t>en</w:t>
            </w:r>
            <w:proofErr w:type="spellEnd"/>
            <w:r>
              <w:rPr>
                <w:rFonts w:eastAsia="Calibri"/>
              </w:rPr>
              <w:t>-bloc resection without the resection of the adjacent bowel owing to an isolated or independent blood supply of the cyst.</w:t>
            </w:r>
          </w:p>
        </w:tc>
      </w:tr>
      <w:tr w:rsidR="001B6188">
        <w:trPr>
          <w:trHeight w:val="90"/>
        </w:trPr>
        <w:tc>
          <w:tcPr>
            <w:tcW w:w="10096" w:type="dxa"/>
            <w:tcBorders>
              <w:top w:val="single" w:sz="8" w:space="0" w:color="2A6EBB"/>
              <w:left w:val="single" w:sz="8" w:space="0" w:color="FFFFFF"/>
              <w:bottom w:val="nil"/>
              <w:right w:val="single" w:sz="8" w:space="0" w:color="FFFFFF"/>
            </w:tcBorders>
            <w:tcMar>
              <w:top w:w="100" w:type="dxa"/>
              <w:left w:w="100" w:type="dxa"/>
              <w:bottom w:w="100" w:type="dxa"/>
              <w:right w:w="100" w:type="dxa"/>
            </w:tcMar>
          </w:tcPr>
          <w:p w:rsidR="001B6188" w:rsidRPr="00F52174" w:rsidRDefault="002A6D0C">
            <w:pPr>
              <w:rPr>
                <w:rFonts w:eastAsia="Calibri"/>
                <w:b/>
                <w:lang w:val="en-US"/>
              </w:rPr>
            </w:pPr>
            <w:bookmarkStart w:id="0" w:name="_heading=h.1t3h5sf" w:colFirst="0" w:colLast="0"/>
            <w:bookmarkEnd w:id="0"/>
            <w:r w:rsidRPr="00F52174">
              <w:rPr>
                <w:rFonts w:eastAsia="Calibri"/>
                <w:b/>
                <w:lang w:val="en-US"/>
              </w:rPr>
              <w:t>KEYWORDS</w:t>
            </w:r>
          </w:p>
          <w:p w:rsidR="001B6188" w:rsidRDefault="002A6D0C">
            <w:pPr>
              <w:rPr>
                <w:rFonts w:eastAsia="Calibri"/>
                <w:lang w:val="en-US"/>
              </w:rPr>
            </w:pPr>
            <w:r>
              <w:rPr>
                <w:rFonts w:eastAsia="Calibri"/>
                <w:lang w:val="en-US"/>
              </w:rPr>
              <w:t>IDEC, Foregut Duplication cyst, Enteric duplication cyst excision without bowel resection, abdominal mass in adults</w:t>
            </w:r>
          </w:p>
          <w:p w:rsidR="001B6188" w:rsidRDefault="001B6188">
            <w:pPr>
              <w:rPr>
                <w:rFonts w:eastAsia="Calibri"/>
                <w:lang w:val="en-US"/>
              </w:rPr>
            </w:pPr>
          </w:p>
          <w:p w:rsidR="001B6188" w:rsidRPr="00255B8D" w:rsidRDefault="002A6D0C">
            <w:pPr>
              <w:rPr>
                <w:rFonts w:eastAsia="Calibri"/>
                <w:b/>
                <w:lang w:val="en-US"/>
              </w:rPr>
            </w:pPr>
            <w:r w:rsidRPr="00255B8D">
              <w:rPr>
                <w:rFonts w:eastAsia="Calibri"/>
                <w:b/>
                <w:lang w:val="en-US"/>
              </w:rPr>
              <w:t>INTRODUCTION</w:t>
            </w:r>
          </w:p>
          <w:p w:rsidR="001B6188" w:rsidRDefault="0061289B" w:rsidP="000578D5">
            <w:pPr>
              <w:jc w:val="both"/>
              <w:rPr>
                <w:rFonts w:eastAsia="Calibri"/>
                <w:lang w:val="en-US"/>
              </w:rPr>
            </w:pPr>
            <w:r w:rsidRPr="0061289B">
              <w:rPr>
                <w:rFonts w:eastAsia="Calibri"/>
              </w:rPr>
              <w:t>Congenital anomalies of the tubular gastrointestinal tract are an important cause of morbidity not only in infants, but also in children and adults</w:t>
            </w:r>
            <w:r w:rsidR="00DB430D">
              <w:rPr>
                <w:rFonts w:eastAsia="Calibri"/>
              </w:rPr>
              <w:t xml:space="preserve"> (</w:t>
            </w:r>
            <w:r w:rsidR="00DB430D" w:rsidRPr="00DB430D">
              <w:rPr>
                <w:rFonts w:eastAsia="Calibri"/>
              </w:rPr>
              <w:t>Ludwig</w:t>
            </w:r>
            <w:r w:rsidR="00DB430D">
              <w:rPr>
                <w:rFonts w:eastAsia="Calibri"/>
              </w:rPr>
              <w:t xml:space="preserve"> et al., 2022)</w:t>
            </w:r>
            <w:r w:rsidRPr="0061289B">
              <w:rPr>
                <w:rFonts w:eastAsia="Calibri"/>
              </w:rPr>
              <w:t>.</w:t>
            </w:r>
            <w:r>
              <w:rPr>
                <w:rFonts w:eastAsia="Calibri"/>
              </w:rPr>
              <w:t xml:space="preserve"> </w:t>
            </w:r>
            <w:r w:rsidR="002A6D0C">
              <w:rPr>
                <w:rFonts w:eastAsia="Calibri"/>
              </w:rPr>
              <w:t>Enteric duplication cysts are rare congenital anomalies that can develop anywhere along the alimentary tract, from the tongue to the anus. Approximately three-quarters of enteric duplication cysts are found in the abdominal cavity, with the remaining distributed between intrathoracic and thoracoabdominal locations.</w:t>
            </w:r>
            <w:r w:rsidR="004D1D5B">
              <w:rPr>
                <w:rFonts w:eastAsia="Calibri"/>
              </w:rPr>
              <w:t xml:space="preserve"> </w:t>
            </w:r>
            <w:r w:rsidR="002A6D0C">
              <w:rPr>
                <w:rFonts w:eastAsia="Calibri"/>
              </w:rPr>
              <w:t>More than half of cases are diagnosed during early childhood, as these cysts often present with symptoms at that age. In contrast, they are typically asymptomatic in adulthood, and diagnosis is usually incidental</w:t>
            </w:r>
            <w:r w:rsidR="002A6D0C">
              <w:rPr>
                <w:rFonts w:eastAsia="Calibri"/>
                <w:lang w:val="en-US"/>
              </w:rPr>
              <w:t>.</w:t>
            </w:r>
            <w:r w:rsidR="002A6D0C">
              <w:rPr>
                <w:rFonts w:eastAsia="Calibri"/>
              </w:rPr>
              <w:t xml:space="preserve"> Isolated duplication cysts, which have their own blood supply and no communication with the normal bowel, represent an extremely rare form of gastrointestinal duplication.</w:t>
            </w:r>
            <w:r w:rsidR="002A6D0C">
              <w:rPr>
                <w:rFonts w:eastAsia="Calibri"/>
                <w:lang w:val="en-US"/>
              </w:rPr>
              <w:t xml:space="preserve"> </w:t>
            </w:r>
            <w:r w:rsidR="003102F5">
              <w:rPr>
                <w:rFonts w:eastAsia="Calibri"/>
                <w:lang w:val="en-US"/>
              </w:rPr>
              <w:t>In this case report, a</w:t>
            </w:r>
            <w:r w:rsidR="000578D5" w:rsidRPr="000578D5">
              <w:rPr>
                <w:rFonts w:eastAsia="Calibri"/>
                <w:lang w:val="en-US"/>
              </w:rPr>
              <w:t xml:space="preserve"> young woman in her late 20s presented with a one-year history of right lower abdominal pain and a palpable mass.</w:t>
            </w:r>
          </w:p>
        </w:tc>
      </w:tr>
      <w:tr w:rsidR="001B6188">
        <w:tc>
          <w:tcPr>
            <w:tcW w:w="10096" w:type="dxa"/>
            <w:tcBorders>
              <w:top w:val="nil"/>
              <w:left w:val="nil"/>
              <w:bottom w:val="single" w:sz="8" w:space="0" w:color="2A6EBB"/>
              <w:right w:val="nil"/>
            </w:tcBorders>
            <w:tcMar>
              <w:top w:w="100" w:type="dxa"/>
              <w:left w:w="100" w:type="dxa"/>
              <w:bottom w:w="100" w:type="dxa"/>
              <w:right w:w="100" w:type="dxa"/>
            </w:tcMar>
          </w:tcPr>
          <w:p w:rsidR="001B6188" w:rsidRDefault="002A6D0C">
            <w:pPr>
              <w:pStyle w:val="Heading3"/>
              <w:spacing w:before="0" w:after="0"/>
              <w:rPr>
                <w:rFonts w:eastAsia="Calibri"/>
                <w:b/>
                <w:color w:val="auto"/>
                <w:sz w:val="22"/>
                <w:szCs w:val="22"/>
              </w:rPr>
            </w:pPr>
            <w:bookmarkStart w:id="1" w:name="_heading=h.4d34og8" w:colFirst="0" w:colLast="0"/>
            <w:bookmarkStart w:id="2" w:name="_Toc14014"/>
            <w:bookmarkEnd w:id="1"/>
            <w:r>
              <w:rPr>
                <w:rFonts w:eastAsia="Calibri"/>
                <w:b/>
                <w:color w:val="auto"/>
                <w:sz w:val="22"/>
                <w:szCs w:val="22"/>
                <w:lang w:val="en-US"/>
              </w:rPr>
              <w:t>C</w:t>
            </w:r>
            <w:r>
              <w:rPr>
                <w:rFonts w:eastAsia="Calibri"/>
                <w:b/>
                <w:color w:val="auto"/>
                <w:sz w:val="22"/>
                <w:szCs w:val="22"/>
              </w:rPr>
              <w:t>ASE PRESENTATION</w:t>
            </w:r>
            <w:bookmarkEnd w:id="2"/>
          </w:p>
        </w:tc>
      </w:tr>
      <w:tr w:rsidR="001B6188">
        <w:trPr>
          <w:trHeight w:val="90"/>
        </w:trPr>
        <w:tc>
          <w:tcPr>
            <w:tcW w:w="10096" w:type="dxa"/>
            <w:tcBorders>
              <w:top w:val="single" w:sz="8" w:space="0" w:color="2A6EBB"/>
              <w:left w:val="single" w:sz="8" w:space="0" w:color="FFFFFF"/>
              <w:bottom w:val="nil"/>
              <w:right w:val="single" w:sz="8" w:space="0" w:color="FFFFFF"/>
            </w:tcBorders>
            <w:tcMar>
              <w:top w:w="100" w:type="dxa"/>
              <w:left w:w="100" w:type="dxa"/>
              <w:bottom w:w="100" w:type="dxa"/>
              <w:right w:w="100" w:type="dxa"/>
            </w:tcMar>
          </w:tcPr>
          <w:p w:rsidR="001B6188" w:rsidRDefault="002A6D0C" w:rsidP="008C6F06">
            <w:pPr>
              <w:spacing w:after="200"/>
              <w:jc w:val="both"/>
              <w:rPr>
                <w:rFonts w:eastAsia="Times New Roman"/>
              </w:rPr>
            </w:pPr>
            <w:r>
              <w:rPr>
                <w:rFonts w:eastAsia="Times New Roman"/>
              </w:rPr>
              <w:t xml:space="preserve">A female in her late 20s presented to the General Surgery Out Patient Clinic (OP) with complaints of pain in the right lower abdomen for the last one year, insidious in onset and gradually progressive in intensity, dull aching in character and occurred intermittently. The pain was relived on over-the-counter analgesics, showed with no obvious positional, exercise or meal related aggravating factors. There were no complaints of fever, vomiting, diarrhoea or constipation, yellowish discoloration of skin, rectal bleed, black stools. The patient was ambulatory, vitally stable and cooperative for further examination. Her general physical examination was </w:t>
            </w:r>
            <w:r>
              <w:rPr>
                <w:rFonts w:eastAsia="Times New Roman"/>
                <w:lang w:val="en-US"/>
              </w:rPr>
              <w:t>un</w:t>
            </w:r>
            <w:r>
              <w:rPr>
                <w:rFonts w:eastAsia="Times New Roman"/>
              </w:rPr>
              <w:t xml:space="preserve">remarkable. The abdomen was non-distended, central inverted umbilicus with no obvious swellings, discoloration, scars, dilated vessels or </w:t>
            </w:r>
            <w:r>
              <w:rPr>
                <w:rFonts w:eastAsia="Times New Roman"/>
              </w:rPr>
              <w:lastRenderedPageBreak/>
              <w:t xml:space="preserve">pulsations. There was no local rise in temperature or tenderness, guarding or </w:t>
            </w:r>
            <w:proofErr w:type="gramStart"/>
            <w:r>
              <w:rPr>
                <w:rFonts w:eastAsia="Times New Roman"/>
              </w:rPr>
              <w:t>rigidity</w:t>
            </w:r>
            <w:r>
              <w:rPr>
                <w:rFonts w:eastAsia="Times New Roman"/>
                <w:lang w:val="en-US"/>
              </w:rPr>
              <w:t>.A</w:t>
            </w:r>
            <w:proofErr w:type="gramEnd"/>
            <w:r>
              <w:rPr>
                <w:rFonts w:eastAsia="Times New Roman"/>
              </w:rPr>
              <w:t xml:space="preserve"> vaguely defined firm-non tender swelling was palpable in the right lumbar region with </w:t>
            </w:r>
            <w:r>
              <w:rPr>
                <w:rFonts w:eastAsia="Times New Roman"/>
                <w:lang w:val="en-US"/>
              </w:rPr>
              <w:t>audible</w:t>
            </w:r>
            <w:r>
              <w:rPr>
                <w:rFonts w:eastAsia="Times New Roman"/>
              </w:rPr>
              <w:t xml:space="preserve"> bowel sounds.</w:t>
            </w:r>
          </w:p>
          <w:p w:rsidR="001B6188" w:rsidRDefault="001B6188">
            <w:pPr>
              <w:spacing w:after="200"/>
              <w:rPr>
                <w:rFonts w:eastAsia="Times New Roman"/>
              </w:rPr>
            </w:pPr>
          </w:p>
        </w:tc>
      </w:tr>
      <w:tr w:rsidR="001B6188">
        <w:tc>
          <w:tcPr>
            <w:tcW w:w="10096" w:type="dxa"/>
            <w:tcBorders>
              <w:top w:val="nil"/>
              <w:left w:val="nil"/>
              <w:bottom w:val="single" w:sz="8" w:space="0" w:color="2A6EBB"/>
              <w:right w:val="nil"/>
            </w:tcBorders>
            <w:tcMar>
              <w:top w:w="100" w:type="dxa"/>
              <w:left w:w="100" w:type="dxa"/>
              <w:bottom w:w="100" w:type="dxa"/>
              <w:right w:w="100" w:type="dxa"/>
            </w:tcMar>
          </w:tcPr>
          <w:p w:rsidR="001B6188" w:rsidRDefault="002A6D0C">
            <w:pPr>
              <w:pStyle w:val="Heading3"/>
              <w:spacing w:before="0" w:after="0"/>
              <w:rPr>
                <w:rFonts w:eastAsia="Calibri"/>
                <w:b/>
                <w:i/>
                <w:color w:val="auto"/>
                <w:sz w:val="22"/>
                <w:szCs w:val="22"/>
              </w:rPr>
            </w:pPr>
            <w:bookmarkStart w:id="3" w:name="_heading=h.2s8eyo1" w:colFirst="0" w:colLast="0"/>
            <w:bookmarkStart w:id="4" w:name="_Toc4994"/>
            <w:bookmarkEnd w:id="3"/>
            <w:r>
              <w:rPr>
                <w:rFonts w:eastAsia="Calibri"/>
                <w:b/>
                <w:color w:val="auto"/>
                <w:sz w:val="22"/>
                <w:szCs w:val="22"/>
              </w:rPr>
              <w:lastRenderedPageBreak/>
              <w:t>INVESTIGATIONS</w:t>
            </w:r>
            <w:bookmarkEnd w:id="4"/>
          </w:p>
        </w:tc>
      </w:tr>
      <w:tr w:rsidR="001B6188">
        <w:trPr>
          <w:trHeight w:val="1700"/>
        </w:trPr>
        <w:tc>
          <w:tcPr>
            <w:tcW w:w="10096" w:type="dxa"/>
            <w:tcBorders>
              <w:top w:val="single" w:sz="8" w:space="0" w:color="2A6EBB"/>
              <w:left w:val="single" w:sz="8" w:space="0" w:color="FFFFFF"/>
              <w:bottom w:val="nil"/>
              <w:right w:val="single" w:sz="8" w:space="0" w:color="FFFFFF"/>
            </w:tcBorders>
            <w:tcMar>
              <w:top w:w="100" w:type="dxa"/>
              <w:left w:w="100" w:type="dxa"/>
              <w:bottom w:w="100" w:type="dxa"/>
              <w:right w:w="100" w:type="dxa"/>
            </w:tcMar>
          </w:tcPr>
          <w:p w:rsidR="001B6188" w:rsidRDefault="002A6D0C">
            <w:pPr>
              <w:spacing w:after="200"/>
              <w:rPr>
                <w:rFonts w:eastAsia="Times New Roman"/>
                <w:lang w:val="en"/>
              </w:rPr>
            </w:pPr>
            <w:r>
              <w:rPr>
                <w:rFonts w:eastAsia="Times New Roman"/>
              </w:rPr>
              <w:t>Haematological Investigations revealed no significant abnormalities. A contrast-enhanced Computed Tomography of the Whole Abdomen (CECT) revealed a well-defined thin wall cystic lesion in the abdominal cavity on the right side measuring 71x 69 x101mm superiorly abutting under the surface of the liver with the distinct fat plane. No evidence of intrinsic septation</w:t>
            </w:r>
            <w:r>
              <w:rPr>
                <w:rFonts w:eastAsia="Times New Roman"/>
                <w:lang w:val="en-US"/>
              </w:rPr>
              <w:t>s</w:t>
            </w:r>
            <w:r>
              <w:rPr>
                <w:rFonts w:eastAsia="Times New Roman"/>
              </w:rPr>
              <w:t>/calcification or any solid component was noted. No obvious enlarged lymph nodes were noted, and no post-contrast enhancement was seen in the lesion, suggesting a mesenteric cyst/ benign cyst.</w:t>
            </w:r>
          </w:p>
        </w:tc>
      </w:tr>
      <w:tr w:rsidR="001B6188">
        <w:tc>
          <w:tcPr>
            <w:tcW w:w="10096" w:type="dxa"/>
            <w:tcBorders>
              <w:top w:val="nil"/>
              <w:left w:val="nil"/>
              <w:bottom w:val="single" w:sz="8" w:space="0" w:color="2A6EBB"/>
              <w:right w:val="nil"/>
            </w:tcBorders>
            <w:tcMar>
              <w:top w:w="100" w:type="dxa"/>
              <w:left w:w="100" w:type="dxa"/>
              <w:bottom w:w="100" w:type="dxa"/>
              <w:right w:w="100" w:type="dxa"/>
            </w:tcMar>
          </w:tcPr>
          <w:p w:rsidR="001B6188" w:rsidRDefault="002A6D0C">
            <w:pPr>
              <w:pStyle w:val="Heading3"/>
              <w:spacing w:before="0" w:after="0"/>
              <w:rPr>
                <w:rFonts w:eastAsia="Calibri"/>
                <w:b/>
                <w:i/>
                <w:color w:val="auto"/>
                <w:sz w:val="22"/>
                <w:szCs w:val="22"/>
              </w:rPr>
            </w:pPr>
            <w:bookmarkStart w:id="5" w:name="_heading=h.3rdcrjn" w:colFirst="0" w:colLast="0"/>
            <w:bookmarkStart w:id="6" w:name="_Toc5486"/>
            <w:bookmarkEnd w:id="5"/>
            <w:r>
              <w:rPr>
                <w:rFonts w:eastAsia="Calibri"/>
                <w:b/>
                <w:color w:val="auto"/>
                <w:sz w:val="22"/>
                <w:szCs w:val="22"/>
              </w:rPr>
              <w:t>DIFFERENTIAL DIAGNOSIS</w:t>
            </w:r>
            <w:bookmarkEnd w:id="6"/>
            <w:r>
              <w:rPr>
                <w:rFonts w:eastAsia="Calibri"/>
                <w:b/>
                <w:color w:val="auto"/>
                <w:sz w:val="22"/>
                <w:szCs w:val="22"/>
              </w:rPr>
              <w:t xml:space="preserve"> </w:t>
            </w:r>
          </w:p>
        </w:tc>
      </w:tr>
      <w:tr w:rsidR="001B6188">
        <w:trPr>
          <w:trHeight w:val="1280"/>
        </w:trPr>
        <w:tc>
          <w:tcPr>
            <w:tcW w:w="10096" w:type="dxa"/>
            <w:tcBorders>
              <w:top w:val="single" w:sz="8" w:space="0" w:color="2A6EBB"/>
              <w:left w:val="single" w:sz="8" w:space="0" w:color="FFFFFF"/>
              <w:bottom w:val="nil"/>
              <w:right w:val="single" w:sz="8" w:space="0" w:color="FFFFFF"/>
            </w:tcBorders>
            <w:tcMar>
              <w:top w:w="100" w:type="dxa"/>
              <w:left w:w="100" w:type="dxa"/>
              <w:bottom w:w="100" w:type="dxa"/>
              <w:right w:w="100" w:type="dxa"/>
            </w:tcMar>
          </w:tcPr>
          <w:p w:rsidR="001B6188" w:rsidRDefault="002A6D0C">
            <w:pPr>
              <w:rPr>
                <w:rFonts w:eastAsia="Calibri"/>
              </w:rPr>
            </w:pPr>
            <w:r>
              <w:rPr>
                <w:rFonts w:eastAsia="Calibri"/>
              </w:rPr>
              <w:t>The constellation of symptoms is inclusive of chronic dull, aching abdominal pain and a palpable abdominal lump in the right lumbar region similar to the size of a</w:t>
            </w:r>
            <w:proofErr w:type="spellStart"/>
            <w:r>
              <w:rPr>
                <w:rFonts w:eastAsia="Calibri"/>
                <w:lang w:val="en-US"/>
              </w:rPr>
              <w:t>pproximately</w:t>
            </w:r>
            <w:proofErr w:type="spellEnd"/>
            <w:r>
              <w:rPr>
                <w:rFonts w:eastAsia="Calibri"/>
                <w:lang w:val="en-US"/>
              </w:rPr>
              <w:t xml:space="preserve"> 8x8cm</w:t>
            </w:r>
            <w:r>
              <w:rPr>
                <w:rFonts w:eastAsia="Calibri"/>
              </w:rPr>
              <w:t xml:space="preserve">. There were no signs of obstruction, no history of yellowish discolouration of the skin, no history of diarrhoea or haematochezia, no history of menstrual irregularities or signs of sepsis. </w:t>
            </w:r>
          </w:p>
          <w:p w:rsidR="001B6188" w:rsidRDefault="002A6D0C">
            <w:pPr>
              <w:rPr>
                <w:rFonts w:eastAsia="Calibri"/>
              </w:rPr>
            </w:pPr>
            <w:r>
              <w:rPr>
                <w:rFonts w:eastAsia="Calibri"/>
              </w:rPr>
              <w:t xml:space="preserve">Based on the signs and symptoms, the differentials point towards any cystic abdominal lesion, including enteric duplication cysts arising from the bowel wall (or attached to it), benign mesenteric cysts and ovarian cysts (benign). </w:t>
            </w:r>
          </w:p>
          <w:p w:rsidR="001B6188" w:rsidRDefault="002A6D0C">
            <w:pPr>
              <w:rPr>
                <w:rFonts w:eastAsia="Calibri"/>
              </w:rPr>
            </w:pPr>
            <w:r>
              <w:rPr>
                <w:rFonts w:eastAsia="Calibri"/>
              </w:rPr>
              <w:t>Enteric duplication cysts are a rare entity that presents with early onset and is mainly present in the paediatric age groups. These cysts appear similar on radiological imaging in adults and clinical examination. Although these cysts can be present anywhere, the most common</w:t>
            </w:r>
            <w:r>
              <w:rPr>
                <w:rFonts w:eastAsia="Calibri"/>
                <w:lang w:val="en-US"/>
              </w:rPr>
              <w:t xml:space="preserve"> sites for enteric duplication cyst are</w:t>
            </w:r>
            <w:r>
              <w:rPr>
                <w:rFonts w:eastAsia="Calibri"/>
              </w:rPr>
              <w:t xml:space="preserve"> </w:t>
            </w:r>
            <w:r>
              <w:rPr>
                <w:rFonts w:eastAsia="Calibri"/>
                <w:lang w:val="en-US"/>
              </w:rPr>
              <w:t>ileum</w:t>
            </w:r>
            <w:r>
              <w:rPr>
                <w:rFonts w:eastAsia="Calibri"/>
              </w:rPr>
              <w:t>. On laparotomy, a shared bowel wall and common blood supply would be seen, necessitating resection of the surrounding bowel segments as well. Mesenteric cysts would also present with similar clinical and radiological findings; only histopathological findings differentiated the diagnoses in this case. An ovarian cyst also made it to the list based on the epidemiological frequency in a young female with pain in the abdomen and an abdominal mass. The features that do not point in its favour are the normal blood work showing no tumour markers and no menstrual irregularities in the patient. No formal diagnostic algorithm favoured a single diagnosis during the preop</w:t>
            </w:r>
            <w:proofErr w:type="spellStart"/>
            <w:r>
              <w:rPr>
                <w:rFonts w:eastAsia="Calibri"/>
                <w:lang w:val="en-US"/>
              </w:rPr>
              <w:t>erative</w:t>
            </w:r>
            <w:proofErr w:type="spellEnd"/>
            <w:r>
              <w:rPr>
                <w:rFonts w:eastAsia="Calibri"/>
              </w:rPr>
              <w:t xml:space="preserve"> work-up. </w:t>
            </w:r>
          </w:p>
        </w:tc>
      </w:tr>
    </w:tbl>
    <w:p w:rsidR="001B6188" w:rsidRDefault="001B6188">
      <w:pPr>
        <w:rPr>
          <w:rFonts w:eastAsia="Calibri"/>
        </w:rPr>
      </w:pPr>
    </w:p>
    <w:tbl>
      <w:tblPr>
        <w:tblStyle w:val="Style52"/>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640"/>
      </w:tblGrid>
      <w:tr w:rsidR="001B6188">
        <w:trPr>
          <w:trHeight w:val="493"/>
        </w:trPr>
        <w:tc>
          <w:tcPr>
            <w:tcW w:w="9640" w:type="dxa"/>
            <w:tcBorders>
              <w:top w:val="nil"/>
              <w:left w:val="nil"/>
              <w:bottom w:val="single" w:sz="8" w:space="0" w:color="2A6EBB"/>
              <w:right w:val="nil"/>
            </w:tcBorders>
            <w:tcMar>
              <w:top w:w="100" w:type="dxa"/>
              <w:left w:w="100" w:type="dxa"/>
              <w:bottom w:w="100" w:type="dxa"/>
              <w:right w:w="100" w:type="dxa"/>
            </w:tcMar>
          </w:tcPr>
          <w:p w:rsidR="001B6188" w:rsidRDefault="002A6D0C">
            <w:pPr>
              <w:pStyle w:val="Heading3"/>
              <w:spacing w:before="0" w:after="0"/>
              <w:rPr>
                <w:rFonts w:eastAsia="Calibri"/>
                <w:b/>
                <w:i/>
                <w:color w:val="auto"/>
                <w:sz w:val="22"/>
                <w:szCs w:val="22"/>
              </w:rPr>
            </w:pPr>
            <w:bookmarkStart w:id="7" w:name="_heading=h.26in1rg" w:colFirst="0" w:colLast="0"/>
            <w:bookmarkStart w:id="8" w:name="_Toc20661"/>
            <w:bookmarkEnd w:id="7"/>
            <w:r>
              <w:rPr>
                <w:rFonts w:eastAsia="Calibri"/>
                <w:b/>
                <w:color w:val="auto"/>
                <w:sz w:val="22"/>
                <w:szCs w:val="22"/>
              </w:rPr>
              <w:lastRenderedPageBreak/>
              <w:t>TREATMENT</w:t>
            </w:r>
            <w:bookmarkEnd w:id="8"/>
            <w:r>
              <w:rPr>
                <w:rFonts w:eastAsia="Calibri"/>
                <w:b/>
                <w:color w:val="auto"/>
                <w:sz w:val="22"/>
                <w:szCs w:val="22"/>
              </w:rPr>
              <w:t xml:space="preserve"> </w:t>
            </w:r>
          </w:p>
        </w:tc>
      </w:tr>
      <w:tr w:rsidR="001B6188">
        <w:trPr>
          <w:trHeight w:val="3355"/>
        </w:trPr>
        <w:tc>
          <w:tcPr>
            <w:tcW w:w="9640" w:type="dxa"/>
            <w:tcBorders>
              <w:top w:val="single" w:sz="8" w:space="0" w:color="2A6EBB"/>
              <w:left w:val="single" w:sz="8" w:space="0" w:color="FFFFFF"/>
              <w:bottom w:val="nil"/>
              <w:right w:val="single" w:sz="8" w:space="0" w:color="FFFFFF"/>
            </w:tcBorders>
            <w:tcMar>
              <w:top w:w="100" w:type="dxa"/>
              <w:left w:w="100" w:type="dxa"/>
              <w:bottom w:w="100" w:type="dxa"/>
              <w:right w:w="100" w:type="dxa"/>
            </w:tcMar>
          </w:tcPr>
          <w:p w:rsidR="001B6188" w:rsidRDefault="002A6D0C">
            <w:pPr>
              <w:rPr>
                <w:rFonts w:eastAsia="Times New Roman"/>
              </w:rPr>
            </w:pPr>
            <w:r>
              <w:rPr>
                <w:rFonts w:eastAsia="Times New Roman"/>
              </w:rPr>
              <w:t xml:space="preserve">The patient underwent an exploratory laparotomy under general anaesthesia. Intraoperatively, a well-defined cystic mass measuring approximately 120mm x 70mm x 60mm was identified in the </w:t>
            </w:r>
            <w:proofErr w:type="spellStart"/>
            <w:r>
              <w:rPr>
                <w:rFonts w:eastAsia="Times New Roman"/>
                <w:lang w:val="en-US"/>
              </w:rPr>
              <w:t>paracaecal</w:t>
            </w:r>
            <w:proofErr w:type="spellEnd"/>
            <w:r>
              <w:rPr>
                <w:rFonts w:eastAsia="Times New Roman"/>
              </w:rPr>
              <w:t xml:space="preserve"> region. The mass exhibited no communication with the bowel or mesentery and was associated with thin, flimsy adhesions. The cyst and its wall were excised and sent for histopathological examination (HPE). Gross examination revealed a single grey-white cystic structure measuring 7.5 x 7.5 x 2 cm. The external surface appeared smooth and shiny, with prominent vessels. Upon incision, 50 ml of clear serous fluid was released. The cut surface displayed a single unilocular, smooth-walled cyst, with no solid contents observed. The cyst wall thickness ranged from 0.1 cm to 0.8 cm. The entire specimen was processed in four sections.</w:t>
            </w:r>
          </w:p>
          <w:p w:rsidR="001B6188" w:rsidRDefault="001B6188">
            <w:pPr>
              <w:rPr>
                <w:rFonts w:eastAsia="Times New Roman"/>
              </w:rPr>
            </w:pPr>
          </w:p>
          <w:p w:rsidR="001B6188" w:rsidRDefault="002A6D0C">
            <w:pPr>
              <w:rPr>
                <w:rFonts w:eastAsia="Calibri"/>
              </w:rPr>
            </w:pPr>
            <w:r>
              <w:rPr>
                <w:rFonts w:eastAsia="Times New Roman"/>
              </w:rPr>
              <w:t xml:space="preserve">Microscopic examination revealed that the cystic lesion was lined by a single layer of columnar or cuboidal epithelium resembling gastrointestinal mucosa. The cyst wall consisted of smooth muscle and connective tissue. No significant atypia, mitotic activity, or necrosis was observed. These findings were consistent with a diagnosis of a foregut duplication </w:t>
            </w:r>
            <w:proofErr w:type="spellStart"/>
            <w:proofErr w:type="gramStart"/>
            <w:r>
              <w:rPr>
                <w:rFonts w:eastAsia="Times New Roman"/>
              </w:rPr>
              <w:t>cyst.Postoperati</w:t>
            </w:r>
            <w:r>
              <w:rPr>
                <w:rFonts w:eastAsia="Times New Roman"/>
                <w:lang w:val="en-US"/>
              </w:rPr>
              <w:t>ve</w:t>
            </w:r>
            <w:proofErr w:type="spellEnd"/>
            <w:proofErr w:type="gramEnd"/>
            <w:r>
              <w:rPr>
                <w:rFonts w:eastAsia="Times New Roman"/>
              </w:rPr>
              <w:t xml:space="preserve"> recovery was uneventful. On postoperative Day 5, the patient was discharged with spirometry, chest physiotherapy and instructions to ambulate with an abdominal binder. At the two-week follow-up, the patient reported complete resolution of abdominal pain and vomiting. She remained symptom-free during subsequent follow-up visits till date. </w:t>
            </w:r>
          </w:p>
        </w:tc>
      </w:tr>
    </w:tbl>
    <w:p w:rsidR="001B6188" w:rsidRDefault="001B6188">
      <w:pPr>
        <w:rPr>
          <w:rFonts w:eastAsia="Calibri"/>
        </w:rPr>
      </w:pPr>
    </w:p>
    <w:p w:rsidR="001B6188" w:rsidRDefault="001B6188">
      <w:pPr>
        <w:pStyle w:val="WPSOffice1"/>
        <w:tabs>
          <w:tab w:val="right" w:leader="dot" w:pos="8306"/>
        </w:tabs>
        <w:rPr>
          <w:rFonts w:ascii="Arial" w:hAnsi="Arial" w:cs="Arial"/>
          <w:sz w:val="22"/>
          <w:szCs w:val="22"/>
        </w:rPr>
      </w:pPr>
      <w:bookmarkStart w:id="9" w:name="_heading=h.lnxbz9" w:colFirst="0" w:colLast="0"/>
      <w:bookmarkEnd w:id="9"/>
    </w:p>
    <w:p w:rsidR="001B6188" w:rsidRDefault="002A6D0C">
      <w:pPr>
        <w:pStyle w:val="WPSOffice1"/>
        <w:tabs>
          <w:tab w:val="right" w:leader="dot" w:pos="8306"/>
        </w:tabs>
        <w:ind w:left="720" w:firstLine="720"/>
        <w:rPr>
          <w:rFonts w:ascii="Arial" w:hAnsi="Arial" w:cs="Arial"/>
          <w:sz w:val="22"/>
          <w:szCs w:val="22"/>
          <w:lang w:val="en-US"/>
        </w:rPr>
      </w:pPr>
      <w:r>
        <w:rPr>
          <w:rFonts w:ascii="Arial" w:hAnsi="Arial" w:cs="Arial"/>
          <w:noProof/>
          <w:sz w:val="22"/>
          <w:szCs w:val="22"/>
          <w:lang w:val="en-US"/>
        </w:rPr>
        <w:drawing>
          <wp:inline distT="0" distB="0" distL="114300" distR="114300">
            <wp:extent cx="3550285" cy="2255520"/>
            <wp:effectExtent l="0" t="0" r="5715" b="5080"/>
            <wp:docPr id="5" name="Picture 5" descr="c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t 2"/>
                    <pic:cNvPicPr>
                      <a:picLocks noChangeAspect="1"/>
                    </pic:cNvPicPr>
                  </pic:nvPicPr>
                  <pic:blipFill>
                    <a:blip r:embed="rId8"/>
                    <a:stretch>
                      <a:fillRect/>
                    </a:stretch>
                  </pic:blipFill>
                  <pic:spPr>
                    <a:xfrm>
                      <a:off x="0" y="0"/>
                      <a:ext cx="3550285" cy="2255520"/>
                    </a:xfrm>
                    <a:prstGeom prst="rect">
                      <a:avLst/>
                    </a:prstGeom>
                  </pic:spPr>
                </pic:pic>
              </a:graphicData>
            </a:graphic>
          </wp:inline>
        </w:drawing>
      </w:r>
    </w:p>
    <w:p w:rsidR="001B6188" w:rsidRDefault="002A6D0C">
      <w:pPr>
        <w:pStyle w:val="WPSOffice1"/>
        <w:tabs>
          <w:tab w:val="right" w:leader="dot" w:pos="8306"/>
        </w:tabs>
        <w:ind w:left="720" w:firstLine="720"/>
        <w:rPr>
          <w:rFonts w:ascii="Arial" w:hAnsi="Arial" w:cs="Arial"/>
          <w:sz w:val="22"/>
          <w:szCs w:val="22"/>
          <w:lang w:val="en-US"/>
        </w:rPr>
      </w:pPr>
      <w:r>
        <w:rPr>
          <w:rFonts w:ascii="Arial" w:hAnsi="Arial" w:cs="Arial"/>
          <w:sz w:val="22"/>
          <w:szCs w:val="22"/>
          <w:lang w:val="en-US"/>
        </w:rPr>
        <w:t>Fig.1. CT image showing well defined mass in abdomen</w:t>
      </w:r>
    </w:p>
    <w:p w:rsidR="001B6188" w:rsidRDefault="001B6188">
      <w:pPr>
        <w:pStyle w:val="WPSOffice1"/>
        <w:tabs>
          <w:tab w:val="right" w:leader="dot" w:pos="8306"/>
        </w:tabs>
        <w:rPr>
          <w:rFonts w:ascii="Arial" w:hAnsi="Arial" w:cs="Arial"/>
          <w:sz w:val="22"/>
          <w:szCs w:val="22"/>
        </w:rPr>
      </w:pPr>
    </w:p>
    <w:p w:rsidR="001B6188" w:rsidRDefault="002A6D0C">
      <w:pPr>
        <w:pStyle w:val="WPSOffice1"/>
        <w:tabs>
          <w:tab w:val="right" w:leader="dot" w:pos="8306"/>
        </w:tabs>
        <w:rPr>
          <w:rFonts w:ascii="Arial" w:eastAsia="Calibri" w:hAnsi="Arial" w:cs="Arial"/>
          <w:color w:val="000000"/>
          <w:sz w:val="22"/>
          <w:szCs w:val="22"/>
          <w:lang w:val="en-US"/>
        </w:rPr>
      </w:pPr>
      <w:r>
        <w:rPr>
          <w:rFonts w:ascii="Arial" w:eastAsia="Calibri" w:hAnsi="Arial" w:cs="Arial"/>
          <w:color w:val="000000"/>
          <w:sz w:val="22"/>
          <w:szCs w:val="22"/>
          <w:lang w:val="en-US"/>
        </w:rPr>
        <w:lastRenderedPageBreak/>
        <w:t xml:space="preserve">                                                     </w:t>
      </w:r>
      <w:r>
        <w:rPr>
          <w:rFonts w:ascii="Arial" w:eastAsia="Calibri" w:hAnsi="Arial" w:cs="Arial"/>
          <w:noProof/>
          <w:color w:val="000000"/>
          <w:sz w:val="22"/>
          <w:szCs w:val="22"/>
          <w:lang w:val="en-US"/>
        </w:rPr>
        <w:drawing>
          <wp:inline distT="0" distB="0" distL="114300" distR="114300">
            <wp:extent cx="1646555" cy="2573020"/>
            <wp:effectExtent l="0" t="0" r="4445" b="5080"/>
            <wp:docPr id="2" name="Picture 2" descr="WhatsApp Image 2024-06-07 at 11.07.33 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24-06-07 at 11.07.33 AM (1)"/>
                    <pic:cNvPicPr>
                      <a:picLocks noChangeAspect="1"/>
                    </pic:cNvPicPr>
                  </pic:nvPicPr>
                  <pic:blipFill>
                    <a:blip r:embed="rId9"/>
                    <a:srcRect r="15620" b="1026"/>
                    <a:stretch>
                      <a:fillRect/>
                    </a:stretch>
                  </pic:blipFill>
                  <pic:spPr>
                    <a:xfrm>
                      <a:off x="0" y="0"/>
                      <a:ext cx="1646555" cy="2573020"/>
                    </a:xfrm>
                    <a:prstGeom prst="rect">
                      <a:avLst/>
                    </a:prstGeom>
                  </pic:spPr>
                </pic:pic>
              </a:graphicData>
            </a:graphic>
          </wp:inline>
        </w:drawing>
      </w:r>
    </w:p>
    <w:p w:rsidR="001B6188" w:rsidRDefault="002A6D0C">
      <w:pPr>
        <w:pStyle w:val="WPSOffice1"/>
        <w:tabs>
          <w:tab w:val="right" w:leader="dot" w:pos="8306"/>
        </w:tabs>
        <w:ind w:firstLineChars="850" w:firstLine="1870"/>
        <w:rPr>
          <w:rFonts w:ascii="Arial" w:eastAsia="Calibri" w:hAnsi="Arial" w:cs="Arial"/>
          <w:color w:val="000000"/>
          <w:sz w:val="22"/>
          <w:szCs w:val="22"/>
          <w:lang w:val="en-US"/>
        </w:rPr>
      </w:pPr>
      <w:r>
        <w:rPr>
          <w:rFonts w:ascii="Arial" w:eastAsia="Calibri" w:hAnsi="Arial" w:cs="Arial"/>
          <w:color w:val="000000"/>
          <w:sz w:val="22"/>
          <w:szCs w:val="22"/>
          <w:lang w:val="en-US"/>
        </w:rPr>
        <w:t>Fig.2. A fluid filled cystic lesion present</w:t>
      </w:r>
    </w:p>
    <w:p w:rsidR="001B6188" w:rsidRDefault="002A6D0C">
      <w:pPr>
        <w:pStyle w:val="WPSOffice1"/>
        <w:tabs>
          <w:tab w:val="right" w:leader="dot" w:pos="8306"/>
        </w:tabs>
        <w:ind w:firstLineChars="1200" w:firstLine="2640"/>
        <w:rPr>
          <w:rFonts w:ascii="Arial" w:eastAsia="Calibri" w:hAnsi="Arial" w:cs="Arial"/>
          <w:color w:val="000000"/>
          <w:sz w:val="22"/>
          <w:szCs w:val="22"/>
          <w:lang w:val="en-US"/>
        </w:rPr>
      </w:pPr>
      <w:r>
        <w:rPr>
          <w:rFonts w:ascii="Arial" w:eastAsia="Calibri" w:hAnsi="Arial" w:cs="Arial"/>
          <w:color w:val="000000"/>
          <w:sz w:val="22"/>
          <w:szCs w:val="22"/>
          <w:lang w:val="en-US"/>
        </w:rPr>
        <w:t xml:space="preserve">In </w:t>
      </w:r>
      <w:proofErr w:type="spellStart"/>
      <w:r>
        <w:rPr>
          <w:rFonts w:ascii="Arial" w:eastAsia="Calibri" w:hAnsi="Arial" w:cs="Arial"/>
          <w:color w:val="000000"/>
          <w:sz w:val="22"/>
          <w:szCs w:val="22"/>
          <w:lang w:val="en-US"/>
        </w:rPr>
        <w:t>paracaecal</w:t>
      </w:r>
      <w:proofErr w:type="spellEnd"/>
      <w:r>
        <w:rPr>
          <w:rFonts w:ascii="Arial" w:eastAsia="Calibri" w:hAnsi="Arial" w:cs="Arial"/>
          <w:color w:val="000000"/>
          <w:sz w:val="22"/>
          <w:szCs w:val="22"/>
          <w:lang w:val="en-US"/>
        </w:rPr>
        <w:t xml:space="preserve"> region</w:t>
      </w:r>
    </w:p>
    <w:p w:rsidR="001B6188" w:rsidRDefault="001B6188">
      <w:pPr>
        <w:pStyle w:val="WPSOffice1"/>
        <w:tabs>
          <w:tab w:val="right" w:leader="dot" w:pos="8306"/>
        </w:tabs>
        <w:rPr>
          <w:rFonts w:ascii="Arial" w:eastAsia="Calibri" w:hAnsi="Arial" w:cs="Arial"/>
          <w:color w:val="000000"/>
          <w:sz w:val="22"/>
          <w:szCs w:val="22"/>
          <w:lang w:val="en-US"/>
        </w:rPr>
      </w:pPr>
    </w:p>
    <w:p w:rsidR="001B6188" w:rsidRDefault="001B6188">
      <w:pPr>
        <w:pStyle w:val="WPSOffice1"/>
        <w:tabs>
          <w:tab w:val="right" w:leader="dot" w:pos="8306"/>
        </w:tabs>
        <w:rPr>
          <w:rFonts w:ascii="Arial" w:eastAsia="Calibri" w:hAnsi="Arial" w:cs="Arial"/>
          <w:color w:val="000000"/>
          <w:sz w:val="22"/>
          <w:szCs w:val="22"/>
          <w:lang w:val="en-US"/>
        </w:rPr>
      </w:pPr>
    </w:p>
    <w:p w:rsidR="001B6188" w:rsidRDefault="002A6D0C">
      <w:pPr>
        <w:pStyle w:val="WPSOffice1"/>
        <w:tabs>
          <w:tab w:val="right" w:leader="dot" w:pos="8306"/>
        </w:tabs>
        <w:rPr>
          <w:rFonts w:ascii="Arial" w:eastAsia="Calibri" w:hAnsi="Arial" w:cs="Arial"/>
          <w:color w:val="000000"/>
          <w:sz w:val="22"/>
          <w:szCs w:val="22"/>
          <w:lang w:val="en-US"/>
        </w:rPr>
      </w:pPr>
      <w:r>
        <w:rPr>
          <w:rFonts w:ascii="Arial" w:eastAsia="Calibri" w:hAnsi="Arial" w:cs="Arial"/>
          <w:color w:val="000000"/>
          <w:sz w:val="22"/>
          <w:szCs w:val="22"/>
          <w:lang w:val="en-US"/>
        </w:rPr>
        <w:t xml:space="preserve">                                           </w:t>
      </w:r>
      <w:r>
        <w:rPr>
          <w:rFonts w:ascii="Arial" w:eastAsia="Calibri" w:hAnsi="Arial" w:cs="Arial"/>
          <w:noProof/>
          <w:color w:val="000000"/>
          <w:sz w:val="22"/>
          <w:szCs w:val="22"/>
          <w:lang w:val="en-US"/>
        </w:rPr>
        <w:drawing>
          <wp:inline distT="0" distB="0" distL="114300" distR="114300">
            <wp:extent cx="2047240" cy="1537335"/>
            <wp:effectExtent l="0" t="0" r="10160" b="12065"/>
            <wp:docPr id="3" name="Picture 3" descr="WhatsApp Image 2024-06-07 at 11.07.39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atsApp Image 2024-06-07 at 11.07.39 AM"/>
                    <pic:cNvPicPr>
                      <a:picLocks noChangeAspect="1"/>
                    </pic:cNvPicPr>
                  </pic:nvPicPr>
                  <pic:blipFill>
                    <a:blip r:embed="rId10"/>
                    <a:stretch>
                      <a:fillRect/>
                    </a:stretch>
                  </pic:blipFill>
                  <pic:spPr>
                    <a:xfrm>
                      <a:off x="0" y="0"/>
                      <a:ext cx="2047240" cy="1537335"/>
                    </a:xfrm>
                    <a:prstGeom prst="rect">
                      <a:avLst/>
                    </a:prstGeom>
                  </pic:spPr>
                </pic:pic>
              </a:graphicData>
            </a:graphic>
          </wp:inline>
        </w:drawing>
      </w:r>
    </w:p>
    <w:p w:rsidR="001B6188" w:rsidRDefault="001B6188">
      <w:pPr>
        <w:pStyle w:val="WPSOffice1"/>
        <w:tabs>
          <w:tab w:val="right" w:leader="dot" w:pos="8306"/>
        </w:tabs>
        <w:rPr>
          <w:rFonts w:ascii="Arial" w:eastAsia="Calibri" w:hAnsi="Arial" w:cs="Arial"/>
          <w:color w:val="000000"/>
          <w:sz w:val="22"/>
          <w:szCs w:val="22"/>
          <w:lang w:val="en-US"/>
        </w:rPr>
      </w:pPr>
    </w:p>
    <w:p w:rsidR="001B6188" w:rsidRDefault="002A6D0C">
      <w:pPr>
        <w:pStyle w:val="WPSOffice1"/>
        <w:tabs>
          <w:tab w:val="right" w:leader="dot" w:pos="8306"/>
        </w:tabs>
        <w:ind w:firstLineChars="800" w:firstLine="1760"/>
        <w:rPr>
          <w:rFonts w:ascii="Arial" w:eastAsia="Calibri" w:hAnsi="Arial" w:cs="Arial"/>
          <w:color w:val="000000"/>
          <w:sz w:val="22"/>
          <w:szCs w:val="22"/>
          <w:lang w:val="en-US"/>
        </w:rPr>
        <w:sectPr w:rsidR="001B6188">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20" w:footer="720" w:gutter="0"/>
          <w:cols w:space="720"/>
          <w:docGrid w:linePitch="360"/>
        </w:sectPr>
      </w:pPr>
      <w:r>
        <w:rPr>
          <w:rFonts w:ascii="Arial" w:eastAsia="Calibri" w:hAnsi="Arial" w:cs="Arial"/>
          <w:color w:val="000000"/>
          <w:sz w:val="22"/>
          <w:szCs w:val="22"/>
          <w:lang w:val="en-US"/>
        </w:rPr>
        <w:t xml:space="preserve">Fig3. Cyst excised </w:t>
      </w:r>
      <w:proofErr w:type="spellStart"/>
      <w:r>
        <w:rPr>
          <w:rFonts w:ascii="Arial" w:eastAsia="Calibri" w:hAnsi="Arial" w:cs="Arial"/>
          <w:color w:val="000000"/>
          <w:sz w:val="22"/>
          <w:szCs w:val="22"/>
          <w:lang w:val="en-US"/>
        </w:rPr>
        <w:t>en</w:t>
      </w:r>
      <w:proofErr w:type="spellEnd"/>
      <w:r>
        <w:rPr>
          <w:rFonts w:ascii="Arial" w:eastAsia="Calibri" w:hAnsi="Arial" w:cs="Arial"/>
          <w:color w:val="000000"/>
          <w:sz w:val="22"/>
          <w:szCs w:val="22"/>
          <w:lang w:val="en-US"/>
        </w:rPr>
        <w:t xml:space="preserve"> bloc with all its layers intact</w:t>
      </w:r>
    </w:p>
    <w:p w:rsidR="001B6188" w:rsidRDefault="001B6188">
      <w:pPr>
        <w:rPr>
          <w:rFonts w:eastAsia="Calibri"/>
        </w:rPr>
      </w:pPr>
    </w:p>
    <w:tbl>
      <w:tblPr>
        <w:tblStyle w:val="Style54"/>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640"/>
      </w:tblGrid>
      <w:tr w:rsidR="001B6188">
        <w:trPr>
          <w:trHeight w:val="493"/>
        </w:trPr>
        <w:tc>
          <w:tcPr>
            <w:tcW w:w="9640" w:type="dxa"/>
            <w:tcBorders>
              <w:top w:val="nil"/>
              <w:left w:val="nil"/>
              <w:bottom w:val="single" w:sz="8" w:space="0" w:color="2A6EBB"/>
              <w:right w:val="nil"/>
            </w:tcBorders>
            <w:tcMar>
              <w:top w:w="100" w:type="dxa"/>
              <w:left w:w="100" w:type="dxa"/>
              <w:bottom w:w="100" w:type="dxa"/>
              <w:right w:w="100" w:type="dxa"/>
            </w:tcMar>
          </w:tcPr>
          <w:p w:rsidR="001B6188" w:rsidRDefault="001B6188">
            <w:pPr>
              <w:pStyle w:val="Heading3"/>
              <w:spacing w:before="0" w:after="0"/>
              <w:rPr>
                <w:rFonts w:eastAsia="Calibri"/>
                <w:b/>
                <w:color w:val="auto"/>
                <w:sz w:val="22"/>
                <w:szCs w:val="22"/>
              </w:rPr>
            </w:pPr>
            <w:bookmarkStart w:id="10" w:name="_heading=h.35nkun2" w:colFirst="0" w:colLast="0"/>
            <w:bookmarkEnd w:id="10"/>
          </w:p>
          <w:p w:rsidR="001B6188" w:rsidRDefault="002A6D0C">
            <w:pPr>
              <w:pStyle w:val="Heading3"/>
              <w:spacing w:before="0" w:after="0"/>
              <w:rPr>
                <w:rFonts w:eastAsia="Calibri"/>
                <w:b/>
                <w:i/>
                <w:color w:val="auto"/>
                <w:sz w:val="22"/>
                <w:szCs w:val="22"/>
              </w:rPr>
            </w:pPr>
            <w:bookmarkStart w:id="11" w:name="_heading=h.1ksv4uv" w:colFirst="0" w:colLast="0"/>
            <w:bookmarkStart w:id="12" w:name="_Toc32429"/>
            <w:bookmarkEnd w:id="11"/>
            <w:r>
              <w:rPr>
                <w:rFonts w:eastAsia="Calibri"/>
                <w:b/>
                <w:color w:val="auto"/>
                <w:sz w:val="22"/>
                <w:szCs w:val="22"/>
              </w:rPr>
              <w:t>DISCUSSION</w:t>
            </w:r>
            <w:bookmarkEnd w:id="12"/>
            <w:r>
              <w:rPr>
                <w:rFonts w:eastAsia="Calibri"/>
                <w:b/>
                <w:color w:val="auto"/>
                <w:sz w:val="22"/>
                <w:szCs w:val="22"/>
              </w:rPr>
              <w:t xml:space="preserve"> </w:t>
            </w:r>
          </w:p>
        </w:tc>
      </w:tr>
    </w:tbl>
    <w:p w:rsidR="001B6188" w:rsidRDefault="002A6D0C">
      <w:pPr>
        <w:rPr>
          <w:lang w:val="en-IN"/>
        </w:rPr>
      </w:pPr>
      <w:r>
        <w:rPr>
          <w:lang w:val="en"/>
        </w:rPr>
        <w:t xml:space="preserve">Enteric Duplication cysts are uncommon congenital anomalies, encountered majorly in the pediatric population, with an approximate prevalence of approximately 1 in 4500 births </w:t>
      </w:r>
      <w:r>
        <w:rPr>
          <w:lang w:val="en"/>
        </w:rPr>
        <w:fldChar w:fldCharType="begin"/>
      </w:r>
      <w:r>
        <w:rPr>
          <w:lang w:val="en"/>
        </w:rPr>
        <w:instrText xml:space="preserve"> ADDIN ZOTERO_ITEM CSL_CITATION {"citationID":"LWW0VwzQ","properties":{"formattedCitation":"(1)","plainCitation":"(1)","noteIndex":0},"citationItems":[{"id":3001,"uris":["http://zotero.org/users/local/lK31JtfW/items/A7SW48PN"],"itemData":{"id":3001,"type":"article-journal","abstract":"Purpose\nAbdominal cysts of gastrointestinal origin are rare. Their rarity and varied clinical presentations make their pre-operative diagnosis difficult.\n\nMethods\nFourteen patients with histological diagnosis of cysts of gastrointestinal origin admitted between 2009 and 2015 were retrospectively analyzed with respect to age, sex, clinical presentation, diagnostic modality, site and type of cyst, management, outcome and follow-up.\n\nResults\nThe mean age at presentation was 4 years and there were six males and eight females. Abdominal pain was the most common presenting symptom. Five patients had an acute presentation-three had distal ileal mesenteric cysts and two had ileal duplication cyst sharing a common wall with ileum. Six patients presented with chronic abdominal pain and lump—three patients had omental cysts and three had mesenteric cysts—two of these in distal ileum and one in sigmoid colon. Two patients presented with antenatally diagnosed palpable abdominal lump. One had a mesenteric cyst of the ileum and the other had a distal ileal duplication cyst which required excision with resection and anastomosis. One patient had an atypical presentation. He was a known case of sickle cell trait and had presented with vague abdominal pain, recurrent cough and multiple episodes of haemoptysis over a period of one year. At laparotomy, gastric duplication cyst was found which was excised completely. Histopathology confirmed the diagnosis.\n\nConclusion\nCysts of gastrointestinal origin are rare and have varied presentation. Surgical excision is the mainstay of treatment. The results and prognosis are good.","container-title":"Pediatric Gastroenterology, Hepatology &amp; Nutrition","DOI":"10.5223/pghn.2017.20.2.94","ISSN":"2234-8646","issue":"2","journalAbbreviation":"Pediatr Gastroenterol Hepatol Nutr","note":"PMID: 28730133\nPMCID: PMC5517385","page":"94-99","source":"PubMed Central","title":"Cysts of Gastrointestinal Origin in Children: Varied Presentation","title-short":"Cysts of Gastrointestinal Origin in Children","volume":"20","author":[{"family":"Tiwari","given":"Charu"},{"family":"Shah","given":"Hemanshi"},{"family":"Waghmare","given":"Mukta"},{"family":"Makhija","given":"Deepa"},{"family":"Khedkar","given":"Kiran"}],"issued":{"date-parts":[["2017",6]]}}}],"schema":"https://github.com/citation-style-language/schema/raw/master/csl-citation.json"} </w:instrText>
      </w:r>
      <w:r>
        <w:rPr>
          <w:lang w:val="en"/>
        </w:rPr>
        <w:fldChar w:fldCharType="separate"/>
      </w:r>
      <w:r>
        <w:t>(1)</w:t>
      </w:r>
      <w:r>
        <w:rPr>
          <w:lang w:val="en"/>
        </w:rPr>
        <w:fldChar w:fldCharType="end"/>
      </w:r>
      <w:r>
        <w:rPr>
          <w:lang w:val="en"/>
        </w:rPr>
        <w:t xml:space="preserve">. They usually remain asymptomatic in adults, but can otherwise have a wide clinical presentation ranging from mass per abdomen to dysphagia, cough, neck mass, stridor </w:t>
      </w:r>
      <w:proofErr w:type="spellStart"/>
      <w:r>
        <w:rPr>
          <w:lang w:val="en"/>
        </w:rPr>
        <w:t>etc</w:t>
      </w:r>
      <w:proofErr w:type="spellEnd"/>
      <w:r>
        <w:rPr>
          <w:lang w:val="en"/>
        </w:rPr>
        <w:t xml:space="preserve"> </w:t>
      </w:r>
      <w:r>
        <w:rPr>
          <w:lang w:val="en"/>
        </w:rPr>
        <w:fldChar w:fldCharType="begin"/>
      </w:r>
      <w:r>
        <w:rPr>
          <w:lang w:val="en"/>
        </w:rPr>
        <w:instrText xml:space="preserve"> ADDIN ZOTERO_ITEM CSL_CITATION {"citationID":"WtdCKz1S","properties":{"formattedCitation":"(5)","plainCitation":"(5)","noteIndex":0},"citationItems":[{"id":3013,"uris":["http://zotero.org/users/local/lK31JtfW/items/NDM67JTY"],"itemData":{"id":3013,"type":"article-journal","abstract":"Gastrointestinal tract duplication cysts are rare congenital gastrointestinal malformation in young patients and adults. They consist of foregut duplication cysts, small bowel duplication cysts, and large bowel duplication cysts. Endoscopic ultrasound (EUS) has been widely used as a modality for the evaluation and diagnosis of duplication cysts. EUS is the diagnostic tool of choice to investigate duplication cysts since it can distinguish between solid and cystic lesions. The question of whether or not to perform EUS-fine needle aspiration (EUS-FNA) on a lesion suspected of being a duplication cyst is controversial as these lesions can become infected with significant consequences, although EUS-FNA is often required to obtain a definitive diagnosis and to rule out more ominous lesions. This manuscript will review the literature on duplication cysts throughout the body and will also focus on the role of EUS and FNA with regards to these lesions.","container-title":"Endoscopic Ultrasound","DOI":"10.4103/2303-9027.138783","ISSN":"2303-9027","issue":"3","journalAbbreviation":"Endosc Ultrasound","language":"eng","note":"PMID: 25184121\nPMCID: PMC4145475","page":"152-160","source":"PubMed","title":"Duplication cysts: Diagnosis, management, and the role of endoscopic ultrasound","title-short":"Duplication cysts","volume":"3","author":[{"family":"Liu","given":"Roy"},{"family":"Adler","given":"Douglas G."}],"issued":{"date-parts":[["2014",7]]}}}],"schema":"https://github.com/citation-style-language/schema/raw/master/csl-citation.json"} </w:instrText>
      </w:r>
      <w:r>
        <w:rPr>
          <w:lang w:val="en"/>
        </w:rPr>
        <w:fldChar w:fldCharType="separate"/>
      </w:r>
      <w:r>
        <w:t>(5)</w:t>
      </w:r>
      <w:r>
        <w:rPr>
          <w:lang w:val="en"/>
        </w:rPr>
        <w:fldChar w:fldCharType="end"/>
      </w:r>
      <w:r>
        <w:rPr>
          <w:lang w:val="en"/>
        </w:rPr>
        <w:t xml:space="preserve">. These anomalies have their origins along the alimentary tract, anywhere from </w:t>
      </w:r>
      <w:proofErr w:type="gramStart"/>
      <w:r>
        <w:rPr>
          <w:lang w:val="en"/>
        </w:rPr>
        <w:t>the  tongue</w:t>
      </w:r>
      <w:proofErr w:type="gramEnd"/>
      <w:r>
        <w:rPr>
          <w:lang w:val="en"/>
        </w:rPr>
        <w:t xml:space="preserve"> to the anus. The most common site reported in literature is the ileal region, and these cysts share a common wall and blood supply as the alimentary tract. This devious anatomical connection mandates surgical excision of the adjacent bowel segment along with the duplication cyst. Isolated enteric cysts are a rarer subtype of enteric cysts, with a unique blood supply and distinct walls, with less than 20 reported cases in adults worldwide to date. These cysts also at times show a metaplastic change with gastric or pancreatic tissue </w:t>
      </w:r>
      <w:r>
        <w:rPr>
          <w:lang w:val="en"/>
        </w:rPr>
        <w:fldChar w:fldCharType="begin"/>
      </w:r>
      <w:r>
        <w:rPr>
          <w:lang w:val="en"/>
        </w:rPr>
        <w:instrText xml:space="preserve"> ADDIN ZOTERO_ITEM CSL_CITATION {"citationID":"M0uMf9Oe","properties":{"formattedCitation":"(6)","plainCitation":"(6)","noteIndex":0},"citationItems":[{"id":2994,"uris":["http://zotero.org/users/local/lK31JtfW/items/L5U7XHQ6"],"itemData":{"id":2994,"type":"article-journal","container-title":"Journal of Pathology and Translational Medicine","DOI":"10.4132/KoreanJPathol.2010.44.2.204","ISSN":"2383-7837","issue":"2","journalAbbreviation":"J Pathol Transl Med","language":"English","note":"publisher: The Korean Society of Pathologists and the Korean Society for Cytopathology","page":"204-206","source":"www.jpatholtm.org","title":"Completely Isolated Enteric Duplication Cyst Presenting as an Inguinal Hernia.","volume":"44","author":[{"family":"Lee","given":"Jung Uee"},{"family":"Kim","given":"Jong Ok"},{"family":"Kim","given":"Say June"},{"family":"Sul","given":"Hye Jung"}]}}],"schema":"https://github.com/citation-style-language/schema/raw/master/csl-citation.json"} </w:instrText>
      </w:r>
      <w:r>
        <w:rPr>
          <w:lang w:val="en"/>
        </w:rPr>
        <w:fldChar w:fldCharType="separate"/>
      </w:r>
      <w:r>
        <w:t>(6)</w:t>
      </w:r>
      <w:r>
        <w:rPr>
          <w:lang w:val="en"/>
        </w:rPr>
        <w:fldChar w:fldCharType="end"/>
      </w:r>
      <w:r>
        <w:rPr>
          <w:lang w:val="en"/>
        </w:rPr>
        <w:t xml:space="preserve">. </w:t>
      </w:r>
      <w:r>
        <w:rPr>
          <w:rFonts w:eastAsia="SimSun"/>
        </w:rPr>
        <w:t xml:space="preserve">In our case, the isolated duplication cyst had its own vascular pedicle with no luminal communication with the adjacent alimentary segments, and was </w:t>
      </w:r>
      <w:proofErr w:type="spellStart"/>
      <w:r>
        <w:rPr>
          <w:rFonts w:eastAsia="SimSun"/>
        </w:rPr>
        <w:t>histopathologically</w:t>
      </w:r>
      <w:proofErr w:type="spellEnd"/>
      <w:r>
        <w:rPr>
          <w:rFonts w:eastAsia="SimSun"/>
        </w:rPr>
        <w:t xml:space="preserve"> reported as a foregut duplication cyst in the </w:t>
      </w:r>
      <w:proofErr w:type="spellStart"/>
      <w:r>
        <w:rPr>
          <w:rFonts w:eastAsia="SimSun"/>
          <w:lang w:val="en-US"/>
        </w:rPr>
        <w:t>paracaecal</w:t>
      </w:r>
      <w:proofErr w:type="spellEnd"/>
      <w:r>
        <w:rPr>
          <w:rFonts w:eastAsia="SimSun"/>
        </w:rPr>
        <w:t xml:space="preserve"> region. The combination of the age, anatomical location, anatomical variant (isolated with unique blood supply) makes this a unique presentation. </w:t>
      </w:r>
    </w:p>
    <w:p w:rsidR="001B6188" w:rsidRDefault="002A6D0C">
      <w:pPr>
        <w:rPr>
          <w:lang w:val="en-IN"/>
        </w:rPr>
      </w:pPr>
      <w:r>
        <w:rPr>
          <w:lang w:val="en-IN"/>
        </w:rPr>
        <w:t xml:space="preserve">A brief review of literature of similar studies reveals that the most common presenting complaint is abdominal pain or an abdominal mass, while radiological findings such as CT provide a strong clinical suspicion thereafter. </w:t>
      </w:r>
    </w:p>
    <w:p w:rsidR="001B6188" w:rsidRDefault="002A6D0C">
      <w:pPr>
        <w:rPr>
          <w:rFonts w:eastAsia="SimSun"/>
        </w:rPr>
      </w:pPr>
      <w:r>
        <w:rPr>
          <w:rFonts w:eastAsia="SimSun"/>
        </w:rPr>
        <w:t xml:space="preserve">Duplication cysts can be recognized on CT as smoothly rounded, fluid filled cysts, or tubular structures with thin, slightly enhancing walls in or adjacent to the wall of part of the alimentary tract. In our case, based upon CT and sonographic findings, </w:t>
      </w:r>
      <w:proofErr w:type="spellStart"/>
      <w:r>
        <w:rPr>
          <w:rFonts w:eastAsia="SimSun"/>
          <w:lang w:val="en-US"/>
        </w:rPr>
        <w:t>mesentric</w:t>
      </w:r>
      <w:proofErr w:type="spellEnd"/>
      <w:r>
        <w:rPr>
          <w:rFonts w:eastAsia="SimSun"/>
          <w:lang w:val="en-US"/>
        </w:rPr>
        <w:t xml:space="preserve"> </w:t>
      </w:r>
      <w:r>
        <w:rPr>
          <w:rFonts w:eastAsia="SimSun"/>
        </w:rPr>
        <w:t xml:space="preserve">cyst was </w:t>
      </w:r>
      <w:r>
        <w:rPr>
          <w:rFonts w:eastAsia="SimSun"/>
          <w:lang w:val="en-US"/>
        </w:rPr>
        <w:t>impression</w:t>
      </w:r>
      <w:r>
        <w:rPr>
          <w:rFonts w:eastAsia="SimSun"/>
        </w:rPr>
        <w:t>. Diagnostically, all Isolated EDCs have a double layer smooth muscle in their wall, as observed on H</w:t>
      </w:r>
      <w:proofErr w:type="spellStart"/>
      <w:r>
        <w:rPr>
          <w:rFonts w:eastAsia="SimSun"/>
          <w:lang w:val="en-US"/>
        </w:rPr>
        <w:t>istopathological</w:t>
      </w:r>
      <w:proofErr w:type="spellEnd"/>
      <w:r>
        <w:rPr>
          <w:rFonts w:eastAsia="SimSun"/>
          <w:lang w:val="en-US"/>
        </w:rPr>
        <w:t xml:space="preserve"> examination</w:t>
      </w:r>
      <w:r>
        <w:rPr>
          <w:rFonts w:eastAsia="SimSun"/>
        </w:rPr>
        <w:t xml:space="preserve"> </w:t>
      </w:r>
      <w:r>
        <w:rPr>
          <w:rFonts w:eastAsia="SimSun"/>
        </w:rPr>
        <w:fldChar w:fldCharType="begin"/>
      </w:r>
      <w:r>
        <w:rPr>
          <w:rFonts w:eastAsia="SimSun"/>
        </w:rPr>
        <w:instrText xml:space="preserve"> ADDIN ZOTERO_ITEM CSL_CITATION {"citationID":"cpI8E0Io","properties":{"formattedCitation":"(6)","plainCitation":"(6)","noteIndex":0},"citationItems":[{"id":2994,"uris":["http://zotero.org/users/local/lK31JtfW/items/L5U7XHQ6"],"itemData":{"id":2994,"type":"article-journal","container-title":"Journal of Pathology and Translational Medicine","DOI":"10.4132/KoreanJPathol.2010.44.2.204","ISSN":"2383-7837","issue":"2","journalAbbreviation":"J Pathol Transl Med","language":"English","note":"publisher: The Korean Society of Pathologists and the Korean Society for Cytopathology","page":"204-206","source":"www.jpatholtm.org","title":"Completely Isolated Enteric Duplication Cyst Presenting as an Inguinal Hernia.","volume":"44","author":[{"family":"Lee","given":"Jung Uee"},{"family":"Kim","given":"Jong Ok"},{"family":"Kim","given":"Say June"},{"family":"Sul","given":"Hye Jung"}]}}],"schema":"https://github.com/citation-style-language/schema/raw/master/csl-citation.json"} </w:instrText>
      </w:r>
      <w:r>
        <w:rPr>
          <w:rFonts w:eastAsia="SimSun"/>
        </w:rPr>
        <w:fldChar w:fldCharType="separate"/>
      </w:r>
      <w:r>
        <w:t>(6)</w:t>
      </w:r>
      <w:r>
        <w:rPr>
          <w:rFonts w:eastAsia="SimSun"/>
        </w:rPr>
        <w:fldChar w:fldCharType="end"/>
      </w:r>
      <w:r>
        <w:rPr>
          <w:rFonts w:eastAsia="SimSun"/>
        </w:rPr>
        <w:t xml:space="preserve">. </w:t>
      </w:r>
    </w:p>
    <w:p w:rsidR="001B6188" w:rsidRDefault="002A6D0C">
      <w:r>
        <w:rPr>
          <w:rFonts w:eastAsia="SimSun"/>
        </w:rPr>
        <w:t>There is no algorithm for the management of asymptomatic duplication cyst, whereas surgical excision is a treatment modality; hence, in our case, the patient underwent surgical excision with all its walls and layers intact with no bowel resection.</w:t>
      </w:r>
    </w:p>
    <w:p w:rsidR="001B6188" w:rsidRDefault="002A6D0C">
      <w:r>
        <w:rPr>
          <w:rFonts w:eastAsia="SimSun"/>
        </w:rPr>
        <w:t>The vague clinical presentation s</w:t>
      </w:r>
      <w:r>
        <w:rPr>
          <w:rFonts w:eastAsia="SimSun"/>
          <w:lang w:val="en-US"/>
        </w:rPr>
        <w:t>h</w:t>
      </w:r>
      <w:proofErr w:type="spellStart"/>
      <w:r>
        <w:rPr>
          <w:rFonts w:eastAsia="SimSun"/>
        </w:rPr>
        <w:t>ows</w:t>
      </w:r>
      <w:proofErr w:type="spellEnd"/>
      <w:r>
        <w:rPr>
          <w:rFonts w:eastAsia="SimSun"/>
        </w:rPr>
        <w:t xml:space="preserve"> the need for adaptations in our existing diagnostic and treatment algorithms for such presenting complaints. </w:t>
      </w:r>
    </w:p>
    <w:tbl>
      <w:tblPr>
        <w:tblStyle w:val="Style55"/>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640"/>
      </w:tblGrid>
      <w:tr w:rsidR="001B6188">
        <w:tc>
          <w:tcPr>
            <w:tcW w:w="9640" w:type="dxa"/>
            <w:tcBorders>
              <w:top w:val="nil"/>
              <w:left w:val="nil"/>
              <w:bottom w:val="single" w:sz="8" w:space="0" w:color="2A6EBB"/>
              <w:right w:val="nil"/>
            </w:tcBorders>
            <w:tcMar>
              <w:top w:w="100" w:type="dxa"/>
              <w:left w:w="100" w:type="dxa"/>
              <w:bottom w:w="100" w:type="dxa"/>
              <w:right w:w="100" w:type="dxa"/>
            </w:tcMar>
          </w:tcPr>
          <w:p w:rsidR="001B6188" w:rsidRDefault="001B6188">
            <w:pPr>
              <w:pStyle w:val="Heading3"/>
              <w:spacing w:before="0" w:after="0"/>
              <w:rPr>
                <w:rFonts w:eastAsia="Calibri"/>
                <w:b/>
                <w:i/>
                <w:color w:val="auto"/>
                <w:sz w:val="22"/>
                <w:szCs w:val="22"/>
                <w:lang w:val="en-US"/>
              </w:rPr>
            </w:pPr>
            <w:bookmarkStart w:id="13" w:name="_heading=h.44sinio" w:colFirst="0" w:colLast="0"/>
            <w:bookmarkStart w:id="14" w:name="_heading=h.2jxsxqh" w:colFirst="0" w:colLast="0"/>
            <w:bookmarkEnd w:id="13"/>
            <w:bookmarkEnd w:id="14"/>
          </w:p>
          <w:p w:rsidR="001B6188" w:rsidRDefault="002A6D0C">
            <w:pPr>
              <w:pStyle w:val="Heading3"/>
              <w:spacing w:before="0" w:after="0"/>
              <w:rPr>
                <w:color w:val="auto"/>
                <w:sz w:val="22"/>
                <w:szCs w:val="22"/>
                <w:lang w:val="en-US"/>
              </w:rPr>
            </w:pPr>
            <w:bookmarkStart w:id="15" w:name="_Toc11408"/>
            <w:r>
              <w:rPr>
                <w:rFonts w:eastAsia="Calibri"/>
                <w:b/>
                <w:i/>
                <w:color w:val="auto"/>
                <w:sz w:val="22"/>
                <w:szCs w:val="22"/>
                <w:lang w:val="en-US"/>
              </w:rPr>
              <w:t>Conclusion</w:t>
            </w:r>
            <w:bookmarkEnd w:id="15"/>
          </w:p>
        </w:tc>
      </w:tr>
    </w:tbl>
    <w:p w:rsidR="001B6188" w:rsidRDefault="001B6188">
      <w:pPr>
        <w:pStyle w:val="ListParagraph"/>
        <w:ind w:left="360"/>
        <w:rPr>
          <w:rFonts w:eastAsia="Calibri"/>
        </w:rPr>
      </w:pPr>
      <w:bookmarkStart w:id="16" w:name="_heading=h.z337ya" w:colFirst="0" w:colLast="0"/>
      <w:bookmarkEnd w:id="16"/>
    </w:p>
    <w:p w:rsidR="001B6188" w:rsidRDefault="002A6D0C" w:rsidP="00EB2909">
      <w:pPr>
        <w:jc w:val="both"/>
        <w:rPr>
          <w:rFonts w:eastAsia="Calibri"/>
        </w:rPr>
      </w:pPr>
      <w:r w:rsidRPr="00EB2909">
        <w:rPr>
          <w:rFonts w:eastAsia="Calibri"/>
        </w:rPr>
        <w:t>Isolated duplication cysts, which have their own blood supply and no communication with the normal bowel, represent an extremely rare form of gastrointestinal</w:t>
      </w:r>
      <w:r w:rsidRPr="00EB2909">
        <w:rPr>
          <w:rFonts w:eastAsia="Calibri"/>
          <w:lang w:val="en-US"/>
        </w:rPr>
        <w:t xml:space="preserve"> </w:t>
      </w:r>
      <w:r w:rsidRPr="00EB2909">
        <w:rPr>
          <w:rFonts w:eastAsia="Calibri"/>
        </w:rPr>
        <w:t>duplication. In this report, we present the case of an adult female diagnosed with a non-communicating fore</w:t>
      </w:r>
      <w:r w:rsidRPr="00EB2909">
        <w:rPr>
          <w:rFonts w:eastAsia="Calibri"/>
          <w:lang w:val="en-US"/>
        </w:rPr>
        <w:t>gut</w:t>
      </w:r>
      <w:r w:rsidRPr="00EB2909">
        <w:rPr>
          <w:rFonts w:eastAsia="Calibri"/>
        </w:rPr>
        <w:t xml:space="preserve"> isolated duplication cyst</w:t>
      </w:r>
      <w:r w:rsidRPr="00EB2909">
        <w:rPr>
          <w:rFonts w:eastAsia="Calibri"/>
          <w:lang w:val="en-US"/>
        </w:rPr>
        <w:t xml:space="preserve"> presented in </w:t>
      </w:r>
      <w:proofErr w:type="spellStart"/>
      <w:r w:rsidRPr="00EB2909">
        <w:rPr>
          <w:rFonts w:eastAsia="Calibri"/>
          <w:lang w:val="en-US"/>
        </w:rPr>
        <w:t>paracaecal</w:t>
      </w:r>
      <w:proofErr w:type="spellEnd"/>
      <w:r w:rsidRPr="00EB2909">
        <w:rPr>
          <w:rFonts w:eastAsia="Calibri"/>
          <w:lang w:val="en-US"/>
        </w:rPr>
        <w:t xml:space="preserve"> position</w:t>
      </w:r>
      <w:r w:rsidRPr="00EB2909">
        <w:rPr>
          <w:rFonts w:eastAsia="Calibri"/>
        </w:rPr>
        <w:t>.</w:t>
      </w:r>
      <w:r w:rsidR="00EB2909">
        <w:rPr>
          <w:rFonts w:eastAsia="Calibri"/>
        </w:rPr>
        <w:t xml:space="preserve"> </w:t>
      </w:r>
      <w:r w:rsidRPr="00EB2909">
        <w:rPr>
          <w:rFonts w:eastAsia="Calibri"/>
        </w:rPr>
        <w:t xml:space="preserve">The treatment involves surgical management with </w:t>
      </w:r>
      <w:proofErr w:type="spellStart"/>
      <w:r w:rsidRPr="00EB2909">
        <w:rPr>
          <w:rFonts w:eastAsia="Calibri"/>
        </w:rPr>
        <w:t>en</w:t>
      </w:r>
      <w:proofErr w:type="spellEnd"/>
      <w:r w:rsidRPr="00EB2909">
        <w:rPr>
          <w:rFonts w:eastAsia="Calibri"/>
        </w:rPr>
        <w:t>-bloc resection without the resection of the adjacent bowel owing to an isolated or independent blood supply of the cyst.</w:t>
      </w:r>
    </w:p>
    <w:p w:rsidR="00165E33" w:rsidRDefault="00165E33" w:rsidP="00EB2909">
      <w:pPr>
        <w:jc w:val="both"/>
        <w:rPr>
          <w:rFonts w:eastAsia="Calibri"/>
        </w:rPr>
      </w:pPr>
    </w:p>
    <w:p w:rsidR="00165E33" w:rsidRPr="00B51192" w:rsidRDefault="00165E33" w:rsidP="00165E33">
      <w:pPr>
        <w:jc w:val="both"/>
        <w:rPr>
          <w:rFonts w:eastAsia="Calibri"/>
          <w:b/>
        </w:rPr>
      </w:pPr>
      <w:r w:rsidRPr="00B51192">
        <w:rPr>
          <w:rFonts w:eastAsia="Calibri"/>
          <w:b/>
        </w:rPr>
        <w:t>Ethical Approval:</w:t>
      </w:r>
    </w:p>
    <w:p w:rsidR="00165E33" w:rsidRPr="00165E33" w:rsidRDefault="00165E33" w:rsidP="00165E33">
      <w:pPr>
        <w:jc w:val="both"/>
        <w:rPr>
          <w:rFonts w:eastAsia="Calibri"/>
        </w:rPr>
      </w:pPr>
    </w:p>
    <w:p w:rsidR="00165E33" w:rsidRPr="00165E33" w:rsidRDefault="00165E33" w:rsidP="00165E33">
      <w:pPr>
        <w:jc w:val="both"/>
        <w:rPr>
          <w:rFonts w:eastAsia="Calibri"/>
        </w:rPr>
      </w:pPr>
      <w:r w:rsidRPr="00165E33">
        <w:rPr>
          <w:rFonts w:eastAsia="Calibri"/>
        </w:rPr>
        <w:lastRenderedPageBreak/>
        <w:t>As per international standards or university standards written ethical approval has been collected and preserved by the author(s).</w:t>
      </w:r>
    </w:p>
    <w:p w:rsidR="00165E33" w:rsidRPr="00B51192" w:rsidRDefault="00165E33" w:rsidP="00165E33">
      <w:pPr>
        <w:jc w:val="both"/>
        <w:rPr>
          <w:rFonts w:eastAsia="Calibri"/>
          <w:b/>
        </w:rPr>
      </w:pPr>
      <w:r w:rsidRPr="00B51192">
        <w:rPr>
          <w:rFonts w:eastAsia="Calibri"/>
          <w:b/>
        </w:rPr>
        <w:t xml:space="preserve">Consent </w:t>
      </w:r>
    </w:p>
    <w:p w:rsidR="00165E33" w:rsidRPr="00EB2909" w:rsidRDefault="00165E33" w:rsidP="00165E33">
      <w:pPr>
        <w:jc w:val="both"/>
        <w:rPr>
          <w:rFonts w:eastAsia="Calibri"/>
        </w:rPr>
      </w:pPr>
      <w:r w:rsidRPr="00165E33">
        <w:rPr>
          <w:rFonts w:eastAsia="Calibri"/>
        </w:rPr>
        <w:t>As per international standards or university standards, patient(s) written consent has been collected and preserved by the author(s).</w:t>
      </w:r>
    </w:p>
    <w:p w:rsidR="001B6188" w:rsidRDefault="002A6D0C">
      <w:pPr>
        <w:rPr>
          <w:rFonts w:eastAsia="Calibri"/>
          <w:color w:val="000000"/>
        </w:rPr>
      </w:pPr>
      <w:r>
        <w:rPr>
          <w:rFonts w:eastAsia="Calibri"/>
          <w:color w:val="000000"/>
        </w:rPr>
        <w:br w:type="page"/>
      </w:r>
    </w:p>
    <w:p w:rsidR="001B6188" w:rsidRDefault="001B6188">
      <w:pPr>
        <w:rPr>
          <w:rFonts w:eastAsia="Calibri"/>
          <w:color w:val="000000"/>
          <w:sz w:val="36"/>
          <w:szCs w:val="36"/>
          <w:lang w:val="en-US"/>
        </w:rPr>
      </w:pPr>
    </w:p>
    <w:p w:rsidR="001B6188" w:rsidRPr="00975DFF" w:rsidRDefault="002A6D0C">
      <w:pPr>
        <w:rPr>
          <w:rFonts w:eastAsia="Calibri"/>
          <w:b/>
          <w:kern w:val="2"/>
          <w:lang w:val="en-US"/>
        </w:rPr>
      </w:pPr>
      <w:bookmarkStart w:id="17" w:name="_Hlk199755073"/>
      <w:r w:rsidRPr="00975DFF">
        <w:rPr>
          <w:rFonts w:eastAsia="Calibri"/>
          <w:b/>
          <w:kern w:val="2"/>
          <w:lang w:val="en-US"/>
        </w:rPr>
        <w:t>Disclaimer (Artificial intelligence)</w:t>
      </w:r>
    </w:p>
    <w:p w:rsidR="001B6188" w:rsidRDefault="002A6D0C">
      <w:pPr>
        <w:rPr>
          <w:rFonts w:eastAsia="Calibri"/>
          <w:kern w:val="2"/>
          <w:highlight w:val="yellow"/>
          <w:lang w:val="en-US"/>
        </w:rPr>
      </w:pPr>
      <w:r>
        <w:rPr>
          <w:rFonts w:eastAsia="Calibri"/>
          <w:kern w:val="2"/>
          <w:lang w:val="en-US"/>
        </w:rPr>
        <w:t>We hereby declare that NO generative AI technologies such as Large Language Models (</w:t>
      </w:r>
      <w:proofErr w:type="spellStart"/>
      <w:r>
        <w:rPr>
          <w:rFonts w:eastAsia="Calibri"/>
          <w:kern w:val="2"/>
          <w:lang w:val="en-US"/>
        </w:rPr>
        <w:t>ChatGPT</w:t>
      </w:r>
      <w:proofErr w:type="spellEnd"/>
      <w:r>
        <w:rPr>
          <w:rFonts w:eastAsia="Calibri"/>
          <w:kern w:val="2"/>
          <w:lang w:val="en-US"/>
        </w:rPr>
        <w:t xml:space="preserve">, COPILOT, etc.) and text-to-image generators have been used during the writing or editing of this manuscript. </w:t>
      </w:r>
    </w:p>
    <w:bookmarkEnd w:id="17"/>
    <w:p w:rsidR="001B6188" w:rsidRDefault="001B6188">
      <w:pPr>
        <w:rPr>
          <w:rFonts w:eastAsia="Calibri"/>
          <w:color w:val="000000"/>
          <w:sz w:val="36"/>
          <w:szCs w:val="36"/>
          <w:lang w:val="en-US"/>
        </w:rPr>
      </w:pPr>
    </w:p>
    <w:p w:rsidR="001B6188" w:rsidRDefault="001B6188">
      <w:pPr>
        <w:pStyle w:val="ListParagraph"/>
        <w:ind w:left="360"/>
        <w:rPr>
          <w:rFonts w:eastAsia="Calibri"/>
          <w:color w:val="000000"/>
        </w:rPr>
      </w:pPr>
    </w:p>
    <w:tbl>
      <w:tblPr>
        <w:tblStyle w:val="Style56"/>
        <w:tblpPr w:leftFromText="180" w:rightFromText="180" w:vertAnchor="text" w:horzAnchor="page" w:tblpX="1709" w:tblpY="246"/>
        <w:tblOverlap w:val="never"/>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640"/>
      </w:tblGrid>
      <w:tr w:rsidR="001B6188">
        <w:tc>
          <w:tcPr>
            <w:tcW w:w="9640" w:type="dxa"/>
            <w:tcBorders>
              <w:top w:val="nil"/>
              <w:left w:val="nil"/>
              <w:bottom w:val="single" w:sz="8" w:space="0" w:color="2A6EBB"/>
              <w:right w:val="nil"/>
            </w:tcBorders>
            <w:tcMar>
              <w:top w:w="100" w:type="dxa"/>
              <w:left w:w="100" w:type="dxa"/>
              <w:bottom w:w="100" w:type="dxa"/>
              <w:right w:w="100" w:type="dxa"/>
            </w:tcMar>
          </w:tcPr>
          <w:p w:rsidR="001B6188" w:rsidRDefault="002A6D0C">
            <w:pPr>
              <w:pStyle w:val="Heading3"/>
              <w:spacing w:before="0" w:after="0"/>
              <w:rPr>
                <w:rFonts w:eastAsia="Calibri"/>
                <w:b/>
                <w:color w:val="2A6EBB"/>
                <w:sz w:val="22"/>
                <w:szCs w:val="22"/>
              </w:rPr>
            </w:pPr>
            <w:bookmarkStart w:id="18" w:name="_Toc13812"/>
            <w:r>
              <w:rPr>
                <w:rFonts w:eastAsia="Calibri"/>
                <w:b/>
                <w:color w:val="2A6EBB"/>
                <w:sz w:val="22"/>
                <w:szCs w:val="22"/>
              </w:rPr>
              <w:t>REFERENCES</w:t>
            </w:r>
            <w:bookmarkEnd w:id="18"/>
          </w:p>
        </w:tc>
      </w:tr>
      <w:tr w:rsidR="001B6188">
        <w:trPr>
          <w:trHeight w:val="1355"/>
        </w:trPr>
        <w:tc>
          <w:tcPr>
            <w:tcW w:w="9640" w:type="dxa"/>
            <w:tcBorders>
              <w:top w:val="single" w:sz="8" w:space="0" w:color="2A6EBB"/>
              <w:left w:val="single" w:sz="8" w:space="0" w:color="FFFFFF"/>
              <w:bottom w:val="nil"/>
              <w:right w:val="single" w:sz="8" w:space="0" w:color="FFFFFF"/>
            </w:tcBorders>
            <w:tcMar>
              <w:top w:w="100" w:type="dxa"/>
              <w:left w:w="100" w:type="dxa"/>
              <w:bottom w:w="100" w:type="dxa"/>
              <w:right w:w="100" w:type="dxa"/>
            </w:tcMar>
          </w:tcPr>
          <w:p w:rsidR="001B6188" w:rsidRDefault="002A6D0C">
            <w:pPr>
              <w:pStyle w:val="Bibliography1"/>
              <w:tabs>
                <w:tab w:val="clear" w:pos="264"/>
              </w:tabs>
              <w:ind w:left="0" w:firstLine="0"/>
            </w:pPr>
            <w:r>
              <w:t>1.</w:t>
            </w:r>
            <w:r>
              <w:tab/>
              <w:t xml:space="preserve"> Tiwari, C., Shah, H., Waghmare, M., </w:t>
            </w:r>
            <w:proofErr w:type="spellStart"/>
            <w:r>
              <w:t>Makhija</w:t>
            </w:r>
            <w:proofErr w:type="spellEnd"/>
            <w:r>
              <w:t xml:space="preserve">, D., &amp; </w:t>
            </w:r>
            <w:proofErr w:type="spellStart"/>
            <w:r>
              <w:t>Khedkar</w:t>
            </w:r>
            <w:proofErr w:type="spellEnd"/>
            <w:r>
              <w:t xml:space="preserve">, K. (2017). Cysts of Gastrointestinal Origin in Children: Varied Presentation. </w:t>
            </w:r>
            <w:proofErr w:type="spellStart"/>
            <w:r>
              <w:t>Pediatric</w:t>
            </w:r>
            <w:proofErr w:type="spellEnd"/>
            <w:r>
              <w:t xml:space="preserve"> Gastroenterology, Hepatology &amp; Nutrition. https://doi.org/10.5223/pghn.2017.20.2.94</w:t>
            </w:r>
          </w:p>
          <w:p w:rsidR="001B6188" w:rsidRDefault="002A6D0C">
            <w:pPr>
              <w:pStyle w:val="Bibliography1"/>
              <w:tabs>
                <w:tab w:val="clear" w:pos="264"/>
              </w:tabs>
              <w:ind w:left="0" w:firstLine="0"/>
            </w:pPr>
            <w:r>
              <w:t>2.</w:t>
            </w:r>
            <w:r>
              <w:tab/>
              <w:t xml:space="preserve"> Gupta, S., Goel, V., Dahiya, M., </w:t>
            </w:r>
            <w:proofErr w:type="spellStart"/>
            <w:r>
              <w:t>Bishlay</w:t>
            </w:r>
            <w:proofErr w:type="spellEnd"/>
            <w:r>
              <w:t>, A., Singh, S., &amp; Kajal, P. (2024). Isolated Enteric Duplication Cyst: A Rare Congenital Anomaly. International Journal of Health Sciences and Research, 14(2), 137-142. https://doi.org/10.52403/ijhsr.20240217</w:t>
            </w:r>
          </w:p>
          <w:p w:rsidR="001B6188" w:rsidRDefault="002A6D0C">
            <w:pPr>
              <w:pStyle w:val="Bibliography1"/>
              <w:tabs>
                <w:tab w:val="clear" w:pos="264"/>
              </w:tabs>
              <w:ind w:left="0" w:firstLine="0"/>
              <w:rPr>
                <w:lang w:val="en-US"/>
              </w:rPr>
            </w:pPr>
            <w:r>
              <w:rPr>
                <w:lang w:val="nb-NO"/>
              </w:rPr>
              <w:t>3.</w:t>
            </w:r>
            <w:r>
              <w:rPr>
                <w:lang w:val="nb-NO"/>
              </w:rPr>
              <w:tab/>
              <w:t xml:space="preserve"> Park, J. Y., Her, K. H., Kim, B. S., &amp; Maeng, Y. H. (2014). </w:t>
            </w:r>
            <w:r>
              <w:rPr>
                <w:lang w:val="en-US"/>
              </w:rPr>
              <w:t>A completely isolated intestinal duplication cyst mimicking ovarian cyst torsion in an adult. World Journal of Gastroenterology, 20(2), 603–606. https://doi.org/10.3748/wjg.v20.i2.603</w:t>
            </w:r>
          </w:p>
          <w:p w:rsidR="001B6188" w:rsidRDefault="002A6D0C">
            <w:pPr>
              <w:pStyle w:val="Bibliography1"/>
              <w:tabs>
                <w:tab w:val="clear" w:pos="264"/>
              </w:tabs>
              <w:ind w:left="0" w:firstLine="0"/>
            </w:pPr>
            <w:r>
              <w:t>4.</w:t>
            </w:r>
            <w:r>
              <w:tab/>
              <w:t xml:space="preserve"> Anand, S., &amp; Aleem, A. (2024). Duplication Cyst. In </w:t>
            </w:r>
            <w:proofErr w:type="spellStart"/>
            <w:r>
              <w:t>StatPearls</w:t>
            </w:r>
            <w:proofErr w:type="spellEnd"/>
            <w:r>
              <w:t xml:space="preserve">. </w:t>
            </w:r>
            <w:proofErr w:type="spellStart"/>
            <w:r>
              <w:t>StatPearls</w:t>
            </w:r>
            <w:proofErr w:type="spellEnd"/>
            <w:r>
              <w:t xml:space="preserve"> Publishing. https://www.ncbi.nlm.nih.gov/books/NBK564347/</w:t>
            </w:r>
          </w:p>
          <w:p w:rsidR="001B6188" w:rsidRDefault="002A6D0C">
            <w:pPr>
              <w:pStyle w:val="Bibliography1"/>
              <w:tabs>
                <w:tab w:val="clear" w:pos="264"/>
              </w:tabs>
              <w:ind w:left="0" w:firstLine="0"/>
              <w:rPr>
                <w:lang w:val="da-DK"/>
              </w:rPr>
            </w:pPr>
            <w:r>
              <w:rPr>
                <w:lang w:val="nb-NO"/>
              </w:rPr>
              <w:t>5.</w:t>
            </w:r>
            <w:r>
              <w:rPr>
                <w:lang w:val="nb-NO"/>
              </w:rPr>
              <w:tab/>
              <w:t xml:space="preserve"> Liu, R., &amp; Adler, D. G. (2014). </w:t>
            </w:r>
            <w:r>
              <w:t xml:space="preserve">Duplication cysts: Diagnosis, management, and the role of endoscopic ultrasound. </w:t>
            </w:r>
            <w:r>
              <w:rPr>
                <w:lang w:val="pt-BR"/>
              </w:rPr>
              <w:t>Endosc Ultrasound. https://doi.org/10.4103/2303-9027.138783</w:t>
            </w:r>
          </w:p>
          <w:p w:rsidR="001B6188" w:rsidRDefault="002A6D0C">
            <w:pPr>
              <w:pStyle w:val="Bibliography1"/>
              <w:tabs>
                <w:tab w:val="clear" w:pos="264"/>
              </w:tabs>
              <w:ind w:left="0" w:firstLine="0"/>
            </w:pPr>
            <w:r>
              <w:rPr>
                <w:lang w:val="da-DK"/>
              </w:rPr>
              <w:t>6.</w:t>
            </w:r>
            <w:r>
              <w:rPr>
                <w:lang w:val="da-DK"/>
              </w:rPr>
              <w:tab/>
            </w:r>
            <w:r>
              <w:rPr>
                <w:lang w:val="pt-BR"/>
              </w:rPr>
              <w:t xml:space="preserve"> </w:t>
            </w:r>
            <w:r>
              <w:rPr>
                <w:lang w:val="da-DK"/>
              </w:rPr>
              <w:t>Lee, J. U., Kim, J. O., Kim, S. J., &amp; Sul, H. J. (2010). Completely Isolated Enteric Duplication Cyst Presenting as an Inguinal Hernia. Journal of Pathology and Translational Medicine, 44(2), 204–206. https://doi.org/10.4132/KoreanJPathol.2010.44.2.204</w:t>
            </w:r>
          </w:p>
          <w:p w:rsidR="001B6188" w:rsidRDefault="002A6D0C">
            <w:pPr>
              <w:pStyle w:val="Bibliography1"/>
              <w:tabs>
                <w:tab w:val="clear" w:pos="264"/>
              </w:tabs>
              <w:ind w:left="0" w:firstLine="0"/>
            </w:pPr>
            <w:r>
              <w:t>7.</w:t>
            </w:r>
            <w:r>
              <w:tab/>
              <w:t xml:space="preserve"> Bentley, J. F. R., &amp; Smith, J. R. (1960). Developmental Posterior Enteric Remnants and Spinal Malformations: The Split Notochord Syndrome. Archives of Disease in Childhood, 35(179), 76–86. https://doi.org/10.1136/adc.35.179.76</w:t>
            </w:r>
          </w:p>
          <w:p w:rsidR="001B6188" w:rsidRDefault="002A6D0C">
            <w:pPr>
              <w:pStyle w:val="Bibliography1"/>
              <w:tabs>
                <w:tab w:val="clear" w:pos="264"/>
              </w:tabs>
              <w:ind w:left="0" w:firstLine="0"/>
            </w:pPr>
            <w:r>
              <w:t>8.</w:t>
            </w:r>
            <w:r>
              <w:tab/>
              <w:t xml:space="preserve"> </w:t>
            </w:r>
            <w:proofErr w:type="spellStart"/>
            <w:r>
              <w:t>Sangüesa</w:t>
            </w:r>
            <w:proofErr w:type="spellEnd"/>
            <w:r>
              <w:t xml:space="preserve"> </w:t>
            </w:r>
            <w:proofErr w:type="spellStart"/>
            <w:r>
              <w:t>Nebot</w:t>
            </w:r>
            <w:proofErr w:type="spellEnd"/>
            <w:r>
              <w:t xml:space="preserve">, C., </w:t>
            </w:r>
            <w:proofErr w:type="spellStart"/>
            <w:r>
              <w:t>Llorens</w:t>
            </w:r>
            <w:proofErr w:type="spellEnd"/>
            <w:r>
              <w:t xml:space="preserve"> Salvador, R., Carazo Palacios, E., </w:t>
            </w:r>
            <w:proofErr w:type="spellStart"/>
            <w:r>
              <w:t>Picó</w:t>
            </w:r>
            <w:proofErr w:type="spellEnd"/>
            <w:r>
              <w:t xml:space="preserve"> </w:t>
            </w:r>
            <w:proofErr w:type="spellStart"/>
            <w:r>
              <w:t>Aliaga</w:t>
            </w:r>
            <w:proofErr w:type="spellEnd"/>
            <w:r>
              <w:t xml:space="preserve">, S., &amp; </w:t>
            </w:r>
            <w:proofErr w:type="spellStart"/>
            <w:r>
              <w:t>Ibañez</w:t>
            </w:r>
            <w:proofErr w:type="spellEnd"/>
            <w:r>
              <w:t xml:space="preserve"> </w:t>
            </w:r>
            <w:proofErr w:type="spellStart"/>
            <w:r>
              <w:t>Pradas</w:t>
            </w:r>
            <w:proofErr w:type="spellEnd"/>
            <w:r>
              <w:t>, V. (2018). Enteric duplication cysts in children: varied presentations, varied imaging findings. Insights into Imaging, 9(6), 1097–1106. https://doi.org/10.1007/s13244-018-0660-z</w:t>
            </w:r>
          </w:p>
          <w:p w:rsidR="001B6188" w:rsidRDefault="002A6D0C">
            <w:pPr>
              <w:pStyle w:val="Bibliography1"/>
              <w:tabs>
                <w:tab w:val="clear" w:pos="264"/>
              </w:tabs>
              <w:ind w:left="0" w:firstLine="0"/>
            </w:pPr>
            <w:r>
              <w:t>9.</w:t>
            </w:r>
            <w:r>
              <w:tab/>
              <w:t xml:space="preserve">Bremer J. Diverticula and duplications of the intestinal tract. Arch </w:t>
            </w:r>
            <w:proofErr w:type="spellStart"/>
            <w:r>
              <w:t>Pathol</w:t>
            </w:r>
            <w:proofErr w:type="spellEnd"/>
            <w:r>
              <w:t xml:space="preserve">. 1952;38(1):132–40. </w:t>
            </w:r>
          </w:p>
          <w:p w:rsidR="001B6188" w:rsidRDefault="002A6D0C">
            <w:pPr>
              <w:pStyle w:val="Bibliography1"/>
              <w:tabs>
                <w:tab w:val="clear" w:pos="264"/>
              </w:tabs>
              <w:ind w:left="0" w:firstLine="0"/>
            </w:pPr>
            <w:r>
              <w:rPr>
                <w:lang w:val="en-US"/>
              </w:rPr>
              <w:t>10.</w:t>
            </w:r>
            <w:r>
              <w:rPr>
                <w:lang w:val="en-US"/>
              </w:rPr>
              <w:tab/>
            </w:r>
            <w:r>
              <w:t xml:space="preserve"> </w:t>
            </w:r>
            <w:r>
              <w:rPr>
                <w:lang w:val="en-US"/>
              </w:rPr>
              <w:t xml:space="preserve">Pant, N., Grover, J. K., Madan, N. K., Chadha, R., Agarwal, K., &amp; Choudhury, S. R. (2012). Completely isolated enteric duplication cyst associated with a classic </w:t>
            </w:r>
            <w:proofErr w:type="spellStart"/>
            <w:r>
              <w:rPr>
                <w:lang w:val="en-US"/>
              </w:rPr>
              <w:t>enterogenous</w:t>
            </w:r>
            <w:proofErr w:type="spellEnd"/>
            <w:r>
              <w:rPr>
                <w:lang w:val="en-US"/>
              </w:rPr>
              <w:t xml:space="preserve"> duplication cyst. J Indian Assoc </w:t>
            </w:r>
            <w:proofErr w:type="spellStart"/>
            <w:r>
              <w:rPr>
                <w:lang w:val="en-US"/>
              </w:rPr>
              <w:t>Pediatr</w:t>
            </w:r>
            <w:proofErr w:type="spellEnd"/>
            <w:r>
              <w:rPr>
                <w:lang w:val="en-US"/>
              </w:rPr>
              <w:t xml:space="preserve"> Surg, 17(2), 68–70. https://doi.org/10.4103/0971-9261.93966 </w:t>
            </w:r>
            <w:r>
              <w:t xml:space="preserve"> </w:t>
            </w:r>
          </w:p>
          <w:p w:rsidR="001B6188" w:rsidRDefault="002A6D0C">
            <w:pPr>
              <w:pStyle w:val="Bibliography1"/>
              <w:tabs>
                <w:tab w:val="clear" w:pos="264"/>
              </w:tabs>
              <w:ind w:left="0" w:firstLine="0"/>
            </w:pPr>
            <w:r>
              <w:t>1</w:t>
            </w:r>
            <w:r>
              <w:rPr>
                <w:lang w:val="en-US"/>
              </w:rPr>
              <w:t>1</w:t>
            </w:r>
            <w:r>
              <w:t>.</w:t>
            </w:r>
            <w:r>
              <w:tab/>
              <w:t xml:space="preserve"> Ravitch, M. M. (1953). Hind gut duplication—Doubling of colon and of the genital and lower urinary tracts. Annals of Surgery, 137(5), 588–601. https://doi.org/10.1097/00000658-</w:t>
            </w:r>
            <w:r>
              <w:lastRenderedPageBreak/>
              <w:t>195305000-00002</w:t>
            </w:r>
          </w:p>
          <w:p w:rsidR="001B6188" w:rsidRDefault="002A6D0C">
            <w:pPr>
              <w:pStyle w:val="Bibliography1"/>
              <w:tabs>
                <w:tab w:val="clear" w:pos="264"/>
              </w:tabs>
              <w:ind w:left="0" w:firstLine="0"/>
            </w:pPr>
            <w:r>
              <w:t>1</w:t>
            </w:r>
            <w:r>
              <w:rPr>
                <w:lang w:val="en-US"/>
              </w:rPr>
              <w:t>2</w:t>
            </w:r>
            <w:r>
              <w:t>.</w:t>
            </w:r>
            <w:r>
              <w:tab/>
              <w:t xml:space="preserve"> Steiner, Z., &amp; Mogilner, J. (1999). A rare case of completely isolated duplication cyst of the alimentary tract. Journal of </w:t>
            </w:r>
            <w:proofErr w:type="spellStart"/>
            <w:r>
              <w:t>Pediatric</w:t>
            </w:r>
            <w:proofErr w:type="spellEnd"/>
            <w:r>
              <w:t xml:space="preserve"> Surgery, 34(8), 1284–1286. https://doi.org/10.1016/s0022-3468(99)90171-9</w:t>
            </w:r>
          </w:p>
          <w:p w:rsidR="001B6188" w:rsidRDefault="002A6D0C">
            <w:pPr>
              <w:pStyle w:val="Bibliography1"/>
              <w:tabs>
                <w:tab w:val="clear" w:pos="264"/>
              </w:tabs>
              <w:ind w:left="0" w:firstLine="0"/>
            </w:pPr>
            <w:r>
              <w:t>1</w:t>
            </w:r>
            <w:r>
              <w:rPr>
                <w:lang w:val="en-US"/>
              </w:rPr>
              <w:t>3</w:t>
            </w:r>
            <w:r>
              <w:t>.</w:t>
            </w:r>
            <w:r>
              <w:tab/>
              <w:t xml:space="preserve"> Blank, G., </w:t>
            </w:r>
            <w:proofErr w:type="spellStart"/>
            <w:r>
              <w:t>Königsrainer</w:t>
            </w:r>
            <w:proofErr w:type="spellEnd"/>
            <w:r>
              <w:t xml:space="preserve">, A., Sipos, B., &amp; </w:t>
            </w:r>
            <w:proofErr w:type="spellStart"/>
            <w:r>
              <w:t>Ladurner</w:t>
            </w:r>
            <w:proofErr w:type="spellEnd"/>
            <w:r>
              <w:t>, R. (2012). Adenocarcinoma arising in a cystic duplication of the small bowel: case report and review of literature. World Journal of Surgical Oncology, 10(1), 55. https://doi.org/10.1186/1477-7819-10-55</w:t>
            </w:r>
          </w:p>
          <w:p w:rsidR="001B6188" w:rsidRDefault="002A6D0C">
            <w:pPr>
              <w:pStyle w:val="Bibliography1"/>
              <w:tabs>
                <w:tab w:val="clear" w:pos="264"/>
              </w:tabs>
              <w:ind w:left="0" w:firstLine="0"/>
            </w:pPr>
            <w:r>
              <w:t>1</w:t>
            </w:r>
            <w:r>
              <w:rPr>
                <w:lang w:val="en-US"/>
              </w:rPr>
              <w:t>4</w:t>
            </w:r>
            <w:r>
              <w:t>.</w:t>
            </w:r>
            <w:r>
              <w:tab/>
              <w:t xml:space="preserve"> Kim, S. K., Lim, H. K., Lee, S. J., &amp; Park, C. K. (2003). Completely isolated enteric duplication cyst: case report. Abdominal Imaging, 28(1), 12–14. https://doi.org/10.1007/s00261-001-0138-0</w:t>
            </w:r>
          </w:p>
          <w:p w:rsidR="001B6188" w:rsidRDefault="002A6D0C">
            <w:pPr>
              <w:pStyle w:val="Bibliography1"/>
              <w:tabs>
                <w:tab w:val="clear" w:pos="264"/>
              </w:tabs>
              <w:ind w:left="0" w:firstLine="0"/>
              <w:rPr>
                <w:lang w:val="pt-BR"/>
              </w:rPr>
            </w:pPr>
            <w:r>
              <w:t>1</w:t>
            </w:r>
            <w:r>
              <w:rPr>
                <w:lang w:val="en-US"/>
              </w:rPr>
              <w:t>5</w:t>
            </w:r>
            <w:r>
              <w:t>.</w:t>
            </w:r>
            <w:r>
              <w:tab/>
              <w:t xml:space="preserve"> Nichols, K. C., </w:t>
            </w:r>
            <w:proofErr w:type="spellStart"/>
            <w:r>
              <w:t>Pollema</w:t>
            </w:r>
            <w:proofErr w:type="spellEnd"/>
            <w:r>
              <w:t xml:space="preserve">, T., &amp; Moncure, M. (2011). Laparoscopically excised completely isolated enteric duplication cyst in adult female: a case report. </w:t>
            </w:r>
            <w:r>
              <w:rPr>
                <w:lang w:val="pt-BR"/>
              </w:rPr>
              <w:t>Surg Laparosc Endosc Percutan Tech, 21(4), e173-e175. https://doi.org/10.1097/SLE.0b013e318216f301</w:t>
            </w:r>
          </w:p>
          <w:p w:rsidR="001B6188" w:rsidRDefault="002A6D0C">
            <w:pPr>
              <w:pStyle w:val="Bibliography1"/>
              <w:tabs>
                <w:tab w:val="clear" w:pos="264"/>
              </w:tabs>
              <w:ind w:left="0" w:firstLine="0"/>
            </w:pPr>
            <w:r>
              <w:t>1</w:t>
            </w:r>
            <w:r>
              <w:rPr>
                <w:lang w:val="en-US"/>
              </w:rPr>
              <w:t>6</w:t>
            </w:r>
            <w:r>
              <w:t>.</w:t>
            </w:r>
            <w:r>
              <w:tab/>
              <w:t xml:space="preserve"> </w:t>
            </w:r>
            <w:proofErr w:type="spellStart"/>
            <w:r>
              <w:t>Neofytou</w:t>
            </w:r>
            <w:proofErr w:type="spellEnd"/>
            <w:r>
              <w:t xml:space="preserve">, K., </w:t>
            </w:r>
            <w:proofErr w:type="spellStart"/>
            <w:r>
              <w:t>Chysochos</w:t>
            </w:r>
            <w:proofErr w:type="spellEnd"/>
            <w:r>
              <w:t xml:space="preserve">, A., </w:t>
            </w:r>
            <w:proofErr w:type="spellStart"/>
            <w:r>
              <w:t>Sammouti</w:t>
            </w:r>
            <w:proofErr w:type="spellEnd"/>
            <w:r>
              <w:t xml:space="preserve">, E., </w:t>
            </w:r>
            <w:proofErr w:type="spellStart"/>
            <w:r>
              <w:t>Andreou</w:t>
            </w:r>
            <w:proofErr w:type="spellEnd"/>
            <w:r>
              <w:t>, C., &amp; Georgiou, C. (2013). Infected completely isolated enteric duplication cyst management with percutaneous drainage and surgical excision after retreat of infection: a case report. Case Reports in Surgery. https://doi.org/10.1155/2013/108126</w:t>
            </w:r>
          </w:p>
          <w:p w:rsidR="001B6188" w:rsidRDefault="002A6D0C">
            <w:pPr>
              <w:pStyle w:val="Bibliography1"/>
              <w:tabs>
                <w:tab w:val="clear" w:pos="264"/>
              </w:tabs>
              <w:ind w:left="0" w:firstLine="0"/>
            </w:pPr>
            <w:r>
              <w:t>1</w:t>
            </w:r>
            <w:r>
              <w:rPr>
                <w:lang w:val="en-US"/>
              </w:rPr>
              <w:t>7</w:t>
            </w:r>
            <w:r>
              <w:t>.</w:t>
            </w:r>
            <w:r>
              <w:tab/>
              <w:t xml:space="preserve"> Srinivas, P., Reddy, K. V. R., Reddy, G. R., Kumar, L. V., &amp; </w:t>
            </w:r>
            <w:proofErr w:type="spellStart"/>
            <w:r>
              <w:t>Geethika</w:t>
            </w:r>
            <w:proofErr w:type="spellEnd"/>
            <w:r>
              <w:t xml:space="preserve">, M. (2020). A case report of enteric duplication cyst in adult. </w:t>
            </w:r>
            <w:proofErr w:type="spellStart"/>
            <w:r>
              <w:t>MedPulse</w:t>
            </w:r>
            <w:proofErr w:type="spellEnd"/>
            <w:r>
              <w:t xml:space="preserve"> – International Journal of Radiology, 13(2), 90–92. https://doi.org/10.26611/101313215</w:t>
            </w:r>
          </w:p>
          <w:p w:rsidR="001B6188" w:rsidRDefault="002A6D0C">
            <w:pPr>
              <w:pStyle w:val="Bibliography1"/>
              <w:tabs>
                <w:tab w:val="clear" w:pos="264"/>
              </w:tabs>
              <w:ind w:left="0" w:firstLine="0"/>
            </w:pPr>
            <w:r>
              <w:rPr>
                <w:lang w:val="nb-NO"/>
              </w:rPr>
              <w:t>1</w:t>
            </w:r>
            <w:r>
              <w:rPr>
                <w:lang w:val="en-US"/>
              </w:rPr>
              <w:t>8</w:t>
            </w:r>
            <w:r>
              <w:rPr>
                <w:lang w:val="nb-NO"/>
              </w:rPr>
              <w:t>.</w:t>
            </w:r>
            <w:r>
              <w:rPr>
                <w:lang w:val="nb-NO"/>
              </w:rPr>
              <w:tab/>
              <w:t xml:space="preserve"> Pham, N. V., Mai, D. V., Duong, P. D. T., Lam, H. H., Ly, H. H. V., &amp; Nguyen, L. V. (2024). </w:t>
            </w:r>
            <w:r>
              <w:t>Duplication cyst in adult cases: a journey from diagnosis to treatment. Journal of Surgical Case Reports, 2024(7), rjae460. https://doi.org/10.1093/jscr/rjae460</w:t>
            </w:r>
          </w:p>
          <w:p w:rsidR="001B6188" w:rsidRDefault="002A6D0C">
            <w:pPr>
              <w:pStyle w:val="Bibliography1"/>
              <w:tabs>
                <w:tab w:val="clear" w:pos="264"/>
              </w:tabs>
              <w:ind w:left="0" w:firstLine="0"/>
              <w:rPr>
                <w:lang w:val="en-US"/>
              </w:rPr>
            </w:pPr>
            <w:r>
              <w:rPr>
                <w:lang w:val="en-US"/>
              </w:rPr>
              <w:t>19</w:t>
            </w:r>
            <w:r>
              <w:rPr>
                <w:lang w:val="pt-BR"/>
              </w:rPr>
              <w:t>.</w:t>
            </w:r>
            <w:r>
              <w:rPr>
                <w:lang w:val="pt-BR"/>
              </w:rPr>
              <w:tab/>
              <w:t xml:space="preserve"> Nakashima, S., Yamada, T., Sato, G., Sakai, T., Chinen, Y., &amp; Itakura, H. (2019). </w:t>
            </w:r>
            <w:r>
              <w:t>A case of completely isolated advanced enteric duplication cyst cancer performed partial pancreatectomy. *International Journal of Surgery Case Reports*, *54*, 83–86. https://doi.org/10.1016/j.ijscr.2018.11.060</w:t>
            </w:r>
          </w:p>
          <w:p w:rsidR="001B6188" w:rsidRDefault="002A6D0C">
            <w:r>
              <w:rPr>
                <w:color w:val="222222"/>
                <w:sz w:val="20"/>
                <w:szCs w:val="20"/>
                <w:shd w:val="clear" w:color="auto" w:fill="FFFFFF"/>
                <w:lang w:val="pt-BR"/>
              </w:rPr>
              <w:t>2</w:t>
            </w:r>
            <w:r>
              <w:rPr>
                <w:color w:val="222222"/>
                <w:sz w:val="20"/>
                <w:szCs w:val="20"/>
                <w:shd w:val="clear" w:color="auto" w:fill="FFFFFF"/>
                <w:lang w:val="en-US"/>
              </w:rPr>
              <w:t>0</w:t>
            </w:r>
            <w:r>
              <w:rPr>
                <w:color w:val="222222"/>
                <w:sz w:val="20"/>
                <w:szCs w:val="20"/>
                <w:shd w:val="clear" w:color="auto" w:fill="FFFFFF"/>
                <w:lang w:val="pt-BR"/>
              </w:rPr>
              <w:t xml:space="preserve">. </w:t>
            </w:r>
            <w:r>
              <w:rPr>
                <w:lang w:val="pt-BR"/>
              </w:rPr>
              <w:t xml:space="preserve"> </w:t>
            </w:r>
            <w:r>
              <w:rPr>
                <w:color w:val="222222"/>
                <w:sz w:val="20"/>
                <w:szCs w:val="20"/>
                <w:shd w:val="clear" w:color="auto" w:fill="FFFFFF"/>
                <w:lang w:val="pt-BR"/>
              </w:rPr>
              <w:t xml:space="preserve">Adama, S., Balaraba, M. L. A. A., Aliou, Z. O., Daouda, B. I., Kadi, I., Hama, Y., Lassey, J. D., &amp; Rachid, S. (2024). </w:t>
            </w:r>
            <w:r>
              <w:rPr>
                <w:color w:val="222222"/>
                <w:sz w:val="20"/>
                <w:szCs w:val="20"/>
                <w:shd w:val="clear" w:color="auto" w:fill="FFFFFF"/>
                <w:lang w:val="en-US"/>
              </w:rPr>
              <w:t>Diagnostic and therapeutic approach to abdominal masses in a country with limited resources. BMC surgery, 24(1), 97. https://doi.org/10.1186/s12893-024-02371-w</w:t>
            </w:r>
          </w:p>
          <w:p w:rsidR="001B6188" w:rsidRDefault="001B6188">
            <w:pPr>
              <w:rPr>
                <w:rFonts w:eastAsia="Calibri"/>
              </w:rPr>
            </w:pPr>
          </w:p>
          <w:p w:rsidR="001B6188" w:rsidRDefault="002A6D0C">
            <w:pPr>
              <w:numPr>
                <w:ilvl w:val="0"/>
                <w:numId w:val="2"/>
              </w:numPr>
              <w:rPr>
                <w:rFonts w:ascii="Cambria" w:hAnsi="Cambria"/>
                <w:color w:val="1B1B1B"/>
                <w:sz w:val="26"/>
                <w:szCs w:val="26"/>
                <w:shd w:val="clear" w:color="auto" w:fill="FFFFFF"/>
                <w:lang w:val="nb-NO"/>
              </w:rPr>
            </w:pPr>
            <w:r>
              <w:t xml:space="preserve"> </w:t>
            </w:r>
            <w:r>
              <w:rPr>
                <w:rFonts w:ascii="Cambria" w:hAnsi="Cambria"/>
                <w:color w:val="1B1B1B"/>
                <w:sz w:val="26"/>
                <w:szCs w:val="26"/>
                <w:shd w:val="clear" w:color="auto" w:fill="FFFFFF"/>
                <w:lang w:val="en-US"/>
              </w:rPr>
              <w:t xml:space="preserve">Hanafi, I., Ivan, I., </w:t>
            </w:r>
            <w:proofErr w:type="spellStart"/>
            <w:r>
              <w:rPr>
                <w:rFonts w:ascii="Cambria" w:hAnsi="Cambria"/>
                <w:color w:val="1B1B1B"/>
                <w:sz w:val="26"/>
                <w:szCs w:val="26"/>
                <w:shd w:val="clear" w:color="auto" w:fill="FFFFFF"/>
                <w:lang w:val="en-US"/>
              </w:rPr>
              <w:t>Palot</w:t>
            </w:r>
            <w:proofErr w:type="spellEnd"/>
            <w:r>
              <w:rPr>
                <w:rFonts w:ascii="Cambria" w:hAnsi="Cambria"/>
                <w:color w:val="1B1B1B"/>
                <w:sz w:val="26"/>
                <w:szCs w:val="26"/>
                <w:shd w:val="clear" w:color="auto" w:fill="FFFFFF"/>
                <w:lang w:val="en-US"/>
              </w:rPr>
              <w:t xml:space="preserve">, J.-P., </w:t>
            </w:r>
            <w:proofErr w:type="spellStart"/>
            <w:r>
              <w:rPr>
                <w:rFonts w:ascii="Cambria" w:hAnsi="Cambria"/>
                <w:color w:val="1B1B1B"/>
                <w:sz w:val="26"/>
                <w:szCs w:val="26"/>
                <w:shd w:val="clear" w:color="auto" w:fill="FFFFFF"/>
                <w:lang w:val="en-US"/>
              </w:rPr>
              <w:t>Dejugnat</w:t>
            </w:r>
            <w:proofErr w:type="spellEnd"/>
            <w:r>
              <w:rPr>
                <w:rFonts w:ascii="Cambria" w:hAnsi="Cambria"/>
                <w:color w:val="1B1B1B"/>
                <w:sz w:val="26"/>
                <w:szCs w:val="26"/>
                <w:shd w:val="clear" w:color="auto" w:fill="FFFFFF"/>
                <w:lang w:val="en-US"/>
              </w:rPr>
              <w:t xml:space="preserve">, L., et al. (2004). Masses </w:t>
            </w:r>
            <w:proofErr w:type="spellStart"/>
            <w:r>
              <w:rPr>
                <w:rFonts w:ascii="Cambria" w:hAnsi="Cambria"/>
                <w:color w:val="1B1B1B"/>
                <w:sz w:val="26"/>
                <w:szCs w:val="26"/>
                <w:shd w:val="clear" w:color="auto" w:fill="FFFFFF"/>
                <w:lang w:val="en-US"/>
              </w:rPr>
              <w:t>abdominales</w:t>
            </w:r>
            <w:proofErr w:type="spellEnd"/>
            <w:r>
              <w:rPr>
                <w:rFonts w:ascii="Cambria" w:hAnsi="Cambria"/>
                <w:color w:val="1B1B1B"/>
                <w:sz w:val="26"/>
                <w:szCs w:val="26"/>
                <w:shd w:val="clear" w:color="auto" w:fill="FFFFFF"/>
                <w:lang w:val="en-US"/>
              </w:rPr>
              <w:t xml:space="preserve"> de </w:t>
            </w:r>
            <w:proofErr w:type="spellStart"/>
            <w:proofErr w:type="gramStart"/>
            <w:r>
              <w:rPr>
                <w:rFonts w:ascii="Cambria" w:hAnsi="Cambria"/>
                <w:color w:val="1B1B1B"/>
                <w:sz w:val="26"/>
                <w:szCs w:val="26"/>
                <w:shd w:val="clear" w:color="auto" w:fill="FFFFFF"/>
                <w:lang w:val="en-US"/>
              </w:rPr>
              <w:t>l'adulte</w:t>
            </w:r>
            <w:proofErr w:type="spellEnd"/>
            <w:r>
              <w:rPr>
                <w:rFonts w:ascii="Cambria" w:hAnsi="Cambria"/>
                <w:color w:val="1B1B1B"/>
                <w:sz w:val="26"/>
                <w:szCs w:val="26"/>
                <w:shd w:val="clear" w:color="auto" w:fill="FFFFFF"/>
                <w:lang w:val="en-US"/>
              </w:rPr>
              <w:t xml:space="preserve"> :</w:t>
            </w:r>
            <w:proofErr w:type="gramEnd"/>
            <w:r>
              <w:rPr>
                <w:rFonts w:ascii="Cambria" w:hAnsi="Cambria"/>
                <w:color w:val="1B1B1B"/>
                <w:sz w:val="26"/>
                <w:szCs w:val="26"/>
                <w:shd w:val="clear" w:color="auto" w:fill="FFFFFF"/>
                <w:lang w:val="en-US"/>
              </w:rPr>
              <w:t xml:space="preserve"> comment arriver au diagnostic. </w:t>
            </w:r>
            <w:r>
              <w:rPr>
                <w:rFonts w:ascii="Cambria" w:hAnsi="Cambria"/>
                <w:color w:val="1B1B1B"/>
                <w:sz w:val="26"/>
                <w:szCs w:val="26"/>
                <w:shd w:val="clear" w:color="auto" w:fill="FFFFFF"/>
                <w:lang w:val="nb-NO"/>
              </w:rPr>
              <w:t xml:space="preserve">Journal de Radiologie, 85(9), P1505. </w:t>
            </w:r>
            <w:r>
              <w:rPr>
                <w:rFonts w:ascii="Cambria" w:hAnsi="Cambria"/>
                <w:color w:val="1B1B1B"/>
                <w:sz w:val="26"/>
                <w:szCs w:val="26"/>
                <w:shd w:val="clear" w:color="auto" w:fill="FFFFFF"/>
                <w:lang w:val="nb-NO"/>
              </w:rPr>
              <w:fldChar w:fldCharType="begin"/>
            </w:r>
            <w:r>
              <w:rPr>
                <w:rFonts w:ascii="Cambria" w:hAnsi="Cambria"/>
                <w:color w:val="1B1B1B"/>
                <w:sz w:val="26"/>
                <w:szCs w:val="26"/>
                <w:shd w:val="clear" w:color="auto" w:fill="FFFFFF"/>
                <w:lang w:val="nb-NO"/>
              </w:rPr>
              <w:instrText xml:space="preserve"> HYPERLINK "https://doi.org/10.1016/S0221-0363(04)77664-7" </w:instrText>
            </w:r>
            <w:r>
              <w:rPr>
                <w:rFonts w:ascii="Cambria" w:hAnsi="Cambria"/>
                <w:color w:val="1B1B1B"/>
                <w:sz w:val="26"/>
                <w:szCs w:val="26"/>
                <w:shd w:val="clear" w:color="auto" w:fill="FFFFFF"/>
                <w:lang w:val="nb-NO"/>
              </w:rPr>
              <w:fldChar w:fldCharType="separate"/>
            </w:r>
            <w:r>
              <w:rPr>
                <w:rStyle w:val="Hyperlink"/>
                <w:rFonts w:ascii="Cambria" w:hAnsi="Cambria"/>
                <w:sz w:val="26"/>
                <w:szCs w:val="26"/>
                <w:shd w:val="clear" w:color="auto" w:fill="FFFFFF"/>
                <w:lang w:val="nb-NO"/>
              </w:rPr>
              <w:t>https://doi.org/10.1016/S0221-0363(04)77664-7</w:t>
            </w:r>
            <w:r>
              <w:rPr>
                <w:rFonts w:ascii="Cambria" w:hAnsi="Cambria"/>
                <w:color w:val="1B1B1B"/>
                <w:sz w:val="26"/>
                <w:szCs w:val="26"/>
                <w:shd w:val="clear" w:color="auto" w:fill="FFFFFF"/>
                <w:lang w:val="nb-NO"/>
              </w:rPr>
              <w:fldChar w:fldCharType="end"/>
            </w:r>
          </w:p>
          <w:p w:rsidR="001B6188" w:rsidRDefault="001B6188">
            <w:pPr>
              <w:rPr>
                <w:rFonts w:ascii="Cambria" w:hAnsi="Cambria"/>
                <w:color w:val="1B1B1B"/>
                <w:sz w:val="26"/>
                <w:szCs w:val="26"/>
                <w:shd w:val="clear" w:color="auto" w:fill="FFFFFF"/>
                <w:lang w:val="nb-NO"/>
              </w:rPr>
            </w:pPr>
          </w:p>
          <w:p w:rsidR="001B6188" w:rsidRDefault="002A6D0C">
            <w:pPr>
              <w:numPr>
                <w:ilvl w:val="0"/>
                <w:numId w:val="2"/>
              </w:numPr>
              <w:rPr>
                <w:sz w:val="20"/>
                <w:szCs w:val="20"/>
              </w:rPr>
            </w:pPr>
            <w:proofErr w:type="spellStart"/>
            <w:r>
              <w:rPr>
                <w:sz w:val="20"/>
                <w:szCs w:val="20"/>
              </w:rPr>
              <w:t>Erginel</w:t>
            </w:r>
            <w:proofErr w:type="spellEnd"/>
            <w:r>
              <w:rPr>
                <w:sz w:val="20"/>
                <w:szCs w:val="20"/>
              </w:rPr>
              <w:t xml:space="preserve">, B., </w:t>
            </w:r>
            <w:proofErr w:type="spellStart"/>
            <w:r>
              <w:rPr>
                <w:sz w:val="20"/>
                <w:szCs w:val="20"/>
              </w:rPr>
              <w:t>Soysal</w:t>
            </w:r>
            <w:proofErr w:type="spellEnd"/>
            <w:r>
              <w:rPr>
                <w:sz w:val="20"/>
                <w:szCs w:val="20"/>
              </w:rPr>
              <w:t xml:space="preserve">, F. G., </w:t>
            </w:r>
            <w:proofErr w:type="spellStart"/>
            <w:r>
              <w:rPr>
                <w:sz w:val="20"/>
                <w:szCs w:val="20"/>
              </w:rPr>
              <w:t>Ozbey</w:t>
            </w:r>
            <w:proofErr w:type="spellEnd"/>
            <w:r>
              <w:rPr>
                <w:sz w:val="20"/>
                <w:szCs w:val="20"/>
              </w:rPr>
              <w:t xml:space="preserve">, H., </w:t>
            </w:r>
            <w:proofErr w:type="spellStart"/>
            <w:r>
              <w:rPr>
                <w:sz w:val="20"/>
                <w:szCs w:val="20"/>
              </w:rPr>
              <w:t>Keskin</w:t>
            </w:r>
            <w:proofErr w:type="spellEnd"/>
            <w:r>
              <w:rPr>
                <w:sz w:val="20"/>
                <w:szCs w:val="20"/>
              </w:rPr>
              <w:t xml:space="preserve">, E., </w:t>
            </w:r>
            <w:proofErr w:type="spellStart"/>
            <w:r>
              <w:rPr>
                <w:sz w:val="20"/>
                <w:szCs w:val="20"/>
              </w:rPr>
              <w:t>Celik</w:t>
            </w:r>
            <w:proofErr w:type="spellEnd"/>
            <w:r>
              <w:rPr>
                <w:sz w:val="20"/>
                <w:szCs w:val="20"/>
              </w:rPr>
              <w:t xml:space="preserve">, A., </w:t>
            </w:r>
            <w:proofErr w:type="spellStart"/>
            <w:r>
              <w:rPr>
                <w:sz w:val="20"/>
                <w:szCs w:val="20"/>
              </w:rPr>
              <w:t>Karadag</w:t>
            </w:r>
            <w:proofErr w:type="spellEnd"/>
            <w:r>
              <w:rPr>
                <w:sz w:val="20"/>
                <w:szCs w:val="20"/>
              </w:rPr>
              <w:t xml:space="preserve">, A., &amp; Salman, T. (2017). Enteric Duplication Cysts in Children: A Single‐Institution Series with Forty Patients in Twenty‐Six Years. World journal of surgery, 41(2), 620-624. </w:t>
            </w:r>
          </w:p>
          <w:p w:rsidR="00807BD3" w:rsidRDefault="00807BD3" w:rsidP="00807BD3">
            <w:pPr>
              <w:pStyle w:val="ListParagraph"/>
              <w:rPr>
                <w:sz w:val="20"/>
                <w:szCs w:val="20"/>
              </w:rPr>
            </w:pPr>
          </w:p>
          <w:p w:rsidR="00807BD3" w:rsidRDefault="00807BD3">
            <w:pPr>
              <w:numPr>
                <w:ilvl w:val="0"/>
                <w:numId w:val="2"/>
              </w:numPr>
              <w:rPr>
                <w:sz w:val="20"/>
                <w:szCs w:val="20"/>
              </w:rPr>
            </w:pPr>
            <w:r w:rsidRPr="00807BD3">
              <w:rPr>
                <w:sz w:val="20"/>
                <w:szCs w:val="20"/>
              </w:rPr>
              <w:t xml:space="preserve">Ludwig, K., De </w:t>
            </w:r>
            <w:proofErr w:type="spellStart"/>
            <w:r w:rsidRPr="00807BD3">
              <w:rPr>
                <w:sz w:val="20"/>
                <w:szCs w:val="20"/>
              </w:rPr>
              <w:t>Bartolo</w:t>
            </w:r>
            <w:proofErr w:type="spellEnd"/>
            <w:r w:rsidRPr="00807BD3">
              <w:rPr>
                <w:sz w:val="20"/>
                <w:szCs w:val="20"/>
              </w:rPr>
              <w:t xml:space="preserve">, D., Salerno, A., </w:t>
            </w:r>
            <w:proofErr w:type="spellStart"/>
            <w:r w:rsidRPr="00807BD3">
              <w:rPr>
                <w:sz w:val="20"/>
                <w:szCs w:val="20"/>
              </w:rPr>
              <w:t>Ingravallo</w:t>
            </w:r>
            <w:proofErr w:type="spellEnd"/>
            <w:r w:rsidRPr="00807BD3">
              <w:rPr>
                <w:sz w:val="20"/>
                <w:szCs w:val="20"/>
              </w:rPr>
              <w:t xml:space="preserve">, G., </w:t>
            </w:r>
            <w:proofErr w:type="spellStart"/>
            <w:r w:rsidRPr="00807BD3">
              <w:rPr>
                <w:sz w:val="20"/>
                <w:szCs w:val="20"/>
              </w:rPr>
              <w:t>Cazzato</w:t>
            </w:r>
            <w:proofErr w:type="spellEnd"/>
            <w:r w:rsidRPr="00807BD3">
              <w:rPr>
                <w:sz w:val="20"/>
                <w:szCs w:val="20"/>
              </w:rPr>
              <w:t xml:space="preserve">, G., Giacometti, C., &amp; </w:t>
            </w:r>
            <w:proofErr w:type="spellStart"/>
            <w:r w:rsidRPr="00807BD3">
              <w:rPr>
                <w:sz w:val="20"/>
                <w:szCs w:val="20"/>
              </w:rPr>
              <w:t>Dall’Igna</w:t>
            </w:r>
            <w:proofErr w:type="spellEnd"/>
            <w:r w:rsidRPr="00807BD3">
              <w:rPr>
                <w:sz w:val="20"/>
                <w:szCs w:val="20"/>
              </w:rPr>
              <w:t xml:space="preserve">, P. (2022). Congenital anomalies of the tubular gastrointestinal tract. </w:t>
            </w:r>
            <w:proofErr w:type="spellStart"/>
            <w:r w:rsidRPr="00807BD3">
              <w:rPr>
                <w:sz w:val="20"/>
                <w:szCs w:val="20"/>
              </w:rPr>
              <w:t>Pathologica</w:t>
            </w:r>
            <w:proofErr w:type="spellEnd"/>
            <w:r w:rsidRPr="00807BD3">
              <w:rPr>
                <w:sz w:val="20"/>
                <w:szCs w:val="20"/>
              </w:rPr>
              <w:t>, 114(1), 40.</w:t>
            </w:r>
            <w:r w:rsidR="00A564C5">
              <w:rPr>
                <w:sz w:val="20"/>
                <w:szCs w:val="20"/>
              </w:rPr>
              <w:t xml:space="preserve"> </w:t>
            </w:r>
            <w:r w:rsidR="00A564C5">
              <w:t xml:space="preserve"> </w:t>
            </w:r>
            <w:proofErr w:type="spellStart"/>
            <w:r w:rsidR="00A564C5" w:rsidRPr="00A564C5">
              <w:rPr>
                <w:sz w:val="20"/>
                <w:szCs w:val="20"/>
              </w:rPr>
              <w:t>doi</w:t>
            </w:r>
            <w:proofErr w:type="spellEnd"/>
            <w:r w:rsidR="00A564C5" w:rsidRPr="00A564C5">
              <w:rPr>
                <w:sz w:val="20"/>
                <w:szCs w:val="20"/>
              </w:rPr>
              <w:t>: 10.32074/1591-951X-553</w:t>
            </w:r>
            <w:r w:rsidR="00A564C5">
              <w:rPr>
                <w:sz w:val="20"/>
                <w:szCs w:val="20"/>
              </w:rPr>
              <w:t xml:space="preserve"> </w:t>
            </w:r>
            <w:bookmarkStart w:id="19" w:name="_GoBack"/>
            <w:bookmarkEnd w:id="19"/>
          </w:p>
          <w:p w:rsidR="001B6188" w:rsidRDefault="001B6188">
            <w:pPr>
              <w:rPr>
                <w:rFonts w:ascii="Cambria" w:hAnsi="Cambria"/>
                <w:color w:val="1B1B1B"/>
                <w:sz w:val="26"/>
                <w:szCs w:val="26"/>
                <w:shd w:val="clear" w:color="auto" w:fill="FFFFFF"/>
                <w:lang w:val="en-US"/>
              </w:rPr>
            </w:pPr>
          </w:p>
        </w:tc>
      </w:tr>
    </w:tbl>
    <w:p w:rsidR="001B6188" w:rsidRDefault="002A6D0C">
      <w:pPr>
        <w:pStyle w:val="ListParagraph"/>
        <w:ind w:left="360"/>
        <w:rPr>
          <w:rFonts w:eastAsia="Calibri"/>
          <w:color w:val="000000"/>
        </w:rPr>
      </w:pPr>
      <w:r>
        <w:rPr>
          <w:rFonts w:eastAsia="Calibri"/>
          <w:color w:val="000000"/>
        </w:rPr>
        <w:lastRenderedPageBreak/>
        <w:t xml:space="preserve"> </w:t>
      </w:r>
    </w:p>
    <w:p w:rsidR="001B6188" w:rsidRDefault="001B6188">
      <w:pPr>
        <w:pStyle w:val="ListParagraph"/>
        <w:ind w:left="360"/>
        <w:rPr>
          <w:rFonts w:eastAsia="Calibri"/>
          <w:color w:val="000000"/>
        </w:rPr>
      </w:pPr>
    </w:p>
    <w:p w:rsidR="001B6188" w:rsidRDefault="002A6D0C">
      <w:pPr>
        <w:pStyle w:val="ListParagraph"/>
        <w:ind w:left="360"/>
        <w:rPr>
          <w:rFonts w:eastAsia="Calibri"/>
          <w:color w:val="000000"/>
        </w:rPr>
      </w:pPr>
      <w:r>
        <w:rPr>
          <w:rFonts w:eastAsia="Calibri"/>
          <w:color w:val="000000"/>
        </w:rPr>
        <w:t xml:space="preserve"> </w:t>
      </w:r>
    </w:p>
    <w:p w:rsidR="001B6188" w:rsidRDefault="001B6188">
      <w:pPr>
        <w:rPr>
          <w:rFonts w:eastAsia="Calibri"/>
          <w:color w:val="000000"/>
        </w:rPr>
      </w:pPr>
      <w:bookmarkStart w:id="20" w:name="_heading=h.3j2qqm3" w:colFirst="0" w:colLast="0"/>
      <w:bookmarkEnd w:id="20"/>
    </w:p>
    <w:p w:rsidR="001B6188" w:rsidRDefault="001B6188"/>
    <w:p w:rsidR="001B6188" w:rsidRDefault="001B6188"/>
    <w:sectPr w:rsidR="001B6188">
      <w:headerReference w:type="even" r:id="rId17"/>
      <w:headerReference w:type="default" r:id="rId18"/>
      <w:footerReference w:type="default" r:id="rId19"/>
      <w:headerReference w:type="first" r:id="rId2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7F2" w:rsidRDefault="005267F2">
      <w:pPr>
        <w:spacing w:line="240" w:lineRule="auto"/>
      </w:pPr>
      <w:r>
        <w:separator/>
      </w:r>
    </w:p>
  </w:endnote>
  <w:endnote w:type="continuationSeparator" w:id="0">
    <w:p w:rsidR="005267F2" w:rsidRDefault="005267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188" w:rsidRDefault="001B6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188" w:rsidRDefault="002A6D0C">
    <w:pPr>
      <w:pStyle w:val="Foo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B6188" w:rsidRDefault="002A6D0C">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G1w&#10;6JFSAgAACQUAAA4AAAAAAAAAAAAAAAAALgIAAGRycy9lMm9Eb2MueG1sUEsBAi0AFAAGAAgAAAAh&#10;AHGq0bnXAAAABQEAAA8AAAAAAAAAAAAAAAAArAQAAGRycy9kb3ducmV2LnhtbFBLBQYAAAAABAAE&#10;APMAAACwBQAAAAA=&#10;" filled="f" stroked="f" strokeweight=".5pt">
              <v:textbox style="mso-fit-shape-to-text:t" inset="0,0,0,0">
                <w:txbxContent>
                  <w:p w:rsidR="001B6188" w:rsidRDefault="002A6D0C">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188" w:rsidRDefault="001B61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188" w:rsidRDefault="002A6D0C">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B6188" w:rsidRDefault="002A6D0C">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AB0&#10;mk1SAgAAEAUAAA4AAAAAAAAAAAAAAAAALgIAAGRycy9lMm9Eb2MueG1sUEsBAi0AFAAGAAgAAAAh&#10;AHGq0bnXAAAABQEAAA8AAAAAAAAAAAAAAAAArAQAAGRycy9kb3ducmV2LnhtbFBLBQYAAAAABAAE&#10;APMAAACwBQAAAAA=&#10;" filled="f" stroked="f" strokeweight=".5pt">
              <v:textbox style="mso-fit-shape-to-text:t" inset="0,0,0,0">
                <w:txbxContent>
                  <w:p w:rsidR="001B6188" w:rsidRDefault="002A6D0C">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7F2" w:rsidRDefault="005267F2">
      <w:r>
        <w:separator/>
      </w:r>
    </w:p>
  </w:footnote>
  <w:footnote w:type="continuationSeparator" w:id="0">
    <w:p w:rsidR="005267F2" w:rsidRDefault="00526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188" w:rsidRDefault="00A564C5">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894860" o:spid="_x0000_s3075" type="#_x0000_t136" style="position:absolute;margin-left:0;margin-top:0;width:526.05pt;height:59.35pt;rotation:315;z-index:-251654144;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188" w:rsidRDefault="00A564C5">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894861" o:spid="_x0000_s3074" type="#_x0000_t136" style="position:absolute;margin-left:0;margin-top:0;width:526.05pt;height:59.35pt;rotation:315;z-index:-251653120;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188" w:rsidRDefault="00A564C5">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894859" o:spid="_x0000_s3073" type="#_x0000_t136" style="position:absolute;margin-left:0;margin-top:0;width:526.05pt;height:59.35pt;rotation:315;z-index:-251655168;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188" w:rsidRDefault="00A564C5">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894863" o:spid="_x0000_s3078" type="#_x0000_t136" style="position:absolute;margin-left:0;margin-top:0;width:526.05pt;height:59.35pt;rotation:315;z-index:-251651072;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188" w:rsidRDefault="00A564C5">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894864" o:spid="_x0000_s3077" type="#_x0000_t136" style="position:absolute;margin-left:0;margin-top:0;width:526.05pt;height:59.35pt;rotation:315;z-index:-251650048;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188" w:rsidRDefault="00A564C5">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894862" o:spid="_x0000_s3076" type="#_x0000_t136" style="position:absolute;margin-left:0;margin-top:0;width:526.05pt;height:59.35pt;rotation:315;z-index:-251652096;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759C2B"/>
    <w:multiLevelType w:val="singleLevel"/>
    <w:tmpl w:val="71759C2B"/>
    <w:lvl w:ilvl="0">
      <w:start w:val="21"/>
      <w:numFmt w:val="decimal"/>
      <w:suff w:val="space"/>
      <w:lvlText w:val="%1."/>
      <w:lvlJc w:val="left"/>
    </w:lvl>
  </w:abstractNum>
  <w:abstractNum w:abstractNumId="1" w15:restartNumberingAfterBreak="0">
    <w:nsid w:val="75760250"/>
    <w:multiLevelType w:val="multilevel"/>
    <w:tmpl w:val="757602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20"/>
  <w:drawingGridVerticalSpacing w:val="156"/>
  <w:noPunctuationKerning/>
  <w:characterSpacingControl w:val="doNotCompress"/>
  <w:hdrShapeDefaults>
    <o:shapedefaults v:ext="edit" spidmax="3079"/>
    <o:shapelayout v:ext="edit">
      <o:idmap v:ext="edit" data="2,3"/>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zNbY0Mra0tDQ0NrJU0lEKTi0uzszPAykwrgUAzHItxiwAAAA="/>
  </w:docVars>
  <w:rsids>
    <w:rsidRoot w:val="30FC5D42"/>
    <w:rsid w:val="00004C5C"/>
    <w:rsid w:val="00057531"/>
    <w:rsid w:val="000578D5"/>
    <w:rsid w:val="00165E33"/>
    <w:rsid w:val="00166AD7"/>
    <w:rsid w:val="001840CE"/>
    <w:rsid w:val="001844C1"/>
    <w:rsid w:val="00197238"/>
    <w:rsid w:val="001B6188"/>
    <w:rsid w:val="00255B8D"/>
    <w:rsid w:val="002928D3"/>
    <w:rsid w:val="002A6D0C"/>
    <w:rsid w:val="002C6EA1"/>
    <w:rsid w:val="003102F5"/>
    <w:rsid w:val="00396E4A"/>
    <w:rsid w:val="003E75EA"/>
    <w:rsid w:val="004331B1"/>
    <w:rsid w:val="00467DC8"/>
    <w:rsid w:val="00493AC3"/>
    <w:rsid w:val="004D1D5B"/>
    <w:rsid w:val="004E2F60"/>
    <w:rsid w:val="005267F2"/>
    <w:rsid w:val="0061289B"/>
    <w:rsid w:val="00693FB9"/>
    <w:rsid w:val="00793986"/>
    <w:rsid w:val="007A662F"/>
    <w:rsid w:val="00807BD3"/>
    <w:rsid w:val="0084006A"/>
    <w:rsid w:val="008C6F06"/>
    <w:rsid w:val="00975DFF"/>
    <w:rsid w:val="009842A3"/>
    <w:rsid w:val="009C2177"/>
    <w:rsid w:val="009C62B8"/>
    <w:rsid w:val="009C763D"/>
    <w:rsid w:val="009D5B70"/>
    <w:rsid w:val="00A355C2"/>
    <w:rsid w:val="00A564C5"/>
    <w:rsid w:val="00A96C31"/>
    <w:rsid w:val="00AA561E"/>
    <w:rsid w:val="00AE2B4D"/>
    <w:rsid w:val="00B51192"/>
    <w:rsid w:val="00B771CC"/>
    <w:rsid w:val="00BE37CC"/>
    <w:rsid w:val="00C5094D"/>
    <w:rsid w:val="00C972E0"/>
    <w:rsid w:val="00CC5C7A"/>
    <w:rsid w:val="00D84991"/>
    <w:rsid w:val="00DA046B"/>
    <w:rsid w:val="00DB430D"/>
    <w:rsid w:val="00DC1881"/>
    <w:rsid w:val="00DF398C"/>
    <w:rsid w:val="00E32493"/>
    <w:rsid w:val="00E67BB6"/>
    <w:rsid w:val="00EB2909"/>
    <w:rsid w:val="00F22B25"/>
    <w:rsid w:val="00F36D4C"/>
    <w:rsid w:val="00F52174"/>
    <w:rsid w:val="00F55E3A"/>
    <w:rsid w:val="07FE4250"/>
    <w:rsid w:val="1BAA1868"/>
    <w:rsid w:val="296C4848"/>
    <w:rsid w:val="2D2A5A42"/>
    <w:rsid w:val="30FC5D42"/>
    <w:rsid w:val="3AB933FC"/>
    <w:rsid w:val="3BA5016B"/>
    <w:rsid w:val="3C997A93"/>
    <w:rsid w:val="42586178"/>
    <w:rsid w:val="491C7FB3"/>
    <w:rsid w:val="53776EFD"/>
    <w:rsid w:val="67A7359A"/>
    <w:rsid w:val="6F9C3A2B"/>
    <w:rsid w:val="70D12A63"/>
    <w:rsid w:val="786A5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1"/>
    </o:shapelayout>
  </w:shapeDefaults>
  <w:decimalSymbol w:val="."/>
  <w:listSeparator w:val=","/>
  <w14:docId w14:val="1AE573F5"/>
  <w15:docId w15:val="{2C7BFDC1-D7C0-4D4C-87C2-DCE96AB1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276" w:lineRule="auto"/>
    </w:pPr>
    <w:rPr>
      <w:rFonts w:ascii="Arial" w:eastAsia="Arial" w:hAnsi="Arial" w:cs="Arial"/>
      <w:sz w:val="22"/>
      <w:szCs w:val="22"/>
      <w:lang w:val="en-GB" w:eastAsia="en-GB"/>
    </w:rPr>
  </w:style>
  <w:style w:type="paragraph" w:styleId="Heading3">
    <w:name w:val="heading 3"/>
    <w:basedOn w:val="Normal1"/>
    <w:next w:val="Normal1"/>
    <w:uiPriority w:val="9"/>
    <w:unhideWhenUsed/>
    <w:qFormat/>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pPr>
      <w:spacing w:line="276" w:lineRule="auto"/>
    </w:pPr>
    <w:rPr>
      <w:rFonts w:ascii="Arial" w:eastAsia="Arial" w:hAnsi="Arial" w:cs="Arial"/>
      <w:sz w:val="22"/>
      <w:szCs w:val="22"/>
      <w:lang w:val="en-GB" w:eastAsia="en-GB"/>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qFormat/>
    <w:pPr>
      <w:ind w:leftChars="400" w:left="840"/>
    </w:pPr>
  </w:style>
  <w:style w:type="table" w:customStyle="1" w:styleId="Style51">
    <w:name w:val="_Style 51"/>
    <w:basedOn w:val="TableNormal"/>
    <w:qFormat/>
    <w:tblPr>
      <w:tblCellMar>
        <w:top w:w="100" w:type="dxa"/>
        <w:left w:w="100" w:type="dxa"/>
        <w:bottom w:w="100" w:type="dxa"/>
        <w:right w:w="100"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4">
    <w:name w:val="_Style 54"/>
    <w:basedOn w:val="TableNormal"/>
    <w:qFormat/>
    <w:tblPr>
      <w:tblCellMar>
        <w:top w:w="100" w:type="dxa"/>
        <w:left w:w="100" w:type="dxa"/>
        <w:bottom w:w="100" w:type="dxa"/>
        <w:right w:w="100" w:type="dxa"/>
      </w:tblCellMar>
    </w:tblPr>
  </w:style>
  <w:style w:type="table" w:customStyle="1" w:styleId="Style55">
    <w:name w:val="_Style 55"/>
    <w:basedOn w:val="TableNormal"/>
    <w:qFormat/>
    <w:tblPr>
      <w:tblCellMar>
        <w:top w:w="100" w:type="dxa"/>
        <w:left w:w="100" w:type="dxa"/>
        <w:bottom w:w="100" w:type="dxa"/>
        <w:right w:w="100" w:type="dxa"/>
      </w:tblCellMar>
    </w:tblPr>
  </w:style>
  <w:style w:type="paragraph" w:styleId="ListParagraph">
    <w:name w:val="List Paragraph"/>
    <w:basedOn w:val="Normal"/>
    <w:uiPriority w:val="34"/>
    <w:qFormat/>
    <w:pPr>
      <w:ind w:left="720"/>
      <w:contextualSpacing/>
    </w:pPr>
  </w:style>
  <w:style w:type="table" w:customStyle="1" w:styleId="Style56">
    <w:name w:val="_Style 56"/>
    <w:basedOn w:val="TableNormal"/>
    <w:qFormat/>
    <w:tblPr>
      <w:tblCellMar>
        <w:top w:w="100" w:type="dxa"/>
        <w:left w:w="100" w:type="dxa"/>
        <w:bottom w:w="100" w:type="dxa"/>
        <w:right w:w="100" w:type="dxa"/>
      </w:tblCellMar>
    </w:tblPr>
  </w:style>
  <w:style w:type="paragraph" w:customStyle="1" w:styleId="Bibliography1">
    <w:name w:val="Bibliography1"/>
    <w:basedOn w:val="Normal"/>
    <w:next w:val="Normal"/>
    <w:uiPriority w:val="37"/>
    <w:unhideWhenUsed/>
    <w:qFormat/>
    <w:pPr>
      <w:tabs>
        <w:tab w:val="left" w:pos="264"/>
      </w:tabs>
      <w:spacing w:after="240" w:line="240" w:lineRule="auto"/>
      <w:ind w:left="264" w:hanging="264"/>
    </w:pPr>
  </w:style>
  <w:style w:type="paragraph" w:customStyle="1" w:styleId="WPSOffice1">
    <w:name w:val="WPSOffice手动目录 1"/>
    <w:qFormat/>
    <w:rPr>
      <w:rFonts w:asciiTheme="minorHAnsi" w:eastAsiaTheme="minorEastAsia" w:hAnsiTheme="minorHAnsi" w:cstheme="minorBid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3387</Words>
  <Characters>19312</Characters>
  <Application>Microsoft Office Word</Application>
  <DocSecurity>0</DocSecurity>
  <Lines>160</Lines>
  <Paragraphs>45</Paragraphs>
  <ScaleCrop>false</ScaleCrop>
  <Company/>
  <LinksUpToDate>false</LinksUpToDate>
  <CharactersWithSpaces>22654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Surya Jain</dc:creator>
  <cp:lastModifiedBy>SDI 1020</cp:lastModifiedBy>
  <cp:revision>48</cp:revision>
  <dcterms:created xsi:type="dcterms:W3CDTF">2025-12-03T09:24:00Z</dcterms:created>
  <dcterms:modified xsi:type="dcterms:W3CDTF">2025-12-18T07:52:00Z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1033-12.2.0.22556</vt:lpwstr>
  </property>
  <property fmtid="{D5CDD505-2E9C-101B-9397-08002B2CF9AE}" pid="3" name="ICV">
    <vt:lpwstr>FE2BEA929C764E40BCBC26C6FD7E9C29_11</vt:lpwstr>
  </property>
</Properties>
</file>