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header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4415A13F" w14:textId="77777777" w:rsidR="00655D6F" w:rsidRPr="00655D6F" w:rsidRDefault="00655D6F" w:rsidP="000F66B8">
      <w:pPr>
        <w:pStyle w:val="Author"/>
        <w:jc w:val="both"/>
        <w:rPr>
          <w:rFonts w:ascii="Arial" w:hAnsi="Arial" w:cs="Arial"/>
          <w:bCs/>
          <w:i/>
          <w:iCs/>
          <w:kern w:val="28"/>
          <w:sz w:val="18"/>
          <w:szCs w:val="18"/>
          <w:u w:val="single"/>
        </w:rPr>
      </w:pPr>
      <w:r w:rsidRPr="00655D6F">
        <w:rPr>
          <w:rFonts w:ascii="Arial" w:hAnsi="Arial" w:cs="Arial"/>
          <w:bCs/>
          <w:i/>
          <w:iCs/>
          <w:kern w:val="28"/>
          <w:sz w:val="18"/>
          <w:szCs w:val="18"/>
          <w:u w:val="single"/>
        </w:rPr>
        <w:t xml:space="preserve">Case report </w:t>
      </w:r>
    </w:p>
    <w:p w14:paraId="7C89DAD8" w14:textId="77777777" w:rsidR="00EC7E3E" w:rsidRDefault="00EC7E3E" w:rsidP="000F66B8">
      <w:pPr>
        <w:pStyle w:val="Author"/>
        <w:spacing w:line="240" w:lineRule="auto"/>
        <w:jc w:val="both"/>
        <w:rPr>
          <w:rFonts w:ascii="Arial" w:hAnsi="Arial" w:cs="Arial"/>
          <w:bCs/>
          <w:iCs/>
          <w:kern w:val="28"/>
          <w:sz w:val="36"/>
        </w:rPr>
      </w:pPr>
      <w:r w:rsidRPr="00F25831">
        <w:rPr>
          <w:rFonts w:ascii="Arial" w:hAnsi="Arial" w:cs="Arial"/>
          <w:bCs/>
          <w:iCs/>
          <w:kern w:val="28"/>
          <w:sz w:val="36"/>
        </w:rPr>
        <w:t>Closed Reduction of a Pediatric Le Fort I Fracture: A Case Report on Minimally Invasive Management</w:t>
      </w:r>
    </w:p>
    <w:p w14:paraId="5DF53731" w14:textId="77777777" w:rsidR="00655D6F" w:rsidRPr="00F173B7" w:rsidRDefault="00655D6F" w:rsidP="000F66B8">
      <w:pPr>
        <w:pStyle w:val="Affiliation"/>
        <w:spacing w:after="0" w:line="240" w:lineRule="auto"/>
        <w:jc w:val="both"/>
        <w:rPr>
          <w:rFonts w:ascii="Arial" w:hAnsi="Arial" w:cs="Arial"/>
          <w:i/>
          <w:vertAlign w:val="superscript"/>
        </w:rPr>
      </w:pPr>
    </w:p>
    <w:p w14:paraId="5BD03CDB" w14:textId="46014B9E" w:rsidR="00B01FCD" w:rsidRPr="00FB3A86" w:rsidRDefault="003C6AA6" w:rsidP="000F66B8">
      <w:pPr>
        <w:pStyle w:val="Copyright"/>
        <w:spacing w:after="0" w:line="240" w:lineRule="auto"/>
        <w:jc w:val="both"/>
        <w:rPr>
          <w:rFonts w:ascii="Arial" w:hAnsi="Arial" w:cs="Arial"/>
        </w:rPr>
        <w:sectPr w:rsidR="00B01FCD" w:rsidRPr="00FB3A86" w:rsidSect="00655D6F">
          <w:headerReference w:type="even" r:id="rId8"/>
          <w:headerReference w:type="default" r:id="rId9"/>
          <w:footerReference w:type="even" r:id="rId10"/>
          <w:footerReference w:type="default" r:id="rId11"/>
          <w:headerReference w:type="first" r:id="rId12"/>
          <w:footerReference w:type="first" r:id="rId13"/>
          <w:pgSz w:w="12240" w:h="15840" w:code="1"/>
          <w:pgMar w:top="1440" w:right="2016" w:bottom="2016" w:left="2016" w:header="720" w:footer="1296" w:gutter="0"/>
          <w:cols w:space="720"/>
          <w:docGrid w:linePitch="272"/>
        </w:sectPr>
      </w:pPr>
      <w:r>
        <w:rPr>
          <w:rFonts w:ascii="Arial" w:hAnsi="Arial" w:cs="Arial"/>
          <w:noProof/>
        </w:rPr>
        <mc:AlternateContent>
          <mc:Choice Requires="wps">
            <w:drawing>
              <wp:inline distT="0" distB="0" distL="0" distR="0" wp14:anchorId="58244EC6" wp14:editId="613E4713">
                <wp:extent cx="5303520" cy="635"/>
                <wp:effectExtent l="11430" t="17145" r="9525" b="11430"/>
                <wp:docPr id="8" name="AutoShap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303520" cy="0"/>
                        </a:xfrm>
                        <a:prstGeom prst="straightConnector1">
                          <a:avLst/>
                        </a:prstGeom>
                        <a:noFill/>
                        <a:ln w="19050">
                          <a:solidFill>
                            <a:srgbClr val="000000"/>
                          </a:solidFill>
                          <a:round/>
                          <a:headEnd/>
                          <a:tailEnd/>
                        </a:ln>
                        <a:extLst>
                          <a:ext uri="{909E8E84-426E-40DD-AFC4-6F175D3DCCD1}">
                            <a14:hiddenFill xmlns:a14="http://schemas.microsoft.com/office/drawing/2010/main">
                              <a:noFill/>
                            </a14:hiddenFill>
                          </a:ext>
                        </a:extLst>
                      </wps:spPr>
                      <wps:bodyPr/>
                    </wps:wsp>
                  </a:graphicData>
                </a:graphic>
              </wp:inline>
            </w:drawing>
          </mc:Choice>
          <mc:Fallback xmlns:oel="http://schemas.microsoft.com/office/2019/extlst" xmlns:w16du="http://schemas.microsoft.com/office/word/2023/wordml/word16du" xmlns:w16sdtfl="http://schemas.microsoft.com/office/word/2024/wordml/sdtformatlock" xmlns:w16sdtdh="http://schemas.microsoft.com/office/word/2020/wordml/sdtdatahash" xmlns:w16="http://schemas.microsoft.com/office/word/2018/wordml" xmlns:w16cex="http://schemas.microsoft.com/office/word/2018/wordml/cex">
            <w:pict>
              <v:shapetype w14:anchorId="05E97800" id="_x0000_t32" coordsize="21600,21600" o:spt="32" o:oned="t" path="m,l21600,21600e" filled="f">
                <v:path arrowok="t" fillok="f" o:connecttype="none"/>
                <o:lock v:ext="edit" shapetype="t"/>
              </v:shapetype>
              <v:shape id="AutoShape 2" o:spid="_x0000_s1026" type="#_x0000_t32" style="width:417.6pt;height:.05pt;visibility:visible;mso-wrap-style:square;mso-left-percent:-10001;mso-top-percent:-10001;mso-position-horizontal:absolute;mso-position-horizontal-relative:char;mso-position-vertical:absolute;mso-position-vertical-relative:line;mso-left-percent:-10001;mso-top-percent:-1000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" strokeweight="1.5pt">
                <w10:anchorlock/>
              </v:shape>
            </w:pict>
          </mc:Fallback>
        </mc:AlternateContent>
      </w:r>
    </w:p>
    <w:p w14:paraId="732028E9" w14:textId="7301E051" w:rsidR="001172C1" w:rsidRDefault="00B01FCD" w:rsidP="000F66B8">
      <w:pPr>
        <w:pStyle w:val="AbstHead"/>
        <w:spacing w:after="0"/>
        <w:jc w:val="both"/>
        <w:rPr>
          <w:rFonts w:ascii="Arial" w:hAnsi="Arial" w:cs="Arial"/>
        </w:rPr>
      </w:pPr>
      <w:r w:rsidRPr="00FB3A86">
        <w:rPr>
          <w:rFonts w:ascii="Arial" w:hAnsi="Arial" w:cs="Arial"/>
        </w:rPr>
        <w:t>ABSTRACT</w:t>
      </w:r>
      <w:r w:rsidR="0066510A">
        <w:rPr>
          <w:rFonts w:ascii="Arial" w:hAnsi="Arial" w:cs="Arial"/>
        </w:rPr>
        <w:t xml:space="preserve"> </w:t>
      </w:r>
    </w:p>
    <w:p w14:paraId="58B81789" w14:textId="77777777" w:rsidR="00790ADA" w:rsidRPr="00FB3A86" w:rsidRDefault="00790ADA" w:rsidP="000F66B8">
      <w:pPr>
        <w:pStyle w:val="AbstHead"/>
        <w:spacing w:after="0"/>
        <w:jc w:val="both"/>
        <w:rPr>
          <w:rFonts w:ascii="Arial" w:hAnsi="Arial" w:cs="Arial"/>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2F2F2"/>
        <w:tblLook w:val="04A0" w:firstRow="1" w:lastRow="0" w:firstColumn="1" w:lastColumn="0" w:noHBand="0" w:noVBand="1"/>
      </w:tblPr>
      <w:tblGrid>
        <w:gridCol w:w="8198"/>
      </w:tblGrid>
      <w:tr w:rsidR="00296529" w:rsidRPr="00F25831" w14:paraId="2C484E87" w14:textId="77777777" w:rsidTr="001E44FE">
        <w:tc>
          <w:tcPr>
            <w:tcW w:w="9576" w:type="dxa"/>
            <w:shd w:val="clear" w:color="auto" w:fill="F2F2F2"/>
          </w:tcPr>
          <w:p w14:paraId="75D5F5EC" w14:textId="1D88B201" w:rsidR="00505F06" w:rsidRPr="00F25831" w:rsidRDefault="0039581F" w:rsidP="000F66B8">
            <w:pPr>
              <w:pStyle w:val="Body"/>
              <w:spacing w:after="0"/>
              <w:rPr>
                <w:rFonts w:ascii="Arial" w:eastAsia="Calibri" w:hAnsi="Arial" w:cs="Arial"/>
                <w:szCs w:val="22"/>
                <w:rtl/>
                <w:lang w:bidi="fa-IR"/>
              </w:rPr>
            </w:pPr>
            <w:r w:rsidRPr="00F25831">
              <w:rPr>
                <w:rFonts w:ascii="Arial" w:eastAsia="Calibri" w:hAnsi="Arial" w:cs="Arial"/>
                <w:szCs w:val="22"/>
              </w:rPr>
              <w:t>Pediatric facial fractures, particularly Le Fort I fractures, present unique challenges in diagnosis and management. This case report details the treatment of a 7-year-old male patient who sustained a Le Fort I maxillary fracture following a fall with a pen inside his oral cavity. Key CT findings confirmed a unilateral maxillary fracture with a deviated nasal septum, with no involvement of orbital structures. The patient was managed with closed reduction techniques, including maxillomandibular fixation (MMF), trans-maxillary fixation, and frontal suspension, under general anesthesia. Postoperative recovery was uneventful, with the patient resuming oral feeding within 4 hours and being discharged after 5 days. This conservative approach was chosen to preserve growth potential and minimize complications, avoiding the need for open reduction and internal fixation (ORIF) given the patient's age and the risk of disrupting facial growth. The case highlights the effectiveness of closed reduction techniques in pediatric fractures, offering a minimally invasive solution that restores functional and aesthetic outcomes.</w:t>
            </w:r>
          </w:p>
        </w:tc>
      </w:tr>
    </w:tbl>
    <w:p w14:paraId="6CF96B2E" w14:textId="77777777" w:rsidR="00636EB2" w:rsidRPr="00F25831" w:rsidRDefault="00636EB2" w:rsidP="000F66B8">
      <w:pPr>
        <w:pStyle w:val="Body"/>
        <w:spacing w:after="0"/>
        <w:rPr>
          <w:rFonts w:ascii="Arial" w:hAnsi="Arial" w:cs="Arial"/>
          <w:i/>
        </w:rPr>
      </w:pPr>
    </w:p>
    <w:p w14:paraId="24DE28DB" w14:textId="7546943C" w:rsidR="00A90D7B" w:rsidRPr="00CC21D4" w:rsidRDefault="00A24E7E" w:rsidP="00CC21D4">
      <w:pPr>
        <w:pStyle w:val="Body"/>
        <w:rPr>
          <w:rFonts w:ascii="Arial" w:hAnsi="Arial" w:cs="Arial"/>
          <w:i/>
        </w:rPr>
      </w:pPr>
      <w:r w:rsidRPr="00F25831">
        <w:rPr>
          <w:rFonts w:ascii="Arial" w:hAnsi="Arial" w:cs="Arial"/>
          <w:i/>
        </w:rPr>
        <w:t xml:space="preserve">Keywords: </w:t>
      </w:r>
      <w:r w:rsidR="000C2468" w:rsidRPr="00F25831">
        <w:rPr>
          <w:rFonts w:ascii="Arial" w:hAnsi="Arial" w:cs="Arial"/>
          <w:i/>
        </w:rPr>
        <w:t>Pediatric Facial Fractures; Le Fort I Fracture, Closed Reduction Techniques; Maxillomandibular Fixation (MMF); Minimally Invasive Surgery</w:t>
      </w:r>
      <w:r w:rsidR="000C2468" w:rsidRPr="000C2468">
        <w:rPr>
          <w:rFonts w:ascii="Arial" w:hAnsi="Arial" w:cs="Arial"/>
          <w:i/>
        </w:rPr>
        <w:t xml:space="preserve"> </w:t>
      </w:r>
    </w:p>
    <w:p w14:paraId="60A6435B" w14:textId="2FB1AF32" w:rsidR="00CC21D4" w:rsidRDefault="00CC21D4" w:rsidP="000F66B8">
      <w:pPr>
        <w:pStyle w:val="Body"/>
        <w:spacing w:after="0"/>
        <w:rPr>
          <w:rFonts w:ascii="Arial" w:hAnsi="Arial" w:cs="Arial"/>
          <w:b/>
          <w:bCs/>
          <w:sz w:val="22"/>
          <w:szCs w:val="22"/>
        </w:rPr>
      </w:pPr>
      <w:r w:rsidRPr="00CC21D4">
        <w:rPr>
          <w:rFonts w:ascii="Arial" w:hAnsi="Arial" w:cs="Arial"/>
          <w:b/>
          <w:bCs/>
          <w:sz w:val="22"/>
          <w:szCs w:val="22"/>
        </w:rPr>
        <w:t>1.Introduction</w:t>
      </w:r>
    </w:p>
    <w:p w14:paraId="4E9ACC22" w14:textId="77777777" w:rsidR="00CC21D4" w:rsidRPr="00CC21D4" w:rsidRDefault="00CC21D4" w:rsidP="000F66B8">
      <w:pPr>
        <w:pStyle w:val="Body"/>
        <w:spacing w:after="0"/>
        <w:rPr>
          <w:rFonts w:ascii="Arial" w:hAnsi="Arial" w:cs="Arial"/>
          <w:b/>
          <w:bCs/>
          <w:sz w:val="22"/>
          <w:szCs w:val="22"/>
        </w:rPr>
      </w:pPr>
    </w:p>
    <w:p w14:paraId="2CA12DE6" w14:textId="07B9094B" w:rsidR="00BC0188" w:rsidRDefault="000C2468" w:rsidP="000F66B8">
      <w:pPr>
        <w:pStyle w:val="Body"/>
        <w:spacing w:after="0"/>
        <w:rPr>
          <w:rFonts w:ascii="Arial" w:hAnsi="Arial" w:cs="Arial"/>
        </w:rPr>
      </w:pPr>
      <w:r w:rsidRPr="000C2468">
        <w:rPr>
          <w:rFonts w:ascii="Arial" w:hAnsi="Arial" w:cs="Arial"/>
        </w:rPr>
        <w:t xml:space="preserve">Pediatric patients with facial fractures generally experience better outcomes compared to adults. Children are less likely to develop malunion, nonunion, postoperative infections, or the need for open reduction and rigid fixation. These advantages can be primarily attributed to a child's greater osteogenic potential, which facilitates more efficient bone healing and reconstruction. Additionally, children heal faster and recover more quickly after surgery compared to their adult counterparts [1]. Maxillary fractures in pediatric patients, though relatively rare, can occur due to trauma such as motor vehicle accidents, falls, or sports injuries. Studies indicate that facial fractures in children make up about 5% of all facial injuries, with maxillary fractures accounting for a significant portion [2]. Unlike adult fractures, pediatric facial fractures present unique challenges due to the dynamic growth and development of facial bones. The pediatric facial skeleton is more elastic, and the healing process is influenced by the child's age, skeletal maturity, and overall health [3]. These factors make the management of pediatric facial fractures different from that of adults. The treatment of pediatric maxillary fractures requires a delicate approach that takes into consideration the child's ongoing bone development. Closed reduction techniques, including maxillomandibular fixation, trans-maxillary fixation, and frontal suspension, are often employed as less invasive alternatives to open </w:t>
      </w:r>
      <w:r w:rsidR="00E12F9D">
        <w:rPr>
          <w:rFonts w:ascii="Arial" w:hAnsi="Arial" w:cs="Arial"/>
        </w:rPr>
        <w:t xml:space="preserve">reduction and internal fixation (ORIF) </w:t>
      </w:r>
      <w:r w:rsidRPr="000C2468">
        <w:rPr>
          <w:rFonts w:ascii="Arial" w:hAnsi="Arial" w:cs="Arial"/>
        </w:rPr>
        <w:t>procedures</w:t>
      </w:r>
      <w:r w:rsidR="00E12F9D">
        <w:rPr>
          <w:rFonts w:ascii="Arial" w:hAnsi="Arial" w:cs="Arial"/>
        </w:rPr>
        <w:t>. Closed reduction methods</w:t>
      </w:r>
      <w:r w:rsidRPr="000C2468">
        <w:rPr>
          <w:rFonts w:ascii="Arial" w:hAnsi="Arial" w:cs="Arial"/>
        </w:rPr>
        <w:t xml:space="preserve"> are considered effective in reducing the risk of complications and promoting healing, as they do not interfere with the development of the facial skeleton or dentition [4]. Furthermore, closed reduction offers a cost-effective solution that minimizes the risks associated with more complex surgical interventions [5]. Le Fort fractures, though relatively uncommon in pediatric patients, are serious injuries that often require prompt intervention to restore facial symmetry and function. In particular, Le Fort I fractures involve a horizontal </w:t>
      </w:r>
      <w:r w:rsidRPr="000C2468">
        <w:rPr>
          <w:rFonts w:ascii="Arial" w:hAnsi="Arial" w:cs="Arial"/>
        </w:rPr>
        <w:lastRenderedPageBreak/>
        <w:t xml:space="preserve">fracture of the maxilla, which can result in facial asymmetry, malocclusion, and difficulty in feeding. Closed reduction has been shown to be an effective method for managing these fractures, with minimal long-term effects on growth and development [6]. </w:t>
      </w:r>
    </w:p>
    <w:p w14:paraId="59290153" w14:textId="77777777" w:rsidR="00CD2CA4" w:rsidRPr="00FB3A86" w:rsidRDefault="00CD2CA4" w:rsidP="000F66B8">
      <w:pPr>
        <w:pStyle w:val="AbstHead"/>
        <w:spacing w:after="0"/>
        <w:jc w:val="both"/>
        <w:rPr>
          <w:rFonts w:ascii="Arial" w:hAnsi="Arial" w:cs="Arial"/>
        </w:rPr>
      </w:pPr>
    </w:p>
    <w:p w14:paraId="3A4626F7" w14:textId="336890BE" w:rsidR="00CC21D4" w:rsidRPr="00CC21D4" w:rsidRDefault="00CC21D4" w:rsidP="000F66B8">
      <w:pPr>
        <w:pStyle w:val="Body"/>
        <w:rPr>
          <w:rFonts w:ascii="Arial" w:hAnsi="Arial" w:cs="Arial"/>
          <w:b/>
          <w:bCs/>
          <w:color w:val="000000" w:themeColor="text1"/>
          <w:sz w:val="22"/>
          <w:szCs w:val="22"/>
        </w:rPr>
      </w:pPr>
      <w:r w:rsidRPr="00CC21D4">
        <w:rPr>
          <w:rFonts w:ascii="Arial" w:hAnsi="Arial" w:cs="Arial"/>
          <w:b/>
          <w:bCs/>
          <w:color w:val="000000" w:themeColor="text1"/>
          <w:sz w:val="22"/>
          <w:szCs w:val="22"/>
        </w:rPr>
        <w:t xml:space="preserve">2.Case </w:t>
      </w:r>
      <w:r w:rsidR="003D7B55">
        <w:rPr>
          <w:rFonts w:ascii="Arial" w:hAnsi="Arial" w:cs="Arial"/>
          <w:b/>
          <w:bCs/>
          <w:color w:val="000000" w:themeColor="text1"/>
          <w:sz w:val="22"/>
          <w:szCs w:val="22"/>
        </w:rPr>
        <w:t>Presentation</w:t>
      </w:r>
    </w:p>
    <w:p w14:paraId="736DFC6C" w14:textId="06879BF4" w:rsidR="000F378E" w:rsidRPr="00F25831" w:rsidRDefault="000911EC" w:rsidP="000F66B8">
      <w:pPr>
        <w:pStyle w:val="Body"/>
        <w:rPr>
          <w:rFonts w:ascii="Arial" w:hAnsi="Arial" w:cs="Arial"/>
          <w:color w:val="000000" w:themeColor="text1"/>
        </w:rPr>
      </w:pPr>
      <w:r w:rsidRPr="00F25831">
        <w:rPr>
          <w:rFonts w:ascii="Arial" w:hAnsi="Arial" w:cs="Arial"/>
          <w:color w:val="000000" w:themeColor="text1"/>
        </w:rPr>
        <w:t xml:space="preserve">A 7-year-old male patient was referred to our emergency department following </w:t>
      </w:r>
      <w:r w:rsidR="00504D02" w:rsidRPr="00F25831">
        <w:rPr>
          <w:rFonts w:ascii="Arial" w:hAnsi="Arial" w:cs="Arial"/>
          <w:color w:val="000000" w:themeColor="text1"/>
        </w:rPr>
        <w:t xml:space="preserve">the </w:t>
      </w:r>
      <w:r w:rsidR="000A2A07" w:rsidRPr="00F25831">
        <w:rPr>
          <w:rFonts w:ascii="Arial" w:hAnsi="Arial" w:cs="Arial"/>
          <w:color w:val="000000" w:themeColor="text1"/>
        </w:rPr>
        <w:t>falling on the ground</w:t>
      </w:r>
      <w:r w:rsidR="00C16AF7" w:rsidRPr="00F25831">
        <w:rPr>
          <w:rFonts w:ascii="Arial" w:hAnsi="Arial" w:cs="Arial"/>
          <w:color w:val="000000" w:themeColor="text1"/>
        </w:rPr>
        <w:t xml:space="preserve"> while running </w:t>
      </w:r>
      <w:r w:rsidR="000A2A07" w:rsidRPr="00F25831">
        <w:rPr>
          <w:rFonts w:ascii="Arial" w:hAnsi="Arial" w:cs="Arial"/>
          <w:color w:val="000000" w:themeColor="text1"/>
        </w:rPr>
        <w:t>with a pen inside his oral cavity.</w:t>
      </w:r>
      <w:r w:rsidRPr="00F25831">
        <w:rPr>
          <w:rFonts w:ascii="Arial" w:hAnsi="Arial" w:cs="Arial"/>
          <w:color w:val="000000" w:themeColor="text1"/>
        </w:rPr>
        <w:t xml:space="preserve"> The patient presented with significant oral pain</w:t>
      </w:r>
      <w:r w:rsidR="00C16AF7" w:rsidRPr="00F25831">
        <w:rPr>
          <w:rFonts w:ascii="Arial" w:hAnsi="Arial" w:cs="Arial"/>
          <w:color w:val="000000" w:themeColor="text1"/>
        </w:rPr>
        <w:t xml:space="preserve"> </w:t>
      </w:r>
      <w:r w:rsidR="00F173B7" w:rsidRPr="00F25831">
        <w:rPr>
          <w:rFonts w:ascii="Arial" w:hAnsi="Arial" w:cs="Arial"/>
          <w:color w:val="000000" w:themeColor="text1"/>
        </w:rPr>
        <w:t xml:space="preserve">and </w:t>
      </w:r>
      <w:r w:rsidR="00C16AF7" w:rsidRPr="00F25831">
        <w:rPr>
          <w:rFonts w:ascii="Arial" w:hAnsi="Arial" w:cs="Arial"/>
          <w:color w:val="000000" w:themeColor="text1"/>
        </w:rPr>
        <w:t>malocclusion indicating</w:t>
      </w:r>
      <w:r w:rsidRPr="00F25831">
        <w:rPr>
          <w:rFonts w:ascii="Arial" w:hAnsi="Arial" w:cs="Arial"/>
          <w:color w:val="000000" w:themeColor="text1"/>
        </w:rPr>
        <w:t xml:space="preserve"> </w:t>
      </w:r>
      <w:r w:rsidR="000B1923" w:rsidRPr="00F25831">
        <w:rPr>
          <w:rFonts w:ascii="Arial" w:hAnsi="Arial" w:cs="Arial"/>
          <w:color w:val="000000" w:themeColor="text1"/>
        </w:rPr>
        <w:t>oral injury i.e</w:t>
      </w:r>
      <w:r w:rsidRPr="00F25831">
        <w:rPr>
          <w:rFonts w:ascii="Arial" w:hAnsi="Arial" w:cs="Arial"/>
          <w:color w:val="000000" w:themeColor="text1"/>
        </w:rPr>
        <w:t>.</w:t>
      </w:r>
      <w:r w:rsidR="000B1923" w:rsidRPr="00F25831">
        <w:rPr>
          <w:rFonts w:ascii="Arial" w:hAnsi="Arial" w:cs="Arial"/>
          <w:color w:val="000000" w:themeColor="text1"/>
        </w:rPr>
        <w:t xml:space="preserve">, bony fracture of the maxillofacial region. The general status of the patient was satisfactory, was no signs of abdominothoracic injuries, peripheral fractures were excluded, bleeding from body orifices: Nil. Vital signs; within normal ranges. Examination of the head and neck regions revealed normal respiration with no forigen bodies in the upper respiratory tract, no signs of cervical spine fracture. The Glasgow Coma Scale (GCS) was (15/15), excluding intracranial injuries. Upon intraoral </w:t>
      </w:r>
      <w:r w:rsidRPr="00F25831">
        <w:rPr>
          <w:rFonts w:ascii="Arial" w:hAnsi="Arial" w:cs="Arial"/>
          <w:color w:val="000000" w:themeColor="text1"/>
        </w:rPr>
        <w:t>examination, a soft palatal tear was observed,</w:t>
      </w:r>
      <w:r w:rsidR="000B1923" w:rsidRPr="00F25831">
        <w:rPr>
          <w:rFonts w:ascii="Arial" w:hAnsi="Arial" w:cs="Arial"/>
          <w:color w:val="000000" w:themeColor="text1"/>
        </w:rPr>
        <w:t xml:space="preserve"> about </w:t>
      </w:r>
      <w:r w:rsidR="000F378E" w:rsidRPr="00F25831">
        <w:rPr>
          <w:rFonts w:ascii="Arial" w:hAnsi="Arial" w:cs="Arial"/>
          <w:color w:val="000000" w:themeColor="text1"/>
        </w:rPr>
        <w:t xml:space="preserve">4-5 cm length, with a 5mm with in maximum dimensions, extending nearly to the oropharynx (Figures 1), </w:t>
      </w:r>
      <w:r w:rsidRPr="00F25831">
        <w:rPr>
          <w:rFonts w:ascii="Arial" w:hAnsi="Arial" w:cs="Arial"/>
          <w:color w:val="000000" w:themeColor="text1"/>
        </w:rPr>
        <w:t>along with tenderness and</w:t>
      </w:r>
      <w:r w:rsidR="0022365D" w:rsidRPr="00F25831">
        <w:rPr>
          <w:rFonts w:ascii="Arial" w:hAnsi="Arial" w:cs="Arial"/>
          <w:color w:val="000000" w:themeColor="text1"/>
        </w:rPr>
        <w:t xml:space="preserve"> transvers mobility</w:t>
      </w:r>
      <w:r w:rsidRPr="00F25831">
        <w:rPr>
          <w:rFonts w:ascii="Arial" w:hAnsi="Arial" w:cs="Arial"/>
          <w:color w:val="000000" w:themeColor="text1"/>
        </w:rPr>
        <w:t xml:space="preserve"> of the maxilla, which suggest</w:t>
      </w:r>
      <w:r w:rsidR="000F378E" w:rsidRPr="00F25831">
        <w:rPr>
          <w:rFonts w:ascii="Arial" w:hAnsi="Arial" w:cs="Arial"/>
          <w:color w:val="000000" w:themeColor="text1"/>
        </w:rPr>
        <w:t>ing maxillary fracture Le Forte I</w:t>
      </w:r>
      <w:r w:rsidRPr="00F25831">
        <w:rPr>
          <w:rFonts w:ascii="Arial" w:hAnsi="Arial" w:cs="Arial"/>
          <w:color w:val="000000" w:themeColor="text1"/>
        </w:rPr>
        <w:t xml:space="preserve">. </w:t>
      </w:r>
    </w:p>
    <w:p w14:paraId="56E83B50" w14:textId="5EAED1E9" w:rsidR="000911EC" w:rsidRPr="00F25831" w:rsidRDefault="000B1923" w:rsidP="000F66B8">
      <w:pPr>
        <w:pStyle w:val="Body"/>
        <w:rPr>
          <w:rFonts w:ascii="Arial" w:hAnsi="Arial" w:cs="Arial"/>
        </w:rPr>
      </w:pPr>
      <w:r w:rsidRPr="00F25831">
        <w:rPr>
          <w:rFonts w:ascii="Arial" w:hAnsi="Arial" w:cs="Arial"/>
          <w:noProof/>
        </w:rPr>
        <w:drawing>
          <wp:anchor distT="0" distB="0" distL="114300" distR="114300" simplePos="0" relativeHeight="251689472" behindDoc="0" locked="0" layoutInCell="1" allowOverlap="1" wp14:anchorId="267F3A81" wp14:editId="009F0A77">
            <wp:simplePos x="0" y="0"/>
            <wp:positionH relativeFrom="margin">
              <wp:posOffset>968375</wp:posOffset>
            </wp:positionH>
            <wp:positionV relativeFrom="paragraph">
              <wp:posOffset>116205</wp:posOffset>
            </wp:positionV>
            <wp:extent cx="3475834" cy="2644140"/>
            <wp:effectExtent l="0" t="0" r="0" b="3810"/>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475834" cy="2644140"/>
                    </a:xfrm>
                    <a:prstGeom prst="rect">
                      <a:avLst/>
                    </a:prstGeom>
                  </pic:spPr>
                </pic:pic>
              </a:graphicData>
            </a:graphic>
            <wp14:sizeRelH relativeFrom="page">
              <wp14:pctWidth>0</wp14:pctWidth>
            </wp14:sizeRelH>
            <wp14:sizeRelV relativeFrom="page">
              <wp14:pctHeight>0</wp14:pctHeight>
            </wp14:sizeRelV>
          </wp:anchor>
        </w:drawing>
      </w:r>
    </w:p>
    <w:p w14:paraId="6978483B" w14:textId="45A9EF25" w:rsidR="000911EC" w:rsidRPr="00F25831" w:rsidRDefault="000911EC" w:rsidP="000F66B8">
      <w:pPr>
        <w:pStyle w:val="Body"/>
        <w:rPr>
          <w:rFonts w:ascii="Arial" w:hAnsi="Arial" w:cs="Arial"/>
        </w:rPr>
      </w:pPr>
    </w:p>
    <w:p w14:paraId="0BFC985C" w14:textId="1D729E94" w:rsidR="000911EC" w:rsidRPr="00F25831" w:rsidRDefault="000911EC" w:rsidP="000F66B8">
      <w:pPr>
        <w:pStyle w:val="Body"/>
        <w:rPr>
          <w:rFonts w:ascii="Arial" w:hAnsi="Arial" w:cs="Arial"/>
        </w:rPr>
      </w:pPr>
    </w:p>
    <w:p w14:paraId="49AE6FAD" w14:textId="32317F10" w:rsidR="000911EC" w:rsidRPr="00F25831" w:rsidRDefault="000911EC" w:rsidP="000F66B8">
      <w:pPr>
        <w:pStyle w:val="Body"/>
        <w:rPr>
          <w:rFonts w:ascii="Arial" w:hAnsi="Arial" w:cs="Arial"/>
        </w:rPr>
      </w:pPr>
    </w:p>
    <w:p w14:paraId="04F123DD" w14:textId="632894E0" w:rsidR="000911EC" w:rsidRPr="00F25831" w:rsidRDefault="000911EC" w:rsidP="000F66B8">
      <w:pPr>
        <w:pStyle w:val="Body"/>
        <w:rPr>
          <w:rFonts w:ascii="Arial" w:hAnsi="Arial" w:cs="Arial"/>
        </w:rPr>
      </w:pPr>
    </w:p>
    <w:p w14:paraId="26E44B04" w14:textId="77777777" w:rsidR="00F173B7" w:rsidRPr="00F25831" w:rsidRDefault="00F173B7" w:rsidP="000F66B8">
      <w:pPr>
        <w:pStyle w:val="Body"/>
        <w:rPr>
          <w:rFonts w:ascii="Arial" w:hAnsi="Arial" w:cs="Arial"/>
        </w:rPr>
      </w:pPr>
    </w:p>
    <w:p w14:paraId="412562E9" w14:textId="77777777" w:rsidR="000B1923" w:rsidRPr="00F25831" w:rsidRDefault="000B1923" w:rsidP="000F66B8">
      <w:pPr>
        <w:pStyle w:val="Body"/>
        <w:rPr>
          <w:rFonts w:ascii="Arial" w:hAnsi="Arial" w:cs="Arial"/>
          <w:color w:val="000000" w:themeColor="text1"/>
        </w:rPr>
      </w:pPr>
    </w:p>
    <w:p w14:paraId="719B9D54" w14:textId="77777777" w:rsidR="000B1923" w:rsidRPr="00F25831" w:rsidRDefault="000B1923" w:rsidP="000F66B8">
      <w:pPr>
        <w:pStyle w:val="Body"/>
        <w:rPr>
          <w:rFonts w:ascii="Arial" w:hAnsi="Arial" w:cs="Arial"/>
          <w:color w:val="000000" w:themeColor="text1"/>
        </w:rPr>
      </w:pPr>
    </w:p>
    <w:p w14:paraId="053542E2" w14:textId="77777777" w:rsidR="000F378E" w:rsidRPr="00F25831" w:rsidRDefault="000F378E" w:rsidP="000F66B8">
      <w:pPr>
        <w:pStyle w:val="Body"/>
        <w:rPr>
          <w:rFonts w:ascii="Arial" w:hAnsi="Arial" w:cs="Arial"/>
          <w:color w:val="000000" w:themeColor="text1"/>
        </w:rPr>
      </w:pPr>
    </w:p>
    <w:p w14:paraId="5B682B26" w14:textId="77777777" w:rsidR="000F378E" w:rsidRPr="00F25831" w:rsidRDefault="000F378E" w:rsidP="000F66B8">
      <w:pPr>
        <w:pStyle w:val="Body"/>
        <w:rPr>
          <w:rFonts w:ascii="Arial" w:hAnsi="Arial" w:cs="Arial"/>
          <w:color w:val="000000" w:themeColor="text1"/>
        </w:rPr>
      </w:pPr>
    </w:p>
    <w:p w14:paraId="611A0676" w14:textId="4F68C434" w:rsidR="000911EC" w:rsidRPr="00F25831" w:rsidRDefault="000911EC" w:rsidP="000F66B8">
      <w:pPr>
        <w:pStyle w:val="Body"/>
        <w:rPr>
          <w:rFonts w:ascii="Arial" w:hAnsi="Arial" w:cs="Arial"/>
          <w:color w:val="000000" w:themeColor="text1"/>
        </w:rPr>
      </w:pPr>
      <w:r w:rsidRPr="00F25831">
        <w:rPr>
          <w:rFonts w:ascii="Arial" w:hAnsi="Arial" w:cs="Arial"/>
          <w:color w:val="000000" w:themeColor="text1"/>
        </w:rPr>
        <w:t xml:space="preserve">Figure 1: Preoperative Photographs of </w:t>
      </w:r>
      <w:r w:rsidR="00E12F9D" w:rsidRPr="00F25831">
        <w:rPr>
          <w:rFonts w:ascii="Arial" w:hAnsi="Arial" w:cs="Arial"/>
          <w:color w:val="000000" w:themeColor="text1"/>
        </w:rPr>
        <w:t>soft palatal wound (white arrow).</w:t>
      </w:r>
    </w:p>
    <w:p w14:paraId="3E76BFFF" w14:textId="62198192" w:rsidR="000911EC" w:rsidRPr="00F25831" w:rsidRDefault="00DF69C9" w:rsidP="000F66B8">
      <w:pPr>
        <w:pStyle w:val="Body"/>
        <w:rPr>
          <w:rFonts w:ascii="Arial" w:hAnsi="Arial" w:cs="Arial"/>
          <w:b/>
          <w:bCs/>
          <w:sz w:val="22"/>
          <w:szCs w:val="22"/>
        </w:rPr>
      </w:pPr>
      <w:r w:rsidRPr="00F25831">
        <w:rPr>
          <w:rFonts w:ascii="Arial" w:hAnsi="Arial" w:cs="Arial"/>
          <w:b/>
          <w:bCs/>
          <w:sz w:val="22"/>
          <w:szCs w:val="22"/>
        </w:rPr>
        <w:t xml:space="preserve">2.1 </w:t>
      </w:r>
      <w:r w:rsidR="000911EC" w:rsidRPr="00F25831">
        <w:rPr>
          <w:rFonts w:ascii="Arial" w:hAnsi="Arial" w:cs="Arial"/>
          <w:b/>
          <w:bCs/>
          <w:sz w:val="22"/>
          <w:szCs w:val="22"/>
        </w:rPr>
        <w:t>Radiographic Investigations</w:t>
      </w:r>
    </w:p>
    <w:p w14:paraId="01B74077" w14:textId="1EFD9455" w:rsidR="0022365D" w:rsidRPr="00F25831" w:rsidRDefault="000F66B8" w:rsidP="000F66B8">
      <w:pPr>
        <w:pStyle w:val="Body"/>
        <w:rPr>
          <w:rFonts w:ascii="Arial" w:hAnsi="Arial" w:cs="Arial"/>
          <w:color w:val="000000" w:themeColor="text1"/>
        </w:rPr>
      </w:pPr>
      <w:r w:rsidRPr="00F25831">
        <w:rPr>
          <w:rFonts w:ascii="Arial" w:hAnsi="Arial" w:cs="Arial"/>
          <w:color w:val="000000" w:themeColor="text1"/>
        </w:rPr>
        <w:t>To further assess the extent of the injury, radiological imaging was performed. Multidetector CT of the head and neck were obtained, revealing a Le Fort I maxillary fracture, characterized by a horizontal displacement of the maxilla</w:t>
      </w:r>
      <w:r w:rsidR="0022365D" w:rsidRPr="00F25831">
        <w:rPr>
          <w:rFonts w:ascii="Arial" w:hAnsi="Arial" w:cs="Arial"/>
          <w:color w:val="000000" w:themeColor="text1"/>
        </w:rPr>
        <w:t xml:space="preserve"> (Fig. 2A; Anterior view, Fig. 3A; Lateral view) as well as deviated nasal septum (Figures 2B; Anterior view and 3B; Lateral view), no</w:t>
      </w:r>
      <w:r w:rsidRPr="00F25831">
        <w:rPr>
          <w:rFonts w:ascii="Arial" w:hAnsi="Arial" w:cs="Arial"/>
          <w:color w:val="000000" w:themeColor="text1"/>
        </w:rPr>
        <w:t xml:space="preserve"> involvement of </w:t>
      </w:r>
      <w:r w:rsidR="0022365D" w:rsidRPr="00F25831">
        <w:rPr>
          <w:rFonts w:ascii="Arial" w:hAnsi="Arial" w:cs="Arial"/>
          <w:color w:val="000000" w:themeColor="text1"/>
        </w:rPr>
        <w:t>the orbital</w:t>
      </w:r>
      <w:r w:rsidRPr="00F25831">
        <w:rPr>
          <w:rFonts w:ascii="Arial" w:hAnsi="Arial" w:cs="Arial"/>
          <w:color w:val="000000" w:themeColor="text1"/>
        </w:rPr>
        <w:t xml:space="preserve"> structures was </w:t>
      </w:r>
      <w:r w:rsidR="0022365D" w:rsidRPr="00F25831">
        <w:rPr>
          <w:rFonts w:ascii="Arial" w:hAnsi="Arial" w:cs="Arial"/>
          <w:color w:val="000000" w:themeColor="text1"/>
        </w:rPr>
        <w:t xml:space="preserve">detected. </w:t>
      </w:r>
    </w:p>
    <w:p w14:paraId="0D86EB3B" w14:textId="07E74553" w:rsidR="00A90D7B" w:rsidRPr="00F25831" w:rsidRDefault="00A90D7B" w:rsidP="000F66B8">
      <w:pPr>
        <w:pStyle w:val="Body"/>
        <w:rPr>
          <w:rFonts w:ascii="Arial" w:hAnsi="Arial" w:cs="Arial"/>
        </w:rPr>
      </w:pPr>
    </w:p>
    <w:p w14:paraId="79620E5A" w14:textId="09E5C246" w:rsidR="000911EC" w:rsidRPr="00F25831" w:rsidRDefault="000911EC" w:rsidP="000F66B8">
      <w:pPr>
        <w:pStyle w:val="Body"/>
        <w:rPr>
          <w:rFonts w:ascii="Arial" w:hAnsi="Arial" w:cs="Arial"/>
        </w:rPr>
      </w:pPr>
    </w:p>
    <w:p w14:paraId="41CD7D18" w14:textId="4E5ABCF6" w:rsidR="000911EC" w:rsidRPr="00F25831" w:rsidRDefault="0022365D" w:rsidP="000F66B8">
      <w:pPr>
        <w:pStyle w:val="Body"/>
        <w:rPr>
          <w:rFonts w:ascii="Arial" w:hAnsi="Arial" w:cs="Arial"/>
        </w:rPr>
      </w:pPr>
      <w:r w:rsidRPr="00F25831">
        <w:rPr>
          <w:rFonts w:ascii="Arial" w:hAnsi="Arial" w:cs="Arial"/>
          <w:noProof/>
          <w:color w:val="000000" w:themeColor="text1"/>
        </w:rPr>
        <w:lastRenderedPageBreak/>
        <w:drawing>
          <wp:anchor distT="0" distB="0" distL="114300" distR="114300" simplePos="0" relativeHeight="251700736" behindDoc="0" locked="0" layoutInCell="1" allowOverlap="1" wp14:anchorId="421D57C3" wp14:editId="3CC90C3D">
            <wp:simplePos x="0" y="0"/>
            <wp:positionH relativeFrom="margin">
              <wp:align>left</wp:align>
            </wp:positionH>
            <wp:positionV relativeFrom="paragraph">
              <wp:posOffset>-682625</wp:posOffset>
            </wp:positionV>
            <wp:extent cx="5212080" cy="2413635"/>
            <wp:effectExtent l="0" t="0" r="7620" b="5715"/>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212080" cy="2413635"/>
                    </a:xfrm>
                    <a:prstGeom prst="rect">
                      <a:avLst/>
                    </a:prstGeom>
                  </pic:spPr>
                </pic:pic>
              </a:graphicData>
            </a:graphic>
            <wp14:sizeRelH relativeFrom="page">
              <wp14:pctWidth>0</wp14:pctWidth>
            </wp14:sizeRelH>
            <wp14:sizeRelV relativeFrom="page">
              <wp14:pctHeight>0</wp14:pctHeight>
            </wp14:sizeRelV>
          </wp:anchor>
        </w:drawing>
      </w:r>
    </w:p>
    <w:p w14:paraId="0344D8DD" w14:textId="48999F28" w:rsidR="000911EC" w:rsidRPr="00F25831" w:rsidRDefault="000911EC" w:rsidP="000F66B8">
      <w:pPr>
        <w:pStyle w:val="Body"/>
        <w:rPr>
          <w:rFonts w:ascii="Arial" w:hAnsi="Arial" w:cs="Arial"/>
        </w:rPr>
      </w:pPr>
    </w:p>
    <w:p w14:paraId="03405348" w14:textId="6E00E76A" w:rsidR="000911EC" w:rsidRPr="00F25831" w:rsidRDefault="000911EC" w:rsidP="000F66B8">
      <w:pPr>
        <w:pStyle w:val="Body"/>
        <w:rPr>
          <w:rFonts w:ascii="Arial" w:hAnsi="Arial" w:cs="Arial"/>
        </w:rPr>
      </w:pPr>
    </w:p>
    <w:p w14:paraId="55C79F17" w14:textId="5A208E91" w:rsidR="000911EC" w:rsidRPr="00F25831" w:rsidRDefault="000911EC" w:rsidP="000F66B8">
      <w:pPr>
        <w:pStyle w:val="Body"/>
        <w:rPr>
          <w:rFonts w:ascii="Arial" w:hAnsi="Arial" w:cs="Arial"/>
          <w:rtl/>
        </w:rPr>
      </w:pPr>
    </w:p>
    <w:p w14:paraId="2E0A3814" w14:textId="59162437" w:rsidR="000F66B8" w:rsidRPr="00F25831" w:rsidRDefault="000F66B8" w:rsidP="000F66B8">
      <w:pPr>
        <w:pStyle w:val="Body"/>
        <w:rPr>
          <w:rFonts w:ascii="Arial" w:hAnsi="Arial" w:cs="Arial"/>
          <w:rtl/>
        </w:rPr>
      </w:pPr>
    </w:p>
    <w:p w14:paraId="6FF46640" w14:textId="77777777" w:rsidR="000F66B8" w:rsidRPr="00F25831" w:rsidRDefault="000F66B8" w:rsidP="000F66B8">
      <w:pPr>
        <w:pStyle w:val="Body"/>
        <w:rPr>
          <w:rFonts w:ascii="Arial" w:hAnsi="Arial" w:cs="Arial"/>
        </w:rPr>
      </w:pPr>
    </w:p>
    <w:p w14:paraId="44898C93" w14:textId="250D1DCF" w:rsidR="0022365D" w:rsidRPr="00F25831" w:rsidRDefault="000911EC" w:rsidP="003304C7">
      <w:pPr>
        <w:pStyle w:val="Body"/>
        <w:spacing w:after="0"/>
        <w:rPr>
          <w:rFonts w:ascii="Arial" w:hAnsi="Arial" w:cs="Arial"/>
          <w:color w:val="000000" w:themeColor="text1"/>
        </w:rPr>
      </w:pPr>
      <w:r w:rsidRPr="00F25831">
        <w:rPr>
          <w:rFonts w:ascii="Arial" w:hAnsi="Arial" w:cs="Arial"/>
        </w:rPr>
        <w:t>Figure 2A</w:t>
      </w:r>
      <w:r w:rsidR="0022365D" w:rsidRPr="00F25831">
        <w:rPr>
          <w:rFonts w:ascii="Arial" w:hAnsi="Arial" w:cs="Arial"/>
        </w:rPr>
        <w:t>:</w:t>
      </w:r>
      <w:r w:rsidRPr="00F25831">
        <w:rPr>
          <w:rFonts w:ascii="Arial" w:hAnsi="Arial" w:cs="Arial"/>
        </w:rPr>
        <w:t xml:space="preserve"> </w:t>
      </w:r>
      <w:r w:rsidRPr="00F25831">
        <w:rPr>
          <w:rFonts w:ascii="Arial" w:hAnsi="Arial" w:cs="Arial"/>
          <w:color w:val="000000" w:themeColor="text1"/>
        </w:rPr>
        <w:t>Preoperative</w:t>
      </w:r>
      <w:r w:rsidR="000A2A07" w:rsidRPr="00F25831">
        <w:rPr>
          <w:rFonts w:ascii="Arial" w:hAnsi="Arial" w:cs="Arial"/>
          <w:color w:val="000000" w:themeColor="text1"/>
        </w:rPr>
        <w:t xml:space="preserve"> MDCT</w:t>
      </w:r>
      <w:r w:rsidRPr="00F25831">
        <w:rPr>
          <w:rFonts w:ascii="Arial" w:hAnsi="Arial" w:cs="Arial"/>
          <w:color w:val="000000" w:themeColor="text1"/>
        </w:rPr>
        <w:t xml:space="preserve"> </w:t>
      </w:r>
      <w:r w:rsidR="000A2A07" w:rsidRPr="00F25831">
        <w:rPr>
          <w:rFonts w:ascii="Arial" w:hAnsi="Arial" w:cs="Arial"/>
          <w:color w:val="000000" w:themeColor="text1"/>
        </w:rPr>
        <w:t>(</w:t>
      </w:r>
      <w:r w:rsidR="006B18B5" w:rsidRPr="00F25831">
        <w:rPr>
          <w:rFonts w:ascii="Arial" w:hAnsi="Arial" w:cs="Arial"/>
          <w:color w:val="000000" w:themeColor="text1"/>
        </w:rPr>
        <w:t>a</w:t>
      </w:r>
      <w:r w:rsidR="000A2A07" w:rsidRPr="00F25831">
        <w:rPr>
          <w:rFonts w:ascii="Arial" w:hAnsi="Arial" w:cs="Arial"/>
          <w:color w:val="000000" w:themeColor="text1"/>
        </w:rPr>
        <w:t xml:space="preserve">nterior view) </w:t>
      </w:r>
      <w:r w:rsidRPr="00F25831">
        <w:rPr>
          <w:rFonts w:ascii="Arial" w:hAnsi="Arial" w:cs="Arial"/>
          <w:color w:val="000000" w:themeColor="text1"/>
        </w:rPr>
        <w:t xml:space="preserve">Showing Le Fort I Maxillary </w:t>
      </w:r>
      <w:r w:rsidR="000A2A07" w:rsidRPr="00F25831">
        <w:rPr>
          <w:rFonts w:ascii="Arial" w:hAnsi="Arial" w:cs="Arial"/>
          <w:color w:val="000000" w:themeColor="text1"/>
        </w:rPr>
        <w:t>Fracture (</w:t>
      </w:r>
      <w:r w:rsidR="001439B6" w:rsidRPr="00F25831">
        <w:rPr>
          <w:rFonts w:ascii="Arial" w:hAnsi="Arial" w:cs="Arial"/>
          <w:color w:val="000000" w:themeColor="text1"/>
        </w:rPr>
        <w:t xml:space="preserve">red </w:t>
      </w:r>
      <w:r w:rsidR="000A2A07" w:rsidRPr="00F25831">
        <w:rPr>
          <w:rFonts w:ascii="Arial" w:hAnsi="Arial" w:cs="Arial"/>
          <w:color w:val="000000" w:themeColor="text1"/>
        </w:rPr>
        <w:t>arrow)</w:t>
      </w:r>
      <w:r w:rsidR="0022365D" w:rsidRPr="00F25831">
        <w:rPr>
          <w:rFonts w:ascii="Arial" w:hAnsi="Arial" w:cs="Arial"/>
          <w:color w:val="000000" w:themeColor="text1"/>
        </w:rPr>
        <w:t>.</w:t>
      </w:r>
    </w:p>
    <w:p w14:paraId="59385C51" w14:textId="627FFF53" w:rsidR="000911EC" w:rsidRPr="00F25831" w:rsidRDefault="0022365D" w:rsidP="003304C7">
      <w:pPr>
        <w:pStyle w:val="Body"/>
        <w:spacing w:after="0"/>
        <w:rPr>
          <w:rFonts w:ascii="Arial" w:hAnsi="Arial" w:cs="Arial"/>
          <w:color w:val="000000" w:themeColor="text1"/>
        </w:rPr>
      </w:pPr>
      <w:r w:rsidRPr="00F25831">
        <w:rPr>
          <w:rFonts w:ascii="Arial" w:hAnsi="Arial" w:cs="Arial"/>
          <w:color w:val="000000" w:themeColor="text1"/>
        </w:rPr>
        <w:t>Figure 2</w:t>
      </w:r>
      <w:r w:rsidR="000911EC" w:rsidRPr="00F25831">
        <w:rPr>
          <w:rFonts w:ascii="Arial" w:hAnsi="Arial" w:cs="Arial"/>
          <w:color w:val="000000" w:themeColor="text1"/>
        </w:rPr>
        <w:t>B</w:t>
      </w:r>
      <w:r w:rsidRPr="00F25831">
        <w:rPr>
          <w:rFonts w:ascii="Arial" w:hAnsi="Arial" w:cs="Arial"/>
          <w:color w:val="000000" w:themeColor="text1"/>
        </w:rPr>
        <w:t>:</w:t>
      </w:r>
      <w:r w:rsidR="000911EC" w:rsidRPr="00F25831">
        <w:rPr>
          <w:rFonts w:ascii="Arial" w:hAnsi="Arial" w:cs="Arial"/>
          <w:color w:val="000000" w:themeColor="text1"/>
        </w:rPr>
        <w:t xml:space="preserve"> Preoperative</w:t>
      </w:r>
      <w:r w:rsidR="000A2A07" w:rsidRPr="00F25831">
        <w:rPr>
          <w:rFonts w:ascii="Arial" w:hAnsi="Arial" w:cs="Arial"/>
          <w:color w:val="000000" w:themeColor="text1"/>
        </w:rPr>
        <w:t xml:space="preserve"> MDCT</w:t>
      </w:r>
      <w:r w:rsidR="000911EC" w:rsidRPr="00F25831">
        <w:rPr>
          <w:rFonts w:ascii="Arial" w:hAnsi="Arial" w:cs="Arial"/>
          <w:color w:val="000000" w:themeColor="text1"/>
        </w:rPr>
        <w:t xml:space="preserve"> </w:t>
      </w:r>
      <w:r w:rsidR="003304C7" w:rsidRPr="00F25831">
        <w:rPr>
          <w:rFonts w:ascii="Arial" w:hAnsi="Arial" w:cs="Arial"/>
          <w:color w:val="000000" w:themeColor="text1"/>
        </w:rPr>
        <w:t>(</w:t>
      </w:r>
      <w:r w:rsidR="006B18B5" w:rsidRPr="00F25831">
        <w:rPr>
          <w:rFonts w:ascii="Arial" w:hAnsi="Arial" w:cs="Arial"/>
          <w:color w:val="000000" w:themeColor="text1"/>
        </w:rPr>
        <w:t>a</w:t>
      </w:r>
      <w:r w:rsidR="003304C7" w:rsidRPr="00F25831">
        <w:rPr>
          <w:rFonts w:ascii="Arial" w:hAnsi="Arial" w:cs="Arial"/>
          <w:color w:val="000000" w:themeColor="text1"/>
        </w:rPr>
        <w:t xml:space="preserve">nterior view) </w:t>
      </w:r>
      <w:r w:rsidR="000911EC" w:rsidRPr="00F25831">
        <w:rPr>
          <w:rFonts w:ascii="Arial" w:hAnsi="Arial" w:cs="Arial"/>
          <w:color w:val="000000" w:themeColor="text1"/>
        </w:rPr>
        <w:t xml:space="preserve">Demonstrating </w:t>
      </w:r>
      <w:r w:rsidR="000A2A07" w:rsidRPr="00F25831">
        <w:rPr>
          <w:rFonts w:ascii="Arial" w:hAnsi="Arial" w:cs="Arial"/>
          <w:color w:val="000000" w:themeColor="text1"/>
        </w:rPr>
        <w:t>deviated nasal septum</w:t>
      </w:r>
      <w:r w:rsidR="001439B6" w:rsidRPr="00F25831">
        <w:rPr>
          <w:rFonts w:ascii="Arial" w:hAnsi="Arial" w:cs="Arial"/>
          <w:color w:val="000000" w:themeColor="text1"/>
        </w:rPr>
        <w:t xml:space="preserve"> (white arrow</w:t>
      </w:r>
      <w:r w:rsidR="00E3692D" w:rsidRPr="00F25831">
        <w:rPr>
          <w:rFonts w:ascii="Arial" w:hAnsi="Arial" w:cs="Arial"/>
          <w:color w:val="000000" w:themeColor="text1"/>
        </w:rPr>
        <w:t>s</w:t>
      </w:r>
      <w:r w:rsidR="001439B6" w:rsidRPr="00F25831">
        <w:rPr>
          <w:rFonts w:ascii="Arial" w:hAnsi="Arial" w:cs="Arial"/>
          <w:color w:val="000000" w:themeColor="text1"/>
        </w:rPr>
        <w:t>).</w:t>
      </w:r>
    </w:p>
    <w:p w14:paraId="2A50B372" w14:textId="0B535A3C" w:rsidR="001439B6" w:rsidRPr="00F25831" w:rsidRDefault="005B34D4" w:rsidP="000F66B8">
      <w:pPr>
        <w:pStyle w:val="Body"/>
        <w:rPr>
          <w:rFonts w:ascii="Arial" w:hAnsi="Arial" w:cs="Arial"/>
          <w:color w:val="000000" w:themeColor="text1"/>
        </w:rPr>
      </w:pPr>
      <w:r w:rsidRPr="00F25831">
        <w:rPr>
          <w:rFonts w:ascii="Arial" w:hAnsi="Arial" w:cs="Arial"/>
          <w:noProof/>
          <w:color w:val="000000" w:themeColor="text1"/>
        </w:rPr>
        <w:drawing>
          <wp:anchor distT="0" distB="0" distL="114300" distR="114300" simplePos="0" relativeHeight="251701760" behindDoc="0" locked="0" layoutInCell="1" allowOverlap="1" wp14:anchorId="6E5A97DF" wp14:editId="78320A98">
            <wp:simplePos x="0" y="0"/>
            <wp:positionH relativeFrom="column">
              <wp:posOffset>-2540</wp:posOffset>
            </wp:positionH>
            <wp:positionV relativeFrom="paragraph">
              <wp:posOffset>101898</wp:posOffset>
            </wp:positionV>
            <wp:extent cx="5212080" cy="2482215"/>
            <wp:effectExtent l="0" t="0" r="762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212080" cy="2482215"/>
                    </a:xfrm>
                    <a:prstGeom prst="rect">
                      <a:avLst/>
                    </a:prstGeom>
                  </pic:spPr>
                </pic:pic>
              </a:graphicData>
            </a:graphic>
            <wp14:sizeRelH relativeFrom="page">
              <wp14:pctWidth>0</wp14:pctWidth>
            </wp14:sizeRelH>
            <wp14:sizeRelV relativeFrom="page">
              <wp14:pctHeight>0</wp14:pctHeight>
            </wp14:sizeRelV>
          </wp:anchor>
        </w:drawing>
      </w:r>
    </w:p>
    <w:p w14:paraId="44D31702" w14:textId="0B8513C0" w:rsidR="001439B6" w:rsidRPr="00F25831" w:rsidRDefault="001439B6" w:rsidP="000F66B8">
      <w:pPr>
        <w:pStyle w:val="Body"/>
        <w:rPr>
          <w:rFonts w:ascii="Arial" w:hAnsi="Arial" w:cs="Arial"/>
          <w:color w:val="000000" w:themeColor="text1"/>
        </w:rPr>
      </w:pPr>
    </w:p>
    <w:p w14:paraId="13889E02" w14:textId="04FB6D1B" w:rsidR="001439B6" w:rsidRPr="00F25831" w:rsidRDefault="001439B6" w:rsidP="000F66B8">
      <w:pPr>
        <w:pStyle w:val="Body"/>
        <w:rPr>
          <w:rFonts w:ascii="Arial" w:hAnsi="Arial" w:cs="Arial"/>
          <w:color w:val="000000" w:themeColor="text1"/>
        </w:rPr>
      </w:pPr>
    </w:p>
    <w:p w14:paraId="76A8C9B7" w14:textId="182C62E8" w:rsidR="001439B6" w:rsidRPr="00F25831" w:rsidRDefault="001439B6" w:rsidP="000F66B8">
      <w:pPr>
        <w:pStyle w:val="Body"/>
        <w:rPr>
          <w:rFonts w:ascii="Arial" w:hAnsi="Arial" w:cs="Arial"/>
          <w:color w:val="000000" w:themeColor="text1"/>
        </w:rPr>
      </w:pPr>
    </w:p>
    <w:p w14:paraId="6FD271B8" w14:textId="14DC2300" w:rsidR="001439B6" w:rsidRPr="00F25831" w:rsidRDefault="001439B6" w:rsidP="000F66B8">
      <w:pPr>
        <w:pStyle w:val="Body"/>
        <w:rPr>
          <w:rFonts w:ascii="Arial" w:hAnsi="Arial" w:cs="Arial"/>
          <w:color w:val="FF0000"/>
        </w:rPr>
      </w:pPr>
    </w:p>
    <w:p w14:paraId="41C836CF" w14:textId="7338FD8A" w:rsidR="000A2A07" w:rsidRPr="00F25831" w:rsidRDefault="000A2A07" w:rsidP="000F66B8">
      <w:pPr>
        <w:pStyle w:val="Body"/>
        <w:rPr>
          <w:rFonts w:ascii="Arial" w:hAnsi="Arial" w:cs="Arial"/>
        </w:rPr>
      </w:pPr>
    </w:p>
    <w:p w14:paraId="2CDD2D18" w14:textId="263A1E7E" w:rsidR="000A2A07" w:rsidRPr="00F25831" w:rsidRDefault="000A2A07" w:rsidP="000F66B8">
      <w:pPr>
        <w:pStyle w:val="Body"/>
        <w:rPr>
          <w:rFonts w:ascii="Arial" w:hAnsi="Arial" w:cs="Arial"/>
        </w:rPr>
      </w:pPr>
    </w:p>
    <w:p w14:paraId="623A78B3" w14:textId="224E8466" w:rsidR="000911EC" w:rsidRPr="00F25831" w:rsidRDefault="000911EC" w:rsidP="000F66B8">
      <w:pPr>
        <w:pStyle w:val="Body"/>
        <w:rPr>
          <w:rFonts w:ascii="Arial" w:hAnsi="Arial" w:cs="Arial"/>
        </w:rPr>
      </w:pPr>
    </w:p>
    <w:p w14:paraId="2D485A03" w14:textId="61F444DF" w:rsidR="001439B6" w:rsidRPr="00F25831" w:rsidRDefault="001439B6" w:rsidP="000F66B8">
      <w:pPr>
        <w:pStyle w:val="Body"/>
        <w:rPr>
          <w:rFonts w:ascii="Arial" w:hAnsi="Arial" w:cs="Arial"/>
          <w:color w:val="000000" w:themeColor="text1"/>
        </w:rPr>
      </w:pPr>
    </w:p>
    <w:p w14:paraId="0A2DEB64" w14:textId="37844B93" w:rsidR="003304C7" w:rsidRPr="00F25831" w:rsidRDefault="000911EC" w:rsidP="003304C7">
      <w:pPr>
        <w:pStyle w:val="Body"/>
        <w:spacing w:after="0"/>
        <w:rPr>
          <w:rFonts w:ascii="Arial" w:hAnsi="Arial" w:cs="Arial"/>
          <w:color w:val="000000" w:themeColor="text1"/>
        </w:rPr>
      </w:pPr>
      <w:r w:rsidRPr="00F25831">
        <w:rPr>
          <w:rFonts w:ascii="Arial" w:hAnsi="Arial" w:cs="Arial"/>
          <w:color w:val="000000" w:themeColor="text1"/>
        </w:rPr>
        <w:t>Figure 3 A</w:t>
      </w:r>
      <w:r w:rsidR="003304C7" w:rsidRPr="00F25831">
        <w:rPr>
          <w:rFonts w:ascii="Arial" w:hAnsi="Arial" w:cs="Arial"/>
          <w:color w:val="000000" w:themeColor="text1"/>
        </w:rPr>
        <w:t>: MDCT (</w:t>
      </w:r>
      <w:r w:rsidR="006B18B5" w:rsidRPr="00F25831">
        <w:rPr>
          <w:rFonts w:ascii="Arial" w:hAnsi="Arial" w:cs="Arial"/>
          <w:color w:val="000000" w:themeColor="text1"/>
        </w:rPr>
        <w:t>l</w:t>
      </w:r>
      <w:r w:rsidR="000A2A07" w:rsidRPr="00F25831">
        <w:rPr>
          <w:rFonts w:ascii="Arial" w:hAnsi="Arial" w:cs="Arial"/>
          <w:color w:val="000000" w:themeColor="text1"/>
        </w:rPr>
        <w:t xml:space="preserve">ateral view) </w:t>
      </w:r>
      <w:r w:rsidRPr="00F25831">
        <w:rPr>
          <w:rFonts w:ascii="Arial" w:hAnsi="Arial" w:cs="Arial"/>
          <w:color w:val="000000" w:themeColor="text1"/>
        </w:rPr>
        <w:t>Showing Le Fort I Fracture and Maxillary Displacement</w:t>
      </w:r>
      <w:r w:rsidR="000A2A07" w:rsidRPr="00F25831">
        <w:rPr>
          <w:rFonts w:ascii="Arial" w:hAnsi="Arial" w:cs="Arial"/>
          <w:color w:val="000000" w:themeColor="text1"/>
        </w:rPr>
        <w:t xml:space="preserve"> </w:t>
      </w:r>
      <w:r w:rsidR="001439B6" w:rsidRPr="00F25831">
        <w:rPr>
          <w:rFonts w:ascii="Arial" w:hAnsi="Arial" w:cs="Arial"/>
          <w:color w:val="000000" w:themeColor="text1"/>
        </w:rPr>
        <w:t>(</w:t>
      </w:r>
      <w:r w:rsidR="006B18B5" w:rsidRPr="00F25831">
        <w:rPr>
          <w:rFonts w:ascii="Arial" w:hAnsi="Arial" w:cs="Arial"/>
          <w:color w:val="000000" w:themeColor="text1"/>
        </w:rPr>
        <w:t>r</w:t>
      </w:r>
      <w:r w:rsidR="001439B6" w:rsidRPr="00F25831">
        <w:rPr>
          <w:rFonts w:ascii="Arial" w:hAnsi="Arial" w:cs="Arial"/>
          <w:color w:val="000000" w:themeColor="text1"/>
        </w:rPr>
        <w:t>ed</w:t>
      </w:r>
      <w:r w:rsidR="000A2A07" w:rsidRPr="00F25831">
        <w:rPr>
          <w:rFonts w:ascii="Arial" w:hAnsi="Arial" w:cs="Arial"/>
          <w:color w:val="000000" w:themeColor="text1"/>
        </w:rPr>
        <w:t xml:space="preserve"> arrow)</w:t>
      </w:r>
      <w:r w:rsidR="003304C7" w:rsidRPr="00F25831">
        <w:rPr>
          <w:rFonts w:ascii="Arial" w:hAnsi="Arial" w:cs="Arial"/>
          <w:color w:val="000000" w:themeColor="text1"/>
        </w:rPr>
        <w:t>.</w:t>
      </w:r>
    </w:p>
    <w:p w14:paraId="6A0C9F74" w14:textId="5A9105C4" w:rsidR="000A2A07" w:rsidRPr="00F25831" w:rsidRDefault="003304C7" w:rsidP="003304C7">
      <w:pPr>
        <w:pStyle w:val="Body"/>
        <w:spacing w:after="0"/>
        <w:rPr>
          <w:rFonts w:ascii="Arial" w:hAnsi="Arial" w:cs="Arial"/>
          <w:color w:val="000000" w:themeColor="text1"/>
        </w:rPr>
      </w:pPr>
      <w:r w:rsidRPr="00F25831">
        <w:rPr>
          <w:rFonts w:ascii="Arial" w:hAnsi="Arial" w:cs="Arial"/>
          <w:color w:val="000000" w:themeColor="text1"/>
        </w:rPr>
        <w:t xml:space="preserve">Figure 3B: </w:t>
      </w:r>
      <w:r w:rsidR="000A2A07" w:rsidRPr="00F25831">
        <w:rPr>
          <w:rFonts w:ascii="Arial" w:hAnsi="Arial" w:cs="Arial"/>
          <w:color w:val="000000" w:themeColor="text1"/>
        </w:rPr>
        <w:t>MD</w:t>
      </w:r>
      <w:r w:rsidR="000911EC" w:rsidRPr="00F25831">
        <w:rPr>
          <w:rFonts w:ascii="Arial" w:hAnsi="Arial" w:cs="Arial"/>
          <w:color w:val="000000" w:themeColor="text1"/>
        </w:rPr>
        <w:t xml:space="preserve">CT </w:t>
      </w:r>
      <w:r w:rsidRPr="00F25831">
        <w:rPr>
          <w:rFonts w:ascii="Arial" w:hAnsi="Arial" w:cs="Arial"/>
          <w:color w:val="000000" w:themeColor="text1"/>
        </w:rPr>
        <w:t>(</w:t>
      </w:r>
      <w:r w:rsidR="006B18B5" w:rsidRPr="00F25831">
        <w:rPr>
          <w:rFonts w:ascii="Arial" w:hAnsi="Arial" w:cs="Arial"/>
          <w:color w:val="000000" w:themeColor="text1"/>
        </w:rPr>
        <w:t>l</w:t>
      </w:r>
      <w:r w:rsidRPr="00F25831">
        <w:rPr>
          <w:rFonts w:ascii="Arial" w:hAnsi="Arial" w:cs="Arial"/>
          <w:color w:val="000000" w:themeColor="text1"/>
        </w:rPr>
        <w:t xml:space="preserve">ateral view) </w:t>
      </w:r>
      <w:r w:rsidR="000911EC" w:rsidRPr="00F25831">
        <w:rPr>
          <w:rFonts w:ascii="Arial" w:hAnsi="Arial" w:cs="Arial"/>
          <w:color w:val="000000" w:themeColor="text1"/>
        </w:rPr>
        <w:t xml:space="preserve">Demonstrating </w:t>
      </w:r>
      <w:r w:rsidR="000A2A07" w:rsidRPr="00F25831">
        <w:rPr>
          <w:rFonts w:ascii="Arial" w:hAnsi="Arial" w:cs="Arial"/>
          <w:color w:val="000000" w:themeColor="text1"/>
        </w:rPr>
        <w:t>deviated nasal septum</w:t>
      </w:r>
      <w:r w:rsidR="001439B6" w:rsidRPr="00F25831">
        <w:rPr>
          <w:rFonts w:ascii="Arial" w:hAnsi="Arial" w:cs="Arial"/>
          <w:color w:val="000000" w:themeColor="text1"/>
        </w:rPr>
        <w:t xml:space="preserve"> (white arrow).</w:t>
      </w:r>
    </w:p>
    <w:p w14:paraId="147FD045" w14:textId="77777777" w:rsidR="003304C7" w:rsidRPr="00F25831" w:rsidRDefault="003304C7" w:rsidP="003304C7">
      <w:pPr>
        <w:pStyle w:val="Body"/>
        <w:spacing w:after="0"/>
        <w:rPr>
          <w:rFonts w:ascii="Arial" w:hAnsi="Arial" w:cs="Arial"/>
          <w:color w:val="000000" w:themeColor="text1"/>
        </w:rPr>
      </w:pPr>
    </w:p>
    <w:p w14:paraId="1B933A30" w14:textId="6A723AEF" w:rsidR="000911EC" w:rsidRPr="00F25831" w:rsidRDefault="00DF69C9" w:rsidP="000F66B8">
      <w:pPr>
        <w:pStyle w:val="Body"/>
        <w:rPr>
          <w:rFonts w:ascii="Arial" w:hAnsi="Arial" w:cs="Arial"/>
          <w:b/>
          <w:bCs/>
          <w:sz w:val="22"/>
          <w:szCs w:val="22"/>
        </w:rPr>
      </w:pPr>
      <w:r w:rsidRPr="00F25831">
        <w:rPr>
          <w:rFonts w:ascii="Arial" w:hAnsi="Arial" w:cs="Arial"/>
          <w:b/>
          <w:bCs/>
          <w:sz w:val="22"/>
          <w:szCs w:val="22"/>
        </w:rPr>
        <w:t xml:space="preserve">2.2 </w:t>
      </w:r>
      <w:r w:rsidR="002462CB" w:rsidRPr="00F25831">
        <w:rPr>
          <w:rFonts w:ascii="Arial" w:hAnsi="Arial" w:cs="Arial"/>
          <w:b/>
          <w:bCs/>
          <w:sz w:val="22"/>
          <w:szCs w:val="22"/>
        </w:rPr>
        <w:t xml:space="preserve">Surgical </w:t>
      </w:r>
      <w:r w:rsidR="000F66B8" w:rsidRPr="00F25831">
        <w:rPr>
          <w:rFonts w:ascii="Arial" w:hAnsi="Arial" w:cs="Arial"/>
          <w:b/>
          <w:bCs/>
          <w:sz w:val="22"/>
          <w:szCs w:val="22"/>
        </w:rPr>
        <w:t>Management</w:t>
      </w:r>
    </w:p>
    <w:p w14:paraId="417F661A" w14:textId="403ED9AC" w:rsidR="00C87F2A" w:rsidRPr="00F25831" w:rsidRDefault="000F66B8" w:rsidP="00C87F2A">
      <w:pPr>
        <w:pStyle w:val="Body"/>
        <w:rPr>
          <w:rFonts w:ascii="Arial" w:hAnsi="Arial" w:cs="Arial"/>
          <w:color w:val="000000" w:themeColor="text1"/>
        </w:rPr>
      </w:pPr>
      <w:r w:rsidRPr="00F25831">
        <w:rPr>
          <w:rFonts w:ascii="Arial" w:hAnsi="Arial" w:cs="Arial"/>
          <w:color w:val="000000" w:themeColor="text1"/>
        </w:rPr>
        <w:t xml:space="preserve">Given the nature of the fractures and the patient's age, closed reduction was chosen as the treatment approach to avoid the potential risks of open reduction and internal fixation (ORIF), which could interfere with facial growth and lead to long-term complications. The primary concern was to align the fractured bone segments properly to restore both function and aesthetics. </w:t>
      </w:r>
      <w:r w:rsidR="00ED3733" w:rsidRPr="00F25831">
        <w:rPr>
          <w:rFonts w:ascii="Arial" w:hAnsi="Arial" w:cs="Arial"/>
          <w:color w:val="000000" w:themeColor="text1"/>
        </w:rPr>
        <w:t>The patient’s soft tissue injuries were managed first, with the soft palatal tear sutured using interrupted silk sutures to ensure proper closure and prevent infection. Cl</w:t>
      </w:r>
      <w:r w:rsidRPr="00F25831">
        <w:rPr>
          <w:rFonts w:ascii="Arial" w:hAnsi="Arial" w:cs="Arial"/>
          <w:color w:val="000000" w:themeColor="text1"/>
        </w:rPr>
        <w:t xml:space="preserve">osed </w:t>
      </w:r>
      <w:r w:rsidR="00ED3733" w:rsidRPr="00F25831">
        <w:rPr>
          <w:rFonts w:ascii="Arial" w:hAnsi="Arial" w:cs="Arial"/>
          <w:color w:val="000000" w:themeColor="text1"/>
        </w:rPr>
        <w:t>reduction was</w:t>
      </w:r>
      <w:r w:rsidRPr="00F25831">
        <w:rPr>
          <w:rFonts w:ascii="Arial" w:hAnsi="Arial" w:cs="Arial"/>
          <w:color w:val="000000" w:themeColor="text1"/>
        </w:rPr>
        <w:t xml:space="preserve"> employed, utilizing maxillomandibular fixation (MMF)</w:t>
      </w:r>
      <w:r w:rsidR="00B877EB" w:rsidRPr="00F25831">
        <w:rPr>
          <w:rFonts w:ascii="Arial" w:hAnsi="Arial" w:cs="Arial"/>
          <w:color w:val="000000" w:themeColor="text1"/>
        </w:rPr>
        <w:t xml:space="preserve"> through fixing maxillary and mandibular arch bars to the equivalent jaws using 0.5 mm wires passing through interdental spaces, </w:t>
      </w:r>
      <w:r w:rsidRPr="00F25831">
        <w:rPr>
          <w:rFonts w:ascii="Arial" w:hAnsi="Arial" w:cs="Arial"/>
          <w:color w:val="000000" w:themeColor="text1"/>
        </w:rPr>
        <w:t>trans-maxillary fixation</w:t>
      </w:r>
      <w:r w:rsidR="00ED3733" w:rsidRPr="00F25831">
        <w:rPr>
          <w:rFonts w:ascii="Arial" w:hAnsi="Arial" w:cs="Arial"/>
          <w:color w:val="000000" w:themeColor="text1"/>
        </w:rPr>
        <w:t xml:space="preserve"> by stretching </w:t>
      </w:r>
      <w:r w:rsidR="00B877EB" w:rsidRPr="00F25831">
        <w:rPr>
          <w:rFonts w:ascii="Arial" w:hAnsi="Arial" w:cs="Arial"/>
          <w:color w:val="000000" w:themeColor="text1"/>
        </w:rPr>
        <w:t>a single</w:t>
      </w:r>
      <w:r w:rsidR="00ED3733" w:rsidRPr="00F25831">
        <w:rPr>
          <w:rFonts w:ascii="Arial" w:hAnsi="Arial" w:cs="Arial"/>
          <w:color w:val="000000" w:themeColor="text1"/>
        </w:rPr>
        <w:t xml:space="preserve"> 0.5</w:t>
      </w:r>
      <w:r w:rsidR="003304C7" w:rsidRPr="00F25831">
        <w:rPr>
          <w:rFonts w:ascii="Arial" w:hAnsi="Arial" w:cs="Arial"/>
          <w:color w:val="000000" w:themeColor="text1"/>
        </w:rPr>
        <w:t xml:space="preserve"> </w:t>
      </w:r>
      <w:r w:rsidR="00ED3733" w:rsidRPr="00F25831">
        <w:rPr>
          <w:rFonts w:ascii="Arial" w:hAnsi="Arial" w:cs="Arial"/>
          <w:color w:val="000000" w:themeColor="text1"/>
        </w:rPr>
        <w:t>mm wire in-between the maxillary first molars bilaterally. Maxillary fixation was furtherly achieved by attaching the maxillary arch bar to the frontal process of the zygomatic bone bilaterally</w:t>
      </w:r>
      <w:r w:rsidR="00B877EB" w:rsidRPr="00F25831">
        <w:rPr>
          <w:rFonts w:ascii="Arial" w:hAnsi="Arial" w:cs="Arial"/>
          <w:color w:val="000000" w:themeColor="text1"/>
        </w:rPr>
        <w:t xml:space="preserve"> using the 0.5 mm wire</w:t>
      </w:r>
      <w:r w:rsidR="00ED3733" w:rsidRPr="00F25831">
        <w:rPr>
          <w:rFonts w:ascii="Arial" w:hAnsi="Arial" w:cs="Arial"/>
          <w:color w:val="000000" w:themeColor="text1"/>
        </w:rPr>
        <w:t xml:space="preserve"> thought intraoral approach; Frontal</w:t>
      </w:r>
      <w:r w:rsidRPr="00F25831">
        <w:rPr>
          <w:rFonts w:ascii="Arial" w:hAnsi="Arial" w:cs="Arial"/>
          <w:color w:val="000000" w:themeColor="text1"/>
        </w:rPr>
        <w:t xml:space="preserve"> suspension (Figure 4). </w:t>
      </w:r>
      <w:r w:rsidR="003304C7" w:rsidRPr="00F25831">
        <w:rPr>
          <w:rFonts w:ascii="Arial" w:hAnsi="Arial" w:cs="Arial"/>
          <w:color w:val="000000" w:themeColor="text1"/>
        </w:rPr>
        <w:t xml:space="preserve">Due to minimal displacement, a </w:t>
      </w:r>
      <w:r w:rsidR="003304C7" w:rsidRPr="00F25831">
        <w:rPr>
          <w:rFonts w:ascii="Arial" w:hAnsi="Arial" w:cs="Arial"/>
          <w:iCs/>
          <w:color w:val="000000" w:themeColor="text1"/>
        </w:rPr>
        <w:t>custom-made acrylic palatal splint was of no need in our case.</w:t>
      </w:r>
      <w:r w:rsidR="003304C7" w:rsidRPr="00F25831">
        <w:rPr>
          <w:rFonts w:ascii="Arial" w:hAnsi="Arial" w:cs="Arial"/>
          <w:color w:val="000000" w:themeColor="text1"/>
        </w:rPr>
        <w:t xml:space="preserve"> The</w:t>
      </w:r>
      <w:r w:rsidRPr="00F25831">
        <w:rPr>
          <w:rFonts w:ascii="Arial" w:hAnsi="Arial" w:cs="Arial"/>
          <w:color w:val="000000" w:themeColor="text1"/>
        </w:rPr>
        <w:t xml:space="preserve"> deviated nasal septum </w:t>
      </w:r>
      <w:r w:rsidRPr="00F25831">
        <w:rPr>
          <w:rFonts w:ascii="Arial" w:hAnsi="Arial" w:cs="Arial"/>
          <w:color w:val="000000" w:themeColor="text1"/>
        </w:rPr>
        <w:lastRenderedPageBreak/>
        <w:t>was reduced</w:t>
      </w:r>
      <w:r w:rsidR="00ED3733" w:rsidRPr="00F25831">
        <w:rPr>
          <w:rFonts w:ascii="Arial" w:hAnsi="Arial" w:cs="Arial"/>
          <w:color w:val="000000" w:themeColor="text1"/>
        </w:rPr>
        <w:t xml:space="preserve"> using A</w:t>
      </w:r>
      <w:r w:rsidR="00011BBD">
        <w:rPr>
          <w:rFonts w:ascii="Arial" w:hAnsi="Arial" w:cs="Arial"/>
          <w:color w:val="000000" w:themeColor="text1"/>
        </w:rPr>
        <w:t>sch</w:t>
      </w:r>
      <w:r w:rsidR="00ED3733" w:rsidRPr="00F25831">
        <w:rPr>
          <w:rFonts w:ascii="Arial" w:hAnsi="Arial" w:cs="Arial"/>
          <w:color w:val="000000" w:themeColor="text1"/>
        </w:rPr>
        <w:t xml:space="preserve"> nasal septum forceps </w:t>
      </w:r>
      <w:r w:rsidR="00C16AF7" w:rsidRPr="00F25831">
        <w:rPr>
          <w:rFonts w:ascii="Arial" w:hAnsi="Arial" w:cs="Arial"/>
          <w:color w:val="000000" w:themeColor="text1"/>
        </w:rPr>
        <w:t xml:space="preserve">(Figure 5). Furthermore, vasilnezed </w:t>
      </w:r>
      <w:r w:rsidRPr="00F25831">
        <w:rPr>
          <w:rFonts w:ascii="Arial" w:hAnsi="Arial" w:cs="Arial"/>
          <w:color w:val="000000" w:themeColor="text1"/>
        </w:rPr>
        <w:t>gauzes were applied in</w:t>
      </w:r>
      <w:r w:rsidR="00C16AF7" w:rsidRPr="00F25831">
        <w:rPr>
          <w:rFonts w:ascii="Arial" w:hAnsi="Arial" w:cs="Arial"/>
          <w:color w:val="000000" w:themeColor="text1"/>
        </w:rPr>
        <w:t xml:space="preserve"> both nostrils maintaing reduced septum in situ achieving fracture stability, restoring</w:t>
      </w:r>
      <w:r w:rsidRPr="00F25831">
        <w:rPr>
          <w:rFonts w:ascii="Arial" w:hAnsi="Arial" w:cs="Arial"/>
          <w:color w:val="000000" w:themeColor="text1"/>
        </w:rPr>
        <w:t xml:space="preserve"> nasal shape </w:t>
      </w:r>
      <w:r w:rsidR="00C16AF7" w:rsidRPr="00F25831">
        <w:rPr>
          <w:rFonts w:ascii="Arial" w:hAnsi="Arial" w:cs="Arial"/>
          <w:color w:val="000000" w:themeColor="text1"/>
        </w:rPr>
        <w:t>as well as preventing</w:t>
      </w:r>
      <w:r w:rsidRPr="00F25831">
        <w:rPr>
          <w:rFonts w:ascii="Arial" w:hAnsi="Arial" w:cs="Arial"/>
          <w:color w:val="000000" w:themeColor="text1"/>
        </w:rPr>
        <w:t xml:space="preserve"> epistaxis (Figure </w:t>
      </w:r>
      <w:r w:rsidR="00C16AF7" w:rsidRPr="00F25831">
        <w:rPr>
          <w:rFonts w:ascii="Arial" w:hAnsi="Arial" w:cs="Arial"/>
          <w:color w:val="000000" w:themeColor="text1"/>
        </w:rPr>
        <w:t>6</w:t>
      </w:r>
      <w:r w:rsidRPr="00F25831">
        <w:rPr>
          <w:rFonts w:ascii="Arial" w:hAnsi="Arial" w:cs="Arial"/>
          <w:color w:val="000000" w:themeColor="text1"/>
        </w:rPr>
        <w:t>).</w:t>
      </w:r>
      <w:r w:rsidR="00C87F2A" w:rsidRPr="00F25831">
        <w:rPr>
          <w:rFonts w:ascii="Arial" w:hAnsi="Arial" w:cs="Arial"/>
          <w:color w:val="000000" w:themeColor="text1"/>
        </w:rPr>
        <w:t xml:space="preserve"> Postoperative skull lateral view X-rays revealed proper reduction and alignment of the fractured segments (Figure 7).</w:t>
      </w:r>
    </w:p>
    <w:p w14:paraId="02D69CD7" w14:textId="20098A6A" w:rsidR="00673521" w:rsidRPr="00F25831" w:rsidRDefault="00A90D7B" w:rsidP="000F66B8">
      <w:pPr>
        <w:pStyle w:val="Body"/>
        <w:rPr>
          <w:rFonts w:ascii="Arial" w:hAnsi="Arial" w:cs="Arial"/>
        </w:rPr>
      </w:pPr>
      <w:r w:rsidRPr="00F25831">
        <w:rPr>
          <w:rFonts w:ascii="Arial" w:hAnsi="Arial" w:cs="Arial"/>
          <w:noProof/>
        </w:rPr>
        <w:drawing>
          <wp:anchor distT="0" distB="0" distL="114300" distR="114300" simplePos="0" relativeHeight="251681280" behindDoc="0" locked="0" layoutInCell="1" allowOverlap="1" wp14:anchorId="5BC06F21" wp14:editId="39ABAFB1">
            <wp:simplePos x="0" y="0"/>
            <wp:positionH relativeFrom="margin">
              <wp:posOffset>685800</wp:posOffset>
            </wp:positionH>
            <wp:positionV relativeFrom="paragraph">
              <wp:posOffset>10160</wp:posOffset>
            </wp:positionV>
            <wp:extent cx="3937142" cy="3040380"/>
            <wp:effectExtent l="0" t="0" r="6350" b="7620"/>
            <wp:wrapNone/>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937142" cy="3040380"/>
                    </a:xfrm>
                    <a:prstGeom prst="rect">
                      <a:avLst/>
                    </a:prstGeom>
                  </pic:spPr>
                </pic:pic>
              </a:graphicData>
            </a:graphic>
            <wp14:sizeRelH relativeFrom="page">
              <wp14:pctWidth>0</wp14:pctWidth>
            </wp14:sizeRelH>
            <wp14:sizeRelV relativeFrom="page">
              <wp14:pctHeight>0</wp14:pctHeight>
            </wp14:sizeRelV>
          </wp:anchor>
        </w:drawing>
      </w:r>
    </w:p>
    <w:p w14:paraId="3A0D0B8D" w14:textId="3B4BD444" w:rsidR="00673521" w:rsidRPr="00F25831" w:rsidRDefault="00673521" w:rsidP="000F66B8">
      <w:pPr>
        <w:pStyle w:val="Body"/>
        <w:rPr>
          <w:rFonts w:ascii="Arial" w:hAnsi="Arial" w:cs="Arial"/>
          <w:rtl/>
        </w:rPr>
      </w:pPr>
    </w:p>
    <w:p w14:paraId="671B0EB1" w14:textId="140F7BEA" w:rsidR="000F66B8" w:rsidRPr="00F25831" w:rsidRDefault="000F66B8" w:rsidP="000F66B8">
      <w:pPr>
        <w:pStyle w:val="Body"/>
        <w:rPr>
          <w:rFonts w:ascii="Arial" w:hAnsi="Arial" w:cs="Arial"/>
          <w:rtl/>
        </w:rPr>
      </w:pPr>
    </w:p>
    <w:p w14:paraId="31116ACB" w14:textId="043ABCB9" w:rsidR="000F66B8" w:rsidRPr="00F25831" w:rsidRDefault="000F66B8" w:rsidP="000F66B8">
      <w:pPr>
        <w:pStyle w:val="Body"/>
        <w:rPr>
          <w:rFonts w:ascii="Arial" w:hAnsi="Arial" w:cs="Arial"/>
          <w:rtl/>
        </w:rPr>
      </w:pPr>
    </w:p>
    <w:p w14:paraId="5C66C9EA" w14:textId="6E5D0580" w:rsidR="000F66B8" w:rsidRPr="00F25831" w:rsidRDefault="000F66B8" w:rsidP="000F66B8">
      <w:pPr>
        <w:pStyle w:val="Body"/>
        <w:rPr>
          <w:rFonts w:ascii="Arial" w:hAnsi="Arial" w:cs="Arial"/>
          <w:rtl/>
        </w:rPr>
      </w:pPr>
    </w:p>
    <w:p w14:paraId="01A8E422" w14:textId="023CEB63" w:rsidR="000F66B8" w:rsidRPr="00F25831" w:rsidRDefault="000F66B8" w:rsidP="000F66B8">
      <w:pPr>
        <w:pStyle w:val="Body"/>
        <w:rPr>
          <w:rFonts w:ascii="Arial" w:hAnsi="Arial" w:cs="Arial"/>
          <w:rtl/>
        </w:rPr>
      </w:pPr>
    </w:p>
    <w:p w14:paraId="560EDAB2" w14:textId="12E8D3A1" w:rsidR="000F66B8" w:rsidRPr="00F25831" w:rsidRDefault="000F66B8" w:rsidP="000F66B8">
      <w:pPr>
        <w:pStyle w:val="Body"/>
        <w:rPr>
          <w:rFonts w:ascii="Arial" w:hAnsi="Arial" w:cs="Arial"/>
          <w:rtl/>
        </w:rPr>
      </w:pPr>
    </w:p>
    <w:p w14:paraId="090B8FB9" w14:textId="77777777" w:rsidR="000F66B8" w:rsidRPr="00F25831" w:rsidRDefault="000F66B8" w:rsidP="000F66B8">
      <w:pPr>
        <w:pStyle w:val="Body"/>
        <w:rPr>
          <w:rFonts w:ascii="Arial" w:hAnsi="Arial" w:cs="Arial"/>
          <w:rtl/>
        </w:rPr>
      </w:pPr>
    </w:p>
    <w:p w14:paraId="2E63DD50" w14:textId="77777777" w:rsidR="000F66B8" w:rsidRPr="00F25831" w:rsidRDefault="000F66B8" w:rsidP="000F66B8">
      <w:pPr>
        <w:pStyle w:val="Body"/>
        <w:rPr>
          <w:rFonts w:ascii="Arial" w:hAnsi="Arial" w:cs="Arial"/>
        </w:rPr>
      </w:pPr>
    </w:p>
    <w:p w14:paraId="7963E03C" w14:textId="77777777" w:rsidR="00C16AF7" w:rsidRPr="00F25831" w:rsidRDefault="00C16AF7" w:rsidP="000F66B8">
      <w:pPr>
        <w:pStyle w:val="Body"/>
        <w:rPr>
          <w:rFonts w:ascii="Arial" w:hAnsi="Arial" w:cs="Arial"/>
        </w:rPr>
      </w:pPr>
    </w:p>
    <w:p w14:paraId="7B144C95" w14:textId="77777777" w:rsidR="00B877EB" w:rsidRPr="00F25831" w:rsidRDefault="00B877EB" w:rsidP="00B877EB">
      <w:pPr>
        <w:pStyle w:val="Body"/>
        <w:spacing w:after="0"/>
        <w:rPr>
          <w:rFonts w:ascii="Arial" w:hAnsi="Arial" w:cs="Arial"/>
        </w:rPr>
      </w:pPr>
    </w:p>
    <w:p w14:paraId="3B53D450" w14:textId="5E43B8BE" w:rsidR="000911EC" w:rsidRPr="00F25831" w:rsidRDefault="00601C11" w:rsidP="00B877EB">
      <w:pPr>
        <w:pStyle w:val="Body"/>
        <w:spacing w:after="0"/>
        <w:rPr>
          <w:rFonts w:ascii="Arial" w:hAnsi="Arial" w:cs="Arial"/>
        </w:rPr>
      </w:pPr>
      <w:r w:rsidRPr="00F25831">
        <w:rPr>
          <w:rFonts w:ascii="Arial" w:hAnsi="Arial" w:cs="Arial"/>
        </w:rPr>
        <w:t xml:space="preserve">Figure </w:t>
      </w:r>
      <w:r w:rsidR="001439B6" w:rsidRPr="00F25831">
        <w:rPr>
          <w:rFonts w:ascii="Arial" w:hAnsi="Arial" w:cs="Arial"/>
        </w:rPr>
        <w:t>4</w:t>
      </w:r>
      <w:r w:rsidRPr="00F25831">
        <w:rPr>
          <w:rFonts w:ascii="Arial" w:hAnsi="Arial" w:cs="Arial"/>
        </w:rPr>
        <w:t>: Postoperative Clinical Photograph Showing</w:t>
      </w:r>
      <w:r w:rsidR="005B3A81" w:rsidRPr="00F25831">
        <w:rPr>
          <w:rFonts w:ascii="Arial" w:hAnsi="Arial" w:cs="Arial"/>
        </w:rPr>
        <w:t xml:space="preserve"> The soft palatal tear was sutured using interrupted silk sutures</w:t>
      </w:r>
      <w:r w:rsidR="001439B6" w:rsidRPr="00F25831">
        <w:rPr>
          <w:rFonts w:ascii="Arial" w:hAnsi="Arial" w:cs="Arial"/>
        </w:rPr>
        <w:t>, Mandibular and maxillary arch bars (</w:t>
      </w:r>
      <w:r w:rsidR="006B18B5" w:rsidRPr="00F25831">
        <w:rPr>
          <w:rFonts w:ascii="Arial" w:hAnsi="Arial" w:cs="Arial"/>
        </w:rPr>
        <w:t>w</w:t>
      </w:r>
      <w:r w:rsidR="001439B6" w:rsidRPr="00F25831">
        <w:rPr>
          <w:rFonts w:ascii="Arial" w:hAnsi="Arial" w:cs="Arial"/>
        </w:rPr>
        <w:t>hite arrows) and the transmaxillary wire (</w:t>
      </w:r>
      <w:r w:rsidR="006B18B5" w:rsidRPr="00F25831">
        <w:rPr>
          <w:rFonts w:ascii="Arial" w:hAnsi="Arial" w:cs="Arial"/>
        </w:rPr>
        <w:t>b</w:t>
      </w:r>
      <w:r w:rsidR="001439B6" w:rsidRPr="00F25831">
        <w:rPr>
          <w:rFonts w:ascii="Arial" w:hAnsi="Arial" w:cs="Arial"/>
        </w:rPr>
        <w:t>lack arrow).</w:t>
      </w:r>
    </w:p>
    <w:p w14:paraId="627A0308" w14:textId="2111662D" w:rsidR="00C16AF7" w:rsidRPr="00F25831" w:rsidRDefault="00C16AF7" w:rsidP="00C16AF7">
      <w:pPr>
        <w:pStyle w:val="Body"/>
        <w:jc w:val="center"/>
        <w:rPr>
          <w:rFonts w:ascii="Arial" w:hAnsi="Arial" w:cs="Arial"/>
        </w:rPr>
      </w:pPr>
      <w:r w:rsidRPr="00F25831">
        <w:rPr>
          <w:rFonts w:ascii="Arial" w:hAnsi="Arial" w:cs="Arial"/>
          <w:noProof/>
        </w:rPr>
        <w:drawing>
          <wp:inline distT="0" distB="0" distL="0" distR="0" wp14:anchorId="1869DE2B" wp14:editId="57117268">
            <wp:extent cx="3246120" cy="3246120"/>
            <wp:effectExtent l="0" t="0" r="0" b="0"/>
            <wp:docPr id="2" name="Рисунок 2" descr="Picture backgroun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icture background"/>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46120" cy="3246120"/>
                    </a:xfrm>
                    <a:prstGeom prst="rect">
                      <a:avLst/>
                    </a:prstGeom>
                    <a:noFill/>
                    <a:ln>
                      <a:noFill/>
                    </a:ln>
                  </pic:spPr>
                </pic:pic>
              </a:graphicData>
            </a:graphic>
          </wp:inline>
        </w:drawing>
      </w:r>
    </w:p>
    <w:p w14:paraId="7BA058E7" w14:textId="073AAF26" w:rsidR="00C16AF7" w:rsidRPr="00F25831" w:rsidRDefault="00C16AF7" w:rsidP="00C16AF7">
      <w:pPr>
        <w:pStyle w:val="Body"/>
        <w:jc w:val="center"/>
        <w:rPr>
          <w:rFonts w:ascii="Arial" w:hAnsi="Arial" w:cs="Arial"/>
        </w:rPr>
      </w:pPr>
      <w:r w:rsidRPr="00F25831">
        <w:rPr>
          <w:rFonts w:ascii="Arial" w:hAnsi="Arial" w:cs="Arial"/>
        </w:rPr>
        <w:t>Figure 5: A</w:t>
      </w:r>
      <w:r w:rsidR="00011BBD">
        <w:rPr>
          <w:rFonts w:ascii="Arial" w:hAnsi="Arial" w:cs="Arial"/>
        </w:rPr>
        <w:t>sch</w:t>
      </w:r>
      <w:r w:rsidRPr="00F25831">
        <w:rPr>
          <w:rFonts w:ascii="Arial" w:hAnsi="Arial" w:cs="Arial"/>
        </w:rPr>
        <w:t xml:space="preserve"> nasal septum forceps.</w:t>
      </w:r>
    </w:p>
    <w:p w14:paraId="1DBFF95B" w14:textId="212B89B4" w:rsidR="00436653" w:rsidRPr="00F25831" w:rsidRDefault="00C87F2A" w:rsidP="000F66B8">
      <w:pPr>
        <w:pStyle w:val="Body"/>
        <w:rPr>
          <w:rFonts w:ascii="Arial" w:hAnsi="Arial" w:cs="Arial"/>
        </w:rPr>
      </w:pPr>
      <w:r w:rsidRPr="00F25831">
        <w:rPr>
          <w:rFonts w:ascii="Arial" w:hAnsi="Arial" w:cs="Arial"/>
          <w:noProof/>
        </w:rPr>
        <w:lastRenderedPageBreak/>
        <w:drawing>
          <wp:anchor distT="0" distB="0" distL="114300" distR="114300" simplePos="0" relativeHeight="251699712" behindDoc="0" locked="0" layoutInCell="1" allowOverlap="1" wp14:anchorId="3ECD0513" wp14:editId="45AD2BE5">
            <wp:simplePos x="0" y="0"/>
            <wp:positionH relativeFrom="margin">
              <wp:posOffset>922020</wp:posOffset>
            </wp:positionH>
            <wp:positionV relativeFrom="paragraph">
              <wp:posOffset>-228600</wp:posOffset>
            </wp:positionV>
            <wp:extent cx="3560340" cy="3291840"/>
            <wp:effectExtent l="0" t="0" r="2540" b="381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3564836" cy="3295997"/>
                    </a:xfrm>
                    <a:prstGeom prst="rect">
                      <a:avLst/>
                    </a:prstGeom>
                  </pic:spPr>
                </pic:pic>
              </a:graphicData>
            </a:graphic>
            <wp14:sizeRelH relativeFrom="page">
              <wp14:pctWidth>0</wp14:pctWidth>
            </wp14:sizeRelH>
            <wp14:sizeRelV relativeFrom="page">
              <wp14:pctHeight>0</wp14:pctHeight>
            </wp14:sizeRelV>
          </wp:anchor>
        </w:drawing>
      </w:r>
    </w:p>
    <w:p w14:paraId="416477C9" w14:textId="3BEA28C9" w:rsidR="00436653" w:rsidRPr="00F25831" w:rsidRDefault="00436653" w:rsidP="000F66B8">
      <w:pPr>
        <w:pStyle w:val="Body"/>
        <w:rPr>
          <w:rFonts w:ascii="Arial" w:hAnsi="Arial" w:cs="Arial"/>
        </w:rPr>
      </w:pPr>
    </w:p>
    <w:p w14:paraId="1285FA50" w14:textId="049609A0" w:rsidR="00436653" w:rsidRPr="00F25831" w:rsidRDefault="00436653" w:rsidP="000F66B8">
      <w:pPr>
        <w:pStyle w:val="Body"/>
        <w:rPr>
          <w:rFonts w:ascii="Arial" w:hAnsi="Arial" w:cs="Arial"/>
        </w:rPr>
      </w:pPr>
    </w:p>
    <w:p w14:paraId="770206FD" w14:textId="11291403" w:rsidR="00436653" w:rsidRPr="00F25831" w:rsidRDefault="00436653" w:rsidP="000F66B8">
      <w:pPr>
        <w:pStyle w:val="Body"/>
        <w:rPr>
          <w:rFonts w:ascii="Arial" w:hAnsi="Arial" w:cs="Arial"/>
        </w:rPr>
      </w:pPr>
    </w:p>
    <w:p w14:paraId="48908369" w14:textId="6FC6FD37" w:rsidR="00436653" w:rsidRPr="00F25831" w:rsidRDefault="00436653" w:rsidP="000F66B8">
      <w:pPr>
        <w:pStyle w:val="Body"/>
        <w:spacing w:after="0"/>
        <w:rPr>
          <w:rFonts w:ascii="Arial" w:hAnsi="Arial" w:cs="Arial"/>
        </w:rPr>
      </w:pPr>
    </w:p>
    <w:p w14:paraId="5720B96B" w14:textId="7D14584E" w:rsidR="00673521" w:rsidRPr="00F25831" w:rsidRDefault="00673521" w:rsidP="000F66B8">
      <w:pPr>
        <w:pStyle w:val="Body"/>
        <w:rPr>
          <w:rFonts w:ascii="Arial" w:hAnsi="Arial" w:cs="Arial"/>
        </w:rPr>
      </w:pPr>
    </w:p>
    <w:p w14:paraId="108C9C1A" w14:textId="7D4D5D58" w:rsidR="00C16AF7" w:rsidRPr="00F25831" w:rsidRDefault="00C16AF7" w:rsidP="000F66B8">
      <w:pPr>
        <w:pStyle w:val="Body"/>
        <w:rPr>
          <w:rFonts w:ascii="Arial" w:hAnsi="Arial" w:cs="Arial"/>
        </w:rPr>
      </w:pPr>
    </w:p>
    <w:p w14:paraId="1C02F940" w14:textId="3920BE87" w:rsidR="00C16AF7" w:rsidRPr="00F25831" w:rsidRDefault="00C16AF7" w:rsidP="000F66B8">
      <w:pPr>
        <w:pStyle w:val="Body"/>
        <w:rPr>
          <w:rFonts w:ascii="Arial" w:hAnsi="Arial" w:cs="Arial"/>
        </w:rPr>
      </w:pPr>
    </w:p>
    <w:p w14:paraId="383A1650" w14:textId="2776C9AA" w:rsidR="00C16AF7" w:rsidRPr="00F25831" w:rsidRDefault="00C16AF7" w:rsidP="000F66B8">
      <w:pPr>
        <w:pStyle w:val="Body"/>
        <w:rPr>
          <w:rFonts w:ascii="Arial" w:hAnsi="Arial" w:cs="Arial"/>
        </w:rPr>
      </w:pPr>
    </w:p>
    <w:p w14:paraId="132346FE" w14:textId="4B6735A5" w:rsidR="00C16AF7" w:rsidRPr="00F25831" w:rsidRDefault="00C16AF7" w:rsidP="000F66B8">
      <w:pPr>
        <w:pStyle w:val="Body"/>
        <w:rPr>
          <w:rFonts w:ascii="Arial" w:hAnsi="Arial" w:cs="Arial"/>
        </w:rPr>
      </w:pPr>
    </w:p>
    <w:p w14:paraId="5181DDB2" w14:textId="77777777" w:rsidR="00C16AF7" w:rsidRPr="00F25831" w:rsidRDefault="00C16AF7" w:rsidP="000F66B8">
      <w:pPr>
        <w:pStyle w:val="Body"/>
        <w:rPr>
          <w:rFonts w:ascii="Arial" w:hAnsi="Arial" w:cs="Arial"/>
        </w:rPr>
      </w:pPr>
    </w:p>
    <w:p w14:paraId="4D679560" w14:textId="69D56A14" w:rsidR="00FB7684" w:rsidRPr="00FB7684" w:rsidRDefault="00FB7684" w:rsidP="000F66B8">
      <w:pPr>
        <w:pStyle w:val="Body"/>
        <w:rPr>
          <w:rFonts w:ascii="Arial" w:hAnsi="Arial" w:cs="Arial"/>
        </w:rPr>
      </w:pPr>
      <w:r w:rsidRPr="00F25831">
        <w:rPr>
          <w:rFonts w:ascii="Arial" w:hAnsi="Arial" w:cs="Arial"/>
        </w:rPr>
        <w:t xml:space="preserve">Figure </w:t>
      </w:r>
      <w:r w:rsidR="00C16AF7" w:rsidRPr="00F25831">
        <w:rPr>
          <w:rFonts w:ascii="Arial" w:hAnsi="Arial" w:cs="Arial"/>
        </w:rPr>
        <w:t>6</w:t>
      </w:r>
      <w:r w:rsidRPr="00F25831">
        <w:rPr>
          <w:rFonts w:ascii="Arial" w:hAnsi="Arial" w:cs="Arial"/>
        </w:rPr>
        <w:t>:  Postoperative Clinical Photograph Demonstrating vasilnezed gauzes have applied into the nasal cavity (</w:t>
      </w:r>
      <w:r w:rsidR="006B18B5" w:rsidRPr="00F25831">
        <w:rPr>
          <w:rFonts w:ascii="Arial" w:hAnsi="Arial" w:cs="Arial"/>
        </w:rPr>
        <w:t>r</w:t>
      </w:r>
      <w:r w:rsidRPr="00F25831">
        <w:rPr>
          <w:rFonts w:ascii="Arial" w:hAnsi="Arial" w:cs="Arial"/>
        </w:rPr>
        <w:t>ed arrows).</w:t>
      </w:r>
    </w:p>
    <w:p w14:paraId="60FDE893" w14:textId="3D1AFB9E" w:rsidR="005B3A81" w:rsidRDefault="00C87F2A" w:rsidP="000F66B8">
      <w:pPr>
        <w:pStyle w:val="Body"/>
        <w:rPr>
          <w:rFonts w:ascii="Arial" w:hAnsi="Arial" w:cs="Arial"/>
          <w:color w:val="000000" w:themeColor="text1"/>
        </w:rPr>
      </w:pPr>
      <w:r w:rsidRPr="005B3A81">
        <w:rPr>
          <w:rFonts w:ascii="Arial" w:hAnsi="Arial" w:cs="Arial"/>
          <w:noProof/>
          <w:color w:val="000000" w:themeColor="text1"/>
        </w:rPr>
        <w:drawing>
          <wp:anchor distT="0" distB="0" distL="114300" distR="114300" simplePos="0" relativeHeight="251688448" behindDoc="0" locked="0" layoutInCell="1" allowOverlap="1" wp14:anchorId="13F2D27A" wp14:editId="592A7D73">
            <wp:simplePos x="0" y="0"/>
            <wp:positionH relativeFrom="column">
              <wp:posOffset>810260</wp:posOffset>
            </wp:positionH>
            <wp:positionV relativeFrom="paragraph">
              <wp:posOffset>218440</wp:posOffset>
            </wp:positionV>
            <wp:extent cx="3830257" cy="3171814"/>
            <wp:effectExtent l="0" t="0" r="0" b="0"/>
            <wp:wrapNone/>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3830257" cy="3171814"/>
                    </a:xfrm>
                    <a:prstGeom prst="rect">
                      <a:avLst/>
                    </a:prstGeom>
                  </pic:spPr>
                </pic:pic>
              </a:graphicData>
            </a:graphic>
            <wp14:sizeRelH relativeFrom="page">
              <wp14:pctWidth>0</wp14:pctWidth>
            </wp14:sizeRelH>
            <wp14:sizeRelV relativeFrom="page">
              <wp14:pctHeight>0</wp14:pctHeight>
            </wp14:sizeRelV>
          </wp:anchor>
        </w:drawing>
      </w:r>
    </w:p>
    <w:p w14:paraId="41A41464" w14:textId="3DD3A8D6" w:rsidR="005B3A81" w:rsidRDefault="005B3A81" w:rsidP="000F66B8">
      <w:pPr>
        <w:pStyle w:val="Body"/>
        <w:rPr>
          <w:rFonts w:ascii="Arial" w:hAnsi="Arial" w:cs="Arial"/>
          <w:color w:val="000000" w:themeColor="text1"/>
        </w:rPr>
      </w:pPr>
    </w:p>
    <w:p w14:paraId="7C00F500" w14:textId="26C47EC9" w:rsidR="005B3A81" w:rsidRDefault="005B3A81" w:rsidP="000F66B8">
      <w:pPr>
        <w:pStyle w:val="Body"/>
        <w:rPr>
          <w:rFonts w:ascii="Arial" w:hAnsi="Arial" w:cs="Arial"/>
          <w:color w:val="000000" w:themeColor="text1"/>
        </w:rPr>
      </w:pPr>
    </w:p>
    <w:p w14:paraId="4A6E3B77" w14:textId="3AE36E43" w:rsidR="005B3A81" w:rsidRDefault="005B3A81" w:rsidP="000F66B8">
      <w:pPr>
        <w:pStyle w:val="Body"/>
        <w:rPr>
          <w:rFonts w:ascii="Arial" w:hAnsi="Arial" w:cs="Arial"/>
          <w:color w:val="000000" w:themeColor="text1"/>
        </w:rPr>
      </w:pPr>
    </w:p>
    <w:p w14:paraId="3CC6D3E8" w14:textId="2752B8FC" w:rsidR="005B3A81" w:rsidRDefault="005B3A81" w:rsidP="000F66B8">
      <w:pPr>
        <w:pStyle w:val="Body"/>
        <w:rPr>
          <w:rFonts w:ascii="Arial" w:hAnsi="Arial" w:cs="Arial"/>
          <w:color w:val="000000" w:themeColor="text1"/>
        </w:rPr>
      </w:pPr>
    </w:p>
    <w:p w14:paraId="2B8F66A0" w14:textId="1B956395" w:rsidR="005B3A81" w:rsidRDefault="005B3A81" w:rsidP="000F66B8">
      <w:pPr>
        <w:pStyle w:val="Body"/>
        <w:rPr>
          <w:rFonts w:ascii="Arial" w:hAnsi="Arial" w:cs="Arial"/>
          <w:color w:val="000000" w:themeColor="text1"/>
          <w:rtl/>
        </w:rPr>
      </w:pPr>
    </w:p>
    <w:p w14:paraId="4D1A0785" w14:textId="77777777" w:rsidR="000F66B8" w:rsidRDefault="000F66B8" w:rsidP="000F66B8">
      <w:pPr>
        <w:pStyle w:val="Body"/>
        <w:rPr>
          <w:rFonts w:ascii="Arial" w:hAnsi="Arial" w:cs="Arial"/>
          <w:color w:val="000000" w:themeColor="text1"/>
        </w:rPr>
      </w:pPr>
    </w:p>
    <w:p w14:paraId="0AC409F9" w14:textId="780492AD" w:rsidR="005B3A81" w:rsidRDefault="005B3A81" w:rsidP="000F66B8">
      <w:pPr>
        <w:pStyle w:val="Body"/>
        <w:rPr>
          <w:rFonts w:ascii="Arial" w:hAnsi="Arial" w:cs="Arial"/>
          <w:color w:val="000000" w:themeColor="text1"/>
        </w:rPr>
      </w:pPr>
    </w:p>
    <w:p w14:paraId="7FFD1BA7" w14:textId="77777777" w:rsidR="00FB7684" w:rsidRDefault="00FB7684" w:rsidP="000F66B8">
      <w:pPr>
        <w:pStyle w:val="Body"/>
        <w:rPr>
          <w:rFonts w:ascii="Arial" w:hAnsi="Arial" w:cs="Arial"/>
          <w:color w:val="000000" w:themeColor="text1"/>
        </w:rPr>
      </w:pPr>
    </w:p>
    <w:p w14:paraId="2D6AED78" w14:textId="77777777" w:rsidR="00FB7684" w:rsidRDefault="00FB7684" w:rsidP="000F66B8">
      <w:pPr>
        <w:pStyle w:val="Body"/>
        <w:spacing w:after="0"/>
        <w:rPr>
          <w:rFonts w:ascii="Arial" w:hAnsi="Arial" w:cs="Arial"/>
          <w:color w:val="000000" w:themeColor="text1"/>
        </w:rPr>
      </w:pPr>
    </w:p>
    <w:p w14:paraId="7CEE703C" w14:textId="77777777" w:rsidR="002462CB" w:rsidRDefault="002462CB" w:rsidP="000F66B8">
      <w:pPr>
        <w:pStyle w:val="Body"/>
        <w:spacing w:after="0"/>
        <w:rPr>
          <w:rFonts w:ascii="Arial" w:hAnsi="Arial" w:cs="Arial"/>
          <w:color w:val="000000" w:themeColor="text1"/>
        </w:rPr>
      </w:pPr>
    </w:p>
    <w:p w14:paraId="14D29B08" w14:textId="77777777" w:rsidR="002462CB" w:rsidRDefault="002462CB" w:rsidP="000F66B8">
      <w:pPr>
        <w:pStyle w:val="Body"/>
        <w:spacing w:after="0"/>
        <w:rPr>
          <w:rFonts w:ascii="Arial" w:hAnsi="Arial" w:cs="Arial"/>
          <w:color w:val="000000" w:themeColor="text1"/>
        </w:rPr>
      </w:pPr>
    </w:p>
    <w:p w14:paraId="1EAF0997" w14:textId="77777777" w:rsidR="00673521" w:rsidRDefault="00673521" w:rsidP="000F66B8">
      <w:pPr>
        <w:pStyle w:val="Body"/>
        <w:spacing w:after="0"/>
        <w:rPr>
          <w:rFonts w:ascii="Arial" w:hAnsi="Arial" w:cs="Arial"/>
          <w:color w:val="000000" w:themeColor="text1"/>
        </w:rPr>
      </w:pPr>
    </w:p>
    <w:p w14:paraId="68EB97D2" w14:textId="77777777" w:rsidR="00F12A21" w:rsidRDefault="00F12A21" w:rsidP="000F66B8">
      <w:pPr>
        <w:pStyle w:val="Body"/>
        <w:spacing w:after="0"/>
        <w:rPr>
          <w:rFonts w:ascii="Arial" w:hAnsi="Arial" w:cs="Arial"/>
          <w:color w:val="000000" w:themeColor="text1"/>
        </w:rPr>
      </w:pPr>
    </w:p>
    <w:p w14:paraId="31C02C86" w14:textId="77777777" w:rsidR="00C87F2A" w:rsidRDefault="00C87F2A" w:rsidP="000F66B8">
      <w:pPr>
        <w:pStyle w:val="Body"/>
        <w:spacing w:after="0"/>
        <w:rPr>
          <w:rFonts w:ascii="Arial" w:hAnsi="Arial" w:cs="Arial"/>
          <w:color w:val="000000" w:themeColor="text1"/>
        </w:rPr>
      </w:pPr>
    </w:p>
    <w:p w14:paraId="627BF746" w14:textId="598168EA" w:rsidR="005B3A81" w:rsidRPr="00F25831" w:rsidRDefault="005B3A81" w:rsidP="000F66B8">
      <w:pPr>
        <w:pStyle w:val="Body"/>
        <w:spacing w:after="0"/>
        <w:rPr>
          <w:rFonts w:ascii="Arial" w:hAnsi="Arial" w:cs="Arial"/>
        </w:rPr>
      </w:pPr>
      <w:r w:rsidRPr="00F25831">
        <w:rPr>
          <w:rFonts w:ascii="Arial" w:hAnsi="Arial" w:cs="Arial"/>
          <w:color w:val="000000" w:themeColor="text1"/>
        </w:rPr>
        <w:t xml:space="preserve">Figure </w:t>
      </w:r>
      <w:r w:rsidR="00C87F2A" w:rsidRPr="00F25831">
        <w:rPr>
          <w:rFonts w:ascii="Arial" w:hAnsi="Arial" w:cs="Arial"/>
          <w:color w:val="000000" w:themeColor="text1"/>
        </w:rPr>
        <w:t>7</w:t>
      </w:r>
      <w:r w:rsidRPr="00F25831">
        <w:rPr>
          <w:rFonts w:ascii="Arial" w:hAnsi="Arial" w:cs="Arial"/>
          <w:color w:val="000000" w:themeColor="text1"/>
        </w:rPr>
        <w:t>:</w:t>
      </w:r>
      <w:r w:rsidRPr="00F25831">
        <w:rPr>
          <w:rFonts w:ascii="Arial" w:hAnsi="Arial" w:cs="Arial"/>
        </w:rPr>
        <w:t xml:space="preserve"> Postoperative Clinical </w:t>
      </w:r>
      <w:r w:rsidR="00085A0D" w:rsidRPr="00F25831">
        <w:rPr>
          <w:rFonts w:ascii="Arial" w:hAnsi="Arial" w:cs="Arial"/>
        </w:rPr>
        <w:t>Radiograph</w:t>
      </w:r>
      <w:r w:rsidRPr="00F25831">
        <w:rPr>
          <w:rFonts w:ascii="Arial" w:hAnsi="Arial" w:cs="Arial"/>
        </w:rPr>
        <w:t xml:space="preserve"> Showing</w:t>
      </w:r>
      <w:r w:rsidR="00085A0D" w:rsidRPr="00F25831">
        <w:rPr>
          <w:rFonts w:ascii="Arial" w:hAnsi="Arial" w:cs="Arial"/>
        </w:rPr>
        <w:t xml:space="preserve"> the </w:t>
      </w:r>
      <w:r w:rsidR="00FB7684" w:rsidRPr="00F25831">
        <w:rPr>
          <w:rFonts w:ascii="Arial" w:hAnsi="Arial" w:cs="Arial"/>
        </w:rPr>
        <w:t>maxillary and mandibular arch bars (</w:t>
      </w:r>
      <w:r w:rsidR="006B18B5" w:rsidRPr="00F25831">
        <w:rPr>
          <w:rFonts w:ascii="Arial" w:hAnsi="Arial" w:cs="Arial"/>
        </w:rPr>
        <w:t>w</w:t>
      </w:r>
      <w:r w:rsidR="00FB7684" w:rsidRPr="00F25831">
        <w:rPr>
          <w:rFonts w:ascii="Arial" w:hAnsi="Arial" w:cs="Arial"/>
        </w:rPr>
        <w:t>hite arrows) and the frontal suspension wire cables (</w:t>
      </w:r>
      <w:r w:rsidR="006B18B5" w:rsidRPr="00F25831">
        <w:rPr>
          <w:rFonts w:ascii="Arial" w:hAnsi="Arial" w:cs="Arial"/>
        </w:rPr>
        <w:t>r</w:t>
      </w:r>
      <w:r w:rsidR="00FB7684" w:rsidRPr="00F25831">
        <w:rPr>
          <w:rFonts w:ascii="Arial" w:hAnsi="Arial" w:cs="Arial"/>
        </w:rPr>
        <w:t>ed arrows).</w:t>
      </w:r>
    </w:p>
    <w:p w14:paraId="5972AE4C" w14:textId="77777777" w:rsidR="00B877EB" w:rsidRPr="00F25831" w:rsidRDefault="00B877EB" w:rsidP="000F66B8">
      <w:pPr>
        <w:pStyle w:val="Body"/>
        <w:rPr>
          <w:rFonts w:ascii="Arial" w:hAnsi="Arial" w:cs="Arial"/>
          <w:b/>
          <w:bCs/>
          <w:sz w:val="22"/>
          <w:szCs w:val="22"/>
        </w:rPr>
      </w:pPr>
    </w:p>
    <w:p w14:paraId="70EA64B8" w14:textId="235D9D92" w:rsidR="000911EC" w:rsidRPr="00F25831" w:rsidRDefault="00DF69C9" w:rsidP="000F66B8">
      <w:pPr>
        <w:pStyle w:val="Body"/>
        <w:rPr>
          <w:rFonts w:ascii="Arial" w:hAnsi="Arial" w:cs="Arial"/>
          <w:b/>
          <w:bCs/>
          <w:sz w:val="22"/>
          <w:szCs w:val="22"/>
        </w:rPr>
      </w:pPr>
      <w:r w:rsidRPr="00F25831">
        <w:rPr>
          <w:rFonts w:ascii="Arial" w:hAnsi="Arial" w:cs="Arial"/>
          <w:b/>
          <w:bCs/>
          <w:sz w:val="22"/>
          <w:szCs w:val="22"/>
        </w:rPr>
        <w:lastRenderedPageBreak/>
        <w:t>2.</w:t>
      </w:r>
      <w:r w:rsidR="00085A0D" w:rsidRPr="00F25831">
        <w:rPr>
          <w:rFonts w:ascii="Arial" w:hAnsi="Arial" w:cs="Arial"/>
          <w:b/>
          <w:bCs/>
          <w:sz w:val="22"/>
          <w:szCs w:val="22"/>
        </w:rPr>
        <w:t>3</w:t>
      </w:r>
      <w:r w:rsidRPr="00F25831">
        <w:rPr>
          <w:rFonts w:ascii="Arial" w:hAnsi="Arial" w:cs="Arial"/>
          <w:b/>
          <w:bCs/>
          <w:sz w:val="22"/>
          <w:szCs w:val="22"/>
        </w:rPr>
        <w:t xml:space="preserve"> </w:t>
      </w:r>
      <w:r w:rsidR="000911EC" w:rsidRPr="00F25831">
        <w:rPr>
          <w:rFonts w:ascii="Arial" w:hAnsi="Arial" w:cs="Arial"/>
          <w:b/>
          <w:bCs/>
          <w:sz w:val="22"/>
          <w:szCs w:val="22"/>
        </w:rPr>
        <w:t>Follow-Up and Outcome of Interventions</w:t>
      </w:r>
    </w:p>
    <w:p w14:paraId="4D7DA281" w14:textId="64472BC4" w:rsidR="00A90D7B" w:rsidRPr="00B877EB" w:rsidRDefault="000911EC" w:rsidP="000F66B8">
      <w:pPr>
        <w:pStyle w:val="Body"/>
        <w:spacing w:after="0"/>
        <w:rPr>
          <w:rFonts w:ascii="Arial" w:hAnsi="Arial" w:cs="Arial"/>
        </w:rPr>
      </w:pPr>
      <w:r w:rsidRPr="00F25831">
        <w:rPr>
          <w:rFonts w:ascii="Arial" w:hAnsi="Arial" w:cs="Arial"/>
        </w:rPr>
        <w:t xml:space="preserve">The patient was closely monitored postoperatively for any complications. After surgery, the patient was able to begin oral feeding just 4 hours after the operation, indicating that the patient was recovering well and tolerating the procedure without complications. </w:t>
      </w:r>
      <w:r w:rsidR="00FB7684" w:rsidRPr="00F25831">
        <w:rPr>
          <w:rFonts w:ascii="Arial" w:hAnsi="Arial" w:cs="Arial"/>
        </w:rPr>
        <w:t>The patient was discharged at the 5</w:t>
      </w:r>
      <w:r w:rsidR="00FB7684" w:rsidRPr="00F25831">
        <w:rPr>
          <w:rFonts w:ascii="Arial" w:hAnsi="Arial" w:cs="Arial"/>
          <w:vertAlign w:val="superscript"/>
        </w:rPr>
        <w:t>th</w:t>
      </w:r>
      <w:r w:rsidR="00FB7684" w:rsidRPr="00F25831">
        <w:rPr>
          <w:rFonts w:ascii="Arial" w:hAnsi="Arial" w:cs="Arial"/>
        </w:rPr>
        <w:t xml:space="preserve"> day postoperatively. </w:t>
      </w:r>
      <w:r w:rsidR="00B877EB" w:rsidRPr="00F25831">
        <w:rPr>
          <w:rFonts w:ascii="Arial" w:hAnsi="Arial" w:cs="Arial"/>
        </w:rPr>
        <w:t>The nasal packs were removed before discharge. Weekly postoperative</w:t>
      </w:r>
      <w:r w:rsidRPr="00F25831">
        <w:rPr>
          <w:rFonts w:ascii="Arial" w:hAnsi="Arial" w:cs="Arial"/>
        </w:rPr>
        <w:t xml:space="preserve"> follow-</w:t>
      </w:r>
      <w:r w:rsidRPr="00F25831">
        <w:rPr>
          <w:rFonts w:ascii="Arial" w:hAnsi="Arial" w:cs="Arial"/>
          <w:color w:val="000000" w:themeColor="text1"/>
        </w:rPr>
        <w:t>up was performed regularly</w:t>
      </w:r>
      <w:r w:rsidR="00436653" w:rsidRPr="00F25831">
        <w:rPr>
          <w:rFonts w:ascii="Arial" w:hAnsi="Arial" w:cs="Arial"/>
          <w:color w:val="000000" w:themeColor="text1"/>
        </w:rPr>
        <w:t xml:space="preserve"> and</w:t>
      </w:r>
      <w:r w:rsidRPr="00F25831">
        <w:rPr>
          <w:rFonts w:ascii="Arial" w:hAnsi="Arial" w:cs="Arial"/>
          <w:color w:val="000000" w:themeColor="text1"/>
        </w:rPr>
        <w:t xml:space="preserve"> the patient showed no signs of malunion or infection</w:t>
      </w:r>
      <w:r w:rsidR="00B877EB" w:rsidRPr="00F25831">
        <w:rPr>
          <w:rFonts w:ascii="Arial" w:hAnsi="Arial" w:cs="Arial"/>
          <w:color w:val="000000" w:themeColor="text1"/>
        </w:rPr>
        <w:t xml:space="preserve">, till </w:t>
      </w:r>
      <w:r w:rsidR="00B877EB" w:rsidRPr="00F25831">
        <w:rPr>
          <w:rFonts w:ascii="Arial" w:hAnsi="Arial" w:cs="Arial"/>
        </w:rPr>
        <w:t>t</w:t>
      </w:r>
      <w:r w:rsidRPr="00F25831">
        <w:rPr>
          <w:rFonts w:ascii="Arial" w:hAnsi="Arial" w:cs="Arial"/>
          <w:color w:val="000000" w:themeColor="text1"/>
        </w:rPr>
        <w:t xml:space="preserve">he fixation materials were removed </w:t>
      </w:r>
      <w:r w:rsidR="00FB7684" w:rsidRPr="00F25831">
        <w:rPr>
          <w:rFonts w:ascii="Arial" w:hAnsi="Arial" w:cs="Arial"/>
          <w:color w:val="000000" w:themeColor="text1"/>
        </w:rPr>
        <w:t>after</w:t>
      </w:r>
      <w:r w:rsidRPr="00F25831">
        <w:rPr>
          <w:rFonts w:ascii="Arial" w:hAnsi="Arial" w:cs="Arial"/>
          <w:color w:val="000000" w:themeColor="text1"/>
        </w:rPr>
        <w:t xml:space="preserve"> 4 weeks, with no complications </w:t>
      </w:r>
      <w:r w:rsidR="00B877EB" w:rsidRPr="00F25831">
        <w:rPr>
          <w:rFonts w:ascii="Arial" w:hAnsi="Arial" w:cs="Arial"/>
          <w:color w:val="000000" w:themeColor="text1"/>
        </w:rPr>
        <w:t>or recurrence</w:t>
      </w:r>
      <w:r w:rsidRPr="00F25831">
        <w:rPr>
          <w:rFonts w:ascii="Arial" w:hAnsi="Arial" w:cs="Arial"/>
          <w:color w:val="000000" w:themeColor="text1"/>
        </w:rPr>
        <w:t>. The functional and aesthetic outcomes were deemed satisfactory</w:t>
      </w:r>
      <w:r w:rsidR="00CE24D6" w:rsidRPr="00F25831">
        <w:rPr>
          <w:rFonts w:ascii="Arial" w:hAnsi="Arial" w:cs="Arial"/>
          <w:color w:val="000000" w:themeColor="text1"/>
        </w:rPr>
        <w:t xml:space="preserve">. </w:t>
      </w:r>
      <w:r w:rsidRPr="00F25831">
        <w:rPr>
          <w:rFonts w:ascii="Arial" w:hAnsi="Arial" w:cs="Arial"/>
          <w:color w:val="000000" w:themeColor="text1"/>
        </w:rPr>
        <w:t>The patient continued monthly follow-up visits</w:t>
      </w:r>
      <w:r w:rsidR="00B877EB" w:rsidRPr="00F25831">
        <w:rPr>
          <w:rFonts w:ascii="Arial" w:hAnsi="Arial" w:cs="Arial"/>
          <w:color w:val="000000" w:themeColor="text1"/>
        </w:rPr>
        <w:t xml:space="preserve"> for another five months</w:t>
      </w:r>
      <w:r w:rsidRPr="00F25831">
        <w:rPr>
          <w:rFonts w:ascii="Arial" w:hAnsi="Arial" w:cs="Arial"/>
          <w:color w:val="000000" w:themeColor="text1"/>
        </w:rPr>
        <w:t>, demonstrating stable recovery with no further complications</w:t>
      </w:r>
      <w:r w:rsidR="00B877EB" w:rsidRPr="00F25831">
        <w:rPr>
          <w:rFonts w:ascii="Arial" w:hAnsi="Arial" w:cs="Arial"/>
          <w:color w:val="000000" w:themeColor="text1"/>
        </w:rPr>
        <w:t xml:space="preserve"> or recurrence.</w:t>
      </w:r>
    </w:p>
    <w:p w14:paraId="3AA76CF3" w14:textId="77777777" w:rsidR="00A90D7B" w:rsidRPr="00A90D7B" w:rsidRDefault="00A90D7B" w:rsidP="000F66B8">
      <w:pPr>
        <w:pStyle w:val="Body"/>
        <w:spacing w:after="0"/>
        <w:rPr>
          <w:rFonts w:ascii="Arial" w:hAnsi="Arial" w:cs="Arial"/>
          <w:color w:val="000000" w:themeColor="text1"/>
          <w:sz w:val="22"/>
          <w:szCs w:val="22"/>
        </w:rPr>
      </w:pPr>
    </w:p>
    <w:p w14:paraId="1C0A2477" w14:textId="2E85E21D" w:rsidR="00790ADA" w:rsidRPr="00A90D7B" w:rsidRDefault="00A90D7B" w:rsidP="00A90D7B">
      <w:pPr>
        <w:pStyle w:val="Body"/>
        <w:spacing w:after="0"/>
        <w:rPr>
          <w:rFonts w:ascii="Arial" w:hAnsi="Arial" w:cs="Arial"/>
          <w:b/>
          <w:bCs/>
          <w:sz w:val="22"/>
          <w:szCs w:val="22"/>
        </w:rPr>
      </w:pPr>
      <w:r w:rsidRPr="00A90D7B">
        <w:rPr>
          <w:rFonts w:ascii="Arial" w:hAnsi="Arial" w:cs="Arial"/>
          <w:b/>
          <w:bCs/>
          <w:color w:val="000000" w:themeColor="text1"/>
          <w:sz w:val="22"/>
          <w:szCs w:val="22"/>
        </w:rPr>
        <w:t>3. Discussion</w:t>
      </w:r>
    </w:p>
    <w:p w14:paraId="1EA0096B" w14:textId="77777777" w:rsidR="00DF69C9" w:rsidRPr="005D2084" w:rsidRDefault="00DF69C9" w:rsidP="000F66B8">
      <w:pPr>
        <w:pStyle w:val="Body"/>
        <w:spacing w:after="0"/>
        <w:rPr>
          <w:rFonts w:asciiTheme="minorBidi" w:hAnsiTheme="minorBidi" w:cstheme="minorBidi"/>
        </w:rPr>
      </w:pPr>
    </w:p>
    <w:p w14:paraId="50727ABC" w14:textId="423AA31B" w:rsidR="005D2084" w:rsidRDefault="005D2084" w:rsidP="000F66B8">
      <w:pPr>
        <w:pStyle w:val="ConcHead"/>
        <w:spacing w:after="0"/>
        <w:jc w:val="both"/>
        <w:rPr>
          <w:rFonts w:asciiTheme="minorBidi" w:hAnsiTheme="minorBidi" w:cstheme="minorBidi"/>
          <w:b w:val="0"/>
          <w:caps w:val="0"/>
          <w:sz w:val="20"/>
        </w:rPr>
      </w:pPr>
      <w:r w:rsidRPr="005D2084">
        <w:rPr>
          <w:rFonts w:asciiTheme="minorBidi" w:hAnsiTheme="minorBidi" w:cstheme="minorBidi"/>
          <w:b w:val="0"/>
          <w:caps w:val="0"/>
          <w:sz w:val="20"/>
        </w:rPr>
        <w:t>Pediatric facial fractures, while uncommon, present unique challenges in both diagnosis and treatment. Unlike adult fractures, pe</w:t>
      </w:r>
      <w:bookmarkStart w:id="0" w:name="_GoBack"/>
      <w:bookmarkEnd w:id="0"/>
      <w:r w:rsidRPr="005D2084">
        <w:rPr>
          <w:rFonts w:asciiTheme="minorBidi" w:hAnsiTheme="minorBidi" w:cstheme="minorBidi"/>
          <w:b w:val="0"/>
          <w:caps w:val="0"/>
          <w:sz w:val="20"/>
        </w:rPr>
        <w:t>diatric fractures benefit from better healing potential due to the higher osteogenic capacity of children. Consequently, closed reduction techniques, such as maxillomandibular fixation (MMF) and trans-maxillary fixation, are preferred over more invasive procedures. For Le Fort I fractures, which involve horizontal maxillary fractures, precise management is necessary to restore alignment and function. Closed reduction techniques are effective, offering minimal long-term effects on growth and development, and serve as excellent alternatives to surgical interventions</w:t>
      </w:r>
      <w:r w:rsidRPr="005D2084">
        <w:rPr>
          <w:rFonts w:asciiTheme="minorBidi" w:eastAsia="MS Gothic" w:hAnsiTheme="minorBidi" w:cstheme="minorBidi"/>
          <w:b w:val="0"/>
          <w:caps w:val="0"/>
          <w:sz w:val="20"/>
          <w:rtl/>
        </w:rPr>
        <w:t xml:space="preserve"> </w:t>
      </w:r>
      <w:r w:rsidRPr="005D2084">
        <w:rPr>
          <w:rFonts w:asciiTheme="minorBidi" w:eastAsia="MS Gothic" w:hAnsiTheme="minorBidi" w:cstheme="minorBidi"/>
          <w:b w:val="0"/>
          <w:caps w:val="0"/>
          <w:sz w:val="20"/>
        </w:rPr>
        <w:t>(1)</w:t>
      </w:r>
      <w:r w:rsidRPr="005D2084">
        <w:rPr>
          <w:rFonts w:asciiTheme="minorBidi" w:hAnsiTheme="minorBidi" w:cstheme="minorBidi"/>
          <w:b w:val="0"/>
          <w:caps w:val="0"/>
          <w:sz w:val="20"/>
        </w:rPr>
        <w:t>. Research has consistently shown that pediatric fractures heal faster due to increased metabolic and osteogenic activity, resulting in fewer complications like malunion or infection compared to adult fractures</w:t>
      </w:r>
      <w:r w:rsidRPr="005D2084">
        <w:rPr>
          <w:rFonts w:asciiTheme="minorBidi" w:eastAsia="MS Gothic" w:hAnsiTheme="minorBidi" w:cstheme="minorBidi"/>
          <w:b w:val="0"/>
          <w:caps w:val="0"/>
          <w:sz w:val="20"/>
        </w:rPr>
        <w:t xml:space="preserve"> (7)</w:t>
      </w:r>
      <w:r w:rsidRPr="005D2084">
        <w:rPr>
          <w:rFonts w:asciiTheme="minorBidi" w:hAnsiTheme="minorBidi" w:cstheme="minorBidi"/>
          <w:b w:val="0"/>
          <w:caps w:val="0"/>
          <w:sz w:val="20"/>
        </w:rPr>
        <w:t>. Additionally, children are less likely to experience post-operative complications such as malocclusion or facial deformities, which are common with open surgical approaches</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(8)</w:t>
      </w:r>
      <w:r w:rsidRPr="005D2084">
        <w:rPr>
          <w:rFonts w:asciiTheme="minorBidi" w:hAnsiTheme="minorBidi" w:cstheme="minorBidi"/>
          <w:b w:val="0"/>
          <w:caps w:val="0"/>
          <w:sz w:val="20"/>
        </w:rPr>
        <w:t>. MMF not only stabilizes the fractured segments but also restores natural occlusion without rigid fixation, preserving the natural growth of the midface</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(9)</w:t>
      </w:r>
      <w:r w:rsidRPr="005D2084">
        <w:rPr>
          <w:rFonts w:asciiTheme="minorBidi" w:hAnsiTheme="minorBidi" w:cstheme="minorBidi"/>
          <w:b w:val="0"/>
          <w:caps w:val="0"/>
          <w:sz w:val="20"/>
        </w:rPr>
        <w:t>. The use of trans-maxillary fixation and frontal suspension further enhances maxillary stability while minimizing infection risk and avoiding external scars</w:t>
      </w:r>
      <w:r>
        <w:rPr>
          <w:rFonts w:asciiTheme="minorBidi" w:hAnsiTheme="minorBidi" w:cstheme="minorBidi"/>
          <w:b w:val="0"/>
          <w:caps w:val="0"/>
          <w:sz w:val="20"/>
        </w:rPr>
        <w:t xml:space="preserve"> </w:t>
      </w:r>
      <w:r w:rsidRPr="005D2084">
        <w:rPr>
          <w:rFonts w:asciiTheme="minorBidi" w:eastAsia="MS Gothic" w:hAnsiTheme="minorBidi" w:cstheme="minorBidi"/>
          <w:b w:val="0"/>
          <w:caps w:val="0"/>
          <w:sz w:val="20"/>
        </w:rPr>
        <w:t>(10)</w:t>
      </w:r>
      <w:r w:rsidRPr="005D2084">
        <w:rPr>
          <w:rFonts w:asciiTheme="minorBidi" w:hAnsiTheme="minorBidi" w:cstheme="minorBidi"/>
          <w:b w:val="0"/>
          <w:caps w:val="0"/>
          <w:sz w:val="20"/>
        </w:rPr>
        <w:t xml:space="preserve">. In cases of Le Fort I fractures, closed reduction helps maintain the anatomical position of the maxilla and supports proper healing. Our case demonstrates that closed reduction can effectively manage these fractures, ensuring functional recovery with no complications </w:t>
      </w:r>
      <w:r w:rsidRPr="005D2084">
        <w:rPr>
          <w:rFonts w:asciiTheme="minorBidi" w:eastAsia="MS Gothic" w:hAnsiTheme="minorBidi" w:cstheme="minorBidi"/>
          <w:b w:val="0"/>
          <w:caps w:val="0"/>
          <w:sz w:val="20"/>
        </w:rPr>
        <w:t>(11)</w:t>
      </w:r>
      <w:r w:rsidRPr="005D2084">
        <w:rPr>
          <w:rFonts w:asciiTheme="minorBidi" w:hAnsiTheme="minorBidi" w:cstheme="minorBidi"/>
          <w:b w:val="0"/>
          <w:caps w:val="0"/>
          <w:sz w:val="20"/>
        </w:rPr>
        <w:t xml:space="preserve">. Rigid fixation techniques, such as ORIF, can disrupt facial growth, leading to deformities and longer recovery times. In contrast, conservative techniques like closed reduction preserve facial growth and avoid the need for corrective surgeries. Psychologically, pediatric facial fractures can significantly affect a child's self-esteem. The closed reduction approach, which minimizes scarring, has been shown to have fewer psychological impacts and a higher rate of satisfaction with post-treatment </w:t>
      </w:r>
      <w:r w:rsidR="00CE24D6" w:rsidRPr="005D2084">
        <w:rPr>
          <w:rFonts w:asciiTheme="minorBidi" w:hAnsiTheme="minorBidi" w:cstheme="minorBidi"/>
          <w:b w:val="0"/>
          <w:caps w:val="0"/>
          <w:sz w:val="20"/>
        </w:rPr>
        <w:t>appearance</w:t>
      </w:r>
      <w:r w:rsidR="00CE24D6" w:rsidRPr="005D2084">
        <w:rPr>
          <w:rFonts w:asciiTheme="minorBidi" w:eastAsia="MS Gothic" w:hAnsiTheme="minorBidi" w:cstheme="minorBidi"/>
          <w:b w:val="0"/>
          <w:caps w:val="0"/>
          <w:sz w:val="20"/>
        </w:rPr>
        <w:t xml:space="preserve"> (</w:t>
      </w:r>
      <w:r w:rsidRPr="005D2084">
        <w:rPr>
          <w:rFonts w:asciiTheme="minorBidi" w:eastAsia="MS Gothic" w:hAnsiTheme="minorBidi" w:cstheme="minorBidi"/>
          <w:b w:val="0"/>
          <w:caps w:val="0"/>
          <w:sz w:val="20"/>
        </w:rPr>
        <w:t>12,13)</w:t>
      </w:r>
      <w:r w:rsidRPr="005D2084">
        <w:rPr>
          <w:rFonts w:asciiTheme="minorBidi" w:hAnsiTheme="minorBidi" w:cstheme="minorBidi"/>
          <w:b w:val="0"/>
          <w:caps w:val="0"/>
          <w:sz w:val="20"/>
        </w:rPr>
        <w:t xml:space="preserve">. Furthermore, closed reduction is a more cost-effective approach compared to invasive surgeries, making it an accessible treatment option for many families </w:t>
      </w:r>
      <w:r w:rsidRPr="005D2084">
        <w:rPr>
          <w:rFonts w:asciiTheme="minorBidi" w:eastAsia="MS Gothic" w:hAnsiTheme="minorBidi" w:cstheme="minorBidi"/>
          <w:b w:val="0"/>
          <w:caps w:val="0"/>
          <w:sz w:val="20"/>
        </w:rPr>
        <w:t>(14)</w:t>
      </w:r>
      <w:r w:rsidRPr="005D2084">
        <w:rPr>
          <w:rFonts w:asciiTheme="minorBidi" w:hAnsiTheme="minorBidi" w:cstheme="minorBidi"/>
          <w:b w:val="0"/>
          <w:caps w:val="0"/>
          <w:sz w:val="20"/>
        </w:rPr>
        <w:t>. In our case, postoperative follow-up was critical, and the absence of complications further confirms the effectiveness of the closed reduction approach. The outcome was highly satisfactory, with excellent functional and aesthetic results</w:t>
      </w:r>
      <w:r w:rsidRPr="005D2084">
        <w:rPr>
          <w:rFonts w:asciiTheme="minorBidi" w:eastAsia="MS Gothic" w:hAnsiTheme="minorBidi" w:cstheme="minorBidi"/>
          <w:b w:val="0"/>
          <w:caps w:val="0"/>
          <w:sz w:val="20"/>
        </w:rPr>
        <w:t xml:space="preserve"> (15,16</w:t>
      </w:r>
      <w:r w:rsidR="00CD2CA4">
        <w:rPr>
          <w:rFonts w:asciiTheme="minorBidi" w:eastAsia="MS Gothic" w:hAnsiTheme="minorBidi" w:cstheme="minorBidi"/>
          <w:b w:val="0"/>
          <w:caps w:val="0"/>
          <w:sz w:val="20"/>
        </w:rPr>
        <w:t>,17</w:t>
      </w:r>
      <w:r w:rsidRPr="005D2084">
        <w:rPr>
          <w:rFonts w:asciiTheme="minorBidi" w:eastAsia="MS Gothic" w:hAnsiTheme="minorBidi" w:cstheme="minorBidi"/>
          <w:b w:val="0"/>
          <w:caps w:val="0"/>
          <w:sz w:val="20"/>
        </w:rPr>
        <w:t>)</w:t>
      </w:r>
      <w:r w:rsidRPr="005D2084">
        <w:rPr>
          <w:rFonts w:asciiTheme="minorBidi" w:hAnsiTheme="minorBidi" w:cstheme="minorBidi"/>
          <w:b w:val="0"/>
          <w:caps w:val="0"/>
          <w:sz w:val="20"/>
        </w:rPr>
        <w:t>.</w:t>
      </w:r>
    </w:p>
    <w:p w14:paraId="0171851B" w14:textId="77777777" w:rsidR="005D2084" w:rsidRPr="005D2084" w:rsidRDefault="005D2084" w:rsidP="000F66B8">
      <w:pPr>
        <w:pStyle w:val="ConcHead"/>
        <w:spacing w:after="0"/>
        <w:jc w:val="both"/>
        <w:rPr>
          <w:rFonts w:asciiTheme="minorBidi" w:hAnsiTheme="minorBidi" w:cstheme="minorBidi"/>
          <w:b w:val="0"/>
          <w:caps w:val="0"/>
          <w:sz w:val="20"/>
          <w:rtl/>
        </w:rPr>
      </w:pPr>
    </w:p>
    <w:p w14:paraId="5F87CE11" w14:textId="26A532C2" w:rsidR="00C87D3E" w:rsidRPr="00C87D3E" w:rsidRDefault="00C87D3E" w:rsidP="000F66B8">
      <w:pPr>
        <w:jc w:val="both"/>
        <w:rPr>
          <w:rFonts w:ascii="Arial" w:hAnsi="Arial" w:cs="Arial"/>
          <w:b/>
          <w:bCs/>
          <w:sz w:val="22"/>
          <w:szCs w:val="22"/>
        </w:rPr>
      </w:pPr>
      <w:r w:rsidRPr="00C87D3E">
        <w:rPr>
          <w:rFonts w:ascii="Arial" w:hAnsi="Arial" w:cs="Arial"/>
          <w:b/>
          <w:bCs/>
          <w:sz w:val="22"/>
          <w:szCs w:val="22"/>
        </w:rPr>
        <w:t>4.Conclusion</w:t>
      </w:r>
    </w:p>
    <w:p w14:paraId="2A99016A" w14:textId="77777777" w:rsidR="00C87D3E" w:rsidRDefault="00C87D3E" w:rsidP="000F66B8">
      <w:pPr>
        <w:jc w:val="both"/>
        <w:rPr>
          <w:rFonts w:ascii="Arial" w:hAnsi="Arial" w:cs="Arial"/>
        </w:rPr>
      </w:pPr>
    </w:p>
    <w:p w14:paraId="6B309613" w14:textId="3F529E18" w:rsidR="00315186" w:rsidRDefault="000F66B8" w:rsidP="000F66B8">
      <w:pPr>
        <w:jc w:val="both"/>
        <w:rPr>
          <w:rFonts w:ascii="Arial" w:hAnsi="Arial" w:cs="Arial"/>
          <w:rtl/>
        </w:rPr>
      </w:pPr>
      <w:r w:rsidRPr="000F66B8">
        <w:rPr>
          <w:rFonts w:ascii="Arial" w:hAnsi="Arial" w:cs="Arial"/>
        </w:rPr>
        <w:t xml:space="preserve">This case report highlights the effectiveness of conservative management in pediatric Le Fort I fractures. The use of closed reduction techniques such as maxillomandibular fixation (MMF), trans-maxillary fixation, and frontal suspension offers a minimally invasive approach that promotes faster healing and reduces complications. Closed reduction not only improves functional outcomes but also minimizes the psychological impact of facial trauma by preserving the patient's appearance. Given the positive results observed in this case, we recommend closed reduction as the first-line treatment for pediatric patients with similar </w:t>
      </w:r>
      <w:r w:rsidRPr="000F66B8">
        <w:rPr>
          <w:rFonts w:ascii="Arial" w:hAnsi="Arial" w:cs="Arial"/>
        </w:rPr>
        <w:lastRenderedPageBreak/>
        <w:t>fractures. This approach avoids the potential complications associated with open reduction and internal fixation (ORIF), such as disruption of facial bone growth, which may lead to facial deformities. The absence of biodegradable plates and screws, which can hinder facial bone development, further supports the use of closed reduction techniques in these cases.</w:t>
      </w:r>
    </w:p>
    <w:p w14:paraId="29FBDB5D" w14:textId="77777777" w:rsidR="000F66B8" w:rsidRPr="00315186" w:rsidRDefault="000F66B8" w:rsidP="000F66B8">
      <w:pPr>
        <w:jc w:val="both"/>
      </w:pPr>
    </w:p>
    <w:p w14:paraId="41FA463F" w14:textId="77777777" w:rsidR="00860000" w:rsidRPr="00786D36" w:rsidRDefault="00860000" w:rsidP="000F66B8">
      <w:pPr>
        <w:pStyle w:val="ReferHead"/>
        <w:spacing w:after="0"/>
        <w:jc w:val="both"/>
        <w:rPr>
          <w:rFonts w:ascii="Arial" w:hAnsi="Arial" w:cs="Arial"/>
          <w:bCs/>
        </w:rPr>
      </w:pPr>
      <w:r w:rsidRPr="00786D36">
        <w:rPr>
          <w:rFonts w:ascii="Arial" w:hAnsi="Arial" w:cs="Arial"/>
          <w:bCs/>
        </w:rPr>
        <w:t>Competing interests</w:t>
      </w:r>
    </w:p>
    <w:p w14:paraId="3965B5BB" w14:textId="77777777" w:rsidR="00860000" w:rsidRPr="00786D36" w:rsidRDefault="00860000" w:rsidP="000F66B8">
      <w:pPr>
        <w:pStyle w:val="ReferHead"/>
        <w:spacing w:after="0"/>
        <w:jc w:val="both"/>
        <w:rPr>
          <w:rFonts w:ascii="Arial" w:hAnsi="Arial" w:cs="Arial"/>
        </w:rPr>
      </w:pPr>
    </w:p>
    <w:p w14:paraId="0DF98E6B" w14:textId="250C7174" w:rsidR="00860000" w:rsidRPr="00F772DB" w:rsidRDefault="00E66E10" w:rsidP="000F66B8">
      <w:pPr>
        <w:pStyle w:val="ReferHead"/>
        <w:spacing w:after="0"/>
        <w:jc w:val="both"/>
        <w:rPr>
          <w:rFonts w:ascii="Arial" w:hAnsi="Arial" w:cs="Arial"/>
          <w:b w:val="0"/>
          <w:caps w:val="0"/>
          <w:sz w:val="20"/>
        </w:rPr>
      </w:pPr>
      <w:r w:rsidRPr="00F772DB">
        <w:rPr>
          <w:rFonts w:ascii="Arial" w:hAnsi="Arial" w:cs="Arial"/>
          <w:b w:val="0"/>
          <w:caps w:val="0"/>
          <w:sz w:val="20"/>
        </w:rPr>
        <w:t>Authors have declared that no competing interests exist.</w:t>
      </w:r>
    </w:p>
    <w:p w14:paraId="623D2C3B" w14:textId="77777777" w:rsidR="002B685A" w:rsidRDefault="002B685A" w:rsidP="000F66B8">
      <w:pPr>
        <w:pStyle w:val="ReferHead"/>
        <w:spacing w:after="0"/>
        <w:jc w:val="both"/>
        <w:rPr>
          <w:rFonts w:ascii="Arial" w:hAnsi="Arial" w:cs="Arial"/>
          <w:b w:val="0"/>
          <w:caps w:val="0"/>
          <w:sz w:val="20"/>
        </w:rPr>
      </w:pPr>
    </w:p>
    <w:p w14:paraId="5FD6B5BD" w14:textId="661646F7" w:rsidR="002B685A" w:rsidRDefault="002B685A" w:rsidP="000F66B8">
      <w:pPr>
        <w:pStyle w:val="ReferHead"/>
        <w:spacing w:after="0"/>
        <w:jc w:val="both"/>
        <w:rPr>
          <w:rFonts w:ascii="Arial" w:hAnsi="Arial" w:cs="Arial"/>
          <w:bCs/>
        </w:rPr>
      </w:pPr>
      <w:r w:rsidRPr="002B685A">
        <w:rPr>
          <w:rFonts w:ascii="Arial" w:hAnsi="Arial" w:cs="Arial"/>
          <w:bCs/>
        </w:rPr>
        <w:t>Consent</w:t>
      </w:r>
      <w:r>
        <w:rPr>
          <w:rFonts w:ascii="Arial" w:hAnsi="Arial" w:cs="Arial"/>
          <w:bCs/>
        </w:rPr>
        <w:t xml:space="preserve"> </w:t>
      </w:r>
    </w:p>
    <w:p w14:paraId="15538F33" w14:textId="77777777" w:rsidR="00B7065E" w:rsidRDefault="00B7065E" w:rsidP="000F66B8">
      <w:pPr>
        <w:pStyle w:val="ReferHead"/>
        <w:spacing w:after="0"/>
        <w:jc w:val="both"/>
        <w:rPr>
          <w:rFonts w:ascii="Arial" w:hAnsi="Arial" w:cs="Arial"/>
          <w:bCs/>
        </w:rPr>
      </w:pPr>
    </w:p>
    <w:p w14:paraId="4159C194" w14:textId="3149D154" w:rsidR="001A29D8" w:rsidRPr="00B7065E" w:rsidRDefault="001A29D8" w:rsidP="000F66B8">
      <w:pPr>
        <w:pStyle w:val="ReferHead"/>
        <w:spacing w:after="0"/>
        <w:jc w:val="both"/>
        <w:rPr>
          <w:rFonts w:ascii="Arial" w:hAnsi="Arial" w:cs="Arial"/>
          <w:b w:val="0"/>
          <w:caps w:val="0"/>
          <w:sz w:val="20"/>
        </w:rPr>
      </w:pPr>
      <w:r w:rsidRPr="00B7065E">
        <w:rPr>
          <w:rFonts w:ascii="Arial" w:hAnsi="Arial" w:cs="Arial"/>
          <w:b w:val="0"/>
          <w:caps w:val="0"/>
          <w:sz w:val="20"/>
        </w:rPr>
        <w:t xml:space="preserve">All authors declare that ‘written informed consent was obtained from the patient (or other approved parties) for publication of this case report and accompanying images. A copy of </w:t>
      </w:r>
      <w:r w:rsidR="00F12A21" w:rsidRPr="00B7065E">
        <w:rPr>
          <w:rFonts w:ascii="Arial" w:hAnsi="Arial" w:cs="Arial"/>
          <w:b w:val="0"/>
          <w:caps w:val="0"/>
          <w:sz w:val="20"/>
        </w:rPr>
        <w:t>wr</w:t>
      </w:r>
      <w:r w:rsidR="00F12A21" w:rsidRPr="00673521">
        <w:rPr>
          <w:rFonts w:ascii="Arial" w:hAnsi="Arial" w:cs="Arial"/>
          <w:b w:val="0"/>
          <w:caps w:val="0"/>
          <w:sz w:val="20"/>
        </w:rPr>
        <w:t>itten</w:t>
      </w:r>
      <w:r w:rsidR="00673521" w:rsidRPr="00673521">
        <w:rPr>
          <w:rFonts w:ascii="Arial" w:hAnsi="Arial" w:cs="Arial"/>
          <w:b w:val="0"/>
          <w:caps w:val="0"/>
          <w:sz w:val="20"/>
        </w:rPr>
        <w:t xml:space="preserve"> consent is available for review by the Editorial office/Chief Editor/Editorial Board members of this journal.</w:t>
      </w:r>
    </w:p>
    <w:p w14:paraId="3A02D552" w14:textId="77777777" w:rsidR="005C784C" w:rsidRDefault="005C784C" w:rsidP="000F66B8">
      <w:pPr>
        <w:pStyle w:val="ReferHead"/>
        <w:spacing w:after="0"/>
        <w:jc w:val="both"/>
        <w:rPr>
          <w:rFonts w:ascii="Arial" w:hAnsi="Arial" w:cs="Arial"/>
          <w:b w:val="0"/>
          <w:caps w:val="0"/>
          <w:sz w:val="20"/>
        </w:rPr>
      </w:pPr>
    </w:p>
    <w:p w14:paraId="19BE799E" w14:textId="376F63BF" w:rsidR="005C784C" w:rsidRDefault="005C784C" w:rsidP="000F66B8">
      <w:pPr>
        <w:pStyle w:val="ReferHead"/>
        <w:spacing w:after="0"/>
        <w:jc w:val="both"/>
        <w:rPr>
          <w:rFonts w:ascii="Arial" w:hAnsi="Arial" w:cs="Arial"/>
          <w:bCs/>
        </w:rPr>
      </w:pPr>
      <w:r>
        <w:rPr>
          <w:rFonts w:ascii="Arial" w:hAnsi="Arial" w:cs="Arial"/>
          <w:bCs/>
        </w:rPr>
        <w:t xml:space="preserve">Ethical approval </w:t>
      </w:r>
    </w:p>
    <w:p w14:paraId="6F69FBE8" w14:textId="580C9CC0" w:rsidR="0041027F" w:rsidRDefault="001A29D8" w:rsidP="000F66B8">
      <w:pPr>
        <w:pStyle w:val="ReferHead"/>
        <w:spacing w:after="0"/>
        <w:jc w:val="both"/>
        <w:rPr>
          <w:rFonts w:ascii="Arial" w:hAnsi="Arial" w:cs="Arial"/>
          <w:b w:val="0"/>
          <w:caps w:val="0"/>
          <w:sz w:val="20"/>
        </w:rPr>
      </w:pPr>
      <w:r w:rsidRPr="00B7065E">
        <w:rPr>
          <w:rFonts w:ascii="Arial" w:hAnsi="Arial" w:cs="Arial"/>
          <w:b w:val="0"/>
          <w:caps w:val="0"/>
          <w:sz w:val="20"/>
        </w:rPr>
        <w:t>All authors hereby declare that a</w:t>
      </w:r>
      <w:r w:rsidR="0041027F" w:rsidRPr="00B7065E">
        <w:rPr>
          <w:rFonts w:ascii="Arial" w:hAnsi="Arial" w:cs="Arial"/>
          <w:b w:val="0"/>
          <w:caps w:val="0"/>
          <w:sz w:val="20"/>
        </w:rPr>
        <w:t xml:space="preserve">ll </w:t>
      </w:r>
      <w:r w:rsidR="00F469F0" w:rsidRPr="00B7065E">
        <w:rPr>
          <w:rFonts w:ascii="Arial" w:hAnsi="Arial" w:cs="Arial"/>
          <w:b w:val="0"/>
          <w:caps w:val="0"/>
          <w:sz w:val="20"/>
        </w:rPr>
        <w:t>experiments</w:t>
      </w:r>
      <w:r w:rsidR="0041027F" w:rsidRPr="00B7065E">
        <w:rPr>
          <w:rFonts w:ascii="Arial" w:hAnsi="Arial" w:cs="Arial"/>
          <w:b w:val="0"/>
          <w:caps w:val="0"/>
          <w:sz w:val="20"/>
        </w:rPr>
        <w:t xml:space="preserve"> have been examined</w:t>
      </w:r>
      <w:r w:rsidRPr="00B7065E">
        <w:rPr>
          <w:rFonts w:ascii="Arial" w:hAnsi="Arial" w:cs="Arial"/>
          <w:b w:val="0"/>
          <w:caps w:val="0"/>
          <w:sz w:val="20"/>
        </w:rPr>
        <w:t xml:space="preserve"> and approved</w:t>
      </w:r>
      <w:r w:rsidR="0041027F" w:rsidRPr="00B7065E">
        <w:rPr>
          <w:rFonts w:ascii="Arial" w:hAnsi="Arial" w:cs="Arial"/>
          <w:b w:val="0"/>
          <w:caps w:val="0"/>
          <w:sz w:val="20"/>
        </w:rPr>
        <w:t xml:space="preserve"> by the appropriate ethics committee and have therefore been performed in accordance with the ethical standards laid down in the 1964 Declaration of Helsinki.</w:t>
      </w:r>
    </w:p>
    <w:p w14:paraId="76E64B49" w14:textId="7BE3320B" w:rsidR="006C5B76" w:rsidRPr="00DA0D38" w:rsidRDefault="006C5B76" w:rsidP="000F66B8">
      <w:pPr>
        <w:pStyle w:val="ReferHead"/>
        <w:spacing w:after="0"/>
        <w:jc w:val="both"/>
        <w:rPr>
          <w:rFonts w:ascii="Arial" w:hAnsi="Arial" w:cs="Arial"/>
          <w:b w:val="0"/>
          <w:caps w:val="0"/>
          <w:szCs w:val="22"/>
        </w:rPr>
      </w:pPr>
    </w:p>
    <w:p w14:paraId="68042C8D" w14:textId="77777777" w:rsidR="006C5B76" w:rsidRPr="00DA0D38" w:rsidRDefault="006C5B76" w:rsidP="000F66B8">
      <w:pPr>
        <w:jc w:val="both"/>
        <w:rPr>
          <w:rFonts w:ascii="Arial" w:eastAsia="Calibri" w:hAnsi="Arial" w:cs="Arial"/>
          <w:b/>
          <w:bCs/>
          <w:kern w:val="2"/>
          <w:sz w:val="22"/>
          <w:szCs w:val="22"/>
        </w:rPr>
      </w:pPr>
      <w:bookmarkStart w:id="1" w:name="_Hlk197682619"/>
      <w:bookmarkStart w:id="2" w:name="_Hlk180402183"/>
      <w:bookmarkStart w:id="3" w:name="_Hlk183680988"/>
      <w:bookmarkStart w:id="4" w:name="_Hlk197351200"/>
      <w:r w:rsidRPr="00DA0D38">
        <w:rPr>
          <w:rFonts w:ascii="Arial" w:eastAsia="Calibri" w:hAnsi="Arial" w:cs="Arial"/>
          <w:b/>
          <w:bCs/>
          <w:kern w:val="2"/>
          <w:sz w:val="22"/>
          <w:szCs w:val="22"/>
        </w:rPr>
        <w:t>Disclaimer (Artificial intelligence)</w:t>
      </w:r>
    </w:p>
    <w:p w14:paraId="1AFAD278" w14:textId="344AC7EC" w:rsidR="006C5B76" w:rsidRPr="00DA0D38" w:rsidRDefault="006C5B76" w:rsidP="000F66B8">
      <w:pPr>
        <w:jc w:val="both"/>
        <w:rPr>
          <w:rFonts w:ascii="Arial" w:eastAsia="Calibri" w:hAnsi="Arial" w:cs="Arial"/>
          <w:kern w:val="2"/>
        </w:rPr>
      </w:pPr>
      <w:r w:rsidRPr="00DA0D38">
        <w:rPr>
          <w:rFonts w:ascii="Arial" w:eastAsia="Calibri" w:hAnsi="Arial" w:cs="Arial"/>
          <w:kern w:val="2"/>
        </w:rPr>
        <w:t xml:space="preserve">Authors hereby declare that NO generative AI technologies such as Large Language Models (ChatGPT, COPILOT, etc.) and text-to-image generators have been used during the writing or editing of this manuscript. </w:t>
      </w:r>
    </w:p>
    <w:p w14:paraId="45B0CB34" w14:textId="77777777" w:rsidR="00164EE9" w:rsidRPr="009C5487" w:rsidRDefault="00164EE9" w:rsidP="000F66B8">
      <w:pPr>
        <w:jc w:val="both"/>
        <w:rPr>
          <w:rFonts w:ascii="Calibri" w:eastAsia="Calibri" w:hAnsi="Calibri"/>
          <w:kern w:val="2"/>
          <w:highlight w:val="yellow"/>
        </w:rPr>
      </w:pPr>
    </w:p>
    <w:bookmarkEnd w:id="1"/>
    <w:bookmarkEnd w:id="2"/>
    <w:bookmarkEnd w:id="3"/>
    <w:bookmarkEnd w:id="4"/>
    <w:p w14:paraId="7C2881AC" w14:textId="4DA12F2E" w:rsidR="002A1CAA" w:rsidRPr="002A1CAA" w:rsidRDefault="00CD2CA4" w:rsidP="000F66B8">
      <w:pPr>
        <w:pStyle w:val="ReferHead"/>
        <w:spacing w:after="0"/>
        <w:jc w:val="both"/>
        <w:rPr>
          <w:rFonts w:ascii="Arial" w:hAnsi="Arial" w:cs="Arial"/>
          <w:color w:val="000000" w:themeColor="text1"/>
          <w:rtl/>
        </w:rPr>
      </w:pPr>
      <w:r>
        <w:rPr>
          <w:rFonts w:ascii="Arial" w:hAnsi="Arial" w:cs="Arial"/>
          <w:color w:val="000000" w:themeColor="text1"/>
        </w:rPr>
        <w:t xml:space="preserve">5. </w:t>
      </w:r>
      <w:r w:rsidR="00B01FCD" w:rsidRPr="005D2084">
        <w:rPr>
          <w:rFonts w:ascii="Arial" w:hAnsi="Arial" w:cs="Arial"/>
          <w:color w:val="000000" w:themeColor="text1"/>
        </w:rPr>
        <w:t>References</w:t>
      </w:r>
      <w:r w:rsidR="00436653" w:rsidRPr="005D2084">
        <w:rPr>
          <w:rFonts w:ascii="Arial" w:hAnsi="Arial" w:cs="Arial"/>
          <w:color w:val="000000" w:themeColor="text1"/>
        </w:rPr>
        <w:t xml:space="preserve"> </w:t>
      </w:r>
    </w:p>
    <w:p w14:paraId="044B5E5D"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Haug, R. H., &amp; Foss, J. (2000). Maxillofacial injuries in the pediatric patient. </w:t>
      </w:r>
      <w:r w:rsidRPr="002A1CAA">
        <w:rPr>
          <w:rStyle w:val="Emphasis"/>
          <w:rFonts w:asciiTheme="minorBidi" w:hAnsiTheme="minorBidi" w:cstheme="minorBidi"/>
          <w:color w:val="000000" w:themeColor="text1"/>
          <w:sz w:val="20"/>
          <w:szCs w:val="20"/>
        </w:rPr>
        <w:t>Oral Surgery, Oral Medicine, Oral Pathology, Oral Radiology, and Endodontics</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90</w:t>
      </w:r>
      <w:r w:rsidRPr="002A1CAA">
        <w:rPr>
          <w:rFonts w:asciiTheme="minorBidi" w:hAnsiTheme="minorBidi" w:cstheme="minorBidi"/>
          <w:color w:val="000000" w:themeColor="text1"/>
          <w:sz w:val="20"/>
          <w:szCs w:val="20"/>
        </w:rPr>
        <w:t>(2), 126–134. https://doi.org/10.1067/moe.2000.107974</w:t>
      </w:r>
    </w:p>
    <w:p w14:paraId="5A6FCF67"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Cole, P., Kaufman, Y., &amp; Hollier, L. H. (2009). Managing the pediatric facial fracture. </w:t>
      </w:r>
      <w:r w:rsidRPr="002A1CAA">
        <w:rPr>
          <w:rStyle w:val="Emphasis"/>
          <w:rFonts w:asciiTheme="minorBidi" w:hAnsiTheme="minorBidi" w:cstheme="minorBidi"/>
          <w:color w:val="000000" w:themeColor="text1"/>
          <w:sz w:val="20"/>
          <w:szCs w:val="20"/>
        </w:rPr>
        <w:t>Craniomaxillofacial Trauma &amp; Reconstruction</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w:t>
      </w:r>
      <w:r w:rsidRPr="002A1CAA">
        <w:rPr>
          <w:rFonts w:asciiTheme="minorBidi" w:hAnsiTheme="minorBidi" w:cstheme="minorBidi"/>
          <w:color w:val="000000" w:themeColor="text1"/>
          <w:sz w:val="20"/>
          <w:szCs w:val="20"/>
        </w:rPr>
        <w:t>(2), 77–83. https://doi.org/10.1055/s-0029-1202592</w:t>
      </w:r>
    </w:p>
    <w:p w14:paraId="0E749669"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Glazer, M., Joshua, B. Z., Woldenberg, Y., &amp; Bodner, L. (2011). Mandibular fractures in children: Analysis of 61 cases and review of the literature. </w:t>
      </w:r>
      <w:r w:rsidRPr="002A1CAA">
        <w:rPr>
          <w:rStyle w:val="Emphasis"/>
          <w:rFonts w:asciiTheme="minorBidi" w:hAnsiTheme="minorBidi" w:cstheme="minorBidi"/>
          <w:color w:val="000000" w:themeColor="text1"/>
          <w:sz w:val="20"/>
          <w:szCs w:val="20"/>
        </w:rPr>
        <w:t>International Journal of Pediatric Otorhinolaryngology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75</w:t>
      </w:r>
      <w:r w:rsidRPr="002A1CAA">
        <w:rPr>
          <w:rFonts w:asciiTheme="minorBidi" w:hAnsiTheme="minorBidi" w:cstheme="minorBidi"/>
          <w:color w:val="000000" w:themeColor="text1"/>
          <w:sz w:val="20"/>
          <w:szCs w:val="20"/>
        </w:rPr>
        <w:t>(1), 62–64. https://doi.org/10.1016/j.ijporl.2010.10.008</w:t>
      </w:r>
    </w:p>
    <w:p w14:paraId="29BAF484"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Ragit, R., Fulzele, P. R., Wadewale, S. N., Bhola, N., Solanki, D. R., &amp; Thosar, N. R. (2024). Conservative management of maxillary and mandibular fractures in a pediatric patient with a modified open cap splint: A case report. </w:t>
      </w:r>
      <w:r w:rsidRPr="002A1CAA">
        <w:rPr>
          <w:rStyle w:val="Emphasis"/>
          <w:rFonts w:asciiTheme="minorBidi" w:hAnsiTheme="minorBidi" w:cstheme="minorBidi"/>
          <w:color w:val="000000" w:themeColor="text1"/>
          <w:sz w:val="20"/>
          <w:szCs w:val="20"/>
        </w:rPr>
        <w:t>Cureus</w:t>
      </w:r>
      <w:r w:rsidRPr="002A1CAA">
        <w:rPr>
          <w:rFonts w:asciiTheme="minorBidi" w:hAnsiTheme="minorBidi" w:cstheme="minorBidi"/>
          <w:color w:val="000000" w:themeColor="text1"/>
          <w:sz w:val="20"/>
          <w:szCs w:val="20"/>
        </w:rPr>
        <w:t>. https://doi.org/10.7759/cureus.55191</w:t>
      </w:r>
    </w:p>
    <w:p w14:paraId="0443328A"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Mekhaeel, M. S. F., Sameh, S. M. A. E., Andrey, P. V., Elsayed, T. N. A. M., &amp; Zaky, E. A. G. (2025). Refracture and realignment of a malunited mandibular fracture: A case report. </w:t>
      </w:r>
      <w:r w:rsidRPr="002A1CAA">
        <w:rPr>
          <w:rStyle w:val="Emphasis"/>
          <w:rFonts w:asciiTheme="minorBidi" w:hAnsiTheme="minorBidi" w:cstheme="minorBidi"/>
          <w:color w:val="000000" w:themeColor="text1"/>
          <w:sz w:val="20"/>
          <w:szCs w:val="20"/>
        </w:rPr>
        <w:t>Asian Journal of Case Reports in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8</w:t>
      </w:r>
      <w:r w:rsidRPr="002A1CAA">
        <w:rPr>
          <w:rFonts w:asciiTheme="minorBidi" w:hAnsiTheme="minorBidi" w:cstheme="minorBidi"/>
          <w:color w:val="000000" w:themeColor="text1"/>
          <w:sz w:val="20"/>
          <w:szCs w:val="20"/>
        </w:rPr>
        <w:t>(1), 185–191. https://doi.org/10.9734/ajcrs/2025/v8i1621</w:t>
      </w:r>
    </w:p>
    <w:p w14:paraId="20F68FA8"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Kale, T. P., Urologin, S. B., Kapoor, A., Lingaraj, J. B., &amp; Kotrashetti, S. M. (2013). Open cap splint with circummandibular wiring for management of pediatric mandibular parasymphysis/symphysis fracture as a definitive treatment modality: A case series. </w:t>
      </w:r>
      <w:r w:rsidRPr="002A1CAA">
        <w:rPr>
          <w:rStyle w:val="Emphasis"/>
          <w:rFonts w:asciiTheme="minorBidi" w:hAnsiTheme="minorBidi" w:cstheme="minorBidi"/>
          <w:color w:val="000000" w:themeColor="text1"/>
          <w:sz w:val="20"/>
          <w:szCs w:val="20"/>
        </w:rPr>
        <w:t>Dental Traumatology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29</w:t>
      </w:r>
      <w:r w:rsidRPr="002A1CAA">
        <w:rPr>
          <w:rFonts w:asciiTheme="minorBidi" w:hAnsiTheme="minorBidi" w:cstheme="minorBidi"/>
          <w:color w:val="000000" w:themeColor="text1"/>
          <w:sz w:val="20"/>
          <w:szCs w:val="20"/>
        </w:rPr>
        <w:t>(5), 410–415. https://doi.org/10.1111/j.1600-9657.2011.01082.x</w:t>
      </w:r>
    </w:p>
    <w:p w14:paraId="2DF1EA5D"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lastRenderedPageBreak/>
        <w:t xml:space="preserve">Ryan, M. L., Thorson, C. M., Otero, C. A., et al. (2011). Pediatric facial trauma: A review of guidelines for assessment, evaluation, and management in the emergency department. </w:t>
      </w:r>
      <w:r w:rsidRPr="002A1CAA">
        <w:rPr>
          <w:rStyle w:val="Emphasis"/>
          <w:rFonts w:asciiTheme="minorBidi" w:hAnsiTheme="minorBidi" w:cstheme="minorBidi"/>
          <w:color w:val="000000" w:themeColor="text1"/>
          <w:sz w:val="20"/>
          <w:szCs w:val="20"/>
        </w:rPr>
        <w:t>Journal of Craniofacial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22</w:t>
      </w:r>
      <w:r w:rsidRPr="002A1CAA">
        <w:rPr>
          <w:rFonts w:asciiTheme="minorBidi" w:hAnsiTheme="minorBidi" w:cstheme="minorBidi"/>
          <w:color w:val="000000" w:themeColor="text1"/>
          <w:sz w:val="20"/>
          <w:szCs w:val="20"/>
        </w:rPr>
        <w:t>(4), 1183–1189. https://doi.org/10.1097/SCS.0b013e31821c0d52</w:t>
      </w:r>
    </w:p>
    <w:p w14:paraId="34B8AC74"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Owusu, J. A., Bellile, E., Moyer, J. S., &amp; Sidman, J. D. (2016). Patterns of pediatric mandible fractures in the United States. </w:t>
      </w:r>
      <w:r w:rsidRPr="002A1CAA">
        <w:rPr>
          <w:rStyle w:val="Emphasis"/>
          <w:rFonts w:asciiTheme="minorBidi" w:hAnsiTheme="minorBidi" w:cstheme="minorBidi"/>
          <w:color w:val="000000" w:themeColor="text1"/>
          <w:sz w:val="20"/>
          <w:szCs w:val="20"/>
        </w:rPr>
        <w:t>JAMA Facial Plastic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18</w:t>
      </w:r>
      <w:r w:rsidRPr="002A1CAA">
        <w:rPr>
          <w:rFonts w:asciiTheme="minorBidi" w:hAnsiTheme="minorBidi" w:cstheme="minorBidi"/>
          <w:color w:val="000000" w:themeColor="text1"/>
          <w:sz w:val="20"/>
          <w:szCs w:val="20"/>
        </w:rPr>
        <w:t>(1), 37–41. https://doi.org/10.1001/jamafacial.2015.1456</w:t>
      </w:r>
    </w:p>
    <w:p w14:paraId="2BBCC099"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Lodhi, T. G., Patil, S. B., Bahetwar, S. K., Nimonkar, P. V., Peter, B. K., &amp; Sharma, A. B. (2021). Management of fracture mandible by open occlusal acrylic splint in pediatric patients: A case series. </w:t>
      </w:r>
      <w:r w:rsidRPr="002A1CAA">
        <w:rPr>
          <w:rStyle w:val="Emphasis"/>
          <w:rFonts w:asciiTheme="minorBidi" w:hAnsiTheme="minorBidi" w:cstheme="minorBidi"/>
          <w:color w:val="000000" w:themeColor="text1"/>
          <w:sz w:val="20"/>
          <w:szCs w:val="20"/>
        </w:rPr>
        <w:t>International Journal of Clinical Pediatric Dentistry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14</w:t>
      </w:r>
      <w:r w:rsidRPr="002A1CAA">
        <w:rPr>
          <w:rFonts w:asciiTheme="minorBidi" w:hAnsiTheme="minorBidi" w:cstheme="minorBidi"/>
          <w:color w:val="000000" w:themeColor="text1"/>
          <w:sz w:val="20"/>
          <w:szCs w:val="20"/>
        </w:rPr>
        <w:t>(6), 812–815. https://doi.org/10.5005/jp-journals-10005-2099</w:t>
      </w:r>
    </w:p>
    <w:p w14:paraId="03357AFD"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Kumar, N., Richa, &amp; Gauba, K. (2018). Modified closed cap splint: Conservative method for minimally displaced pediatric mandibular fracture. </w:t>
      </w:r>
      <w:r w:rsidRPr="002A1CAA">
        <w:rPr>
          <w:rStyle w:val="Emphasis"/>
          <w:rFonts w:asciiTheme="minorBidi" w:hAnsiTheme="minorBidi" w:cstheme="minorBidi"/>
          <w:color w:val="000000" w:themeColor="text1"/>
          <w:sz w:val="20"/>
          <w:szCs w:val="20"/>
        </w:rPr>
        <w:t>Saudi Dental Journal</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30</w:t>
      </w:r>
      <w:r w:rsidRPr="002A1CAA">
        <w:rPr>
          <w:rFonts w:asciiTheme="minorBidi" w:hAnsiTheme="minorBidi" w:cstheme="minorBidi"/>
          <w:color w:val="000000" w:themeColor="text1"/>
          <w:sz w:val="20"/>
          <w:szCs w:val="20"/>
        </w:rPr>
        <w:t>(1), 85–88. https://doi.org/10.1016/j.sdentj.2017.11.002</w:t>
      </w:r>
    </w:p>
    <w:p w14:paraId="35BBE160"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Sameh, S. M. A. E., Mekhaeel, M. S. F., Andrey, P. V., Elsayed, T. N. A. M., Gyasi, A. O., &amp; Matambo, P. T. (2025). Management of mandibular fracture malunion: Strategies for refracture and realignment. In </w:t>
      </w:r>
      <w:r w:rsidRPr="002A1CAA">
        <w:rPr>
          <w:rStyle w:val="Emphasis"/>
          <w:rFonts w:asciiTheme="minorBidi" w:hAnsiTheme="minorBidi" w:cstheme="minorBidi"/>
          <w:color w:val="000000" w:themeColor="text1"/>
          <w:sz w:val="20"/>
          <w:szCs w:val="20"/>
        </w:rPr>
        <w:t>Medical Science: Recent Advances and Applications</w:t>
      </w:r>
      <w:r w:rsidRPr="002A1CAA">
        <w:rPr>
          <w:rFonts w:asciiTheme="minorBidi" w:hAnsiTheme="minorBidi" w:cstheme="minorBidi"/>
          <w:color w:val="000000" w:themeColor="text1"/>
          <w:sz w:val="20"/>
          <w:szCs w:val="20"/>
        </w:rPr>
        <w:t xml:space="preserve"> (Vol. 10, pp. 42–52). BP International. https://doi.org/10.9734/bpi/msraa/v10/6141</w:t>
      </w:r>
    </w:p>
    <w:p w14:paraId="03C1F2D4"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Sameh, S., Mekhaeel, S., Protasov, V., Taha, N., &amp; Elshliby, A. (2025). Management of pediatric fracture mandible by closed reduction technique: A case report. </w:t>
      </w:r>
      <w:r w:rsidRPr="002A1CAA">
        <w:rPr>
          <w:rStyle w:val="Emphasis"/>
          <w:rFonts w:asciiTheme="minorBidi" w:hAnsiTheme="minorBidi" w:cstheme="minorBidi"/>
          <w:color w:val="000000" w:themeColor="text1"/>
          <w:sz w:val="20"/>
          <w:szCs w:val="20"/>
        </w:rPr>
        <w:t>Asian Journal of Case Reports in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8</w:t>
      </w:r>
      <w:r w:rsidRPr="002A1CAA">
        <w:rPr>
          <w:rFonts w:asciiTheme="minorBidi" w:hAnsiTheme="minorBidi" w:cstheme="minorBidi"/>
          <w:color w:val="000000" w:themeColor="text1"/>
          <w:sz w:val="20"/>
          <w:szCs w:val="20"/>
        </w:rPr>
        <w:t xml:space="preserve">(1), 119–126. </w:t>
      </w:r>
      <w:hyperlink r:id="rId21" w:tgtFrame="_new" w:history="1">
        <w:r w:rsidRPr="002A1CAA">
          <w:rPr>
            <w:rStyle w:val="Hyperlink"/>
            <w:rFonts w:asciiTheme="minorBidi" w:hAnsiTheme="minorBidi" w:cstheme="minorBidi"/>
            <w:color w:val="000000" w:themeColor="text1"/>
            <w:sz w:val="20"/>
            <w:szCs w:val="20"/>
            <w:u w:val="none"/>
          </w:rPr>
          <w:t>https://doi.org/10.9734/ajcrs/2025/v8i1609</w:t>
        </w:r>
      </w:hyperlink>
    </w:p>
    <w:p w14:paraId="428D560E"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Agbara, R., Fomete, B., &amp; Omeje, K. U. (2023). A retrospective observational study of pediatric mandibular fractures: Demographics, pattern, and challenges of management in a Nigerian population. </w:t>
      </w:r>
      <w:r w:rsidRPr="002A1CAA">
        <w:rPr>
          <w:rStyle w:val="Emphasis"/>
          <w:rFonts w:asciiTheme="minorBidi" w:hAnsiTheme="minorBidi" w:cstheme="minorBidi"/>
          <w:color w:val="000000" w:themeColor="text1"/>
          <w:sz w:val="20"/>
          <w:szCs w:val="20"/>
        </w:rPr>
        <w:t>African Journal of Pediatric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20</w:t>
      </w:r>
      <w:r w:rsidRPr="002A1CAA">
        <w:rPr>
          <w:rFonts w:asciiTheme="minorBidi" w:hAnsiTheme="minorBidi" w:cstheme="minorBidi"/>
          <w:color w:val="000000" w:themeColor="text1"/>
          <w:sz w:val="20"/>
          <w:szCs w:val="20"/>
        </w:rPr>
        <w:t>(4), 282–287. https://doi.org/10.4103/ajps.ajps_9_22</w:t>
      </w:r>
    </w:p>
    <w:p w14:paraId="432B22EA"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Braun, T. L., Xue, A. S., &amp; Maricevich, R. S. (2017). Differences in the management of pediatric facial trauma. </w:t>
      </w:r>
      <w:r w:rsidRPr="002A1CAA">
        <w:rPr>
          <w:rStyle w:val="Emphasis"/>
          <w:rFonts w:asciiTheme="minorBidi" w:hAnsiTheme="minorBidi" w:cstheme="minorBidi"/>
          <w:color w:val="000000" w:themeColor="text1"/>
          <w:sz w:val="20"/>
          <w:szCs w:val="20"/>
        </w:rPr>
        <w:t>Seminars in Plastic Surgery</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31</w:t>
      </w:r>
      <w:r w:rsidRPr="002A1CAA">
        <w:rPr>
          <w:rFonts w:asciiTheme="minorBidi" w:hAnsiTheme="minorBidi" w:cstheme="minorBidi"/>
          <w:color w:val="000000" w:themeColor="text1"/>
          <w:sz w:val="20"/>
          <w:szCs w:val="20"/>
        </w:rPr>
        <w:t xml:space="preserve">(2), 118–122. </w:t>
      </w:r>
      <w:hyperlink r:id="rId22" w:tgtFrame="_new" w:history="1">
        <w:r w:rsidRPr="002A1CAA">
          <w:rPr>
            <w:rStyle w:val="Hyperlink"/>
            <w:rFonts w:asciiTheme="minorBidi" w:hAnsiTheme="minorBidi" w:cstheme="minorBidi"/>
            <w:color w:val="000000" w:themeColor="text1"/>
            <w:sz w:val="20"/>
            <w:szCs w:val="20"/>
            <w:u w:val="none"/>
          </w:rPr>
          <w:t>https://doi.org/10.1055/s-0037-1601380</w:t>
        </w:r>
      </w:hyperlink>
    </w:p>
    <w:p w14:paraId="68E73DF4" w14:textId="77777777" w:rsidR="002A1CAA" w:rsidRPr="002A1CAA" w:rsidRDefault="002A1CAA" w:rsidP="000F66B8">
      <w:pPr>
        <w:pStyle w:val="NormalWeb"/>
        <w:numPr>
          <w:ilvl w:val="0"/>
          <w:numId w:val="32"/>
        </w:numPr>
        <w:jc w:val="both"/>
        <w:rPr>
          <w:rFonts w:asciiTheme="minorBidi" w:hAnsiTheme="minorBidi" w:cstheme="minorBidi"/>
          <w:color w:val="000000" w:themeColor="text1"/>
          <w:sz w:val="20"/>
          <w:szCs w:val="20"/>
        </w:rPr>
      </w:pPr>
      <w:r w:rsidRPr="002A1CAA">
        <w:rPr>
          <w:rFonts w:asciiTheme="minorBidi" w:hAnsiTheme="minorBidi" w:cstheme="minorBidi"/>
          <w:color w:val="000000" w:themeColor="text1"/>
          <w:sz w:val="20"/>
          <w:szCs w:val="20"/>
        </w:rPr>
        <w:t xml:space="preserve">Hinson, M., Wright, A., Davidson, A., Kogan, S., &amp; Runyan, C. (2024). Pediatric facial fractures: A multi-institutional level 1 trauma center analysis of incidence, interventions, and outcomes. </w:t>
      </w:r>
      <w:r w:rsidRPr="002A1CAA">
        <w:rPr>
          <w:rStyle w:val="Emphasis"/>
          <w:rFonts w:asciiTheme="minorBidi" w:hAnsiTheme="minorBidi" w:cstheme="minorBidi"/>
          <w:color w:val="000000" w:themeColor="text1"/>
          <w:sz w:val="20"/>
          <w:szCs w:val="20"/>
        </w:rPr>
        <w:t>Craniomaxillofacial Trauma &amp; Reconstruction</w:t>
      </w:r>
      <w:r w:rsidRPr="002A1CAA">
        <w:rPr>
          <w:rFonts w:asciiTheme="minorBidi" w:hAnsiTheme="minorBidi" w:cstheme="minorBidi"/>
          <w:color w:val="000000" w:themeColor="text1"/>
          <w:sz w:val="20"/>
          <w:szCs w:val="20"/>
        </w:rPr>
        <w:t xml:space="preserve">, </w:t>
      </w:r>
      <w:r w:rsidRPr="002A1CAA">
        <w:rPr>
          <w:rStyle w:val="Emphasis"/>
          <w:rFonts w:asciiTheme="minorBidi" w:hAnsiTheme="minorBidi" w:cstheme="minorBidi"/>
          <w:color w:val="000000" w:themeColor="text1"/>
          <w:sz w:val="20"/>
          <w:szCs w:val="20"/>
        </w:rPr>
        <w:t>17</w:t>
      </w:r>
      <w:r w:rsidRPr="002A1CAA">
        <w:rPr>
          <w:rFonts w:asciiTheme="minorBidi" w:hAnsiTheme="minorBidi" w:cstheme="minorBidi"/>
          <w:color w:val="000000" w:themeColor="text1"/>
          <w:sz w:val="20"/>
          <w:szCs w:val="20"/>
        </w:rPr>
        <w:t>(4), NP192–NP203. https://doi.org/10.1177/19433875241272430</w:t>
      </w:r>
    </w:p>
    <w:p w14:paraId="29E0D3A6" w14:textId="66830058" w:rsidR="00C87F2A" w:rsidRDefault="001E2D11" w:rsidP="00C87F2A">
      <w:pPr>
        <w:pStyle w:val="NormalWeb"/>
        <w:numPr>
          <w:ilvl w:val="0"/>
          <w:numId w:val="32"/>
        </w:numPr>
        <w:jc w:val="both"/>
        <w:rPr>
          <w:rFonts w:asciiTheme="minorBidi" w:hAnsiTheme="minorBidi" w:cstheme="minorBidi"/>
          <w:color w:val="000000" w:themeColor="text1"/>
          <w:sz w:val="20"/>
          <w:szCs w:val="20"/>
        </w:rPr>
      </w:pPr>
      <w:r w:rsidRPr="001E2D11">
        <w:rPr>
          <w:rFonts w:asciiTheme="minorBidi" w:hAnsiTheme="minorBidi" w:cstheme="minorBidi"/>
          <w:color w:val="000000" w:themeColor="text1"/>
          <w:sz w:val="20"/>
          <w:szCs w:val="20"/>
        </w:rPr>
        <w:t xml:space="preserve">Sameh, Salem, Mohamed Ahmed Eissa, Mekhaeel, Shehata Fakhry Mekhaeel, Protasov, Vitalevitch Andrey, </w:t>
      </w:r>
      <w:r w:rsidR="000F378E" w:rsidRPr="001E2D11">
        <w:rPr>
          <w:rFonts w:asciiTheme="minorBidi" w:hAnsiTheme="minorBidi" w:cstheme="minorBidi"/>
          <w:color w:val="000000" w:themeColor="text1"/>
          <w:sz w:val="20"/>
          <w:szCs w:val="20"/>
        </w:rPr>
        <w:t>Taha, Nada</w:t>
      </w:r>
      <w:r w:rsidRPr="001E2D11">
        <w:rPr>
          <w:rFonts w:asciiTheme="minorBidi" w:hAnsiTheme="minorBidi" w:cstheme="minorBidi"/>
          <w:color w:val="000000" w:themeColor="text1"/>
          <w:sz w:val="20"/>
          <w:szCs w:val="20"/>
        </w:rPr>
        <w:t xml:space="preserve"> Ahmed Mohamed Elsayed, and Elshliby, Abdelrahman Gomaa Zaky. 2025. “Management of Pediatric Fracture Mandible by Closed Reduction Technique: A Case Report”. Asian Journal of Case Reports in Surgery 8 (1):119-</w:t>
      </w:r>
      <w:r w:rsidR="00C87F2A" w:rsidRPr="001E2D11">
        <w:rPr>
          <w:rFonts w:asciiTheme="minorBidi" w:hAnsiTheme="minorBidi" w:cstheme="minorBidi"/>
          <w:color w:val="000000" w:themeColor="text1"/>
          <w:sz w:val="20"/>
          <w:szCs w:val="20"/>
        </w:rPr>
        <w:t>26.</w:t>
      </w:r>
      <w:r w:rsidR="00C87F2A" w:rsidRPr="00C87F2A">
        <w:rPr>
          <w:rFonts w:asciiTheme="minorBidi" w:hAnsiTheme="minorBidi" w:cstheme="minorBidi"/>
          <w:color w:val="000000" w:themeColor="text1"/>
          <w:sz w:val="20"/>
          <w:szCs w:val="20"/>
        </w:rPr>
        <w:t xml:space="preserve"> https://doi.org/10.9734/ajcrs/2025/v8i1609</w:t>
      </w:r>
      <w:r w:rsidRPr="00C87F2A">
        <w:rPr>
          <w:rFonts w:asciiTheme="minorBidi" w:hAnsiTheme="minorBidi" w:cstheme="minorBidi"/>
          <w:color w:val="000000" w:themeColor="text1"/>
          <w:sz w:val="20"/>
          <w:szCs w:val="20"/>
        </w:rPr>
        <w:t xml:space="preserve">. </w:t>
      </w:r>
    </w:p>
    <w:p w14:paraId="50B8067D" w14:textId="3B46E58B" w:rsidR="001E2D11" w:rsidRPr="00C87F2A" w:rsidRDefault="001E2D11" w:rsidP="00C87F2A">
      <w:pPr>
        <w:pStyle w:val="NormalWeb"/>
        <w:numPr>
          <w:ilvl w:val="0"/>
          <w:numId w:val="32"/>
        </w:numPr>
        <w:jc w:val="both"/>
        <w:rPr>
          <w:rFonts w:asciiTheme="minorBidi" w:hAnsiTheme="minorBidi" w:cstheme="minorBidi"/>
          <w:color w:val="000000" w:themeColor="text1"/>
          <w:sz w:val="20"/>
          <w:szCs w:val="20"/>
        </w:rPr>
      </w:pPr>
      <w:r w:rsidRPr="00C87F2A">
        <w:rPr>
          <w:rFonts w:asciiTheme="minorBidi" w:hAnsiTheme="minorBidi" w:cstheme="minorBidi"/>
          <w:color w:val="000000" w:themeColor="text1"/>
          <w:sz w:val="20"/>
          <w:szCs w:val="20"/>
        </w:rPr>
        <w:t>Mekhaeel, Shehata Fakhry Mekhaeel, Salem, Mohamed Ahmed Eissa Sameh, Protasov, Vitalevitch Andrey, Elshliby, Abdelrahman Gomaa Zaky &amp; Taha, Nada Ahmed Mohamed Elsayed. (2025). Rehabilitation of Pediatric Mandibular Fracture Following Dashboard Injury: Case Report. Asian Journal of Case Reports in Surgery, 8(1), 155–161. https://doi.org/10.9734/ajcrs/2025/v8i1616</w:t>
      </w:r>
    </w:p>
    <w:p w14:paraId="7A1395B1" w14:textId="77777777" w:rsidR="001E2D11" w:rsidRDefault="001E2D11" w:rsidP="001E2D11">
      <w:pPr>
        <w:pStyle w:val="NormalWeb"/>
        <w:jc w:val="both"/>
        <w:rPr>
          <w:rFonts w:asciiTheme="minorBidi" w:hAnsiTheme="minorBidi" w:cstheme="minorBidi"/>
          <w:color w:val="000000" w:themeColor="text1"/>
          <w:sz w:val="20"/>
          <w:szCs w:val="20"/>
        </w:rPr>
      </w:pPr>
    </w:p>
    <w:p w14:paraId="15BFB169" w14:textId="270B5DA0" w:rsidR="001E2D11" w:rsidRPr="00C91D64" w:rsidRDefault="001E2D11" w:rsidP="001E2D11">
      <w:pPr>
        <w:pStyle w:val="NormalWeb"/>
        <w:jc w:val="both"/>
        <w:rPr>
          <w:rFonts w:asciiTheme="minorBidi" w:hAnsiTheme="minorBidi" w:cstheme="minorBidi"/>
          <w:color w:val="000000" w:themeColor="text1"/>
          <w:sz w:val="20"/>
          <w:szCs w:val="20"/>
        </w:rPr>
        <w:sectPr w:rsidR="001E2D11" w:rsidRPr="00C91D64" w:rsidSect="00655D6F">
          <w:headerReference w:type="even" r:id="rId23"/>
          <w:headerReference w:type="default" r:id="rId24"/>
          <w:footerReference w:type="default" r:id="rId25"/>
          <w:headerReference w:type="first" r:id="rId26"/>
          <w:type w:val="continuous"/>
          <w:pgSz w:w="12240" w:h="15840"/>
          <w:pgMar w:top="1440" w:right="2016" w:bottom="2016" w:left="2016" w:header="720" w:footer="1123" w:gutter="0"/>
          <w:cols w:space="720"/>
          <w:docGrid w:linePitch="272"/>
        </w:sectPr>
      </w:pPr>
    </w:p>
    <w:p w14:paraId="7605D0B3" w14:textId="77777777" w:rsidR="00B01FCD" w:rsidRPr="00FB3A86" w:rsidRDefault="00B01FCD" w:rsidP="000F66B8">
      <w:pPr>
        <w:pStyle w:val="Appendix"/>
        <w:spacing w:after="0"/>
        <w:jc w:val="both"/>
        <w:rPr>
          <w:rFonts w:ascii="Arial" w:hAnsi="Arial" w:cs="Arial"/>
          <w:b w:val="0"/>
        </w:rPr>
      </w:pPr>
    </w:p>
    <w:sectPr w:rsidR="00B01FCD" w:rsidRPr="00FB3A86" w:rsidSect="00655D6F">
      <w:type w:val="continuous"/>
      <w:pgSz w:w="12240" w:h="15840"/>
      <w:pgMar w:top="720" w:right="720" w:bottom="720" w:left="72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2FD5E6B6" w14:textId="77777777" w:rsidR="000233E2" w:rsidRDefault="000233E2" w:rsidP="00C37E61">
      <w:r>
        <w:separator/>
      </w:r>
    </w:p>
  </w:endnote>
  <w:endnote w:type="continuationSeparator" w:id="0">
    <w:p w14:paraId="7ED6DBED" w14:textId="77777777" w:rsidR="000233E2" w:rsidRDefault="000233E2" w:rsidP="00C37E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Helvetica">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E8D73B4" w14:textId="77777777" w:rsidR="00C46288" w:rsidRDefault="00C46288">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3AE61FB" w14:textId="77777777" w:rsidR="00C46288" w:rsidRDefault="00C46288">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665F324" w14:textId="1DC246EE" w:rsidR="00754C9A" w:rsidRPr="00C46288" w:rsidRDefault="00754C9A" w:rsidP="00C46288">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12BEF71" w14:textId="77777777" w:rsidR="00C37E61" w:rsidRPr="00C37E61" w:rsidRDefault="00C37E61" w:rsidP="00C37E61">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2E6EDB9" w14:textId="77777777" w:rsidR="000233E2" w:rsidRDefault="000233E2" w:rsidP="00C37E61">
      <w:r>
        <w:separator/>
      </w:r>
    </w:p>
  </w:footnote>
  <w:footnote w:type="continuationSeparator" w:id="0">
    <w:p w14:paraId="308637FB" w14:textId="77777777" w:rsidR="000233E2" w:rsidRDefault="000233E2" w:rsidP="00C37E6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3708C21" w14:textId="120F3DE0" w:rsidR="00C46288" w:rsidRDefault="000233E2">
    <w:pPr>
      <w:pStyle w:val="Header"/>
    </w:pPr>
    <w:r>
      <w:rPr>
        <w:noProof/>
      </w:rPr>
      <w:pict w14:anchorId="1A06CDBB">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6" o:spid="_x0000_s2050" type="#_x0000_t136" style="position:absolute;margin-left:0;margin-top:0;width:519.9pt;height:58.65pt;rotation:315;z-index:-251655168;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E45FB2" w14:textId="620A369C" w:rsidR="00C46288" w:rsidRDefault="000233E2">
    <w:pPr>
      <w:pStyle w:val="Header"/>
    </w:pPr>
    <w:r>
      <w:rPr>
        <w:noProof/>
      </w:rPr>
      <w:pict w14:anchorId="76958B3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7" o:spid="_x0000_s2051" type="#_x0000_t136" style="position:absolute;margin-left:0;margin-top:0;width:519.9pt;height:58.65pt;rotation:315;z-index:-251653120;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69912FE" w14:textId="5D9DA21C" w:rsidR="00296529" w:rsidRPr="00296529" w:rsidRDefault="000233E2" w:rsidP="00296529">
    <w:pPr>
      <w:ind w:left="2160"/>
      <w:jc w:val="center"/>
      <w:rPr>
        <w:rFonts w:ascii="Times New Roman" w:eastAsia="Calibri" w:hAnsi="Times New Roman"/>
        <w:i/>
        <w:sz w:val="18"/>
        <w:szCs w:val="22"/>
      </w:rPr>
    </w:pPr>
    <w:r>
      <w:rPr>
        <w:noProof/>
      </w:rPr>
      <w:pict w14:anchorId="55A2B243">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5" o:spid="_x0000_s2049" type="#_x0000_t136" style="position:absolute;left:0;text-align:left;margin-left:0;margin-top:0;width:519.9pt;height:58.65pt;rotation:315;z-index:-25165721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p w14:paraId="797A7921" w14:textId="77777777" w:rsidR="00296529" w:rsidRPr="00296529" w:rsidRDefault="00754C9A" w:rsidP="00296529">
    <w:pPr>
      <w:ind w:left="4320"/>
      <w:rPr>
        <w:rFonts w:ascii="Times New Roman" w:eastAsia="Calibri" w:hAnsi="Times New Roman"/>
        <w:i/>
        <w:sz w:val="18"/>
        <w:szCs w:val="22"/>
      </w:rPr>
    </w:pPr>
    <w:r>
      <w:rPr>
        <w:rFonts w:ascii="Times New Roman" w:eastAsia="Calibri" w:hAnsi="Times New Roman"/>
        <w:i/>
        <w:sz w:val="18"/>
        <w:szCs w:val="22"/>
      </w:rPr>
      <w:t>.</w:t>
    </w:r>
    <w:r w:rsidR="00296529" w:rsidRPr="00296529">
      <w:rPr>
        <w:rFonts w:ascii="Times New Roman" w:eastAsia="Calibri" w:hAnsi="Times New Roman"/>
        <w:i/>
        <w:sz w:val="18"/>
        <w:szCs w:val="22"/>
      </w:rPr>
      <w:t xml:space="preserve">     </w:t>
    </w:r>
  </w:p>
  <w:p w14:paraId="6A85E58A" w14:textId="77777777" w:rsidR="00296529" w:rsidRPr="00296529" w:rsidRDefault="00754C9A" w:rsidP="00296529">
    <w:pPr>
      <w:jc w:val="center"/>
      <w:rPr>
        <w:rFonts w:ascii="Times New Roman" w:eastAsia="Calibri" w:hAnsi="Times New Roman"/>
        <w:i/>
        <w:sz w:val="18"/>
        <w:szCs w:val="22"/>
      </w:rPr>
    </w:pPr>
    <w:r>
      <w:rPr>
        <w:rFonts w:ascii="Times New Roman" w:eastAsia="Calibri" w:hAnsi="Times New Roman"/>
        <w:i/>
        <w:sz w:val="18"/>
        <w:szCs w:val="22"/>
      </w:rPr>
      <w:t>.</w:t>
    </w:r>
  </w:p>
  <w:p w14:paraId="2DC3D765" w14:textId="77777777" w:rsidR="00296529" w:rsidRPr="00296529" w:rsidRDefault="00296529" w:rsidP="00296529">
    <w:pPr>
      <w:spacing w:after="200"/>
      <w:jc w:val="center"/>
      <w:rPr>
        <w:rFonts w:ascii="Times New Roman" w:eastAsia="Calibri" w:hAnsi="Times New Roman"/>
        <w:b/>
        <w:i/>
        <w:sz w:val="32"/>
        <w:szCs w:val="22"/>
      </w:rPr>
    </w:pPr>
    <w:r w:rsidRPr="00296529">
      <w:rPr>
        <w:rFonts w:ascii="Times New Roman" w:eastAsia="Calibri" w:hAnsi="Times New Roman"/>
        <w:b/>
        <w:i/>
        <w:sz w:val="32"/>
        <w:szCs w:val="22"/>
      </w:rPr>
      <w:t xml:space="preserve">              </w:t>
    </w:r>
    <w:r w:rsidR="00754C9A">
      <w:rPr>
        <w:rFonts w:ascii="Times New Roman" w:eastAsia="Calibri" w:hAnsi="Times New Roman"/>
        <w:b/>
        <w:i/>
        <w:sz w:val="32"/>
        <w:szCs w:val="22"/>
      </w:rPr>
      <w:t>.</w:t>
    </w:r>
    <w:r w:rsidRPr="00296529">
      <w:rPr>
        <w:rFonts w:ascii="Times New Roman" w:eastAsia="Calibri" w:hAnsi="Times New Roman"/>
        <w:b/>
        <w:i/>
        <w:sz w:val="32"/>
        <w:szCs w:val="22"/>
      </w:rPr>
      <w:t xml:space="preserve"> </w:t>
    </w:r>
  </w:p>
  <w:p w14:paraId="4D2B059F" w14:textId="77777777" w:rsidR="00296529" w:rsidRDefault="00296529" w:rsidP="00296529">
    <w:pPr>
      <w:jc w:val="center"/>
      <w:rPr>
        <w:rFonts w:ascii="Times New Roman" w:eastAsia="Calibri" w:hAnsi="Times New Roman"/>
        <w:i/>
        <w:sz w:val="18"/>
        <w:szCs w:val="22"/>
      </w:rPr>
    </w:pPr>
    <w:r w:rsidRPr="00296529">
      <w:rPr>
        <w:rFonts w:ascii="Times New Roman" w:eastAsia="Calibri" w:hAnsi="Times New Roman"/>
        <w:i/>
        <w:sz w:val="18"/>
        <w:szCs w:val="22"/>
      </w:rPr>
      <w:t xml:space="preserve">                     </w:t>
    </w:r>
  </w:p>
  <w:p w14:paraId="06838CFE" w14:textId="77777777" w:rsidR="00296529" w:rsidRDefault="00296529" w:rsidP="00296529">
    <w:pPr>
      <w:tabs>
        <w:tab w:val="left" w:pos="2145"/>
      </w:tabs>
      <w:rPr>
        <w:rFonts w:ascii="Times New Roman" w:eastAsia="Calibri" w:hAnsi="Times New Roman"/>
        <w:i/>
        <w:sz w:val="18"/>
        <w:szCs w:val="22"/>
      </w:rPr>
    </w:pPr>
    <w:r>
      <w:rPr>
        <w:rFonts w:ascii="Times New Roman" w:eastAsia="Calibri" w:hAnsi="Times New Roman"/>
        <w:i/>
        <w:sz w:val="18"/>
        <w:szCs w:val="22"/>
      </w:rPr>
      <w:tab/>
    </w:r>
    <w:r w:rsidR="00754C9A">
      <w:rPr>
        <w:rFonts w:ascii="Times New Roman" w:eastAsia="Calibri" w:hAnsi="Times New Roman"/>
        <w:i/>
        <w:sz w:val="18"/>
        <w:szCs w:val="22"/>
      </w:rPr>
      <w:t>.</w:t>
    </w:r>
  </w:p>
  <w:p w14:paraId="7FC492C8" w14:textId="77777777" w:rsidR="00296529" w:rsidRDefault="00754C9A">
    <w:pPr>
      <w:pStyle w:val="Header"/>
    </w:pPr>
    <w:r>
      <w:t>..</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7DE7319" w14:textId="7DFF94B7" w:rsidR="00C46288" w:rsidRDefault="000233E2">
    <w:pPr>
      <w:pStyle w:val="Header"/>
    </w:pPr>
    <w:r>
      <w:rPr>
        <w:noProof/>
      </w:rPr>
      <w:pict w14:anchorId="2CC433AF">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9" o:spid="_x0000_s2053" type="#_x0000_t136" style="position:absolute;margin-left:0;margin-top:0;width:519.9pt;height:58.65pt;rotation:315;z-index:-251649024;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2B39C90" w14:textId="7F19D9B7" w:rsidR="00C46288" w:rsidRDefault="000233E2">
    <w:pPr>
      <w:pStyle w:val="Header"/>
    </w:pPr>
    <w:r>
      <w:rPr>
        <w:noProof/>
      </w:rPr>
      <w:pict w14:anchorId="676A966E">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80" o:spid="_x0000_s2054" type="#_x0000_t136" style="position:absolute;margin-left:0;margin-top:0;width:519.9pt;height:58.65pt;rotation:315;z-index:-251646976;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10D0633E" w14:textId="53EE616F" w:rsidR="00C46288" w:rsidRDefault="000233E2">
    <w:pPr>
      <w:pStyle w:val="Header"/>
    </w:pPr>
    <w:r>
      <w:rPr>
        <w:noProof/>
      </w:rPr>
      <w:pict w14:anchorId="52DF19D2">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281060878" o:spid="_x0000_s2052" type="#_x0000_t136" style="position:absolute;margin-left:0;margin-top:0;width:519.9pt;height:58.65pt;rotation:315;z-index:-251651072;mso-position-horizontal:center;mso-position-horizontal-relative:margin;mso-position-vertical:center;mso-position-vertical-relative:margin" o:allowincell="f" fillcolor="silver" stroked="f">
          <v:fill opacity=".5"/>
          <v:textpath style="font-family:&quot;Helvetica&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053B8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 w15:restartNumberingAfterBreak="0">
    <w:nsid w:val="0545617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3" w15:restartNumberingAfterBreak="0">
    <w:nsid w:val="07DC245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4" w15:restartNumberingAfterBreak="0">
    <w:nsid w:val="082B0AB1"/>
    <w:multiLevelType w:val="hybridMultilevel"/>
    <w:tmpl w:val="C464E61E"/>
    <w:lvl w:ilvl="0" w:tplc="0409000D">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089A26EC"/>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6" w15:restartNumberingAfterBreak="0">
    <w:nsid w:val="0EC833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7" w15:restartNumberingAfterBreak="0">
    <w:nsid w:val="193B2D1D"/>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8" w15:restartNumberingAfterBreak="0">
    <w:nsid w:val="1CC15D69"/>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9" w15:restartNumberingAfterBreak="0">
    <w:nsid w:val="21B564C6"/>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0" w15:restartNumberingAfterBreak="0">
    <w:nsid w:val="22CB701F"/>
    <w:multiLevelType w:val="multilevel"/>
    <w:tmpl w:val="2548A9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28A1541E"/>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2" w15:restartNumberingAfterBreak="0">
    <w:nsid w:val="2D7946B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3" w15:restartNumberingAfterBreak="0">
    <w:nsid w:val="2EF941EF"/>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4" w15:restartNumberingAfterBreak="0">
    <w:nsid w:val="310972C1"/>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5" w15:restartNumberingAfterBreak="0">
    <w:nsid w:val="34747E94"/>
    <w:multiLevelType w:val="hybridMultilevel"/>
    <w:tmpl w:val="8BB28FBA"/>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6" w15:restartNumberingAfterBreak="0">
    <w:nsid w:val="4B0C5ABA"/>
    <w:multiLevelType w:val="singleLevel"/>
    <w:tmpl w:val="A1B04AE0"/>
    <w:lvl w:ilvl="0">
      <w:start w:val="1"/>
      <w:numFmt w:val="decimal"/>
      <w:lvlText w:val="%1."/>
      <w:legacy w:legacy="1" w:legacySpace="0" w:legacyIndent="360"/>
      <w:lvlJc w:val="left"/>
      <w:pPr>
        <w:ind w:left="360" w:hanging="360"/>
      </w:pPr>
    </w:lvl>
  </w:abstractNum>
  <w:abstractNum w:abstractNumId="17" w15:restartNumberingAfterBreak="0">
    <w:nsid w:val="52A6797C"/>
    <w:multiLevelType w:val="hybridMultilevel"/>
    <w:tmpl w:val="D05A99DE"/>
    <w:lvl w:ilvl="0" w:tplc="7A92AA74">
      <w:numFmt w:val="bullet"/>
      <w:lvlText w:val="·"/>
      <w:lvlJc w:val="left"/>
      <w:pPr>
        <w:ind w:left="900" w:hanging="540"/>
      </w:pPr>
      <w:rPr>
        <w:rFonts w:ascii="Arial" w:eastAsia="Times New Roman" w:hAnsi="Arial"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5F3778F8"/>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19" w15:restartNumberingAfterBreak="0">
    <w:nsid w:val="623F50FF"/>
    <w:multiLevelType w:val="multilevel"/>
    <w:tmpl w:val="2ECEFEB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69C16E47"/>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1" w15:restartNumberingAfterBreak="0">
    <w:nsid w:val="71604DCD"/>
    <w:multiLevelType w:val="singleLevel"/>
    <w:tmpl w:val="E368B7EE"/>
    <w:lvl w:ilvl="0">
      <w:start w:val="1"/>
      <w:numFmt w:val="decimal"/>
      <w:pStyle w:val="Reference"/>
      <w:lvlText w:val="%1."/>
      <w:lvlJc w:val="left"/>
      <w:pPr>
        <w:tabs>
          <w:tab w:val="num" w:pos="360"/>
        </w:tabs>
        <w:ind w:left="360" w:hanging="360"/>
      </w:pPr>
    </w:lvl>
  </w:abstractNum>
  <w:abstractNum w:abstractNumId="22" w15:restartNumberingAfterBreak="0">
    <w:nsid w:val="72B66FC8"/>
    <w:multiLevelType w:val="hybridMultilevel"/>
    <w:tmpl w:val="256E6680"/>
    <w:lvl w:ilvl="0" w:tplc="04140001">
      <w:start w:val="1"/>
      <w:numFmt w:val="bullet"/>
      <w:lvlText w:val=""/>
      <w:lvlJc w:val="left"/>
      <w:pPr>
        <w:tabs>
          <w:tab w:val="num" w:pos="720"/>
        </w:tabs>
        <w:ind w:left="720" w:hanging="360"/>
      </w:pPr>
      <w:rPr>
        <w:rFonts w:ascii="Symbol" w:hAnsi="Symbol" w:hint="default"/>
      </w:rPr>
    </w:lvl>
    <w:lvl w:ilvl="1" w:tplc="04140003" w:tentative="1">
      <w:start w:val="1"/>
      <w:numFmt w:val="bullet"/>
      <w:lvlText w:val="o"/>
      <w:lvlJc w:val="left"/>
      <w:pPr>
        <w:tabs>
          <w:tab w:val="num" w:pos="1440"/>
        </w:tabs>
        <w:ind w:left="1440" w:hanging="360"/>
      </w:pPr>
      <w:rPr>
        <w:rFonts w:ascii="Courier New" w:hAnsi="Courier New" w:cs="Courier New" w:hint="default"/>
      </w:rPr>
    </w:lvl>
    <w:lvl w:ilvl="2" w:tplc="04140005" w:tentative="1">
      <w:start w:val="1"/>
      <w:numFmt w:val="bullet"/>
      <w:lvlText w:val=""/>
      <w:lvlJc w:val="left"/>
      <w:pPr>
        <w:tabs>
          <w:tab w:val="num" w:pos="2160"/>
        </w:tabs>
        <w:ind w:left="2160" w:hanging="360"/>
      </w:pPr>
      <w:rPr>
        <w:rFonts w:ascii="Wingdings" w:hAnsi="Wingdings" w:hint="default"/>
      </w:rPr>
    </w:lvl>
    <w:lvl w:ilvl="3" w:tplc="04140001" w:tentative="1">
      <w:start w:val="1"/>
      <w:numFmt w:val="bullet"/>
      <w:lvlText w:val=""/>
      <w:lvlJc w:val="left"/>
      <w:pPr>
        <w:tabs>
          <w:tab w:val="num" w:pos="2880"/>
        </w:tabs>
        <w:ind w:left="2880" w:hanging="360"/>
      </w:pPr>
      <w:rPr>
        <w:rFonts w:ascii="Symbol" w:hAnsi="Symbol" w:hint="default"/>
      </w:rPr>
    </w:lvl>
    <w:lvl w:ilvl="4" w:tplc="04140003" w:tentative="1">
      <w:start w:val="1"/>
      <w:numFmt w:val="bullet"/>
      <w:lvlText w:val="o"/>
      <w:lvlJc w:val="left"/>
      <w:pPr>
        <w:tabs>
          <w:tab w:val="num" w:pos="3600"/>
        </w:tabs>
        <w:ind w:left="3600" w:hanging="360"/>
      </w:pPr>
      <w:rPr>
        <w:rFonts w:ascii="Courier New" w:hAnsi="Courier New" w:cs="Courier New" w:hint="default"/>
      </w:rPr>
    </w:lvl>
    <w:lvl w:ilvl="5" w:tplc="04140005" w:tentative="1">
      <w:start w:val="1"/>
      <w:numFmt w:val="bullet"/>
      <w:lvlText w:val=""/>
      <w:lvlJc w:val="left"/>
      <w:pPr>
        <w:tabs>
          <w:tab w:val="num" w:pos="4320"/>
        </w:tabs>
        <w:ind w:left="4320" w:hanging="360"/>
      </w:pPr>
      <w:rPr>
        <w:rFonts w:ascii="Wingdings" w:hAnsi="Wingdings" w:hint="default"/>
      </w:rPr>
    </w:lvl>
    <w:lvl w:ilvl="6" w:tplc="04140001" w:tentative="1">
      <w:start w:val="1"/>
      <w:numFmt w:val="bullet"/>
      <w:lvlText w:val=""/>
      <w:lvlJc w:val="left"/>
      <w:pPr>
        <w:tabs>
          <w:tab w:val="num" w:pos="5040"/>
        </w:tabs>
        <w:ind w:left="5040" w:hanging="360"/>
      </w:pPr>
      <w:rPr>
        <w:rFonts w:ascii="Symbol" w:hAnsi="Symbol" w:hint="default"/>
      </w:rPr>
    </w:lvl>
    <w:lvl w:ilvl="7" w:tplc="04140003" w:tentative="1">
      <w:start w:val="1"/>
      <w:numFmt w:val="bullet"/>
      <w:lvlText w:val="o"/>
      <w:lvlJc w:val="left"/>
      <w:pPr>
        <w:tabs>
          <w:tab w:val="num" w:pos="5760"/>
        </w:tabs>
        <w:ind w:left="5760" w:hanging="360"/>
      </w:pPr>
      <w:rPr>
        <w:rFonts w:ascii="Courier New" w:hAnsi="Courier New" w:cs="Courier New" w:hint="default"/>
      </w:rPr>
    </w:lvl>
    <w:lvl w:ilvl="8" w:tplc="04140005"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73997DC5"/>
    <w:multiLevelType w:val="singleLevel"/>
    <w:tmpl w:val="A1B04AE0"/>
    <w:lvl w:ilvl="0">
      <w:start w:val="1"/>
      <w:numFmt w:val="decimal"/>
      <w:lvlText w:val="%1."/>
      <w:legacy w:legacy="1" w:legacySpace="0" w:legacyIndent="360"/>
      <w:lvlJc w:val="left"/>
      <w:pPr>
        <w:ind w:left="360" w:hanging="360"/>
      </w:pPr>
    </w:lvl>
  </w:abstractNum>
  <w:abstractNum w:abstractNumId="24" w15:restartNumberingAfterBreak="0">
    <w:nsid w:val="741A595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5" w15:restartNumberingAfterBreak="0">
    <w:nsid w:val="7477441B"/>
    <w:multiLevelType w:val="singleLevel"/>
    <w:tmpl w:val="199E1F42"/>
    <w:lvl w:ilvl="0">
      <w:start w:val="1"/>
      <w:numFmt w:val="decimal"/>
      <w:lvlText w:val="%1"/>
      <w:legacy w:legacy="1" w:legacySpace="0" w:legacyIndent="360"/>
      <w:lvlJc w:val="left"/>
      <w:pPr>
        <w:ind w:left="360" w:hanging="360"/>
      </w:pPr>
      <w:rPr>
        <w:rFonts w:ascii="Symbol" w:hAnsi="Symbol" w:hint="default"/>
        <w:b w:val="0"/>
        <w:i w:val="0"/>
        <w:sz w:val="20"/>
      </w:rPr>
    </w:lvl>
  </w:abstractNum>
  <w:abstractNum w:abstractNumId="26" w15:restartNumberingAfterBreak="0">
    <w:nsid w:val="77F3002E"/>
    <w:multiLevelType w:val="multilevel"/>
    <w:tmpl w:val="469AFC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7" w15:restartNumberingAfterBreak="0">
    <w:nsid w:val="782D2992"/>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abstractNum w:abstractNumId="28" w15:restartNumberingAfterBreak="0">
    <w:nsid w:val="7B165441"/>
    <w:multiLevelType w:val="hybridMultilevel"/>
    <w:tmpl w:val="094E5A6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7BFA7EFB"/>
    <w:multiLevelType w:val="multilevel"/>
    <w:tmpl w:val="7C8A229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7F7D3A3A"/>
    <w:multiLevelType w:val="singleLevel"/>
    <w:tmpl w:val="ED7AFD54"/>
    <w:lvl w:ilvl="0">
      <w:start w:val="1"/>
      <w:numFmt w:val="decimal"/>
      <w:lvlText w:val="%1. "/>
      <w:legacy w:legacy="1" w:legacySpace="0" w:legacyIndent="360"/>
      <w:lvlJc w:val="left"/>
      <w:pPr>
        <w:ind w:left="360" w:hanging="360"/>
      </w:pPr>
      <w:rPr>
        <w:rFonts w:ascii="Helvetica" w:hAnsi="Helvetica" w:hint="default"/>
        <w:b w:val="0"/>
        <w:i w:val="0"/>
        <w:sz w:val="20"/>
        <w:u w:val="none"/>
      </w:rPr>
    </w:lvl>
  </w:abstractNum>
  <w:num w:numId="1">
    <w:abstractNumId w:val="0"/>
    <w:lvlOverride w:ilvl="0">
      <w:lvl w:ilvl="0">
        <w:start w:val="1"/>
        <w:numFmt w:val="bullet"/>
        <w:lvlText w:val=""/>
        <w:legacy w:legacy="1" w:legacySpace="0" w:legacyIndent="360"/>
        <w:lvlJc w:val="left"/>
        <w:pPr>
          <w:ind w:left="360" w:hanging="360"/>
        </w:pPr>
        <w:rPr>
          <w:rFonts w:ascii="Symbol" w:hAnsi="Symbol" w:hint="default"/>
        </w:rPr>
      </w:lvl>
    </w:lvlOverride>
  </w:num>
  <w:num w:numId="2">
    <w:abstractNumId w:val="16"/>
  </w:num>
  <w:num w:numId="3">
    <w:abstractNumId w:val="25"/>
  </w:num>
  <w:num w:numId="4">
    <w:abstractNumId w:val="0"/>
    <w:lvlOverride w:ilvl="0">
      <w:lvl w:ilvl="0">
        <w:start w:val="1"/>
        <w:numFmt w:val="bullet"/>
        <w:lvlText w:val=""/>
        <w:legacy w:legacy="1" w:legacySpace="0" w:legacyIndent="360"/>
        <w:lvlJc w:val="left"/>
        <w:pPr>
          <w:ind w:left="360" w:hanging="360"/>
        </w:pPr>
        <w:rPr>
          <w:rFonts w:ascii="Wingdings" w:hAnsi="Wingdings" w:hint="default"/>
          <w:sz w:val="16"/>
        </w:rPr>
      </w:lvl>
    </w:lvlOverride>
  </w:num>
  <w:num w:numId="5">
    <w:abstractNumId w:val="7"/>
  </w:num>
  <w:num w:numId="6">
    <w:abstractNumId w:val="6"/>
  </w:num>
  <w:num w:numId="7">
    <w:abstractNumId w:val="1"/>
  </w:num>
  <w:num w:numId="8">
    <w:abstractNumId w:val="12"/>
  </w:num>
  <w:num w:numId="9">
    <w:abstractNumId w:val="27"/>
  </w:num>
  <w:num w:numId="10">
    <w:abstractNumId w:val="2"/>
  </w:num>
  <w:num w:numId="11">
    <w:abstractNumId w:val="20"/>
  </w:num>
  <w:num w:numId="12">
    <w:abstractNumId w:val="3"/>
  </w:num>
  <w:num w:numId="13">
    <w:abstractNumId w:val="18"/>
  </w:num>
  <w:num w:numId="14">
    <w:abstractNumId w:val="8"/>
  </w:num>
  <w:num w:numId="15">
    <w:abstractNumId w:val="23"/>
  </w:num>
  <w:num w:numId="16">
    <w:abstractNumId w:val="5"/>
  </w:num>
  <w:num w:numId="17">
    <w:abstractNumId w:val="24"/>
  </w:num>
  <w:num w:numId="18">
    <w:abstractNumId w:val="14"/>
  </w:num>
  <w:num w:numId="19">
    <w:abstractNumId w:val="30"/>
  </w:num>
  <w:num w:numId="20">
    <w:abstractNumId w:val="11"/>
  </w:num>
  <w:num w:numId="21">
    <w:abstractNumId w:val="9"/>
  </w:num>
  <w:num w:numId="22">
    <w:abstractNumId w:val="13"/>
  </w:num>
  <w:num w:numId="23">
    <w:abstractNumId w:val="21"/>
  </w:num>
  <w:num w:numId="24">
    <w:abstractNumId w:val="28"/>
  </w:num>
  <w:num w:numId="25">
    <w:abstractNumId w:val="4"/>
  </w:num>
  <w:num w:numId="26">
    <w:abstractNumId w:val="17"/>
  </w:num>
  <w:num w:numId="27">
    <w:abstractNumId w:val="22"/>
  </w:num>
  <w:num w:numId="28">
    <w:abstractNumId w:val="29"/>
  </w:num>
  <w:num w:numId="29">
    <w:abstractNumId w:val="26"/>
  </w:num>
  <w:num w:numId="30">
    <w:abstractNumId w:val="10"/>
  </w:num>
  <w:num w:numId="31">
    <w:abstractNumId w:val="15"/>
  </w:num>
  <w:num w:numId="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isplayHorizontalDrawingGridEvery w:val="0"/>
  <w:displayVerticalDrawingGridEvery w:val="0"/>
  <w:noPunctuationKerning/>
  <w:characterSpacingControl w:val="doNotCompress"/>
  <w:hdrShapeDefaults>
    <o:shapedefaults v:ext="edit" spidmax="2055"/>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6219"/>
    <w:rsid w:val="00000F8F"/>
    <w:rsid w:val="00011BBD"/>
    <w:rsid w:val="000233E2"/>
    <w:rsid w:val="00030174"/>
    <w:rsid w:val="0004579C"/>
    <w:rsid w:val="00075BFF"/>
    <w:rsid w:val="00085A0D"/>
    <w:rsid w:val="000911EC"/>
    <w:rsid w:val="000A2A07"/>
    <w:rsid w:val="000A47FA"/>
    <w:rsid w:val="000A65D3"/>
    <w:rsid w:val="000A6D7F"/>
    <w:rsid w:val="000B1923"/>
    <w:rsid w:val="000B1E33"/>
    <w:rsid w:val="000C2468"/>
    <w:rsid w:val="000D689F"/>
    <w:rsid w:val="000E7B7B"/>
    <w:rsid w:val="000E7D62"/>
    <w:rsid w:val="000F378E"/>
    <w:rsid w:val="000F66B8"/>
    <w:rsid w:val="00103357"/>
    <w:rsid w:val="001172C1"/>
    <w:rsid w:val="00123C9F"/>
    <w:rsid w:val="00126190"/>
    <w:rsid w:val="00130F17"/>
    <w:rsid w:val="001320BF"/>
    <w:rsid w:val="001439B6"/>
    <w:rsid w:val="00163BC4"/>
    <w:rsid w:val="00164EE9"/>
    <w:rsid w:val="00191062"/>
    <w:rsid w:val="00192B72"/>
    <w:rsid w:val="001A29D8"/>
    <w:rsid w:val="001A5CAA"/>
    <w:rsid w:val="001B0427"/>
    <w:rsid w:val="001D3A51"/>
    <w:rsid w:val="001E10D2"/>
    <w:rsid w:val="001E25B4"/>
    <w:rsid w:val="001E2D11"/>
    <w:rsid w:val="001E44FE"/>
    <w:rsid w:val="001F76E6"/>
    <w:rsid w:val="00200595"/>
    <w:rsid w:val="00204835"/>
    <w:rsid w:val="0022365D"/>
    <w:rsid w:val="00231920"/>
    <w:rsid w:val="0023195C"/>
    <w:rsid w:val="0024282C"/>
    <w:rsid w:val="002460DC"/>
    <w:rsid w:val="002462CB"/>
    <w:rsid w:val="00250985"/>
    <w:rsid w:val="002556F6"/>
    <w:rsid w:val="00283105"/>
    <w:rsid w:val="00284C4C"/>
    <w:rsid w:val="00287E68"/>
    <w:rsid w:val="00296529"/>
    <w:rsid w:val="002A1CAA"/>
    <w:rsid w:val="002B27FB"/>
    <w:rsid w:val="002B685A"/>
    <w:rsid w:val="002C57D2"/>
    <w:rsid w:val="002E0D56"/>
    <w:rsid w:val="00315186"/>
    <w:rsid w:val="003304C7"/>
    <w:rsid w:val="0033343E"/>
    <w:rsid w:val="003512C2"/>
    <w:rsid w:val="00371FB6"/>
    <w:rsid w:val="003763C1"/>
    <w:rsid w:val="00376BBE"/>
    <w:rsid w:val="00377CF8"/>
    <w:rsid w:val="00387F4F"/>
    <w:rsid w:val="0039224F"/>
    <w:rsid w:val="0039581F"/>
    <w:rsid w:val="003A43A4"/>
    <w:rsid w:val="003A7E18"/>
    <w:rsid w:val="003C4C86"/>
    <w:rsid w:val="003C6258"/>
    <w:rsid w:val="003C6AA6"/>
    <w:rsid w:val="003C7B92"/>
    <w:rsid w:val="003D7B55"/>
    <w:rsid w:val="003E2904"/>
    <w:rsid w:val="00401927"/>
    <w:rsid w:val="0041027F"/>
    <w:rsid w:val="00412475"/>
    <w:rsid w:val="00420636"/>
    <w:rsid w:val="00423789"/>
    <w:rsid w:val="00436653"/>
    <w:rsid w:val="00440F43"/>
    <w:rsid w:val="00441B6F"/>
    <w:rsid w:val="00446221"/>
    <w:rsid w:val="00450E62"/>
    <w:rsid w:val="004539DB"/>
    <w:rsid w:val="00471A80"/>
    <w:rsid w:val="004A7AFE"/>
    <w:rsid w:val="004D305E"/>
    <w:rsid w:val="004D4277"/>
    <w:rsid w:val="00502516"/>
    <w:rsid w:val="00504D02"/>
    <w:rsid w:val="00505F06"/>
    <w:rsid w:val="00506828"/>
    <w:rsid w:val="0053056E"/>
    <w:rsid w:val="00554FDA"/>
    <w:rsid w:val="00565E9A"/>
    <w:rsid w:val="005B34D4"/>
    <w:rsid w:val="005B3A81"/>
    <w:rsid w:val="005C784C"/>
    <w:rsid w:val="005D17F6"/>
    <w:rsid w:val="005D2084"/>
    <w:rsid w:val="005E5539"/>
    <w:rsid w:val="00601C11"/>
    <w:rsid w:val="00602BF5"/>
    <w:rsid w:val="00617F88"/>
    <w:rsid w:val="00617FDD"/>
    <w:rsid w:val="00633614"/>
    <w:rsid w:val="00633F68"/>
    <w:rsid w:val="00636EB2"/>
    <w:rsid w:val="006375B8"/>
    <w:rsid w:val="00655D6F"/>
    <w:rsid w:val="0066510A"/>
    <w:rsid w:val="00673521"/>
    <w:rsid w:val="00673F9F"/>
    <w:rsid w:val="00686953"/>
    <w:rsid w:val="00687DEA"/>
    <w:rsid w:val="00687E67"/>
    <w:rsid w:val="006967F7"/>
    <w:rsid w:val="006A250C"/>
    <w:rsid w:val="006B18B5"/>
    <w:rsid w:val="006B21D3"/>
    <w:rsid w:val="006B57D0"/>
    <w:rsid w:val="006B6812"/>
    <w:rsid w:val="006C5B76"/>
    <w:rsid w:val="006D30FF"/>
    <w:rsid w:val="006D6940"/>
    <w:rsid w:val="006F11EC"/>
    <w:rsid w:val="0070082C"/>
    <w:rsid w:val="007160C4"/>
    <w:rsid w:val="007163A4"/>
    <w:rsid w:val="00720323"/>
    <w:rsid w:val="007369E6"/>
    <w:rsid w:val="00746E59"/>
    <w:rsid w:val="00754C9A"/>
    <w:rsid w:val="0075599A"/>
    <w:rsid w:val="00761D52"/>
    <w:rsid w:val="00762D86"/>
    <w:rsid w:val="0077749E"/>
    <w:rsid w:val="00782725"/>
    <w:rsid w:val="00790ADA"/>
    <w:rsid w:val="007962A5"/>
    <w:rsid w:val="007D2288"/>
    <w:rsid w:val="007E088F"/>
    <w:rsid w:val="007F7B32"/>
    <w:rsid w:val="00804BC2"/>
    <w:rsid w:val="00813516"/>
    <w:rsid w:val="0081431A"/>
    <w:rsid w:val="0083216F"/>
    <w:rsid w:val="00860000"/>
    <w:rsid w:val="00863BD3"/>
    <w:rsid w:val="008641ED"/>
    <w:rsid w:val="00866D66"/>
    <w:rsid w:val="008671C6"/>
    <w:rsid w:val="00875803"/>
    <w:rsid w:val="008B459E"/>
    <w:rsid w:val="008E13AE"/>
    <w:rsid w:val="008E1506"/>
    <w:rsid w:val="008E710C"/>
    <w:rsid w:val="008F69D6"/>
    <w:rsid w:val="00902823"/>
    <w:rsid w:val="00915CA6"/>
    <w:rsid w:val="00927834"/>
    <w:rsid w:val="009500A6"/>
    <w:rsid w:val="00957C18"/>
    <w:rsid w:val="009659BA"/>
    <w:rsid w:val="00980B70"/>
    <w:rsid w:val="00983040"/>
    <w:rsid w:val="009B3FB9"/>
    <w:rsid w:val="009B55B7"/>
    <w:rsid w:val="009C2465"/>
    <w:rsid w:val="009D35A0"/>
    <w:rsid w:val="009D72C6"/>
    <w:rsid w:val="009D7EB7"/>
    <w:rsid w:val="009E048A"/>
    <w:rsid w:val="009E08E9"/>
    <w:rsid w:val="009E3DB9"/>
    <w:rsid w:val="009E6E35"/>
    <w:rsid w:val="009F0EDA"/>
    <w:rsid w:val="009F287E"/>
    <w:rsid w:val="00A03B96"/>
    <w:rsid w:val="00A05B19"/>
    <w:rsid w:val="00A1134E"/>
    <w:rsid w:val="00A24E7E"/>
    <w:rsid w:val="00A258C3"/>
    <w:rsid w:val="00A347C0"/>
    <w:rsid w:val="00A51431"/>
    <w:rsid w:val="00A539AD"/>
    <w:rsid w:val="00A63024"/>
    <w:rsid w:val="00A9069D"/>
    <w:rsid w:val="00A90D7B"/>
    <w:rsid w:val="00A94063"/>
    <w:rsid w:val="00AA6219"/>
    <w:rsid w:val="00AA74E0"/>
    <w:rsid w:val="00AB703F"/>
    <w:rsid w:val="00AC6BB8"/>
    <w:rsid w:val="00AE008F"/>
    <w:rsid w:val="00AF3581"/>
    <w:rsid w:val="00B01FCD"/>
    <w:rsid w:val="00B1776C"/>
    <w:rsid w:val="00B52583"/>
    <w:rsid w:val="00B52896"/>
    <w:rsid w:val="00B7065E"/>
    <w:rsid w:val="00B877EB"/>
    <w:rsid w:val="00B95236"/>
    <w:rsid w:val="00B96BD9"/>
    <w:rsid w:val="00BA1B01"/>
    <w:rsid w:val="00BA2641"/>
    <w:rsid w:val="00BB2EB2"/>
    <w:rsid w:val="00BB37AA"/>
    <w:rsid w:val="00BC0188"/>
    <w:rsid w:val="00BC19C4"/>
    <w:rsid w:val="00BC53A0"/>
    <w:rsid w:val="00BE62AD"/>
    <w:rsid w:val="00BF121F"/>
    <w:rsid w:val="00BF1F80"/>
    <w:rsid w:val="00C166EF"/>
    <w:rsid w:val="00C16AF7"/>
    <w:rsid w:val="00C17EB0"/>
    <w:rsid w:val="00C27F5F"/>
    <w:rsid w:val="00C30A0F"/>
    <w:rsid w:val="00C37E61"/>
    <w:rsid w:val="00C46288"/>
    <w:rsid w:val="00C70F1B"/>
    <w:rsid w:val="00C71A47"/>
    <w:rsid w:val="00C7464C"/>
    <w:rsid w:val="00C85588"/>
    <w:rsid w:val="00C87D3E"/>
    <w:rsid w:val="00C87F2A"/>
    <w:rsid w:val="00C91D64"/>
    <w:rsid w:val="00CC21D4"/>
    <w:rsid w:val="00CD2CA4"/>
    <w:rsid w:val="00CD6755"/>
    <w:rsid w:val="00CD6856"/>
    <w:rsid w:val="00CE0089"/>
    <w:rsid w:val="00CE24D6"/>
    <w:rsid w:val="00CE793C"/>
    <w:rsid w:val="00CF193C"/>
    <w:rsid w:val="00D173F1"/>
    <w:rsid w:val="00D606E1"/>
    <w:rsid w:val="00D74CB0"/>
    <w:rsid w:val="00D8295D"/>
    <w:rsid w:val="00DA0D38"/>
    <w:rsid w:val="00DC2A65"/>
    <w:rsid w:val="00DE15F0"/>
    <w:rsid w:val="00DE5663"/>
    <w:rsid w:val="00DE78AA"/>
    <w:rsid w:val="00DF548C"/>
    <w:rsid w:val="00DF69C9"/>
    <w:rsid w:val="00E053D0"/>
    <w:rsid w:val="00E12F9D"/>
    <w:rsid w:val="00E15994"/>
    <w:rsid w:val="00E3114E"/>
    <w:rsid w:val="00E31A70"/>
    <w:rsid w:val="00E35B02"/>
    <w:rsid w:val="00E3692D"/>
    <w:rsid w:val="00E66496"/>
    <w:rsid w:val="00E66B35"/>
    <w:rsid w:val="00E66E10"/>
    <w:rsid w:val="00E769F6"/>
    <w:rsid w:val="00E8407C"/>
    <w:rsid w:val="00E84F3C"/>
    <w:rsid w:val="00EA012C"/>
    <w:rsid w:val="00EC6A55"/>
    <w:rsid w:val="00EC7E3E"/>
    <w:rsid w:val="00ED0288"/>
    <w:rsid w:val="00ED22B3"/>
    <w:rsid w:val="00ED3733"/>
    <w:rsid w:val="00EE52CB"/>
    <w:rsid w:val="00EF581D"/>
    <w:rsid w:val="00EF7FD8"/>
    <w:rsid w:val="00F06F59"/>
    <w:rsid w:val="00F0745A"/>
    <w:rsid w:val="00F12A21"/>
    <w:rsid w:val="00F173B7"/>
    <w:rsid w:val="00F17988"/>
    <w:rsid w:val="00F25831"/>
    <w:rsid w:val="00F469F0"/>
    <w:rsid w:val="00F53273"/>
    <w:rsid w:val="00F54B8C"/>
    <w:rsid w:val="00F755E4"/>
    <w:rsid w:val="00F76D26"/>
    <w:rsid w:val="00F772DB"/>
    <w:rsid w:val="00F77D02"/>
    <w:rsid w:val="00FB22FF"/>
    <w:rsid w:val="00FB3A86"/>
    <w:rsid w:val="00FB7206"/>
    <w:rsid w:val="00FB7684"/>
    <w:rsid w:val="00FD36C8"/>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5"/>
    <o:shapelayout v:ext="edit">
      <o:idmap v:ext="edit" data="1"/>
    </o:shapelayout>
  </w:shapeDefaults>
  <w:decimalSymbol w:val="."/>
  <w:listSeparator w:val=","/>
  <w14:docId w14:val="410979EE"/>
  <w15:docId w15:val="{FB5E9E74-C5B3-422F-B9CC-E247798E1D3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99"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423789"/>
    <w:rPr>
      <w:rFonts w:ascii="Helvetica" w:hAnsi="Helvetica"/>
    </w:rPr>
  </w:style>
  <w:style w:type="paragraph" w:styleId="Heading1">
    <w:name w:val="heading 1"/>
    <w:basedOn w:val="Normal"/>
    <w:next w:val="Normal"/>
    <w:qFormat/>
    <w:rsid w:val="00423789"/>
    <w:pPr>
      <w:keepNext/>
      <w:spacing w:before="240" w:after="60"/>
      <w:outlineLvl w:val="0"/>
    </w:pPr>
    <w:rPr>
      <w:rFonts w:ascii="Arial" w:hAnsi="Arial"/>
      <w:b/>
      <w:kern w:val="28"/>
      <w:sz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Author">
    <w:name w:val="Author"/>
    <w:basedOn w:val="Normal"/>
    <w:rsid w:val="00423789"/>
    <w:pPr>
      <w:spacing w:line="280" w:lineRule="exact"/>
      <w:jc w:val="right"/>
    </w:pPr>
    <w:rPr>
      <w:b/>
      <w:sz w:val="24"/>
    </w:rPr>
  </w:style>
  <w:style w:type="paragraph" w:customStyle="1" w:styleId="Affiliation">
    <w:name w:val="Affiliation"/>
    <w:basedOn w:val="Normal"/>
    <w:rsid w:val="00423789"/>
    <w:pPr>
      <w:spacing w:after="240" w:line="240" w:lineRule="exact"/>
      <w:jc w:val="right"/>
    </w:pPr>
  </w:style>
  <w:style w:type="paragraph" w:customStyle="1" w:styleId="Body">
    <w:name w:val="Body"/>
    <w:basedOn w:val="Normal"/>
    <w:rsid w:val="00423789"/>
    <w:pPr>
      <w:spacing w:after="240"/>
      <w:jc w:val="both"/>
    </w:pPr>
  </w:style>
  <w:style w:type="paragraph" w:customStyle="1" w:styleId="AbstHead">
    <w:name w:val="Abst Head"/>
    <w:basedOn w:val="MainHead"/>
    <w:rsid w:val="00423789"/>
    <w:rPr>
      <w:sz w:val="22"/>
    </w:rPr>
  </w:style>
  <w:style w:type="paragraph" w:customStyle="1" w:styleId="IntroHead">
    <w:name w:val="Intro Head"/>
    <w:basedOn w:val="MainHead"/>
    <w:rsid w:val="00423789"/>
    <w:rPr>
      <w:sz w:val="22"/>
    </w:rPr>
  </w:style>
  <w:style w:type="paragraph" w:customStyle="1" w:styleId="PaperNumber">
    <w:name w:val="Paper Number"/>
    <w:basedOn w:val="Normal"/>
    <w:rsid w:val="00423789"/>
    <w:pPr>
      <w:spacing w:after="280" w:line="280" w:lineRule="exact"/>
      <w:jc w:val="right"/>
    </w:pPr>
    <w:rPr>
      <w:b/>
      <w:sz w:val="28"/>
    </w:rPr>
  </w:style>
  <w:style w:type="paragraph" w:customStyle="1" w:styleId="ConcHead">
    <w:name w:val="Conc Head"/>
    <w:basedOn w:val="MainHead"/>
    <w:rsid w:val="00423789"/>
    <w:rPr>
      <w:sz w:val="22"/>
    </w:rPr>
  </w:style>
  <w:style w:type="paragraph" w:customStyle="1" w:styleId="AcknHead">
    <w:name w:val="Ackn Head"/>
    <w:basedOn w:val="MainHead"/>
    <w:rsid w:val="00423789"/>
    <w:rPr>
      <w:sz w:val="22"/>
    </w:rPr>
  </w:style>
  <w:style w:type="paragraph" w:customStyle="1" w:styleId="ReferHead">
    <w:name w:val="Refer Head"/>
    <w:basedOn w:val="MainHead"/>
    <w:rsid w:val="00423789"/>
    <w:rPr>
      <w:sz w:val="22"/>
    </w:rPr>
  </w:style>
  <w:style w:type="paragraph" w:customStyle="1" w:styleId="AddSrcHead">
    <w:name w:val="AddSrc Head"/>
    <w:basedOn w:val="MainHead"/>
    <w:rsid w:val="00423789"/>
    <w:rPr>
      <w:sz w:val="22"/>
    </w:rPr>
  </w:style>
  <w:style w:type="paragraph" w:customStyle="1" w:styleId="DefAcrHead">
    <w:name w:val="DefAcrHead"/>
    <w:basedOn w:val="MainHead"/>
    <w:rsid w:val="00423789"/>
    <w:rPr>
      <w:sz w:val="22"/>
    </w:rPr>
  </w:style>
  <w:style w:type="paragraph" w:customStyle="1" w:styleId="Copyright">
    <w:name w:val="Copyright"/>
    <w:basedOn w:val="Normal"/>
    <w:rsid w:val="00423789"/>
    <w:pPr>
      <w:spacing w:after="960" w:line="200" w:lineRule="exact"/>
    </w:pPr>
    <w:rPr>
      <w:sz w:val="16"/>
    </w:rPr>
  </w:style>
  <w:style w:type="paragraph" w:styleId="Title">
    <w:name w:val="Title"/>
    <w:basedOn w:val="Normal"/>
    <w:qFormat/>
    <w:rsid w:val="00423789"/>
    <w:pPr>
      <w:spacing w:after="360"/>
      <w:jc w:val="right"/>
    </w:pPr>
    <w:rPr>
      <w:b/>
      <w:kern w:val="28"/>
      <w:sz w:val="36"/>
    </w:rPr>
  </w:style>
  <w:style w:type="paragraph" w:customStyle="1" w:styleId="Reference">
    <w:name w:val="Reference"/>
    <w:basedOn w:val="Body"/>
    <w:rsid w:val="00423789"/>
    <w:pPr>
      <w:numPr>
        <w:numId w:val="23"/>
      </w:numPr>
      <w:spacing w:after="0" w:line="240" w:lineRule="exact"/>
    </w:pPr>
  </w:style>
  <w:style w:type="paragraph" w:customStyle="1" w:styleId="Head1">
    <w:name w:val="Head1"/>
    <w:basedOn w:val="MainHead"/>
    <w:rsid w:val="00423789"/>
    <w:rPr>
      <w:sz w:val="22"/>
    </w:rPr>
  </w:style>
  <w:style w:type="paragraph" w:customStyle="1" w:styleId="ContactHead">
    <w:name w:val="Contact Head"/>
    <w:basedOn w:val="MainHead"/>
    <w:rsid w:val="00423789"/>
    <w:rPr>
      <w:sz w:val="22"/>
    </w:rPr>
  </w:style>
  <w:style w:type="paragraph" w:customStyle="1" w:styleId="Head3">
    <w:name w:val="Head3"/>
    <w:basedOn w:val="Head2"/>
    <w:rsid w:val="00423789"/>
    <w:rPr>
      <w:caps w:val="0"/>
      <w:u w:val="single"/>
    </w:rPr>
  </w:style>
  <w:style w:type="paragraph" w:customStyle="1" w:styleId="Head4">
    <w:name w:val="Head4"/>
    <w:basedOn w:val="Head3"/>
    <w:rsid w:val="00423789"/>
    <w:rPr>
      <w:u w:val="none"/>
    </w:rPr>
  </w:style>
  <w:style w:type="paragraph" w:customStyle="1" w:styleId="UnordList">
    <w:name w:val="Unord List"/>
    <w:basedOn w:val="Body"/>
    <w:rsid w:val="00423789"/>
    <w:pPr>
      <w:spacing w:after="0"/>
      <w:ind w:left="360" w:hanging="360"/>
    </w:pPr>
  </w:style>
  <w:style w:type="paragraph" w:customStyle="1" w:styleId="OrdList">
    <w:name w:val="Ord List"/>
    <w:basedOn w:val="UnordList"/>
    <w:rsid w:val="00423789"/>
    <w:pPr>
      <w:jc w:val="left"/>
    </w:pPr>
  </w:style>
  <w:style w:type="paragraph" w:customStyle="1" w:styleId="Appendix">
    <w:name w:val="Appendix"/>
    <w:basedOn w:val="MainHead"/>
    <w:rsid w:val="00423789"/>
    <w:rPr>
      <w:sz w:val="22"/>
    </w:rPr>
  </w:style>
  <w:style w:type="paragraph" w:customStyle="1" w:styleId="Term">
    <w:name w:val="Term"/>
    <w:basedOn w:val="Body"/>
    <w:rsid w:val="00423789"/>
    <w:pPr>
      <w:spacing w:after="0"/>
    </w:pPr>
    <w:rPr>
      <w:b/>
    </w:rPr>
  </w:style>
  <w:style w:type="paragraph" w:customStyle="1" w:styleId="Definition">
    <w:name w:val="Definition"/>
    <w:basedOn w:val="Body"/>
    <w:rsid w:val="00423789"/>
  </w:style>
  <w:style w:type="paragraph" w:customStyle="1" w:styleId="Head2">
    <w:name w:val="Head2"/>
    <w:basedOn w:val="Normal"/>
    <w:next w:val="Body"/>
    <w:rsid w:val="00423789"/>
    <w:pPr>
      <w:keepNext/>
      <w:spacing w:after="240"/>
    </w:pPr>
    <w:rPr>
      <w:caps/>
    </w:rPr>
  </w:style>
  <w:style w:type="character" w:customStyle="1" w:styleId="Bold">
    <w:name w:val="Bold"/>
    <w:rsid w:val="00423789"/>
    <w:rPr>
      <w:b/>
    </w:rPr>
  </w:style>
  <w:style w:type="character" w:customStyle="1" w:styleId="Italic">
    <w:name w:val="Italic"/>
    <w:rsid w:val="00423789"/>
    <w:rPr>
      <w:i/>
    </w:rPr>
  </w:style>
  <w:style w:type="character" w:customStyle="1" w:styleId="Underline">
    <w:name w:val="Underline"/>
    <w:rsid w:val="00423789"/>
    <w:rPr>
      <w:u w:val="single"/>
    </w:rPr>
  </w:style>
  <w:style w:type="paragraph" w:customStyle="1" w:styleId="MainHead">
    <w:name w:val="Main Head"/>
    <w:basedOn w:val="Normal"/>
    <w:rsid w:val="00423789"/>
    <w:pPr>
      <w:keepNext/>
      <w:spacing w:after="240"/>
    </w:pPr>
    <w:rPr>
      <w:b/>
      <w:caps/>
    </w:rPr>
  </w:style>
  <w:style w:type="paragraph" w:customStyle="1" w:styleId="Equation">
    <w:name w:val="Equation"/>
    <w:basedOn w:val="Body"/>
    <w:rsid w:val="0053056E"/>
  </w:style>
  <w:style w:type="paragraph" w:customStyle="1" w:styleId="Figure">
    <w:name w:val="Figure"/>
    <w:basedOn w:val="Copyright"/>
    <w:rsid w:val="00030174"/>
    <w:pPr>
      <w:spacing w:after="240"/>
    </w:pPr>
    <w:rPr>
      <w:sz w:val="20"/>
    </w:rPr>
  </w:style>
  <w:style w:type="paragraph" w:styleId="Footer">
    <w:name w:val="footer"/>
    <w:basedOn w:val="Normal"/>
    <w:rsid w:val="00423789"/>
    <w:pPr>
      <w:tabs>
        <w:tab w:val="center" w:pos="4320"/>
        <w:tab w:val="right" w:pos="8640"/>
      </w:tabs>
    </w:pPr>
  </w:style>
  <w:style w:type="paragraph" w:customStyle="1" w:styleId="Head40">
    <w:name w:val="Head 4"/>
    <w:basedOn w:val="Head3"/>
    <w:rsid w:val="00423789"/>
    <w:rPr>
      <w:u w:val="none"/>
    </w:rPr>
  </w:style>
  <w:style w:type="paragraph" w:styleId="Header">
    <w:name w:val="header"/>
    <w:basedOn w:val="Normal"/>
    <w:rsid w:val="00423789"/>
    <w:pPr>
      <w:tabs>
        <w:tab w:val="center" w:pos="4320"/>
        <w:tab w:val="right" w:pos="8640"/>
      </w:tabs>
    </w:pPr>
  </w:style>
  <w:style w:type="paragraph" w:customStyle="1" w:styleId="Paper">
    <w:name w:val="Paper"/>
    <w:basedOn w:val="Normal"/>
    <w:rsid w:val="00423789"/>
    <w:pPr>
      <w:spacing w:after="360" w:line="440" w:lineRule="exact"/>
      <w:jc w:val="right"/>
    </w:pPr>
    <w:rPr>
      <w:b/>
      <w:sz w:val="36"/>
    </w:rPr>
  </w:style>
  <w:style w:type="paragraph" w:styleId="Signature">
    <w:name w:val="Signature"/>
    <w:basedOn w:val="Normal"/>
    <w:rsid w:val="00423789"/>
    <w:pPr>
      <w:ind w:left="4320"/>
    </w:pPr>
  </w:style>
  <w:style w:type="character" w:customStyle="1" w:styleId="Subscript">
    <w:name w:val="Subscript"/>
    <w:rsid w:val="00423789"/>
    <w:rPr>
      <w:vertAlign w:val="subscript"/>
    </w:rPr>
  </w:style>
  <w:style w:type="character" w:customStyle="1" w:styleId="Superscript">
    <w:name w:val="Superscript"/>
    <w:rsid w:val="00423789"/>
    <w:rPr>
      <w:vertAlign w:val="superscript"/>
    </w:rPr>
  </w:style>
  <w:style w:type="character" w:customStyle="1" w:styleId="Symbol">
    <w:name w:val="Symbol"/>
    <w:rsid w:val="00423789"/>
    <w:rPr>
      <w:rFonts w:ascii="Symbol" w:hAnsi="Symbol"/>
    </w:rPr>
  </w:style>
  <w:style w:type="paragraph" w:customStyle="1" w:styleId="SymbolP">
    <w:name w:val="Symbol P"/>
    <w:basedOn w:val="Body"/>
    <w:rsid w:val="00423789"/>
    <w:pPr>
      <w:tabs>
        <w:tab w:val="left" w:pos="720"/>
        <w:tab w:val="left" w:pos="3780"/>
      </w:tabs>
      <w:spacing w:after="0"/>
    </w:pPr>
    <w:rPr>
      <w:sz w:val="24"/>
    </w:rPr>
  </w:style>
  <w:style w:type="character" w:customStyle="1" w:styleId="BoldItal">
    <w:name w:val="BoldItal"/>
    <w:basedOn w:val="DefaultParagraphFont"/>
    <w:rsid w:val="00423789"/>
    <w:rPr>
      <w:b/>
      <w:i/>
    </w:rPr>
  </w:style>
  <w:style w:type="character" w:customStyle="1" w:styleId="SubItal">
    <w:name w:val="SubItal"/>
    <w:rsid w:val="00423789"/>
    <w:rPr>
      <w:i/>
      <w:vertAlign w:val="subscript"/>
    </w:rPr>
  </w:style>
  <w:style w:type="character" w:customStyle="1" w:styleId="SuperItal">
    <w:name w:val="SuperItal"/>
    <w:rsid w:val="00423789"/>
    <w:rPr>
      <w:i/>
      <w:vertAlign w:val="superscript"/>
    </w:rPr>
  </w:style>
  <w:style w:type="character" w:customStyle="1" w:styleId="SymItal">
    <w:name w:val="SymItal"/>
    <w:rsid w:val="00423789"/>
    <w:rPr>
      <w:rFonts w:ascii="Symbol" w:hAnsi="Symbol"/>
      <w:i/>
    </w:rPr>
  </w:style>
  <w:style w:type="character" w:styleId="Hyperlink">
    <w:name w:val="Hyperlink"/>
    <w:basedOn w:val="DefaultParagraphFont"/>
    <w:rsid w:val="00030174"/>
    <w:rPr>
      <w:color w:val="FF0080"/>
      <w:u w:val="single"/>
    </w:rPr>
  </w:style>
  <w:style w:type="character" w:styleId="FollowedHyperlink">
    <w:name w:val="FollowedHyperlink"/>
    <w:basedOn w:val="DefaultParagraphFont"/>
    <w:rsid w:val="00FB3A86"/>
    <w:rPr>
      <w:color w:val="800080"/>
      <w:u w:val="single"/>
    </w:rPr>
  </w:style>
  <w:style w:type="table" w:styleId="TableGrid">
    <w:name w:val="Table Grid"/>
    <w:basedOn w:val="TableNormal"/>
    <w:uiPriority w:val="59"/>
    <w:rsid w:val="00296529"/>
    <w:rPr>
      <w:rFonts w:ascii="Calibri" w:eastAsia="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BodyText2">
    <w:name w:val="Body Text 2"/>
    <w:basedOn w:val="Normal"/>
    <w:link w:val="BodyText2Char"/>
    <w:rsid w:val="00EF7FD8"/>
    <w:pPr>
      <w:spacing w:after="120" w:line="480" w:lineRule="auto"/>
    </w:pPr>
  </w:style>
  <w:style w:type="character" w:customStyle="1" w:styleId="BodyText2Char">
    <w:name w:val="Body Text 2 Char"/>
    <w:basedOn w:val="DefaultParagraphFont"/>
    <w:link w:val="BodyText2"/>
    <w:rsid w:val="00EF7FD8"/>
    <w:rPr>
      <w:rFonts w:ascii="Helvetica" w:hAnsi="Helvetica"/>
    </w:rPr>
  </w:style>
  <w:style w:type="character" w:styleId="CommentReference">
    <w:name w:val="annotation reference"/>
    <w:basedOn w:val="DefaultParagraphFont"/>
    <w:uiPriority w:val="99"/>
    <w:unhideWhenUsed/>
    <w:rsid w:val="00746E59"/>
    <w:rPr>
      <w:sz w:val="16"/>
      <w:szCs w:val="16"/>
    </w:rPr>
  </w:style>
  <w:style w:type="paragraph" w:styleId="CommentText">
    <w:name w:val="annotation text"/>
    <w:basedOn w:val="Normal"/>
    <w:link w:val="CommentTextChar"/>
    <w:uiPriority w:val="99"/>
    <w:unhideWhenUsed/>
    <w:rsid w:val="00746E59"/>
    <w:rPr>
      <w:rFonts w:ascii="Times New Roman" w:hAnsi="Times New Roman"/>
      <w:lang w:val="nb-NO" w:eastAsia="nb-NO"/>
    </w:rPr>
  </w:style>
  <w:style w:type="character" w:customStyle="1" w:styleId="CommentTextChar">
    <w:name w:val="Comment Text Char"/>
    <w:basedOn w:val="DefaultParagraphFont"/>
    <w:link w:val="CommentText"/>
    <w:uiPriority w:val="99"/>
    <w:rsid w:val="00746E59"/>
    <w:rPr>
      <w:lang w:val="nb-NO" w:eastAsia="nb-NO"/>
    </w:rPr>
  </w:style>
  <w:style w:type="paragraph" w:styleId="BalloonText">
    <w:name w:val="Balloon Text"/>
    <w:basedOn w:val="Normal"/>
    <w:link w:val="BalloonTextChar"/>
    <w:rsid w:val="00746E59"/>
    <w:rPr>
      <w:rFonts w:ascii="Tahoma" w:hAnsi="Tahoma" w:cs="Tahoma"/>
      <w:sz w:val="16"/>
      <w:szCs w:val="16"/>
    </w:rPr>
  </w:style>
  <w:style w:type="character" w:customStyle="1" w:styleId="BalloonTextChar">
    <w:name w:val="Balloon Text Char"/>
    <w:basedOn w:val="DefaultParagraphFont"/>
    <w:link w:val="BalloonText"/>
    <w:rsid w:val="00746E59"/>
    <w:rPr>
      <w:rFonts w:ascii="Tahoma" w:hAnsi="Tahoma" w:cs="Tahoma"/>
      <w:sz w:val="16"/>
      <w:szCs w:val="16"/>
    </w:rPr>
  </w:style>
  <w:style w:type="paragraph" w:styleId="BodyText3">
    <w:name w:val="Body Text 3"/>
    <w:basedOn w:val="Normal"/>
    <w:link w:val="BodyText3Char"/>
    <w:rsid w:val="00231920"/>
    <w:pPr>
      <w:spacing w:after="120"/>
    </w:pPr>
    <w:rPr>
      <w:sz w:val="16"/>
      <w:szCs w:val="16"/>
    </w:rPr>
  </w:style>
  <w:style w:type="character" w:customStyle="1" w:styleId="BodyText3Char">
    <w:name w:val="Body Text 3 Char"/>
    <w:basedOn w:val="DefaultParagraphFont"/>
    <w:link w:val="BodyText3"/>
    <w:rsid w:val="00231920"/>
    <w:rPr>
      <w:rFonts w:ascii="Helvetica" w:hAnsi="Helvetica"/>
      <w:sz w:val="16"/>
      <w:szCs w:val="16"/>
    </w:rPr>
  </w:style>
  <w:style w:type="character" w:styleId="LineNumber">
    <w:name w:val="line number"/>
    <w:basedOn w:val="DefaultParagraphFont"/>
    <w:rsid w:val="00412475"/>
  </w:style>
  <w:style w:type="character" w:styleId="Emphasis">
    <w:name w:val="Emphasis"/>
    <w:basedOn w:val="DefaultParagraphFont"/>
    <w:uiPriority w:val="20"/>
    <w:qFormat/>
    <w:rsid w:val="0024282C"/>
    <w:rPr>
      <w:i/>
      <w:iCs/>
    </w:rPr>
  </w:style>
  <w:style w:type="character" w:styleId="UnresolvedMention">
    <w:name w:val="Unresolved Mention"/>
    <w:basedOn w:val="DefaultParagraphFont"/>
    <w:uiPriority w:val="99"/>
    <w:semiHidden/>
    <w:unhideWhenUsed/>
    <w:rsid w:val="00287E68"/>
    <w:rPr>
      <w:color w:val="605E5C"/>
      <w:shd w:val="clear" w:color="auto" w:fill="E1DFDD"/>
    </w:rPr>
  </w:style>
  <w:style w:type="character" w:styleId="PlaceholderText">
    <w:name w:val="Placeholder Text"/>
    <w:basedOn w:val="DefaultParagraphFont"/>
    <w:uiPriority w:val="99"/>
    <w:semiHidden/>
    <w:rsid w:val="00FB22FF"/>
    <w:rPr>
      <w:color w:val="808080"/>
    </w:rPr>
  </w:style>
  <w:style w:type="paragraph" w:styleId="ListParagraph">
    <w:name w:val="List Paragraph"/>
    <w:basedOn w:val="Normal"/>
    <w:uiPriority w:val="34"/>
    <w:qFormat/>
    <w:rsid w:val="00CD2CA4"/>
    <w:pPr>
      <w:ind w:left="720"/>
      <w:contextualSpacing/>
    </w:pPr>
  </w:style>
  <w:style w:type="paragraph" w:styleId="NormalWeb">
    <w:name w:val="Normal (Web)"/>
    <w:basedOn w:val="Normal"/>
    <w:uiPriority w:val="99"/>
    <w:unhideWhenUsed/>
    <w:rsid w:val="002A1CAA"/>
    <w:pPr>
      <w:spacing w:before="100" w:beforeAutospacing="1" w:after="100" w:afterAutospacing="1"/>
    </w:pPr>
    <w:rPr>
      <w:rFonts w:ascii="Times New Roman" w:hAnsi="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668685">
      <w:bodyDiv w:val="1"/>
      <w:marLeft w:val="0"/>
      <w:marRight w:val="0"/>
      <w:marTop w:val="0"/>
      <w:marBottom w:val="0"/>
      <w:divBdr>
        <w:top w:val="none" w:sz="0" w:space="0" w:color="auto"/>
        <w:left w:val="none" w:sz="0" w:space="0" w:color="auto"/>
        <w:bottom w:val="none" w:sz="0" w:space="0" w:color="auto"/>
        <w:right w:val="none" w:sz="0" w:space="0" w:color="auto"/>
      </w:divBdr>
    </w:div>
    <w:div w:id="50465495">
      <w:bodyDiv w:val="1"/>
      <w:marLeft w:val="0"/>
      <w:marRight w:val="0"/>
      <w:marTop w:val="0"/>
      <w:marBottom w:val="0"/>
      <w:divBdr>
        <w:top w:val="none" w:sz="0" w:space="0" w:color="auto"/>
        <w:left w:val="none" w:sz="0" w:space="0" w:color="auto"/>
        <w:bottom w:val="none" w:sz="0" w:space="0" w:color="auto"/>
        <w:right w:val="none" w:sz="0" w:space="0" w:color="auto"/>
      </w:divBdr>
    </w:div>
    <w:div w:id="108167044">
      <w:bodyDiv w:val="1"/>
      <w:marLeft w:val="0"/>
      <w:marRight w:val="0"/>
      <w:marTop w:val="0"/>
      <w:marBottom w:val="0"/>
      <w:divBdr>
        <w:top w:val="none" w:sz="0" w:space="0" w:color="auto"/>
        <w:left w:val="none" w:sz="0" w:space="0" w:color="auto"/>
        <w:bottom w:val="none" w:sz="0" w:space="0" w:color="auto"/>
        <w:right w:val="none" w:sz="0" w:space="0" w:color="auto"/>
      </w:divBdr>
    </w:div>
    <w:div w:id="156773062">
      <w:bodyDiv w:val="1"/>
      <w:marLeft w:val="0"/>
      <w:marRight w:val="0"/>
      <w:marTop w:val="0"/>
      <w:marBottom w:val="0"/>
      <w:divBdr>
        <w:top w:val="none" w:sz="0" w:space="0" w:color="auto"/>
        <w:left w:val="none" w:sz="0" w:space="0" w:color="auto"/>
        <w:bottom w:val="none" w:sz="0" w:space="0" w:color="auto"/>
        <w:right w:val="none" w:sz="0" w:space="0" w:color="auto"/>
      </w:divBdr>
    </w:div>
    <w:div w:id="239678973">
      <w:bodyDiv w:val="1"/>
      <w:marLeft w:val="0"/>
      <w:marRight w:val="0"/>
      <w:marTop w:val="0"/>
      <w:marBottom w:val="0"/>
      <w:divBdr>
        <w:top w:val="none" w:sz="0" w:space="0" w:color="auto"/>
        <w:left w:val="none" w:sz="0" w:space="0" w:color="auto"/>
        <w:bottom w:val="none" w:sz="0" w:space="0" w:color="auto"/>
        <w:right w:val="none" w:sz="0" w:space="0" w:color="auto"/>
      </w:divBdr>
    </w:div>
    <w:div w:id="522017950">
      <w:bodyDiv w:val="1"/>
      <w:marLeft w:val="0"/>
      <w:marRight w:val="0"/>
      <w:marTop w:val="0"/>
      <w:marBottom w:val="0"/>
      <w:divBdr>
        <w:top w:val="none" w:sz="0" w:space="0" w:color="auto"/>
        <w:left w:val="none" w:sz="0" w:space="0" w:color="auto"/>
        <w:bottom w:val="none" w:sz="0" w:space="0" w:color="auto"/>
        <w:right w:val="none" w:sz="0" w:space="0" w:color="auto"/>
      </w:divBdr>
    </w:div>
    <w:div w:id="544297317">
      <w:bodyDiv w:val="1"/>
      <w:marLeft w:val="0"/>
      <w:marRight w:val="0"/>
      <w:marTop w:val="0"/>
      <w:marBottom w:val="0"/>
      <w:divBdr>
        <w:top w:val="none" w:sz="0" w:space="0" w:color="auto"/>
        <w:left w:val="none" w:sz="0" w:space="0" w:color="auto"/>
        <w:bottom w:val="none" w:sz="0" w:space="0" w:color="auto"/>
        <w:right w:val="none" w:sz="0" w:space="0" w:color="auto"/>
      </w:divBdr>
    </w:div>
    <w:div w:id="635257300">
      <w:bodyDiv w:val="1"/>
      <w:marLeft w:val="0"/>
      <w:marRight w:val="0"/>
      <w:marTop w:val="0"/>
      <w:marBottom w:val="0"/>
      <w:divBdr>
        <w:top w:val="none" w:sz="0" w:space="0" w:color="auto"/>
        <w:left w:val="none" w:sz="0" w:space="0" w:color="auto"/>
        <w:bottom w:val="none" w:sz="0" w:space="0" w:color="auto"/>
        <w:right w:val="none" w:sz="0" w:space="0" w:color="auto"/>
      </w:divBdr>
    </w:div>
    <w:div w:id="639113760">
      <w:bodyDiv w:val="1"/>
      <w:marLeft w:val="0"/>
      <w:marRight w:val="0"/>
      <w:marTop w:val="0"/>
      <w:marBottom w:val="0"/>
      <w:divBdr>
        <w:top w:val="none" w:sz="0" w:space="0" w:color="auto"/>
        <w:left w:val="none" w:sz="0" w:space="0" w:color="auto"/>
        <w:bottom w:val="none" w:sz="0" w:space="0" w:color="auto"/>
        <w:right w:val="none" w:sz="0" w:space="0" w:color="auto"/>
      </w:divBdr>
    </w:div>
    <w:div w:id="981815793">
      <w:bodyDiv w:val="1"/>
      <w:marLeft w:val="0"/>
      <w:marRight w:val="0"/>
      <w:marTop w:val="0"/>
      <w:marBottom w:val="0"/>
      <w:divBdr>
        <w:top w:val="none" w:sz="0" w:space="0" w:color="auto"/>
        <w:left w:val="none" w:sz="0" w:space="0" w:color="auto"/>
        <w:bottom w:val="none" w:sz="0" w:space="0" w:color="auto"/>
        <w:right w:val="none" w:sz="0" w:space="0" w:color="auto"/>
      </w:divBdr>
    </w:div>
    <w:div w:id="1005785248">
      <w:bodyDiv w:val="1"/>
      <w:marLeft w:val="0"/>
      <w:marRight w:val="0"/>
      <w:marTop w:val="0"/>
      <w:marBottom w:val="0"/>
      <w:divBdr>
        <w:top w:val="none" w:sz="0" w:space="0" w:color="auto"/>
        <w:left w:val="none" w:sz="0" w:space="0" w:color="auto"/>
        <w:bottom w:val="none" w:sz="0" w:space="0" w:color="auto"/>
        <w:right w:val="none" w:sz="0" w:space="0" w:color="auto"/>
      </w:divBdr>
    </w:div>
    <w:div w:id="1012218544">
      <w:bodyDiv w:val="1"/>
      <w:marLeft w:val="0"/>
      <w:marRight w:val="0"/>
      <w:marTop w:val="0"/>
      <w:marBottom w:val="0"/>
      <w:divBdr>
        <w:top w:val="none" w:sz="0" w:space="0" w:color="auto"/>
        <w:left w:val="none" w:sz="0" w:space="0" w:color="auto"/>
        <w:bottom w:val="none" w:sz="0" w:space="0" w:color="auto"/>
        <w:right w:val="none" w:sz="0" w:space="0" w:color="auto"/>
      </w:divBdr>
    </w:div>
    <w:div w:id="1072198898">
      <w:bodyDiv w:val="1"/>
      <w:marLeft w:val="0"/>
      <w:marRight w:val="0"/>
      <w:marTop w:val="0"/>
      <w:marBottom w:val="0"/>
      <w:divBdr>
        <w:top w:val="none" w:sz="0" w:space="0" w:color="auto"/>
        <w:left w:val="none" w:sz="0" w:space="0" w:color="auto"/>
        <w:bottom w:val="none" w:sz="0" w:space="0" w:color="auto"/>
        <w:right w:val="none" w:sz="0" w:space="0" w:color="auto"/>
      </w:divBdr>
    </w:div>
    <w:div w:id="1112439147">
      <w:bodyDiv w:val="1"/>
      <w:marLeft w:val="0"/>
      <w:marRight w:val="0"/>
      <w:marTop w:val="0"/>
      <w:marBottom w:val="0"/>
      <w:divBdr>
        <w:top w:val="none" w:sz="0" w:space="0" w:color="auto"/>
        <w:left w:val="none" w:sz="0" w:space="0" w:color="auto"/>
        <w:bottom w:val="none" w:sz="0" w:space="0" w:color="auto"/>
        <w:right w:val="none" w:sz="0" w:space="0" w:color="auto"/>
      </w:divBdr>
    </w:div>
    <w:div w:id="1330984388">
      <w:bodyDiv w:val="1"/>
      <w:marLeft w:val="0"/>
      <w:marRight w:val="0"/>
      <w:marTop w:val="0"/>
      <w:marBottom w:val="0"/>
      <w:divBdr>
        <w:top w:val="none" w:sz="0" w:space="0" w:color="auto"/>
        <w:left w:val="none" w:sz="0" w:space="0" w:color="auto"/>
        <w:bottom w:val="none" w:sz="0" w:space="0" w:color="auto"/>
        <w:right w:val="none" w:sz="0" w:space="0" w:color="auto"/>
      </w:divBdr>
    </w:div>
    <w:div w:id="1365522120">
      <w:bodyDiv w:val="1"/>
      <w:marLeft w:val="0"/>
      <w:marRight w:val="0"/>
      <w:marTop w:val="0"/>
      <w:marBottom w:val="0"/>
      <w:divBdr>
        <w:top w:val="none" w:sz="0" w:space="0" w:color="auto"/>
        <w:left w:val="none" w:sz="0" w:space="0" w:color="auto"/>
        <w:bottom w:val="none" w:sz="0" w:space="0" w:color="auto"/>
        <w:right w:val="none" w:sz="0" w:space="0" w:color="auto"/>
      </w:divBdr>
    </w:div>
    <w:div w:id="1743335415">
      <w:bodyDiv w:val="1"/>
      <w:marLeft w:val="0"/>
      <w:marRight w:val="0"/>
      <w:marTop w:val="0"/>
      <w:marBottom w:val="0"/>
      <w:divBdr>
        <w:top w:val="none" w:sz="0" w:space="0" w:color="auto"/>
        <w:left w:val="none" w:sz="0" w:space="0" w:color="auto"/>
        <w:bottom w:val="none" w:sz="0" w:space="0" w:color="auto"/>
        <w:right w:val="none" w:sz="0" w:space="0" w:color="auto"/>
      </w:divBdr>
    </w:div>
    <w:div w:id="1754157002">
      <w:bodyDiv w:val="1"/>
      <w:marLeft w:val="0"/>
      <w:marRight w:val="0"/>
      <w:marTop w:val="0"/>
      <w:marBottom w:val="0"/>
      <w:divBdr>
        <w:top w:val="none" w:sz="0" w:space="0" w:color="auto"/>
        <w:left w:val="none" w:sz="0" w:space="0" w:color="auto"/>
        <w:bottom w:val="none" w:sz="0" w:space="0" w:color="auto"/>
        <w:right w:val="none" w:sz="0" w:space="0" w:color="auto"/>
      </w:divBdr>
    </w:div>
    <w:div w:id="1972325756">
      <w:bodyDiv w:val="1"/>
      <w:marLeft w:val="0"/>
      <w:marRight w:val="0"/>
      <w:marTop w:val="0"/>
      <w:marBottom w:val="0"/>
      <w:divBdr>
        <w:top w:val="none" w:sz="0" w:space="0" w:color="auto"/>
        <w:left w:val="none" w:sz="0" w:space="0" w:color="auto"/>
        <w:bottom w:val="none" w:sz="0" w:space="0" w:color="auto"/>
        <w:right w:val="none" w:sz="0" w:space="0" w:color="auto"/>
      </w:divBdr>
    </w:div>
    <w:div w:id="21429890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18" Type="http://schemas.openxmlformats.org/officeDocument/2006/relationships/image" Target="media/image5.jpeg"/><Relationship Id="rId26" Type="http://schemas.openxmlformats.org/officeDocument/2006/relationships/header" Target="header6.xml"/><Relationship Id="rId3" Type="http://schemas.openxmlformats.org/officeDocument/2006/relationships/styles" Target="styles.xml"/><Relationship Id="rId21" Type="http://schemas.openxmlformats.org/officeDocument/2006/relationships/hyperlink" Target="https://doi.org/10.9734/ajcrs/2025/v8i1609" TargetMode="Externa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image" Target="media/image4.png"/><Relationship Id="rId25" Type="http://schemas.openxmlformats.org/officeDocument/2006/relationships/footer" Target="footer4.xml"/><Relationship Id="rId2" Type="http://schemas.openxmlformats.org/officeDocument/2006/relationships/numbering" Target="numbering.xml"/><Relationship Id="rId16" Type="http://schemas.openxmlformats.org/officeDocument/2006/relationships/image" Target="media/image3.png"/><Relationship Id="rId20" Type="http://schemas.openxmlformats.org/officeDocument/2006/relationships/image" Target="media/image7.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header" Target="header5.xml"/><Relationship Id="rId5" Type="http://schemas.openxmlformats.org/officeDocument/2006/relationships/webSettings" Target="webSettings.xml"/><Relationship Id="rId15" Type="http://schemas.openxmlformats.org/officeDocument/2006/relationships/image" Target="media/image2.png"/><Relationship Id="rId23" Type="http://schemas.openxmlformats.org/officeDocument/2006/relationships/header" Target="header4.xml"/><Relationship Id="rId28" Type="http://schemas.openxmlformats.org/officeDocument/2006/relationships/theme" Target="theme/theme1.xml"/><Relationship Id="rId10" Type="http://schemas.openxmlformats.org/officeDocument/2006/relationships/footer" Target="footer1.xml"/><Relationship Id="rId19" Type="http://schemas.openxmlformats.org/officeDocument/2006/relationships/image" Target="media/image6.png"/><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image" Target="media/image1.png"/><Relationship Id="rId22" Type="http://schemas.openxmlformats.org/officeDocument/2006/relationships/hyperlink" Target="https://doi.org/10.1055/s-0037-1601380" TargetMode="External"/><Relationship Id="rId27" Type="http://schemas.openxmlformats.org/officeDocument/2006/relationships/fontTable" Target="fontTab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logan\Local%20Settings\Temporary%20Internet%20Files\OLK35\2007%20paper%20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2506D3A-E07A-4125-A440-C1CE389E46B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2007 paper template</Template>
  <TotalTime>116</TotalTime>
  <Pages>8</Pages>
  <Words>2708</Words>
  <Characters>15437</Characters>
  <Application>Microsoft Office Word</Application>
  <DocSecurity>0</DocSecurity>
  <Lines>128</Lines>
  <Paragraphs>36</Paragraphs>
  <ScaleCrop>false</ScaleCrop>
  <HeadingPairs>
    <vt:vector size="4" baseType="variant">
      <vt:variant>
        <vt:lpstr>Название</vt:lpstr>
      </vt:variant>
      <vt:variant>
        <vt:i4>1</vt:i4>
      </vt:variant>
      <vt:variant>
        <vt:lpstr>Title</vt:lpstr>
      </vt:variant>
      <vt:variant>
        <vt:i4>1</vt:i4>
      </vt:variant>
    </vt:vector>
  </HeadingPairs>
  <TitlesOfParts>
    <vt:vector size="2" baseType="lpstr">
      <vt:lpstr>Paper Template</vt:lpstr>
      <vt:lpstr>Paper Template</vt:lpstr>
    </vt:vector>
  </TitlesOfParts>
  <Company>aaaa</Company>
  <LinksUpToDate>false</LinksUpToDate>
  <CharactersWithSpaces>18109</CharactersWithSpaces>
  <SharedDoc>false</SharedDoc>
  <HLinks>
    <vt:vector size="30" baseType="variant">
      <vt:variant>
        <vt:i4>6160404</vt:i4>
      </vt:variant>
      <vt:variant>
        <vt:i4>15</vt:i4>
      </vt:variant>
      <vt:variant>
        <vt:i4>0</vt:i4>
      </vt:variant>
      <vt:variant>
        <vt:i4>5</vt:i4>
      </vt:variant>
      <vt:variant>
        <vt:lpwstr>http://www.globalizationandhealth.com/content/1/1/14</vt:lpwstr>
      </vt:variant>
      <vt:variant>
        <vt:lpwstr/>
      </vt:variant>
      <vt:variant>
        <vt:i4>6160404</vt:i4>
      </vt:variant>
      <vt:variant>
        <vt:i4>12</vt:i4>
      </vt:variant>
      <vt:variant>
        <vt:i4>0</vt:i4>
      </vt:variant>
      <vt:variant>
        <vt:i4>5</vt:i4>
      </vt:variant>
      <vt:variant>
        <vt:lpwstr>http://www.globalizationandhealth.com/content/1/1/14</vt:lpwstr>
      </vt:variant>
      <vt:variant>
        <vt:lpwstr/>
      </vt:variant>
      <vt:variant>
        <vt:i4>131166</vt:i4>
      </vt:variant>
      <vt:variant>
        <vt:i4>9</vt:i4>
      </vt:variant>
      <vt:variant>
        <vt:i4>0</vt:i4>
      </vt:variant>
      <vt:variant>
        <vt:i4>5</vt:i4>
      </vt:variant>
      <vt:variant>
        <vt:lpwstr>http://www.prisma-statement.org/</vt:lpwstr>
      </vt:variant>
      <vt:variant>
        <vt:lpwstr/>
      </vt:variant>
      <vt:variant>
        <vt:i4>1376320</vt:i4>
      </vt:variant>
      <vt:variant>
        <vt:i4>6</vt:i4>
      </vt:variant>
      <vt:variant>
        <vt:i4>0</vt:i4>
      </vt:variant>
      <vt:variant>
        <vt:i4>5</vt:i4>
      </vt:variant>
      <vt:variant>
        <vt:lpwstr>http://www.strobe-statement.org/</vt:lpwstr>
      </vt:variant>
      <vt:variant>
        <vt:lpwstr/>
      </vt:variant>
      <vt:variant>
        <vt:i4>5439564</vt:i4>
      </vt:variant>
      <vt:variant>
        <vt:i4>3</vt:i4>
      </vt:variant>
      <vt:variant>
        <vt:i4>0</vt:i4>
      </vt:variant>
      <vt:variant>
        <vt:i4>5</vt:i4>
      </vt:variant>
      <vt:variant>
        <vt:lpwstr>http://www.consort-statement.org/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Paper Template</dc:title>
  <dc:creator>SDI</dc:creator>
  <cp:lastModifiedBy>SDI 1089</cp:lastModifiedBy>
  <cp:revision>5</cp:revision>
  <cp:lastPrinted>2025-11-30T12:33:00Z</cp:lastPrinted>
  <dcterms:created xsi:type="dcterms:W3CDTF">2025-11-30T15:54:00Z</dcterms:created>
  <dcterms:modified xsi:type="dcterms:W3CDTF">2025-12-03T08:09:00Z</dcterms:modified>
</cp:coreProperties>
</file>