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FFC69" w14:textId="77777777" w:rsidR="00B830B0" w:rsidRDefault="00B830B0">
      <w:pPr>
        <w:rPr>
          <w:rFonts w:ascii="Times New Roman" w:eastAsia="Times New Roman" w:hAnsi="Times New Roman" w:cs="Times New Roman"/>
          <w:b/>
          <w:bCs/>
          <w:sz w:val="28"/>
          <w:szCs w:val="28"/>
        </w:rPr>
      </w:pPr>
      <w:r w:rsidRPr="00B830B0">
        <w:rPr>
          <w:rFonts w:ascii="Times New Roman" w:eastAsia="Times New Roman" w:hAnsi="Times New Roman" w:cs="Times New Roman"/>
          <w:b/>
          <w:bCs/>
          <w:sz w:val="28"/>
          <w:szCs w:val="28"/>
        </w:rPr>
        <w:t>Case Report</w:t>
      </w:r>
    </w:p>
    <w:p w14:paraId="32730F54" w14:textId="2E8E78F1" w:rsidR="00C01C4B" w:rsidRDefault="00F931E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NECROTISING SIALOMETAPLASIA OF THE PALATE MIMICKING MALIGNANCY: A REPORT OF TWO CASES AND REVIEW OF DIAGNOSTIC CHALLENGES </w:t>
      </w:r>
    </w:p>
    <w:p w14:paraId="326E8D75" w14:textId="77777777" w:rsidR="00C01C4B" w:rsidRDefault="00C01C4B">
      <w:pPr>
        <w:rPr>
          <w:rFonts w:ascii="Times New Roman" w:eastAsia="Times New Roman" w:hAnsi="Times New Roman" w:cs="Times New Roman"/>
          <w:b/>
          <w:bCs/>
          <w:sz w:val="24"/>
        </w:rPr>
      </w:pPr>
    </w:p>
    <w:p w14:paraId="56358D2E" w14:textId="61018E4C"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Abstract</w:t>
      </w:r>
    </w:p>
    <w:p w14:paraId="4E474FA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is an infrequent, benign, and self-limiting inflammatory condition of the salivary glands. Owing to its close clinical and histological resemblance to malignant salivary gland tumors, it often creates significant diagnostic and therapeutic challenges. The hard palate is the most common site, although other regions containing salivary tissue may also be affected. We present two cases of palatal NSM with contrasting presentations and management approaches. In the first case, a 42-year-old man with a submucosal palatal swelling underwent surgical excision following a diagnosis of malignancy on cytology. Histopathology subsequently confirmed NSM. The second case involved a 73-year-old woman with diabetes mellitus who presented with a painful ulcer on the palate; biopsy confirmed NSM, and she was successfully managed with conservative therapy. These cases highlight the importance of recognizing NSM in the differential diagnosis of palatal lesions to prevent unnecessary aggressive interventions.</w:t>
      </w:r>
    </w:p>
    <w:p w14:paraId="20C6CE00" w14:textId="77777777" w:rsidR="00C01C4B" w:rsidRDefault="00C01C4B">
      <w:pPr>
        <w:rPr>
          <w:rFonts w:ascii="Times New Roman" w:eastAsia="Times New Roman" w:hAnsi="Times New Roman" w:cs="Times New Roman"/>
          <w:sz w:val="24"/>
        </w:rPr>
      </w:pPr>
    </w:p>
    <w:p w14:paraId="1BACD6A6" w14:textId="19294D80"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Keywords</w:t>
      </w:r>
      <w:r w:rsidR="00ED75A8">
        <w:rPr>
          <w:rFonts w:ascii="Times New Roman" w:eastAsia="Times New Roman" w:hAnsi="Times New Roman" w:cs="Times New Roman"/>
          <w:b/>
          <w:bCs/>
          <w:sz w:val="24"/>
        </w:rPr>
        <w:t xml:space="preserve">: </w:t>
      </w: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Palatal ulcer; Salivary gland pathology; Benign mimic of malignancy; Diagnostic pitfall</w:t>
      </w:r>
    </w:p>
    <w:p w14:paraId="680978CA" w14:textId="63B0B7D9"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Introduction</w:t>
      </w:r>
    </w:p>
    <w:p w14:paraId="19A8061C" w14:textId="0EC38EBE"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is an uncommon non-neoplastic inflammatory lesion of the salivary glands, first documented by Abrams and colleagues in 1973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 Although histologically benign, NSM can clinically and microscopically imitate malignant tumors such as squamous cell carcinoma or mucoepidermoid carcinoma </w:t>
      </w:r>
      <w:r>
        <w:rPr>
          <w:rFonts w:ascii="Times New Roman" w:eastAsia="Times New Roman" w:hAnsi="Times New Roman" w:cs="Times New Roman"/>
          <w:sz w:val="24"/>
          <w:vertAlign w:val="superscript"/>
        </w:rPr>
        <w:t>2,</w:t>
      </w:r>
      <w:proofErr w:type="gramStart"/>
      <w:r>
        <w:rPr>
          <w:rFonts w:ascii="Times New Roman" w:eastAsia="Times New Roman" w:hAnsi="Times New Roman" w:cs="Times New Roman"/>
          <w:sz w:val="24"/>
          <w:vertAlign w:val="superscript"/>
        </w:rPr>
        <w:t xml:space="preserve">3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This close resemblance often leads to misdiagnosis and, consequently, unnecessary radical surgical treatment.</w:t>
      </w:r>
      <w:r w:rsidR="000A1AE7">
        <w:rPr>
          <w:rFonts w:ascii="Times New Roman" w:eastAsia="Times New Roman" w:hAnsi="Times New Roman" w:cs="Times New Roman"/>
          <w:sz w:val="24"/>
        </w:rPr>
        <w:t xml:space="preserve"> </w:t>
      </w:r>
      <w:r w:rsidR="000A1AE7" w:rsidRPr="00ED75A8">
        <w:rPr>
          <w:rFonts w:ascii="Georgia" w:hAnsi="Georgia"/>
          <w:color w:val="1F1F1F"/>
          <w:highlight w:val="yellow"/>
        </w:rPr>
        <w:t>The lesion commonly occurs in the minor </w:t>
      </w:r>
      <w:hyperlink r:id="rId7" w:tooltip="Learn more about salivary gland from ScienceDirect's AI-generated Topic Pages" w:history="1">
        <w:r w:rsidR="000A1AE7" w:rsidRPr="00ED75A8">
          <w:rPr>
            <w:rStyle w:val="Hyperlink"/>
            <w:rFonts w:ascii="Georgia" w:hAnsi="Georgia"/>
            <w:color w:val="1F1F1F"/>
            <w:highlight w:val="yellow"/>
          </w:rPr>
          <w:t>salivary gland</w:t>
        </w:r>
      </w:hyperlink>
      <w:r w:rsidR="000A1AE7" w:rsidRPr="00ED75A8">
        <w:rPr>
          <w:rFonts w:ascii="Georgia" w:hAnsi="Georgia"/>
          <w:color w:val="1F1F1F"/>
          <w:highlight w:val="yellow"/>
        </w:rPr>
        <w:t> of the palate. Macroscopically, the lesion appears as a necrotic ulcer. Furthermore, histopathological findings mimic those of a malignant tumor owing to the </w:t>
      </w:r>
      <w:hyperlink r:id="rId8" w:tooltip="Learn more about squamous metaplasia from ScienceDirect's AI-generated Topic Pages" w:history="1">
        <w:r w:rsidR="000A1AE7" w:rsidRPr="00ED75A8">
          <w:rPr>
            <w:rStyle w:val="Hyperlink"/>
            <w:rFonts w:ascii="Georgia" w:hAnsi="Georgia"/>
            <w:color w:val="1F1F1F"/>
            <w:highlight w:val="yellow"/>
          </w:rPr>
          <w:t>squamous metaplasia</w:t>
        </w:r>
      </w:hyperlink>
      <w:r w:rsidR="000A1AE7" w:rsidRPr="00ED75A8">
        <w:rPr>
          <w:rFonts w:ascii="Georgia" w:hAnsi="Georgia"/>
          <w:color w:val="1F1F1F"/>
          <w:highlight w:val="yellow"/>
        </w:rPr>
        <w:t> of salivary glands</w:t>
      </w:r>
      <w:r w:rsidR="000A1AE7">
        <w:rPr>
          <w:rFonts w:ascii="Georgia" w:hAnsi="Georgia"/>
          <w:color w:val="1F1F1F"/>
          <w:highlight w:val="yellow"/>
        </w:rPr>
        <w:t xml:space="preserve"> (</w:t>
      </w:r>
      <w:r w:rsidR="000A1AE7" w:rsidRPr="000A1AE7">
        <w:rPr>
          <w:rFonts w:ascii="Arial" w:hAnsi="Arial" w:cs="Arial"/>
          <w:color w:val="222222"/>
          <w:sz w:val="20"/>
          <w:szCs w:val="20"/>
          <w:shd w:val="clear" w:color="auto" w:fill="FFFFFF"/>
        </w:rPr>
        <w:t>Carlson, 2009</w:t>
      </w:r>
      <w:r w:rsidR="00B05DCF">
        <w:rPr>
          <w:rFonts w:ascii="Arial" w:hAnsi="Arial" w:cs="Arial"/>
          <w:color w:val="222222"/>
          <w:sz w:val="20"/>
          <w:szCs w:val="20"/>
          <w:shd w:val="clear" w:color="auto" w:fill="FFFFFF"/>
        </w:rPr>
        <w:t xml:space="preserve">; </w:t>
      </w:r>
      <w:r w:rsidR="00B05DCF" w:rsidRPr="00B05DCF">
        <w:rPr>
          <w:rFonts w:ascii="Arial" w:hAnsi="Arial" w:cs="Arial"/>
          <w:color w:val="222222"/>
          <w:sz w:val="20"/>
          <w:szCs w:val="20"/>
          <w:shd w:val="clear" w:color="auto" w:fill="FFFFFF"/>
        </w:rPr>
        <w:t>Kaplan et al., 2012</w:t>
      </w:r>
      <w:r w:rsidR="000A1AE7">
        <w:rPr>
          <w:rFonts w:ascii="Georgia" w:hAnsi="Georgia"/>
          <w:color w:val="1F1F1F"/>
          <w:highlight w:val="yellow"/>
        </w:rPr>
        <w:t>)</w:t>
      </w:r>
      <w:r w:rsidR="000A1AE7" w:rsidRPr="00ED75A8">
        <w:rPr>
          <w:rFonts w:ascii="Georgia" w:hAnsi="Georgia"/>
          <w:color w:val="1F1F1F"/>
          <w:highlight w:val="yellow"/>
        </w:rPr>
        <w:t>.</w:t>
      </w:r>
    </w:p>
    <w:p w14:paraId="5DFF15F8" w14:textId="77777777" w:rsidR="00C01C4B" w:rsidRDefault="00C01C4B">
      <w:pPr>
        <w:rPr>
          <w:rFonts w:ascii="Times New Roman" w:eastAsia="Times New Roman" w:hAnsi="Times New Roman" w:cs="Times New Roman"/>
          <w:sz w:val="24"/>
        </w:rPr>
      </w:pPr>
    </w:p>
    <w:p w14:paraId="1DFAB4F8" w14:textId="5CE0F51C"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pathogenesis of NSM is considered ischemic in nature, where vascular compromise leads to coagulative necrosis of salivary gland acini and subsequent squamous metaplasia of ducts</w:t>
      </w:r>
      <w:proofErr w:type="gramStart"/>
      <w:r>
        <w:rPr>
          <w:rFonts w:ascii="Times New Roman" w:eastAsia="Times New Roman" w:hAnsi="Times New Roman" w:cs="Times New Roman"/>
          <w:sz w:val="24"/>
          <w:vertAlign w:val="superscript"/>
        </w:rPr>
        <w:t xml:space="preserve">4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Contributing factors include local trauma, smoking, alcohol consumption, denture irritation, infections, surgery, radiation, systemic diseases such as diabetes mellitus or sickle cell disease, and immunosuppression </w:t>
      </w:r>
      <w:r>
        <w:rPr>
          <w:rFonts w:ascii="Times New Roman" w:eastAsia="Times New Roman" w:hAnsi="Times New Roman" w:cs="Times New Roman"/>
          <w:sz w:val="24"/>
          <w:vertAlign w:val="superscript"/>
        </w:rPr>
        <w:t>5,6</w:t>
      </w:r>
      <w:r>
        <w:rPr>
          <w:rFonts w:ascii="Times New Roman" w:eastAsia="Times New Roman" w:hAnsi="Times New Roman" w:cs="Times New Roman"/>
          <w:sz w:val="24"/>
        </w:rPr>
        <w:t xml:space="preserve">. While approximately 80% of cases occur in the hard palate, lesions have been described in other intraoral and extraoral sites, including the tongue, retromolar region, nasal cavity, larynx, and even extra-salivary tissues such as the lungs and breast </w:t>
      </w:r>
      <w:r>
        <w:rPr>
          <w:rFonts w:ascii="Times New Roman" w:eastAsia="Times New Roman" w:hAnsi="Times New Roman" w:cs="Times New Roman"/>
          <w:sz w:val="24"/>
          <w:vertAlign w:val="superscript"/>
        </w:rPr>
        <w:t>7,8</w:t>
      </w:r>
      <w:r>
        <w:rPr>
          <w:rFonts w:ascii="Times New Roman" w:eastAsia="Times New Roman" w:hAnsi="Times New Roman" w:cs="Times New Roman"/>
          <w:sz w:val="24"/>
        </w:rPr>
        <w:t>.</w:t>
      </w:r>
      <w:r w:rsidR="000A1AE7">
        <w:rPr>
          <w:rFonts w:ascii="Times New Roman" w:eastAsia="Times New Roman" w:hAnsi="Times New Roman" w:cs="Times New Roman"/>
          <w:sz w:val="24"/>
        </w:rPr>
        <w:t xml:space="preserve"> </w:t>
      </w:r>
      <w:r w:rsidR="000A1AE7" w:rsidRPr="00ED75A8">
        <w:rPr>
          <w:color w:val="222222"/>
          <w:sz w:val="27"/>
          <w:szCs w:val="27"/>
          <w:highlight w:val="yellow"/>
          <w:shd w:val="clear" w:color="auto" w:fill="FFFFFF"/>
        </w:rPr>
        <w:t>The incidence of NSM has been reported to account for 0.03% of all oral biopsies, but that may be underestimated because of the low recognition o</w:t>
      </w:r>
      <w:r w:rsidR="00F751A8">
        <w:rPr>
          <w:color w:val="222222"/>
          <w:sz w:val="27"/>
          <w:szCs w:val="27"/>
          <w:highlight w:val="yellow"/>
          <w:shd w:val="clear" w:color="auto" w:fill="FFFFFF"/>
        </w:rPr>
        <w:t>f</w:t>
      </w:r>
      <w:r w:rsidR="000A1AE7" w:rsidRPr="00ED75A8">
        <w:rPr>
          <w:color w:val="222222"/>
          <w:sz w:val="27"/>
          <w:szCs w:val="27"/>
          <w:highlight w:val="yellow"/>
          <w:shd w:val="clear" w:color="auto" w:fill="FFFFFF"/>
        </w:rPr>
        <w:t xml:space="preserve"> this entity. Histological findings are relatively characteristic, showing extensive coagulative necrosis with preserved lobular architectures and squamous metaplasia of the ductal epithelia</w:t>
      </w:r>
      <w:r w:rsidR="00B05DCF" w:rsidRPr="00024D16">
        <w:rPr>
          <w:color w:val="222222"/>
          <w:sz w:val="27"/>
          <w:szCs w:val="27"/>
          <w:highlight w:val="yellow"/>
          <w:shd w:val="clear" w:color="auto" w:fill="FFFFFF"/>
        </w:rPr>
        <w:t xml:space="preserve"> </w:t>
      </w:r>
      <w:r w:rsidR="00B05DCF" w:rsidRPr="00ED75A8">
        <w:rPr>
          <w:color w:val="222222"/>
          <w:sz w:val="27"/>
          <w:szCs w:val="27"/>
          <w:highlight w:val="yellow"/>
          <w:shd w:val="clear" w:color="auto" w:fill="FFFFFF"/>
        </w:rPr>
        <w:t>(Lynch et al., 1979)</w:t>
      </w:r>
      <w:r w:rsidR="000A1AE7" w:rsidRPr="00ED75A8">
        <w:rPr>
          <w:color w:val="222222"/>
          <w:sz w:val="27"/>
          <w:szCs w:val="27"/>
          <w:highlight w:val="yellow"/>
          <w:shd w:val="clear" w:color="auto" w:fill="FFFFFF"/>
        </w:rPr>
        <w:t>. The greatest concern regarding NSM is the risk of misinterpretation as other lesions. The most worrisome histologic mimics are mucoepidermoid carcinoma (MEC) and squamous cell carcinoma</w:t>
      </w:r>
      <w:r w:rsidR="000A1AE7">
        <w:rPr>
          <w:color w:val="222222"/>
          <w:sz w:val="27"/>
          <w:szCs w:val="27"/>
          <w:highlight w:val="yellow"/>
          <w:shd w:val="clear" w:color="auto" w:fill="FFFFFF"/>
        </w:rPr>
        <w:t xml:space="preserve"> (</w:t>
      </w:r>
      <w:r w:rsidR="000A1AE7" w:rsidRPr="00C204F8">
        <w:rPr>
          <w:rFonts w:ascii="Arial" w:hAnsi="Arial" w:cs="Arial"/>
          <w:color w:val="222222"/>
          <w:sz w:val="20"/>
          <w:szCs w:val="20"/>
          <w:highlight w:val="yellow"/>
          <w:shd w:val="clear" w:color="auto" w:fill="FFFFFF"/>
        </w:rPr>
        <w:t>Shin</w:t>
      </w:r>
      <w:r w:rsidR="000A1AE7">
        <w:rPr>
          <w:rFonts w:ascii="Arial" w:hAnsi="Arial" w:cs="Arial"/>
          <w:color w:val="222222"/>
          <w:sz w:val="20"/>
          <w:szCs w:val="20"/>
          <w:highlight w:val="yellow"/>
          <w:shd w:val="clear" w:color="auto" w:fill="FFFFFF"/>
        </w:rPr>
        <w:t xml:space="preserve"> et al., 2020; </w:t>
      </w:r>
      <w:r w:rsidR="000A1AE7" w:rsidRPr="000A1AE7">
        <w:rPr>
          <w:rFonts w:ascii="Arial" w:hAnsi="Arial" w:cs="Arial"/>
          <w:color w:val="222222"/>
          <w:sz w:val="20"/>
          <w:szCs w:val="20"/>
          <w:shd w:val="clear" w:color="auto" w:fill="FFFFFF"/>
        </w:rPr>
        <w:t>Abrams et al., 1973</w:t>
      </w:r>
      <w:r w:rsidR="000A1AE7">
        <w:rPr>
          <w:color w:val="222222"/>
          <w:sz w:val="27"/>
          <w:szCs w:val="27"/>
          <w:highlight w:val="yellow"/>
          <w:shd w:val="clear" w:color="auto" w:fill="FFFFFF"/>
        </w:rPr>
        <w:t>)</w:t>
      </w:r>
      <w:r w:rsidR="000A1AE7" w:rsidRPr="00ED75A8">
        <w:rPr>
          <w:color w:val="222222"/>
          <w:sz w:val="27"/>
          <w:szCs w:val="27"/>
          <w:highlight w:val="yellow"/>
          <w:shd w:val="clear" w:color="auto" w:fill="FFFFFF"/>
        </w:rPr>
        <w:t>.</w:t>
      </w:r>
      <w:r w:rsidR="000A1AE7">
        <w:rPr>
          <w:color w:val="222222"/>
          <w:sz w:val="27"/>
          <w:szCs w:val="27"/>
          <w:shd w:val="clear" w:color="auto" w:fill="FFFFFF"/>
        </w:rPr>
        <w:t> </w:t>
      </w:r>
    </w:p>
    <w:p w14:paraId="7F4EE68E" w14:textId="314C0E8E" w:rsidR="000A1AE7" w:rsidRDefault="00F931EA">
      <w:pPr>
        <w:rPr>
          <w:rFonts w:ascii="Times New Roman" w:eastAsia="Times New Roman" w:hAnsi="Times New Roman" w:cs="Times New Roman"/>
          <w:sz w:val="24"/>
        </w:rPr>
      </w:pPr>
      <w:r>
        <w:rPr>
          <w:rFonts w:ascii="Times New Roman" w:eastAsia="Times New Roman" w:hAnsi="Times New Roman" w:cs="Times New Roman"/>
          <w:sz w:val="24"/>
        </w:rPr>
        <w:t>Given its potential for clinical misinterpretation as malignancy, awareness of NSM’s diagnostic features is essential for optimal patient management</w:t>
      </w:r>
      <w:r w:rsidR="00B05DCF">
        <w:rPr>
          <w:rFonts w:ascii="Times New Roman" w:eastAsia="Times New Roman" w:hAnsi="Times New Roman" w:cs="Times New Roman"/>
          <w:sz w:val="24"/>
        </w:rPr>
        <w:t xml:space="preserve"> </w:t>
      </w:r>
      <w:r w:rsidR="00B05DCF" w:rsidRPr="00B05DCF">
        <w:rPr>
          <w:rFonts w:ascii="Times New Roman" w:eastAsia="Times New Roman" w:hAnsi="Times New Roman" w:cs="Times New Roman"/>
          <w:sz w:val="24"/>
        </w:rPr>
        <w:t>(Joshi et al., 2014)</w:t>
      </w:r>
      <w:r>
        <w:rPr>
          <w:rFonts w:ascii="Times New Roman" w:eastAsia="Times New Roman" w:hAnsi="Times New Roman" w:cs="Times New Roman"/>
          <w:sz w:val="24"/>
        </w:rPr>
        <w:t>. We report two palatal cases that illustrate the diagnostic dilemma and emphasize the importance of clinicopathological correlation.</w:t>
      </w:r>
    </w:p>
    <w:p w14:paraId="53920421" w14:textId="68AAE638"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 xml:space="preserve">Case </w:t>
      </w:r>
      <w:proofErr w:type="gramStart"/>
      <w:r>
        <w:rPr>
          <w:rFonts w:ascii="Times New Roman" w:eastAsia="Times New Roman" w:hAnsi="Times New Roman" w:cs="Times New Roman"/>
          <w:b/>
          <w:bCs/>
          <w:sz w:val="24"/>
        </w:rPr>
        <w:t>Reports :</w:t>
      </w:r>
      <w:proofErr w:type="gramEnd"/>
    </w:p>
    <w:p w14:paraId="7A2527C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Case 1</w:t>
      </w:r>
    </w:p>
    <w:p w14:paraId="7E74183E" w14:textId="77777777" w:rsidR="00C01C4B" w:rsidRDefault="00C01C4B">
      <w:pPr>
        <w:rPr>
          <w:rFonts w:ascii="Times New Roman" w:eastAsia="Times New Roman" w:hAnsi="Times New Roman" w:cs="Times New Roman"/>
          <w:sz w:val="24"/>
        </w:rPr>
      </w:pPr>
    </w:p>
    <w:p w14:paraId="46D2F4A4" w14:textId="4DA2A358"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A 42-year-old male presented with a painless swelling on the hard palate. Clinical examination revealed a 3x3cm, smooth, firm, submucosal lesion without ulceration. Fine-needle aspiration cytology (FNAC) suggested a malignant salivary gland </w:t>
      </w:r>
      <w:r>
        <w:rPr>
          <w:rFonts w:ascii="Times New Roman" w:eastAsia="Times New Roman" w:hAnsi="Times New Roman" w:cs="Times New Roman"/>
          <w:sz w:val="24"/>
        </w:rPr>
        <w:lastRenderedPageBreak/>
        <w:t>neoplasm. A CT paranasal sinus was done to rule out any bony erosion or defect if present</w:t>
      </w:r>
      <w:r w:rsidR="00F751A8">
        <w:rPr>
          <w:rFonts w:ascii="Times New Roman" w:eastAsia="Times New Roman" w:hAnsi="Times New Roman" w:cs="Times New Roman"/>
          <w:sz w:val="24"/>
        </w:rPr>
        <w:t>,</w:t>
      </w:r>
      <w:r>
        <w:rPr>
          <w:rFonts w:ascii="Times New Roman" w:eastAsia="Times New Roman" w:hAnsi="Times New Roman" w:cs="Times New Roman"/>
          <w:sz w:val="24"/>
        </w:rPr>
        <w:t xml:space="preserve"> at the </w:t>
      </w:r>
      <w:r w:rsidRPr="00F751A8">
        <w:rPr>
          <w:rFonts w:ascii="Times New Roman" w:eastAsia="Times New Roman" w:hAnsi="Times New Roman" w:cs="Times New Roman"/>
          <w:sz w:val="24"/>
          <w:highlight w:val="yellow"/>
        </w:rPr>
        <w:t xml:space="preserve">base of the swelling. Coronal cuts of CT PNS show </w:t>
      </w:r>
      <w:r w:rsidR="00F751A8" w:rsidRPr="00F751A8">
        <w:rPr>
          <w:rFonts w:ascii="Times New Roman" w:eastAsia="Times New Roman" w:hAnsi="Times New Roman" w:cs="Times New Roman"/>
          <w:sz w:val="24"/>
          <w:highlight w:val="yellow"/>
        </w:rPr>
        <w:t xml:space="preserve">a </w:t>
      </w:r>
      <w:r w:rsidRPr="00F751A8">
        <w:rPr>
          <w:rFonts w:ascii="Times New Roman" w:eastAsia="Times New Roman" w:hAnsi="Times New Roman" w:cs="Times New Roman"/>
          <w:sz w:val="24"/>
          <w:highlight w:val="yellow"/>
        </w:rPr>
        <w:t>normal bony surface with no evidence of osteolysis (Fig</w:t>
      </w:r>
      <w:r>
        <w:rPr>
          <w:rFonts w:ascii="Times New Roman" w:eastAsia="Times New Roman" w:hAnsi="Times New Roman" w:cs="Times New Roman"/>
          <w:sz w:val="24"/>
        </w:rPr>
        <w:t>-01).</w:t>
      </w:r>
      <w:r w:rsidR="00F751A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Based on this preliminary impression, the patient underwent </w:t>
      </w:r>
      <w:r w:rsidR="00F751A8">
        <w:rPr>
          <w:rFonts w:ascii="Times New Roman" w:eastAsia="Times New Roman" w:hAnsi="Times New Roman" w:cs="Times New Roman"/>
          <w:sz w:val="24"/>
        </w:rPr>
        <w:t xml:space="preserve">a </w:t>
      </w:r>
      <w:r>
        <w:rPr>
          <w:rFonts w:ascii="Times New Roman" w:eastAsia="Times New Roman" w:hAnsi="Times New Roman" w:cs="Times New Roman"/>
          <w:sz w:val="24"/>
        </w:rPr>
        <w:t>wide local excision with a 1 cm margin. Reconstruction was achieved using a palatal rotation flap based on the greater palatine artery.</w:t>
      </w:r>
    </w:p>
    <w:p w14:paraId="260003A2" w14:textId="77777777" w:rsidR="00C01C4B" w:rsidRDefault="00C01C4B">
      <w:pPr>
        <w:rPr>
          <w:rFonts w:ascii="Times New Roman" w:eastAsia="Times New Roman" w:hAnsi="Times New Roman" w:cs="Times New Roman"/>
          <w:sz w:val="24"/>
        </w:rPr>
      </w:pPr>
    </w:p>
    <w:p w14:paraId="69981F5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Histopathological evaluation of the resected specimen, however, revealed preservation of the lobular architecture, with areas of coagulative necrosis, squamous metaplasia of ducts and acini, and an inflammatory infiltrate predominantly composed of neutrophils. No cytological atypia or evidence of malignant transformation was observed. These findings were diagnostic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The patient remained disease-free on follow-up.</w:t>
      </w:r>
    </w:p>
    <w:p w14:paraId="0BF71D02" w14:textId="77777777" w:rsidR="00C01C4B" w:rsidRDefault="00C01C4B">
      <w:pPr>
        <w:rPr>
          <w:rFonts w:ascii="Times New Roman" w:eastAsia="Times New Roman" w:hAnsi="Times New Roman" w:cs="Times New Roman"/>
          <w:sz w:val="24"/>
        </w:rPr>
      </w:pPr>
    </w:p>
    <w:p w14:paraId="2220856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Case 2</w:t>
      </w:r>
    </w:p>
    <w:p w14:paraId="54A9C828" w14:textId="77777777" w:rsidR="00C01C4B" w:rsidRDefault="00C01C4B">
      <w:pPr>
        <w:rPr>
          <w:rFonts w:ascii="Times New Roman" w:eastAsia="Times New Roman" w:hAnsi="Times New Roman" w:cs="Times New Roman"/>
          <w:sz w:val="24"/>
        </w:rPr>
      </w:pPr>
    </w:p>
    <w:p w14:paraId="1070924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A 73-year-old female with a history of diabetes mellitus presented with severe oral pain, difficulty in mastication and swallowing, and insomnia for two weeks. Intraoral examination revealed an ulcerative lesion measuring about 3x4cm on the left hard palate (Fig-02), and an incisional biopsy confirmed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characterized by </w:t>
      </w:r>
      <w:proofErr w:type="spellStart"/>
      <w:r>
        <w:rPr>
          <w:rFonts w:ascii="Times New Roman" w:eastAsia="Times New Roman" w:hAnsi="Times New Roman" w:cs="Times New Roman"/>
          <w:sz w:val="24"/>
        </w:rPr>
        <w:t>pseudoepitheliomatous</w:t>
      </w:r>
      <w:proofErr w:type="spellEnd"/>
      <w:r>
        <w:rPr>
          <w:rFonts w:ascii="Times New Roman" w:eastAsia="Times New Roman" w:hAnsi="Times New Roman" w:cs="Times New Roman"/>
          <w:sz w:val="24"/>
        </w:rPr>
        <w:t xml:space="preserve"> hyperplasia, squamous metaplasia of ducts, preservation of lobular architecture, mucin extravasation, and associated inflammation. Previous treatment with broad-spectrum antibiotics and antifungals had been ineffective. </w:t>
      </w:r>
    </w:p>
    <w:p w14:paraId="49A88F46" w14:textId="77777777" w:rsidR="00C01C4B" w:rsidRDefault="00C01C4B">
      <w:pPr>
        <w:rPr>
          <w:rFonts w:ascii="Times New Roman" w:eastAsia="Times New Roman" w:hAnsi="Times New Roman" w:cs="Times New Roman"/>
          <w:sz w:val="24"/>
        </w:rPr>
      </w:pPr>
    </w:p>
    <w:p w14:paraId="628D5655" w14:textId="745F1E1C"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She was managed conservatively with strict glycemic control, topical analgesics and anesthetics (choline salicylate and lignocaine), topical steroids (triamcinolone acetonide), topical antibacterial gel (metronidazole), chlorhexidine mouthwash, systemic analgesics (tramadol), and a tapering course of oral prednisolone 40mg over 10 days. The patient experienced significant symptomatic relief, and the lesion completely resolved over the following weeks (Fig-03), demonstrating the self-limiting nature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and highlighting the importance of accurate diagnosis to prevent unnecessary invasive treatment</w:t>
      </w:r>
      <w:r w:rsidR="00F751A8">
        <w:rPr>
          <w:rFonts w:ascii="Times New Roman" w:eastAsia="Times New Roman" w:hAnsi="Times New Roman" w:cs="Times New Roman"/>
          <w:sz w:val="24"/>
        </w:rPr>
        <w:t>.</w:t>
      </w:r>
    </w:p>
    <w:p w14:paraId="6DD1308E"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Discussion :</w:t>
      </w:r>
      <w:proofErr w:type="gramEnd"/>
    </w:p>
    <w:p w14:paraId="0373793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though rare, is a well-recognized mimic of salivary gland </w:t>
      </w:r>
      <w:r>
        <w:rPr>
          <w:rFonts w:ascii="Times New Roman" w:eastAsia="Times New Roman" w:hAnsi="Times New Roman" w:cs="Times New Roman"/>
          <w:sz w:val="24"/>
        </w:rPr>
        <w:lastRenderedPageBreak/>
        <w:t xml:space="preserve">malignancy. The condition is considered ischemic in origin, as shown experimentally by Standish and Shafer, who reproduced the lesion in rats by ligating the palatal blood supply </w:t>
      </w:r>
      <w:r>
        <w:rPr>
          <w:rFonts w:ascii="Times New Roman" w:eastAsia="Times New Roman" w:hAnsi="Times New Roman" w:cs="Times New Roman"/>
          <w:sz w:val="24"/>
          <w:vertAlign w:val="superscript"/>
        </w:rPr>
        <w:t>4</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and Hansen described the pathological evolution of NSM in five stages: infarction, sequestration, ulceration, reparative phase, and healing </w:t>
      </w:r>
      <w:r>
        <w:rPr>
          <w:rFonts w:ascii="Times New Roman" w:eastAsia="Times New Roman" w:hAnsi="Times New Roman" w:cs="Times New Roman"/>
          <w:sz w:val="24"/>
          <w:vertAlign w:val="superscript"/>
        </w:rPr>
        <w:t>9</w:t>
      </w:r>
      <w:r>
        <w:rPr>
          <w:rFonts w:ascii="Times New Roman" w:eastAsia="Times New Roman" w:hAnsi="Times New Roman" w:cs="Times New Roman"/>
          <w:sz w:val="24"/>
        </w:rPr>
        <w:t>.</w:t>
      </w:r>
    </w:p>
    <w:p w14:paraId="7BEADF7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Histologically, Carlson outlined five diagnostic hallmarks</w:t>
      </w:r>
      <w:proofErr w:type="gramStart"/>
      <w:r>
        <w:rPr>
          <w:rFonts w:ascii="Times New Roman" w:eastAsia="Times New Roman" w:hAnsi="Times New Roman" w:cs="Times New Roman"/>
          <w:sz w:val="24"/>
          <w:vertAlign w:val="superscript"/>
        </w:rPr>
        <w:t xml:space="preserve">10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7C8B3C8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pseudoepitheliomatous</w:t>
      </w:r>
      <w:proofErr w:type="spellEnd"/>
      <w:r>
        <w:rPr>
          <w:rFonts w:ascii="Times New Roman" w:eastAsia="Times New Roman" w:hAnsi="Times New Roman" w:cs="Times New Roman"/>
          <w:sz w:val="24"/>
        </w:rPr>
        <w:t xml:space="preserve"> hyperplasia of the overlying epithelium</w:t>
      </w:r>
    </w:p>
    <w:p w14:paraId="049D194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squamous metaplasia of salivary ducts and acini</w:t>
      </w:r>
    </w:p>
    <w:p w14:paraId="19DF686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preservation of lobular architecture</w:t>
      </w:r>
    </w:p>
    <w:p w14:paraId="2AB3EB7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coagulative necrosis of lobules with mucin spillage</w:t>
      </w:r>
    </w:p>
    <w:p w14:paraId="535CFDB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-secondary inflammatory response.</w:t>
      </w:r>
    </w:p>
    <w:p w14:paraId="317EF66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These features allow differentiation from squamous cell carcinoma or mucoepidermoid carcinoma, which show cellular atypia, invasion, and architectural distortion.</w:t>
      </w:r>
    </w:p>
    <w:p w14:paraId="6EBFB6D7" w14:textId="77777777" w:rsidR="00C01C4B" w:rsidRDefault="00C01C4B">
      <w:pPr>
        <w:rPr>
          <w:rFonts w:ascii="Times New Roman" w:eastAsia="Times New Roman" w:hAnsi="Times New Roman" w:cs="Times New Roman"/>
          <w:sz w:val="24"/>
        </w:rPr>
      </w:pPr>
    </w:p>
    <w:p w14:paraId="4BD645C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The primary diagnostic challenge arises from the lesion’s ability to present either as a submucosal mass (as in case 1) or as an ulcer (as in case 2). In both scenarios, malignancy is a strong clinical consideration, particularly squamous cell carcinoma. Other differential diagnoses include nicotinic stomatitis, minor salivary gland tumors, and Crohn’s disease involving the oral mucosa </w:t>
      </w:r>
      <w:r>
        <w:rPr>
          <w:rFonts w:ascii="Times New Roman" w:eastAsia="Times New Roman" w:hAnsi="Times New Roman" w:cs="Times New Roman"/>
          <w:sz w:val="24"/>
          <w:vertAlign w:val="superscript"/>
        </w:rPr>
        <w:t>12,13</w:t>
      </w:r>
      <w:r>
        <w:rPr>
          <w:rFonts w:ascii="Times New Roman" w:eastAsia="Times New Roman" w:hAnsi="Times New Roman" w:cs="Times New Roman"/>
          <w:sz w:val="24"/>
        </w:rPr>
        <w:t>.</w:t>
      </w:r>
    </w:p>
    <w:p w14:paraId="763EA319" w14:textId="77777777" w:rsidR="00C01C4B" w:rsidRDefault="00C01C4B">
      <w:pPr>
        <w:rPr>
          <w:rFonts w:ascii="Times New Roman" w:eastAsia="Times New Roman" w:hAnsi="Times New Roman" w:cs="Times New Roman"/>
          <w:sz w:val="24"/>
        </w:rPr>
      </w:pPr>
    </w:p>
    <w:p w14:paraId="5C03F9CE"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Management is usually conservative, NSM is a self-limiting condition, its strong clinical and histological resemblance to malignancy often necessitates biopsy for confirmation. Once diagnosed, the management strategy focuses on symptom relief, elimination of predisposing factors, and prevention of secondary infection. Treatment options can be categorized as follows:</w:t>
      </w:r>
    </w:p>
    <w:p w14:paraId="1F933A44" w14:textId="77777777" w:rsidR="00C01C4B" w:rsidRDefault="00C01C4B">
      <w:pPr>
        <w:rPr>
          <w:rFonts w:ascii="Times New Roman" w:eastAsia="Times New Roman" w:hAnsi="Times New Roman" w:cs="Times New Roman"/>
          <w:sz w:val="24"/>
        </w:rPr>
      </w:pPr>
    </w:p>
    <w:p w14:paraId="6E2F01CA" w14:textId="77777777" w:rsidR="00C01C4B" w:rsidRDefault="00C01C4B">
      <w:pPr>
        <w:rPr>
          <w:rFonts w:ascii="Times New Roman" w:eastAsia="Times New Roman" w:hAnsi="Times New Roman" w:cs="Times New Roman"/>
          <w:sz w:val="24"/>
        </w:rPr>
      </w:pPr>
    </w:p>
    <w:p w14:paraId="1C64A05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Table</w:t>
      </w:r>
      <w:r w:rsidR="00270EB4">
        <w:rPr>
          <w:rFonts w:ascii="Times New Roman" w:eastAsia="Times New Roman" w:hAnsi="Times New Roman" w:cs="Times New Roman"/>
          <w:b/>
          <w:bCs/>
          <w:sz w:val="24"/>
        </w:rPr>
        <w:t xml:space="preserve"> 1</w:t>
      </w:r>
      <w:r>
        <w:rPr>
          <w:rFonts w:ascii="Times New Roman" w:eastAsia="Times New Roman" w:hAnsi="Times New Roman" w:cs="Times New Roman"/>
          <w:sz w:val="24"/>
        </w:rPr>
        <w:t xml:space="preserve">: Summary of Medical Management of </w:t>
      </w:r>
      <w:proofErr w:type="spellStart"/>
      <w:r>
        <w:rPr>
          <w:rFonts w:ascii="Times New Roman" w:eastAsia="Times New Roman" w:hAnsi="Times New Roman" w:cs="Times New Roman"/>
          <w:sz w:val="24"/>
        </w:rPr>
        <w:t>Necrotising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w:t>
      </w:r>
    </w:p>
    <w:p w14:paraId="5B67EA1E" w14:textId="77777777" w:rsidR="00C01C4B" w:rsidRDefault="00C01C4B">
      <w:pPr>
        <w:rPr>
          <w:rFonts w:ascii="Times New Roman" w:eastAsia="Times New Roman" w:hAnsi="Times New Roman" w:cs="Times New Roman"/>
          <w:sz w:val="24"/>
        </w:rPr>
      </w:pPr>
    </w:p>
    <w:p w14:paraId="3C8D69CC" w14:textId="77777777" w:rsidR="00C01C4B" w:rsidRDefault="00C01C4B">
      <w:pPr>
        <w:rPr>
          <w:rFonts w:ascii="Times New Roman" w:eastAsia="Times New Roman" w:hAnsi="Times New Roman" w:cs="Times New Roman"/>
          <w:sz w:val="24"/>
        </w:rPr>
      </w:pPr>
    </w:p>
    <w:p w14:paraId="18209C57" w14:textId="77777777" w:rsidR="00C01C4B" w:rsidRDefault="00C01C4B">
      <w:pPr>
        <w:rPr>
          <w:rFonts w:ascii="Times New Roman" w:eastAsia="Times New Roman" w:hAnsi="Times New Roman" w:cs="Times New Roman"/>
          <w:sz w:val="24"/>
        </w:rPr>
      </w:pPr>
    </w:p>
    <w:p w14:paraId="361A784B" w14:textId="77777777" w:rsidR="00C01C4B" w:rsidRDefault="00C01C4B">
      <w:pPr>
        <w:rPr>
          <w:rFonts w:ascii="Times New Roman" w:eastAsia="Times New Roman" w:hAnsi="Times New Roman" w:cs="Times New Roman"/>
          <w:sz w:val="24"/>
        </w:rPr>
      </w:pPr>
    </w:p>
    <w:p w14:paraId="3085A20D" w14:textId="77777777" w:rsidR="00C01C4B" w:rsidRDefault="00C01C4B">
      <w:pPr>
        <w:rPr>
          <w:rFonts w:ascii="Times New Roman" w:eastAsia="Times New Roman" w:hAnsi="Times New Roman" w:cs="Times New Roman"/>
          <w:sz w:val="24"/>
        </w:rPr>
      </w:pPr>
    </w:p>
    <w:p w14:paraId="11A6872B" w14:textId="77777777" w:rsidR="00C01C4B" w:rsidRDefault="00C01C4B">
      <w:pPr>
        <w:rPr>
          <w:rFonts w:ascii="Times New Roman" w:eastAsia="Times New Roman" w:hAnsi="Times New Roman" w:cs="Times New Roman"/>
          <w:sz w:val="24"/>
        </w:rPr>
      </w:pPr>
    </w:p>
    <w:p w14:paraId="3C9C4A2C" w14:textId="77777777" w:rsidR="00C01C4B" w:rsidRDefault="00C01C4B">
      <w:pPr>
        <w:rPr>
          <w:rFonts w:ascii="Times New Roman" w:eastAsia="Times New Roman" w:hAnsi="Times New Roman" w:cs="Times New Roman"/>
          <w:sz w:val="24"/>
        </w:rPr>
      </w:pPr>
    </w:p>
    <w:p w14:paraId="52D653BF" w14:textId="77777777" w:rsidR="00C01C4B" w:rsidRDefault="00C01C4B">
      <w:pPr>
        <w:rPr>
          <w:rFonts w:ascii="Times New Roman" w:eastAsia="Times New Roman" w:hAnsi="Times New Roman" w:cs="Times New Roman"/>
          <w:sz w:val="24"/>
        </w:rPr>
      </w:pPr>
    </w:p>
    <w:p w14:paraId="0357B775" w14:textId="77777777" w:rsidR="00C01C4B" w:rsidRDefault="00C01C4B">
      <w:pPr>
        <w:rPr>
          <w:rFonts w:ascii="Times New Roman" w:eastAsia="Times New Roman" w:hAnsi="Times New Roman" w:cs="Times New Roman"/>
          <w:sz w:val="24"/>
        </w:rPr>
      </w:pPr>
    </w:p>
    <w:p w14:paraId="5725BAA6" w14:textId="77777777" w:rsidR="00C01C4B" w:rsidRDefault="00C01C4B">
      <w:pPr>
        <w:rPr>
          <w:rFonts w:ascii="Times New Roman" w:eastAsia="Times New Roman" w:hAnsi="Times New Roman" w:cs="Times New Roman"/>
          <w:sz w:val="24"/>
        </w:rPr>
      </w:pPr>
    </w:p>
    <w:p w14:paraId="5D766684" w14:textId="77777777" w:rsidR="00C01C4B" w:rsidRDefault="00C01C4B">
      <w:pPr>
        <w:rPr>
          <w:rFonts w:ascii="Times New Roman" w:eastAsia="Times New Roman" w:hAnsi="Times New Roman" w:cs="Times New Roman"/>
          <w:sz w:val="24"/>
        </w:rPr>
      </w:pPr>
    </w:p>
    <w:p w14:paraId="2247CB98" w14:textId="77777777" w:rsidR="00C01C4B" w:rsidRDefault="00C01C4B">
      <w:pPr>
        <w:rPr>
          <w:rFonts w:ascii="Times New Roman" w:eastAsia="Times New Roman" w:hAnsi="Times New Roman" w:cs="Times New Roman"/>
          <w:sz w:val="24"/>
        </w:rPr>
      </w:pPr>
    </w:p>
    <w:tbl>
      <w:tblPr>
        <w:tblW w:w="0" w:type="auto"/>
        <w:jc w:val="center"/>
        <w:tblLayout w:type="fixed"/>
        <w:tblLook w:val="04A0" w:firstRow="1" w:lastRow="0" w:firstColumn="1" w:lastColumn="0" w:noHBand="0" w:noVBand="1"/>
      </w:tblPr>
      <w:tblGrid>
        <w:gridCol w:w="2880"/>
        <w:gridCol w:w="2880"/>
        <w:gridCol w:w="2880"/>
      </w:tblGrid>
      <w:tr w:rsidR="00C01C4B" w14:paraId="768D9E53" w14:textId="77777777">
        <w:trPr>
          <w:jc w:val="center"/>
        </w:trPr>
        <w:tc>
          <w:tcPr>
            <w:tcW w:w="2880" w:type="dxa"/>
            <w:tcBorders>
              <w:top w:val="single" w:sz="4" w:space="0" w:color="05A7B6"/>
              <w:left w:val="single" w:sz="4" w:space="0" w:color="05A7B6"/>
              <w:bottom w:val="single" w:sz="0" w:space="0" w:color="05A7B6"/>
              <w:right w:val="single" w:sz="0" w:space="0" w:color="05A7B6"/>
            </w:tcBorders>
            <w:shd w:val="clear" w:color="auto" w:fill="9CC2E5" w:themeFill="accent1" w:themeFillTint="99"/>
          </w:tcPr>
          <w:p w14:paraId="375A4070"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Management Approach</w:t>
            </w:r>
          </w:p>
        </w:tc>
        <w:tc>
          <w:tcPr>
            <w:tcW w:w="2880" w:type="dxa"/>
            <w:tcBorders>
              <w:top w:val="single" w:sz="4" w:space="0" w:color="05A7B6"/>
              <w:left w:val="single" w:sz="0" w:space="0" w:color="05A7B6"/>
              <w:bottom w:val="single" w:sz="0" w:space="0" w:color="05A7B6"/>
              <w:right w:val="single" w:sz="0" w:space="0" w:color="05A7B6"/>
            </w:tcBorders>
            <w:shd w:val="clear" w:color="auto" w:fill="9CC2E5" w:themeFill="accent1" w:themeFillTint="99"/>
          </w:tcPr>
          <w:p w14:paraId="1C66E7B3"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Interventions</w:t>
            </w:r>
          </w:p>
        </w:tc>
        <w:tc>
          <w:tcPr>
            <w:tcW w:w="2880" w:type="dxa"/>
            <w:tcBorders>
              <w:top w:val="single" w:sz="4" w:space="0" w:color="05A7B6"/>
              <w:left w:val="single" w:sz="0" w:space="0" w:color="05A7B6"/>
              <w:bottom w:val="single" w:sz="0" w:space="0" w:color="05A7B6"/>
              <w:right w:val="single" w:sz="4" w:space="0" w:color="05A7B6"/>
            </w:tcBorders>
            <w:shd w:val="clear" w:color="auto" w:fill="9CC2E5" w:themeFill="accent1" w:themeFillTint="99"/>
          </w:tcPr>
          <w:p w14:paraId="32D37DCB"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Remarks/Considerations</w:t>
            </w:r>
          </w:p>
        </w:tc>
      </w:tr>
      <w:tr w:rsidR="00C01C4B" w14:paraId="0F4E5775" w14:textId="77777777">
        <w:trPr>
          <w:trHeight w:val="3717"/>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31FFBE3B"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Conservative / Supportive</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3B319C73"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Reassurance and patient education </w:t>
            </w:r>
            <w:r>
              <w:rPr>
                <w:rFonts w:ascii="Times New Roman" w:eastAsia="Times New Roman" w:hAnsi="Times New Roman" w:cs="Times New Roman"/>
                <w:color w:val="000000"/>
                <w:sz w:val="24"/>
                <w:vertAlign w:val="superscript"/>
              </w:rPr>
              <w:t>6,11</w:t>
            </w:r>
            <w:r>
              <w:rPr>
                <w:rFonts w:ascii="Times New Roman" w:eastAsia="Times New Roman" w:hAnsi="Times New Roman" w:cs="Times New Roman"/>
                <w:color w:val="000000"/>
                <w:sz w:val="24"/>
              </w:rPr>
              <w:br/>
              <w:t xml:space="preserve">• Analgesics and NSAIDs (ibuprofen, diclofenac) </w:t>
            </w:r>
            <w:r>
              <w:rPr>
                <w:rFonts w:ascii="Times New Roman" w:eastAsia="Times New Roman" w:hAnsi="Times New Roman" w:cs="Times New Roman"/>
                <w:color w:val="000000"/>
                <w:sz w:val="24"/>
                <w:vertAlign w:val="superscript"/>
              </w:rPr>
              <w:t>11</w:t>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br/>
              <w:t xml:space="preserve">• Antibiotics (only if secondary infection suspected) </w:t>
            </w:r>
            <w:r>
              <w:rPr>
                <w:rFonts w:ascii="Times New Roman" w:eastAsia="Times New Roman" w:hAnsi="Times New Roman" w:cs="Times New Roman"/>
                <w:color w:val="000000"/>
                <w:sz w:val="24"/>
                <w:vertAlign w:val="superscript"/>
              </w:rPr>
              <w:t>12</w:t>
            </w:r>
            <w:r>
              <w:rPr>
                <w:rFonts w:ascii="Times New Roman" w:eastAsia="Times New Roman" w:hAnsi="Times New Roman" w:cs="Times New Roman"/>
                <w:color w:val="000000"/>
                <w:sz w:val="24"/>
              </w:rPr>
              <w:br/>
              <w:t xml:space="preserve">• Topical anesthetic rinses (lidocaine, </w:t>
            </w:r>
            <w:proofErr w:type="spellStart"/>
            <w:r>
              <w:rPr>
                <w:rFonts w:ascii="Times New Roman" w:eastAsia="Times New Roman" w:hAnsi="Times New Roman" w:cs="Times New Roman"/>
                <w:color w:val="000000"/>
                <w:sz w:val="24"/>
              </w:rPr>
              <w:t>benzydamine</w:t>
            </w:r>
            <w:proofErr w:type="spellEnd"/>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br/>
              <w:t>• Oral hygiene with chlorhexidine mouthwash</w:t>
            </w:r>
            <w:r>
              <w:rPr>
                <w:rFonts w:ascii="Times New Roman" w:eastAsia="Times New Roman" w:hAnsi="Times New Roman" w:cs="Times New Roman"/>
                <w:color w:val="000000"/>
                <w:sz w:val="24"/>
                <w:vertAlign w:val="superscript"/>
              </w:rPr>
              <w:t>11</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794BB86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First-line approach; </w:t>
            </w:r>
          </w:p>
          <w:p w14:paraId="68EE0BFA"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lesion usually resolves spontaneously in 4–10 weeks </w:t>
            </w:r>
          </w:p>
        </w:tc>
      </w:tr>
      <w:tr w:rsidR="00C01C4B" w14:paraId="02C4FEBC" w14:textId="77777777">
        <w:trPr>
          <w:trHeight w:val="1780"/>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4B7DCA9E"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Corticosteroid Therapy</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33D2E232"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Topical or systemic </w:t>
            </w:r>
            <w:proofErr w:type="gramStart"/>
            <w:r>
              <w:rPr>
                <w:rFonts w:ascii="Times New Roman" w:eastAsia="Times New Roman" w:hAnsi="Times New Roman" w:cs="Times New Roman"/>
                <w:color w:val="000000"/>
                <w:sz w:val="24"/>
              </w:rPr>
              <w:t>corticosteroids(</w:t>
            </w:r>
            <w:proofErr w:type="gramEnd"/>
            <w:r>
              <w:rPr>
                <w:rFonts w:ascii="Times New Roman" w:eastAsia="Times New Roman" w:hAnsi="Times New Roman" w:cs="Times New Roman"/>
                <w:color w:val="000000"/>
                <w:sz w:val="24"/>
              </w:rPr>
              <w:t xml:space="preserve">short tapering course) </w:t>
            </w:r>
            <w:r>
              <w:rPr>
                <w:rFonts w:ascii="Times New Roman" w:eastAsia="Times New Roman" w:hAnsi="Times New Roman" w:cs="Times New Roman"/>
                <w:color w:val="000000"/>
                <w:sz w:val="24"/>
                <w:vertAlign w:val="superscript"/>
              </w:rPr>
              <w:t>12</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3C3C66FD"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Reserved for severe pain or extensive lesions; </w:t>
            </w:r>
          </w:p>
          <w:p w14:paraId="7447D50B"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use cautiously in diabetics due to risk of hyperglycemia </w:t>
            </w:r>
            <w:r>
              <w:rPr>
                <w:rFonts w:ascii="Times New Roman" w:eastAsia="Times New Roman" w:hAnsi="Times New Roman" w:cs="Times New Roman"/>
                <w:color w:val="000000"/>
                <w:sz w:val="24"/>
                <w:vertAlign w:val="superscript"/>
              </w:rPr>
              <w:t>13</w:t>
            </w:r>
          </w:p>
        </w:tc>
      </w:tr>
      <w:tr w:rsidR="00C01C4B" w14:paraId="0E00BC58" w14:textId="77777777">
        <w:trPr>
          <w:trHeight w:val="2057"/>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5A6D2FF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Adjunctive Therapies</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29D5DD04"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Photobiomodulation</w:t>
            </w:r>
            <w:proofErr w:type="spellEnd"/>
            <w:r>
              <w:rPr>
                <w:rFonts w:ascii="Times New Roman" w:eastAsia="Times New Roman" w:hAnsi="Times New Roman" w:cs="Times New Roman"/>
                <w:color w:val="000000"/>
                <w:sz w:val="24"/>
              </w:rPr>
              <w:t xml:space="preserve"> (Low-Level Laser Therapy, LLLT) </w:t>
            </w:r>
            <w:r>
              <w:rPr>
                <w:rFonts w:ascii="Times New Roman" w:eastAsia="Times New Roman" w:hAnsi="Times New Roman" w:cs="Times New Roman"/>
                <w:color w:val="000000"/>
                <w:sz w:val="24"/>
                <w:vertAlign w:val="superscript"/>
              </w:rPr>
              <w:t>11</w:t>
            </w:r>
            <w:r>
              <w:rPr>
                <w:rFonts w:ascii="Times New Roman" w:eastAsia="Times New Roman" w:hAnsi="Times New Roman" w:cs="Times New Roman"/>
                <w:color w:val="000000"/>
                <w:sz w:val="24"/>
              </w:rPr>
              <w:br/>
              <w:t>• Conservative debridement or laser excision (rare cases)</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0C8CBB79"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LLLT shown to accelerate healing and reduce pain; surgery only when malignancy cannot be excluded</w:t>
            </w:r>
          </w:p>
        </w:tc>
      </w:tr>
      <w:tr w:rsidR="00C01C4B" w14:paraId="3F827A78" w14:textId="77777777">
        <w:trPr>
          <w:trHeight w:val="2616"/>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4D4635F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Systemic Disease Management</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19910ED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Diabetes control (glycemic monitoring, adjustment of medication, diet/lifestyle modification)</w:t>
            </w:r>
            <w:r>
              <w:rPr>
                <w:rFonts w:ascii="Times New Roman" w:eastAsia="Times New Roman" w:hAnsi="Times New Roman" w:cs="Times New Roman"/>
                <w:color w:val="000000"/>
                <w:sz w:val="24"/>
                <w:vertAlign w:val="superscript"/>
              </w:rPr>
              <w:t>13</w:t>
            </w:r>
            <w:r>
              <w:rPr>
                <w:rFonts w:ascii="Times New Roman" w:eastAsia="Times New Roman" w:hAnsi="Times New Roman" w:cs="Times New Roman"/>
                <w:color w:val="000000"/>
                <w:sz w:val="24"/>
              </w:rPr>
              <w:br/>
              <w:t xml:space="preserve">• Address risk factors: smoking, alcohol, denture irritation, local trauma </w:t>
            </w:r>
            <w:r>
              <w:rPr>
                <w:rFonts w:ascii="Times New Roman" w:eastAsia="Times New Roman" w:hAnsi="Times New Roman" w:cs="Times New Roman"/>
                <w:color w:val="000000"/>
                <w:sz w:val="24"/>
                <w:vertAlign w:val="superscript"/>
              </w:rPr>
              <w:t>4,11</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6CF2F3DE"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Essential for healing and recurrence prevention; coordinate with endocrinologist in diabetic patients</w:t>
            </w:r>
          </w:p>
        </w:tc>
      </w:tr>
    </w:tbl>
    <w:p w14:paraId="0BA119F3" w14:textId="77777777" w:rsidR="00C01C4B" w:rsidRDefault="00C01C4B">
      <w:pPr>
        <w:rPr>
          <w:rFonts w:ascii="Times New Roman" w:eastAsia="Times New Roman" w:hAnsi="Times New Roman" w:cs="Times New Roman"/>
          <w:sz w:val="24"/>
          <w:highlight w:val="red"/>
        </w:rPr>
      </w:pPr>
    </w:p>
    <w:p w14:paraId="3E6D3646" w14:textId="468E17AF"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Diabetes mellitus is an important systemic factor influencing the onset, progression, and healing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Chronic hyperglycemia induces microvascular alterations that impair tissue perfusion, promote ischemia, and delay wound healing, which are central to the pathogenesis of NSM</w:t>
      </w:r>
      <w:r>
        <w:rPr>
          <w:rFonts w:ascii="Times New Roman" w:eastAsia="Times New Roman" w:hAnsi="Times New Roman" w:cs="Times New Roman"/>
          <w:sz w:val="24"/>
          <w:vertAlign w:val="superscript"/>
        </w:rPr>
        <w:t xml:space="preserve"> 4,</w:t>
      </w:r>
      <w:proofErr w:type="gramStart"/>
      <w:r>
        <w:rPr>
          <w:rFonts w:ascii="Times New Roman" w:eastAsia="Times New Roman" w:hAnsi="Times New Roman" w:cs="Times New Roman"/>
          <w:sz w:val="24"/>
          <w:vertAlign w:val="superscript"/>
        </w:rPr>
        <w:t xml:space="preserve">13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Clinically, diabetic patients with palatal ulcers, such as those observed in NSM, tend to experience more painful and persistent lesions, which are slower to resolve and more prone to secondary infection </w:t>
      </w:r>
      <w:r>
        <w:rPr>
          <w:rFonts w:ascii="Times New Roman" w:eastAsia="Times New Roman" w:hAnsi="Times New Roman" w:cs="Times New Roman"/>
          <w:sz w:val="24"/>
          <w:vertAlign w:val="superscript"/>
        </w:rPr>
        <w:t>11,</w:t>
      </w:r>
      <w:proofErr w:type="gramStart"/>
      <w:r>
        <w:rPr>
          <w:rFonts w:ascii="Times New Roman" w:eastAsia="Times New Roman" w:hAnsi="Times New Roman" w:cs="Times New Roman"/>
          <w:sz w:val="24"/>
          <w:vertAlign w:val="superscript"/>
        </w:rPr>
        <w:t xml:space="preserve">12 </w:t>
      </w:r>
      <w:r>
        <w:rPr>
          <w:rFonts w:ascii="Times New Roman" w:eastAsia="Times New Roman" w:hAnsi="Times New Roman" w:cs="Times New Roman"/>
          <w:sz w:val="24"/>
        </w:rPr>
        <w:t>.</w:t>
      </w:r>
      <w:proofErr w:type="gramEnd"/>
      <w:r w:rsidR="00F751A8">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Achieving and maintaining optimal glycemic control is therefore fundamental, not only to ensure resolution of NSM but also to prevent recurrence and support the effectiveness of adjunctive </w:t>
      </w:r>
      <w:proofErr w:type="spellStart"/>
      <w:proofErr w:type="gramStart"/>
      <w:r>
        <w:rPr>
          <w:rFonts w:ascii="Times New Roman" w:eastAsia="Times New Roman" w:hAnsi="Times New Roman" w:cs="Times New Roman"/>
          <w:sz w:val="24"/>
        </w:rPr>
        <w:t>therapies.In</w:t>
      </w:r>
      <w:proofErr w:type="spellEnd"/>
      <w:proofErr w:type="gramEnd"/>
      <w:r>
        <w:rPr>
          <w:rFonts w:ascii="Times New Roman" w:eastAsia="Times New Roman" w:hAnsi="Times New Roman" w:cs="Times New Roman"/>
          <w:sz w:val="24"/>
        </w:rPr>
        <w:t xml:space="preserve"> the second case described, effective lesion resolution was achieved only after a combination of local therapy and strict diabetes control, </w:t>
      </w:r>
      <w:proofErr w:type="spellStart"/>
      <w:r>
        <w:rPr>
          <w:rFonts w:ascii="Times New Roman" w:eastAsia="Times New Roman" w:hAnsi="Times New Roman" w:cs="Times New Roman"/>
          <w:sz w:val="24"/>
        </w:rPr>
        <w:t>emphasi</w:t>
      </w:r>
      <w:r w:rsidR="00F751A8">
        <w:rPr>
          <w:rFonts w:ascii="Times New Roman" w:eastAsia="Times New Roman" w:hAnsi="Times New Roman" w:cs="Times New Roman"/>
          <w:sz w:val="24"/>
        </w:rPr>
        <w:t>s</w:t>
      </w:r>
      <w:r>
        <w:rPr>
          <w:rFonts w:ascii="Times New Roman" w:eastAsia="Times New Roman" w:hAnsi="Times New Roman" w:cs="Times New Roman"/>
          <w:sz w:val="24"/>
        </w:rPr>
        <w:t>ing</w:t>
      </w:r>
      <w:proofErr w:type="spellEnd"/>
      <w:r>
        <w:rPr>
          <w:rFonts w:ascii="Times New Roman" w:eastAsia="Times New Roman" w:hAnsi="Times New Roman" w:cs="Times New Roman"/>
          <w:sz w:val="24"/>
        </w:rPr>
        <w:t xml:space="preserve"> the pivotal role of systemic disease management in favorable clinical outcomes</w:t>
      </w:r>
    </w:p>
    <w:p w14:paraId="7EC801B4" w14:textId="77777777" w:rsidR="00C01C4B" w:rsidRDefault="00C01C4B">
      <w:pPr>
        <w:rPr>
          <w:rFonts w:ascii="Times New Roman" w:eastAsia="Times New Roman" w:hAnsi="Times New Roman" w:cs="Times New Roman"/>
          <w:sz w:val="24"/>
        </w:rPr>
      </w:pPr>
    </w:p>
    <w:p w14:paraId="59F65445" w14:textId="510604C1"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The two contrasting cases presented here highlight the importance of accurate diagnosis. In case 1, surgical excision was warranted based on </w:t>
      </w:r>
      <w:r w:rsidR="00F751A8">
        <w:rPr>
          <w:rFonts w:ascii="Times New Roman" w:eastAsia="Times New Roman" w:hAnsi="Times New Roman" w:cs="Times New Roman"/>
          <w:sz w:val="24"/>
        </w:rPr>
        <w:t xml:space="preserve">the </w:t>
      </w:r>
      <w:r>
        <w:rPr>
          <w:rFonts w:ascii="Times New Roman" w:eastAsia="Times New Roman" w:hAnsi="Times New Roman" w:cs="Times New Roman"/>
          <w:sz w:val="24"/>
        </w:rPr>
        <w:t>cytology report. In contrast, case 2 was successfully managed with biopsy confirmation, conservative therapy, and systemic control of diabetes. These cases underscore that while NSM is self-limiting, misdiagnosis can expose patients to overtreatment, morbidity, and psychological distress</w:t>
      </w:r>
      <w:r w:rsidR="00F751A8">
        <w:rPr>
          <w:rFonts w:ascii="Times New Roman" w:eastAsia="Times New Roman" w:hAnsi="Times New Roman" w:cs="Times New Roman"/>
          <w:sz w:val="24"/>
        </w:rPr>
        <w:t>.</w:t>
      </w:r>
    </w:p>
    <w:p w14:paraId="5A0BBAE6" w14:textId="660173C6"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Based on </w:t>
      </w:r>
      <w:r w:rsidR="00F751A8">
        <w:rPr>
          <w:rFonts w:ascii="Times New Roman" w:eastAsia="Times New Roman" w:hAnsi="Times New Roman" w:cs="Times New Roman"/>
          <w:sz w:val="24"/>
        </w:rPr>
        <w:t xml:space="preserve">the </w:t>
      </w:r>
      <w:r>
        <w:rPr>
          <w:rFonts w:ascii="Times New Roman" w:eastAsia="Times New Roman" w:hAnsi="Times New Roman" w:cs="Times New Roman"/>
          <w:sz w:val="24"/>
        </w:rPr>
        <w:t>extensive literature review as mentioned above, this is our proposed management flowchart for NSM, which will guide clinicians for appropriate treatment.</w:t>
      </w:r>
    </w:p>
    <w:p w14:paraId="0F0DEF9C" w14:textId="56FDF995" w:rsidR="00C01C4B" w:rsidRDefault="00270EB4">
      <w:pPr>
        <w:rPr>
          <w:rFonts w:ascii="Times New Roman" w:eastAsia="Times New Roman" w:hAnsi="Times New Roman" w:cs="Times New Roman"/>
          <w:b/>
          <w:bCs/>
          <w:sz w:val="24"/>
        </w:rPr>
      </w:pPr>
      <w:r>
        <w:rPr>
          <w:rFonts w:ascii="Times New Roman" w:eastAsia="Times New Roman" w:hAnsi="Times New Roman" w:cs="Times New Roman"/>
          <w:b/>
          <w:bCs/>
          <w:sz w:val="24"/>
        </w:rPr>
        <w:t xml:space="preserve">Flow chart 1: </w:t>
      </w:r>
      <w:r w:rsidR="00FE2BC4" w:rsidRPr="00FE2BC4">
        <w:rPr>
          <w:rFonts w:ascii="Times New Roman" w:eastAsia="Times New Roman" w:hAnsi="Times New Roman" w:cs="Times New Roman"/>
          <w:b/>
          <w:bCs/>
          <w:sz w:val="24"/>
        </w:rPr>
        <w:t xml:space="preserve">Necrotizing </w:t>
      </w:r>
      <w:proofErr w:type="spellStart"/>
      <w:r w:rsidR="00FE2BC4" w:rsidRPr="00FE2BC4">
        <w:rPr>
          <w:rFonts w:ascii="Times New Roman" w:eastAsia="Times New Roman" w:hAnsi="Times New Roman" w:cs="Times New Roman"/>
          <w:b/>
          <w:bCs/>
          <w:sz w:val="24"/>
        </w:rPr>
        <w:t>Sialometaplasia</w:t>
      </w:r>
      <w:proofErr w:type="spellEnd"/>
      <w:r w:rsidR="00FE2BC4" w:rsidRPr="00FE2BC4">
        <w:rPr>
          <w:rFonts w:ascii="Times New Roman" w:eastAsia="Times New Roman" w:hAnsi="Times New Roman" w:cs="Times New Roman"/>
          <w:b/>
          <w:bCs/>
          <w:sz w:val="24"/>
        </w:rPr>
        <w:t>: Diagnostic and Management Algorithm</w:t>
      </w:r>
    </w:p>
    <w:p w14:paraId="24ADF649"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noProof/>
          <w:sz w:val="24"/>
        </w:rPr>
        <w:lastRenderedPageBreak/>
        <w:drawing>
          <wp:inline distT="0" distB="0" distL="114300" distR="114300" wp14:anchorId="67665CC5" wp14:editId="5D01DF2F">
            <wp:extent cx="4191635" cy="5702300"/>
            <wp:effectExtent l="0" t="0" r="6350" b="4445"/>
            <wp:docPr id="3" name="Picture 3" descr="2025-10-06 10:32:25.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10-06 10:32:25.104000"/>
                    <pic:cNvPicPr>
                      <a:picLocks noChangeAspect="1"/>
                    </pic:cNvPicPr>
                  </pic:nvPicPr>
                  <pic:blipFill>
                    <a:blip r:embed="rId9"/>
                    <a:stretch>
                      <a:fillRect/>
                    </a:stretch>
                  </pic:blipFill>
                  <pic:spPr>
                    <a:xfrm>
                      <a:off x="0" y="0"/>
                      <a:ext cx="4191635" cy="5702300"/>
                    </a:xfrm>
                    <a:prstGeom prst="rect">
                      <a:avLst/>
                    </a:prstGeom>
                  </pic:spPr>
                </pic:pic>
              </a:graphicData>
            </a:graphic>
          </wp:inline>
        </w:drawing>
      </w:r>
    </w:p>
    <w:p w14:paraId="40CE145A" w14:textId="77777777" w:rsidR="00C01C4B" w:rsidRDefault="00C01C4B">
      <w:pPr>
        <w:rPr>
          <w:rFonts w:ascii="Times New Roman" w:eastAsia="Times New Roman" w:hAnsi="Times New Roman" w:cs="Times New Roman"/>
          <w:b/>
          <w:bCs/>
          <w:sz w:val="24"/>
        </w:rPr>
      </w:pPr>
    </w:p>
    <w:p w14:paraId="3CEFA5A0"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Conclusion :</w:t>
      </w:r>
      <w:proofErr w:type="gramEnd"/>
      <w:r>
        <w:rPr>
          <w:rFonts w:ascii="Times New Roman" w:eastAsia="Times New Roman" w:hAnsi="Times New Roman" w:cs="Times New Roman"/>
          <w:b/>
          <w:bCs/>
          <w:sz w:val="24"/>
        </w:rPr>
        <w:t xml:space="preserve"> </w:t>
      </w:r>
    </w:p>
    <w:p w14:paraId="50B1B84D" w14:textId="77777777" w:rsidR="00C01C4B" w:rsidRDefault="00C01C4B">
      <w:pPr>
        <w:rPr>
          <w:rFonts w:ascii="Times New Roman" w:eastAsia="Times New Roman" w:hAnsi="Times New Roman" w:cs="Times New Roman"/>
          <w:sz w:val="24"/>
        </w:rPr>
      </w:pPr>
    </w:p>
    <w:p w14:paraId="4CF83F4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is a benign, self-limiting condition that closely simulates malignant salivary gland tumors both clinically and histologically. Biopsy remains the diagnostic gold standard and is essential for avoiding unnecessary radical surgery. Increased awareness among clinicians and pathologists can help prevent overtreatment and reduce morbidity.</w:t>
      </w:r>
    </w:p>
    <w:p w14:paraId="6A9FA648" w14:textId="77777777" w:rsidR="00C01C4B" w:rsidRDefault="00C01C4B">
      <w:pPr>
        <w:rPr>
          <w:rFonts w:ascii="Times New Roman" w:eastAsia="Times New Roman" w:hAnsi="Times New Roman" w:cs="Times New Roman"/>
          <w:sz w:val="24"/>
        </w:rPr>
      </w:pPr>
    </w:p>
    <w:p w14:paraId="1E9B1F23" w14:textId="77777777" w:rsidR="00637666" w:rsidRPr="00637666" w:rsidRDefault="00637666" w:rsidP="00637666">
      <w:pPr>
        <w:rPr>
          <w:rFonts w:ascii="Times New Roman" w:eastAsia="Times New Roman" w:hAnsi="Times New Roman" w:cs="Times New Roman"/>
          <w:sz w:val="24"/>
        </w:rPr>
      </w:pPr>
      <w:r w:rsidRPr="00637666">
        <w:rPr>
          <w:rFonts w:ascii="Times New Roman" w:eastAsia="Times New Roman" w:hAnsi="Times New Roman" w:cs="Times New Roman"/>
          <w:sz w:val="24"/>
        </w:rPr>
        <w:t xml:space="preserve">Consent </w:t>
      </w:r>
    </w:p>
    <w:p w14:paraId="09BB1A29" w14:textId="40064EAB" w:rsidR="00C01C4B" w:rsidRDefault="00637666" w:rsidP="00637666">
      <w:pPr>
        <w:rPr>
          <w:rFonts w:ascii="Times New Roman" w:eastAsia="Times New Roman" w:hAnsi="Times New Roman" w:cs="Times New Roman"/>
          <w:sz w:val="24"/>
        </w:rPr>
      </w:pPr>
      <w:r w:rsidRPr="00637666">
        <w:rPr>
          <w:rFonts w:ascii="Times New Roman" w:eastAsia="Times New Roman" w:hAnsi="Times New Roman" w:cs="Times New Roman"/>
          <w:sz w:val="24"/>
        </w:rPr>
        <w:lastRenderedPageBreak/>
        <w:t>As per international standards or university standards, patient(s) written consent has been collected and preserved by the author(s).</w:t>
      </w:r>
    </w:p>
    <w:p w14:paraId="69E74FFD"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Competing Interest:</w:t>
      </w:r>
    </w:p>
    <w:p w14:paraId="64D81A43" w14:textId="60C34F8A"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Authors declare that there is no conflict of interest regarding the publication of this paper.</w:t>
      </w:r>
    </w:p>
    <w:p w14:paraId="517466AA" w14:textId="77777777" w:rsidR="00C01C4B" w:rsidRDefault="00C01C4B">
      <w:pPr>
        <w:rPr>
          <w:rFonts w:ascii="Times New Roman" w:eastAsia="Times New Roman" w:hAnsi="Times New Roman" w:cs="Times New Roman"/>
          <w:b/>
          <w:bCs/>
          <w:sz w:val="24"/>
        </w:rPr>
      </w:pPr>
    </w:p>
    <w:p w14:paraId="24A12CF0" w14:textId="77777777" w:rsidR="00C01C4B" w:rsidRDefault="00F931EA">
      <w:pPr>
        <w:rPr>
          <w:rFonts w:ascii="Times New Roman" w:eastAsia="Times New Roman" w:hAnsi="Times New Roman" w:cs="Times New Roman"/>
          <w:b/>
          <w:bCs/>
          <w:sz w:val="24"/>
        </w:rPr>
      </w:pPr>
      <w:proofErr w:type="gramStart"/>
      <w:r>
        <w:rPr>
          <w:rFonts w:ascii="Times New Roman" w:eastAsia="Times New Roman" w:hAnsi="Times New Roman" w:cs="Times New Roman"/>
          <w:b/>
          <w:bCs/>
          <w:sz w:val="24"/>
        </w:rPr>
        <w:t>References :</w:t>
      </w:r>
      <w:proofErr w:type="gramEnd"/>
    </w:p>
    <w:p w14:paraId="4DF7214D"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 xml:space="preserve">Abrams AM, Melrose RJ, Howell FV.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A disease simulating malignancy. Cancer. 1973;32(1):130–135.</w:t>
      </w:r>
    </w:p>
    <w:p w14:paraId="42C58AB4" w14:textId="77777777" w:rsidR="005F5F88" w:rsidRDefault="00F931EA">
      <w:pPr>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 xml:space="preserve">Brannon RB, Fowler CB, Hartman KS.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clinicopathologic study of sixty-nine cases and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1991;72(3):317–325.</w:t>
      </w:r>
    </w:p>
    <w:p w14:paraId="1B117329" w14:textId="77777777" w:rsidR="005F5F88" w:rsidRDefault="005F5F88">
      <w:pPr>
        <w:rPr>
          <w:rFonts w:ascii="Times New Roman" w:eastAsia="Times New Roman" w:hAnsi="Times New Roman" w:cs="Times New Roman"/>
          <w:sz w:val="24"/>
        </w:rPr>
      </w:pPr>
      <w:r>
        <w:rPr>
          <w:rFonts w:ascii="Arial" w:hAnsi="Arial" w:cs="Arial"/>
          <w:color w:val="222222"/>
          <w:sz w:val="20"/>
          <w:szCs w:val="20"/>
          <w:shd w:val="clear" w:color="auto" w:fill="FFFFFF"/>
        </w:rPr>
        <w:t xml:space="preserve">Brannon, R. B., Fowler, C. B., &amp; Hartman, K. S. (1991). Necrotizing </w:t>
      </w:r>
      <w:proofErr w:type="spellStart"/>
      <w:r>
        <w:rPr>
          <w:rFonts w:ascii="Arial" w:hAnsi="Arial" w:cs="Arial"/>
          <w:color w:val="222222"/>
          <w:sz w:val="20"/>
          <w:szCs w:val="20"/>
          <w:shd w:val="clear" w:color="auto" w:fill="FFFFFF"/>
        </w:rPr>
        <w:t>sialometaplasia</w:t>
      </w:r>
      <w:proofErr w:type="spellEnd"/>
      <w:r>
        <w:rPr>
          <w:rFonts w:ascii="Arial" w:hAnsi="Arial" w:cs="Arial"/>
          <w:color w:val="222222"/>
          <w:sz w:val="20"/>
          <w:szCs w:val="20"/>
          <w:shd w:val="clear" w:color="auto" w:fill="FFFFFF"/>
        </w:rPr>
        <w:t>: a clinicopathologic study of sixty-nine cases and review of the literature. </w:t>
      </w:r>
      <w:r>
        <w:rPr>
          <w:rFonts w:ascii="Arial" w:hAnsi="Arial" w:cs="Arial"/>
          <w:i/>
          <w:iCs/>
          <w:color w:val="222222"/>
          <w:sz w:val="20"/>
          <w:szCs w:val="20"/>
          <w:shd w:val="clear" w:color="auto" w:fill="FFFFFF"/>
        </w:rPr>
        <w:t>Oral surgery, oral medicine, oral pathology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72</w:t>
      </w:r>
      <w:r>
        <w:rPr>
          <w:rFonts w:ascii="Arial" w:hAnsi="Arial" w:cs="Arial"/>
          <w:color w:val="222222"/>
          <w:sz w:val="20"/>
          <w:szCs w:val="20"/>
          <w:shd w:val="clear" w:color="auto" w:fill="FFFFFF"/>
        </w:rPr>
        <w:t>(3), 317-325.</w:t>
      </w:r>
      <w:r w:rsidR="00F931EA">
        <w:rPr>
          <w:rFonts w:ascii="Times New Roman" w:eastAsia="Times New Roman" w:hAnsi="Times New Roman" w:cs="Times New Roman"/>
          <w:sz w:val="24"/>
        </w:rPr>
        <w:tab/>
      </w:r>
    </w:p>
    <w:p w14:paraId="112585C9" w14:textId="2F66EFFC"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G, Hansen LS.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The relationship of its pathogenesis to its clinical characteristics. Int J Oral Surg. 1982;11(5):283–291.</w:t>
      </w:r>
    </w:p>
    <w:p w14:paraId="678A31E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Neville BW, Damm DD, Allen CM, Chi AC. Oral and Maxillofacial Pathology. 4th ed. Elsevier; 2016.</w:t>
      </w:r>
    </w:p>
    <w:p w14:paraId="3BA877FB"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7.</w:t>
      </w:r>
      <w:r>
        <w:rPr>
          <w:rFonts w:ascii="Times New Roman" w:eastAsia="Times New Roman" w:hAnsi="Times New Roman" w:cs="Times New Roman"/>
          <w:sz w:val="24"/>
        </w:rPr>
        <w:tab/>
        <w:t xml:space="preserve">Imbery TA, Edwards PA.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literature review and case reports. J Am Dent Assoc. 1996;127(7):1087–1092.</w:t>
      </w:r>
    </w:p>
    <w:p w14:paraId="23FD5812" w14:textId="49285DCA" w:rsidR="005F5F88" w:rsidRPr="005F5F88" w:rsidRDefault="00F931EA">
      <w:pPr>
        <w:rPr>
          <w:rFonts w:ascii="Arial" w:hAnsi="Arial" w:cs="Arial"/>
          <w:color w:val="222222"/>
          <w:sz w:val="20"/>
          <w:szCs w:val="20"/>
          <w:shd w:val="clear" w:color="auto" w:fill="FFFFFF"/>
        </w:rPr>
      </w:pPr>
      <w:r>
        <w:rPr>
          <w:rFonts w:ascii="Times New Roman" w:eastAsia="Times New Roman" w:hAnsi="Times New Roman" w:cs="Times New Roman"/>
          <w:sz w:val="24"/>
        </w:rPr>
        <w:tab/>
        <w:t>8.</w:t>
      </w:r>
      <w:r>
        <w:rPr>
          <w:rFonts w:ascii="Times New Roman" w:eastAsia="Times New Roman" w:hAnsi="Times New Roman" w:cs="Times New Roman"/>
          <w:sz w:val="24"/>
        </w:rPr>
        <w:tab/>
      </w:r>
      <w:proofErr w:type="spellStart"/>
      <w:r w:rsidR="005F5F88">
        <w:rPr>
          <w:rFonts w:ascii="Arial" w:hAnsi="Arial" w:cs="Arial"/>
          <w:color w:val="222222"/>
          <w:sz w:val="20"/>
          <w:szCs w:val="20"/>
          <w:shd w:val="clear" w:color="auto" w:fill="FFFFFF"/>
        </w:rPr>
        <w:t>Néri</w:t>
      </w:r>
      <w:proofErr w:type="spellEnd"/>
      <w:r w:rsidR="005F5F88">
        <w:rPr>
          <w:rFonts w:ascii="Arial" w:hAnsi="Arial" w:cs="Arial"/>
          <w:color w:val="222222"/>
          <w:sz w:val="20"/>
          <w:szCs w:val="20"/>
          <w:shd w:val="clear" w:color="auto" w:fill="FFFFFF"/>
        </w:rPr>
        <w:t xml:space="preserve">, J. D. S. V., da Silva, V. P., Araújo, N. S., Gomes, T. A. O., do Nascimento, M. B., </w:t>
      </w:r>
      <w:proofErr w:type="spellStart"/>
      <w:r w:rsidR="005F5F88">
        <w:rPr>
          <w:rFonts w:ascii="Arial" w:hAnsi="Arial" w:cs="Arial"/>
          <w:color w:val="222222"/>
          <w:sz w:val="20"/>
          <w:szCs w:val="20"/>
          <w:shd w:val="clear" w:color="auto" w:fill="FFFFFF"/>
        </w:rPr>
        <w:t>Cangussu</w:t>
      </w:r>
      <w:proofErr w:type="spellEnd"/>
      <w:r w:rsidR="005F5F88">
        <w:rPr>
          <w:rFonts w:ascii="Arial" w:hAnsi="Arial" w:cs="Arial"/>
          <w:color w:val="222222"/>
          <w:sz w:val="20"/>
          <w:szCs w:val="20"/>
          <w:shd w:val="clear" w:color="auto" w:fill="FFFFFF"/>
        </w:rPr>
        <w:t xml:space="preserve">, M. C. T., ... &amp; dos Santos, J. N. (2024). Necrotizing </w:t>
      </w:r>
      <w:proofErr w:type="spellStart"/>
      <w:r w:rsidR="005F5F88">
        <w:rPr>
          <w:rFonts w:ascii="Arial" w:hAnsi="Arial" w:cs="Arial"/>
          <w:color w:val="222222"/>
          <w:sz w:val="20"/>
          <w:szCs w:val="20"/>
          <w:shd w:val="clear" w:color="auto" w:fill="FFFFFF"/>
        </w:rPr>
        <w:t>sialometaplasia</w:t>
      </w:r>
      <w:proofErr w:type="spellEnd"/>
      <w:r w:rsidR="005F5F88">
        <w:rPr>
          <w:rFonts w:ascii="Arial" w:hAnsi="Arial" w:cs="Arial"/>
          <w:color w:val="222222"/>
          <w:sz w:val="20"/>
          <w:szCs w:val="20"/>
          <w:shd w:val="clear" w:color="auto" w:fill="FFFFFF"/>
        </w:rPr>
        <w:t>: systematic review and meta analyses over the past 46 years. </w:t>
      </w:r>
      <w:r w:rsidR="005F5F88">
        <w:rPr>
          <w:rFonts w:ascii="Arial" w:hAnsi="Arial" w:cs="Arial"/>
          <w:i/>
          <w:iCs/>
          <w:color w:val="222222"/>
          <w:sz w:val="20"/>
          <w:szCs w:val="20"/>
          <w:shd w:val="clear" w:color="auto" w:fill="FFFFFF"/>
        </w:rPr>
        <w:t>Journal of Oral Diagnosis</w:t>
      </w:r>
      <w:r w:rsidR="005F5F88">
        <w:rPr>
          <w:rFonts w:ascii="Arial" w:hAnsi="Arial" w:cs="Arial"/>
          <w:color w:val="222222"/>
          <w:sz w:val="20"/>
          <w:szCs w:val="20"/>
          <w:shd w:val="clear" w:color="auto" w:fill="FFFFFF"/>
        </w:rPr>
        <w:t>, </w:t>
      </w:r>
      <w:r w:rsidR="005F5F88">
        <w:rPr>
          <w:rFonts w:ascii="Arial" w:hAnsi="Arial" w:cs="Arial"/>
          <w:i/>
          <w:iCs/>
          <w:color w:val="222222"/>
          <w:sz w:val="20"/>
          <w:szCs w:val="20"/>
          <w:shd w:val="clear" w:color="auto" w:fill="FFFFFF"/>
        </w:rPr>
        <w:t>9</w:t>
      </w:r>
      <w:r w:rsidR="005F5F88">
        <w:rPr>
          <w:rFonts w:ascii="Arial" w:hAnsi="Arial" w:cs="Arial"/>
          <w:color w:val="222222"/>
          <w:sz w:val="20"/>
          <w:szCs w:val="20"/>
          <w:shd w:val="clear" w:color="auto" w:fill="FFFFFF"/>
        </w:rPr>
        <w:t>, 1-10.</w:t>
      </w:r>
    </w:p>
    <w:p w14:paraId="76844C02" w14:textId="033E1AA6"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9.</w:t>
      </w:r>
      <w:r>
        <w:rPr>
          <w:rFonts w:ascii="Times New Roman" w:eastAsia="Times New Roman" w:hAnsi="Times New Roman" w:cs="Times New Roman"/>
          <w:sz w:val="24"/>
        </w:rPr>
        <w:tab/>
      </w:r>
      <w:r w:rsidR="005F5F88">
        <w:rPr>
          <w:rFonts w:ascii="Arial" w:hAnsi="Arial" w:cs="Arial"/>
          <w:color w:val="222222"/>
          <w:sz w:val="20"/>
          <w:szCs w:val="20"/>
          <w:shd w:val="clear" w:color="auto" w:fill="FFFFFF"/>
        </w:rPr>
        <w:t xml:space="preserve">Kaplan, I., Alterman, M., Kleinman, S., Reiser, V., Shuster, A., Dagan, Y., &amp; Shlomi, B. (2012). The clinical, histologic, and treatment spectrum in necrotizing </w:t>
      </w:r>
      <w:proofErr w:type="spellStart"/>
      <w:r w:rsidR="005F5F88">
        <w:rPr>
          <w:rFonts w:ascii="Arial" w:hAnsi="Arial" w:cs="Arial"/>
          <w:color w:val="222222"/>
          <w:sz w:val="20"/>
          <w:szCs w:val="20"/>
          <w:shd w:val="clear" w:color="auto" w:fill="FFFFFF"/>
        </w:rPr>
        <w:t>sialometaplasia</w:t>
      </w:r>
      <w:proofErr w:type="spellEnd"/>
      <w:r w:rsidR="005F5F88">
        <w:rPr>
          <w:rFonts w:ascii="Arial" w:hAnsi="Arial" w:cs="Arial"/>
          <w:color w:val="222222"/>
          <w:sz w:val="20"/>
          <w:szCs w:val="20"/>
          <w:shd w:val="clear" w:color="auto" w:fill="FFFFFF"/>
        </w:rPr>
        <w:t>. </w:t>
      </w:r>
      <w:r w:rsidR="005F5F88">
        <w:rPr>
          <w:rFonts w:ascii="Arial" w:hAnsi="Arial" w:cs="Arial"/>
          <w:i/>
          <w:iCs/>
          <w:color w:val="222222"/>
          <w:sz w:val="20"/>
          <w:szCs w:val="20"/>
          <w:shd w:val="clear" w:color="auto" w:fill="FFFFFF"/>
        </w:rPr>
        <w:t>Oral surgery, oral medicine, oral pathology and oral radiology</w:t>
      </w:r>
      <w:r w:rsidR="005F5F88">
        <w:rPr>
          <w:rFonts w:ascii="Arial" w:hAnsi="Arial" w:cs="Arial"/>
          <w:color w:val="222222"/>
          <w:sz w:val="20"/>
          <w:szCs w:val="20"/>
          <w:shd w:val="clear" w:color="auto" w:fill="FFFFFF"/>
        </w:rPr>
        <w:t>, </w:t>
      </w:r>
      <w:r w:rsidR="005F5F88">
        <w:rPr>
          <w:rFonts w:ascii="Arial" w:hAnsi="Arial" w:cs="Arial"/>
          <w:i/>
          <w:iCs/>
          <w:color w:val="222222"/>
          <w:sz w:val="20"/>
          <w:szCs w:val="20"/>
          <w:shd w:val="clear" w:color="auto" w:fill="FFFFFF"/>
        </w:rPr>
        <w:t>114</w:t>
      </w:r>
      <w:r w:rsidR="005F5F88">
        <w:rPr>
          <w:rFonts w:ascii="Arial" w:hAnsi="Arial" w:cs="Arial"/>
          <w:color w:val="222222"/>
          <w:sz w:val="20"/>
          <w:szCs w:val="20"/>
          <w:shd w:val="clear" w:color="auto" w:fill="FFFFFF"/>
        </w:rPr>
        <w:t>(5), 577-585.</w:t>
      </w:r>
    </w:p>
    <w:p w14:paraId="4C64E93A"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10.</w:t>
      </w:r>
      <w:r>
        <w:rPr>
          <w:rFonts w:ascii="Times New Roman" w:eastAsia="Times New Roman" w:hAnsi="Times New Roman" w:cs="Times New Roman"/>
          <w:sz w:val="24"/>
        </w:rPr>
        <w:tab/>
        <w:t xml:space="preserve">Carlson DL.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practical approach to diagnosis. Arch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xml:space="preserve"> Lab Med. 2009;133(5):692–698.</w:t>
      </w:r>
    </w:p>
    <w:p w14:paraId="79B5AD2C" w14:textId="77777777" w:rsidR="00C01C4B" w:rsidRDefault="00F931EA">
      <w:pPr>
        <w:rPr>
          <w:rFonts w:ascii="Times New Roman" w:eastAsia="Times New Roman" w:hAnsi="Times New Roman" w:cs="Times New Roman"/>
          <w:sz w:val="24"/>
        </w:rPr>
      </w:pPr>
      <w:bookmarkStart w:id="0" w:name="_GoBack"/>
      <w:bookmarkEnd w:id="0"/>
      <w:r>
        <w:rPr>
          <w:rFonts w:ascii="Times New Roman" w:eastAsia="Times New Roman" w:hAnsi="Times New Roman" w:cs="Times New Roman"/>
          <w:sz w:val="24"/>
        </w:rPr>
        <w:t xml:space="preserve">    12. Kaplan I, Anavi Y, Hirshberg A.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clinicopathologic study of 46 cases and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xml:space="preserve"> Oral </w:t>
      </w:r>
      <w:proofErr w:type="spellStart"/>
      <w:r>
        <w:rPr>
          <w:rFonts w:ascii="Times New Roman" w:eastAsia="Times New Roman" w:hAnsi="Times New Roman" w:cs="Times New Roman"/>
          <w:sz w:val="24"/>
        </w:rPr>
        <w:t>Radiol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Endod</w:t>
      </w:r>
      <w:proofErr w:type="spellEnd"/>
      <w:r>
        <w:rPr>
          <w:rFonts w:ascii="Times New Roman" w:eastAsia="Times New Roman" w:hAnsi="Times New Roman" w:cs="Times New Roman"/>
          <w:sz w:val="24"/>
        </w:rPr>
        <w:t>. 2005;99(5):620–628</w:t>
      </w:r>
    </w:p>
    <w:p w14:paraId="49C162F3" w14:textId="566D31A0"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13. American Diabetes Association. Standards of Medical Care in Diabetes—2023. Diabetes Care. 2023;46(Suppl. 1</w:t>
      </w:r>
      <w:proofErr w:type="gramStart"/>
      <w:r>
        <w:rPr>
          <w:rFonts w:ascii="Times New Roman" w:eastAsia="Times New Roman" w:hAnsi="Times New Roman" w:cs="Times New Roman"/>
          <w:sz w:val="24"/>
        </w:rPr>
        <w:t>):S</w:t>
      </w:r>
      <w:proofErr w:type="gramEnd"/>
      <w:r>
        <w:rPr>
          <w:rFonts w:ascii="Times New Roman" w:eastAsia="Times New Roman" w:hAnsi="Times New Roman" w:cs="Times New Roman"/>
          <w:sz w:val="24"/>
        </w:rPr>
        <w:t>1–S300</w:t>
      </w:r>
    </w:p>
    <w:p w14:paraId="3615B293" w14:textId="5AB533DA" w:rsidR="000A1AE7" w:rsidRDefault="000A1AE7">
      <w:pPr>
        <w:rPr>
          <w:rFonts w:ascii="Arial" w:hAnsi="Arial" w:cs="Arial"/>
          <w:color w:val="222222"/>
          <w:sz w:val="20"/>
          <w:szCs w:val="20"/>
          <w:highlight w:val="yellow"/>
          <w:shd w:val="clear" w:color="auto" w:fill="FFFFFF"/>
        </w:rPr>
      </w:pPr>
      <w:r w:rsidRPr="00ED75A8">
        <w:rPr>
          <w:rFonts w:ascii="Arial" w:hAnsi="Arial" w:cs="Arial"/>
          <w:color w:val="222222"/>
          <w:sz w:val="20"/>
          <w:szCs w:val="20"/>
          <w:highlight w:val="yellow"/>
          <w:shd w:val="clear" w:color="auto" w:fill="FFFFFF"/>
        </w:rPr>
        <w:t xml:space="preserve">14. </w:t>
      </w:r>
      <w:proofErr w:type="spellStart"/>
      <w:r w:rsidRPr="00ED75A8">
        <w:rPr>
          <w:rFonts w:ascii="Arial" w:hAnsi="Arial" w:cs="Arial"/>
          <w:color w:val="222222"/>
          <w:sz w:val="20"/>
          <w:szCs w:val="20"/>
          <w:highlight w:val="yellow"/>
          <w:shd w:val="clear" w:color="auto" w:fill="FFFFFF"/>
        </w:rPr>
        <w:t>Yagihara</w:t>
      </w:r>
      <w:proofErr w:type="spellEnd"/>
      <w:r w:rsidRPr="00ED75A8">
        <w:rPr>
          <w:rFonts w:ascii="Arial" w:hAnsi="Arial" w:cs="Arial"/>
          <w:color w:val="222222"/>
          <w:sz w:val="20"/>
          <w:szCs w:val="20"/>
          <w:highlight w:val="yellow"/>
          <w:shd w:val="clear" w:color="auto" w:fill="FFFFFF"/>
        </w:rPr>
        <w:t xml:space="preserve">, K., Ishii, J., </w:t>
      </w:r>
      <w:proofErr w:type="spellStart"/>
      <w:r w:rsidRPr="00ED75A8">
        <w:rPr>
          <w:rFonts w:ascii="Arial" w:hAnsi="Arial" w:cs="Arial"/>
          <w:color w:val="222222"/>
          <w:sz w:val="20"/>
          <w:szCs w:val="20"/>
          <w:highlight w:val="yellow"/>
          <w:shd w:val="clear" w:color="auto" w:fill="FFFFFF"/>
        </w:rPr>
        <w:t>Katsurano</w:t>
      </w:r>
      <w:proofErr w:type="spellEnd"/>
      <w:r w:rsidRPr="00ED75A8">
        <w:rPr>
          <w:rFonts w:ascii="Arial" w:hAnsi="Arial" w:cs="Arial"/>
          <w:color w:val="222222"/>
          <w:sz w:val="20"/>
          <w:szCs w:val="20"/>
          <w:highlight w:val="yellow"/>
          <w:shd w:val="clear" w:color="auto" w:fill="FFFFFF"/>
        </w:rPr>
        <w:t xml:space="preserve">, M., </w:t>
      </w:r>
      <w:proofErr w:type="spellStart"/>
      <w:r w:rsidRPr="00ED75A8">
        <w:rPr>
          <w:rFonts w:ascii="Arial" w:hAnsi="Arial" w:cs="Arial"/>
          <w:color w:val="222222"/>
          <w:sz w:val="20"/>
          <w:szCs w:val="20"/>
          <w:highlight w:val="yellow"/>
          <w:shd w:val="clear" w:color="auto" w:fill="FFFFFF"/>
        </w:rPr>
        <w:t>Tsuchida</w:t>
      </w:r>
      <w:proofErr w:type="spellEnd"/>
      <w:r w:rsidRPr="00ED75A8">
        <w:rPr>
          <w:rFonts w:ascii="Arial" w:hAnsi="Arial" w:cs="Arial"/>
          <w:color w:val="222222"/>
          <w:sz w:val="20"/>
          <w:szCs w:val="20"/>
          <w:highlight w:val="yellow"/>
          <w:shd w:val="clear" w:color="auto" w:fill="FFFFFF"/>
        </w:rPr>
        <w:t xml:space="preserve">, E., Okamura, T., &amp; Ishikawa, A. (2018). A case of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xml:space="preserve"> clinically mimicking a malignant tumor of the palate. </w:t>
      </w:r>
      <w:r w:rsidRPr="00ED75A8">
        <w:rPr>
          <w:rFonts w:ascii="Arial" w:hAnsi="Arial" w:cs="Arial"/>
          <w:i/>
          <w:iCs/>
          <w:color w:val="222222"/>
          <w:sz w:val="20"/>
          <w:szCs w:val="20"/>
          <w:highlight w:val="yellow"/>
          <w:shd w:val="clear" w:color="auto" w:fill="FFFFFF"/>
        </w:rPr>
        <w:t>Oral Science International</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15</w:t>
      </w:r>
      <w:r w:rsidRPr="00ED75A8">
        <w:rPr>
          <w:rFonts w:ascii="Arial" w:hAnsi="Arial" w:cs="Arial"/>
          <w:color w:val="222222"/>
          <w:sz w:val="20"/>
          <w:szCs w:val="20"/>
          <w:highlight w:val="yellow"/>
          <w:shd w:val="clear" w:color="auto" w:fill="FFFFFF"/>
        </w:rPr>
        <w:t>(2), 73-77.</w:t>
      </w:r>
    </w:p>
    <w:p w14:paraId="74931EFD" w14:textId="410F1A36" w:rsidR="000A1AE7" w:rsidRDefault="000A1AE7">
      <w:pPr>
        <w:rPr>
          <w:rFonts w:ascii="Arial" w:hAnsi="Arial" w:cs="Arial"/>
          <w:color w:val="222222"/>
          <w:sz w:val="20"/>
          <w:szCs w:val="20"/>
          <w:highlight w:val="yellow"/>
          <w:shd w:val="clear" w:color="auto" w:fill="FFFFFF"/>
        </w:rPr>
      </w:pPr>
      <w:r w:rsidRPr="00ED75A8">
        <w:rPr>
          <w:rFonts w:ascii="Times New Roman" w:eastAsia="Times New Roman" w:hAnsi="Times New Roman" w:cs="Times New Roman"/>
          <w:sz w:val="24"/>
          <w:highlight w:val="yellow"/>
        </w:rPr>
        <w:t xml:space="preserve">15. </w:t>
      </w:r>
      <w:r w:rsidRPr="00ED75A8">
        <w:rPr>
          <w:rFonts w:ascii="Arial" w:hAnsi="Arial" w:cs="Arial"/>
          <w:color w:val="222222"/>
          <w:sz w:val="20"/>
          <w:szCs w:val="20"/>
          <w:highlight w:val="yellow"/>
          <w:shd w:val="clear" w:color="auto" w:fill="FFFFFF"/>
        </w:rPr>
        <w:t xml:space="preserve">Shin, S. A., Na, H. Y., Choe, J. Y., Hong, S. N., Lee, H., Park, S., &amp; Kim, J. E. (2020).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a malignant masquerade but questionable precancerous lesion, report of four cases. </w:t>
      </w:r>
      <w:r w:rsidRPr="00ED75A8">
        <w:rPr>
          <w:rFonts w:ascii="Arial" w:hAnsi="Arial" w:cs="Arial"/>
          <w:i/>
          <w:iCs/>
          <w:color w:val="222222"/>
          <w:sz w:val="20"/>
          <w:szCs w:val="20"/>
          <w:highlight w:val="yellow"/>
          <w:shd w:val="clear" w:color="auto" w:fill="FFFFFF"/>
        </w:rPr>
        <w:t>BMC Oral Health</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20</w:t>
      </w:r>
      <w:r w:rsidRPr="00ED75A8">
        <w:rPr>
          <w:rFonts w:ascii="Arial" w:hAnsi="Arial" w:cs="Arial"/>
          <w:color w:val="222222"/>
          <w:sz w:val="20"/>
          <w:szCs w:val="20"/>
          <w:highlight w:val="yellow"/>
          <w:shd w:val="clear" w:color="auto" w:fill="FFFFFF"/>
        </w:rPr>
        <w:t>(1), 206.</w:t>
      </w:r>
    </w:p>
    <w:p w14:paraId="7B6D59B6" w14:textId="718CCDCE" w:rsidR="000A1AE7" w:rsidRPr="00ED75A8" w:rsidRDefault="000A1AE7">
      <w:pPr>
        <w:rPr>
          <w:rFonts w:ascii="Arial" w:hAnsi="Arial" w:cs="Arial"/>
          <w:color w:val="222222"/>
          <w:sz w:val="20"/>
          <w:szCs w:val="20"/>
          <w:highlight w:val="yellow"/>
          <w:shd w:val="clear" w:color="auto" w:fill="FFFFFF"/>
        </w:rPr>
      </w:pPr>
      <w:r w:rsidRPr="00ED75A8">
        <w:rPr>
          <w:rFonts w:ascii="Arial" w:hAnsi="Arial" w:cs="Arial"/>
          <w:color w:val="222222"/>
          <w:sz w:val="20"/>
          <w:szCs w:val="20"/>
          <w:highlight w:val="yellow"/>
          <w:shd w:val="clear" w:color="auto" w:fill="FFFFFF"/>
        </w:rPr>
        <w:t xml:space="preserve">16. Carlson, D. L. (2009).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a practical approach to the diagnosis. </w:t>
      </w:r>
      <w:r w:rsidRPr="00ED75A8">
        <w:rPr>
          <w:rFonts w:ascii="Arial" w:hAnsi="Arial" w:cs="Arial"/>
          <w:i/>
          <w:iCs/>
          <w:color w:val="222222"/>
          <w:sz w:val="20"/>
          <w:szCs w:val="20"/>
          <w:highlight w:val="yellow"/>
          <w:shd w:val="clear" w:color="auto" w:fill="FFFFFF"/>
        </w:rPr>
        <w:t>Archives of pathology &amp; laboratory medicine</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133</w:t>
      </w:r>
      <w:r w:rsidRPr="00ED75A8">
        <w:rPr>
          <w:rFonts w:ascii="Arial" w:hAnsi="Arial" w:cs="Arial"/>
          <w:color w:val="222222"/>
          <w:sz w:val="20"/>
          <w:szCs w:val="20"/>
          <w:highlight w:val="yellow"/>
          <w:shd w:val="clear" w:color="auto" w:fill="FFFFFF"/>
        </w:rPr>
        <w:t>(5), 692-698.</w:t>
      </w:r>
    </w:p>
    <w:p w14:paraId="49CF61B1" w14:textId="14B33D92" w:rsidR="000A1AE7" w:rsidRPr="00ED75A8" w:rsidRDefault="000A1AE7">
      <w:pPr>
        <w:rPr>
          <w:rFonts w:ascii="Arial" w:hAnsi="Arial" w:cs="Arial"/>
          <w:color w:val="222222"/>
          <w:sz w:val="20"/>
          <w:szCs w:val="20"/>
          <w:highlight w:val="yellow"/>
          <w:shd w:val="clear" w:color="auto" w:fill="FFFFFF"/>
        </w:rPr>
      </w:pPr>
      <w:r w:rsidRPr="00ED75A8">
        <w:rPr>
          <w:rFonts w:ascii="Arial" w:hAnsi="Arial" w:cs="Arial"/>
          <w:color w:val="222222"/>
          <w:sz w:val="20"/>
          <w:szCs w:val="20"/>
          <w:highlight w:val="yellow"/>
          <w:shd w:val="clear" w:color="auto" w:fill="FFFFFF"/>
        </w:rPr>
        <w:t xml:space="preserve">17. Abrams, A. M., Melrose, R. J., &amp; Howell, F. V. (1973).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A disease simulating malignancy. </w:t>
      </w:r>
      <w:r w:rsidRPr="00ED75A8">
        <w:rPr>
          <w:rFonts w:ascii="Arial" w:hAnsi="Arial" w:cs="Arial"/>
          <w:i/>
          <w:iCs/>
          <w:color w:val="222222"/>
          <w:sz w:val="20"/>
          <w:szCs w:val="20"/>
          <w:highlight w:val="yellow"/>
          <w:shd w:val="clear" w:color="auto" w:fill="FFFFFF"/>
        </w:rPr>
        <w:t>Cancer</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32</w:t>
      </w:r>
      <w:r w:rsidRPr="00ED75A8">
        <w:rPr>
          <w:rFonts w:ascii="Arial" w:hAnsi="Arial" w:cs="Arial"/>
          <w:color w:val="222222"/>
          <w:sz w:val="20"/>
          <w:szCs w:val="20"/>
          <w:highlight w:val="yellow"/>
          <w:shd w:val="clear" w:color="auto" w:fill="FFFFFF"/>
        </w:rPr>
        <w:t>(1), 130-135.</w:t>
      </w:r>
    </w:p>
    <w:p w14:paraId="1714452F" w14:textId="29B26F9B" w:rsidR="000A1AE7" w:rsidRPr="00ED75A8" w:rsidRDefault="000A1AE7">
      <w:pPr>
        <w:rPr>
          <w:rFonts w:ascii="Arial" w:hAnsi="Arial" w:cs="Arial"/>
          <w:color w:val="222222"/>
          <w:sz w:val="20"/>
          <w:szCs w:val="20"/>
          <w:highlight w:val="yellow"/>
          <w:shd w:val="clear" w:color="auto" w:fill="FFFFFF"/>
        </w:rPr>
      </w:pPr>
      <w:r w:rsidRPr="00ED75A8">
        <w:rPr>
          <w:rFonts w:ascii="Arial" w:hAnsi="Arial" w:cs="Arial"/>
          <w:color w:val="222222"/>
          <w:sz w:val="20"/>
          <w:szCs w:val="20"/>
          <w:highlight w:val="yellow"/>
          <w:shd w:val="clear" w:color="auto" w:fill="FFFFFF"/>
        </w:rPr>
        <w:t xml:space="preserve">18. Joshi, S. A., </w:t>
      </w:r>
      <w:proofErr w:type="spellStart"/>
      <w:r w:rsidRPr="00ED75A8">
        <w:rPr>
          <w:rFonts w:ascii="Arial" w:hAnsi="Arial" w:cs="Arial"/>
          <w:color w:val="222222"/>
          <w:sz w:val="20"/>
          <w:szCs w:val="20"/>
          <w:highlight w:val="yellow"/>
          <w:shd w:val="clear" w:color="auto" w:fill="FFFFFF"/>
        </w:rPr>
        <w:t>Halli</w:t>
      </w:r>
      <w:proofErr w:type="spellEnd"/>
      <w:r w:rsidRPr="00ED75A8">
        <w:rPr>
          <w:rFonts w:ascii="Arial" w:hAnsi="Arial" w:cs="Arial"/>
          <w:color w:val="222222"/>
          <w:sz w:val="20"/>
          <w:szCs w:val="20"/>
          <w:highlight w:val="yellow"/>
          <w:shd w:val="clear" w:color="auto" w:fill="FFFFFF"/>
        </w:rPr>
        <w:t xml:space="preserve">, R., </w:t>
      </w:r>
      <w:proofErr w:type="spellStart"/>
      <w:r w:rsidRPr="00ED75A8">
        <w:rPr>
          <w:rFonts w:ascii="Arial" w:hAnsi="Arial" w:cs="Arial"/>
          <w:color w:val="222222"/>
          <w:sz w:val="20"/>
          <w:szCs w:val="20"/>
          <w:highlight w:val="yellow"/>
          <w:shd w:val="clear" w:color="auto" w:fill="FFFFFF"/>
        </w:rPr>
        <w:t>Koranne</w:t>
      </w:r>
      <w:proofErr w:type="spellEnd"/>
      <w:r w:rsidRPr="00ED75A8">
        <w:rPr>
          <w:rFonts w:ascii="Arial" w:hAnsi="Arial" w:cs="Arial"/>
          <w:color w:val="222222"/>
          <w:sz w:val="20"/>
          <w:szCs w:val="20"/>
          <w:highlight w:val="yellow"/>
          <w:shd w:val="clear" w:color="auto" w:fill="FFFFFF"/>
        </w:rPr>
        <w:t xml:space="preserve">, V., &amp; Singh, S. (2014).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xml:space="preserve">: A diagnostic </w:t>
      </w:r>
      <w:proofErr w:type="gramStart"/>
      <w:r w:rsidRPr="00ED75A8">
        <w:rPr>
          <w:rFonts w:ascii="Arial" w:hAnsi="Arial" w:cs="Arial"/>
          <w:color w:val="222222"/>
          <w:sz w:val="20"/>
          <w:szCs w:val="20"/>
          <w:highlight w:val="yellow"/>
          <w:shd w:val="clear" w:color="auto" w:fill="FFFFFF"/>
        </w:rPr>
        <w:t>dilemma!.</w:t>
      </w:r>
      <w:proofErr w:type="gramEnd"/>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Journal of Oral and Maxillofacial Pathology</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18</w:t>
      </w:r>
      <w:r w:rsidRPr="00ED75A8">
        <w:rPr>
          <w:rFonts w:ascii="Arial" w:hAnsi="Arial" w:cs="Arial"/>
          <w:color w:val="222222"/>
          <w:sz w:val="20"/>
          <w:szCs w:val="20"/>
          <w:highlight w:val="yellow"/>
          <w:shd w:val="clear" w:color="auto" w:fill="FFFFFF"/>
        </w:rPr>
        <w:t>(3), 420-422.</w:t>
      </w:r>
    </w:p>
    <w:p w14:paraId="16E3DBF6" w14:textId="661F0A10" w:rsidR="000A1AE7" w:rsidRPr="00ED75A8" w:rsidRDefault="000A1AE7">
      <w:pPr>
        <w:rPr>
          <w:rFonts w:ascii="Arial" w:hAnsi="Arial" w:cs="Arial"/>
          <w:color w:val="222222"/>
          <w:sz w:val="20"/>
          <w:szCs w:val="20"/>
          <w:highlight w:val="yellow"/>
          <w:shd w:val="clear" w:color="auto" w:fill="FFFFFF"/>
        </w:rPr>
      </w:pPr>
      <w:r w:rsidRPr="00ED75A8">
        <w:rPr>
          <w:rFonts w:ascii="Arial" w:hAnsi="Arial" w:cs="Arial"/>
          <w:color w:val="222222"/>
          <w:sz w:val="20"/>
          <w:szCs w:val="20"/>
          <w:highlight w:val="yellow"/>
          <w:shd w:val="clear" w:color="auto" w:fill="FFFFFF"/>
        </w:rPr>
        <w:t xml:space="preserve">19. Kaplan, I., Alterman, M., Kleinman, S., Reiser, V., Shuster, A., Dagan, Y., &amp; Shlomi, B. (2012). The clinical, histologic, and treatment spectrum in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Oral surgery, oral medicine, oral pathology and oral radiology</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114</w:t>
      </w:r>
      <w:r w:rsidRPr="00ED75A8">
        <w:rPr>
          <w:rFonts w:ascii="Arial" w:hAnsi="Arial" w:cs="Arial"/>
          <w:color w:val="222222"/>
          <w:sz w:val="20"/>
          <w:szCs w:val="20"/>
          <w:highlight w:val="yellow"/>
          <w:shd w:val="clear" w:color="auto" w:fill="FFFFFF"/>
        </w:rPr>
        <w:t>(5), 577-585.</w:t>
      </w:r>
    </w:p>
    <w:p w14:paraId="4FD1F0A3" w14:textId="7BB2ACAE" w:rsidR="000A1AE7" w:rsidRDefault="000A1AE7">
      <w:pPr>
        <w:rPr>
          <w:rFonts w:ascii="Times New Roman" w:eastAsia="Times New Roman" w:hAnsi="Times New Roman" w:cs="Times New Roman"/>
          <w:sz w:val="24"/>
        </w:rPr>
      </w:pPr>
      <w:r w:rsidRPr="00ED75A8">
        <w:rPr>
          <w:rFonts w:ascii="Arial" w:hAnsi="Arial" w:cs="Arial"/>
          <w:color w:val="222222"/>
          <w:sz w:val="20"/>
          <w:szCs w:val="20"/>
          <w:highlight w:val="yellow"/>
          <w:shd w:val="clear" w:color="auto" w:fill="FFFFFF"/>
        </w:rPr>
        <w:t xml:space="preserve">20. Lynch, D. P., </w:t>
      </w:r>
      <w:proofErr w:type="spellStart"/>
      <w:r w:rsidRPr="00ED75A8">
        <w:rPr>
          <w:rFonts w:ascii="Arial" w:hAnsi="Arial" w:cs="Arial"/>
          <w:color w:val="222222"/>
          <w:sz w:val="20"/>
          <w:szCs w:val="20"/>
          <w:highlight w:val="yellow"/>
          <w:shd w:val="clear" w:color="auto" w:fill="FFFFFF"/>
        </w:rPr>
        <w:t>Crago</w:t>
      </w:r>
      <w:proofErr w:type="spellEnd"/>
      <w:r w:rsidRPr="00ED75A8">
        <w:rPr>
          <w:rFonts w:ascii="Arial" w:hAnsi="Arial" w:cs="Arial"/>
          <w:color w:val="222222"/>
          <w:sz w:val="20"/>
          <w:szCs w:val="20"/>
          <w:highlight w:val="yellow"/>
          <w:shd w:val="clear" w:color="auto" w:fill="FFFFFF"/>
        </w:rPr>
        <w:t xml:space="preserve">, C. A., &amp; Martinez Jr, M. G. (1979). Necrotizing </w:t>
      </w:r>
      <w:proofErr w:type="spellStart"/>
      <w:r w:rsidRPr="00ED75A8">
        <w:rPr>
          <w:rFonts w:ascii="Arial" w:hAnsi="Arial" w:cs="Arial"/>
          <w:color w:val="222222"/>
          <w:sz w:val="20"/>
          <w:szCs w:val="20"/>
          <w:highlight w:val="yellow"/>
          <w:shd w:val="clear" w:color="auto" w:fill="FFFFFF"/>
        </w:rPr>
        <w:t>sialometaplasia</w:t>
      </w:r>
      <w:proofErr w:type="spellEnd"/>
      <w:r w:rsidRPr="00ED75A8">
        <w:rPr>
          <w:rFonts w:ascii="Arial" w:hAnsi="Arial" w:cs="Arial"/>
          <w:color w:val="222222"/>
          <w:sz w:val="20"/>
          <w:szCs w:val="20"/>
          <w:highlight w:val="yellow"/>
          <w:shd w:val="clear" w:color="auto" w:fill="FFFFFF"/>
        </w:rPr>
        <w:t>: A review of the literature and report of two additional cases. </w:t>
      </w:r>
      <w:r w:rsidRPr="00ED75A8">
        <w:rPr>
          <w:rFonts w:ascii="Arial" w:hAnsi="Arial" w:cs="Arial"/>
          <w:i/>
          <w:iCs/>
          <w:color w:val="222222"/>
          <w:sz w:val="20"/>
          <w:szCs w:val="20"/>
          <w:highlight w:val="yellow"/>
          <w:shd w:val="clear" w:color="auto" w:fill="FFFFFF"/>
        </w:rPr>
        <w:t>Oral Surgery, Oral Medicine, Oral Pathology</w:t>
      </w:r>
      <w:r w:rsidRPr="00ED75A8">
        <w:rPr>
          <w:rFonts w:ascii="Arial" w:hAnsi="Arial" w:cs="Arial"/>
          <w:color w:val="222222"/>
          <w:sz w:val="20"/>
          <w:szCs w:val="20"/>
          <w:highlight w:val="yellow"/>
          <w:shd w:val="clear" w:color="auto" w:fill="FFFFFF"/>
        </w:rPr>
        <w:t>, </w:t>
      </w:r>
      <w:r w:rsidRPr="00ED75A8">
        <w:rPr>
          <w:rFonts w:ascii="Arial" w:hAnsi="Arial" w:cs="Arial"/>
          <w:i/>
          <w:iCs/>
          <w:color w:val="222222"/>
          <w:sz w:val="20"/>
          <w:szCs w:val="20"/>
          <w:highlight w:val="yellow"/>
          <w:shd w:val="clear" w:color="auto" w:fill="FFFFFF"/>
        </w:rPr>
        <w:t>47</w:t>
      </w:r>
      <w:r w:rsidRPr="00ED75A8">
        <w:rPr>
          <w:rFonts w:ascii="Arial" w:hAnsi="Arial" w:cs="Arial"/>
          <w:color w:val="222222"/>
          <w:sz w:val="20"/>
          <w:szCs w:val="20"/>
          <w:highlight w:val="yellow"/>
          <w:shd w:val="clear" w:color="auto" w:fill="FFFFFF"/>
        </w:rPr>
        <w:t>(1), 63-69.</w:t>
      </w:r>
    </w:p>
    <w:p w14:paraId="1AFDE8C2" w14:textId="77777777" w:rsidR="00C01C4B" w:rsidRDefault="00C01C4B">
      <w:pPr>
        <w:rPr>
          <w:rFonts w:ascii="Times New Roman" w:eastAsia="Times New Roman" w:hAnsi="Times New Roman" w:cs="Times New Roman"/>
          <w:sz w:val="24"/>
        </w:rPr>
      </w:pPr>
    </w:p>
    <w:p w14:paraId="19D7243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114300" distR="114300" wp14:anchorId="2BDC0450" wp14:editId="329E3CAB">
            <wp:extent cx="3449320" cy="3355975"/>
            <wp:effectExtent l="0" t="0" r="1270" b="3810"/>
            <wp:docPr id="1" name="Picture 1" descr="2025-09-30 22:20:28.5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9-30 22:20:28.517000"/>
                    <pic:cNvPicPr>
                      <a:picLocks noChangeAspect="1"/>
                    </pic:cNvPicPr>
                  </pic:nvPicPr>
                  <pic:blipFill>
                    <a:blip r:embed="rId10"/>
                    <a:stretch>
                      <a:fillRect/>
                    </a:stretch>
                  </pic:blipFill>
                  <pic:spPr>
                    <a:xfrm>
                      <a:off x="0" y="0"/>
                      <a:ext cx="3449320" cy="3355975"/>
                    </a:xfrm>
                    <a:prstGeom prst="rect">
                      <a:avLst/>
                    </a:prstGeom>
                  </pic:spPr>
                </pic:pic>
              </a:graphicData>
            </a:graphic>
          </wp:inline>
        </w:drawing>
      </w:r>
    </w:p>
    <w:p w14:paraId="6D94D4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Fig-01- CT PNS of Case 01, showing lesion over right side of palate without any bony erosion.</w:t>
      </w:r>
    </w:p>
    <w:p w14:paraId="01B87EFC" w14:textId="77777777" w:rsidR="00C01C4B" w:rsidRDefault="00C01C4B">
      <w:pPr>
        <w:rPr>
          <w:rFonts w:ascii="Times New Roman" w:eastAsia="Times New Roman" w:hAnsi="Times New Roman" w:cs="Times New Roman"/>
          <w:sz w:val="24"/>
        </w:rPr>
      </w:pPr>
    </w:p>
    <w:p w14:paraId="1DEC2DBD" w14:textId="77777777" w:rsidR="00C01C4B" w:rsidRDefault="00C01C4B">
      <w:pPr>
        <w:rPr>
          <w:rFonts w:ascii="Times New Roman" w:eastAsia="Times New Roman" w:hAnsi="Times New Roman" w:cs="Times New Roman"/>
          <w:sz w:val="24"/>
        </w:rPr>
      </w:pPr>
    </w:p>
    <w:p w14:paraId="08A37B3D"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114300" distR="114300" wp14:anchorId="7B8A2A29" wp14:editId="7E805004">
            <wp:extent cx="3215640" cy="3541395"/>
            <wp:effectExtent l="0" t="0" r="4445" b="0"/>
            <wp:docPr id="2" name="Picture 2" descr="2025-09-30 22:20:28.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9-30 22:20:28.602000"/>
                    <pic:cNvPicPr>
                      <a:picLocks noChangeAspect="1"/>
                    </pic:cNvPicPr>
                  </pic:nvPicPr>
                  <pic:blipFill>
                    <a:blip r:embed="rId11"/>
                    <a:stretch>
                      <a:fillRect/>
                    </a:stretch>
                  </pic:blipFill>
                  <pic:spPr>
                    <a:xfrm>
                      <a:off x="0" y="0"/>
                      <a:ext cx="3215640" cy="3541395"/>
                    </a:xfrm>
                    <a:prstGeom prst="rect">
                      <a:avLst/>
                    </a:prstGeom>
                  </pic:spPr>
                </pic:pic>
              </a:graphicData>
            </a:graphic>
          </wp:inline>
        </w:drawing>
      </w:r>
    </w:p>
    <w:p w14:paraId="02BB99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Fig-02 - Case -02, Ulcerative lesion over left side of palate.</w:t>
      </w:r>
    </w:p>
    <w:p w14:paraId="720BABA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114300" distR="114300" wp14:anchorId="1B8AA3AA" wp14:editId="30B56E20">
            <wp:extent cx="3289935" cy="3509010"/>
            <wp:effectExtent l="0" t="0" r="0" b="4445"/>
            <wp:docPr id="4" name="Picture 4" descr="2025-10-14 10:31:26.4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10-14 10:31:26.487000"/>
                    <pic:cNvPicPr>
                      <a:picLocks noChangeAspect="1"/>
                    </pic:cNvPicPr>
                  </pic:nvPicPr>
                  <pic:blipFill>
                    <a:blip r:embed="rId12"/>
                    <a:stretch>
                      <a:fillRect/>
                    </a:stretch>
                  </pic:blipFill>
                  <pic:spPr>
                    <a:xfrm>
                      <a:off x="0" y="0"/>
                      <a:ext cx="3289935" cy="3509010"/>
                    </a:xfrm>
                    <a:prstGeom prst="rect">
                      <a:avLst/>
                    </a:prstGeom>
                  </pic:spPr>
                </pic:pic>
              </a:graphicData>
            </a:graphic>
          </wp:inline>
        </w:drawing>
      </w:r>
    </w:p>
    <w:p w14:paraId="44C4E7C2" w14:textId="77777777" w:rsidR="00C01C4B" w:rsidRDefault="00C01C4B">
      <w:pPr>
        <w:rPr>
          <w:rFonts w:ascii="Times New Roman" w:eastAsia="Times New Roman" w:hAnsi="Times New Roman" w:cs="Times New Roman"/>
          <w:sz w:val="24"/>
        </w:rPr>
      </w:pPr>
    </w:p>
    <w:p w14:paraId="50FBCFF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Fig-03 - Case 02- Lesion resolves post medical treatment </w:t>
      </w:r>
    </w:p>
    <w:sectPr w:rsidR="00C01C4B">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425903" w16cex:dateUtc="2025-11-19T14:58:00Z"/>
  <w16cex:commentExtensible w16cex:durableId="2A2169DC" w16cex:dateUtc="2025-11-19T15:01:00Z"/>
  <w16cex:commentExtensible w16cex:durableId="534142EA" w16cex:dateUtc="2025-11-19T15:07:00Z"/>
  <w16cex:commentExtensible w16cex:durableId="05C57A23" w16cex:dateUtc="2025-11-19T15:03:00Z"/>
  <w16cex:commentExtensible w16cex:durableId="3678107B" w16cex:dateUtc="2025-11-19T15:04:00Z"/>
  <w16cex:commentExtensible w16cex:durableId="40237BC6" w16cex:dateUtc="2025-11-19T15:08:00Z"/>
  <w16cex:commentExtensible w16cex:durableId="0D1DC310" w16cex:dateUtc="2025-11-19T15:11:00Z"/>
  <w16cex:commentExtensible w16cex:durableId="48A24009" w16cex:dateUtc="2025-11-19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28A22" w14:textId="77777777" w:rsidR="00F058C3" w:rsidRDefault="00F058C3" w:rsidP="00F80E3A">
      <w:pPr>
        <w:spacing w:after="0" w:line="240" w:lineRule="auto"/>
      </w:pPr>
      <w:r>
        <w:separator/>
      </w:r>
    </w:p>
  </w:endnote>
  <w:endnote w:type="continuationSeparator" w:id="0">
    <w:p w14:paraId="4FC24B63" w14:textId="77777777" w:rsidR="00F058C3" w:rsidRDefault="00F058C3" w:rsidP="00F80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E77E8" w14:textId="77777777" w:rsidR="00F80E3A" w:rsidRDefault="00F80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0FC1A" w14:textId="77777777" w:rsidR="00F80E3A" w:rsidRDefault="00F80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EF57" w14:textId="77777777" w:rsidR="00F80E3A" w:rsidRDefault="00F8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B10AE" w14:textId="77777777" w:rsidR="00F058C3" w:rsidRDefault="00F058C3" w:rsidP="00F80E3A">
      <w:pPr>
        <w:spacing w:after="0" w:line="240" w:lineRule="auto"/>
      </w:pPr>
      <w:r>
        <w:separator/>
      </w:r>
    </w:p>
  </w:footnote>
  <w:footnote w:type="continuationSeparator" w:id="0">
    <w:p w14:paraId="348791CB" w14:textId="77777777" w:rsidR="00F058C3" w:rsidRDefault="00F058C3" w:rsidP="00F80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90BA9" w14:textId="0CB87330" w:rsidR="00F80E3A" w:rsidRDefault="00F058C3">
    <w:pPr>
      <w:pStyle w:val="Header"/>
    </w:pPr>
    <w:r>
      <w:rPr>
        <w:noProof/>
      </w:rPr>
      <w:pict w14:anchorId="6D345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60" o:spid="_x0000_s2050"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60AA3" w14:textId="01E638B0" w:rsidR="00F80E3A" w:rsidRDefault="00F058C3">
    <w:pPr>
      <w:pStyle w:val="Header"/>
    </w:pPr>
    <w:r>
      <w:rPr>
        <w:noProof/>
      </w:rPr>
      <w:pict w14:anchorId="1CFF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61" o:spid="_x0000_s2051"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D87DB" w14:textId="7917089E" w:rsidR="00F80E3A" w:rsidRDefault="00F058C3">
    <w:pPr>
      <w:pStyle w:val="Header"/>
    </w:pPr>
    <w:r>
      <w:rPr>
        <w:noProof/>
      </w:rPr>
      <w:pict w14:anchorId="2C349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59" o:spid="_x0000_s2049"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0MjE2NTA1NzMyMLVU0lEKTi0uzszPAykwrgUAeLzBQSwAAAA="/>
  </w:docVars>
  <w:rsids>
    <w:rsidRoot w:val="00C01C4B"/>
    <w:rsid w:val="00024D16"/>
    <w:rsid w:val="00051EA8"/>
    <w:rsid w:val="000A1AE7"/>
    <w:rsid w:val="001C11FC"/>
    <w:rsid w:val="002605E1"/>
    <w:rsid w:val="00270EB4"/>
    <w:rsid w:val="00367BED"/>
    <w:rsid w:val="004364B9"/>
    <w:rsid w:val="00491DAC"/>
    <w:rsid w:val="005F5F88"/>
    <w:rsid w:val="00613E01"/>
    <w:rsid w:val="00637666"/>
    <w:rsid w:val="00680EFC"/>
    <w:rsid w:val="007C0FC6"/>
    <w:rsid w:val="008330EF"/>
    <w:rsid w:val="008933FC"/>
    <w:rsid w:val="00931E98"/>
    <w:rsid w:val="00991410"/>
    <w:rsid w:val="009B1DB2"/>
    <w:rsid w:val="00A93AC6"/>
    <w:rsid w:val="00B05DCF"/>
    <w:rsid w:val="00B830B0"/>
    <w:rsid w:val="00BD2AF7"/>
    <w:rsid w:val="00C01C4B"/>
    <w:rsid w:val="00C754BD"/>
    <w:rsid w:val="00CD241E"/>
    <w:rsid w:val="00E44B2C"/>
    <w:rsid w:val="00ED75A8"/>
    <w:rsid w:val="00F058C3"/>
    <w:rsid w:val="00F50182"/>
    <w:rsid w:val="00F751A8"/>
    <w:rsid w:val="00F80E3A"/>
    <w:rsid w:val="00F931EA"/>
    <w:rsid w:val="00FE2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2E5465"/>
  <w15:docId w15:val="{D7F7D5B0-D753-4F6A-A584-AFDF5C1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character" w:styleId="Hyperlink">
    <w:name w:val="Hyperlink"/>
    <w:basedOn w:val="DefaultParagraphFont"/>
    <w:rsid w:val="00E44B2C"/>
    <w:rPr>
      <w:color w:val="0563C1" w:themeColor="hyperlink"/>
      <w:u w:val="single"/>
    </w:rPr>
  </w:style>
  <w:style w:type="character" w:styleId="UnresolvedMention">
    <w:name w:val="Unresolved Mention"/>
    <w:basedOn w:val="DefaultParagraphFont"/>
    <w:uiPriority w:val="99"/>
    <w:semiHidden/>
    <w:unhideWhenUsed/>
    <w:rsid w:val="00E44B2C"/>
    <w:rPr>
      <w:color w:val="605E5C"/>
      <w:shd w:val="clear" w:color="auto" w:fill="E1DFDD"/>
    </w:rPr>
  </w:style>
  <w:style w:type="character" w:styleId="CommentReference">
    <w:name w:val="annotation reference"/>
    <w:basedOn w:val="DefaultParagraphFont"/>
    <w:rsid w:val="007C0FC6"/>
    <w:rPr>
      <w:sz w:val="16"/>
      <w:szCs w:val="16"/>
    </w:rPr>
  </w:style>
  <w:style w:type="paragraph" w:styleId="CommentText">
    <w:name w:val="annotation text"/>
    <w:basedOn w:val="Normal"/>
    <w:link w:val="CommentTextChar"/>
    <w:rsid w:val="007C0FC6"/>
    <w:pPr>
      <w:spacing w:line="240" w:lineRule="auto"/>
    </w:pPr>
    <w:rPr>
      <w:sz w:val="20"/>
      <w:szCs w:val="20"/>
    </w:rPr>
  </w:style>
  <w:style w:type="character" w:customStyle="1" w:styleId="CommentTextChar">
    <w:name w:val="Comment Text Char"/>
    <w:basedOn w:val="DefaultParagraphFont"/>
    <w:link w:val="CommentText"/>
    <w:rsid w:val="007C0FC6"/>
    <w:rPr>
      <w:rFonts w:asciiTheme="minorHAnsi" w:eastAsiaTheme="minorEastAsia" w:hAnsiTheme="minorHAnsi" w:cstheme="minorBidi"/>
      <w:kern w:val="2"/>
      <w:lang w:val="en-US" w:eastAsia="zh-CN"/>
    </w:rPr>
  </w:style>
  <w:style w:type="paragraph" w:styleId="CommentSubject">
    <w:name w:val="annotation subject"/>
    <w:basedOn w:val="CommentText"/>
    <w:next w:val="CommentText"/>
    <w:link w:val="CommentSubjectChar"/>
    <w:rsid w:val="007C0FC6"/>
    <w:rPr>
      <w:b/>
      <w:bCs/>
    </w:rPr>
  </w:style>
  <w:style w:type="character" w:customStyle="1" w:styleId="CommentSubjectChar">
    <w:name w:val="Comment Subject Char"/>
    <w:basedOn w:val="CommentTextChar"/>
    <w:link w:val="CommentSubject"/>
    <w:rsid w:val="007C0FC6"/>
    <w:rPr>
      <w:rFonts w:asciiTheme="minorHAnsi" w:eastAsiaTheme="minorEastAsia" w:hAnsiTheme="minorHAnsi" w:cstheme="minorBidi"/>
      <w:b/>
      <w:bCs/>
      <w:kern w:val="2"/>
      <w:lang w:val="en-US" w:eastAsia="zh-CN"/>
    </w:rPr>
  </w:style>
  <w:style w:type="paragraph" w:styleId="BalloonText">
    <w:name w:val="Balloon Text"/>
    <w:basedOn w:val="Normal"/>
    <w:link w:val="BalloonTextChar"/>
    <w:rsid w:val="000A1A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A1AE7"/>
    <w:rPr>
      <w:rFonts w:ascii="Segoe UI" w:eastAsiaTheme="minorEastAsia" w:hAnsi="Segoe UI" w:cs="Segoe UI"/>
      <w:kern w:val="2"/>
      <w:sz w:val="18"/>
      <w:szCs w:val="18"/>
      <w:lang w:val="en-US" w:eastAsia="zh-CN"/>
    </w:rPr>
  </w:style>
  <w:style w:type="character" w:customStyle="1" w:styleId="anchor-text">
    <w:name w:val="anchor-text"/>
    <w:basedOn w:val="DefaultParagraphFont"/>
    <w:rsid w:val="000A1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squamous-cell-metaplasi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hyperlink" Target="https://www.sciencedirect.com/topics/medicine-and-dentistry/salivary-gland"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iPad</dc:creator>
  <cp:lastModifiedBy>SDI PC New 16</cp:lastModifiedBy>
  <cp:revision>20</cp:revision>
  <dcterms:created xsi:type="dcterms:W3CDTF">2025-08-24T15:53:00Z</dcterms:created>
  <dcterms:modified xsi:type="dcterms:W3CDTF">2025-11-28T10:34:00Z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3081-11.34.01</vt:lpwstr>
  </property>
  <property fmtid="{D5CDD505-2E9C-101B-9397-08002B2CF9AE}" pid="3" name="ICV">
    <vt:lpwstr>63351BA6EF2D136B7C42A468F911F319_31</vt:lpwstr>
  </property>
  <property fmtid="{D5CDD505-2E9C-101B-9397-08002B2CF9AE}" pid="4" name="GrammarlyDocumentId">
    <vt:lpwstr>d13e64eb-6f64-4058-9688-edae2f1a8aa3</vt:lpwstr>
  </property>
</Properties>
</file>