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5AAADCA6" w:rsidR="00754C9A" w:rsidRDefault="00754C9A" w:rsidP="00441B6F">
      <w:pPr>
        <w:pStyle w:val="Title"/>
        <w:spacing w:after="0"/>
        <w:jc w:val="both"/>
        <w:rPr>
          <w:rFonts w:ascii="Arial" w:hAnsi="Arial" w:cs="Arial"/>
        </w:rPr>
      </w:pPr>
    </w:p>
    <w:p w14:paraId="427B4092" w14:textId="77777777" w:rsidR="009B76A6" w:rsidRDefault="009B76A6" w:rsidP="00726EFA">
      <w:pPr>
        <w:pStyle w:val="Author"/>
        <w:spacing w:line="240" w:lineRule="auto"/>
        <w:rPr>
          <w:rFonts w:ascii="Arial" w:hAnsi="Arial" w:cs="Arial"/>
          <w:bCs/>
          <w:iCs/>
          <w:kern w:val="28"/>
          <w:sz w:val="36"/>
        </w:rPr>
      </w:pPr>
    </w:p>
    <w:p w14:paraId="36DE0F57" w14:textId="68EFB3CD" w:rsidR="00163BC4" w:rsidRPr="000D6621" w:rsidRDefault="00153CB3" w:rsidP="00726EFA">
      <w:pPr>
        <w:pStyle w:val="Author"/>
        <w:spacing w:line="240" w:lineRule="auto"/>
        <w:rPr>
          <w:rFonts w:ascii="Arial" w:hAnsi="Arial" w:cs="Arial"/>
          <w:bCs/>
          <w:iCs/>
          <w:kern w:val="28"/>
          <w:sz w:val="36"/>
        </w:rPr>
      </w:pPr>
      <w:r w:rsidRPr="00153CB3">
        <w:rPr>
          <w:rFonts w:ascii="Arial" w:hAnsi="Arial" w:cs="Arial"/>
          <w:bCs/>
          <w:iCs/>
          <w:kern w:val="28"/>
          <w:sz w:val="36"/>
        </w:rPr>
        <w:t>Empowering Women in Technical Education: Automotive Instructors’ Mentorship Approaches in Northern Philippines</w:t>
      </w:r>
    </w:p>
    <w:p w14:paraId="7FFF3D0A" w14:textId="77777777" w:rsidR="00A258C3" w:rsidRPr="00790ADA" w:rsidRDefault="00A258C3" w:rsidP="00441B6F">
      <w:pPr>
        <w:pStyle w:val="Author"/>
        <w:spacing w:line="240" w:lineRule="auto"/>
        <w:jc w:val="both"/>
        <w:rPr>
          <w:rFonts w:ascii="Arial" w:hAnsi="Arial" w:cs="Arial"/>
          <w:sz w:val="36"/>
        </w:rPr>
      </w:pPr>
    </w:p>
    <w:p w14:paraId="033E9420" w14:textId="4B5D91CB" w:rsidR="00FD033F" w:rsidRDefault="00FD033F" w:rsidP="00441B6F">
      <w:pPr>
        <w:pStyle w:val="Affiliation"/>
        <w:spacing w:after="0" w:line="240" w:lineRule="auto"/>
        <w:jc w:val="both"/>
        <w:rPr>
          <w:rFonts w:ascii="Arial" w:hAnsi="Arial" w:cs="Arial"/>
        </w:rPr>
      </w:pPr>
      <w:r>
        <w:rPr>
          <w:rFonts w:ascii="Arial" w:hAnsi="Arial" w:cs="Arial"/>
        </w:rPr>
        <w:t xml:space="preserve"> </w:t>
      </w: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D042DD" w:rsidP="00441B6F">
      <w:pPr>
        <w:pStyle w:val="Copyright"/>
        <w:spacing w:after="0" w:line="240" w:lineRule="auto"/>
        <w:jc w:val="both"/>
        <w:rPr>
          <w:rFonts w:ascii="Arial" w:hAnsi="Arial" w:cs="Arial"/>
        </w:rPr>
        <w:sectPr w:rsidR="00B01FCD" w:rsidRPr="00FB3A86" w:rsidSect="005D07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32180951" w:rsidR="00505F06" w:rsidRPr="00BA1B01" w:rsidRDefault="005659A4" w:rsidP="00CC1A17">
            <w:pPr>
              <w:pStyle w:val="Body"/>
              <w:spacing w:after="0"/>
              <w:rPr>
                <w:rFonts w:ascii="Arial" w:eastAsia="Calibri" w:hAnsi="Arial" w:cs="Arial"/>
                <w:szCs w:val="22"/>
              </w:rPr>
            </w:pPr>
            <w:r w:rsidRPr="005659A4">
              <w:rPr>
                <w:rFonts w:ascii="Arial" w:eastAsia="Calibri" w:hAnsi="Arial" w:cs="Arial"/>
                <w:szCs w:val="22"/>
              </w:rPr>
              <w:t>This study investigates the mentorship practices employed by automotive technology instructors to support female students in a male-dominated technical education program. The research aims to explore the mentorship strategies used by instructors to address gender dynamics, promote inclusivity, and enhance the academic and professional growth of female students. A qualitative design was adopted, focusing on a state university in Northern Philippines, with purposive sampling selecting five experienced automotive technology instructors. Data were collected through interviews and focus group discussions and analyzed using thematic analysis. The results highlight that mentorship in this program is intentionally gender-conscious, with instructors providing academic, emotional, and professional support to help female students overcome challenges like gender bias and self-doubt. Instructors create a safe, inclusive environment where female students receive encouragement, skill-based mentoring, and exposure to real-world industry opportunities. Despite the progress, challenges such as gender stereotyping and limited representation remain. The study concludes that gender-sensitive mentorship programs are vital in fostering female students’ confidence, technical competence, and success in automotive technology education. Based on these findings, it is recommended that academic institutions establish structured mentorship programs, offer gender-sensitivity training, and invite female industry role models to enhance the visibility and participation of women in automotive technology and related fields.</w:t>
            </w:r>
          </w:p>
        </w:tc>
      </w:tr>
    </w:tbl>
    <w:p w14:paraId="6559E3BE" w14:textId="77777777" w:rsidR="00636EB2" w:rsidRDefault="00636EB2" w:rsidP="00441B6F">
      <w:pPr>
        <w:pStyle w:val="Body"/>
        <w:spacing w:after="0"/>
        <w:rPr>
          <w:rFonts w:ascii="Arial" w:hAnsi="Arial" w:cs="Arial"/>
          <w:i/>
        </w:rPr>
      </w:pPr>
    </w:p>
    <w:p w14:paraId="52DF2596" w14:textId="20C41DBE" w:rsidR="00505F06"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726EFA" w:rsidRPr="00726EFA">
        <w:rPr>
          <w:rFonts w:ascii="Arial" w:hAnsi="Arial" w:cs="Arial"/>
          <w:i/>
        </w:rPr>
        <w:t>automotive technology, female students, gender equality, inclusivity, mentorship, male-dominated field</w:t>
      </w:r>
    </w:p>
    <w:p w14:paraId="62F5C9CF" w14:textId="77777777" w:rsidR="000D6621" w:rsidRPr="00A24E7E" w:rsidRDefault="000D6621" w:rsidP="00441B6F">
      <w:pPr>
        <w:pStyle w:val="Body"/>
        <w:spacing w:after="0"/>
        <w:rPr>
          <w:rFonts w:ascii="Arial" w:hAnsi="Arial" w:cs="Arial"/>
          <w:i/>
        </w:rPr>
      </w:pPr>
    </w:p>
    <w:p w14:paraId="55B1D956" w14:textId="255204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7C227956" w14:textId="68CF061E" w:rsidR="00FF2CC0" w:rsidRPr="00FF2CC0" w:rsidRDefault="00FF2CC0" w:rsidP="00FF2CC0">
      <w:pPr>
        <w:pStyle w:val="Body"/>
        <w:rPr>
          <w:rFonts w:ascii="Arial" w:hAnsi="Arial" w:cs="Arial"/>
        </w:rPr>
      </w:pPr>
      <w:r w:rsidRPr="00FF2CC0">
        <w:rPr>
          <w:rFonts w:ascii="Arial" w:hAnsi="Arial" w:cs="Arial"/>
        </w:rPr>
        <w:t xml:space="preserve">In many vocational and technical education programs, certain fields remain highly male-dominated, with automotive technology being a prominent example. Women and girls in these programs often encounter structural, cultural, and interpersonal challenges that hinder their entry, persistence, and success. In the automotive components manufacturing sector in South Africa, for instance, women make up about one-third of the workforce, but face significant barriers such as a lack of female role models, limited mentorship opportunities, and societal perceptions that women need to prove themselves more than their male counterparts (Zavala-Parrales et al., 2025). Additionally, female students in STEM fields in higher education are often perceived to receive less recognition from instructors, which can undermine their self-efficacy and reduce their interest in continuing in these programs (Li &amp; Singh, 2023). These challenges are compounded by ingrained cultural norms that reinforce </w:t>
      </w:r>
      <w:r w:rsidRPr="00FF2CC0">
        <w:rPr>
          <w:rFonts w:ascii="Arial" w:hAnsi="Arial" w:cs="Arial"/>
        </w:rPr>
        <w:lastRenderedPageBreak/>
        <w:t>gendered divisions of labor and discourage women from pursuing technical and mechanical fields.</w:t>
      </w:r>
    </w:p>
    <w:p w14:paraId="79AF20FD" w14:textId="6B8C5A74" w:rsidR="00FF2CC0" w:rsidRPr="00FF2CC0" w:rsidRDefault="00FF2CC0" w:rsidP="00FF2CC0">
      <w:pPr>
        <w:pStyle w:val="Body"/>
        <w:rPr>
          <w:rFonts w:ascii="Arial" w:hAnsi="Arial" w:cs="Arial"/>
        </w:rPr>
      </w:pPr>
      <w:r w:rsidRPr="00FF2CC0">
        <w:rPr>
          <w:rFonts w:ascii="Arial" w:hAnsi="Arial" w:cs="Arial"/>
        </w:rPr>
        <w:t>Mentorship has emerged as a critical strategy for supporting students from underrepresented groups, including women in male-dominated fields. By providing guidance, encouragement, and career insight, mentorship helps these students build confidence, navigate their educational paths, and develop professional identities. In the context of women in technology and engineering, mentorship programs focus on fostering trusted relationships, goal setting, constructive feedback, and industry networking opportunities (Jiménez et al., 2022). These programs emphasize the importance of a mentor’s role in helping mentees feel less isolated and more empowered to continue in their chosen fields. Evidence suggests that mentorship not only aids in academic achievement but also plays a key role in reducing dropout rates by improving students’ sense of belonging and resilience (</w:t>
      </w:r>
      <w:r w:rsidR="00F32787" w:rsidRPr="00F32787">
        <w:rPr>
          <w:rFonts w:ascii="Arial" w:hAnsi="Arial" w:cs="Arial"/>
        </w:rPr>
        <w:t>Dennehy and Dasgupta</w:t>
      </w:r>
      <w:r w:rsidR="00F32787">
        <w:rPr>
          <w:rFonts w:ascii="Arial" w:hAnsi="Arial" w:cs="Arial"/>
        </w:rPr>
        <w:t xml:space="preserve">, </w:t>
      </w:r>
      <w:r w:rsidR="00F32787" w:rsidRPr="00F32787">
        <w:rPr>
          <w:rFonts w:ascii="Arial" w:hAnsi="Arial" w:cs="Arial"/>
        </w:rPr>
        <w:t>2017</w:t>
      </w:r>
      <w:r w:rsidRPr="00FF2CC0">
        <w:rPr>
          <w:rFonts w:ascii="Arial" w:hAnsi="Arial" w:cs="Arial"/>
        </w:rPr>
        <w:t>).</w:t>
      </w:r>
    </w:p>
    <w:p w14:paraId="3CE894D6" w14:textId="18FE882A" w:rsidR="00FF2CC0" w:rsidRPr="00FF2CC0" w:rsidRDefault="00FF2CC0" w:rsidP="00FF2CC0">
      <w:pPr>
        <w:pStyle w:val="Body"/>
        <w:rPr>
          <w:rFonts w:ascii="Arial" w:hAnsi="Arial" w:cs="Arial"/>
        </w:rPr>
      </w:pPr>
      <w:r w:rsidRPr="00FF2CC0">
        <w:rPr>
          <w:rFonts w:ascii="Arial" w:hAnsi="Arial" w:cs="Arial"/>
        </w:rPr>
        <w:t>Despite the proven benefits of mentorship, the automotive technology education sector still faces a shortage of formal mentorship programs for female and minority students. A survey conducted at a U.S. institution found that 44.4% of female and Black students in an automotive technology program reported a need for stronger mentor relationships (Sikhosana et al., 2023). The absence of these support systems in automotive education highlights a critical gap in the retention strategies for underrepresented students. Research indicates that female students in these programs are particularly vulnerable to isolation, given the overwhelmingly male environment and the lack of professional female mentors. Yet, despite these challenges, there has been a noticeable increase in the number of women entering the automotive industry, with some organizations beginning to implement dedicated mentorship programs to support their careers.</w:t>
      </w:r>
    </w:p>
    <w:p w14:paraId="19115A7C" w14:textId="20918E71" w:rsidR="00FF2CC0" w:rsidRPr="00FF2CC0" w:rsidRDefault="00FF2CC0" w:rsidP="00FF2CC0">
      <w:pPr>
        <w:pStyle w:val="Body"/>
        <w:rPr>
          <w:rFonts w:ascii="Arial" w:hAnsi="Arial" w:cs="Arial"/>
        </w:rPr>
      </w:pPr>
      <w:r w:rsidRPr="00FF2CC0">
        <w:rPr>
          <w:rFonts w:ascii="Arial" w:hAnsi="Arial" w:cs="Arial"/>
        </w:rPr>
        <w:t>The lack of mentorship opportunities in automotive technology education presents a significant challenge to improving gender equity in the field. Research shows that mentorship not only enhances technical skills but also helps female students navigate the often challenging and unspoken norms of automotive shop culture. Mentors provide invaluable guidance on professional networks, work-life balance, and self-advocacy, enabling women to thrive in a male-dominated environment. By fostering a supportive and inclusive learning environment, mentorship programs contribute to increasing the retention rates of women students and help them build the confidence needed to pursue long-term careers in automotive technology (Macpherson, 2024).</w:t>
      </w:r>
    </w:p>
    <w:p w14:paraId="53BC3B9D" w14:textId="49C90949" w:rsidR="00B01FCD" w:rsidRDefault="00FF2CC0" w:rsidP="00FF2CC0">
      <w:pPr>
        <w:pStyle w:val="Body"/>
        <w:rPr>
          <w:rFonts w:ascii="Arial" w:hAnsi="Arial" w:cs="Arial"/>
        </w:rPr>
      </w:pPr>
      <w:r w:rsidRPr="00FF2CC0">
        <w:rPr>
          <w:rFonts w:ascii="Arial" w:hAnsi="Arial" w:cs="Arial"/>
        </w:rPr>
        <w:t>This study seeks to investigate the mentorship practices of automotive technology instructors of both genders and how gender dynamics influence their support for female students. By exploring the interactions between mentorship practices and gender dynamics, this research aims to better understand how these factors contribute to the retention and success of women in automotive technology education. The findings will inform the development of more effective support strategies and contribute to efforts to create a more gender-inclusive workforce in the automotive industry</w:t>
      </w:r>
      <w:r w:rsidR="000D6621" w:rsidRPr="000D6621">
        <w:rPr>
          <w:rFonts w:ascii="Arial" w:hAnsi="Arial" w:cs="Arial"/>
        </w:rPr>
        <w:t>.</w:t>
      </w:r>
    </w:p>
    <w:p w14:paraId="7FB0F326" w14:textId="4B8B3809" w:rsidR="00235276" w:rsidRPr="00235276" w:rsidRDefault="00235276" w:rsidP="00235276">
      <w:pPr>
        <w:pStyle w:val="Body"/>
        <w:rPr>
          <w:rFonts w:ascii="Arial" w:hAnsi="Arial" w:cs="Arial"/>
        </w:rPr>
      </w:pPr>
      <w:r w:rsidRPr="00235276">
        <w:rPr>
          <w:rFonts w:ascii="Arial" w:hAnsi="Arial" w:cs="Arial"/>
        </w:rPr>
        <w:t>This study aims to explore the mentorship approaches of automotive technology instructors in supporting female students within a male-dominated technical education environment. Specifically, it seeks to:</w:t>
      </w:r>
    </w:p>
    <w:p w14:paraId="6B23E6C7" w14:textId="77777777" w:rsidR="00235276" w:rsidRDefault="00235276" w:rsidP="00235276">
      <w:pPr>
        <w:pStyle w:val="Body"/>
        <w:numPr>
          <w:ilvl w:val="0"/>
          <w:numId w:val="32"/>
        </w:numPr>
        <w:rPr>
          <w:rFonts w:ascii="Arial" w:hAnsi="Arial" w:cs="Arial"/>
        </w:rPr>
      </w:pPr>
      <w:r w:rsidRPr="00235276">
        <w:rPr>
          <w:rFonts w:ascii="Arial" w:hAnsi="Arial" w:cs="Arial"/>
        </w:rPr>
        <w:t>Examine the mentorship practices employed by automotive technology instructors in guiding and supporting female students in a male-dominated academic program.</w:t>
      </w:r>
    </w:p>
    <w:p w14:paraId="3EA5CBE8" w14:textId="77777777" w:rsidR="00235276" w:rsidRDefault="00235276" w:rsidP="00235276">
      <w:pPr>
        <w:pStyle w:val="Body"/>
        <w:numPr>
          <w:ilvl w:val="0"/>
          <w:numId w:val="32"/>
        </w:numPr>
        <w:rPr>
          <w:rFonts w:ascii="Arial" w:hAnsi="Arial" w:cs="Arial"/>
        </w:rPr>
      </w:pPr>
      <w:r w:rsidRPr="00235276">
        <w:rPr>
          <w:rFonts w:ascii="Arial" w:hAnsi="Arial" w:cs="Arial"/>
        </w:rPr>
        <w:lastRenderedPageBreak/>
        <w:t>Identify the gender-sensitive strategies instructors use to promote inclusivity, equity, and positive learning experiences for women in automotive technology.</w:t>
      </w:r>
    </w:p>
    <w:p w14:paraId="2764E006" w14:textId="77777777" w:rsidR="00235276" w:rsidRDefault="00235276" w:rsidP="00235276">
      <w:pPr>
        <w:pStyle w:val="Body"/>
        <w:numPr>
          <w:ilvl w:val="0"/>
          <w:numId w:val="32"/>
        </w:numPr>
        <w:rPr>
          <w:rFonts w:ascii="Arial" w:hAnsi="Arial" w:cs="Arial"/>
        </w:rPr>
      </w:pPr>
      <w:r w:rsidRPr="00235276">
        <w:rPr>
          <w:rFonts w:ascii="Arial" w:hAnsi="Arial" w:cs="Arial"/>
        </w:rPr>
        <w:t>Determine the support strategies—academic, emotional, and professional—implemented by instructors to enhance female students’ confidence, participation, and skill development.</w:t>
      </w:r>
    </w:p>
    <w:p w14:paraId="7747D8DD" w14:textId="2B4983E5" w:rsidR="00790ADA" w:rsidRPr="00235276" w:rsidRDefault="00235276" w:rsidP="00F32787">
      <w:pPr>
        <w:pStyle w:val="Body"/>
        <w:numPr>
          <w:ilvl w:val="0"/>
          <w:numId w:val="32"/>
        </w:numPr>
        <w:spacing w:after="0"/>
        <w:rPr>
          <w:rFonts w:ascii="Arial" w:hAnsi="Arial" w:cs="Arial"/>
        </w:rPr>
      </w:pPr>
      <w:r w:rsidRPr="00235276">
        <w:rPr>
          <w:rFonts w:ascii="Arial" w:hAnsi="Arial" w:cs="Arial"/>
        </w:rPr>
        <w:t>Explore the challenges instructors encounter in mentoring and teaching female students in a traditionally male-centered technical field.</w:t>
      </w:r>
    </w:p>
    <w:p w14:paraId="04B90D97" w14:textId="77777777" w:rsidR="000D6621" w:rsidRDefault="000D6621" w:rsidP="00441B6F">
      <w:pPr>
        <w:pStyle w:val="Body"/>
        <w:spacing w:after="0"/>
        <w:rPr>
          <w:rFonts w:ascii="Arial" w:hAnsi="Arial" w:cs="Arial"/>
        </w:rPr>
      </w:pPr>
    </w:p>
    <w:p w14:paraId="7F17DFEB" w14:textId="77777777" w:rsidR="00F32787" w:rsidRPr="00FB3A86" w:rsidRDefault="00F32787"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694624C5" w14:textId="707D7F34" w:rsidR="00FC66E9" w:rsidRDefault="00726EFA" w:rsidP="00726EFA">
      <w:pPr>
        <w:pStyle w:val="Body"/>
        <w:rPr>
          <w:rFonts w:ascii="Arial" w:hAnsi="Arial" w:cs="Arial"/>
        </w:rPr>
      </w:pPr>
      <w:r w:rsidRPr="00726EFA">
        <w:rPr>
          <w:rFonts w:ascii="Arial" w:hAnsi="Arial" w:cs="Arial"/>
        </w:rPr>
        <w:t>This study uses a qualitative research design as it aims to explore and understand the lived experiences of female students in a male</w:t>
      </w:r>
      <w:r w:rsidRPr="00726EFA">
        <w:rPr>
          <w:rFonts w:ascii="Cambria Math" w:hAnsi="Cambria Math" w:cs="Cambria Math"/>
        </w:rPr>
        <w:t>‑</w:t>
      </w:r>
      <w:r w:rsidRPr="00726EFA">
        <w:rPr>
          <w:rFonts w:ascii="Arial" w:hAnsi="Arial" w:cs="Arial"/>
        </w:rPr>
        <w:t>dominated automotive technology program at a state university in Northern Philippines. It focuses on how instructors provide mentorship and support. Qualitative inquiry is most appropriate here, because the phenomena under investigation-mentorship relationships, gendered dynamics, instructor-student interactions- are contextual, complex, and meaning-rich, rather than easily quantifiable (Creswell &amp; Poth, 201</w:t>
      </w:r>
      <w:r w:rsidR="0011254B">
        <w:rPr>
          <w:rFonts w:ascii="Arial" w:hAnsi="Arial" w:cs="Arial"/>
        </w:rPr>
        <w:t>7</w:t>
      </w:r>
      <w:r w:rsidRPr="00726EFA">
        <w:rPr>
          <w:rFonts w:ascii="Arial" w:hAnsi="Arial" w:cs="Arial"/>
        </w:rPr>
        <w:t>). The research site selected for its appropriateness: it offers an automotive technology program with low female student representation and thus provides a relevant setting in which to investigate how mentorship and gender intersect in a technical field that has historically been dominated by men.</w:t>
      </w:r>
    </w:p>
    <w:p w14:paraId="76155071" w14:textId="73DCB1C0" w:rsidR="00726EFA" w:rsidRPr="00726EFA" w:rsidRDefault="00F32787" w:rsidP="00726EFA">
      <w:pPr>
        <w:pStyle w:val="Body"/>
        <w:rPr>
          <w:rFonts w:ascii="Arial" w:hAnsi="Arial" w:cs="Arial"/>
        </w:rPr>
      </w:pPr>
      <w:r w:rsidRPr="00F32787">
        <w:rPr>
          <w:rFonts w:ascii="Arial" w:hAnsi="Arial" w:cs="Arial"/>
        </w:rPr>
        <w:t xml:space="preserve">Within this setting, the study employed purposive sampling, a non-probability sampling technique in which individuals are deliberately selected for being especially information-rich in relation to the research focus (Ahmad &amp; Wilkins, 2024). A total </w:t>
      </w:r>
      <w:r w:rsidRPr="00D60608">
        <w:rPr>
          <w:rFonts w:ascii="Arial" w:hAnsi="Arial" w:cs="Arial"/>
        </w:rPr>
        <w:t>of five</w:t>
      </w:r>
      <w:r w:rsidRPr="00F32787">
        <w:rPr>
          <w:rFonts w:ascii="Arial" w:hAnsi="Arial" w:cs="Arial"/>
        </w:rPr>
        <w:t xml:space="preserve"> participants were chosen based on the following criteria: (1) they are college automotive instructors or professors (male or female); (2) they teach major subjects in automotive technology; and (3) they have at least three years of teaching experience. This sampling approach ensures that those most capable of providing deep, meaningful insights into the phenomenon are included, rather than selecting participants for statistical representativeness. Such a method aligns with qualitative research’s emphasis on transferability and depth of understanding over broad generalizability. To further ensure trustworthiness, the study incorporated member-checking, triangulation of multiple data sources, and the use of thick, contextual description</w:t>
      </w:r>
      <w:r w:rsidR="00726EFA" w:rsidRPr="00726EFA">
        <w:rPr>
          <w:rFonts w:ascii="Arial" w:hAnsi="Arial" w:cs="Arial"/>
        </w:rPr>
        <w:t>.</w:t>
      </w:r>
    </w:p>
    <w:p w14:paraId="06F4C39F" w14:textId="50F041A3" w:rsidR="00726EFA" w:rsidRPr="00726EFA" w:rsidRDefault="00726EFA" w:rsidP="00726EFA">
      <w:pPr>
        <w:pStyle w:val="Body"/>
        <w:rPr>
          <w:rFonts w:ascii="Arial" w:hAnsi="Arial" w:cs="Arial"/>
        </w:rPr>
      </w:pPr>
      <w:r w:rsidRPr="00726EFA">
        <w:rPr>
          <w:rFonts w:ascii="Arial" w:hAnsi="Arial" w:cs="Arial"/>
        </w:rPr>
        <w:t>In this study, thematic analysis is employed to systematically examine the qualitative data collected from female students and automotive technology instructors. Thematic analysis is particularly suitable because it allows the researcher to identify, analyze, and report patterns or themes within complex, context-rich data (Braun &amp; Clarke, 2006</w:t>
      </w:r>
      <w:r w:rsidR="00A3630E">
        <w:rPr>
          <w:rFonts w:ascii="Arial" w:hAnsi="Arial" w:cs="Arial"/>
        </w:rPr>
        <w:t xml:space="preserve">; </w:t>
      </w:r>
      <w:r w:rsidR="00A3630E" w:rsidRPr="00A3630E">
        <w:rPr>
          <w:rFonts w:ascii="Arial" w:hAnsi="Arial" w:cs="Arial"/>
        </w:rPr>
        <w:t>Nowell et al., 2017</w:t>
      </w:r>
      <w:r w:rsidRPr="00726EFA">
        <w:rPr>
          <w:rFonts w:ascii="Arial" w:hAnsi="Arial" w:cs="Arial"/>
        </w:rPr>
        <w:t>). Given the study’s focus on mentorship and gender in a male-dominated field, thematic analysis enables a nuanced exploration of participants’ experiences, perceptions, and interactions.</w:t>
      </w:r>
    </w:p>
    <w:p w14:paraId="090ACD09" w14:textId="2919D29D" w:rsidR="00726EFA" w:rsidRPr="00726EFA" w:rsidRDefault="00076898" w:rsidP="00726EFA">
      <w:pPr>
        <w:pStyle w:val="Body"/>
        <w:rPr>
          <w:rFonts w:ascii="Arial" w:hAnsi="Arial" w:cs="Arial"/>
        </w:rPr>
      </w:pPr>
      <w:r w:rsidRPr="00076898">
        <w:rPr>
          <w:rFonts w:ascii="Arial" w:hAnsi="Arial" w:cs="Arial"/>
        </w:rPr>
        <w:t xml:space="preserve">The process begins with data familiarization, where interview transcripts and focus group discussions are read repeatedly to immerse the researcher in the depth and nuances of participant experiences. This initial step aligns with </w:t>
      </w:r>
      <w:proofErr w:type="spellStart"/>
      <w:r w:rsidRPr="00076898">
        <w:rPr>
          <w:rFonts w:ascii="Arial" w:hAnsi="Arial" w:cs="Arial"/>
        </w:rPr>
        <w:t>Cernasev</w:t>
      </w:r>
      <w:proofErr w:type="spellEnd"/>
      <w:r w:rsidRPr="00076898">
        <w:rPr>
          <w:rFonts w:ascii="Arial" w:hAnsi="Arial" w:cs="Arial"/>
        </w:rPr>
        <w:t xml:space="preserve"> and Axon’s (2023) assertion that data immersion is crucial for understanding the subtleties in qualitative research. Next, initial codes are generated, capturing key aspects such as mentorship practices, challenges faced by female students, and instructor support strategies. These codes are then systematically organized into themes, reflecting broader patterns across the dataset, such as navigating gender bias, mentorship as empowerment, or institutional barriers to support. </w:t>
      </w:r>
      <w:r w:rsidRPr="00076898">
        <w:rPr>
          <w:rFonts w:ascii="Arial" w:hAnsi="Arial" w:cs="Arial"/>
        </w:rPr>
        <w:lastRenderedPageBreak/>
        <w:t xml:space="preserve">According to Jones (2022), thematic analysis involves interpreting these patterns to extract meaningful insights from the data. The themes are reviewed and refined to ensure they accurately represent the data, providing both depth and clarity. Finally, the themes are defined and named to convey the essence of the findings, with illustrative quotations from participants included to enhance the credibility and authenticity of the analysis, as emphasized by </w:t>
      </w:r>
      <w:proofErr w:type="spellStart"/>
      <w:r w:rsidRPr="00076898">
        <w:rPr>
          <w:rFonts w:ascii="Arial" w:hAnsi="Arial" w:cs="Arial"/>
        </w:rPr>
        <w:t>Cernasev</w:t>
      </w:r>
      <w:proofErr w:type="spellEnd"/>
      <w:r w:rsidRPr="00076898">
        <w:rPr>
          <w:rFonts w:ascii="Arial" w:hAnsi="Arial" w:cs="Arial"/>
        </w:rPr>
        <w:t xml:space="preserve"> and Axon (2023) in their overview of thematic analysis</w:t>
      </w:r>
      <w:r w:rsidR="00726EFA" w:rsidRPr="00726EFA">
        <w:rPr>
          <w:rFonts w:ascii="Arial" w:hAnsi="Arial" w:cs="Arial"/>
        </w:rPr>
        <w:t>.</w:t>
      </w:r>
    </w:p>
    <w:p w14:paraId="2847E48F" w14:textId="2F35E3FF" w:rsidR="00502516" w:rsidRDefault="00726EFA" w:rsidP="00726EFA">
      <w:pPr>
        <w:pStyle w:val="Body"/>
        <w:spacing w:after="0"/>
        <w:rPr>
          <w:rFonts w:ascii="Arial" w:hAnsi="Arial" w:cs="Arial"/>
        </w:rPr>
      </w:pPr>
      <w:r w:rsidRPr="00726EFA">
        <w:rPr>
          <w:rFonts w:ascii="Arial" w:hAnsi="Arial" w:cs="Arial"/>
        </w:rPr>
        <w:t>Using thematic analysis in this study allows for a detailed and systematic interpretation of qualitative data while remaining flexible enough to accommodate the diverse experiences of participants. It ensures that the voices of female students and instructors are foregrounded, revealing how mentorship operates in a male-dominated technical education context and highlighting factors that facilitate or hinder effective support.</w:t>
      </w:r>
    </w:p>
    <w:p w14:paraId="69181664" w14:textId="77777777" w:rsidR="002E0D56" w:rsidRDefault="002E0D56" w:rsidP="00441B6F">
      <w:pPr>
        <w:pStyle w:val="Body"/>
        <w:spacing w:after="0"/>
        <w:rPr>
          <w:rFonts w:ascii="Arial" w:hAnsi="Arial" w:cs="Arial"/>
        </w:rPr>
      </w:pPr>
    </w:p>
    <w:p w14:paraId="0BDE64F5" w14:textId="77777777" w:rsidR="000D6621" w:rsidRDefault="000D6621"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653D717B" w14:textId="6461D006" w:rsidR="00726EFA" w:rsidRPr="00726EFA" w:rsidRDefault="00726EFA" w:rsidP="00726EFA">
      <w:pPr>
        <w:pStyle w:val="Body"/>
        <w:rPr>
          <w:rFonts w:ascii="Arial" w:hAnsi="Arial" w:cs="Arial"/>
        </w:rPr>
      </w:pPr>
      <w:r w:rsidRPr="00726EFA">
        <w:rPr>
          <w:rFonts w:ascii="Arial" w:hAnsi="Arial" w:cs="Arial"/>
        </w:rPr>
        <w:t>This chapter showcases the findings of the study and interpretively discusses how automotive technology instructors support female students in a male-dominated field. The findings are categorized under headings that emanate from key themes derived through thematic analysis, which reflect participants' experiences, perceptions, and challenges related to navigating gendered dynamics within the program. Patterns, similarities, and contrasts with prior literature on mentorship, gender equity, and technical education are emphasized in the analysis of each theme. This discussion makes clear not only what the findings say about mentorship practices and student experiences but also how these insights directly inform the broader issues of gender inclusion, support strategies, and empowerment in technical fields traditionally dominated by men. Such an integrated approach allows the chapter to go beyond simply presenting data through interpreting its meaning, implication, and relevance for both theory and practice.</w:t>
      </w:r>
    </w:p>
    <w:p w14:paraId="01375D18" w14:textId="76FEC68F"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3.1 Mentorship Practices</w:t>
      </w:r>
    </w:p>
    <w:p w14:paraId="132C680C" w14:textId="5F3CD5C1" w:rsidR="00726EFA" w:rsidRPr="00726EFA" w:rsidRDefault="00726EFA" w:rsidP="00726EFA">
      <w:pPr>
        <w:pStyle w:val="Body"/>
        <w:rPr>
          <w:rFonts w:ascii="Arial" w:hAnsi="Arial" w:cs="Arial"/>
        </w:rPr>
      </w:pPr>
      <w:r w:rsidRPr="00726EFA">
        <w:rPr>
          <w:rFonts w:ascii="Arial" w:hAnsi="Arial" w:cs="Arial"/>
        </w:rPr>
        <w:t>The responses from automotive technology instructors indicate that mentorship in the program is intentional, supportive, and gender-conscious, even within a male-dominated context. Instructors emphasized providing hands-on guidance, supervision in laboratory tasks, and individualized coaching to ensure that female students feel included, capable, and respected. While instructors reported treating male and female students equally in terms of opportunities, they also acknowledged the importance of encouragement and confidence-building specifically for female students, reflecting an awareness of potential gender-based barriers in technical education.</w:t>
      </w:r>
    </w:p>
    <w:p w14:paraId="04D6CF95" w14:textId="7FDCAF6E" w:rsidR="00726EFA" w:rsidRPr="00726EFA" w:rsidRDefault="00726EFA" w:rsidP="00726EFA">
      <w:pPr>
        <w:pStyle w:val="Body"/>
        <w:rPr>
          <w:rFonts w:ascii="Arial" w:hAnsi="Arial" w:cs="Arial"/>
        </w:rPr>
      </w:pPr>
      <w:r w:rsidRPr="00726EFA">
        <w:rPr>
          <w:rFonts w:ascii="Arial" w:hAnsi="Arial" w:cs="Arial"/>
        </w:rPr>
        <w:t>These findings align with existing literature on mentorship and gender in STEM and technical fields, which highlights that female students often benefit from targeted support and validation in environments where they are underrepresented (</w:t>
      </w:r>
      <w:r w:rsidR="002A0F47" w:rsidRPr="002A0F47">
        <w:rPr>
          <w:rFonts w:ascii="Arial" w:hAnsi="Arial" w:cs="Arial"/>
        </w:rPr>
        <w:t>Charlesworth &amp; Banaji, 2019</w:t>
      </w:r>
      <w:r w:rsidRPr="00726EFA">
        <w:rPr>
          <w:rFonts w:ascii="Arial" w:hAnsi="Arial" w:cs="Arial"/>
        </w:rPr>
        <w:t>). By providing equal access to technical tasks and encouraging leadership roles, instructors are not only fostering skill development but also promoting self-efficacy and empowerment, which are critical for female students’ persistence and success in male-dominated domains (</w:t>
      </w:r>
      <w:r w:rsidR="00FC66E9" w:rsidRPr="00FC66E9">
        <w:rPr>
          <w:rFonts w:ascii="Arial" w:hAnsi="Arial" w:cs="Arial"/>
        </w:rPr>
        <w:t>Bandura et al.,</w:t>
      </w:r>
      <w:r w:rsidR="00FC66E9">
        <w:rPr>
          <w:rFonts w:ascii="Arial" w:hAnsi="Arial" w:cs="Arial"/>
        </w:rPr>
        <w:t xml:space="preserve"> </w:t>
      </w:r>
      <w:r w:rsidR="00FC66E9" w:rsidRPr="00FC66E9">
        <w:rPr>
          <w:rFonts w:ascii="Arial" w:hAnsi="Arial" w:cs="Arial"/>
        </w:rPr>
        <w:t>1999</w:t>
      </w:r>
      <w:r w:rsidRPr="00726EFA">
        <w:rPr>
          <w:rFonts w:ascii="Arial" w:hAnsi="Arial" w:cs="Arial"/>
        </w:rPr>
        <w:t>; Dennehy &amp; Dasgupta, 2017). Furthermore, the instructors’ emphasis on respect, inclusion, and hands-on mentorship demonstrates a commitment to inclusive pedagogy, which research shows is essential in reducing gender bias and creating a supportive learning environment in technical programs (</w:t>
      </w:r>
      <w:proofErr w:type="spellStart"/>
      <w:r w:rsidR="00FC66E9" w:rsidRPr="00FC66E9">
        <w:rPr>
          <w:rFonts w:ascii="Arial" w:hAnsi="Arial" w:cs="Arial"/>
        </w:rPr>
        <w:t>Ollrogge</w:t>
      </w:r>
      <w:proofErr w:type="spellEnd"/>
      <w:r w:rsidR="00FC66E9" w:rsidRPr="00FC66E9">
        <w:rPr>
          <w:rFonts w:ascii="Arial" w:hAnsi="Arial" w:cs="Arial"/>
        </w:rPr>
        <w:t xml:space="preserve"> et al., 2022</w:t>
      </w:r>
      <w:r w:rsidRPr="00726EFA">
        <w:rPr>
          <w:rFonts w:ascii="Arial" w:hAnsi="Arial" w:cs="Arial"/>
        </w:rPr>
        <w:t>).</w:t>
      </w:r>
    </w:p>
    <w:p w14:paraId="7E2100F4" w14:textId="3A0DB6F0" w:rsidR="00726EFA" w:rsidRPr="00726EFA" w:rsidRDefault="00726EFA" w:rsidP="00726EFA">
      <w:pPr>
        <w:pStyle w:val="Body"/>
        <w:rPr>
          <w:rFonts w:ascii="Arial" w:hAnsi="Arial" w:cs="Arial"/>
        </w:rPr>
      </w:pPr>
      <w:r w:rsidRPr="00726EFA">
        <w:rPr>
          <w:rFonts w:ascii="Arial" w:hAnsi="Arial" w:cs="Arial"/>
        </w:rPr>
        <w:t xml:space="preserve">The findings suggest that mentorship in the automotive technology program goes beyond technical instruction: it also involves social and psychological support that helps female </w:t>
      </w:r>
      <w:r w:rsidRPr="00726EFA">
        <w:rPr>
          <w:rFonts w:ascii="Arial" w:hAnsi="Arial" w:cs="Arial"/>
        </w:rPr>
        <w:lastRenderedPageBreak/>
        <w:t>students navigate a traditionally male-centered field while fostering competence, confidence, and leadership skills.</w:t>
      </w:r>
    </w:p>
    <w:p w14:paraId="395B441D" w14:textId="5D281ACC" w:rsidR="00726EFA" w:rsidRPr="00726EFA" w:rsidRDefault="00726EFA" w:rsidP="00726EFA">
      <w:pPr>
        <w:pStyle w:val="Body"/>
        <w:rPr>
          <w:rFonts w:ascii="Arial" w:hAnsi="Arial" w:cs="Arial"/>
        </w:rPr>
      </w:pPr>
      <w:r w:rsidRPr="00726EFA">
        <w:rPr>
          <w:rFonts w:ascii="Arial" w:hAnsi="Arial" w:cs="Arial"/>
        </w:rPr>
        <w:t>In addition, other findings reveal that instructors provide multidimensional support to their mentees, encompassing academic, emotional, and professional dimensions. Instructors provide clear instructions for students, hands-on practice, and guided supervision to gain competence and develop confidence in performing technical tasks, which is critical in the high-stakes, skill-intensive context of automotive technology. Emotionally, instructors focus on motivating students, listening to their concerns, and urging persistence in studies with emphasis on the challenges female students encounter within the male-dominated field. Professionally, mentorship encompasses teaching work ethics, safety practices, industry standards, and sharing real-world experiences, as well as facilitating exposure to industry opportunities and role models.</w:t>
      </w:r>
    </w:p>
    <w:p w14:paraId="2440DB70" w14:textId="5C63F0B4" w:rsidR="00726EFA" w:rsidRPr="00726EFA" w:rsidRDefault="00726EFA" w:rsidP="00726EFA">
      <w:pPr>
        <w:pStyle w:val="Body"/>
        <w:rPr>
          <w:rFonts w:ascii="Arial" w:hAnsi="Arial" w:cs="Arial"/>
        </w:rPr>
      </w:pPr>
      <w:r w:rsidRPr="00726EFA">
        <w:rPr>
          <w:rFonts w:ascii="Arial" w:hAnsi="Arial" w:cs="Arial"/>
        </w:rPr>
        <w:t>The holistic nature of this support resonates with research indicating that effective mentoring in the contexts of STEM and technical fields extends beyond skill instruction to include emotional and career guidance (</w:t>
      </w:r>
      <w:r w:rsidR="0011254B" w:rsidRPr="0011254B">
        <w:rPr>
          <w:rFonts w:ascii="Arial" w:hAnsi="Arial" w:cs="Arial"/>
        </w:rPr>
        <w:t>Rinfret et al., 2023</w:t>
      </w:r>
      <w:r w:rsidRPr="00726EFA">
        <w:rPr>
          <w:rFonts w:ascii="Arial" w:hAnsi="Arial" w:cs="Arial"/>
        </w:rPr>
        <w:t>; Dennehy &amp; Dasgupta, 2017). Such emotional support fosters increased self-efficacy and persistence, especially among underrepresented students navigating male-dominated environments (</w:t>
      </w:r>
      <w:r w:rsidR="002A0F47" w:rsidRPr="002A0F47">
        <w:rPr>
          <w:rFonts w:ascii="Arial" w:hAnsi="Arial" w:cs="Arial"/>
        </w:rPr>
        <w:t>Tanner, 2013</w:t>
      </w:r>
      <w:r w:rsidRPr="00726EFA">
        <w:rPr>
          <w:rFonts w:ascii="Arial" w:hAnsi="Arial" w:cs="Arial"/>
        </w:rPr>
        <w:t xml:space="preserve">). </w:t>
      </w:r>
      <w:r w:rsidR="00A3630E" w:rsidRPr="00A3630E">
        <w:rPr>
          <w:rFonts w:ascii="Arial" w:hAnsi="Arial" w:cs="Arial"/>
        </w:rPr>
        <w:t>A systematic review by Nabi et al. (2024) examining mentoring in higher education found that peer mentoring facilitates students' career development through enhancing career choice decisions, developing career planning skills, and supporting transitions from education into employment, thereby serving as a critical bridge between academic training and professional workforce entry</w:t>
      </w:r>
      <w:r w:rsidRPr="00726EFA">
        <w:rPr>
          <w:rFonts w:ascii="Arial" w:hAnsi="Arial" w:cs="Arial"/>
        </w:rPr>
        <w:t>. To be sure, this multidimensional support will grant female students the confidence, resilience, and readiness for professional success they need to realize their full potential and remain in a male-dominated career field.</w:t>
      </w:r>
    </w:p>
    <w:p w14:paraId="672F0E4F" w14:textId="7C4C870B"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3.2 Gender Awareness and Sensitivity</w:t>
      </w:r>
    </w:p>
    <w:p w14:paraId="52E5B242" w14:textId="14DD603F" w:rsidR="00726EFA" w:rsidRPr="00726EFA" w:rsidRDefault="00726EFA" w:rsidP="00726EFA">
      <w:pPr>
        <w:pStyle w:val="Body"/>
        <w:rPr>
          <w:rFonts w:ascii="Arial" w:hAnsi="Arial" w:cs="Arial"/>
        </w:rPr>
      </w:pPr>
      <w:r w:rsidRPr="00726EFA">
        <w:rPr>
          <w:rFonts w:ascii="Arial" w:hAnsi="Arial" w:cs="Arial"/>
        </w:rPr>
        <w:t>The responses indicate that gender-sensitive practices for instructors of automotive technology in their classroom and mentoring approaches include treating all students equally, being unbiased, and offering fairness in the task assignments and participation opportunities. Other strategies include facilitation of class discussions and examples that are inclusive of the input by both men and women in the automotive field and the challenges to traditional gender roles and stereotypes. Instructors create a learning environment that is safe, supportive, and respectful in which female students can build skills, confidence, and a sense of belonging in a male-dominated domain.</w:t>
      </w:r>
    </w:p>
    <w:p w14:paraId="4BDDA77C" w14:textId="28A7B21C" w:rsidR="00726EFA" w:rsidRPr="00726EFA" w:rsidRDefault="00726EFA" w:rsidP="00726EFA">
      <w:pPr>
        <w:pStyle w:val="Body"/>
        <w:rPr>
          <w:rFonts w:ascii="Arial" w:hAnsi="Arial" w:cs="Arial"/>
        </w:rPr>
      </w:pPr>
      <w:r w:rsidRPr="00726EFA">
        <w:rPr>
          <w:rFonts w:ascii="Arial" w:hAnsi="Arial" w:cs="Arial"/>
        </w:rPr>
        <w:t>These approaches are informed by studies indicating that gender-sensitive pedagogy is crucial in mitigating hidden biases, creating equal opportunities, and improving the representation of underrepresented groups in STEM and technical education (</w:t>
      </w:r>
      <w:proofErr w:type="spellStart"/>
      <w:r w:rsidR="00FC66E9" w:rsidRPr="00FC66E9">
        <w:rPr>
          <w:rFonts w:ascii="Arial" w:hAnsi="Arial" w:cs="Arial"/>
        </w:rPr>
        <w:t>Ollrogge</w:t>
      </w:r>
      <w:proofErr w:type="spellEnd"/>
      <w:r w:rsidR="00FC66E9" w:rsidRPr="00FC66E9">
        <w:rPr>
          <w:rFonts w:ascii="Arial" w:hAnsi="Arial" w:cs="Arial"/>
        </w:rPr>
        <w:t xml:space="preserve"> et al., 2022</w:t>
      </w:r>
      <w:r w:rsidRPr="00726EFA">
        <w:rPr>
          <w:rFonts w:ascii="Arial" w:hAnsi="Arial" w:cs="Arial"/>
        </w:rPr>
        <w:t xml:space="preserve">; </w:t>
      </w:r>
      <w:r w:rsidR="00A3630E" w:rsidRPr="00A3630E">
        <w:rPr>
          <w:rFonts w:ascii="Arial" w:hAnsi="Arial" w:cs="Arial"/>
        </w:rPr>
        <w:t>United Nations Educational, Scientific and Cultural Organization [UNESCO], 201</w:t>
      </w:r>
      <w:r w:rsidR="00A3630E">
        <w:rPr>
          <w:rFonts w:ascii="Arial" w:hAnsi="Arial" w:cs="Arial"/>
        </w:rPr>
        <w:t>7</w:t>
      </w:r>
      <w:r w:rsidRPr="00726EFA">
        <w:rPr>
          <w:rFonts w:ascii="Arial" w:hAnsi="Arial" w:cs="Arial"/>
        </w:rPr>
        <w:t>). Equal opportunities and consciously addressing stereotypes have eventually enhanced self-efficacy, engagement, and persistence for girl students studying traditionally male-dominated programs (</w:t>
      </w:r>
      <w:proofErr w:type="spellStart"/>
      <w:r w:rsidR="0011254B" w:rsidRPr="0011254B">
        <w:rPr>
          <w:rFonts w:ascii="Arial" w:hAnsi="Arial" w:cs="Arial"/>
        </w:rPr>
        <w:t>Kuteesa</w:t>
      </w:r>
      <w:proofErr w:type="spellEnd"/>
      <w:r w:rsidR="0011254B" w:rsidRPr="0011254B">
        <w:rPr>
          <w:rFonts w:ascii="Arial" w:hAnsi="Arial" w:cs="Arial"/>
        </w:rPr>
        <w:t xml:space="preserve"> et al., 2024</w:t>
      </w:r>
      <w:r w:rsidRPr="00726EFA">
        <w:rPr>
          <w:rFonts w:ascii="Arial" w:hAnsi="Arial" w:cs="Arial"/>
        </w:rPr>
        <w:t xml:space="preserve">; </w:t>
      </w:r>
      <w:r w:rsidR="002A0F47" w:rsidRPr="002A0F47">
        <w:rPr>
          <w:rFonts w:ascii="Arial" w:hAnsi="Arial" w:cs="Arial"/>
        </w:rPr>
        <w:t>Charlesworth &amp; Banaji, 2019</w:t>
      </w:r>
      <w:r w:rsidRPr="00726EFA">
        <w:rPr>
          <w:rFonts w:ascii="Arial" w:hAnsi="Arial" w:cs="Arial"/>
        </w:rPr>
        <w:t>). Inclusive teaching and mentorship, quite intentionally emphasized by the tutors, facilitate more than skill development; they further create an environment that allows equal opportunities for both male and female students to excel. In general, the findings are that both instructional and mentoring strategies have a clear integration of gender sensitivity, showing the commitment to equity, inclusivity, and empowerment in the automotive technology classroom.</w:t>
      </w:r>
    </w:p>
    <w:p w14:paraId="6EB6C5D5" w14:textId="0993CB46" w:rsidR="00726EFA" w:rsidRPr="00726EFA" w:rsidRDefault="00726EFA" w:rsidP="00726EFA">
      <w:pPr>
        <w:pStyle w:val="Body"/>
        <w:rPr>
          <w:rFonts w:ascii="Arial" w:hAnsi="Arial" w:cs="Arial"/>
        </w:rPr>
      </w:pPr>
      <w:r w:rsidRPr="00726EFA">
        <w:rPr>
          <w:rFonts w:ascii="Arial" w:hAnsi="Arial" w:cs="Arial"/>
        </w:rPr>
        <w:t xml:space="preserve">Also, results show that instructors have undergone training or seminars concerning gender equity and educational inclusion. It can thus be inferred from this that instructors are indeed </w:t>
      </w:r>
      <w:r w:rsidRPr="00726EFA">
        <w:rPr>
          <w:rFonts w:ascii="Arial" w:hAnsi="Arial" w:cs="Arial"/>
        </w:rPr>
        <w:lastRenderedPageBreak/>
        <w:t xml:space="preserve">aware of the need for sensitive teaching practices concerning gender and are aiming to enhance both their skills and knowledge in creating equitable learning environments. This could also help instructors to better identify and challenge biases, use more inclusive teaching methods, and provide effective support for underrepresented groups. It also coincides with what UNESCO </w:t>
      </w:r>
      <w:r w:rsidR="00FC66E9">
        <w:rPr>
          <w:rFonts w:ascii="Arial" w:hAnsi="Arial" w:cs="Arial"/>
        </w:rPr>
        <w:t>(</w:t>
      </w:r>
      <w:r w:rsidRPr="00726EFA">
        <w:rPr>
          <w:rFonts w:ascii="Arial" w:hAnsi="Arial" w:cs="Arial"/>
        </w:rPr>
        <w:t>2017</w:t>
      </w:r>
      <w:r w:rsidR="00FC66E9">
        <w:rPr>
          <w:rFonts w:ascii="Arial" w:hAnsi="Arial" w:cs="Arial"/>
        </w:rPr>
        <w:t>)</w:t>
      </w:r>
      <w:r w:rsidRPr="00726EFA">
        <w:rPr>
          <w:rFonts w:ascii="Arial" w:hAnsi="Arial" w:cs="Arial"/>
        </w:rPr>
        <w:t xml:space="preserve"> and </w:t>
      </w:r>
      <w:r w:rsidR="00FC66E9" w:rsidRPr="00FC66E9">
        <w:rPr>
          <w:rFonts w:ascii="Arial" w:hAnsi="Arial" w:cs="Arial"/>
        </w:rPr>
        <w:t>Ballantine et al.</w:t>
      </w:r>
      <w:r w:rsidR="00FC66E9">
        <w:rPr>
          <w:rFonts w:ascii="Arial" w:hAnsi="Arial" w:cs="Arial"/>
        </w:rPr>
        <w:t xml:space="preserve"> (</w:t>
      </w:r>
      <w:r w:rsidR="00FC66E9" w:rsidRPr="00FC66E9">
        <w:rPr>
          <w:rFonts w:ascii="Arial" w:hAnsi="Arial" w:cs="Arial"/>
        </w:rPr>
        <w:t>2018</w:t>
      </w:r>
      <w:r w:rsidR="00FC66E9">
        <w:rPr>
          <w:rFonts w:ascii="Arial" w:hAnsi="Arial" w:cs="Arial"/>
        </w:rPr>
        <w:t>)</w:t>
      </w:r>
      <w:r w:rsidRPr="00726EFA">
        <w:rPr>
          <w:rFonts w:ascii="Arial" w:hAnsi="Arial" w:cs="Arial"/>
        </w:rPr>
        <w:t xml:space="preserve"> had pointed out.</w:t>
      </w:r>
    </w:p>
    <w:p w14:paraId="7AE3ED7E" w14:textId="4D583761" w:rsidR="00726EFA" w:rsidRPr="00726EFA" w:rsidRDefault="00726EFA" w:rsidP="00726EFA">
      <w:pPr>
        <w:pStyle w:val="Body"/>
        <w:rPr>
          <w:rFonts w:ascii="Arial" w:hAnsi="Arial" w:cs="Arial"/>
        </w:rPr>
      </w:pPr>
      <w:r w:rsidRPr="00726EFA">
        <w:rPr>
          <w:rFonts w:ascii="Arial" w:hAnsi="Arial" w:cs="Arial"/>
        </w:rPr>
        <w:t xml:space="preserve">Research has shown that gender-in-service training for teachers enhances inclusivity in the classroom and students' performance, especially in male-dominated fields like automotive technology, by equipping teachers with tools necessary to foster equitable participation and promote confidence among female students. According to </w:t>
      </w:r>
      <w:proofErr w:type="spellStart"/>
      <w:r w:rsidR="00FC66E9" w:rsidRPr="00FC66E9">
        <w:rPr>
          <w:rFonts w:ascii="Arial" w:hAnsi="Arial" w:cs="Arial"/>
        </w:rPr>
        <w:t>Ollrogge</w:t>
      </w:r>
      <w:proofErr w:type="spellEnd"/>
      <w:r w:rsidR="00FC66E9" w:rsidRPr="00FC66E9">
        <w:rPr>
          <w:rFonts w:ascii="Arial" w:hAnsi="Arial" w:cs="Arial"/>
        </w:rPr>
        <w:t xml:space="preserve"> et al.</w:t>
      </w:r>
      <w:r w:rsidR="00FC66E9">
        <w:rPr>
          <w:rFonts w:ascii="Arial" w:hAnsi="Arial" w:cs="Arial"/>
        </w:rPr>
        <w:t xml:space="preserve"> (</w:t>
      </w:r>
      <w:r w:rsidR="00FC66E9" w:rsidRPr="00FC66E9">
        <w:rPr>
          <w:rFonts w:ascii="Arial" w:hAnsi="Arial" w:cs="Arial"/>
        </w:rPr>
        <w:t>2022</w:t>
      </w:r>
      <w:r w:rsidRPr="00726EFA">
        <w:rPr>
          <w:rFonts w:ascii="Arial" w:hAnsi="Arial" w:cs="Arial"/>
        </w:rPr>
        <w:t>) and</w:t>
      </w:r>
      <w:r w:rsidR="0011254B">
        <w:rPr>
          <w:rFonts w:ascii="Arial" w:hAnsi="Arial" w:cs="Arial"/>
        </w:rPr>
        <w:t xml:space="preserve"> </w:t>
      </w:r>
      <w:proofErr w:type="spellStart"/>
      <w:r w:rsidR="0011254B" w:rsidRPr="0011254B">
        <w:rPr>
          <w:rFonts w:ascii="Arial" w:hAnsi="Arial" w:cs="Arial"/>
        </w:rPr>
        <w:t>Kuteesa</w:t>
      </w:r>
      <w:proofErr w:type="spellEnd"/>
      <w:r w:rsidR="0011254B" w:rsidRPr="0011254B">
        <w:rPr>
          <w:rFonts w:ascii="Arial" w:hAnsi="Arial" w:cs="Arial"/>
        </w:rPr>
        <w:t xml:space="preserve"> et al.</w:t>
      </w:r>
      <w:r w:rsidR="0011254B">
        <w:rPr>
          <w:rFonts w:ascii="Arial" w:hAnsi="Arial" w:cs="Arial"/>
        </w:rPr>
        <w:t xml:space="preserve"> (</w:t>
      </w:r>
      <w:r w:rsidR="0011254B" w:rsidRPr="0011254B">
        <w:rPr>
          <w:rFonts w:ascii="Arial" w:hAnsi="Arial" w:cs="Arial"/>
        </w:rPr>
        <w:t>2024)</w:t>
      </w:r>
      <w:r w:rsidRPr="00726EFA">
        <w:rPr>
          <w:rFonts w:ascii="Arial" w:hAnsi="Arial" w:cs="Arial"/>
        </w:rPr>
        <w:t>, engagement with such workshops reflects a proactive approach to institutionalizing gender sensitivity within educational practices and hence is supportive and empowering for all students.</w:t>
      </w:r>
    </w:p>
    <w:p w14:paraId="26AEEB11" w14:textId="5CAF830C" w:rsidR="00235276" w:rsidRPr="00726EFA" w:rsidRDefault="00726EFA" w:rsidP="00726EFA">
      <w:pPr>
        <w:pStyle w:val="Body"/>
        <w:rPr>
          <w:rFonts w:ascii="Arial" w:hAnsi="Arial" w:cs="Arial"/>
        </w:rPr>
      </w:pPr>
      <w:r w:rsidRPr="00726EFA">
        <w:rPr>
          <w:rFonts w:ascii="Arial" w:hAnsi="Arial" w:cs="Arial"/>
        </w:rPr>
        <w:t>In sum, this finding underlines how continuous professional development plays a role in enhancing the capacities of instructors to mentor and teach inclusively, thus strengthening their ability to offer both academic and emotional support to female students within male-dominated programs.</w:t>
      </w:r>
    </w:p>
    <w:p w14:paraId="26D8AFEA" w14:textId="739DCDDE"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3.3 Support Strategies for Female Students</w:t>
      </w:r>
    </w:p>
    <w:p w14:paraId="79193358" w14:textId="7F8D6658" w:rsidR="00235276" w:rsidRPr="00235276" w:rsidRDefault="00235276" w:rsidP="00235276">
      <w:pPr>
        <w:pStyle w:val="Body"/>
        <w:rPr>
          <w:rFonts w:ascii="Arial" w:hAnsi="Arial" w:cs="Arial"/>
        </w:rPr>
      </w:pPr>
      <w:r w:rsidRPr="00235276">
        <w:rPr>
          <w:rFonts w:ascii="Arial" w:hAnsi="Arial" w:cs="Arial"/>
        </w:rPr>
        <w:t xml:space="preserve">The results show that confidence-building, guidance, and fair task assignment are the primary strategies instructors use to support female students in taking an active role in practical automotive activities. Instructors focus on step-by-step supervision, demonstrations of proper techniques, and meaningful task allocation to ensure female students feel competent, supported, and included. This is aligned with the framework suggested by Dennehy and Dasgupta (2017), which highlights that providing structured mentorship and regular positive reinforcement can enhance female students' self-efficacy in male-dominated fields. Additionally, public recognition of their progress, alongside the emphasis that technical skills are honed through practice rather than physical strength, further reinforces a positive and empowering learning environment. This approach supports the findings of </w:t>
      </w:r>
      <w:bookmarkStart w:id="0" w:name="_GoBack"/>
      <w:r w:rsidRPr="00235276">
        <w:rPr>
          <w:rFonts w:ascii="Arial" w:hAnsi="Arial" w:cs="Arial"/>
        </w:rPr>
        <w:t>Fig</w:t>
      </w:r>
      <w:bookmarkEnd w:id="0"/>
      <w:r w:rsidRPr="00235276">
        <w:rPr>
          <w:rFonts w:ascii="Arial" w:hAnsi="Arial" w:cs="Arial"/>
        </w:rPr>
        <w:t>ueroa and Lemus (20</w:t>
      </w:r>
      <w:r>
        <w:rPr>
          <w:rFonts w:ascii="Arial" w:hAnsi="Arial" w:cs="Arial"/>
        </w:rPr>
        <w:t>25</w:t>
      </w:r>
      <w:r w:rsidRPr="00235276">
        <w:rPr>
          <w:rFonts w:ascii="Arial" w:hAnsi="Arial" w:cs="Arial"/>
        </w:rPr>
        <w:t>), who argue that mentorship and recognition are critical in fostering a sense of belonging and competence among female students in technical courses. Moreover, these strategies contribute to challenging and reshaping traditional gender norms, fostering a more inclusive environment where female students feel equally valued.</w:t>
      </w:r>
    </w:p>
    <w:p w14:paraId="12AE2A2A" w14:textId="0C284BF6" w:rsidR="00235276" w:rsidRPr="00235276" w:rsidRDefault="00235276" w:rsidP="00235276">
      <w:pPr>
        <w:pStyle w:val="Body"/>
        <w:rPr>
          <w:rFonts w:ascii="Arial" w:hAnsi="Arial" w:cs="Arial"/>
        </w:rPr>
      </w:pPr>
      <w:r w:rsidRPr="00235276">
        <w:rPr>
          <w:rFonts w:ascii="Arial" w:hAnsi="Arial" w:cs="Arial"/>
        </w:rPr>
        <w:t xml:space="preserve">These strategies also align with existing literature on gender equity in male-dominated technical fields, which suggests that hands-on activities, consistent mentorship, and reinforcement are essential to improving female students' participation and self-efficacy. Research by </w:t>
      </w:r>
      <w:r w:rsidR="00FF2CC0" w:rsidRPr="00FF2CC0">
        <w:rPr>
          <w:rFonts w:ascii="Arial" w:hAnsi="Arial" w:cs="Arial"/>
        </w:rPr>
        <w:t>Ntombela et al. (2025)</w:t>
      </w:r>
      <w:r w:rsidRPr="00235276">
        <w:rPr>
          <w:rFonts w:ascii="Arial" w:hAnsi="Arial" w:cs="Arial"/>
        </w:rPr>
        <w:t xml:space="preserve"> supports the idea that equitable opportunities, coupled with proactive instructor guidance, help mitigate the impact of socialized gender norms that typically discourage women from engaging in physically oriented tasks. The active participation in practical activities, reinforced by instructor encouragement, significantly enhances not only the development of technical skills but also builds confidence and persistence among female students in STEM and technical courses (</w:t>
      </w:r>
      <w:proofErr w:type="spellStart"/>
      <w:r w:rsidRPr="00235276">
        <w:rPr>
          <w:rFonts w:ascii="Arial" w:hAnsi="Arial" w:cs="Arial"/>
        </w:rPr>
        <w:t>Diego.Geraldo</w:t>
      </w:r>
      <w:proofErr w:type="spellEnd"/>
      <w:r w:rsidRPr="00235276">
        <w:rPr>
          <w:rFonts w:ascii="Arial" w:hAnsi="Arial" w:cs="Arial"/>
        </w:rPr>
        <w:t>, 2023). These findings underscore the importance of creating an environment where female students feel empowered to embrace technical skills without the constraints of gendered expectations.</w:t>
      </w:r>
    </w:p>
    <w:p w14:paraId="354AF050" w14:textId="3991BABA" w:rsidR="00726EFA" w:rsidRPr="00FF2CC0" w:rsidRDefault="00235276" w:rsidP="00235276">
      <w:pPr>
        <w:pStyle w:val="Body"/>
        <w:rPr>
          <w:rFonts w:ascii="Arial" w:hAnsi="Arial" w:cs="Arial"/>
          <w:lang w:val="en-PH"/>
        </w:rPr>
      </w:pPr>
      <w:r w:rsidRPr="00235276">
        <w:rPr>
          <w:rFonts w:ascii="Arial" w:hAnsi="Arial" w:cs="Arial"/>
        </w:rPr>
        <w:t xml:space="preserve">Findings indicate that instructors intentionally foster an inclusive, hands-on learning environment that enables female students to develop technical competence and be recognized as capable contributors in a traditionally male-dominated career. This approach is consistent with the work of </w:t>
      </w:r>
      <w:r w:rsidR="00FF2CC0" w:rsidRPr="00FF2CC0">
        <w:rPr>
          <w:rFonts w:ascii="Arial" w:hAnsi="Arial" w:cs="Arial"/>
          <w:lang w:val="en-PH"/>
        </w:rPr>
        <w:t>Verdugo-Castro et al.</w:t>
      </w:r>
      <w:r w:rsidR="00FF2CC0">
        <w:rPr>
          <w:rFonts w:ascii="Arial" w:hAnsi="Arial" w:cs="Arial"/>
          <w:lang w:val="en-PH"/>
        </w:rPr>
        <w:t xml:space="preserve"> (</w:t>
      </w:r>
      <w:r w:rsidR="00FF2CC0" w:rsidRPr="00FF2CC0">
        <w:rPr>
          <w:rFonts w:ascii="Arial" w:hAnsi="Arial" w:cs="Arial"/>
          <w:lang w:val="en-PH"/>
        </w:rPr>
        <w:t>2023</w:t>
      </w:r>
      <w:r w:rsidRPr="00235276">
        <w:rPr>
          <w:rFonts w:ascii="Arial" w:hAnsi="Arial" w:cs="Arial"/>
        </w:rPr>
        <w:t xml:space="preserve">), who argue that female students </w:t>
      </w:r>
      <w:r w:rsidRPr="00235276">
        <w:rPr>
          <w:rFonts w:ascii="Arial" w:hAnsi="Arial" w:cs="Arial"/>
        </w:rPr>
        <w:lastRenderedPageBreak/>
        <w:t>in technical fields benefit from classroom environments that emphasize both skill development and social support. By reinforcing that competence is gained through practice and not determined by physical strength, instructors are able to break down barriers that might otherwise limit female participation in technical activities. These efforts contribute to a broader shift in educational practices aimed at promoting gender equity in STEM and technical education.</w:t>
      </w:r>
    </w:p>
    <w:p w14:paraId="16F20F99" w14:textId="63B30B18" w:rsidR="00726EFA" w:rsidRPr="00726EFA" w:rsidRDefault="00726EFA" w:rsidP="00726EFA">
      <w:pPr>
        <w:pStyle w:val="Body"/>
        <w:rPr>
          <w:rFonts w:ascii="Arial" w:hAnsi="Arial" w:cs="Arial"/>
          <w:b/>
          <w:bCs/>
          <w:sz w:val="22"/>
          <w:szCs w:val="22"/>
        </w:rPr>
      </w:pPr>
      <w:r w:rsidRPr="00726EFA">
        <w:rPr>
          <w:rFonts w:ascii="Arial" w:hAnsi="Arial" w:cs="Arial"/>
          <w:b/>
          <w:bCs/>
          <w:sz w:val="22"/>
          <w:szCs w:val="22"/>
        </w:rPr>
        <w:t>3.4 Challenges in Mentoring Female Students</w:t>
      </w:r>
    </w:p>
    <w:p w14:paraId="043BA34E" w14:textId="233C55AD" w:rsidR="00235276" w:rsidRPr="00235276" w:rsidRDefault="00235276" w:rsidP="00235276">
      <w:pPr>
        <w:pStyle w:val="Body"/>
        <w:rPr>
          <w:rFonts w:ascii="Arial" w:hAnsi="Arial" w:cs="Arial"/>
        </w:rPr>
      </w:pPr>
      <w:r w:rsidRPr="00235276">
        <w:rPr>
          <w:rFonts w:ascii="Arial" w:hAnsi="Arial" w:cs="Arial"/>
        </w:rPr>
        <w:t>The findings indicate that instructors face significant challenges related to gender dynamics and stereotypes when mentoring female students in a male-dominated automotive classroom. Key challenges include ensuring that male students treat their female classmates with respect and provide equal opportunities for participation. These findings are consistent with Dennehy and Dasgupta (2017), who discuss how gender bias in classroom dynamics can hinder female students’ involvement in technical fields. In addition, female students often experience self-doubt, hesitation, and a lower sense of confidence, likely stemming from the imbalance of gender representation or perceptions of the field as predominantly male. This aligns with the work of Charlesworth and Banaji (2019), who highlight how implicit bias and stereotypes can contribute to a lack of confidence among women in STEM, particularly in environments where they are outnumbered.</w:t>
      </w:r>
    </w:p>
    <w:p w14:paraId="0A8A7C3A" w14:textId="5A2D9F12" w:rsidR="00235276" w:rsidRPr="00235276" w:rsidRDefault="00235276" w:rsidP="00235276">
      <w:pPr>
        <w:pStyle w:val="Body"/>
        <w:rPr>
          <w:rFonts w:ascii="Arial" w:hAnsi="Arial" w:cs="Arial"/>
        </w:rPr>
      </w:pPr>
      <w:r w:rsidRPr="00235276">
        <w:rPr>
          <w:rFonts w:ascii="Arial" w:hAnsi="Arial" w:cs="Arial"/>
        </w:rPr>
        <w:t>In response, instructors employ a variety of strategies, including steady encouragement, hands-on practice, equitable distribution of tasks, and clear communication of respect expectations in the classroom. By creating a welcoming and supportive learning environment, instructors aim to minimize gender bias and ensure that both male and female students feel equally engaged and confident in their learning activities. Research by Tanner (2013) supports these strategies, emphasizing that an inclusive classroom environment not only boosts female students’ self-assurance but also encourages them to persist in STEM and technical courses. Additionally, gender-neutral teaching practices that avoid reinforcing stereotypes have been found to significantly enhance the experience of female students in male-dominated fields (</w:t>
      </w:r>
      <w:proofErr w:type="spellStart"/>
      <w:r w:rsidRPr="00235276">
        <w:rPr>
          <w:rFonts w:ascii="Arial" w:hAnsi="Arial" w:cs="Arial"/>
        </w:rPr>
        <w:t>Ollrogge</w:t>
      </w:r>
      <w:proofErr w:type="spellEnd"/>
      <w:r w:rsidRPr="00235276">
        <w:rPr>
          <w:rFonts w:ascii="Arial" w:hAnsi="Arial" w:cs="Arial"/>
        </w:rPr>
        <w:t xml:space="preserve"> et al., 2022). The intentional creation of an equitable learning environment where respect and equal treatment are prioritized further supports the development of female students’ confidence and engagement.</w:t>
      </w:r>
    </w:p>
    <w:p w14:paraId="42014235" w14:textId="311A54A2" w:rsidR="000D6621" w:rsidRDefault="00235276" w:rsidP="00235276">
      <w:pPr>
        <w:pStyle w:val="Body"/>
        <w:spacing w:after="0"/>
        <w:rPr>
          <w:rFonts w:ascii="Arial" w:hAnsi="Arial" w:cs="Arial"/>
        </w:rPr>
      </w:pPr>
      <w:r w:rsidRPr="00235276">
        <w:rPr>
          <w:rFonts w:ascii="Arial" w:hAnsi="Arial" w:cs="Arial"/>
        </w:rPr>
        <w:t>These findings are supported by previous research suggesting that effective mentorship in male-dominated fields must provide opportunities and strategies that help female students overcome stereotypes and build self-efficacy (</w:t>
      </w:r>
      <w:proofErr w:type="spellStart"/>
      <w:r w:rsidRPr="00235276">
        <w:rPr>
          <w:rFonts w:ascii="Arial" w:hAnsi="Arial" w:cs="Arial"/>
        </w:rPr>
        <w:t>Ollrogge</w:t>
      </w:r>
      <w:proofErr w:type="spellEnd"/>
      <w:r w:rsidRPr="00235276">
        <w:rPr>
          <w:rFonts w:ascii="Arial" w:hAnsi="Arial" w:cs="Arial"/>
        </w:rPr>
        <w:t xml:space="preserve"> et al., 2022; Dennehy &amp; Dasgupta, 2017). An inclusive classroom environment that fosters respect and engagement among all students has been shown to encourage female students to stay engaged in STEM and technical education pathways (Tanner, 2013; Charlesworth &amp; Banaji, 2019). Educators must therefore use diverse pedagogical and socio-emotional strategies that address not only skill development but also build confidence, inclusion, and mutual respect, thus promoting gender equity and ensuring that both male and female students can thrive in technical environment</w:t>
      </w:r>
      <w:r>
        <w:rPr>
          <w:rFonts w:ascii="Arial" w:hAnsi="Arial" w:cs="Arial"/>
        </w:rPr>
        <w:t>.</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2268FBB5" w14:textId="41DA0445" w:rsidR="00726EFA" w:rsidRDefault="00726EFA" w:rsidP="00726EFA">
      <w:pPr>
        <w:pStyle w:val="Body"/>
        <w:rPr>
          <w:rFonts w:ascii="Arial" w:hAnsi="Arial" w:cs="Arial"/>
        </w:rPr>
      </w:pPr>
      <w:r w:rsidRPr="00726EFA">
        <w:rPr>
          <w:rFonts w:ascii="Arial" w:hAnsi="Arial" w:cs="Arial"/>
        </w:rPr>
        <w:t xml:space="preserve">The study concludes that effective mentorship forms an important platform on which female students in automotive technology programs can be supported to surmount gender-related challenges and compete on an equal footing against their male colleagues. Instructors continue to demonstrate a strong sense of commitment to inclusivity through equal treatment, building confidence, and providing safe and supportive environments within which </w:t>
      </w:r>
      <w:r w:rsidRPr="00726EFA">
        <w:rPr>
          <w:rFonts w:ascii="Arial" w:hAnsi="Arial" w:cs="Arial"/>
        </w:rPr>
        <w:lastRenderedPageBreak/>
        <w:t>to learn. Challenges of gender stereotyping and self-doubt do occur; however, these are mitigated by encouragement, skill-based mentoring, and sensitivity to gender issues. The findings put emphasis on the structured nature of mentorship programs that include female role models, practical learning opportunities, and professional development to enhance women's participation and their connection with the field. After all, gender-sensitive mentorship will not only help female students gain technical skills and build confidence but also contribute to increased equity and inclusivity in technical education and the automotive industry.</w:t>
      </w:r>
    </w:p>
    <w:p w14:paraId="417AF29C" w14:textId="50FAA254" w:rsidR="00076898" w:rsidRPr="00076898" w:rsidRDefault="00F32787" w:rsidP="00726EFA">
      <w:pPr>
        <w:pStyle w:val="Body"/>
        <w:rPr>
          <w:rFonts w:ascii="Arial" w:hAnsi="Arial" w:cs="Arial"/>
          <w:b/>
          <w:bCs/>
        </w:rPr>
      </w:pPr>
      <w:r w:rsidRPr="00076898">
        <w:rPr>
          <w:rFonts w:ascii="Arial" w:hAnsi="Arial" w:cs="Arial"/>
          <w:b/>
          <w:bCs/>
        </w:rPr>
        <w:t>5. RECOMMENDATIONS</w:t>
      </w:r>
    </w:p>
    <w:p w14:paraId="11460B2D" w14:textId="4F917D74" w:rsidR="00E433C6" w:rsidRDefault="00726EFA" w:rsidP="00441B6F">
      <w:pPr>
        <w:pStyle w:val="Body"/>
        <w:spacing w:after="0"/>
        <w:rPr>
          <w:rFonts w:ascii="Arial" w:hAnsi="Arial" w:cs="Arial"/>
        </w:rPr>
      </w:pPr>
      <w:r w:rsidRPr="00726EFA">
        <w:rPr>
          <w:rFonts w:ascii="Arial" w:hAnsi="Arial" w:cs="Arial"/>
        </w:rPr>
        <w:t>Based on the research findings, it is recommended that academic institutions offering automotive technology programs develop structured and gender-responsive mentorship programs, composing both male and female mentors, for balanced guidance and representation. Schools should also invite successful women in the automotive industry as guest speakers or role models to inspire female students and promote their visibility within the field. Regular training on gender sensitivity and inclusivity should be conducted with faculty and students to eliminate stereotypes and maintain a respectful learning environment. Besides, institutions should create supportive, female-friendly training spaces and integrate confidence-building and leadership activities into the curriculum, strengthening students’ technical and interpersonal skills. Furthermore, schools should intensify collaboration with industry partners to ensure mentorship programs extend from the classroom to better equip and prepare female students to confidently pursue and succeed in professional careers in the automotive sector.</w:t>
      </w: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32995781" w:rsidR="001A29D8" w:rsidRPr="00EB342C" w:rsidRDefault="00032BED" w:rsidP="00441B6F">
      <w:pPr>
        <w:pStyle w:val="ReferHead"/>
        <w:spacing w:after="0"/>
        <w:jc w:val="both"/>
        <w:rPr>
          <w:rFonts w:ascii="Arial" w:hAnsi="Arial" w:cs="Arial"/>
          <w:b w:val="0"/>
          <w:caps w:val="0"/>
          <w:sz w:val="20"/>
        </w:rPr>
      </w:pPr>
      <w:r w:rsidRPr="00032BED">
        <w:rPr>
          <w:rFonts w:ascii="Arial" w:hAnsi="Arial" w:cs="Arial"/>
          <w:b w:val="0"/>
          <w:caps w:val="0"/>
          <w:sz w:val="20"/>
        </w:rPr>
        <w:t>Free, Prior, and Informed Consent (FPIC) was obtained from all participants before the commencement of the study. Respondents were fully informed about the purpose and procedures of the research, and their participation was entirely voluntary. They were assured that they could withdraw from the study at any point without any negative repercussions. All information gathered was treated with strict confidentiality; personal identifiers were removed, and data were securely stored to ensure privacy and prevent unauthorized access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180DF5F3" w:rsidR="005C784C" w:rsidRDefault="005C784C" w:rsidP="00441B6F">
      <w:pPr>
        <w:pStyle w:val="ReferHead"/>
        <w:spacing w:after="0"/>
        <w:jc w:val="both"/>
        <w:rPr>
          <w:rFonts w:ascii="Arial" w:hAnsi="Arial" w:cs="Arial"/>
          <w:bCs/>
        </w:rPr>
      </w:pPr>
      <w:r>
        <w:rPr>
          <w:rFonts w:ascii="Arial" w:hAnsi="Arial" w:cs="Arial"/>
          <w:bCs/>
        </w:rPr>
        <w:t>Ethical approval</w:t>
      </w:r>
    </w:p>
    <w:p w14:paraId="29604B9B" w14:textId="77777777" w:rsidR="005C784C" w:rsidRPr="002B685A" w:rsidRDefault="005C784C" w:rsidP="00441B6F">
      <w:pPr>
        <w:pStyle w:val="ReferHead"/>
        <w:spacing w:after="0"/>
        <w:jc w:val="both"/>
        <w:rPr>
          <w:rFonts w:ascii="Arial" w:hAnsi="Arial" w:cs="Arial"/>
          <w:bCs/>
        </w:rPr>
      </w:pPr>
    </w:p>
    <w:p w14:paraId="6E413E9D" w14:textId="1DA98432" w:rsidR="005C784C" w:rsidRDefault="00F32787" w:rsidP="00441B6F">
      <w:pPr>
        <w:pStyle w:val="ReferHead"/>
        <w:spacing w:after="0"/>
        <w:jc w:val="both"/>
        <w:rPr>
          <w:rFonts w:ascii="Arial" w:hAnsi="Arial" w:cs="Arial"/>
          <w:b w:val="0"/>
          <w:caps w:val="0"/>
          <w:sz w:val="20"/>
        </w:rPr>
      </w:pPr>
      <w:r w:rsidRPr="00F32787">
        <w:rPr>
          <w:rFonts w:ascii="Arial" w:hAnsi="Arial" w:cs="Arial"/>
          <w:b w:val="0"/>
          <w:caps w:val="0"/>
          <w:sz w:val="20"/>
        </w:rPr>
        <w:t>All procedures involving human participants in this study were carried out in compliance with the ethical standards set by the institutional and national research committees, as well as the 1964 Declaration of Helsinki and its subsequent amendments, or other equivalent ethical guidelines. In addition, written informed consent was obtained from all participants prior to their involvement in the study</w:t>
      </w:r>
      <w:r w:rsidR="008C0FA9" w:rsidRPr="008C0FA9">
        <w:rPr>
          <w:rFonts w:ascii="Arial" w:hAnsi="Arial" w:cs="Arial"/>
          <w:b w:val="0"/>
          <w:caps w:val="0"/>
          <w:sz w:val="20"/>
        </w:rPr>
        <w:t>.</w:t>
      </w:r>
    </w:p>
    <w:p w14:paraId="25AA517A" w14:textId="77777777" w:rsidR="00F32787" w:rsidRDefault="00F32787" w:rsidP="00441B6F">
      <w:pPr>
        <w:pStyle w:val="ReferHead"/>
        <w:spacing w:after="0"/>
        <w:jc w:val="both"/>
        <w:rPr>
          <w:rFonts w:ascii="Arial" w:hAnsi="Arial" w:cs="Arial"/>
          <w:b w:val="0"/>
          <w:caps w:val="0"/>
          <w:sz w:val="20"/>
        </w:rPr>
      </w:pPr>
    </w:p>
    <w:p w14:paraId="77856B55" w14:textId="77777777" w:rsidR="00F32787" w:rsidRDefault="00F32787" w:rsidP="00441B6F">
      <w:pPr>
        <w:pStyle w:val="ReferHead"/>
        <w:spacing w:after="0"/>
        <w:jc w:val="both"/>
        <w:rPr>
          <w:rFonts w:ascii="Arial" w:hAnsi="Arial" w:cs="Arial"/>
          <w:b w:val="0"/>
          <w:caps w:val="0"/>
          <w:sz w:val="20"/>
        </w:rPr>
      </w:pPr>
    </w:p>
    <w:p w14:paraId="2858C7F1" w14:textId="6F387C11" w:rsidR="00C120D4" w:rsidRPr="00F32787" w:rsidRDefault="00F32787" w:rsidP="00F32787">
      <w:pPr>
        <w:spacing w:after="240"/>
        <w:rPr>
          <w:rFonts w:ascii="Arial" w:hAnsi="Arial" w:cs="Arial"/>
          <w:b/>
          <w:bCs/>
          <w:sz w:val="22"/>
          <w:szCs w:val="22"/>
        </w:rPr>
      </w:pPr>
      <w:r w:rsidRPr="00F32787">
        <w:rPr>
          <w:rFonts w:ascii="Arial" w:hAnsi="Arial" w:cs="Arial"/>
          <w:b/>
          <w:bCs/>
          <w:sz w:val="22"/>
          <w:szCs w:val="22"/>
        </w:rPr>
        <w:t>DISCLAIMER (ARTIFICIAL INTELLIGENCE)</w:t>
      </w:r>
    </w:p>
    <w:p w14:paraId="26B7D84E" w14:textId="77777777" w:rsidR="00F32787" w:rsidRPr="00F32787" w:rsidRDefault="00F32787" w:rsidP="00F32787">
      <w:pPr>
        <w:jc w:val="both"/>
        <w:rPr>
          <w:rFonts w:ascii="Arial" w:eastAsia="Calibri" w:hAnsi="Arial" w:cs="Arial"/>
          <w:kern w:val="2"/>
        </w:rPr>
      </w:pPr>
      <w:r w:rsidRPr="00F32787">
        <w:rPr>
          <w:rFonts w:ascii="Arial" w:eastAsia="Calibri" w:hAnsi="Arial" w:cs="Arial"/>
          <w:kern w:val="2"/>
        </w:rPr>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F1DCB5" w14:textId="77777777" w:rsidR="00F32787" w:rsidRPr="00F32787" w:rsidRDefault="00F32787" w:rsidP="00F32787">
      <w:pPr>
        <w:jc w:val="both"/>
        <w:rPr>
          <w:rFonts w:ascii="Arial" w:eastAsia="Calibri" w:hAnsi="Arial" w:cs="Arial"/>
          <w:kern w:val="2"/>
        </w:rPr>
      </w:pPr>
    </w:p>
    <w:p w14:paraId="5AAD0AAE" w14:textId="77777777" w:rsidR="00F32787" w:rsidRPr="00F32787" w:rsidRDefault="00F32787" w:rsidP="00F32787">
      <w:pPr>
        <w:jc w:val="both"/>
        <w:rPr>
          <w:rFonts w:ascii="Arial" w:eastAsia="Calibri" w:hAnsi="Arial" w:cs="Arial"/>
          <w:kern w:val="2"/>
        </w:rPr>
      </w:pPr>
      <w:r w:rsidRPr="00F32787">
        <w:rPr>
          <w:rFonts w:ascii="Arial" w:eastAsia="Calibri" w:hAnsi="Arial" w:cs="Arial"/>
          <w:kern w:val="2"/>
        </w:rPr>
        <w:t>Details of the AI usage are given below:</w:t>
      </w:r>
    </w:p>
    <w:p w14:paraId="3B7FAA06" w14:textId="77777777" w:rsidR="00F32787" w:rsidRPr="00F32787" w:rsidRDefault="00F32787" w:rsidP="00F32787">
      <w:pPr>
        <w:jc w:val="both"/>
        <w:rPr>
          <w:rFonts w:ascii="Arial" w:eastAsia="Calibri" w:hAnsi="Arial" w:cs="Arial"/>
          <w:kern w:val="2"/>
        </w:rPr>
      </w:pPr>
    </w:p>
    <w:p w14:paraId="2BAA88D7" w14:textId="77777777" w:rsidR="00F32787" w:rsidRPr="00F32787" w:rsidRDefault="00F32787" w:rsidP="00F32787">
      <w:pPr>
        <w:numPr>
          <w:ilvl w:val="0"/>
          <w:numId w:val="33"/>
        </w:numPr>
        <w:spacing w:after="200" w:line="276" w:lineRule="auto"/>
        <w:ind w:left="540"/>
        <w:jc w:val="both"/>
        <w:rPr>
          <w:rFonts w:ascii="Arial" w:eastAsia="Calibri" w:hAnsi="Arial" w:cs="Arial"/>
          <w:kern w:val="2"/>
        </w:rPr>
      </w:pPr>
      <w:r w:rsidRPr="00F32787">
        <w:rPr>
          <w:rFonts w:ascii="Arial" w:eastAsia="Calibri" w:hAnsi="Arial" w:cs="Arial"/>
          <w:kern w:val="2"/>
        </w:rPr>
        <w:t>Version: GPT-5 Mini</w:t>
      </w:r>
    </w:p>
    <w:p w14:paraId="48505FB8" w14:textId="77777777" w:rsidR="00F32787" w:rsidRPr="00F32787" w:rsidRDefault="00F32787" w:rsidP="00F32787">
      <w:pPr>
        <w:numPr>
          <w:ilvl w:val="0"/>
          <w:numId w:val="33"/>
        </w:numPr>
        <w:spacing w:line="276" w:lineRule="auto"/>
        <w:ind w:left="540"/>
        <w:jc w:val="both"/>
        <w:rPr>
          <w:rFonts w:ascii="Arial" w:eastAsia="Calibri" w:hAnsi="Arial" w:cs="Arial"/>
          <w:kern w:val="2"/>
        </w:rPr>
      </w:pPr>
      <w:r w:rsidRPr="00F32787">
        <w:rPr>
          <w:rFonts w:ascii="Arial" w:eastAsia="Calibri" w:hAnsi="Arial" w:cs="Arial"/>
          <w:kern w:val="2"/>
        </w:rPr>
        <w:lastRenderedPageBreak/>
        <w:t>Purpose: Used as an English language and grammar critic to improve clarity, coherence, and readability of the manuscript.</w:t>
      </w:r>
    </w:p>
    <w:p w14:paraId="4F15D2F6" w14:textId="55282250" w:rsidR="00C120D4" w:rsidRPr="00F32787" w:rsidRDefault="00F32787" w:rsidP="00441B6F">
      <w:pPr>
        <w:numPr>
          <w:ilvl w:val="0"/>
          <w:numId w:val="33"/>
        </w:numPr>
        <w:spacing w:line="276" w:lineRule="auto"/>
        <w:ind w:left="540"/>
        <w:jc w:val="both"/>
        <w:rPr>
          <w:rFonts w:ascii="Arial" w:eastAsia="Calibri" w:hAnsi="Arial" w:cs="Arial"/>
          <w:kern w:val="2"/>
        </w:rPr>
      </w:pPr>
      <w:r w:rsidRPr="00F32787">
        <w:rPr>
          <w:rFonts w:ascii="Arial" w:eastAsia="Calibri" w:hAnsi="Arial" w:cs="Arial"/>
          <w:kern w:val="2"/>
        </w:rPr>
        <w:t>Prompt Used: The AI was tasked with reviewing and improving the manuscript's written sections, focusing on grammar, style, sentence structure, and professional tone, while ensuring the scientific content remained unchanged.</w:t>
      </w:r>
    </w:p>
    <w:p w14:paraId="5143A3F8" w14:textId="77777777" w:rsidR="00860000" w:rsidRPr="00F32787" w:rsidRDefault="00860000" w:rsidP="00441B6F">
      <w:pPr>
        <w:pStyle w:val="ReferHead"/>
        <w:spacing w:after="0"/>
        <w:jc w:val="both"/>
        <w:rPr>
          <w:rFonts w:ascii="Arial" w:hAnsi="Arial" w:cs="Arial"/>
          <w:sz w:val="20"/>
          <w:szCs w:val="18"/>
        </w:rPr>
      </w:pPr>
    </w:p>
    <w:p w14:paraId="1FD1B329" w14:textId="77777777" w:rsidR="00F32787" w:rsidRPr="00F32787" w:rsidRDefault="00F32787" w:rsidP="00441B6F">
      <w:pPr>
        <w:pStyle w:val="ReferHead"/>
        <w:spacing w:after="0"/>
        <w:jc w:val="both"/>
        <w:rPr>
          <w:rFonts w:ascii="Arial" w:hAnsi="Arial" w:cs="Arial"/>
          <w:sz w:val="20"/>
          <w:szCs w:val="18"/>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2042A6FA" w:rsidR="00EB342C" w:rsidRDefault="00EB342C" w:rsidP="00441B6F">
      <w:pPr>
        <w:pStyle w:val="Body"/>
        <w:spacing w:after="0"/>
      </w:pPr>
    </w:p>
    <w:p w14:paraId="2E81582F"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Ahmad, M., &amp; Wilkins, S. (2024). Purposive sampling in qualitative research: a framework for the entire journey. </w:t>
      </w:r>
      <w:r w:rsidRPr="00F32787">
        <w:rPr>
          <w:rFonts w:ascii="Arial" w:hAnsi="Arial" w:cs="Arial"/>
          <w:i/>
          <w:iCs/>
          <w:sz w:val="20"/>
          <w:szCs w:val="20"/>
        </w:rPr>
        <w:t>Quality &amp; Quantity</w:t>
      </w:r>
      <w:r w:rsidRPr="00F32787">
        <w:rPr>
          <w:rFonts w:ascii="Arial" w:hAnsi="Arial" w:cs="Arial"/>
          <w:sz w:val="20"/>
          <w:szCs w:val="20"/>
        </w:rPr>
        <w:t xml:space="preserve">, </w:t>
      </w:r>
      <w:r w:rsidRPr="00F32787">
        <w:rPr>
          <w:rFonts w:ascii="Arial" w:hAnsi="Arial" w:cs="Arial"/>
          <w:i/>
          <w:iCs/>
          <w:sz w:val="20"/>
          <w:szCs w:val="20"/>
        </w:rPr>
        <w:t>59</w:t>
      </w:r>
      <w:r w:rsidRPr="00F32787">
        <w:rPr>
          <w:rFonts w:ascii="Arial" w:hAnsi="Arial" w:cs="Arial"/>
          <w:sz w:val="20"/>
          <w:szCs w:val="20"/>
        </w:rPr>
        <w:t xml:space="preserve">(2), 1461–1479. </w:t>
      </w:r>
      <w:r w:rsidRPr="00F32787">
        <w:rPr>
          <w:rStyle w:val="url"/>
          <w:rFonts w:ascii="Arial" w:hAnsi="Arial" w:cs="Arial"/>
          <w:sz w:val="20"/>
          <w:szCs w:val="20"/>
        </w:rPr>
        <w:t>https://doi.org/10.1007/s11135-024-02022-5</w:t>
      </w:r>
    </w:p>
    <w:p w14:paraId="3320BECB"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Ballantine, J. H., Spade, J. Z., &amp; Stuber, J. M. (2018). </w:t>
      </w:r>
      <w:r w:rsidRPr="00F32787">
        <w:rPr>
          <w:rFonts w:ascii="Arial" w:hAnsi="Arial" w:cs="Arial"/>
          <w:i/>
          <w:iCs/>
          <w:sz w:val="20"/>
          <w:szCs w:val="20"/>
        </w:rPr>
        <w:t>Schools and Society: A Sociological Approach to Education</w:t>
      </w:r>
      <w:r w:rsidRPr="00F32787">
        <w:rPr>
          <w:rFonts w:ascii="Arial" w:hAnsi="Arial" w:cs="Arial"/>
          <w:sz w:val="20"/>
          <w:szCs w:val="20"/>
        </w:rPr>
        <w:t xml:space="preserve">. </w:t>
      </w:r>
      <w:r w:rsidRPr="00F32787">
        <w:rPr>
          <w:rStyle w:val="url"/>
          <w:rFonts w:ascii="Arial" w:hAnsi="Arial" w:cs="Arial"/>
          <w:sz w:val="20"/>
          <w:szCs w:val="20"/>
        </w:rPr>
        <w:t>https://doi.org/10.4135/9781071873212</w:t>
      </w:r>
    </w:p>
    <w:p w14:paraId="0A4442AC"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Bandura, A., Freeman, W. H., &amp; Lightsey, R. (1999). Self-Efficacy: the exercise of control. </w:t>
      </w:r>
      <w:r w:rsidRPr="00F32787">
        <w:rPr>
          <w:rFonts w:ascii="Arial" w:hAnsi="Arial" w:cs="Arial"/>
          <w:i/>
          <w:iCs/>
          <w:sz w:val="20"/>
          <w:szCs w:val="20"/>
        </w:rPr>
        <w:t>Journal of Cognitive Psychotherapy</w:t>
      </w:r>
      <w:r w:rsidRPr="00F32787">
        <w:rPr>
          <w:rFonts w:ascii="Arial" w:hAnsi="Arial" w:cs="Arial"/>
          <w:sz w:val="20"/>
          <w:szCs w:val="20"/>
        </w:rPr>
        <w:t xml:space="preserve">, </w:t>
      </w:r>
      <w:r w:rsidRPr="00F32787">
        <w:rPr>
          <w:rFonts w:ascii="Arial" w:hAnsi="Arial" w:cs="Arial"/>
          <w:i/>
          <w:iCs/>
          <w:sz w:val="20"/>
          <w:szCs w:val="20"/>
        </w:rPr>
        <w:t>13</w:t>
      </w:r>
      <w:r w:rsidRPr="00F32787">
        <w:rPr>
          <w:rFonts w:ascii="Arial" w:hAnsi="Arial" w:cs="Arial"/>
          <w:sz w:val="20"/>
          <w:szCs w:val="20"/>
        </w:rPr>
        <w:t xml:space="preserve">(2), 158–166. </w:t>
      </w:r>
      <w:r w:rsidRPr="00F32787">
        <w:rPr>
          <w:rStyle w:val="url"/>
          <w:rFonts w:ascii="Arial" w:hAnsi="Arial" w:cs="Arial"/>
          <w:sz w:val="20"/>
          <w:szCs w:val="20"/>
        </w:rPr>
        <w:t>https://doi.org/10.1891/0889-8391.13.2.158</w:t>
      </w:r>
    </w:p>
    <w:p w14:paraId="77BE7A8D"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Braun, V., &amp; Clarke, V. (2006). Using thematic analysis in psychology. </w:t>
      </w:r>
      <w:r w:rsidRPr="00F32787">
        <w:rPr>
          <w:rFonts w:ascii="Arial" w:hAnsi="Arial" w:cs="Arial"/>
          <w:i/>
          <w:iCs/>
          <w:sz w:val="20"/>
          <w:szCs w:val="20"/>
        </w:rPr>
        <w:t>Qualitative Research in Psychology</w:t>
      </w:r>
      <w:r w:rsidRPr="00F32787">
        <w:rPr>
          <w:rFonts w:ascii="Arial" w:hAnsi="Arial" w:cs="Arial"/>
          <w:sz w:val="20"/>
          <w:szCs w:val="20"/>
        </w:rPr>
        <w:t xml:space="preserve">, </w:t>
      </w:r>
      <w:r w:rsidRPr="00F32787">
        <w:rPr>
          <w:rFonts w:ascii="Arial" w:hAnsi="Arial" w:cs="Arial"/>
          <w:i/>
          <w:iCs/>
          <w:sz w:val="20"/>
          <w:szCs w:val="20"/>
        </w:rPr>
        <w:t>3</w:t>
      </w:r>
      <w:r w:rsidRPr="00F32787">
        <w:rPr>
          <w:rFonts w:ascii="Arial" w:hAnsi="Arial" w:cs="Arial"/>
          <w:sz w:val="20"/>
          <w:szCs w:val="20"/>
        </w:rPr>
        <w:t xml:space="preserve">(2), 77–101. </w:t>
      </w:r>
      <w:r w:rsidRPr="00F32787">
        <w:rPr>
          <w:rStyle w:val="url"/>
          <w:rFonts w:ascii="Arial" w:hAnsi="Arial" w:cs="Arial"/>
          <w:sz w:val="20"/>
          <w:szCs w:val="20"/>
        </w:rPr>
        <w:t>https://doi.org/10.1191/1478088706qp063oa</w:t>
      </w:r>
    </w:p>
    <w:p w14:paraId="61706AA8"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proofErr w:type="spellStart"/>
      <w:r w:rsidRPr="00F32787">
        <w:rPr>
          <w:rFonts w:ascii="Arial" w:hAnsi="Arial" w:cs="Arial"/>
          <w:sz w:val="20"/>
          <w:szCs w:val="20"/>
        </w:rPr>
        <w:t>Cernasev</w:t>
      </w:r>
      <w:proofErr w:type="spellEnd"/>
      <w:r w:rsidRPr="00F32787">
        <w:rPr>
          <w:rFonts w:ascii="Arial" w:hAnsi="Arial" w:cs="Arial"/>
          <w:sz w:val="20"/>
          <w:szCs w:val="20"/>
        </w:rPr>
        <w:t xml:space="preserve">, A., &amp; Axon, D. R. (2023). Research and scholarly methods: Thematic analysis. </w:t>
      </w:r>
      <w:r w:rsidRPr="00F32787">
        <w:rPr>
          <w:rFonts w:ascii="Arial" w:hAnsi="Arial" w:cs="Arial"/>
          <w:i/>
          <w:iCs/>
          <w:sz w:val="20"/>
          <w:szCs w:val="20"/>
        </w:rPr>
        <w:t>JACCP JOURNAL OF THE AMERICAN COLLEGE OF CLINICAL PHARMACY</w:t>
      </w:r>
      <w:r w:rsidRPr="00F32787">
        <w:rPr>
          <w:rFonts w:ascii="Arial" w:hAnsi="Arial" w:cs="Arial"/>
          <w:sz w:val="20"/>
          <w:szCs w:val="20"/>
        </w:rPr>
        <w:t xml:space="preserve">, </w:t>
      </w:r>
      <w:r w:rsidRPr="00F32787">
        <w:rPr>
          <w:rFonts w:ascii="Arial" w:hAnsi="Arial" w:cs="Arial"/>
          <w:i/>
          <w:iCs/>
          <w:sz w:val="20"/>
          <w:szCs w:val="20"/>
        </w:rPr>
        <w:t>6</w:t>
      </w:r>
      <w:r w:rsidRPr="00F32787">
        <w:rPr>
          <w:rFonts w:ascii="Arial" w:hAnsi="Arial" w:cs="Arial"/>
          <w:sz w:val="20"/>
          <w:szCs w:val="20"/>
        </w:rPr>
        <w:t xml:space="preserve">(7), 751–755. </w:t>
      </w:r>
      <w:r w:rsidRPr="00F32787">
        <w:rPr>
          <w:rStyle w:val="url"/>
          <w:rFonts w:ascii="Arial" w:hAnsi="Arial" w:cs="Arial"/>
          <w:sz w:val="20"/>
          <w:szCs w:val="20"/>
        </w:rPr>
        <w:t>https://doi.org/10.1002/jac5.1817</w:t>
      </w:r>
    </w:p>
    <w:p w14:paraId="30B89D8D"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Charlesworth, T. E., &amp; Banaji, M. R. (2019). Gender in science, Technology, engineering, and Mathematics: Issues, causes, solutions. </w:t>
      </w:r>
      <w:r w:rsidRPr="00F32787">
        <w:rPr>
          <w:rFonts w:ascii="Arial" w:hAnsi="Arial" w:cs="Arial"/>
          <w:i/>
          <w:iCs/>
          <w:sz w:val="20"/>
          <w:szCs w:val="20"/>
        </w:rPr>
        <w:t>Journal of Neuroscience</w:t>
      </w:r>
      <w:r w:rsidRPr="00F32787">
        <w:rPr>
          <w:rFonts w:ascii="Arial" w:hAnsi="Arial" w:cs="Arial"/>
          <w:sz w:val="20"/>
          <w:szCs w:val="20"/>
        </w:rPr>
        <w:t xml:space="preserve">, </w:t>
      </w:r>
      <w:r w:rsidRPr="00F32787">
        <w:rPr>
          <w:rFonts w:ascii="Arial" w:hAnsi="Arial" w:cs="Arial"/>
          <w:i/>
          <w:iCs/>
          <w:sz w:val="20"/>
          <w:szCs w:val="20"/>
        </w:rPr>
        <w:t>39</w:t>
      </w:r>
      <w:r w:rsidRPr="00F32787">
        <w:rPr>
          <w:rFonts w:ascii="Arial" w:hAnsi="Arial" w:cs="Arial"/>
          <w:sz w:val="20"/>
          <w:szCs w:val="20"/>
        </w:rPr>
        <w:t xml:space="preserve">(37), 7228–7243. </w:t>
      </w:r>
      <w:r w:rsidRPr="00F32787">
        <w:rPr>
          <w:rStyle w:val="url"/>
          <w:rFonts w:ascii="Arial" w:hAnsi="Arial" w:cs="Arial"/>
          <w:sz w:val="20"/>
          <w:szCs w:val="20"/>
        </w:rPr>
        <w:t>https://doi.org/10.1523/jneurosci.0475-18.2019</w:t>
      </w:r>
    </w:p>
    <w:p w14:paraId="358100FE"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Creswell, J. W., &amp; Poth, C. N. (2017). </w:t>
      </w:r>
      <w:r w:rsidRPr="00F32787">
        <w:rPr>
          <w:rFonts w:ascii="Arial" w:hAnsi="Arial" w:cs="Arial"/>
          <w:i/>
          <w:iCs/>
          <w:sz w:val="20"/>
          <w:szCs w:val="20"/>
        </w:rPr>
        <w:t xml:space="preserve">Qualitative Inquiry and research </w:t>
      </w:r>
      <w:proofErr w:type="gramStart"/>
      <w:r w:rsidRPr="00F32787">
        <w:rPr>
          <w:rFonts w:ascii="Arial" w:hAnsi="Arial" w:cs="Arial"/>
          <w:i/>
          <w:iCs/>
          <w:sz w:val="20"/>
          <w:szCs w:val="20"/>
        </w:rPr>
        <w:t>design :</w:t>
      </w:r>
      <w:proofErr w:type="gramEnd"/>
      <w:r w:rsidRPr="00F32787">
        <w:rPr>
          <w:rFonts w:ascii="Arial" w:hAnsi="Arial" w:cs="Arial"/>
          <w:i/>
          <w:iCs/>
          <w:sz w:val="20"/>
          <w:szCs w:val="20"/>
        </w:rPr>
        <w:t xml:space="preserve"> choosing among five approaches</w:t>
      </w:r>
      <w:r w:rsidRPr="00F32787">
        <w:rPr>
          <w:rFonts w:ascii="Arial" w:hAnsi="Arial" w:cs="Arial"/>
          <w:sz w:val="20"/>
          <w:szCs w:val="20"/>
        </w:rPr>
        <w:t xml:space="preserve">. </w:t>
      </w:r>
      <w:r w:rsidRPr="00F32787">
        <w:rPr>
          <w:rStyle w:val="url"/>
          <w:rFonts w:ascii="Arial" w:hAnsi="Arial" w:cs="Arial"/>
          <w:sz w:val="20"/>
          <w:szCs w:val="20"/>
        </w:rPr>
        <w:t>http://bvbr.bib-bvb.de:8991/F?func=service&amp;doc_library=BVB01&amp;doc_number=015659534&amp;line_number=0001&amp;func_code=DB_RECORDS&amp;service_type=MEDIA</w:t>
      </w:r>
    </w:p>
    <w:p w14:paraId="310FD0CA"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Dennehy, T. C., &amp; Dasgupta, N. (2017). Female peer mentors early in college increase women’s positive academic experiences and retention in engineering. </w:t>
      </w:r>
      <w:r w:rsidRPr="00F32787">
        <w:rPr>
          <w:rFonts w:ascii="Arial" w:hAnsi="Arial" w:cs="Arial"/>
          <w:i/>
          <w:iCs/>
          <w:sz w:val="20"/>
          <w:szCs w:val="20"/>
        </w:rPr>
        <w:t>Proceedings of the National Academy of Sciences</w:t>
      </w:r>
      <w:r w:rsidRPr="00F32787">
        <w:rPr>
          <w:rFonts w:ascii="Arial" w:hAnsi="Arial" w:cs="Arial"/>
          <w:sz w:val="20"/>
          <w:szCs w:val="20"/>
        </w:rPr>
        <w:t xml:space="preserve">, </w:t>
      </w:r>
      <w:r w:rsidRPr="00F32787">
        <w:rPr>
          <w:rFonts w:ascii="Arial" w:hAnsi="Arial" w:cs="Arial"/>
          <w:i/>
          <w:iCs/>
          <w:sz w:val="20"/>
          <w:szCs w:val="20"/>
        </w:rPr>
        <w:t>114</w:t>
      </w:r>
      <w:r w:rsidRPr="00F32787">
        <w:rPr>
          <w:rFonts w:ascii="Arial" w:hAnsi="Arial" w:cs="Arial"/>
          <w:sz w:val="20"/>
          <w:szCs w:val="20"/>
        </w:rPr>
        <w:t xml:space="preserve">(23), 5964–5969. </w:t>
      </w:r>
      <w:r w:rsidRPr="00F32787">
        <w:rPr>
          <w:rStyle w:val="url"/>
          <w:rFonts w:ascii="Arial" w:hAnsi="Arial" w:cs="Arial"/>
          <w:sz w:val="20"/>
          <w:szCs w:val="20"/>
        </w:rPr>
        <w:t>https://doi.org/10.1073/pnas.1613117114</w:t>
      </w:r>
    </w:p>
    <w:p w14:paraId="46C997EB"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proofErr w:type="spellStart"/>
      <w:r w:rsidRPr="00F32787">
        <w:rPr>
          <w:rFonts w:ascii="Arial" w:hAnsi="Arial" w:cs="Arial"/>
          <w:sz w:val="20"/>
          <w:szCs w:val="20"/>
        </w:rPr>
        <w:t>Diego.Geraldo</w:t>
      </w:r>
      <w:proofErr w:type="spellEnd"/>
      <w:r w:rsidRPr="00F32787">
        <w:rPr>
          <w:rFonts w:ascii="Arial" w:hAnsi="Arial" w:cs="Arial"/>
          <w:sz w:val="20"/>
          <w:szCs w:val="20"/>
        </w:rPr>
        <w:t xml:space="preserve">. (2023, October 2). Women in Leadership Positions | MIT Professional Education. </w:t>
      </w:r>
      <w:r w:rsidRPr="00F32787">
        <w:rPr>
          <w:rFonts w:ascii="Arial" w:hAnsi="Arial" w:cs="Arial"/>
          <w:i/>
          <w:iCs/>
          <w:sz w:val="20"/>
          <w:szCs w:val="20"/>
        </w:rPr>
        <w:t>MIT Professional Education</w:t>
      </w:r>
      <w:r w:rsidRPr="00F32787">
        <w:rPr>
          <w:rFonts w:ascii="Arial" w:hAnsi="Arial" w:cs="Arial"/>
          <w:sz w:val="20"/>
          <w:szCs w:val="20"/>
        </w:rPr>
        <w:t xml:space="preserve">. </w:t>
      </w:r>
      <w:r w:rsidRPr="00F32787">
        <w:rPr>
          <w:rStyle w:val="url"/>
          <w:rFonts w:ascii="Arial" w:hAnsi="Arial" w:cs="Arial"/>
          <w:sz w:val="20"/>
          <w:szCs w:val="20"/>
        </w:rPr>
        <w:t>https://professionalprograms.mit.edu/blog/leadership/the-gender-gap-in-stem/</w:t>
      </w:r>
    </w:p>
    <w:p w14:paraId="3ED5F79A"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Figueroa, C. J. P., &amp; Lemus, M. a. A. (2025). Mentoring women in STEM: empowering through social technologies for enhanced inclusivity and professional growth. A case </w:t>
      </w:r>
      <w:proofErr w:type="gramStart"/>
      <w:r w:rsidRPr="00F32787">
        <w:rPr>
          <w:rFonts w:ascii="Arial" w:hAnsi="Arial" w:cs="Arial"/>
          <w:sz w:val="20"/>
          <w:szCs w:val="20"/>
        </w:rPr>
        <w:t>study</w:t>
      </w:r>
      <w:proofErr w:type="gramEnd"/>
      <w:r w:rsidRPr="00F32787">
        <w:rPr>
          <w:rFonts w:ascii="Arial" w:hAnsi="Arial" w:cs="Arial"/>
          <w:sz w:val="20"/>
          <w:szCs w:val="20"/>
        </w:rPr>
        <w:t xml:space="preserve">. </w:t>
      </w:r>
      <w:r w:rsidRPr="00F32787">
        <w:rPr>
          <w:rFonts w:ascii="Arial" w:hAnsi="Arial" w:cs="Arial"/>
          <w:i/>
          <w:iCs/>
          <w:sz w:val="20"/>
          <w:szCs w:val="20"/>
        </w:rPr>
        <w:t>Frontiers in Education</w:t>
      </w:r>
      <w:r w:rsidRPr="00F32787">
        <w:rPr>
          <w:rFonts w:ascii="Arial" w:hAnsi="Arial" w:cs="Arial"/>
          <w:sz w:val="20"/>
          <w:szCs w:val="20"/>
        </w:rPr>
        <w:t xml:space="preserve">, </w:t>
      </w:r>
      <w:r w:rsidRPr="00F32787">
        <w:rPr>
          <w:rFonts w:ascii="Arial" w:hAnsi="Arial" w:cs="Arial"/>
          <w:i/>
          <w:iCs/>
          <w:sz w:val="20"/>
          <w:szCs w:val="20"/>
        </w:rPr>
        <w:t>10</w:t>
      </w:r>
      <w:r w:rsidRPr="00F32787">
        <w:rPr>
          <w:rFonts w:ascii="Arial" w:hAnsi="Arial" w:cs="Arial"/>
          <w:sz w:val="20"/>
          <w:szCs w:val="20"/>
        </w:rPr>
        <w:t xml:space="preserve">. </w:t>
      </w:r>
      <w:r w:rsidRPr="00F32787">
        <w:rPr>
          <w:rStyle w:val="url"/>
          <w:rFonts w:ascii="Arial" w:hAnsi="Arial" w:cs="Arial"/>
          <w:sz w:val="20"/>
          <w:szCs w:val="20"/>
        </w:rPr>
        <w:t>https://doi.org/10.3389/feduc.2025.1512143</w:t>
      </w:r>
    </w:p>
    <w:p w14:paraId="318891A2"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lastRenderedPageBreak/>
        <w:t xml:space="preserve">Jiménez, P., Pascual, J., &amp; Mejía, A. (2022). Mentoring female students in engineering as a way of caring. In </w:t>
      </w:r>
      <w:r w:rsidRPr="00F32787">
        <w:rPr>
          <w:rFonts w:ascii="Arial" w:hAnsi="Arial" w:cs="Arial"/>
          <w:i/>
          <w:iCs/>
          <w:sz w:val="20"/>
          <w:szCs w:val="20"/>
        </w:rPr>
        <w:t>Lecture notes in educational technology</w:t>
      </w:r>
      <w:r w:rsidRPr="00F32787">
        <w:rPr>
          <w:rFonts w:ascii="Arial" w:hAnsi="Arial" w:cs="Arial"/>
          <w:sz w:val="20"/>
          <w:szCs w:val="20"/>
        </w:rPr>
        <w:t xml:space="preserve"> (pp. 143–164). </w:t>
      </w:r>
      <w:r w:rsidRPr="00F32787">
        <w:rPr>
          <w:rStyle w:val="url"/>
          <w:rFonts w:ascii="Arial" w:hAnsi="Arial" w:cs="Arial"/>
          <w:sz w:val="20"/>
          <w:szCs w:val="20"/>
        </w:rPr>
        <w:t>https://doi.org/10.1007/978-981-19-1552-9_8</w:t>
      </w:r>
    </w:p>
    <w:p w14:paraId="5F47C0A7"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Jones, S. (2025, September 23). </w:t>
      </w:r>
      <w:r w:rsidRPr="00F32787">
        <w:rPr>
          <w:rFonts w:ascii="Arial" w:hAnsi="Arial" w:cs="Arial"/>
          <w:i/>
          <w:iCs/>
          <w:sz w:val="20"/>
          <w:szCs w:val="20"/>
        </w:rPr>
        <w:t xml:space="preserve">Interpreting Themes from Qualitative Data: Thematic Analysis — </w:t>
      </w:r>
      <w:proofErr w:type="spellStart"/>
      <w:r w:rsidRPr="00F32787">
        <w:rPr>
          <w:rFonts w:ascii="Arial" w:hAnsi="Arial" w:cs="Arial"/>
          <w:i/>
          <w:iCs/>
          <w:sz w:val="20"/>
          <w:szCs w:val="20"/>
        </w:rPr>
        <w:t>EVal</w:t>
      </w:r>
      <w:proofErr w:type="spellEnd"/>
      <w:r w:rsidRPr="00F32787">
        <w:rPr>
          <w:rFonts w:ascii="Arial" w:hAnsi="Arial" w:cs="Arial"/>
          <w:i/>
          <w:iCs/>
          <w:sz w:val="20"/>
          <w:szCs w:val="20"/>
        </w:rPr>
        <w:t xml:space="preserve"> Academy</w:t>
      </w:r>
      <w:r w:rsidRPr="00F32787">
        <w:rPr>
          <w:rFonts w:ascii="Arial" w:hAnsi="Arial" w:cs="Arial"/>
          <w:sz w:val="20"/>
          <w:szCs w:val="20"/>
        </w:rPr>
        <w:t xml:space="preserve">. Eval Academy. </w:t>
      </w:r>
      <w:r w:rsidRPr="00F32787">
        <w:rPr>
          <w:rStyle w:val="url"/>
          <w:rFonts w:ascii="Arial" w:hAnsi="Arial" w:cs="Arial"/>
          <w:sz w:val="20"/>
          <w:szCs w:val="20"/>
        </w:rPr>
        <w:t>https://www.evalacademy.com/articles/interpreting-themes-from-qualitative-data-thematic-analysis</w:t>
      </w:r>
    </w:p>
    <w:p w14:paraId="5EB6A779"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Killpack, T. L., &amp; </w:t>
      </w:r>
      <w:proofErr w:type="spellStart"/>
      <w:r w:rsidRPr="00F32787">
        <w:rPr>
          <w:rFonts w:ascii="Arial" w:hAnsi="Arial" w:cs="Arial"/>
          <w:sz w:val="20"/>
          <w:szCs w:val="20"/>
        </w:rPr>
        <w:t>Melón</w:t>
      </w:r>
      <w:proofErr w:type="spellEnd"/>
      <w:r w:rsidRPr="00F32787">
        <w:rPr>
          <w:rFonts w:ascii="Arial" w:hAnsi="Arial" w:cs="Arial"/>
          <w:sz w:val="20"/>
          <w:szCs w:val="20"/>
        </w:rPr>
        <w:t xml:space="preserve">, L. C. (2016). Toward inclusive STEM classrooms: What personal role do faculty play? </w:t>
      </w:r>
      <w:r w:rsidRPr="00F32787">
        <w:rPr>
          <w:rFonts w:ascii="Arial" w:hAnsi="Arial" w:cs="Arial"/>
          <w:i/>
          <w:iCs/>
          <w:sz w:val="20"/>
          <w:szCs w:val="20"/>
        </w:rPr>
        <w:t>CBE—Life Sciences Education</w:t>
      </w:r>
      <w:r w:rsidRPr="00F32787">
        <w:rPr>
          <w:rFonts w:ascii="Arial" w:hAnsi="Arial" w:cs="Arial"/>
          <w:sz w:val="20"/>
          <w:szCs w:val="20"/>
        </w:rPr>
        <w:t xml:space="preserve">, </w:t>
      </w:r>
      <w:r w:rsidRPr="00F32787">
        <w:rPr>
          <w:rFonts w:ascii="Arial" w:hAnsi="Arial" w:cs="Arial"/>
          <w:i/>
          <w:iCs/>
          <w:sz w:val="20"/>
          <w:szCs w:val="20"/>
        </w:rPr>
        <w:t>15</w:t>
      </w:r>
      <w:r w:rsidRPr="00F32787">
        <w:rPr>
          <w:rFonts w:ascii="Arial" w:hAnsi="Arial" w:cs="Arial"/>
          <w:sz w:val="20"/>
          <w:szCs w:val="20"/>
        </w:rPr>
        <w:t xml:space="preserve">(3), es3. </w:t>
      </w:r>
      <w:r w:rsidRPr="00F32787">
        <w:rPr>
          <w:rStyle w:val="url"/>
          <w:rFonts w:ascii="Arial" w:hAnsi="Arial" w:cs="Arial"/>
          <w:sz w:val="20"/>
          <w:szCs w:val="20"/>
        </w:rPr>
        <w:t>https://doi.org/10.1187/cbe.16-01-0020</w:t>
      </w:r>
    </w:p>
    <w:p w14:paraId="2043C0E0"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proofErr w:type="spellStart"/>
      <w:r w:rsidRPr="00F32787">
        <w:rPr>
          <w:rFonts w:ascii="Arial" w:hAnsi="Arial" w:cs="Arial"/>
          <w:sz w:val="20"/>
          <w:szCs w:val="20"/>
        </w:rPr>
        <w:t>Kuteesa</w:t>
      </w:r>
      <w:proofErr w:type="spellEnd"/>
      <w:r w:rsidRPr="00F32787">
        <w:rPr>
          <w:rFonts w:ascii="Arial" w:hAnsi="Arial" w:cs="Arial"/>
          <w:sz w:val="20"/>
          <w:szCs w:val="20"/>
        </w:rPr>
        <w:t xml:space="preserve">, N. K. N., </w:t>
      </w:r>
      <w:proofErr w:type="spellStart"/>
      <w:r w:rsidRPr="00F32787">
        <w:rPr>
          <w:rFonts w:ascii="Arial" w:hAnsi="Arial" w:cs="Arial"/>
          <w:sz w:val="20"/>
          <w:szCs w:val="20"/>
        </w:rPr>
        <w:t>Akpuokwe</w:t>
      </w:r>
      <w:proofErr w:type="spellEnd"/>
      <w:r w:rsidRPr="00F32787">
        <w:rPr>
          <w:rFonts w:ascii="Arial" w:hAnsi="Arial" w:cs="Arial"/>
          <w:sz w:val="20"/>
          <w:szCs w:val="20"/>
        </w:rPr>
        <w:t xml:space="preserve">, N. C. U., &amp; Udeh, N. C. A. (2024). GENDER EQUITY IN EDUCATION: ADDRESSING CHALLENGES AND PROMOTING OPPORTUNITIES FOR SOCIAL EMPOWERMENT. </w:t>
      </w:r>
      <w:r w:rsidRPr="00F32787">
        <w:rPr>
          <w:rFonts w:ascii="Arial" w:hAnsi="Arial" w:cs="Arial"/>
          <w:i/>
          <w:iCs/>
          <w:sz w:val="20"/>
          <w:szCs w:val="20"/>
        </w:rPr>
        <w:t>International Journal of Applied Research in Social Sciences</w:t>
      </w:r>
      <w:r w:rsidRPr="00F32787">
        <w:rPr>
          <w:rFonts w:ascii="Arial" w:hAnsi="Arial" w:cs="Arial"/>
          <w:sz w:val="20"/>
          <w:szCs w:val="20"/>
        </w:rPr>
        <w:t xml:space="preserve">, </w:t>
      </w:r>
      <w:r w:rsidRPr="00F32787">
        <w:rPr>
          <w:rFonts w:ascii="Arial" w:hAnsi="Arial" w:cs="Arial"/>
          <w:i/>
          <w:iCs/>
          <w:sz w:val="20"/>
          <w:szCs w:val="20"/>
        </w:rPr>
        <w:t>6</w:t>
      </w:r>
      <w:r w:rsidRPr="00F32787">
        <w:rPr>
          <w:rFonts w:ascii="Arial" w:hAnsi="Arial" w:cs="Arial"/>
          <w:sz w:val="20"/>
          <w:szCs w:val="20"/>
        </w:rPr>
        <w:t xml:space="preserve">(4), 631–641. </w:t>
      </w:r>
      <w:r w:rsidRPr="00F32787">
        <w:rPr>
          <w:rStyle w:val="url"/>
          <w:rFonts w:ascii="Arial" w:hAnsi="Arial" w:cs="Arial"/>
          <w:sz w:val="20"/>
          <w:szCs w:val="20"/>
        </w:rPr>
        <w:t>https://doi.org/10.51594/ijarss.v6i4.1034</w:t>
      </w:r>
    </w:p>
    <w:p w14:paraId="624B04C6"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Li, Y., &amp; Singh, C. (2023). Impact of perceived recognition by physics instructors on women’s self-efficacy and interest. </w:t>
      </w:r>
      <w:r w:rsidRPr="00F32787">
        <w:rPr>
          <w:rFonts w:ascii="Arial" w:hAnsi="Arial" w:cs="Arial"/>
          <w:i/>
          <w:iCs/>
          <w:sz w:val="20"/>
          <w:szCs w:val="20"/>
        </w:rPr>
        <w:t>Physical Review Physics Education Research</w:t>
      </w:r>
      <w:r w:rsidRPr="00F32787">
        <w:rPr>
          <w:rFonts w:ascii="Arial" w:hAnsi="Arial" w:cs="Arial"/>
          <w:sz w:val="20"/>
          <w:szCs w:val="20"/>
        </w:rPr>
        <w:t xml:space="preserve">, </w:t>
      </w:r>
      <w:r w:rsidRPr="00F32787">
        <w:rPr>
          <w:rFonts w:ascii="Arial" w:hAnsi="Arial" w:cs="Arial"/>
          <w:i/>
          <w:iCs/>
          <w:sz w:val="20"/>
          <w:szCs w:val="20"/>
        </w:rPr>
        <w:t>19</w:t>
      </w:r>
      <w:r w:rsidRPr="00F32787">
        <w:rPr>
          <w:rFonts w:ascii="Arial" w:hAnsi="Arial" w:cs="Arial"/>
          <w:sz w:val="20"/>
          <w:szCs w:val="20"/>
        </w:rPr>
        <w:t xml:space="preserve">(2). </w:t>
      </w:r>
      <w:r w:rsidRPr="00F32787">
        <w:rPr>
          <w:rStyle w:val="url"/>
          <w:rFonts w:ascii="Arial" w:hAnsi="Arial" w:cs="Arial"/>
          <w:sz w:val="20"/>
          <w:szCs w:val="20"/>
        </w:rPr>
        <w:t>https://doi.org/10.1103/physrevphyseducres.19.020125</w:t>
      </w:r>
    </w:p>
    <w:p w14:paraId="730310FE"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Macpherson, W. E. (2024). The adoption of talent retention strategies in Industry 4.0 automotive </w:t>
      </w:r>
      <w:proofErr w:type="spellStart"/>
      <w:r w:rsidRPr="00F32787">
        <w:rPr>
          <w:rFonts w:ascii="Arial" w:hAnsi="Arial" w:cs="Arial"/>
          <w:sz w:val="20"/>
          <w:szCs w:val="20"/>
        </w:rPr>
        <w:t>organisations</w:t>
      </w:r>
      <w:proofErr w:type="spellEnd"/>
      <w:r w:rsidRPr="00F32787">
        <w:rPr>
          <w:rFonts w:ascii="Arial" w:hAnsi="Arial" w:cs="Arial"/>
          <w:sz w:val="20"/>
          <w:szCs w:val="20"/>
        </w:rPr>
        <w:t xml:space="preserve">: Employees’ perspective. </w:t>
      </w:r>
      <w:r w:rsidRPr="00F32787">
        <w:rPr>
          <w:rFonts w:ascii="Arial" w:hAnsi="Arial" w:cs="Arial"/>
          <w:i/>
          <w:iCs/>
          <w:sz w:val="20"/>
          <w:szCs w:val="20"/>
        </w:rPr>
        <w:t>SA Journal of Human Resource Management</w:t>
      </w:r>
      <w:r w:rsidRPr="00F32787">
        <w:rPr>
          <w:rFonts w:ascii="Arial" w:hAnsi="Arial" w:cs="Arial"/>
          <w:sz w:val="20"/>
          <w:szCs w:val="20"/>
        </w:rPr>
        <w:t xml:space="preserve">, </w:t>
      </w:r>
      <w:r w:rsidRPr="00F32787">
        <w:rPr>
          <w:rFonts w:ascii="Arial" w:hAnsi="Arial" w:cs="Arial"/>
          <w:i/>
          <w:iCs/>
          <w:sz w:val="20"/>
          <w:szCs w:val="20"/>
        </w:rPr>
        <w:t>22</w:t>
      </w:r>
      <w:r w:rsidRPr="00F32787">
        <w:rPr>
          <w:rFonts w:ascii="Arial" w:hAnsi="Arial" w:cs="Arial"/>
          <w:sz w:val="20"/>
          <w:szCs w:val="20"/>
        </w:rPr>
        <w:t xml:space="preserve">. </w:t>
      </w:r>
      <w:r w:rsidRPr="00F32787">
        <w:rPr>
          <w:rStyle w:val="url"/>
          <w:rFonts w:ascii="Arial" w:hAnsi="Arial" w:cs="Arial"/>
          <w:sz w:val="20"/>
          <w:szCs w:val="20"/>
        </w:rPr>
        <w:t>https://doi.org/10.4102/sajhrm.v22i0.2789</w:t>
      </w:r>
    </w:p>
    <w:p w14:paraId="57AFE425"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Nabi, G., Walmsley, A., Mir, M., &amp; Osman, S. (2024). The impact of mentoring in higher education on student career development: a systematic review and research agenda. </w:t>
      </w:r>
      <w:r w:rsidRPr="00F32787">
        <w:rPr>
          <w:rFonts w:ascii="Arial" w:hAnsi="Arial" w:cs="Arial"/>
          <w:i/>
          <w:iCs/>
          <w:sz w:val="20"/>
          <w:szCs w:val="20"/>
        </w:rPr>
        <w:t>Studies in Higher Education</w:t>
      </w:r>
      <w:r w:rsidRPr="00F32787">
        <w:rPr>
          <w:rFonts w:ascii="Arial" w:hAnsi="Arial" w:cs="Arial"/>
          <w:sz w:val="20"/>
          <w:szCs w:val="20"/>
        </w:rPr>
        <w:t xml:space="preserve">, </w:t>
      </w:r>
      <w:r w:rsidRPr="00F32787">
        <w:rPr>
          <w:rFonts w:ascii="Arial" w:hAnsi="Arial" w:cs="Arial"/>
          <w:i/>
          <w:iCs/>
          <w:sz w:val="20"/>
          <w:szCs w:val="20"/>
        </w:rPr>
        <w:t>50</w:t>
      </w:r>
      <w:r w:rsidRPr="00F32787">
        <w:rPr>
          <w:rFonts w:ascii="Arial" w:hAnsi="Arial" w:cs="Arial"/>
          <w:sz w:val="20"/>
          <w:szCs w:val="20"/>
        </w:rPr>
        <w:t xml:space="preserve">(4), 739–755. </w:t>
      </w:r>
      <w:r w:rsidRPr="00F32787">
        <w:rPr>
          <w:rStyle w:val="url"/>
          <w:rFonts w:ascii="Arial" w:hAnsi="Arial" w:cs="Arial"/>
          <w:sz w:val="20"/>
          <w:szCs w:val="20"/>
        </w:rPr>
        <w:t>https://doi.org/10.1080/03075079.2024.2354894</w:t>
      </w:r>
    </w:p>
    <w:p w14:paraId="11D053A9"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Nowell, L. S., Norris, J. M., White, D. E., &amp; Moules, N. J. (2017). Thematic analysis. </w:t>
      </w:r>
      <w:r w:rsidRPr="00F32787">
        <w:rPr>
          <w:rFonts w:ascii="Arial" w:hAnsi="Arial" w:cs="Arial"/>
          <w:i/>
          <w:iCs/>
          <w:sz w:val="20"/>
          <w:szCs w:val="20"/>
        </w:rPr>
        <w:t>International Journal of Qualitative Methods</w:t>
      </w:r>
      <w:r w:rsidRPr="00F32787">
        <w:rPr>
          <w:rFonts w:ascii="Arial" w:hAnsi="Arial" w:cs="Arial"/>
          <w:sz w:val="20"/>
          <w:szCs w:val="20"/>
        </w:rPr>
        <w:t xml:space="preserve">, </w:t>
      </w:r>
      <w:r w:rsidRPr="00F32787">
        <w:rPr>
          <w:rFonts w:ascii="Arial" w:hAnsi="Arial" w:cs="Arial"/>
          <w:i/>
          <w:iCs/>
          <w:sz w:val="20"/>
          <w:szCs w:val="20"/>
        </w:rPr>
        <w:t>16</w:t>
      </w:r>
      <w:r w:rsidRPr="00F32787">
        <w:rPr>
          <w:rFonts w:ascii="Arial" w:hAnsi="Arial" w:cs="Arial"/>
          <w:sz w:val="20"/>
          <w:szCs w:val="20"/>
        </w:rPr>
        <w:t xml:space="preserve">(1). </w:t>
      </w:r>
      <w:r w:rsidRPr="00F32787">
        <w:rPr>
          <w:rStyle w:val="url"/>
          <w:rFonts w:ascii="Arial" w:hAnsi="Arial" w:cs="Arial"/>
          <w:sz w:val="20"/>
          <w:szCs w:val="20"/>
        </w:rPr>
        <w:t>https://doi.org/10.1177/1609406917733847</w:t>
      </w:r>
    </w:p>
    <w:p w14:paraId="0026234F"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Ntombela, B., </w:t>
      </w:r>
      <w:proofErr w:type="spellStart"/>
      <w:r w:rsidRPr="00F32787">
        <w:rPr>
          <w:rFonts w:ascii="Arial" w:hAnsi="Arial" w:cs="Arial"/>
          <w:sz w:val="20"/>
          <w:szCs w:val="20"/>
        </w:rPr>
        <w:t>Ramabodu</w:t>
      </w:r>
      <w:proofErr w:type="spellEnd"/>
      <w:r w:rsidRPr="00F32787">
        <w:rPr>
          <w:rFonts w:ascii="Arial" w:hAnsi="Arial" w:cs="Arial"/>
          <w:sz w:val="20"/>
          <w:szCs w:val="20"/>
        </w:rPr>
        <w:t xml:space="preserve">, M. S., &amp; Moloi, K. (2025). STRATEGIES FOR EMPOWERING AND RETAINING WOMEN IN SCIENCE, TECHNOLOGY, ENGINEERING, AND MATHEMATICS (STEM) FIELDS: A SYSTEMATIC LITERATURE REVIEW. </w:t>
      </w:r>
      <w:proofErr w:type="spellStart"/>
      <w:r w:rsidRPr="00F32787">
        <w:rPr>
          <w:rFonts w:ascii="Arial" w:hAnsi="Arial" w:cs="Arial"/>
          <w:i/>
          <w:iCs/>
          <w:sz w:val="20"/>
          <w:szCs w:val="20"/>
        </w:rPr>
        <w:t>Zenodo</w:t>
      </w:r>
      <w:proofErr w:type="spellEnd"/>
      <w:r w:rsidRPr="00F32787">
        <w:rPr>
          <w:rFonts w:ascii="Arial" w:hAnsi="Arial" w:cs="Arial"/>
          <w:i/>
          <w:iCs/>
          <w:sz w:val="20"/>
          <w:szCs w:val="20"/>
        </w:rPr>
        <w:t xml:space="preserve"> (CERN European Organization for Nuclear Research)</w:t>
      </w:r>
      <w:r w:rsidRPr="00F32787">
        <w:rPr>
          <w:rFonts w:ascii="Arial" w:hAnsi="Arial" w:cs="Arial"/>
          <w:sz w:val="20"/>
          <w:szCs w:val="20"/>
        </w:rPr>
        <w:t xml:space="preserve">. </w:t>
      </w:r>
      <w:r w:rsidRPr="00F32787">
        <w:rPr>
          <w:rStyle w:val="url"/>
          <w:rFonts w:ascii="Arial" w:hAnsi="Arial" w:cs="Arial"/>
          <w:sz w:val="20"/>
          <w:szCs w:val="20"/>
        </w:rPr>
        <w:t>https://doi.org/10.5281/zenodo.14619785</w:t>
      </w:r>
    </w:p>
    <w:p w14:paraId="522547EB"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Ollrogge, K., Roswag, M., &amp; Hannover, B. (2022). What makes the pipeline leak? Women’s gender-based rejection sensitivity and men’s hostile sexism as predictors of expectations of success for their own and the respective other gender group. </w:t>
      </w:r>
      <w:r w:rsidRPr="00F32787">
        <w:rPr>
          <w:rFonts w:ascii="Arial" w:hAnsi="Arial" w:cs="Arial"/>
          <w:i/>
          <w:iCs/>
          <w:sz w:val="20"/>
          <w:szCs w:val="20"/>
        </w:rPr>
        <w:t>Frontiers in Psychology</w:t>
      </w:r>
      <w:r w:rsidRPr="00F32787">
        <w:rPr>
          <w:rFonts w:ascii="Arial" w:hAnsi="Arial" w:cs="Arial"/>
          <w:sz w:val="20"/>
          <w:szCs w:val="20"/>
        </w:rPr>
        <w:t xml:space="preserve">, </w:t>
      </w:r>
      <w:r w:rsidRPr="00F32787">
        <w:rPr>
          <w:rFonts w:ascii="Arial" w:hAnsi="Arial" w:cs="Arial"/>
          <w:i/>
          <w:iCs/>
          <w:sz w:val="20"/>
          <w:szCs w:val="20"/>
        </w:rPr>
        <w:t>13–2022</w:t>
      </w:r>
      <w:r w:rsidRPr="00F32787">
        <w:rPr>
          <w:rFonts w:ascii="Arial" w:hAnsi="Arial" w:cs="Arial"/>
          <w:sz w:val="20"/>
          <w:szCs w:val="20"/>
        </w:rPr>
        <w:t xml:space="preserve">. </w:t>
      </w:r>
      <w:r w:rsidRPr="00F32787">
        <w:rPr>
          <w:rStyle w:val="url"/>
          <w:rFonts w:ascii="Arial" w:hAnsi="Arial" w:cs="Arial"/>
          <w:sz w:val="20"/>
          <w:szCs w:val="20"/>
        </w:rPr>
        <w:t>https://doi.org/10.3389/fpsyg.2022.800120</w:t>
      </w:r>
    </w:p>
    <w:p w14:paraId="7B44E161"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Rinfret, S. R., Young, S. L., &amp; McDonald, B. D. (2023). The importance of mentorship in higher education: An introduction to the symposium. </w:t>
      </w:r>
      <w:r w:rsidRPr="00F32787">
        <w:rPr>
          <w:rFonts w:ascii="Arial" w:hAnsi="Arial" w:cs="Arial"/>
          <w:i/>
          <w:iCs/>
          <w:sz w:val="20"/>
          <w:szCs w:val="20"/>
        </w:rPr>
        <w:t>Journal of Public Affairs Education</w:t>
      </w:r>
      <w:r w:rsidRPr="00F32787">
        <w:rPr>
          <w:rFonts w:ascii="Arial" w:hAnsi="Arial" w:cs="Arial"/>
          <w:sz w:val="20"/>
          <w:szCs w:val="20"/>
        </w:rPr>
        <w:t xml:space="preserve">, </w:t>
      </w:r>
      <w:r w:rsidRPr="00F32787">
        <w:rPr>
          <w:rFonts w:ascii="Arial" w:hAnsi="Arial" w:cs="Arial"/>
          <w:i/>
          <w:iCs/>
          <w:sz w:val="20"/>
          <w:szCs w:val="20"/>
        </w:rPr>
        <w:t>29</w:t>
      </w:r>
      <w:r w:rsidRPr="00F32787">
        <w:rPr>
          <w:rFonts w:ascii="Arial" w:hAnsi="Arial" w:cs="Arial"/>
          <w:sz w:val="20"/>
          <w:szCs w:val="20"/>
        </w:rPr>
        <w:t xml:space="preserve">(4), 398–403. </w:t>
      </w:r>
      <w:r w:rsidRPr="00F32787">
        <w:rPr>
          <w:rStyle w:val="url"/>
          <w:rFonts w:ascii="Arial" w:hAnsi="Arial" w:cs="Arial"/>
          <w:sz w:val="20"/>
          <w:szCs w:val="20"/>
        </w:rPr>
        <w:t>https://doi.org/10.1080/15236803.2023.2260947</w:t>
      </w:r>
    </w:p>
    <w:p w14:paraId="1C873AC1"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Sikhosana, H., Malatji, H., &amp; Munyoro, A. (2023). Experiences and challenges of black women enrolled in a STEM field in a South African urban university: A </w:t>
      </w:r>
      <w:r w:rsidRPr="00F32787">
        <w:rPr>
          <w:rFonts w:ascii="Arial" w:hAnsi="Arial" w:cs="Arial"/>
          <w:sz w:val="20"/>
          <w:szCs w:val="20"/>
        </w:rPr>
        <w:lastRenderedPageBreak/>
        <w:t xml:space="preserve">qualitative study. </w:t>
      </w:r>
      <w:r w:rsidRPr="00F32787">
        <w:rPr>
          <w:rFonts w:ascii="Arial" w:hAnsi="Arial" w:cs="Arial"/>
          <w:i/>
          <w:iCs/>
          <w:sz w:val="20"/>
          <w:szCs w:val="20"/>
        </w:rPr>
        <w:t>Cogent Education</w:t>
      </w:r>
      <w:r w:rsidRPr="00F32787">
        <w:rPr>
          <w:rFonts w:ascii="Arial" w:hAnsi="Arial" w:cs="Arial"/>
          <w:sz w:val="20"/>
          <w:szCs w:val="20"/>
        </w:rPr>
        <w:t xml:space="preserve">, </w:t>
      </w:r>
      <w:r w:rsidRPr="00F32787">
        <w:rPr>
          <w:rFonts w:ascii="Arial" w:hAnsi="Arial" w:cs="Arial"/>
          <w:i/>
          <w:iCs/>
          <w:sz w:val="20"/>
          <w:szCs w:val="20"/>
        </w:rPr>
        <w:t>10</w:t>
      </w:r>
      <w:r w:rsidRPr="00F32787">
        <w:rPr>
          <w:rFonts w:ascii="Arial" w:hAnsi="Arial" w:cs="Arial"/>
          <w:sz w:val="20"/>
          <w:szCs w:val="20"/>
        </w:rPr>
        <w:t xml:space="preserve">(2). </w:t>
      </w:r>
      <w:r w:rsidRPr="00F32787">
        <w:rPr>
          <w:rStyle w:val="url"/>
          <w:rFonts w:ascii="Arial" w:hAnsi="Arial" w:cs="Arial"/>
          <w:sz w:val="20"/>
          <w:szCs w:val="20"/>
        </w:rPr>
        <w:t>https://doi.org/10.1080/2331186x.2023.2273646</w:t>
      </w:r>
    </w:p>
    <w:p w14:paraId="0AE5C2FA"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Tanner, K. D. (2013). Structure Matters: Twenty-One teaching strategies to promote student engagement and cultivate classroom equity. </w:t>
      </w:r>
      <w:r w:rsidRPr="00F32787">
        <w:rPr>
          <w:rFonts w:ascii="Arial" w:hAnsi="Arial" w:cs="Arial"/>
          <w:i/>
          <w:iCs/>
          <w:sz w:val="20"/>
          <w:szCs w:val="20"/>
        </w:rPr>
        <w:t>CBE—Life Sciences Education</w:t>
      </w:r>
      <w:r w:rsidRPr="00F32787">
        <w:rPr>
          <w:rFonts w:ascii="Arial" w:hAnsi="Arial" w:cs="Arial"/>
          <w:sz w:val="20"/>
          <w:szCs w:val="20"/>
        </w:rPr>
        <w:t xml:space="preserve">, </w:t>
      </w:r>
      <w:r w:rsidRPr="00F32787">
        <w:rPr>
          <w:rFonts w:ascii="Arial" w:hAnsi="Arial" w:cs="Arial"/>
          <w:i/>
          <w:iCs/>
          <w:sz w:val="20"/>
          <w:szCs w:val="20"/>
        </w:rPr>
        <w:t>12</w:t>
      </w:r>
      <w:r w:rsidRPr="00F32787">
        <w:rPr>
          <w:rFonts w:ascii="Arial" w:hAnsi="Arial" w:cs="Arial"/>
          <w:sz w:val="20"/>
          <w:szCs w:val="20"/>
        </w:rPr>
        <w:t xml:space="preserve">(3), 322–331. </w:t>
      </w:r>
      <w:r w:rsidRPr="00F32787">
        <w:rPr>
          <w:rStyle w:val="url"/>
          <w:rFonts w:ascii="Arial" w:hAnsi="Arial" w:cs="Arial"/>
          <w:sz w:val="20"/>
          <w:szCs w:val="20"/>
        </w:rPr>
        <w:t>https://doi.org/10.1187/cbe.13-06-0115</w:t>
      </w:r>
    </w:p>
    <w:p w14:paraId="2B75A186"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United Nations Educational, Scientific and Cultural Organization [UNESCO]. (2017). </w:t>
      </w:r>
      <w:r w:rsidRPr="00F32787">
        <w:rPr>
          <w:rFonts w:ascii="Arial" w:hAnsi="Arial" w:cs="Arial"/>
          <w:i/>
          <w:iCs/>
          <w:sz w:val="20"/>
          <w:szCs w:val="20"/>
        </w:rPr>
        <w:t>Cracking the code: Girls’ education in Science, Technology, Engineering and Mathematics (STEM)</w:t>
      </w:r>
      <w:r w:rsidRPr="00F32787">
        <w:rPr>
          <w:rFonts w:ascii="Arial" w:hAnsi="Arial" w:cs="Arial"/>
          <w:sz w:val="20"/>
          <w:szCs w:val="20"/>
        </w:rPr>
        <w:t xml:space="preserve">. unesdoc.unesco.org. Retrieved October 5, 2025, from </w:t>
      </w:r>
      <w:r w:rsidRPr="00F32787">
        <w:rPr>
          <w:rStyle w:val="url"/>
          <w:rFonts w:ascii="Arial" w:hAnsi="Arial" w:cs="Arial"/>
          <w:sz w:val="20"/>
          <w:szCs w:val="20"/>
        </w:rPr>
        <w:t>https://unesdoc.unesco.org/ark:/48223/pf0000260079</w:t>
      </w:r>
    </w:p>
    <w:p w14:paraId="5AC26E11"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Verdugo-Castro, S., Sánchez-Gómez, M. C., &amp; García-Holgado, A. (2023). Factors associated with the gender gap in the STEM sector: Comparison of theoretical and empirical concept maps and qualitative SWOT analysis. </w:t>
      </w:r>
      <w:proofErr w:type="spellStart"/>
      <w:r w:rsidRPr="00F32787">
        <w:rPr>
          <w:rFonts w:ascii="Arial" w:hAnsi="Arial" w:cs="Arial"/>
          <w:i/>
          <w:iCs/>
          <w:sz w:val="20"/>
          <w:szCs w:val="20"/>
        </w:rPr>
        <w:t>Heliyon</w:t>
      </w:r>
      <w:proofErr w:type="spellEnd"/>
      <w:r w:rsidRPr="00F32787">
        <w:rPr>
          <w:rFonts w:ascii="Arial" w:hAnsi="Arial" w:cs="Arial"/>
          <w:sz w:val="20"/>
          <w:szCs w:val="20"/>
        </w:rPr>
        <w:t xml:space="preserve">, </w:t>
      </w:r>
      <w:r w:rsidRPr="00F32787">
        <w:rPr>
          <w:rFonts w:ascii="Arial" w:hAnsi="Arial" w:cs="Arial"/>
          <w:i/>
          <w:iCs/>
          <w:sz w:val="20"/>
          <w:szCs w:val="20"/>
        </w:rPr>
        <w:t>9</w:t>
      </w:r>
      <w:r w:rsidRPr="00F32787">
        <w:rPr>
          <w:rFonts w:ascii="Arial" w:hAnsi="Arial" w:cs="Arial"/>
          <w:sz w:val="20"/>
          <w:szCs w:val="20"/>
        </w:rPr>
        <w:t xml:space="preserve">(6), e17499. </w:t>
      </w:r>
      <w:r w:rsidRPr="00F32787">
        <w:rPr>
          <w:rStyle w:val="url"/>
          <w:rFonts w:ascii="Arial" w:hAnsi="Arial" w:cs="Arial"/>
          <w:sz w:val="20"/>
          <w:szCs w:val="20"/>
        </w:rPr>
        <w:t>https://doi.org/10.1016/j.heliyon.2023.e17499</w:t>
      </w:r>
    </w:p>
    <w:p w14:paraId="70055A97" w14:textId="77777777" w:rsidR="00F32787" w:rsidRPr="00F32787" w:rsidRDefault="00F32787" w:rsidP="00AC2AAF">
      <w:pPr>
        <w:pStyle w:val="NormalWeb"/>
        <w:numPr>
          <w:ilvl w:val="0"/>
          <w:numId w:val="34"/>
        </w:numPr>
        <w:spacing w:before="0" w:beforeAutospacing="0" w:after="240" w:afterAutospacing="0"/>
        <w:jc w:val="both"/>
        <w:rPr>
          <w:rFonts w:ascii="Arial" w:hAnsi="Arial" w:cs="Arial"/>
          <w:sz w:val="20"/>
          <w:szCs w:val="20"/>
        </w:rPr>
      </w:pPr>
      <w:r w:rsidRPr="00F32787">
        <w:rPr>
          <w:rFonts w:ascii="Arial" w:hAnsi="Arial" w:cs="Arial"/>
          <w:sz w:val="20"/>
          <w:szCs w:val="20"/>
        </w:rPr>
        <w:t xml:space="preserve">Zavala-Parrales, A., Meléndez-Anzures, F. E., Perez-Suarez, S., &amp; Dominguez, A. (2025). Driving gender equality in the automotive industry: a review of educational strategies. </w:t>
      </w:r>
      <w:r w:rsidRPr="00F32787">
        <w:rPr>
          <w:rFonts w:ascii="Arial" w:hAnsi="Arial" w:cs="Arial"/>
          <w:i/>
          <w:iCs/>
          <w:sz w:val="20"/>
          <w:szCs w:val="20"/>
        </w:rPr>
        <w:t>Frontiers in Education</w:t>
      </w:r>
      <w:r w:rsidRPr="00F32787">
        <w:rPr>
          <w:rFonts w:ascii="Arial" w:hAnsi="Arial" w:cs="Arial"/>
          <w:sz w:val="20"/>
          <w:szCs w:val="20"/>
        </w:rPr>
        <w:t xml:space="preserve">, </w:t>
      </w:r>
      <w:r w:rsidRPr="00F32787">
        <w:rPr>
          <w:rFonts w:ascii="Arial" w:hAnsi="Arial" w:cs="Arial"/>
          <w:i/>
          <w:iCs/>
          <w:sz w:val="20"/>
          <w:szCs w:val="20"/>
        </w:rPr>
        <w:t>10</w:t>
      </w:r>
      <w:r w:rsidRPr="00F32787">
        <w:rPr>
          <w:rFonts w:ascii="Arial" w:hAnsi="Arial" w:cs="Arial"/>
          <w:sz w:val="20"/>
          <w:szCs w:val="20"/>
        </w:rPr>
        <w:t xml:space="preserve">. </w:t>
      </w:r>
      <w:r w:rsidRPr="00F32787">
        <w:rPr>
          <w:rStyle w:val="url"/>
          <w:rFonts w:ascii="Arial" w:hAnsi="Arial" w:cs="Arial"/>
          <w:sz w:val="20"/>
          <w:szCs w:val="20"/>
        </w:rPr>
        <w:t>https://doi.org/10.3389/feduc.2025.1474864</w:t>
      </w:r>
    </w:p>
    <w:p w14:paraId="5397B473" w14:textId="77777777" w:rsidR="00F32787" w:rsidRDefault="00F32787" w:rsidP="00441B6F">
      <w:pPr>
        <w:pStyle w:val="Body"/>
        <w:spacing w:after="0"/>
      </w:pPr>
    </w:p>
    <w:p w14:paraId="68A58E79" w14:textId="77777777" w:rsidR="002B3FA6" w:rsidRPr="00FB3A86" w:rsidRDefault="002B3FA6" w:rsidP="00845449">
      <w:pPr>
        <w:pStyle w:val="Body"/>
        <w:spacing w:after="0"/>
        <w:rPr>
          <w:rFonts w:ascii="Arial" w:hAnsi="Arial" w:cs="Arial"/>
        </w:rPr>
      </w:pPr>
    </w:p>
    <w:p w14:paraId="5D5DDF21" w14:textId="28028E5B" w:rsidR="004D4277" w:rsidRPr="00FB3A86" w:rsidRDefault="004D4277" w:rsidP="00845449">
      <w:pPr>
        <w:pStyle w:val="Appendix"/>
        <w:spacing w:after="0"/>
        <w:jc w:val="both"/>
        <w:rPr>
          <w:rFonts w:ascii="Arial" w:hAnsi="Arial" w:cs="Arial"/>
          <w:b w:val="0"/>
        </w:rPr>
        <w:sectPr w:rsidR="004D4277" w:rsidRPr="00FB3A86" w:rsidSect="005D070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D07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934F9" w14:textId="77777777" w:rsidR="00D042DD" w:rsidRDefault="00D042DD" w:rsidP="00C37E61">
      <w:r>
        <w:separator/>
      </w:r>
    </w:p>
  </w:endnote>
  <w:endnote w:type="continuationSeparator" w:id="0">
    <w:p w14:paraId="6ECF4B2A" w14:textId="77777777" w:rsidR="00D042DD" w:rsidRDefault="00D042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A918" w14:textId="77777777" w:rsidR="00C1134C" w:rsidRDefault="00C11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3341" w14:textId="77777777" w:rsidR="00C1134C" w:rsidRDefault="00C11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22E2D4A4" w:rsidR="00754C9A" w:rsidRPr="00C1134C" w:rsidRDefault="00754C9A" w:rsidP="00C113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1373D" w14:textId="77777777" w:rsidR="00D042DD" w:rsidRDefault="00D042DD" w:rsidP="00C37E61">
      <w:r>
        <w:separator/>
      </w:r>
    </w:p>
  </w:footnote>
  <w:footnote w:type="continuationSeparator" w:id="0">
    <w:p w14:paraId="0B5C9EC9" w14:textId="77777777" w:rsidR="00D042DD" w:rsidRDefault="00D042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D3B5" w14:textId="67C631B0" w:rsidR="00C1134C" w:rsidRDefault="00D042DD">
    <w:pPr>
      <w:pStyle w:val="Header"/>
    </w:pPr>
    <w:r>
      <w:rPr>
        <w:noProof/>
      </w:rPr>
      <w:pict w14:anchorId="7374E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91C63" w14:textId="26D23381" w:rsidR="00C1134C" w:rsidRDefault="00D042DD">
    <w:pPr>
      <w:pStyle w:val="Header"/>
    </w:pPr>
    <w:r>
      <w:rPr>
        <w:noProof/>
      </w:rPr>
      <w:pict w14:anchorId="2817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0A6C049A" w:rsidR="00296529" w:rsidRPr="00296529" w:rsidRDefault="00D042DD" w:rsidP="00296529">
    <w:pPr>
      <w:ind w:left="2160"/>
      <w:jc w:val="center"/>
      <w:rPr>
        <w:rFonts w:ascii="Times New Roman" w:eastAsia="Calibri" w:hAnsi="Times New Roman"/>
        <w:i/>
        <w:sz w:val="18"/>
        <w:szCs w:val="22"/>
      </w:rPr>
    </w:pPr>
    <w:r>
      <w:rPr>
        <w:noProof/>
      </w:rPr>
      <w:pict w14:anchorId="4A932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59F4" w14:textId="61F0A018" w:rsidR="00C1134C" w:rsidRDefault="00D042DD">
    <w:pPr>
      <w:pStyle w:val="Header"/>
    </w:pPr>
    <w:r>
      <w:rPr>
        <w:noProof/>
      </w:rPr>
      <w:pict w14:anchorId="5876D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5C5B" w14:textId="71A35AE4" w:rsidR="00C1134C" w:rsidRDefault="00D042DD">
    <w:pPr>
      <w:pStyle w:val="Header"/>
    </w:pPr>
    <w:r>
      <w:rPr>
        <w:noProof/>
      </w:rPr>
      <w:pict w14:anchorId="5942C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B033" w14:textId="4BDBE32B" w:rsidR="00C1134C" w:rsidRDefault="00D042DD">
    <w:pPr>
      <w:pStyle w:val="Header"/>
    </w:pPr>
    <w:r>
      <w:rPr>
        <w:noProof/>
      </w:rPr>
      <w:pict w14:anchorId="762A3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914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FD5352D"/>
    <w:multiLevelType w:val="hybridMultilevel"/>
    <w:tmpl w:val="7F6020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C62FCA"/>
    <w:multiLevelType w:val="hybridMultilevel"/>
    <w:tmpl w:val="2F2050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FE4FCB"/>
    <w:multiLevelType w:val="hybridMultilevel"/>
    <w:tmpl w:val="D4E2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254D0"/>
    <w:multiLevelType w:val="hybridMultilevel"/>
    <w:tmpl w:val="E0F2408C"/>
    <w:lvl w:ilvl="0" w:tplc="ED7AFD54">
      <w:start w:val="1"/>
      <w:numFmt w:val="decimal"/>
      <w:lvlText w:val="%1. "/>
      <w:lvlJc w:val="left"/>
      <w:pPr>
        <w:ind w:left="720" w:hanging="360"/>
      </w:pPr>
      <w:rPr>
        <w:rFonts w:ascii="Helvetica" w:hAnsi="Helvetica" w:hint="default"/>
        <w:b w:val="0"/>
        <w:i w:val="0"/>
        <w:sz w:val="20"/>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4"/>
  </w:num>
  <w:num w:numId="32">
    <w:abstractNumId w:val="17"/>
  </w:num>
  <w:num w:numId="33">
    <w:abstractNumId w:val="21"/>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32BED"/>
    <w:rsid w:val="0004579C"/>
    <w:rsid w:val="00076898"/>
    <w:rsid w:val="000A47FA"/>
    <w:rsid w:val="000A65D3"/>
    <w:rsid w:val="000B1E33"/>
    <w:rsid w:val="000D6621"/>
    <w:rsid w:val="000D689F"/>
    <w:rsid w:val="000E7B7B"/>
    <w:rsid w:val="000E7D62"/>
    <w:rsid w:val="00103357"/>
    <w:rsid w:val="0011254B"/>
    <w:rsid w:val="00123C9F"/>
    <w:rsid w:val="00126190"/>
    <w:rsid w:val="00130F17"/>
    <w:rsid w:val="001320BF"/>
    <w:rsid w:val="001533F6"/>
    <w:rsid w:val="00153CB3"/>
    <w:rsid w:val="00163BC4"/>
    <w:rsid w:val="00164CD6"/>
    <w:rsid w:val="00191062"/>
    <w:rsid w:val="00192B72"/>
    <w:rsid w:val="0019749F"/>
    <w:rsid w:val="001A29D8"/>
    <w:rsid w:val="001A5CAA"/>
    <w:rsid w:val="001B0427"/>
    <w:rsid w:val="001D3A51"/>
    <w:rsid w:val="001E10D2"/>
    <w:rsid w:val="001E25B4"/>
    <w:rsid w:val="001E44FE"/>
    <w:rsid w:val="00200595"/>
    <w:rsid w:val="00204835"/>
    <w:rsid w:val="002264DC"/>
    <w:rsid w:val="00231920"/>
    <w:rsid w:val="0023195C"/>
    <w:rsid w:val="00235276"/>
    <w:rsid w:val="00240AF8"/>
    <w:rsid w:val="0024282C"/>
    <w:rsid w:val="002452B4"/>
    <w:rsid w:val="002460DC"/>
    <w:rsid w:val="00250985"/>
    <w:rsid w:val="002556F6"/>
    <w:rsid w:val="00283105"/>
    <w:rsid w:val="00284C4C"/>
    <w:rsid w:val="00287E68"/>
    <w:rsid w:val="00296529"/>
    <w:rsid w:val="002A0F47"/>
    <w:rsid w:val="002B27FB"/>
    <w:rsid w:val="002B3FA6"/>
    <w:rsid w:val="002B685A"/>
    <w:rsid w:val="002C57D2"/>
    <w:rsid w:val="002D00BE"/>
    <w:rsid w:val="002E0D56"/>
    <w:rsid w:val="00315186"/>
    <w:rsid w:val="0033343E"/>
    <w:rsid w:val="003512C2"/>
    <w:rsid w:val="00360716"/>
    <w:rsid w:val="00371FB6"/>
    <w:rsid w:val="003763C1"/>
    <w:rsid w:val="00376BBE"/>
    <w:rsid w:val="003804F5"/>
    <w:rsid w:val="0039224F"/>
    <w:rsid w:val="003A28E9"/>
    <w:rsid w:val="003A43A4"/>
    <w:rsid w:val="003A7E18"/>
    <w:rsid w:val="003C4C86"/>
    <w:rsid w:val="003C6258"/>
    <w:rsid w:val="003D2935"/>
    <w:rsid w:val="003E2904"/>
    <w:rsid w:val="003E70B9"/>
    <w:rsid w:val="00401927"/>
    <w:rsid w:val="0041027F"/>
    <w:rsid w:val="00412475"/>
    <w:rsid w:val="00423789"/>
    <w:rsid w:val="00440F43"/>
    <w:rsid w:val="00441B6F"/>
    <w:rsid w:val="00446221"/>
    <w:rsid w:val="00450E62"/>
    <w:rsid w:val="004539DB"/>
    <w:rsid w:val="00471A80"/>
    <w:rsid w:val="00485CC9"/>
    <w:rsid w:val="004D305E"/>
    <w:rsid w:val="004D4277"/>
    <w:rsid w:val="00502516"/>
    <w:rsid w:val="00505F06"/>
    <w:rsid w:val="00506828"/>
    <w:rsid w:val="0053056E"/>
    <w:rsid w:val="00554FDA"/>
    <w:rsid w:val="005659A4"/>
    <w:rsid w:val="00590B05"/>
    <w:rsid w:val="005C784C"/>
    <w:rsid w:val="005D0700"/>
    <w:rsid w:val="005D17F6"/>
    <w:rsid w:val="005E5539"/>
    <w:rsid w:val="00602BF5"/>
    <w:rsid w:val="0060661E"/>
    <w:rsid w:val="00617FDD"/>
    <w:rsid w:val="00633614"/>
    <w:rsid w:val="00633F68"/>
    <w:rsid w:val="00636EB2"/>
    <w:rsid w:val="006375B8"/>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2120D"/>
    <w:rsid w:val="00726EFA"/>
    <w:rsid w:val="007369E6"/>
    <w:rsid w:val="00746E59"/>
    <w:rsid w:val="00754C9A"/>
    <w:rsid w:val="0075599A"/>
    <w:rsid w:val="00761D52"/>
    <w:rsid w:val="0077749E"/>
    <w:rsid w:val="00790ADA"/>
    <w:rsid w:val="0079260B"/>
    <w:rsid w:val="007D2288"/>
    <w:rsid w:val="007E088F"/>
    <w:rsid w:val="007F7B32"/>
    <w:rsid w:val="00804BC2"/>
    <w:rsid w:val="0081431A"/>
    <w:rsid w:val="00815366"/>
    <w:rsid w:val="0083216F"/>
    <w:rsid w:val="00845449"/>
    <w:rsid w:val="00860000"/>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7834"/>
    <w:rsid w:val="009412A3"/>
    <w:rsid w:val="009500A6"/>
    <w:rsid w:val="00957C18"/>
    <w:rsid w:val="0096563B"/>
    <w:rsid w:val="009659BA"/>
    <w:rsid w:val="00983040"/>
    <w:rsid w:val="009B3FB9"/>
    <w:rsid w:val="009B6FE9"/>
    <w:rsid w:val="009B76A6"/>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30E"/>
    <w:rsid w:val="00A51431"/>
    <w:rsid w:val="00A539AD"/>
    <w:rsid w:val="00A94063"/>
    <w:rsid w:val="00AA6219"/>
    <w:rsid w:val="00AA74E0"/>
    <w:rsid w:val="00AB703F"/>
    <w:rsid w:val="00AC2AAF"/>
    <w:rsid w:val="00AC6BB8"/>
    <w:rsid w:val="00AE008F"/>
    <w:rsid w:val="00AE3CE6"/>
    <w:rsid w:val="00B01FCD"/>
    <w:rsid w:val="00B15BB2"/>
    <w:rsid w:val="00B1776C"/>
    <w:rsid w:val="00B52583"/>
    <w:rsid w:val="00B52896"/>
    <w:rsid w:val="00B75776"/>
    <w:rsid w:val="00B95236"/>
    <w:rsid w:val="00B96BD9"/>
    <w:rsid w:val="00BA1B01"/>
    <w:rsid w:val="00BA2641"/>
    <w:rsid w:val="00BB37AA"/>
    <w:rsid w:val="00BC53A0"/>
    <w:rsid w:val="00BE62AD"/>
    <w:rsid w:val="00BF121F"/>
    <w:rsid w:val="00BF1BA4"/>
    <w:rsid w:val="00BF1F80"/>
    <w:rsid w:val="00BF7B18"/>
    <w:rsid w:val="00C1134C"/>
    <w:rsid w:val="00C120D4"/>
    <w:rsid w:val="00C166EF"/>
    <w:rsid w:val="00C17EB0"/>
    <w:rsid w:val="00C27F5F"/>
    <w:rsid w:val="00C30A0F"/>
    <w:rsid w:val="00C37E61"/>
    <w:rsid w:val="00C70F1B"/>
    <w:rsid w:val="00C71A47"/>
    <w:rsid w:val="00C73BA9"/>
    <w:rsid w:val="00C7464C"/>
    <w:rsid w:val="00C85588"/>
    <w:rsid w:val="00C93270"/>
    <w:rsid w:val="00CC1A17"/>
    <w:rsid w:val="00CD167F"/>
    <w:rsid w:val="00CD6755"/>
    <w:rsid w:val="00CD6856"/>
    <w:rsid w:val="00CE0089"/>
    <w:rsid w:val="00CE793C"/>
    <w:rsid w:val="00CF193C"/>
    <w:rsid w:val="00D042DD"/>
    <w:rsid w:val="00D173F1"/>
    <w:rsid w:val="00D3288D"/>
    <w:rsid w:val="00D552F1"/>
    <w:rsid w:val="00D60608"/>
    <w:rsid w:val="00D74CB0"/>
    <w:rsid w:val="00D8295D"/>
    <w:rsid w:val="00DA0754"/>
    <w:rsid w:val="00DA6F35"/>
    <w:rsid w:val="00DB57F4"/>
    <w:rsid w:val="00DB5B9F"/>
    <w:rsid w:val="00DC2A65"/>
    <w:rsid w:val="00DC4FBE"/>
    <w:rsid w:val="00DD1BD2"/>
    <w:rsid w:val="00DE15F0"/>
    <w:rsid w:val="00DE5663"/>
    <w:rsid w:val="00DE78AA"/>
    <w:rsid w:val="00E053D0"/>
    <w:rsid w:val="00E15994"/>
    <w:rsid w:val="00E3114E"/>
    <w:rsid w:val="00E31A70"/>
    <w:rsid w:val="00E35B02"/>
    <w:rsid w:val="00E433C6"/>
    <w:rsid w:val="00E66496"/>
    <w:rsid w:val="00E66B35"/>
    <w:rsid w:val="00E66E10"/>
    <w:rsid w:val="00E769F6"/>
    <w:rsid w:val="00E8407C"/>
    <w:rsid w:val="00E84F3C"/>
    <w:rsid w:val="00EA012C"/>
    <w:rsid w:val="00EB342C"/>
    <w:rsid w:val="00EB72C8"/>
    <w:rsid w:val="00EC6A55"/>
    <w:rsid w:val="00ED0288"/>
    <w:rsid w:val="00ED16DC"/>
    <w:rsid w:val="00EE52CB"/>
    <w:rsid w:val="00EF581D"/>
    <w:rsid w:val="00EF7FD8"/>
    <w:rsid w:val="00F06F59"/>
    <w:rsid w:val="00F17988"/>
    <w:rsid w:val="00F32787"/>
    <w:rsid w:val="00F469F0"/>
    <w:rsid w:val="00F53273"/>
    <w:rsid w:val="00F755E4"/>
    <w:rsid w:val="00F77D02"/>
    <w:rsid w:val="00FB3A86"/>
    <w:rsid w:val="00FC66E9"/>
    <w:rsid w:val="00FD033F"/>
    <w:rsid w:val="00FD36C8"/>
    <w:rsid w:val="00FF0551"/>
    <w:rsid w:val="00FF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3278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757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character" w:customStyle="1" w:styleId="Heading3Char">
    <w:name w:val="Heading 3 Char"/>
    <w:basedOn w:val="DefaultParagraphFont"/>
    <w:link w:val="Heading3"/>
    <w:semiHidden/>
    <w:rsid w:val="00B7577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F3278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79485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EA724-DD72-4451-8C42-B9F96D73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306</TotalTime>
  <Pages>11</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28</cp:revision>
  <cp:lastPrinted>1999-07-06T11:00:00Z</cp:lastPrinted>
  <dcterms:created xsi:type="dcterms:W3CDTF">2014-10-25T14:34:00Z</dcterms:created>
  <dcterms:modified xsi:type="dcterms:W3CDTF">2025-12-10T06:15:00Z</dcterms:modified>
</cp:coreProperties>
</file>