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65AD32" w14:textId="77777777" w:rsidR="00E611D1" w:rsidRDefault="003E2051" w:rsidP="0039368F">
      <w:pPr>
        <w:spacing w:line="360" w:lineRule="auto"/>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Green Finance and Export Competitiveness: Evidence from India’s Renewable Energy Sector</w:t>
      </w:r>
    </w:p>
    <w:p w14:paraId="743BD04E"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 xml:space="preserve">Abstract </w:t>
      </w:r>
    </w:p>
    <w:p w14:paraId="49D5CCC2" w14:textId="5036D45F" w:rsidR="00071031" w:rsidRDefault="00071031" w:rsidP="0039368F">
      <w:pPr>
        <w:pBdr>
          <w:top w:val="nil"/>
          <w:left w:val="nil"/>
          <w:bottom w:val="nil"/>
          <w:right w:val="nil"/>
          <w:between w:val="nil"/>
        </w:pBdr>
        <w:spacing w:before="280" w:after="280" w:line="360" w:lineRule="auto"/>
        <w:jc w:val="both"/>
        <w:rPr>
          <w:rFonts w:ascii="Times New Roman" w:eastAsia="Times New Roman" w:hAnsi="Times New Roman" w:cs="Times New Roman"/>
          <w:sz w:val="24"/>
          <w:szCs w:val="24"/>
        </w:rPr>
      </w:pPr>
      <w:r w:rsidRPr="00E71A03">
        <w:rPr>
          <w:rFonts w:ascii="Times New Roman" w:hAnsi="Times New Roman" w:cs="Times New Roman"/>
          <w:sz w:val="24"/>
          <w:szCs w:val="24"/>
        </w:rPr>
        <w:t xml:space="preserve">In the context of the developing low-carbon global trade climate, this paper explores how green finance affects India's export competitiveness in renewable energy. The study assesses how well green financial mechanisms, policy frameworks, and export performance align during FY 2023–2024 using a </w:t>
      </w:r>
      <w:r>
        <w:rPr>
          <w:rFonts w:ascii="Times New Roman" w:hAnsi="Times New Roman" w:cs="Times New Roman"/>
          <w:sz w:val="24"/>
          <w:szCs w:val="24"/>
        </w:rPr>
        <w:t>D</w:t>
      </w:r>
      <w:r w:rsidRPr="00E71A03">
        <w:rPr>
          <w:rFonts w:ascii="Times New Roman" w:hAnsi="Times New Roman" w:cs="Times New Roman"/>
          <w:sz w:val="24"/>
          <w:szCs w:val="24"/>
        </w:rPr>
        <w:t>escriptive-</w:t>
      </w:r>
      <w:r>
        <w:rPr>
          <w:rFonts w:ascii="Times New Roman" w:hAnsi="Times New Roman" w:cs="Times New Roman"/>
          <w:sz w:val="24"/>
          <w:szCs w:val="24"/>
        </w:rPr>
        <w:t>A</w:t>
      </w:r>
      <w:r w:rsidRPr="00E71A03">
        <w:rPr>
          <w:rFonts w:ascii="Times New Roman" w:hAnsi="Times New Roman" w:cs="Times New Roman"/>
          <w:sz w:val="24"/>
          <w:szCs w:val="24"/>
        </w:rPr>
        <w:t xml:space="preserve">nalytical methodology </w:t>
      </w:r>
      <w:r>
        <w:rPr>
          <w:rFonts w:ascii="Times New Roman" w:hAnsi="Times New Roman" w:cs="Times New Roman"/>
          <w:sz w:val="24"/>
          <w:szCs w:val="24"/>
        </w:rPr>
        <w:t>supported</w:t>
      </w:r>
      <w:r w:rsidRPr="00E71A03">
        <w:rPr>
          <w:rFonts w:ascii="Times New Roman" w:hAnsi="Times New Roman" w:cs="Times New Roman"/>
          <w:sz w:val="24"/>
          <w:szCs w:val="24"/>
        </w:rPr>
        <w:t xml:space="preserve"> by PESTLE analysis and </w:t>
      </w:r>
      <w:r>
        <w:rPr>
          <w:rFonts w:ascii="Times New Roman" w:hAnsi="Times New Roman" w:cs="Times New Roman"/>
          <w:sz w:val="24"/>
          <w:szCs w:val="24"/>
        </w:rPr>
        <w:t>F</w:t>
      </w:r>
      <w:r w:rsidRPr="00E71A03">
        <w:rPr>
          <w:rFonts w:ascii="Times New Roman" w:hAnsi="Times New Roman" w:cs="Times New Roman"/>
          <w:sz w:val="24"/>
          <w:szCs w:val="24"/>
        </w:rPr>
        <w:t>inancial-</w:t>
      </w:r>
      <w:r>
        <w:rPr>
          <w:rFonts w:ascii="Times New Roman" w:hAnsi="Times New Roman" w:cs="Times New Roman"/>
          <w:sz w:val="24"/>
          <w:szCs w:val="24"/>
        </w:rPr>
        <w:t>F</w:t>
      </w:r>
      <w:r w:rsidRPr="00E71A03">
        <w:rPr>
          <w:rFonts w:ascii="Times New Roman" w:hAnsi="Times New Roman" w:cs="Times New Roman"/>
          <w:sz w:val="24"/>
          <w:szCs w:val="24"/>
        </w:rPr>
        <w:t xml:space="preserve">low </w:t>
      </w:r>
      <w:r>
        <w:rPr>
          <w:rFonts w:ascii="Times New Roman" w:hAnsi="Times New Roman" w:cs="Times New Roman"/>
          <w:sz w:val="24"/>
          <w:szCs w:val="24"/>
        </w:rPr>
        <w:t>M</w:t>
      </w:r>
      <w:r w:rsidRPr="00E71A03">
        <w:rPr>
          <w:rFonts w:ascii="Times New Roman" w:hAnsi="Times New Roman" w:cs="Times New Roman"/>
          <w:sz w:val="24"/>
          <w:szCs w:val="24"/>
        </w:rPr>
        <w:t xml:space="preserve">apping. Although India exported USD 4.08 billion worth of renewable products, this amounts for only 0.68% of overall merchandise exports, and barely 16% of national green finance flows are allocated toward export-oriented projects. Green bonds and concessional lending reduce capital costs, improve market access, and promote ESG compliance, as demonstrated by case studies from </w:t>
      </w:r>
      <w:proofErr w:type="spellStart"/>
      <w:r w:rsidRPr="00E71A03">
        <w:rPr>
          <w:rFonts w:ascii="Times New Roman" w:hAnsi="Times New Roman" w:cs="Times New Roman"/>
          <w:sz w:val="24"/>
          <w:szCs w:val="24"/>
        </w:rPr>
        <w:t>ReNew</w:t>
      </w:r>
      <w:proofErr w:type="spellEnd"/>
      <w:r w:rsidRPr="00E71A03">
        <w:rPr>
          <w:rFonts w:ascii="Times New Roman" w:hAnsi="Times New Roman" w:cs="Times New Roman"/>
          <w:sz w:val="24"/>
          <w:szCs w:val="24"/>
        </w:rPr>
        <w:t xml:space="preserve"> Power and Tata Power Solar</w:t>
      </w:r>
      <w:r w:rsidR="0018467C">
        <w:rPr>
          <w:rFonts w:ascii="Times New Roman" w:hAnsi="Times New Roman" w:cs="Times New Roman"/>
          <w:sz w:val="24"/>
          <w:szCs w:val="24"/>
        </w:rPr>
        <w:t>. T</w:t>
      </w:r>
      <w:r w:rsidRPr="00675F7F">
        <w:rPr>
          <w:rFonts w:ascii="Times New Roman" w:hAnsi="Times New Roman" w:cs="Times New Roman"/>
          <w:sz w:val="24"/>
          <w:szCs w:val="24"/>
        </w:rPr>
        <w:t>his is particularly true for solar photovoltaic goods, which make for the majority of India's renewable exports. The research emphasizes major gaps, including poor coordination between trade and banking institutions, restricted export-linked finance, and growing global carbon-compliance requirements. It finds that extending export-focused green finance, enhancing EXIM Bank’s Green Window, and promoting technology-driven manufacturing are vital to improve India’s position in the global renewable energy value chain</w:t>
      </w:r>
      <w:r>
        <w:rPr>
          <w:rFonts w:ascii="Times New Roman" w:hAnsi="Times New Roman" w:cs="Times New Roman"/>
          <w:sz w:val="24"/>
          <w:szCs w:val="24"/>
        </w:rPr>
        <w:t>.</w:t>
      </w:r>
    </w:p>
    <w:p w14:paraId="3A01B165" w14:textId="7FAA784B" w:rsidR="00E611D1" w:rsidRDefault="003E2051" w:rsidP="0039368F">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Keywords</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z w:val="24"/>
          <w:szCs w:val="24"/>
        </w:rPr>
        <w:t xml:space="preserve"> Green Finance, Renewable Energy Exports, EXIM Bank, Trade, Low carbon economy, Solar Photovoltaics (PV)</w:t>
      </w:r>
    </w:p>
    <w:p w14:paraId="6DFF4ED9" w14:textId="77777777" w:rsidR="00E611D1" w:rsidRDefault="003E2051" w:rsidP="0039368F">
      <w:pPr>
        <w:pStyle w:val="Heading2"/>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Introduction</w:t>
      </w:r>
    </w:p>
    <w:p w14:paraId="7680CEE5" w14:textId="33491C5A"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global trade landscape is undergoing a fundamental transformation driven by sustainability imperatives, carbon-neutral commitments, and the rapid diffusion of green technologies. This transition signals not only a reconfiguration of production and consumption patterns but also a realignment of financial and trade structures toward low-carbon pathways. As international markets increasingly integrate environmental criteria </w:t>
      </w:r>
      <w:r>
        <w:rPr>
          <w:rFonts w:ascii="Times New Roman" w:eastAsia="Times New Roman" w:hAnsi="Times New Roman" w:cs="Times New Roman"/>
          <w:sz w:val="24"/>
          <w:szCs w:val="24"/>
        </w:rPr>
        <w:lastRenderedPageBreak/>
        <w:t>such as carbon footprints, energy efficiency, and ESG compliance economic competitiveness is being reshaped by the capacity to mobilize sustainable finance and adopt clean technologies</w:t>
      </w:r>
      <w:r w:rsidR="005D61BD">
        <w:rPr>
          <w:rFonts w:ascii="Times New Roman" w:eastAsia="Times New Roman" w:hAnsi="Times New Roman" w:cs="Times New Roman"/>
          <w:sz w:val="24"/>
          <w:szCs w:val="24"/>
        </w:rPr>
        <w:t xml:space="preserve"> (</w:t>
      </w:r>
      <w:r w:rsidR="005D61BD" w:rsidRPr="005D61BD">
        <w:rPr>
          <w:rFonts w:ascii="Times New Roman" w:eastAsia="Times New Roman" w:hAnsi="Times New Roman" w:cs="Times New Roman"/>
          <w:sz w:val="24"/>
          <w:szCs w:val="24"/>
        </w:rPr>
        <w:t>Hossain</w:t>
      </w:r>
      <w:r w:rsidR="005D61BD">
        <w:rPr>
          <w:rFonts w:ascii="Times New Roman" w:eastAsia="Times New Roman" w:hAnsi="Times New Roman" w:cs="Times New Roman"/>
          <w:sz w:val="24"/>
          <w:szCs w:val="24"/>
        </w:rPr>
        <w:t xml:space="preserve"> et al., 2024)</w:t>
      </w:r>
      <w:r>
        <w:rPr>
          <w:rFonts w:ascii="Times New Roman" w:eastAsia="Times New Roman" w:hAnsi="Times New Roman" w:cs="Times New Roman"/>
          <w:sz w:val="24"/>
          <w:szCs w:val="24"/>
        </w:rPr>
        <w:t>. For emerging economies like India, this paradigm shift presents a dual challenge: sustaining high economic growth while achieving environmental resilience through innovative financial and policy mechanisms.</w:t>
      </w:r>
    </w:p>
    <w:p w14:paraId="468E0EF8"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 endowed with vast solar and wind potential, has achieved remarkable progress in renewable energy deployment, positioning itself among the top producers globally. Nevertheless, its participation in renewable energy exports remains relatively limited when compared to its production potential. This disconnect underscores the need to examine the structural and financial factors constraining India’s integration into the global green trade network. India’s renewable energy financing framework has matured through diversified policy interventions and rising investor confidence in sustainable assets (Mohanty,2024). Green finance aimed at aligning financial systems with environmental goals which plays a vital role in bridging the sustainability gap. Instruments such as green bonds, sustainability-linked loans, and ESG-focused funds help drive clean energy transitions by directing investments toward low-carbon projects and infrastructure.</w:t>
      </w:r>
    </w:p>
    <w:p w14:paraId="52E10999" w14:textId="77777777" w:rsidR="00E611D1" w:rsidRDefault="003E2051" w:rsidP="0039368F">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Green Finance products have fostered the expansion of renewable energy infrastructure by improving access to capital and reducing financing risks.</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Renewable Energy refers to power obtained from naturally replenishing sources that regenerate faster than they are consumed. Examples include solar and wind energy, which are continuously available in </w:t>
      </w:r>
      <w:proofErr w:type="spellStart"/>
      <w:proofErr w:type="gramStart"/>
      <w:r>
        <w:rPr>
          <w:rFonts w:ascii="Times New Roman" w:eastAsia="Times New Roman" w:hAnsi="Times New Roman" w:cs="Times New Roman"/>
          <w:sz w:val="24"/>
          <w:szCs w:val="24"/>
        </w:rPr>
        <w:t>nature.These</w:t>
      </w:r>
      <w:proofErr w:type="spellEnd"/>
      <w:proofErr w:type="gramEnd"/>
      <w:r>
        <w:rPr>
          <w:rFonts w:ascii="Times New Roman" w:eastAsia="Times New Roman" w:hAnsi="Times New Roman" w:cs="Times New Roman"/>
          <w:sz w:val="24"/>
          <w:szCs w:val="24"/>
        </w:rPr>
        <w:t xml:space="preserve"> sources are abundant and widely accessible. Producing energy from renewables results in significantly fewer emissions compared to fossil fuels. Shifting away from fossil fuels which contribute the majority of global emissions to renewable energy is essential for mitigating the climate crisis (United Nation,2022). However, despite these achievements, the linkage between green financial flows and renewable energy trade performance remains underexplored (Perwez and Safiuddin,2025). Global spillover effects exist between green finance and renewable energy investment, their implications for export competitiveness particularly in emerging economies are insufficiently studied. The gap is especially relevant for India where green capital mobilization could significantly strengthen its renewable export capacity and global trade positioning (Dogan et al. 2022).</w:t>
      </w:r>
    </w:p>
    <w:p w14:paraId="1E3A13B1" w14:textId="77777777" w:rsidR="00E611D1" w:rsidRDefault="003E2051" w:rsidP="0039368F">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As global trade increasingly aligns with climate-focused policies and sustainable value chains, green finance emerges as a key factor in shaping trade competitiveness. Nations embedding sustainability into their economies gain better access to green markets and climate finance. For India, positioning green finance as a strategic trade tool could strengthen its role in global commerce, underscoring the intersection of trade policy, environmental finance, and sustainability.</w:t>
      </w:r>
    </w:p>
    <w:p w14:paraId="3512305D" w14:textId="77777777" w:rsidR="00E611D1" w:rsidRDefault="003E2051" w:rsidP="0039368F">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 explores at how green finance tools affect India's competitiveness in the global low-carbon economy and its export performance for renewable energy. It evaluates the political, economic, social, technological, legal, and environmental facets of the green finance-trade relationship using a PESTLE paradigm. Policymakers, investors, and trade organizations can use the findings to improve India's position in the green trading system and sustainable economic diplomacy.</w:t>
      </w:r>
    </w:p>
    <w:p w14:paraId="15D62911" w14:textId="52B44FEC" w:rsidR="00E611D1" w:rsidRDefault="003E2051" w:rsidP="00F043FD">
      <w:pP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Literature</w:t>
      </w:r>
      <w:r w:rsidR="00F043FD">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Review</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 xml:space="preserve">Existing literature highlights the evolving role of green finance in supporting renewable energy growth. </w:t>
      </w:r>
    </w:p>
    <w:p w14:paraId="53F23D61" w14:textId="77777777" w:rsidR="00E611D1" w:rsidRDefault="003E2051" w:rsidP="0039368F">
      <w:pPr>
        <w:numPr>
          <w:ilvl w:val="0"/>
          <w:numId w:val="2"/>
        </w:numPr>
        <w:pBdr>
          <w:top w:val="nil"/>
          <w:left w:val="nil"/>
          <w:bottom w:val="nil"/>
          <w:right w:val="nil"/>
          <w:between w:val="nil"/>
        </w:pBdr>
        <w:spacing w:before="28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Perwez and Safiuddin (2025)</w:t>
      </w:r>
      <w:r>
        <w:rPr>
          <w:rFonts w:ascii="Times New Roman" w:eastAsia="Times New Roman" w:hAnsi="Times New Roman" w:cs="Times New Roman"/>
          <w:color w:val="000000"/>
          <w:sz w:val="24"/>
          <w:szCs w:val="24"/>
        </w:rPr>
        <w:t xml:space="preserve"> explore the implementation of green financing in India’s renewable energy sector, emphasizing how instruments like green bonds and concessional loans support sustainable energy initiatives. The study identifies barriers such as limited awareness, high costs, and regulatory challenges that restrict the effective use of green finance. It highlights the need for stronger institutional frameworks to boost investments in renewable energy, offering valuable insights into the relationship between green financial mechanisms and sectoral growth.</w:t>
      </w:r>
    </w:p>
    <w:p w14:paraId="0371ED45" w14:textId="764DCDFC" w:rsidR="001951EA" w:rsidRPr="001951EA" w:rsidRDefault="001951EA" w:rsidP="008A13DF">
      <w:pPr>
        <w:pStyle w:val="ListParagraph"/>
        <w:numPr>
          <w:ilvl w:val="0"/>
          <w:numId w:val="2"/>
        </w:numPr>
        <w:spacing w:line="360" w:lineRule="auto"/>
        <w:jc w:val="both"/>
        <w:rPr>
          <w:rFonts w:ascii="Times New Roman" w:hAnsi="Times New Roman" w:cs="Times New Roman"/>
          <w:sz w:val="24"/>
          <w:szCs w:val="24"/>
        </w:rPr>
      </w:pPr>
      <w:r w:rsidRPr="001951EA">
        <w:rPr>
          <w:rFonts w:ascii="Times New Roman" w:hAnsi="Times New Roman" w:cs="Times New Roman"/>
          <w:b/>
          <w:bCs/>
          <w:sz w:val="24"/>
          <w:szCs w:val="24"/>
        </w:rPr>
        <w:t>Hanif and Zheng (2025)</w:t>
      </w:r>
      <w:r w:rsidRPr="001951EA">
        <w:rPr>
          <w:rFonts w:ascii="Times New Roman" w:hAnsi="Times New Roman" w:cs="Times New Roman"/>
          <w:sz w:val="24"/>
          <w:szCs w:val="24"/>
        </w:rPr>
        <w:t xml:space="preserve">, studied how high-pollution sectors might promote environmental sustainability through the use of green finance methods and renewable </w:t>
      </w:r>
      <w:proofErr w:type="spellStart"/>
      <w:proofErr w:type="gramStart"/>
      <w:r w:rsidRPr="001951EA">
        <w:rPr>
          <w:rFonts w:ascii="Times New Roman" w:hAnsi="Times New Roman" w:cs="Times New Roman"/>
          <w:sz w:val="24"/>
          <w:szCs w:val="24"/>
        </w:rPr>
        <w:t>energ</w:t>
      </w:r>
      <w:r>
        <w:rPr>
          <w:rFonts w:ascii="Times New Roman" w:hAnsi="Times New Roman" w:cs="Times New Roman"/>
          <w:sz w:val="24"/>
          <w:szCs w:val="24"/>
        </w:rPr>
        <w:t>y.T</w:t>
      </w:r>
      <w:r w:rsidRPr="001951EA">
        <w:rPr>
          <w:rFonts w:ascii="Times New Roman" w:hAnsi="Times New Roman" w:cs="Times New Roman"/>
          <w:sz w:val="24"/>
          <w:szCs w:val="24"/>
        </w:rPr>
        <w:t>heir</w:t>
      </w:r>
      <w:proofErr w:type="spellEnd"/>
      <w:proofErr w:type="gramEnd"/>
      <w:r w:rsidRPr="001951EA">
        <w:rPr>
          <w:rFonts w:ascii="Times New Roman" w:hAnsi="Times New Roman" w:cs="Times New Roman"/>
          <w:sz w:val="24"/>
          <w:szCs w:val="24"/>
        </w:rPr>
        <w:t xml:space="preserve"> research</w:t>
      </w:r>
      <w:r w:rsidR="0092439C">
        <w:rPr>
          <w:rFonts w:ascii="Times New Roman" w:hAnsi="Times New Roman" w:cs="Times New Roman"/>
          <w:sz w:val="24"/>
          <w:szCs w:val="24"/>
        </w:rPr>
        <w:t xml:space="preserve"> shows that</w:t>
      </w:r>
      <w:r w:rsidRPr="001951EA">
        <w:rPr>
          <w:rFonts w:ascii="Times New Roman" w:hAnsi="Times New Roman" w:cs="Times New Roman"/>
          <w:sz w:val="24"/>
          <w:szCs w:val="24"/>
        </w:rPr>
        <w:t xml:space="preserve"> firms are incentivized to utilize greener technology when they have better access to green financial instruments such green bonds, concessional loans, and funding connected to sustainability. They find that the usage of renewable energy has a mediating function by reducing carbon </w:t>
      </w:r>
      <w:r w:rsidRPr="001951EA">
        <w:rPr>
          <w:rFonts w:ascii="Times New Roman" w:hAnsi="Times New Roman" w:cs="Times New Roman"/>
          <w:sz w:val="24"/>
          <w:szCs w:val="24"/>
        </w:rPr>
        <w:lastRenderedPageBreak/>
        <w:t>intensity and improving overall environmental performance. The authors illustrated that high-emission companies can reduce their environmental impact while maintaining economic output provided green finance is backed by strong regulatory frameworks. Overall, the study verifies the premise that financial incentives paired with renewable energy expenditures might hasten the move toward sustainable industrial practices.</w:t>
      </w:r>
    </w:p>
    <w:p w14:paraId="1579F9D4" w14:textId="7BB0A091" w:rsidR="001951EA" w:rsidRPr="005A7FFA" w:rsidRDefault="00036379" w:rsidP="0039368F">
      <w:pPr>
        <w:numPr>
          <w:ilvl w:val="0"/>
          <w:numId w:val="2"/>
        </w:numPr>
        <w:pBdr>
          <w:top w:val="nil"/>
          <w:left w:val="nil"/>
          <w:bottom w:val="nil"/>
          <w:right w:val="nil"/>
          <w:between w:val="nil"/>
        </w:pBdr>
        <w:spacing w:before="280" w:after="0" w:line="360" w:lineRule="auto"/>
        <w:jc w:val="both"/>
        <w:rPr>
          <w:rFonts w:ascii="Times New Roman" w:eastAsia="Times New Roman" w:hAnsi="Times New Roman" w:cs="Times New Roman"/>
          <w:color w:val="000000"/>
          <w:sz w:val="24"/>
          <w:szCs w:val="24"/>
        </w:rPr>
      </w:pPr>
      <w:r w:rsidRPr="000B082A">
        <w:rPr>
          <w:rFonts w:ascii="Times New Roman" w:hAnsi="Times New Roman" w:cs="Times New Roman"/>
          <w:b/>
          <w:bCs/>
          <w:sz w:val="24"/>
          <w:szCs w:val="24"/>
        </w:rPr>
        <w:t>Al-Masri and Ibrahim (2025</w:t>
      </w:r>
      <w:r w:rsidRPr="000B082A">
        <w:rPr>
          <w:rFonts w:ascii="Times New Roman" w:hAnsi="Times New Roman" w:cs="Times New Roman"/>
          <w:sz w:val="24"/>
          <w:szCs w:val="24"/>
        </w:rPr>
        <w:t>) examine</w:t>
      </w:r>
      <w:r>
        <w:rPr>
          <w:rFonts w:ascii="Times New Roman" w:hAnsi="Times New Roman" w:cs="Times New Roman"/>
          <w:sz w:val="24"/>
          <w:szCs w:val="24"/>
        </w:rPr>
        <w:t>s</w:t>
      </w:r>
      <w:r w:rsidRPr="000B082A">
        <w:rPr>
          <w:rFonts w:ascii="Times New Roman" w:hAnsi="Times New Roman" w:cs="Times New Roman"/>
          <w:sz w:val="24"/>
          <w:szCs w:val="24"/>
        </w:rPr>
        <w:t xml:space="preserve"> how renewable energy, economic complexity, and green finance all contribute to sustainable development in Asian countries. According to their findings, nations with stronger industrial capacities are in a better position to adopt green financial systems and promote the usage of clean energy. The study also shows that integrated technological and financial frameworks improve environmental results. This contributes to the accumulating evidence that integrated policy and investment initiatives are crucial for long-term sustainability</w:t>
      </w:r>
    </w:p>
    <w:p w14:paraId="6B3F3D84" w14:textId="5D252E85" w:rsidR="005A7FFA" w:rsidRPr="005A7FFA" w:rsidRDefault="005A7FFA" w:rsidP="00C85417">
      <w:pPr>
        <w:pStyle w:val="ListParagraph"/>
        <w:numPr>
          <w:ilvl w:val="0"/>
          <w:numId w:val="2"/>
        </w:numPr>
        <w:spacing w:line="360" w:lineRule="auto"/>
        <w:jc w:val="both"/>
        <w:rPr>
          <w:rFonts w:ascii="Times New Roman" w:hAnsi="Times New Roman" w:cs="Times New Roman"/>
          <w:sz w:val="24"/>
          <w:szCs w:val="24"/>
        </w:rPr>
      </w:pPr>
      <w:r w:rsidRPr="005A7FFA">
        <w:rPr>
          <w:rFonts w:ascii="Times New Roman" w:hAnsi="Times New Roman" w:cs="Times New Roman"/>
          <w:b/>
          <w:bCs/>
          <w:sz w:val="24"/>
          <w:szCs w:val="24"/>
        </w:rPr>
        <w:t xml:space="preserve">Piao et al. (2025) </w:t>
      </w:r>
      <w:r w:rsidRPr="005A7FFA">
        <w:rPr>
          <w:rFonts w:ascii="Times New Roman" w:hAnsi="Times New Roman" w:cs="Times New Roman"/>
          <w:sz w:val="24"/>
          <w:szCs w:val="24"/>
        </w:rPr>
        <w:t>explore how green finance helps address the obstacles that impede green productivity growth. In accordance to their findings, funding for cleaner processes and eco-friendly technologies might significantly reduce development barriers. The analysis also shows that the positive effects of green finance on productivity are amplified by green transformation within businesses. Thus, the authors conclud</w:t>
      </w:r>
      <w:r>
        <w:rPr>
          <w:rFonts w:ascii="Times New Roman" w:hAnsi="Times New Roman" w:cs="Times New Roman"/>
          <w:sz w:val="24"/>
          <w:szCs w:val="24"/>
        </w:rPr>
        <w:t>es</w:t>
      </w:r>
      <w:r w:rsidRPr="005A7FFA">
        <w:rPr>
          <w:rFonts w:ascii="Times New Roman" w:hAnsi="Times New Roman" w:cs="Times New Roman"/>
          <w:sz w:val="24"/>
          <w:szCs w:val="24"/>
        </w:rPr>
        <w:t xml:space="preserve"> that strong green finance legislation, coupled with active organizational reform, are crucial for boosting sustainable production.</w:t>
      </w:r>
    </w:p>
    <w:p w14:paraId="13305954" w14:textId="77777777" w:rsidR="00403E22" w:rsidRDefault="00FB2E38" w:rsidP="00403E22">
      <w:pPr>
        <w:pStyle w:val="ListParagraph"/>
        <w:numPr>
          <w:ilvl w:val="0"/>
          <w:numId w:val="2"/>
        </w:numPr>
        <w:spacing w:line="360" w:lineRule="auto"/>
        <w:jc w:val="both"/>
        <w:rPr>
          <w:rFonts w:ascii="Times New Roman" w:hAnsi="Times New Roman" w:cs="Times New Roman"/>
          <w:sz w:val="24"/>
          <w:szCs w:val="24"/>
        </w:rPr>
      </w:pPr>
      <w:r w:rsidRPr="00FB2E38">
        <w:rPr>
          <w:rFonts w:ascii="Times New Roman" w:hAnsi="Times New Roman" w:cs="Times New Roman"/>
          <w:b/>
          <w:bCs/>
          <w:sz w:val="24"/>
          <w:szCs w:val="24"/>
        </w:rPr>
        <w:t>Zhu et al. (2025)</w:t>
      </w:r>
      <w:r w:rsidRPr="00FB2E38">
        <w:rPr>
          <w:rFonts w:ascii="Times New Roman" w:hAnsi="Times New Roman" w:cs="Times New Roman"/>
          <w:sz w:val="24"/>
          <w:szCs w:val="24"/>
        </w:rPr>
        <w:t xml:space="preserve"> conduct a thorough analysis of how different changes in green finance impact the renewable energy industry. According to their research, new financial incentives including green credit programs, targeted subsidies, and more specific investment laws greatly boost the availability of financing for clean energy projects. </w:t>
      </w:r>
      <w:proofErr w:type="gramStart"/>
      <w:r w:rsidRPr="00FB2E38">
        <w:rPr>
          <w:rFonts w:ascii="Times New Roman" w:hAnsi="Times New Roman" w:cs="Times New Roman"/>
          <w:sz w:val="24"/>
          <w:szCs w:val="24"/>
        </w:rPr>
        <w:t>likewise</w:t>
      </w:r>
      <w:proofErr w:type="gramEnd"/>
      <w:r w:rsidRPr="00FB2E38">
        <w:rPr>
          <w:rFonts w:ascii="Times New Roman" w:hAnsi="Times New Roman" w:cs="Times New Roman"/>
          <w:sz w:val="24"/>
          <w:szCs w:val="24"/>
        </w:rPr>
        <w:t xml:space="preserve"> they discover that open review processes and stable legislation encourage long-term investor participation, which accelerates project implementation and improves technological acceptance. As a whole, the authors stress that well-structured green funding changes not only promote renewable </w:t>
      </w:r>
      <w:r w:rsidRPr="00FB2E38">
        <w:rPr>
          <w:rFonts w:ascii="Times New Roman" w:hAnsi="Times New Roman" w:cs="Times New Roman"/>
          <w:sz w:val="24"/>
          <w:szCs w:val="24"/>
        </w:rPr>
        <w:lastRenderedPageBreak/>
        <w:t>energy expansion but also strengthen the overall sustainability of the energy system.</w:t>
      </w:r>
    </w:p>
    <w:p w14:paraId="0F2981AA" w14:textId="6E321A85" w:rsidR="00E611D1" w:rsidRPr="00403E22" w:rsidRDefault="003E2051" w:rsidP="00403E22">
      <w:pPr>
        <w:pStyle w:val="ListParagraph"/>
        <w:numPr>
          <w:ilvl w:val="0"/>
          <w:numId w:val="2"/>
        </w:numPr>
        <w:spacing w:line="360" w:lineRule="auto"/>
        <w:jc w:val="both"/>
        <w:rPr>
          <w:rFonts w:ascii="Times New Roman" w:hAnsi="Times New Roman" w:cs="Times New Roman"/>
          <w:sz w:val="24"/>
          <w:szCs w:val="24"/>
        </w:rPr>
      </w:pPr>
      <w:proofErr w:type="spellStart"/>
      <w:r w:rsidRPr="00403E22">
        <w:rPr>
          <w:rFonts w:ascii="Times New Roman" w:eastAsia="Times New Roman" w:hAnsi="Times New Roman" w:cs="Times New Roman"/>
          <w:b/>
          <w:bCs/>
          <w:color w:val="000000"/>
          <w:sz w:val="24"/>
          <w:szCs w:val="24"/>
        </w:rPr>
        <w:t>Khemnar</w:t>
      </w:r>
      <w:proofErr w:type="spellEnd"/>
      <w:r w:rsidRPr="00403E22">
        <w:rPr>
          <w:rFonts w:ascii="Times New Roman" w:eastAsia="Times New Roman" w:hAnsi="Times New Roman" w:cs="Times New Roman"/>
          <w:b/>
          <w:bCs/>
          <w:color w:val="000000"/>
          <w:sz w:val="24"/>
          <w:szCs w:val="24"/>
        </w:rPr>
        <w:t xml:space="preserve"> and Pandey (2024)</w:t>
      </w:r>
      <w:r w:rsidRPr="00403E22">
        <w:rPr>
          <w:rFonts w:ascii="Times New Roman" w:eastAsia="Times New Roman" w:hAnsi="Times New Roman" w:cs="Times New Roman"/>
          <w:color w:val="000000"/>
          <w:sz w:val="24"/>
          <w:szCs w:val="24"/>
        </w:rPr>
        <w:t xml:space="preserve"> Their study highlights green finance as a key driver of India’s renewable energy expansion, noting that instruments like green bonds, concessional loans, and sustainability-linked investments enhance capital access and lower risks. It also points to the crucial role of supportive policies, institutional frameworks, and international funding. Overall, the research identifies green finance as both an economic catalyst and a strategic tool for advancing India’s environmental and development objectives.</w:t>
      </w:r>
    </w:p>
    <w:p w14:paraId="46601EEA" w14:textId="77777777" w:rsidR="00E611D1" w:rsidRDefault="003E2051" w:rsidP="0039368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Mohanty (2024)</w:t>
      </w:r>
      <w:r>
        <w:rPr>
          <w:rFonts w:ascii="Times New Roman" w:eastAsia="Times New Roman" w:hAnsi="Times New Roman" w:cs="Times New Roman"/>
          <w:color w:val="000000"/>
          <w:sz w:val="24"/>
          <w:szCs w:val="24"/>
        </w:rPr>
        <w:t xml:space="preserve"> analyzes India’s renewable energy financing, emphasizing the role of green bonds, carbon credits, venture capital, and public–private partnerships in scaling sustainable investments. The study highlights that effective policies, fiscal incentives, and risk-mitigation measures are vital to attract investors, while improved financial literacy and institutional support enhance project sustainability. It concludes that structured financing mechanisms are key to accelerating India’s shift toward a low-carbon, energy-secure economy.</w:t>
      </w:r>
    </w:p>
    <w:p w14:paraId="708ECDC6" w14:textId="77777777" w:rsidR="00E611D1" w:rsidRDefault="003E2051" w:rsidP="0039368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Dong et al. (2023)</w:t>
      </w:r>
      <w:r>
        <w:rPr>
          <w:rFonts w:ascii="Times New Roman" w:eastAsia="Times New Roman" w:hAnsi="Times New Roman" w:cs="Times New Roman"/>
          <w:color w:val="000000"/>
          <w:sz w:val="24"/>
          <w:szCs w:val="24"/>
        </w:rPr>
        <w:t xml:space="preserve"> examine the interaction between renewable energy investment, green finance, and geopolitical risk in reducing environmental pollution in China. The study finds that increases in green finance and clean energy innovation significantly lower pollution, while geopolitical instability weakens these effects. It concludes that aligning financial investment, technological progress, and geopolitical stability is essential for sustainable development.</w:t>
      </w:r>
    </w:p>
    <w:p w14:paraId="5722A615" w14:textId="674A6525" w:rsidR="00C85417" w:rsidRDefault="00C85417" w:rsidP="0039368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6D32E4">
        <w:rPr>
          <w:rFonts w:ascii="Times New Roman" w:hAnsi="Times New Roman" w:cs="Times New Roman"/>
          <w:b/>
          <w:bCs/>
          <w:sz w:val="24"/>
          <w:szCs w:val="24"/>
        </w:rPr>
        <w:t>Zheng</w:t>
      </w:r>
      <w:r>
        <w:rPr>
          <w:rFonts w:ascii="Times New Roman" w:hAnsi="Times New Roman" w:cs="Times New Roman"/>
          <w:b/>
          <w:bCs/>
          <w:sz w:val="24"/>
          <w:szCs w:val="24"/>
        </w:rPr>
        <w:t xml:space="preserve"> </w:t>
      </w:r>
      <w:r w:rsidRPr="002556AF">
        <w:rPr>
          <w:rFonts w:ascii="Times New Roman" w:hAnsi="Times New Roman" w:cs="Times New Roman"/>
          <w:b/>
          <w:bCs/>
          <w:sz w:val="24"/>
          <w:szCs w:val="24"/>
        </w:rPr>
        <w:t>et al.</w:t>
      </w:r>
      <w:r w:rsidRPr="006D32E4">
        <w:rPr>
          <w:rFonts w:ascii="Times New Roman" w:hAnsi="Times New Roman" w:cs="Times New Roman"/>
          <w:b/>
          <w:bCs/>
          <w:sz w:val="24"/>
          <w:szCs w:val="24"/>
        </w:rPr>
        <w:t xml:space="preserve"> (2023)</w:t>
      </w:r>
      <w:r w:rsidRPr="006D32E4">
        <w:rPr>
          <w:rFonts w:ascii="Times New Roman" w:hAnsi="Times New Roman" w:cs="Times New Roman"/>
          <w:sz w:val="24"/>
          <w:szCs w:val="24"/>
        </w:rPr>
        <w:t xml:space="preserve"> explore how green finance helps the expansion of renewable energy in China. Their analysis reveals that specialized financial </w:t>
      </w:r>
      <w:proofErr w:type="spellStart"/>
      <w:proofErr w:type="gramStart"/>
      <w:r w:rsidRPr="006D32E4">
        <w:rPr>
          <w:rFonts w:ascii="Times New Roman" w:hAnsi="Times New Roman" w:cs="Times New Roman"/>
          <w:sz w:val="24"/>
          <w:szCs w:val="24"/>
        </w:rPr>
        <w:t>instruments</w:t>
      </w:r>
      <w:r>
        <w:rPr>
          <w:rFonts w:ascii="Times New Roman" w:hAnsi="Times New Roman" w:cs="Times New Roman"/>
          <w:sz w:val="24"/>
          <w:szCs w:val="24"/>
        </w:rPr>
        <w:t>,</w:t>
      </w:r>
      <w:r w:rsidRPr="006D32E4">
        <w:rPr>
          <w:rFonts w:ascii="Times New Roman" w:hAnsi="Times New Roman" w:cs="Times New Roman"/>
          <w:sz w:val="24"/>
          <w:szCs w:val="24"/>
        </w:rPr>
        <w:t>such</w:t>
      </w:r>
      <w:proofErr w:type="spellEnd"/>
      <w:proofErr w:type="gramEnd"/>
      <w:r w:rsidRPr="006D32E4">
        <w:rPr>
          <w:rFonts w:ascii="Times New Roman" w:hAnsi="Times New Roman" w:cs="Times New Roman"/>
          <w:sz w:val="24"/>
          <w:szCs w:val="24"/>
        </w:rPr>
        <w:t xml:space="preserve"> as green credit and green bonds</w:t>
      </w:r>
      <w:r>
        <w:rPr>
          <w:rFonts w:ascii="Times New Roman" w:hAnsi="Times New Roman" w:cs="Times New Roman"/>
          <w:sz w:val="24"/>
          <w:szCs w:val="24"/>
        </w:rPr>
        <w:t xml:space="preserve"> main</w:t>
      </w:r>
      <w:r w:rsidRPr="006D32E4">
        <w:rPr>
          <w:rFonts w:ascii="Times New Roman" w:hAnsi="Times New Roman" w:cs="Times New Roman"/>
          <w:sz w:val="24"/>
          <w:szCs w:val="24"/>
        </w:rPr>
        <w:t>ly promote investment in clean-energy initiatives. The authors also discover that more green funding accelerates China's low-carbon transition and decreases reliance on traditional energy sources.</w:t>
      </w:r>
      <w:r>
        <w:rPr>
          <w:rFonts w:ascii="Times New Roman" w:hAnsi="Times New Roman" w:cs="Times New Roman"/>
          <w:sz w:val="24"/>
          <w:szCs w:val="24"/>
        </w:rPr>
        <w:t xml:space="preserve"> Concluding</w:t>
      </w:r>
      <w:r w:rsidRPr="006D32E4">
        <w:rPr>
          <w:rFonts w:ascii="Times New Roman" w:hAnsi="Times New Roman" w:cs="Times New Roman"/>
          <w:sz w:val="24"/>
          <w:szCs w:val="24"/>
        </w:rPr>
        <w:t>, the data indicates the fundamental role of financial adjustments to driving renewable energy growth</w:t>
      </w:r>
    </w:p>
    <w:p w14:paraId="31790BCF" w14:textId="77777777" w:rsidR="00E611D1" w:rsidRDefault="003E2051" w:rsidP="0039368F">
      <w:pPr>
        <w:numPr>
          <w:ilvl w:val="0"/>
          <w:numId w:val="2"/>
        </w:numPr>
        <w:pBdr>
          <w:top w:val="nil"/>
          <w:left w:val="nil"/>
          <w:bottom w:val="nil"/>
          <w:right w:val="nil"/>
          <w:between w:val="nil"/>
        </w:pBdr>
        <w:spacing w:after="0" w:line="360" w:lineRule="auto"/>
        <w:jc w:val="both"/>
        <w:rPr>
          <w:color w:val="000000"/>
        </w:rPr>
      </w:pPr>
      <w:r>
        <w:rPr>
          <w:rFonts w:ascii="Times New Roman" w:eastAsia="Times New Roman" w:hAnsi="Times New Roman" w:cs="Times New Roman"/>
          <w:color w:val="000000"/>
          <w:sz w:val="24"/>
          <w:szCs w:val="24"/>
        </w:rPr>
        <w:t xml:space="preserve">According to </w:t>
      </w:r>
      <w:proofErr w:type="spellStart"/>
      <w:r>
        <w:rPr>
          <w:rFonts w:ascii="Times New Roman" w:eastAsia="Times New Roman" w:hAnsi="Times New Roman" w:cs="Times New Roman"/>
          <w:b/>
          <w:bCs/>
          <w:color w:val="000000"/>
          <w:sz w:val="24"/>
          <w:szCs w:val="24"/>
        </w:rPr>
        <w:t>Mavlutova</w:t>
      </w:r>
      <w:proofErr w:type="spellEnd"/>
      <w:r>
        <w:rPr>
          <w:rFonts w:ascii="Times New Roman" w:eastAsia="Times New Roman" w:hAnsi="Times New Roman" w:cs="Times New Roman"/>
          <w:b/>
          <w:bCs/>
          <w:color w:val="000000"/>
          <w:sz w:val="24"/>
          <w:szCs w:val="24"/>
        </w:rPr>
        <w:t xml:space="preserve"> et al. (2023),</w:t>
      </w:r>
      <w:r>
        <w:rPr>
          <w:rFonts w:ascii="Times New Roman" w:eastAsia="Times New Roman" w:hAnsi="Times New Roman" w:cs="Times New Roman"/>
          <w:color w:val="000000"/>
          <w:sz w:val="24"/>
          <w:szCs w:val="24"/>
        </w:rPr>
        <w:t xml:space="preserve"> Green finance has become a key driver of sustainability and renewable energy growth in OECD countries. Since 2018, </w:t>
      </w:r>
      <w:r>
        <w:rPr>
          <w:rFonts w:ascii="Times New Roman" w:eastAsia="Times New Roman" w:hAnsi="Times New Roman" w:cs="Times New Roman"/>
          <w:color w:val="000000"/>
          <w:sz w:val="24"/>
          <w:szCs w:val="24"/>
        </w:rPr>
        <w:lastRenderedPageBreak/>
        <w:t>research and policy interest in green bonds and sustainable investments has risen sharply. The study finds that expanding green bond markets reduces carbon intensity and increases the share of renewables in the energy mix. However, inconsistent regulations, weak verification, and greenwashing risks remain major challenges, underscoring the need for stronger governance and institutional coordination to improve the effectiveness of green finance.</w:t>
      </w:r>
    </w:p>
    <w:p w14:paraId="0BC6C6D0" w14:textId="77777777" w:rsidR="00E611D1" w:rsidRDefault="003E2051" w:rsidP="0039368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Lin et al</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b/>
          <w:bCs/>
          <w:color w:val="000000"/>
          <w:sz w:val="24"/>
          <w:szCs w:val="24"/>
        </w:rPr>
        <w:t xml:space="preserve"> (2023)</w:t>
      </w:r>
      <w:r>
        <w:rPr>
          <w:rFonts w:ascii="Times New Roman" w:eastAsia="Times New Roman" w:hAnsi="Times New Roman" w:cs="Times New Roman"/>
          <w:color w:val="000000"/>
          <w:sz w:val="24"/>
          <w:szCs w:val="24"/>
        </w:rPr>
        <w:t xml:space="preserve"> study explores the impact of sustainable finance, geopolitical risks, and economic growth on renewable energy investments in China. They find that sustainable financial instruments boost renewable energy deployment, while geopolitical uncertainties hinder investment. Economic expansion enhances green financing policies effectiveness.</w:t>
      </w:r>
    </w:p>
    <w:p w14:paraId="63C5DF65" w14:textId="77777777" w:rsidR="00E611D1" w:rsidRDefault="003E2051" w:rsidP="0039368F">
      <w:pPr>
        <w:numPr>
          <w:ilvl w:val="0"/>
          <w:numId w:val="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4"/>
          <w:szCs w:val="24"/>
        </w:rPr>
        <w:t>Sun and Chen (2022)</w:t>
      </w:r>
      <w:r>
        <w:rPr>
          <w:rFonts w:ascii="Times New Roman" w:eastAsia="Times New Roman" w:hAnsi="Times New Roman" w:cs="Times New Roman"/>
          <w:color w:val="000000"/>
          <w:sz w:val="24"/>
          <w:szCs w:val="24"/>
        </w:rPr>
        <w:t>, investigated the impact of green finance on China’s regional energy consumption using provincial panel data and a system GMM model. They find that green finance reduces fossil fuel reliance and promotes renewable energy, especially in central and western regions. The study highlights its role in achieving China’s “dual carbon” goals but notes data limitations and regional gaps, suggesting future research use more detailed, region-specific analyses.</w:t>
      </w:r>
    </w:p>
    <w:p w14:paraId="3BA6BB41" w14:textId="66AD1E6E" w:rsidR="001951EA" w:rsidRPr="004F55D3" w:rsidRDefault="003E2051" w:rsidP="004F55D3">
      <w:pPr>
        <w:numPr>
          <w:ilvl w:val="0"/>
          <w:numId w:val="2"/>
        </w:numPr>
        <w:pBdr>
          <w:top w:val="nil"/>
          <w:left w:val="nil"/>
          <w:bottom w:val="nil"/>
          <w:right w:val="nil"/>
          <w:between w:val="nil"/>
        </w:pBdr>
        <w:spacing w:after="28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Sarangi (2018)</w:t>
      </w:r>
      <w:r>
        <w:rPr>
          <w:rFonts w:ascii="Times New Roman" w:eastAsia="Times New Roman" w:hAnsi="Times New Roman" w:cs="Times New Roman"/>
          <w:color w:val="000000"/>
          <w:sz w:val="24"/>
          <w:szCs w:val="24"/>
        </w:rPr>
        <w:t xml:space="preserve"> highlights key barriers to green energy financing, including limited long-term capital, high investment risks, and weak policy coordination. The study advocates for innovative tools such as green bonds and risk-mitigation funds to attract private investment and concludes that strong regulatory and institutional frameworks are vital to expand sustainable energy finance in India.</w:t>
      </w:r>
    </w:p>
    <w:p w14:paraId="6A5C42F0" w14:textId="77777777" w:rsidR="00E611D1" w:rsidRDefault="003E2051" w:rsidP="0039368F">
      <w:pPr>
        <w:spacing w:before="280" w:after="28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Research Gap</w:t>
      </w:r>
    </w:p>
    <w:p w14:paraId="7080CE78" w14:textId="77777777" w:rsidR="00E611D1" w:rsidRDefault="003E2051" w:rsidP="0039368F">
      <w:pPr>
        <w:spacing w:before="280" w:after="28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color w:val="000000"/>
          <w:sz w:val="24"/>
          <w:szCs w:val="24"/>
        </w:rPr>
        <w:t>Existing research primarily focuses on green finance as a tool for renewable energy deployment, with little attention to its direct impact on export competitiveness. The interaction between sustainable finance and trade policy is rarely examined in an integrated framework. Addressing this gap requires analyzing how financial mechanisms, institutional structures, and policy instruments can collectively strengthen India’s renewable export position in global markets.</w:t>
      </w:r>
    </w:p>
    <w:p w14:paraId="187DD745" w14:textId="77777777" w:rsidR="00E611D1" w:rsidRDefault="003E2051" w:rsidP="0039368F">
      <w:pPr>
        <w:spacing w:before="280" w:after="280"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lastRenderedPageBreak/>
        <w:t>Objectives of the Study</w:t>
      </w:r>
    </w:p>
    <w:p w14:paraId="2EB82758" w14:textId="77777777" w:rsidR="00E611D1" w:rsidRDefault="003E2051" w:rsidP="0039368F">
      <w:pPr>
        <w:numPr>
          <w:ilvl w:val="0"/>
          <w:numId w:val="4"/>
        </w:numPr>
        <w:pBdr>
          <w:top w:val="nil"/>
          <w:left w:val="nil"/>
          <w:bottom w:val="nil"/>
          <w:right w:val="nil"/>
          <w:between w:val="nil"/>
        </w:pBdr>
        <w:spacing w:before="280"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analyze the sectoral composition and export performance of India’s renewable energy industry during FY 2023–24. </w:t>
      </w:r>
    </w:p>
    <w:p w14:paraId="69CA1410" w14:textId="77777777" w:rsidR="00E611D1" w:rsidRDefault="003E2051" w:rsidP="0039368F">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To evaluate the role of green finance in strengthening India’s renewable energy trade within the emerging world trade order.</w:t>
      </w:r>
    </w:p>
    <w:p w14:paraId="08709364" w14:textId="77777777" w:rsidR="00E611D1" w:rsidRDefault="003E2051" w:rsidP="0039368F">
      <w:pPr>
        <w:pStyle w:val="Heading2"/>
        <w:numPr>
          <w:ilvl w:val="0"/>
          <w:numId w:val="4"/>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val="0"/>
          <w:bCs w:val="0"/>
          <w:color w:val="000000"/>
          <w:sz w:val="24"/>
          <w:szCs w:val="24"/>
        </w:rPr>
        <w:t>To assess the impact of green bond financing on the competitiveness of India’s solar photovoltaic exports.</w:t>
      </w:r>
    </w:p>
    <w:p w14:paraId="61D3142E" w14:textId="77777777" w:rsidR="00E611D1" w:rsidRDefault="003E2051" w:rsidP="0039368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Statement of the Problem</w:t>
      </w:r>
    </w:p>
    <w:p w14:paraId="79BA1308"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Although India has become a significant producer of renewable energy, its proportion of the world's exports of renewable energy is still small. Although programs like concessional credit and green bonds have broadened the reach of green financing, there is still no connection between them and renewable energy projects that are focused on exports. High finance costs, restricted access to trade-related green capital, and more strict international regulations like carbon border systems and ESG compliance are still major challenges for exporters. India's capacity to efficiently provide green funding to renewable export industries is essential in the rapidly changing sustainable trade scenario, where competitiveness depends on environmental efficiency and involvement in green value chains. To close this gap, a thorough assessment of institutional frameworks, financial flows, and policy initiatives is necessary to improve the performance of renewable exports and reinforce India’s standing in the global low-carbon economy.</w:t>
      </w:r>
    </w:p>
    <w:p w14:paraId="72791071" w14:textId="77777777" w:rsidR="00E611D1" w:rsidRDefault="003E2051" w:rsidP="00F043F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8"/>
          <w:szCs w:val="28"/>
        </w:rPr>
        <w:t>Research Methodology</w:t>
      </w:r>
      <w:r>
        <w:rPr>
          <w:rFonts w:ascii="Times New Roman" w:eastAsia="Times New Roman" w:hAnsi="Times New Roman" w:cs="Times New Roman"/>
          <w:sz w:val="24"/>
          <w:szCs w:val="24"/>
        </w:rPr>
        <w:br/>
        <w:t>The study employs a descriptive-analytical design based on secondary data from credible sources, including the Climate Policy Initiative (2024), Ministry of Commerce &amp; Industry, EXIM Bank, IEA, WTO, and RBI. Two analytical tools guide the assessment:</w:t>
      </w:r>
    </w:p>
    <w:p w14:paraId="2978A6AE" w14:textId="77777777" w:rsidR="00E611D1" w:rsidRDefault="003E2051" w:rsidP="0039368F">
      <w:pPr>
        <w:numPr>
          <w:ilvl w:val="0"/>
          <w:numId w:val="3"/>
        </w:numPr>
        <w:spacing w:line="360" w:lineRule="auto"/>
        <w:jc w:val="both"/>
      </w:pPr>
      <w:r>
        <w:rPr>
          <w:rFonts w:ascii="Times New Roman" w:eastAsia="Times New Roman" w:hAnsi="Times New Roman" w:cs="Times New Roman"/>
          <w:b/>
          <w:bCs/>
          <w:sz w:val="24"/>
          <w:szCs w:val="24"/>
        </w:rPr>
        <w:t>PESTLE Analysis</w:t>
      </w:r>
      <w:r>
        <w:rPr>
          <w:rFonts w:ascii="Times New Roman" w:eastAsia="Times New Roman" w:hAnsi="Times New Roman" w:cs="Times New Roman"/>
          <w:sz w:val="24"/>
          <w:szCs w:val="24"/>
        </w:rPr>
        <w:t xml:space="preserve"> – Evaluates the political, economic, social, technological, legal, and environmental factors shaping India’s renewable export ecosystem.</w:t>
      </w:r>
    </w:p>
    <w:p w14:paraId="149F1CC8" w14:textId="77777777" w:rsidR="00E611D1" w:rsidRDefault="003E2051" w:rsidP="0039368F">
      <w:pPr>
        <w:numPr>
          <w:ilvl w:val="0"/>
          <w:numId w:val="3"/>
        </w:numPr>
        <w:spacing w:line="360" w:lineRule="auto"/>
        <w:jc w:val="both"/>
      </w:pPr>
      <w:r>
        <w:rPr>
          <w:rFonts w:ascii="Times New Roman" w:eastAsia="Times New Roman" w:hAnsi="Times New Roman" w:cs="Times New Roman"/>
          <w:b/>
          <w:bCs/>
          <w:sz w:val="24"/>
          <w:szCs w:val="24"/>
        </w:rPr>
        <w:lastRenderedPageBreak/>
        <w:t>Financial Flow Mapping</w:t>
      </w:r>
      <w:r>
        <w:rPr>
          <w:rFonts w:ascii="Times New Roman" w:eastAsia="Times New Roman" w:hAnsi="Times New Roman" w:cs="Times New Roman"/>
          <w:sz w:val="24"/>
          <w:szCs w:val="24"/>
        </w:rPr>
        <w:t xml:space="preserve"> – Traces domestic and international green funds directed toward export-linked renewable projects, identifying the proportion and effectiveness of trade-focused finance.</w:t>
      </w:r>
    </w:p>
    <w:p w14:paraId="371FE7A5"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Data cover FY 2023–24 and include export values, financial flows, and sectoral performance across solar, wind, bioenergy, green hydrogen, and storage technologies. While the approach identifies correlations, causal inference is limited due to data constraints.</w:t>
      </w:r>
    </w:p>
    <w:p w14:paraId="5E066740" w14:textId="4AAD2B1A" w:rsidR="00E611D1" w:rsidRDefault="00562D52"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8"/>
          <w:szCs w:val="28"/>
        </w:rPr>
        <w:t>Table 1</w:t>
      </w:r>
      <w:r w:rsidR="00F043FD">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Export Performance of India’s Renewable Energy Sector (2023–24)</w:t>
      </w:r>
    </w:p>
    <w:tbl>
      <w:tblPr>
        <w:tblStyle w:val="a"/>
        <w:tblW w:w="9401"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718"/>
        <w:gridCol w:w="1923"/>
        <w:gridCol w:w="1563"/>
        <w:gridCol w:w="1629"/>
        <w:gridCol w:w="1574"/>
        <w:gridCol w:w="1994"/>
      </w:tblGrid>
      <w:tr w:rsidR="00E611D1" w14:paraId="6C5E31F5" w14:textId="77777777" w:rsidTr="00E611D1">
        <w:trPr>
          <w:cnfStyle w:val="100000000000" w:firstRow="1" w:lastRow="0" w:firstColumn="0" w:lastColumn="0" w:oddVBand="0" w:evenVBand="0" w:oddHBand="0" w:evenHBand="0" w:firstRowFirstColumn="0" w:firstRowLastColumn="0" w:lastRowFirstColumn="0" w:lastRowLastColumn="0"/>
          <w:trHeight w:val="1439"/>
        </w:trPr>
        <w:tc>
          <w:tcPr>
            <w:cnfStyle w:val="001000000000" w:firstRow="0" w:lastRow="0" w:firstColumn="1" w:lastColumn="0" w:oddVBand="0" w:evenVBand="0" w:oddHBand="0" w:evenHBand="0" w:firstRowFirstColumn="0" w:firstRowLastColumn="0" w:lastRowFirstColumn="0" w:lastRowLastColumn="0"/>
            <w:tcW w:w="718" w:type="dxa"/>
          </w:tcPr>
          <w:p w14:paraId="36B3F8F0" w14:textId="77777777" w:rsidR="00E611D1" w:rsidRDefault="003E2051" w:rsidP="0039368F">
            <w:pPr>
              <w:spacing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S.No</w:t>
            </w:r>
            <w:proofErr w:type="spellEnd"/>
            <w:r>
              <w:rPr>
                <w:rFonts w:ascii="Times New Roman" w:eastAsia="Times New Roman" w:hAnsi="Times New Roman" w:cs="Times New Roman"/>
              </w:rPr>
              <w:t>.</w:t>
            </w:r>
          </w:p>
        </w:tc>
        <w:tc>
          <w:tcPr>
            <w:tcW w:w="1923" w:type="dxa"/>
          </w:tcPr>
          <w:p w14:paraId="3161DE3D" w14:textId="77777777" w:rsidR="00E611D1" w:rsidRDefault="003E2051" w:rsidP="0039368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PRODUCT</w:t>
            </w:r>
          </w:p>
        </w:tc>
        <w:tc>
          <w:tcPr>
            <w:tcW w:w="1563" w:type="dxa"/>
          </w:tcPr>
          <w:p w14:paraId="129795D7" w14:textId="77777777" w:rsidR="00E611D1" w:rsidRDefault="003E2051" w:rsidP="0039368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CATEGORY</w:t>
            </w:r>
          </w:p>
        </w:tc>
        <w:tc>
          <w:tcPr>
            <w:tcW w:w="1629" w:type="dxa"/>
          </w:tcPr>
          <w:p w14:paraId="5C5C1E1D" w14:textId="77777777" w:rsidR="00E611D1" w:rsidRDefault="003E2051" w:rsidP="0039368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EXPORT VALUE (2023-2024)</w:t>
            </w:r>
          </w:p>
        </w:tc>
        <w:tc>
          <w:tcPr>
            <w:tcW w:w="1574" w:type="dxa"/>
          </w:tcPr>
          <w:p w14:paraId="54FC238A" w14:textId="77777777" w:rsidR="00E611D1" w:rsidRDefault="003E2051" w:rsidP="0039368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INDIA’S SHARE IN TOTAL EXPORT (%)</w:t>
            </w:r>
          </w:p>
        </w:tc>
        <w:tc>
          <w:tcPr>
            <w:tcW w:w="1994" w:type="dxa"/>
          </w:tcPr>
          <w:p w14:paraId="67EC3946" w14:textId="77777777" w:rsidR="00E611D1" w:rsidRDefault="003E2051" w:rsidP="0039368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KEY EXPORT DESTINATIONS</w:t>
            </w:r>
          </w:p>
        </w:tc>
      </w:tr>
      <w:tr w:rsidR="00E611D1" w14:paraId="3DC458AA" w14:textId="77777777" w:rsidTr="00E611D1">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718" w:type="dxa"/>
          </w:tcPr>
          <w:p w14:paraId="74AF63AF" w14:textId="77777777" w:rsidR="00E611D1" w:rsidRDefault="00E611D1" w:rsidP="0039368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p>
        </w:tc>
        <w:tc>
          <w:tcPr>
            <w:tcW w:w="1923" w:type="dxa"/>
          </w:tcPr>
          <w:p w14:paraId="07902F22"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Solar Photovoltaic Modules and Cells</w:t>
            </w:r>
          </w:p>
        </w:tc>
        <w:tc>
          <w:tcPr>
            <w:tcW w:w="1563" w:type="dxa"/>
          </w:tcPr>
          <w:p w14:paraId="416CD6E3"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Equipment</w:t>
            </w:r>
          </w:p>
        </w:tc>
        <w:tc>
          <w:tcPr>
            <w:tcW w:w="1629" w:type="dxa"/>
          </w:tcPr>
          <w:p w14:paraId="077C8A66"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₹21,000 Cr (USD 2.5 Bn)</w:t>
            </w:r>
          </w:p>
        </w:tc>
        <w:tc>
          <w:tcPr>
            <w:tcW w:w="1574" w:type="dxa"/>
          </w:tcPr>
          <w:p w14:paraId="4FD62CEB"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0.42%</w:t>
            </w:r>
          </w:p>
        </w:tc>
        <w:tc>
          <w:tcPr>
            <w:tcW w:w="1994" w:type="dxa"/>
          </w:tcPr>
          <w:p w14:paraId="6686003F"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USA, UAE, Netherlands, Singapore</w:t>
            </w:r>
          </w:p>
        </w:tc>
      </w:tr>
      <w:tr w:rsidR="00E611D1" w14:paraId="2E7D585D" w14:textId="77777777" w:rsidTr="00E611D1">
        <w:trPr>
          <w:trHeight w:val="846"/>
        </w:trPr>
        <w:tc>
          <w:tcPr>
            <w:cnfStyle w:val="001000000000" w:firstRow="0" w:lastRow="0" w:firstColumn="1" w:lastColumn="0" w:oddVBand="0" w:evenVBand="0" w:oddHBand="0" w:evenHBand="0" w:firstRowFirstColumn="0" w:firstRowLastColumn="0" w:lastRowFirstColumn="0" w:lastRowLastColumn="0"/>
            <w:tcW w:w="718" w:type="dxa"/>
          </w:tcPr>
          <w:p w14:paraId="308A3B30" w14:textId="77777777" w:rsidR="00E611D1" w:rsidRDefault="00E611D1" w:rsidP="0039368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p>
        </w:tc>
        <w:tc>
          <w:tcPr>
            <w:tcW w:w="1923" w:type="dxa"/>
          </w:tcPr>
          <w:p w14:paraId="420D7A94"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Wind Turbine Components (Blades, Turbines &amp; Gearboxes)</w:t>
            </w:r>
          </w:p>
        </w:tc>
        <w:tc>
          <w:tcPr>
            <w:tcW w:w="1563" w:type="dxa"/>
          </w:tcPr>
          <w:p w14:paraId="1A2446F3"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Machinery</w:t>
            </w:r>
          </w:p>
        </w:tc>
        <w:tc>
          <w:tcPr>
            <w:tcW w:w="1629" w:type="dxa"/>
          </w:tcPr>
          <w:p w14:paraId="7CC2A12E"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₹6,500 Cr (USD 780 Mn)</w:t>
            </w:r>
          </w:p>
        </w:tc>
        <w:tc>
          <w:tcPr>
            <w:tcW w:w="1574" w:type="dxa"/>
          </w:tcPr>
          <w:p w14:paraId="51AE57CC"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0.13%</w:t>
            </w:r>
          </w:p>
        </w:tc>
        <w:tc>
          <w:tcPr>
            <w:tcW w:w="1994" w:type="dxa"/>
          </w:tcPr>
          <w:p w14:paraId="286B1124"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Brazil, UK, South Africa, Vietnam</w:t>
            </w:r>
          </w:p>
        </w:tc>
      </w:tr>
      <w:tr w:rsidR="00E611D1" w:rsidRPr="00A7770B" w14:paraId="700C3FC0" w14:textId="77777777" w:rsidTr="00E611D1">
        <w:trPr>
          <w:cnfStyle w:val="000000100000" w:firstRow="0" w:lastRow="0" w:firstColumn="0" w:lastColumn="0" w:oddVBand="0" w:evenVBand="0" w:oddHBand="1" w:evenHBand="0" w:firstRowFirstColumn="0" w:firstRowLastColumn="0" w:lastRowFirstColumn="0" w:lastRowLastColumn="0"/>
          <w:trHeight w:val="1038"/>
        </w:trPr>
        <w:tc>
          <w:tcPr>
            <w:cnfStyle w:val="001000000000" w:firstRow="0" w:lastRow="0" w:firstColumn="1" w:lastColumn="0" w:oddVBand="0" w:evenVBand="0" w:oddHBand="0" w:evenHBand="0" w:firstRowFirstColumn="0" w:firstRowLastColumn="0" w:lastRowFirstColumn="0" w:lastRowLastColumn="0"/>
            <w:tcW w:w="718" w:type="dxa"/>
          </w:tcPr>
          <w:p w14:paraId="19B3A9CD" w14:textId="77777777" w:rsidR="00E611D1" w:rsidRDefault="00E611D1" w:rsidP="0039368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p>
        </w:tc>
        <w:tc>
          <w:tcPr>
            <w:tcW w:w="1923" w:type="dxa"/>
          </w:tcPr>
          <w:p w14:paraId="1C85D1ED"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Bio-Fuel Ethanol Based Products</w:t>
            </w:r>
          </w:p>
        </w:tc>
        <w:tc>
          <w:tcPr>
            <w:tcW w:w="1563" w:type="dxa"/>
          </w:tcPr>
          <w:p w14:paraId="54D32A44"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Fuel</w:t>
            </w:r>
          </w:p>
        </w:tc>
        <w:tc>
          <w:tcPr>
            <w:tcW w:w="1629" w:type="dxa"/>
          </w:tcPr>
          <w:p w14:paraId="4409633F"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₹3,200 Cr (USD 385 Mn)</w:t>
            </w:r>
          </w:p>
        </w:tc>
        <w:tc>
          <w:tcPr>
            <w:tcW w:w="1574" w:type="dxa"/>
          </w:tcPr>
          <w:p w14:paraId="37313AFC"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0.06%</w:t>
            </w:r>
          </w:p>
        </w:tc>
        <w:tc>
          <w:tcPr>
            <w:tcW w:w="1994" w:type="dxa"/>
          </w:tcPr>
          <w:p w14:paraId="76B099E1" w14:textId="77777777" w:rsidR="00E611D1" w:rsidRPr="00A7770B"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val="es-US"/>
              </w:rPr>
            </w:pPr>
            <w:r w:rsidRPr="00A7770B">
              <w:rPr>
                <w:rFonts w:ascii="Times New Roman" w:eastAsia="Times New Roman" w:hAnsi="Times New Roman" w:cs="Times New Roman"/>
                <w:sz w:val="24"/>
                <w:szCs w:val="24"/>
                <w:lang w:val="es-US"/>
              </w:rPr>
              <w:t xml:space="preserve">Indonesia, </w:t>
            </w:r>
            <w:proofErr w:type="spellStart"/>
            <w:r w:rsidRPr="00A7770B">
              <w:rPr>
                <w:rFonts w:ascii="Times New Roman" w:eastAsia="Times New Roman" w:hAnsi="Times New Roman" w:cs="Times New Roman"/>
                <w:sz w:val="24"/>
                <w:szCs w:val="24"/>
                <w:lang w:val="es-US"/>
              </w:rPr>
              <w:t>Japan</w:t>
            </w:r>
            <w:proofErr w:type="spellEnd"/>
            <w:r w:rsidRPr="00A7770B">
              <w:rPr>
                <w:rFonts w:ascii="Times New Roman" w:eastAsia="Times New Roman" w:hAnsi="Times New Roman" w:cs="Times New Roman"/>
                <w:sz w:val="24"/>
                <w:szCs w:val="24"/>
                <w:lang w:val="es-US"/>
              </w:rPr>
              <w:t>, Sri Lanka, UAE</w:t>
            </w:r>
          </w:p>
        </w:tc>
      </w:tr>
      <w:tr w:rsidR="00E611D1" w14:paraId="14577512" w14:textId="77777777" w:rsidTr="00E611D1">
        <w:trPr>
          <w:trHeight w:val="655"/>
        </w:trPr>
        <w:tc>
          <w:tcPr>
            <w:cnfStyle w:val="001000000000" w:firstRow="0" w:lastRow="0" w:firstColumn="1" w:lastColumn="0" w:oddVBand="0" w:evenVBand="0" w:oddHBand="0" w:evenHBand="0" w:firstRowFirstColumn="0" w:firstRowLastColumn="0" w:lastRowFirstColumn="0" w:lastRowLastColumn="0"/>
            <w:tcW w:w="718" w:type="dxa"/>
          </w:tcPr>
          <w:p w14:paraId="20F6A210" w14:textId="77777777" w:rsidR="00E611D1" w:rsidRPr="00A7770B" w:rsidRDefault="00E611D1" w:rsidP="0039368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lang w:val="es-US"/>
              </w:rPr>
            </w:pPr>
          </w:p>
        </w:tc>
        <w:tc>
          <w:tcPr>
            <w:tcW w:w="1923" w:type="dxa"/>
          </w:tcPr>
          <w:p w14:paraId="30B3F649"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Green Hydrogen &amp; </w:t>
            </w:r>
            <w:proofErr w:type="spellStart"/>
            <w:r>
              <w:rPr>
                <w:rFonts w:ascii="Times New Roman" w:eastAsia="Times New Roman" w:hAnsi="Times New Roman" w:cs="Times New Roman"/>
                <w:sz w:val="24"/>
                <w:szCs w:val="24"/>
              </w:rPr>
              <w:t>Electrolyzer</w:t>
            </w:r>
            <w:proofErr w:type="spellEnd"/>
            <w:r>
              <w:rPr>
                <w:rFonts w:ascii="Times New Roman" w:eastAsia="Times New Roman" w:hAnsi="Times New Roman" w:cs="Times New Roman"/>
                <w:sz w:val="24"/>
                <w:szCs w:val="24"/>
              </w:rPr>
              <w:t xml:space="preserve"> Technology</w:t>
            </w:r>
          </w:p>
        </w:tc>
        <w:tc>
          <w:tcPr>
            <w:tcW w:w="1563" w:type="dxa"/>
          </w:tcPr>
          <w:p w14:paraId="02FC2A63"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Emerging Clean Energy</w:t>
            </w:r>
          </w:p>
        </w:tc>
        <w:tc>
          <w:tcPr>
            <w:tcW w:w="1629" w:type="dxa"/>
          </w:tcPr>
          <w:p w14:paraId="1EF2BF9B"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₹8200 Cr (USD 95 Mn)</w:t>
            </w:r>
          </w:p>
        </w:tc>
        <w:tc>
          <w:tcPr>
            <w:tcW w:w="1574" w:type="dxa"/>
          </w:tcPr>
          <w:p w14:paraId="61AD5428"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994" w:type="dxa"/>
          </w:tcPr>
          <w:p w14:paraId="518271E0"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Germany, Japan, South Korea</w:t>
            </w:r>
          </w:p>
        </w:tc>
      </w:tr>
      <w:tr w:rsidR="00E611D1" w14:paraId="23C47B85" w14:textId="77777777" w:rsidTr="00E611D1">
        <w:trPr>
          <w:cnfStyle w:val="000000100000" w:firstRow="0" w:lastRow="0" w:firstColumn="0" w:lastColumn="0" w:oddVBand="0" w:evenVBand="0" w:oddHBand="1" w:evenHBand="0" w:firstRowFirstColumn="0" w:firstRowLastColumn="0" w:lastRowFirstColumn="0" w:lastRowLastColumn="0"/>
          <w:trHeight w:val="655"/>
        </w:trPr>
        <w:tc>
          <w:tcPr>
            <w:cnfStyle w:val="001000000000" w:firstRow="0" w:lastRow="0" w:firstColumn="1" w:lastColumn="0" w:oddVBand="0" w:evenVBand="0" w:oddHBand="0" w:evenHBand="0" w:firstRowFirstColumn="0" w:firstRowLastColumn="0" w:lastRowFirstColumn="0" w:lastRowLastColumn="0"/>
            <w:tcW w:w="718" w:type="dxa"/>
          </w:tcPr>
          <w:p w14:paraId="7A32ED15" w14:textId="77777777" w:rsidR="00E611D1" w:rsidRDefault="00E611D1" w:rsidP="0039368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p>
        </w:tc>
        <w:tc>
          <w:tcPr>
            <w:tcW w:w="1923" w:type="dxa"/>
          </w:tcPr>
          <w:p w14:paraId="0EBE2BA7"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Battery Storage System &amp; Power Converters</w:t>
            </w:r>
          </w:p>
        </w:tc>
        <w:tc>
          <w:tcPr>
            <w:tcW w:w="1563" w:type="dxa"/>
          </w:tcPr>
          <w:p w14:paraId="309D643C"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Energy Storage</w:t>
            </w:r>
          </w:p>
        </w:tc>
        <w:tc>
          <w:tcPr>
            <w:tcW w:w="1629" w:type="dxa"/>
          </w:tcPr>
          <w:p w14:paraId="211B1EFA"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₹1,400 Cr (USD 170 Mn)</w:t>
            </w:r>
          </w:p>
        </w:tc>
        <w:tc>
          <w:tcPr>
            <w:tcW w:w="1574" w:type="dxa"/>
          </w:tcPr>
          <w:p w14:paraId="288013BF"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0.03%</w:t>
            </w:r>
          </w:p>
        </w:tc>
        <w:tc>
          <w:tcPr>
            <w:tcW w:w="1994" w:type="dxa"/>
          </w:tcPr>
          <w:p w14:paraId="54823F55"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USA, Australia, France</w:t>
            </w:r>
          </w:p>
        </w:tc>
      </w:tr>
      <w:tr w:rsidR="00E611D1" w14:paraId="481627A8" w14:textId="77777777" w:rsidTr="00E611D1">
        <w:trPr>
          <w:trHeight w:val="752"/>
        </w:trPr>
        <w:tc>
          <w:tcPr>
            <w:cnfStyle w:val="001000000000" w:firstRow="0" w:lastRow="0" w:firstColumn="1" w:lastColumn="0" w:oddVBand="0" w:evenVBand="0" w:oddHBand="0" w:evenHBand="0" w:firstRowFirstColumn="0" w:firstRowLastColumn="0" w:lastRowFirstColumn="0" w:lastRowLastColumn="0"/>
            <w:tcW w:w="718" w:type="dxa"/>
          </w:tcPr>
          <w:p w14:paraId="43C35669" w14:textId="77777777" w:rsidR="00E611D1" w:rsidRDefault="00E611D1" w:rsidP="0039368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p>
        </w:tc>
        <w:tc>
          <w:tcPr>
            <w:tcW w:w="1923" w:type="dxa"/>
          </w:tcPr>
          <w:p w14:paraId="37D6E3B8"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Solar Inverters &amp; Controllers</w:t>
            </w:r>
          </w:p>
        </w:tc>
        <w:tc>
          <w:tcPr>
            <w:tcW w:w="1563" w:type="dxa"/>
          </w:tcPr>
          <w:p w14:paraId="49EAE10F"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Electrical Equipment</w:t>
            </w:r>
          </w:p>
        </w:tc>
        <w:tc>
          <w:tcPr>
            <w:tcW w:w="1629" w:type="dxa"/>
          </w:tcPr>
          <w:p w14:paraId="52C8E6C6"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₹1,000 Cr (USD 120 Mn)</w:t>
            </w:r>
          </w:p>
        </w:tc>
        <w:tc>
          <w:tcPr>
            <w:tcW w:w="1574" w:type="dxa"/>
          </w:tcPr>
          <w:p w14:paraId="004A0A1B"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994" w:type="dxa"/>
          </w:tcPr>
          <w:p w14:paraId="33726EEC"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UAE, Kenya, Bangladesh</w:t>
            </w:r>
          </w:p>
        </w:tc>
      </w:tr>
      <w:tr w:rsidR="00E611D1" w14:paraId="160C0833" w14:textId="77777777" w:rsidTr="00E611D1">
        <w:trPr>
          <w:cnfStyle w:val="000000100000" w:firstRow="0" w:lastRow="0" w:firstColumn="0" w:lastColumn="0" w:oddVBand="0" w:evenVBand="0" w:oddHBand="1"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718" w:type="dxa"/>
          </w:tcPr>
          <w:p w14:paraId="14FC2AAE" w14:textId="77777777" w:rsidR="00E611D1" w:rsidRDefault="00E611D1" w:rsidP="0039368F">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rPr>
            </w:pPr>
          </w:p>
        </w:tc>
        <w:tc>
          <w:tcPr>
            <w:tcW w:w="1923" w:type="dxa"/>
          </w:tcPr>
          <w:p w14:paraId="28FE161A"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Renewable Project Consultancy &amp; Engineering Services</w:t>
            </w:r>
          </w:p>
        </w:tc>
        <w:tc>
          <w:tcPr>
            <w:tcW w:w="1563" w:type="dxa"/>
          </w:tcPr>
          <w:p w14:paraId="36A2A276"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Services Export</w:t>
            </w:r>
          </w:p>
        </w:tc>
        <w:tc>
          <w:tcPr>
            <w:tcW w:w="1629" w:type="dxa"/>
          </w:tcPr>
          <w:p w14:paraId="183F597E"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₹900 Cr (USD 108 Mn)</w:t>
            </w:r>
          </w:p>
        </w:tc>
        <w:tc>
          <w:tcPr>
            <w:tcW w:w="1574" w:type="dxa"/>
          </w:tcPr>
          <w:p w14:paraId="5158FB55"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0.02%</w:t>
            </w:r>
          </w:p>
        </w:tc>
        <w:tc>
          <w:tcPr>
            <w:tcW w:w="1994" w:type="dxa"/>
          </w:tcPr>
          <w:p w14:paraId="5DAECD6F"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Africa, ASEAN, Middle East</w:t>
            </w:r>
          </w:p>
        </w:tc>
      </w:tr>
    </w:tbl>
    <w:p w14:paraId="66A33D14" w14:textId="77777777" w:rsidR="00E611D1" w:rsidRDefault="003E2051" w:rsidP="0039368F">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Source-Compiled by the researcher</w:t>
      </w:r>
    </w:p>
    <w:p w14:paraId="1F6B1D15" w14:textId="45BD9547" w:rsidR="00E611D1" w:rsidRDefault="00E611D1" w:rsidP="0039368F">
      <w:pPr>
        <w:spacing w:line="360" w:lineRule="auto"/>
        <w:jc w:val="both"/>
        <w:rPr>
          <w:rFonts w:ascii="Times New Roman" w:eastAsia="Times New Roman" w:hAnsi="Times New Roman" w:cs="Times New Roman"/>
          <w:b/>
          <w:bCs/>
          <w:sz w:val="24"/>
          <w:szCs w:val="24"/>
        </w:rPr>
      </w:pPr>
    </w:p>
    <w:p w14:paraId="6B4768EC"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2023–24, India exported ₹34,900 crore (USD 4.08 billion) worth of renewable energy products, accounting for only 0.68% of total exports. Solar PV dominates, with major shipments to the U.S., UAE, and the Netherlands, while wind, biofuels, and hydrogen exports remain limited but developing. New areas like engineering services and battery storage are also emerging. Expanding green finance and export-focused incentives will be essential to boost India’s renewable energy trade competitiveness.</w:t>
      </w:r>
    </w:p>
    <w:p w14:paraId="2D910BB7" w14:textId="77777777" w:rsidR="00E611D1" w:rsidRDefault="003E2051" w:rsidP="0039368F">
      <w:pPr>
        <w:spacing w:line="360" w:lineRule="auto"/>
        <w:jc w:val="both"/>
        <w:rPr>
          <w:rFonts w:ascii="Times New Roman" w:eastAsia="Times New Roman" w:hAnsi="Times New Roman" w:cs="Times New Roman"/>
          <w:sz w:val="24"/>
          <w:szCs w:val="24"/>
        </w:rPr>
      </w:pPr>
      <w:bookmarkStart w:id="0" w:name="_Hlk215220473"/>
      <w:r>
        <w:rPr>
          <w:rFonts w:ascii="Times New Roman" w:eastAsia="Times New Roman" w:hAnsi="Times New Roman" w:cs="Times New Roman"/>
          <w:b/>
          <w:bCs/>
          <w:sz w:val="28"/>
          <w:szCs w:val="28"/>
        </w:rPr>
        <w:t>Case Study: India’s Solar PV Exports to the U.S. under Green Bond Financing</w:t>
      </w:r>
    </w:p>
    <w:bookmarkEnd w:id="0"/>
    <w:p w14:paraId="307B2733"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India's solar photovoltaic (PV) industry has quickly transitioned from relying on imports to being a significant exporter worldwide, with exports rising by more than 23 times between FY 2022 and FY 2024 to reach USD 2.5 billion. Nearly 35% of these shipments go to the United States, which reflects India's expanding role in international solar supply chains. Green bond financing, which allowed businesses like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Power, Tata Power Solar, and Adani Green Energy to increase manufacturing capacity and modernize </w:t>
      </w:r>
      <w:r>
        <w:rPr>
          <w:rFonts w:ascii="Times New Roman" w:eastAsia="Times New Roman" w:hAnsi="Times New Roman" w:cs="Times New Roman"/>
          <w:sz w:val="24"/>
          <w:szCs w:val="24"/>
        </w:rPr>
        <w:lastRenderedPageBreak/>
        <w:t>production for export markets, has been a major factor in this rise. Access to affordable, climate-aligned funding improved pricing competitiveness and ESG compliance by lowering financing costs by as much as 100 basis points. Overall, green finance has been crucial in enhancing India’s solar export capabilities by combining sustainable funding with technical innovation &amp; market expansion.</w:t>
      </w:r>
    </w:p>
    <w:p w14:paraId="10673C37" w14:textId="77777777" w:rsidR="00E611D1" w:rsidRDefault="003E2051" w:rsidP="0039368F">
      <w:pPr>
        <w:spacing w:line="36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14:anchorId="10203661" wp14:editId="3ED2E2F5">
            <wp:extent cx="4124732" cy="2081462"/>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124732" cy="2081462"/>
                    </a:xfrm>
                    <a:prstGeom prst="rect">
                      <a:avLst/>
                    </a:prstGeom>
                    <a:ln/>
                  </pic:spPr>
                </pic:pic>
              </a:graphicData>
            </a:graphic>
          </wp:inline>
        </w:drawing>
      </w:r>
    </w:p>
    <w:p w14:paraId="11EC019E" w14:textId="1EEF1AD5" w:rsidR="0048103A" w:rsidRDefault="0048103A" w:rsidP="0039368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Fig 1</w:t>
      </w:r>
      <w:r w:rsidR="00F043FD">
        <w:rPr>
          <w:rFonts w:ascii="Times New Roman" w:eastAsia="Times New Roman" w:hAnsi="Times New Roman" w:cs="Times New Roman"/>
          <w:b/>
          <w:bCs/>
          <w:sz w:val="24"/>
          <w:szCs w:val="24"/>
        </w:rPr>
        <w:t xml:space="preserve">. </w:t>
      </w:r>
      <w:r w:rsidR="00A7770B" w:rsidRPr="00A7770B">
        <w:rPr>
          <w:rFonts w:ascii="Times New Roman" w:eastAsia="Times New Roman" w:hAnsi="Times New Roman" w:cs="Times New Roman"/>
          <w:b/>
          <w:bCs/>
          <w:sz w:val="24"/>
          <w:szCs w:val="24"/>
        </w:rPr>
        <w:t>Indian PV Exports’ Annual Trend, Destination Region/Country Share except the US</w:t>
      </w:r>
    </w:p>
    <w:p w14:paraId="27F35409" w14:textId="77777777" w:rsidR="00F043FD" w:rsidRDefault="00F043FD" w:rsidP="00F043FD">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Source-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rPr>
        <w:t>Ministry of Commerce and Industry, JMK Research</w:t>
      </w:r>
    </w:p>
    <w:p w14:paraId="55E50F35" w14:textId="77777777" w:rsidR="00F043FD" w:rsidRDefault="00F043FD" w:rsidP="0039368F">
      <w:pPr>
        <w:spacing w:line="360" w:lineRule="auto"/>
        <w:jc w:val="both"/>
        <w:rPr>
          <w:rFonts w:ascii="Times New Roman" w:eastAsia="Times New Roman" w:hAnsi="Times New Roman" w:cs="Times New Roman"/>
          <w:b/>
          <w:bCs/>
          <w:sz w:val="24"/>
          <w:szCs w:val="24"/>
        </w:rPr>
      </w:pPr>
    </w:p>
    <w:p w14:paraId="688C922D" w14:textId="7BDABF5B" w:rsidR="00E611D1" w:rsidRDefault="003E2051" w:rsidP="00F043FD">
      <w:pPr>
        <w:spacing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Impact and Insights</w:t>
      </w:r>
      <w:r>
        <w:rPr>
          <w:rFonts w:ascii="Times New Roman" w:eastAsia="Times New Roman" w:hAnsi="Times New Roman" w:cs="Times New Roman"/>
          <w:sz w:val="24"/>
          <w:szCs w:val="24"/>
        </w:rPr>
        <w:br/>
        <w:t xml:space="preserve">The integration of green bond financing has yielded multiple benefits. </w:t>
      </w:r>
      <w:r>
        <w:t>According to RBI (2024), improved access to affordable green financing has reduced solar export financing costs by 80–100 basis points compared to conventional loans, enhanced India’s ESG credibility among sustainability-conscious U.S. consumers, and expanded solar export capacity from 10 GW in 2020 to over 18 GW by 2024 by positioning India as a competitive player in the global solar value chain.</w:t>
      </w:r>
    </w:p>
    <w:p w14:paraId="73D0B36B" w14:textId="77777777" w:rsidR="00E611D1" w:rsidRDefault="003E2051" w:rsidP="0039368F">
      <w:pPr>
        <w:spacing w:line="360" w:lineRule="auto"/>
        <w:jc w:val="both"/>
        <w:rPr>
          <w:rFonts w:ascii="Times New Roman" w:eastAsia="Times New Roman" w:hAnsi="Times New Roman" w:cs="Times New Roman"/>
          <w:sz w:val="24"/>
          <w:szCs w:val="24"/>
        </w:rPr>
      </w:pPr>
      <w:bookmarkStart w:id="1" w:name="_Hlk215220491"/>
      <w:r>
        <w:rPr>
          <w:rFonts w:ascii="Times New Roman" w:eastAsia="Times New Roman" w:hAnsi="Times New Roman" w:cs="Times New Roman"/>
          <w:b/>
          <w:bCs/>
          <w:sz w:val="28"/>
          <w:szCs w:val="28"/>
        </w:rPr>
        <w:t>Assessing the Impact of Green Bond Financing on the Competitiveness of India’s Solar Photovoltaic Exports</w:t>
      </w:r>
      <w:r>
        <w:rPr>
          <w:rFonts w:ascii="Times New Roman" w:eastAsia="Times New Roman" w:hAnsi="Times New Roman" w:cs="Times New Roman"/>
          <w:sz w:val="24"/>
          <w:szCs w:val="24"/>
        </w:rPr>
        <w:t xml:space="preserve"> </w:t>
      </w:r>
    </w:p>
    <w:bookmarkEnd w:id="1"/>
    <w:p w14:paraId="287FFF5E" w14:textId="77777777" w:rsidR="00E611D1" w:rsidRDefault="003E2051" w:rsidP="0039368F">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&amp; TATA Power Solar showcases how technological advancement and sustainable practices, when supported by green finance, can enhance export competitiveness. Its high-</w:t>
      </w:r>
      <w:r>
        <w:rPr>
          <w:rFonts w:ascii="Times New Roman" w:eastAsia="Times New Roman" w:hAnsi="Times New Roman" w:cs="Times New Roman"/>
          <w:sz w:val="24"/>
          <w:szCs w:val="24"/>
        </w:rPr>
        <w:lastRenderedPageBreak/>
        <w:t xml:space="preserve">efficiency solar manufacturing facilities and projects like the 431 MW DC Solar Project in </w:t>
      </w:r>
      <w:proofErr w:type="spellStart"/>
      <w:r>
        <w:rPr>
          <w:rFonts w:ascii="Times New Roman" w:eastAsia="Times New Roman" w:hAnsi="Times New Roman" w:cs="Times New Roman"/>
          <w:sz w:val="24"/>
          <w:szCs w:val="24"/>
        </w:rPr>
        <w:t>Neemuch</w:t>
      </w:r>
      <w:proofErr w:type="spellEnd"/>
      <w:r>
        <w:rPr>
          <w:rFonts w:ascii="Times New Roman" w:eastAsia="Times New Roman" w:hAnsi="Times New Roman" w:cs="Times New Roman"/>
          <w:sz w:val="24"/>
          <w:szCs w:val="24"/>
        </w:rPr>
        <w:t xml:space="preserve">, Madhya Pradesh, reflect India’s growing expertise in large-scale renewable deployment. The use of bifacial modules, single-axis trackers, and innovative solutions such as marble-dust reflection and Conduit-on-Wire cabling signifies a shift toward global production standards. When integrated with green bonds and concessional financing, these innovations enable cost-effective scaling while meeting ESG and compliance standards of key markets like the U.S. and EU. Tata Power Solar’s commitment to environmental and governance principles further demonstrates how ESG integration strengthens export eligibility in carbon-conscious trade systems. Overall, projects like </w:t>
      </w:r>
      <w:proofErr w:type="spellStart"/>
      <w:r>
        <w:rPr>
          <w:rFonts w:ascii="Times New Roman" w:eastAsia="Times New Roman" w:hAnsi="Times New Roman" w:cs="Times New Roman"/>
          <w:sz w:val="24"/>
          <w:szCs w:val="24"/>
        </w:rPr>
        <w:t>Neemuch</w:t>
      </w:r>
      <w:proofErr w:type="spellEnd"/>
      <w:r>
        <w:rPr>
          <w:rFonts w:ascii="Times New Roman" w:eastAsia="Times New Roman" w:hAnsi="Times New Roman" w:cs="Times New Roman"/>
          <w:sz w:val="24"/>
          <w:szCs w:val="24"/>
        </w:rPr>
        <w:t xml:space="preserve"> highlight the synergy between green finance and technological innovation in elevating India’s solar manufacturing to a globally competitive level.</w:t>
      </w:r>
    </w:p>
    <w:p w14:paraId="5174776A"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Tata Power Solar and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Power demonstrate India's approach to export competitiveness through advanced technology and sustainable finance. They demonstrate how indigenous innovation and environmental compliance can elevate product quality, while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Power's green bonds support expansion and scale.</w:t>
      </w:r>
    </w:p>
    <w:p w14:paraId="7C15F52C" w14:textId="77777777" w:rsidR="00E611D1" w:rsidRDefault="003E2051" w:rsidP="0039368F">
      <w:pPr>
        <w:spacing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Summary Insight</w:t>
      </w:r>
    </w:p>
    <w:p w14:paraId="716B86C0" w14:textId="716D05A1" w:rsidR="00E611D1" w:rsidRDefault="003E2051" w:rsidP="0039368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 xml:space="preserve">With exports growing by about 23 times between FY 2022 and FY 2024, India's solar PV sector has quickly transitioned from reliance on imports to being a significant exporter. This increase is being driven by important businesses including </w:t>
      </w:r>
      <w:proofErr w:type="spellStart"/>
      <w:r>
        <w:rPr>
          <w:rFonts w:ascii="Times New Roman" w:eastAsia="Times New Roman" w:hAnsi="Times New Roman" w:cs="Times New Roman"/>
          <w:color w:val="000000"/>
          <w:sz w:val="24"/>
          <w:szCs w:val="24"/>
        </w:rPr>
        <w:t>Waaree</w:t>
      </w:r>
      <w:proofErr w:type="spellEnd"/>
      <w:r>
        <w:rPr>
          <w:rFonts w:ascii="Times New Roman" w:eastAsia="Times New Roman" w:hAnsi="Times New Roman" w:cs="Times New Roman"/>
          <w:color w:val="000000"/>
          <w:sz w:val="24"/>
          <w:szCs w:val="24"/>
        </w:rPr>
        <w:t xml:space="preserve">, Adani, Vikram Solar, Grew Energy, and </w:t>
      </w:r>
      <w:proofErr w:type="spellStart"/>
      <w:r>
        <w:rPr>
          <w:rFonts w:ascii="Times New Roman" w:eastAsia="Times New Roman" w:hAnsi="Times New Roman" w:cs="Times New Roman"/>
          <w:color w:val="000000"/>
          <w:sz w:val="24"/>
          <w:szCs w:val="24"/>
        </w:rPr>
        <w:t>ReNew</w:t>
      </w:r>
      <w:proofErr w:type="spellEnd"/>
      <w:r>
        <w:rPr>
          <w:rFonts w:ascii="Times New Roman" w:eastAsia="Times New Roman" w:hAnsi="Times New Roman" w:cs="Times New Roman"/>
          <w:color w:val="000000"/>
          <w:sz w:val="24"/>
          <w:szCs w:val="24"/>
        </w:rPr>
        <w:t xml:space="preserve"> Power. India has to expand to Europe, Africa, and Latin America, improve backward integration, and bolster its market position in the United States in order to maintain growth. This development highlights how important green finance is to boosting trade competitiveness through innovation, coordinated policy, and diverse market tactics</w:t>
      </w:r>
      <w:r>
        <w:rPr>
          <w:rFonts w:ascii="Times New Roman" w:eastAsia="Times New Roman" w:hAnsi="Times New Roman" w:cs="Times New Roman"/>
          <w:color w:val="000000"/>
          <w:sz w:val="28"/>
          <w:szCs w:val="28"/>
        </w:rPr>
        <w:t>.</w:t>
      </w:r>
    </w:p>
    <w:p w14:paraId="7E7DE553" w14:textId="343F4DC8" w:rsidR="00F043FD" w:rsidRDefault="00F043FD" w:rsidP="0039368F">
      <w:pPr>
        <w:spacing w:line="360" w:lineRule="auto"/>
        <w:jc w:val="both"/>
        <w:rPr>
          <w:rFonts w:ascii="Times New Roman" w:eastAsia="Times New Roman" w:hAnsi="Times New Roman" w:cs="Times New Roman"/>
          <w:color w:val="000000"/>
          <w:sz w:val="28"/>
          <w:szCs w:val="28"/>
        </w:rPr>
      </w:pPr>
      <w:r w:rsidRPr="00F043FD">
        <w:rPr>
          <w:rFonts w:ascii="Times New Roman" w:eastAsia="Times New Roman" w:hAnsi="Times New Roman" w:cs="Times New Roman"/>
          <w:color w:val="000000"/>
          <w:sz w:val="28"/>
          <w:szCs w:val="28"/>
        </w:rPr>
        <w:t>Findings</w:t>
      </w:r>
      <w:r>
        <w:rPr>
          <w:rFonts w:ascii="Times New Roman" w:eastAsia="Times New Roman" w:hAnsi="Times New Roman" w:cs="Times New Roman"/>
          <w:color w:val="000000"/>
          <w:sz w:val="28"/>
          <w:szCs w:val="28"/>
        </w:rPr>
        <w:t xml:space="preserve">: </w:t>
      </w:r>
    </w:p>
    <w:p w14:paraId="62D3C95B" w14:textId="77777777" w:rsidR="00F043FD" w:rsidRDefault="00F043FD" w:rsidP="0039368F">
      <w:pPr>
        <w:spacing w:line="360" w:lineRule="auto"/>
        <w:jc w:val="both"/>
        <w:rPr>
          <w:rFonts w:ascii="Times New Roman" w:eastAsia="Times New Roman" w:hAnsi="Times New Roman" w:cs="Times New Roman"/>
          <w:color w:val="000000"/>
          <w:sz w:val="28"/>
          <w:szCs w:val="28"/>
        </w:rPr>
      </w:pPr>
    </w:p>
    <w:p w14:paraId="451D7800" w14:textId="77777777" w:rsidR="00E611D1" w:rsidRDefault="003E2051" w:rsidP="0039368F">
      <w:pP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PESTLE Analysis of India’s Renewable Energy Export Ecosystem</w:t>
      </w:r>
      <w:r>
        <w:rPr>
          <w:rFonts w:ascii="Times New Roman" w:eastAsia="Times New Roman" w:hAnsi="Times New Roman" w:cs="Times New Roman"/>
          <w:sz w:val="24"/>
          <w:szCs w:val="24"/>
        </w:rPr>
        <w:br/>
      </w:r>
      <w:r>
        <w:rPr>
          <w:rFonts w:ascii="Times New Roman" w:eastAsia="Times New Roman" w:hAnsi="Times New Roman" w:cs="Times New Roman"/>
          <w:color w:val="000000"/>
          <w:sz w:val="24"/>
          <w:szCs w:val="24"/>
        </w:rPr>
        <w:t>Political, economic, social, technological, legal, and environmental aspects affecting India's trade in renewable energy are assessed using the PESTLE framework.</w:t>
      </w:r>
    </w:p>
    <w:p w14:paraId="16916268" w14:textId="3F3CB713" w:rsidR="00E611D1" w:rsidRDefault="00E611D1" w:rsidP="0039368F">
      <w:pPr>
        <w:spacing w:line="360" w:lineRule="auto"/>
        <w:jc w:val="both"/>
        <w:rPr>
          <w:rFonts w:ascii="Times New Roman" w:eastAsia="Times New Roman" w:hAnsi="Times New Roman" w:cs="Times New Roman"/>
          <w:b/>
          <w:bCs/>
          <w:sz w:val="24"/>
          <w:szCs w:val="24"/>
        </w:rPr>
      </w:pPr>
    </w:p>
    <w:tbl>
      <w:tblPr>
        <w:tblStyle w:val="a0"/>
        <w:tblW w:w="7953" w:type="dxa"/>
        <w:tblInd w:w="-11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763"/>
        <w:gridCol w:w="6190"/>
      </w:tblGrid>
      <w:tr w:rsidR="00E611D1" w14:paraId="28C0E308" w14:textId="77777777" w:rsidTr="00E611D1">
        <w:trPr>
          <w:cnfStyle w:val="100000000000" w:firstRow="1" w:lastRow="0"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63" w:type="dxa"/>
          </w:tcPr>
          <w:p w14:paraId="6278F16B"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Factor</w:t>
            </w:r>
          </w:p>
        </w:tc>
        <w:tc>
          <w:tcPr>
            <w:tcW w:w="6190" w:type="dxa"/>
          </w:tcPr>
          <w:p w14:paraId="54D27434" w14:textId="77777777" w:rsidR="00E611D1" w:rsidRDefault="003E2051" w:rsidP="0039368F">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Key Elements Impacting Renewable Export Competitiveness</w:t>
            </w:r>
          </w:p>
        </w:tc>
      </w:tr>
      <w:tr w:rsidR="00E611D1" w14:paraId="7A86366C" w14:textId="77777777" w:rsidTr="00E611D1">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763" w:type="dxa"/>
          </w:tcPr>
          <w:p w14:paraId="0AD27237"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w:t>
            </w:r>
          </w:p>
        </w:tc>
        <w:tc>
          <w:tcPr>
            <w:tcW w:w="6190" w:type="dxa"/>
          </w:tcPr>
          <w:p w14:paraId="46746652"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renewable energy policies, EXIM Bank green credit support, trade agreements, bilateral climate partnerships</w:t>
            </w:r>
          </w:p>
        </w:tc>
      </w:tr>
      <w:tr w:rsidR="00E611D1" w14:paraId="585EC876" w14:textId="77777777" w:rsidTr="00E611D1">
        <w:trPr>
          <w:trHeight w:val="867"/>
        </w:trPr>
        <w:tc>
          <w:tcPr>
            <w:cnfStyle w:val="001000000000" w:firstRow="0" w:lastRow="0" w:firstColumn="1" w:lastColumn="0" w:oddVBand="0" w:evenVBand="0" w:oddHBand="0" w:evenHBand="0" w:firstRowFirstColumn="0" w:firstRowLastColumn="0" w:lastRowFirstColumn="0" w:lastRowLastColumn="0"/>
            <w:tcW w:w="1763" w:type="dxa"/>
          </w:tcPr>
          <w:p w14:paraId="09E2B6E3"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w:t>
            </w:r>
          </w:p>
        </w:tc>
        <w:tc>
          <w:tcPr>
            <w:tcW w:w="6190" w:type="dxa"/>
          </w:tcPr>
          <w:p w14:paraId="598EDA6F"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Cost of capital, exchange rate volatility, global demand for renewable equipment, subsidies &amp; tax incentives</w:t>
            </w:r>
          </w:p>
        </w:tc>
      </w:tr>
      <w:tr w:rsidR="00E611D1" w14:paraId="12576998" w14:textId="77777777" w:rsidTr="00E611D1">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763" w:type="dxa"/>
          </w:tcPr>
          <w:p w14:paraId="473D4589"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w:t>
            </w:r>
          </w:p>
        </w:tc>
        <w:tc>
          <w:tcPr>
            <w:tcW w:w="6190" w:type="dxa"/>
          </w:tcPr>
          <w:p w14:paraId="14A17D7A"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Workforce skills in green tech, public awareness of sustainability, social acceptance of renewable projects</w:t>
            </w:r>
          </w:p>
        </w:tc>
      </w:tr>
      <w:tr w:rsidR="00E611D1" w14:paraId="6FD9A08F" w14:textId="77777777" w:rsidTr="00E611D1">
        <w:trPr>
          <w:trHeight w:val="867"/>
        </w:trPr>
        <w:tc>
          <w:tcPr>
            <w:cnfStyle w:val="001000000000" w:firstRow="0" w:lastRow="0" w:firstColumn="1" w:lastColumn="0" w:oddVBand="0" w:evenVBand="0" w:oddHBand="0" w:evenHBand="0" w:firstRowFirstColumn="0" w:firstRowLastColumn="0" w:lastRowFirstColumn="0" w:lastRowLastColumn="0"/>
            <w:tcW w:w="1763" w:type="dxa"/>
          </w:tcPr>
          <w:p w14:paraId="3E7AAF81"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w:t>
            </w:r>
          </w:p>
        </w:tc>
        <w:tc>
          <w:tcPr>
            <w:tcW w:w="6190" w:type="dxa"/>
          </w:tcPr>
          <w:p w14:paraId="03ABC60D"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Innovation in solar, wind, and storage technologies, R&amp;D funding, technology transfer, energy efficiency improvements</w:t>
            </w:r>
          </w:p>
        </w:tc>
      </w:tr>
      <w:tr w:rsidR="00E611D1" w14:paraId="2B7089ED" w14:textId="77777777" w:rsidTr="00E611D1">
        <w:trPr>
          <w:cnfStyle w:val="000000100000" w:firstRow="0" w:lastRow="0" w:firstColumn="0" w:lastColumn="0" w:oddVBand="0" w:evenVBand="0" w:oddHBand="1"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1763" w:type="dxa"/>
          </w:tcPr>
          <w:p w14:paraId="0AF184DD"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Legal</w:t>
            </w:r>
          </w:p>
        </w:tc>
        <w:tc>
          <w:tcPr>
            <w:tcW w:w="6190" w:type="dxa"/>
          </w:tcPr>
          <w:p w14:paraId="6E82CFF3" w14:textId="77777777" w:rsidR="00E611D1" w:rsidRDefault="003E2051" w:rsidP="0039368F">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ESG regulations, carbon border adjustment mechanisms, export compliance rules, intellectual property rights</w:t>
            </w:r>
          </w:p>
        </w:tc>
      </w:tr>
      <w:tr w:rsidR="00E611D1" w14:paraId="3A8875DD" w14:textId="77777777" w:rsidTr="00E611D1">
        <w:trPr>
          <w:trHeight w:val="854"/>
        </w:trPr>
        <w:tc>
          <w:tcPr>
            <w:cnfStyle w:val="001000000000" w:firstRow="0" w:lastRow="0" w:firstColumn="1" w:lastColumn="0" w:oddVBand="0" w:evenVBand="0" w:oddHBand="0" w:evenHBand="0" w:firstRowFirstColumn="0" w:firstRowLastColumn="0" w:lastRowFirstColumn="0" w:lastRowLastColumn="0"/>
            <w:tcW w:w="1763" w:type="dxa"/>
          </w:tcPr>
          <w:p w14:paraId="17680B43" w14:textId="77777777" w:rsidR="00E611D1" w:rsidRDefault="003E2051" w:rsidP="0039368F">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w:t>
            </w:r>
          </w:p>
        </w:tc>
        <w:tc>
          <w:tcPr>
            <w:tcW w:w="6190" w:type="dxa"/>
          </w:tcPr>
          <w:p w14:paraId="0D84CBBB" w14:textId="77777777" w:rsidR="00E611D1" w:rsidRDefault="003E2051" w:rsidP="0039368F">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commitments (Paris Agreement), carbon footprint standards, sustainable supply chain requirements, renewable resource availability</w:t>
            </w:r>
          </w:p>
        </w:tc>
      </w:tr>
    </w:tbl>
    <w:p w14:paraId="7DAC7390" w14:textId="393E65F5" w:rsidR="0048103A" w:rsidRDefault="0048103A" w:rsidP="0039368F">
      <w:pPr>
        <w:spacing w:line="360" w:lineRule="auto"/>
        <w:jc w:val="both"/>
        <w:rPr>
          <w:rFonts w:ascii="Times New Roman" w:eastAsia="Times New Roman" w:hAnsi="Times New Roman" w:cs="Times New Roman"/>
          <w:b/>
          <w:bCs/>
          <w:sz w:val="24"/>
          <w:szCs w:val="24"/>
        </w:rPr>
      </w:pPr>
      <w:r w:rsidRPr="00A7770B">
        <w:rPr>
          <w:rFonts w:ascii="Times New Roman" w:eastAsia="Times New Roman" w:hAnsi="Times New Roman" w:cs="Times New Roman"/>
          <w:b/>
          <w:bCs/>
          <w:sz w:val="24"/>
          <w:szCs w:val="24"/>
        </w:rPr>
        <w:t>Table 2</w:t>
      </w:r>
      <w:r>
        <w:rPr>
          <w:rFonts w:ascii="Times New Roman" w:eastAsia="Times New Roman" w:hAnsi="Times New Roman" w:cs="Times New Roman"/>
          <w:b/>
          <w:bCs/>
          <w:i/>
          <w:iCs/>
          <w:sz w:val="24"/>
          <w:szCs w:val="24"/>
        </w:rPr>
        <w:t>-</w:t>
      </w:r>
      <w:r w:rsidR="00A7770B">
        <w:rPr>
          <w:rFonts w:ascii="Times New Roman" w:eastAsia="Times New Roman" w:hAnsi="Times New Roman" w:cs="Times New Roman"/>
          <w:b/>
          <w:bCs/>
          <w:i/>
          <w:iCs/>
          <w:sz w:val="24"/>
          <w:szCs w:val="24"/>
        </w:rPr>
        <w:t xml:space="preserve"> </w:t>
      </w:r>
      <w:r w:rsidR="00A7770B">
        <w:rPr>
          <w:rFonts w:ascii="Times New Roman" w:eastAsia="Times New Roman" w:hAnsi="Times New Roman" w:cs="Times New Roman"/>
          <w:b/>
          <w:bCs/>
          <w:sz w:val="24"/>
          <w:szCs w:val="24"/>
        </w:rPr>
        <w:t xml:space="preserve">PESTLE Analysis Matrix </w:t>
      </w:r>
      <w:r w:rsidR="00E85607">
        <w:rPr>
          <w:rFonts w:ascii="Times New Roman" w:eastAsia="Times New Roman" w:hAnsi="Times New Roman" w:cs="Times New Roman"/>
          <w:b/>
          <w:bCs/>
          <w:sz w:val="24"/>
          <w:szCs w:val="24"/>
        </w:rPr>
        <w:t>of</w:t>
      </w:r>
      <w:r w:rsidR="00A7770B">
        <w:rPr>
          <w:rFonts w:ascii="Times New Roman" w:eastAsia="Times New Roman" w:hAnsi="Times New Roman" w:cs="Times New Roman"/>
          <w:b/>
          <w:bCs/>
          <w:sz w:val="24"/>
          <w:szCs w:val="24"/>
        </w:rPr>
        <w:t xml:space="preserve"> India’s Renewable Energy Export Ecosystem</w:t>
      </w:r>
    </w:p>
    <w:p w14:paraId="36603A46" w14:textId="77777777" w:rsidR="00F043FD" w:rsidRDefault="00F043FD" w:rsidP="00F043FD">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Source- </w:t>
      </w:r>
      <w:r>
        <w:rPr>
          <w:rFonts w:ascii="Times New Roman" w:eastAsia="Times New Roman" w:hAnsi="Times New Roman" w:cs="Times New Roman"/>
          <w:i/>
          <w:iCs/>
          <w:sz w:val="24"/>
          <w:szCs w:val="24"/>
        </w:rPr>
        <w:t>Compiled by the Researcher</w:t>
      </w:r>
    </w:p>
    <w:p w14:paraId="29DA3DE0" w14:textId="77777777" w:rsidR="00F043FD" w:rsidRDefault="00F043FD" w:rsidP="0039368F">
      <w:pPr>
        <w:spacing w:line="360" w:lineRule="auto"/>
        <w:jc w:val="both"/>
        <w:rPr>
          <w:rFonts w:ascii="Times New Roman" w:eastAsia="Times New Roman" w:hAnsi="Times New Roman" w:cs="Times New Roman"/>
          <w:b/>
          <w:bCs/>
          <w:i/>
          <w:iCs/>
          <w:sz w:val="24"/>
          <w:szCs w:val="24"/>
        </w:rPr>
      </w:pPr>
    </w:p>
    <w:p w14:paraId="49DD8C08" w14:textId="24A86201" w:rsidR="00E611D1" w:rsidRDefault="003E2051" w:rsidP="0039368F">
      <w:pPr>
        <w:spacing w:line="36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This matrix illustrates that India’s renewable energy exports are influenced not just by finance but also by regulatory, technological, and social factors. Green finance can strategically address economic, technological, and legal bottlenecks.</w:t>
      </w:r>
    </w:p>
    <w:p w14:paraId="5351F6C2" w14:textId="5FA9CE47" w:rsidR="00E611D1" w:rsidRDefault="0048103A" w:rsidP="0039368F">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Table 3</w:t>
      </w:r>
      <w:r w:rsidR="00F043FD">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PESTLE-Based Evaluation of Green Finance for Renewable Energy Export Competitiveness</w:t>
      </w:r>
    </w:p>
    <w:tbl>
      <w:tblPr>
        <w:tblStyle w:val="a1"/>
        <w:tblW w:w="8864"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1763"/>
        <w:gridCol w:w="3607"/>
        <w:gridCol w:w="3494"/>
      </w:tblGrid>
      <w:tr w:rsidR="00E611D1" w14:paraId="51B57DA2" w14:textId="77777777" w:rsidTr="00E611D1">
        <w:trPr>
          <w:cnfStyle w:val="100000000000" w:firstRow="1" w:lastRow="0" w:firstColumn="0" w:lastColumn="0" w:oddVBand="0" w:evenVBand="0" w:oddHBand="0" w:evenHBand="0" w:firstRowFirstColumn="0" w:firstRowLastColumn="0" w:lastRowFirstColumn="0" w:lastRowLastColumn="0"/>
          <w:trHeight w:val="934"/>
        </w:trPr>
        <w:tc>
          <w:tcPr>
            <w:cnfStyle w:val="001000000000" w:firstRow="0" w:lastRow="0" w:firstColumn="1" w:lastColumn="0" w:oddVBand="0" w:evenVBand="0" w:oddHBand="0" w:evenHBand="0" w:firstRowFirstColumn="0" w:firstRowLastColumn="0" w:lastRowFirstColumn="0" w:lastRowLastColumn="0"/>
            <w:tcW w:w="1763" w:type="dxa"/>
          </w:tcPr>
          <w:p w14:paraId="0A7440E1" w14:textId="77777777" w:rsidR="00E611D1" w:rsidRDefault="003E2051" w:rsidP="0039368F">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Factor</w:t>
            </w:r>
          </w:p>
        </w:tc>
        <w:tc>
          <w:tcPr>
            <w:tcW w:w="3607" w:type="dxa"/>
          </w:tcPr>
          <w:p w14:paraId="28E9A765" w14:textId="77777777" w:rsidR="00E611D1" w:rsidRDefault="003E2051" w:rsidP="0039368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Key Elements Affecting Export Competitiveness</w:t>
            </w:r>
          </w:p>
        </w:tc>
        <w:tc>
          <w:tcPr>
            <w:tcW w:w="3494" w:type="dxa"/>
          </w:tcPr>
          <w:p w14:paraId="26C79540" w14:textId="77777777" w:rsidR="00E611D1" w:rsidRDefault="003E2051" w:rsidP="0039368F">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Implications for Green Finance and Trade</w:t>
            </w:r>
          </w:p>
        </w:tc>
      </w:tr>
      <w:tr w:rsidR="00E611D1" w14:paraId="483228BD" w14:textId="77777777" w:rsidTr="00E611D1">
        <w:trPr>
          <w:trHeight w:val="1713"/>
        </w:trPr>
        <w:tc>
          <w:tcPr>
            <w:cnfStyle w:val="001000000000" w:firstRow="0" w:lastRow="0" w:firstColumn="1" w:lastColumn="0" w:oddVBand="0" w:evenVBand="0" w:oddHBand="0" w:evenHBand="0" w:firstRowFirstColumn="0" w:firstRowLastColumn="0" w:lastRowFirstColumn="0" w:lastRowLastColumn="0"/>
            <w:tcW w:w="1763" w:type="dxa"/>
          </w:tcPr>
          <w:p w14:paraId="3AA19155" w14:textId="77777777" w:rsidR="00E611D1" w:rsidRDefault="003E2051" w:rsidP="0039368F">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w:t>
            </w:r>
          </w:p>
        </w:tc>
        <w:tc>
          <w:tcPr>
            <w:tcW w:w="3607" w:type="dxa"/>
          </w:tcPr>
          <w:p w14:paraId="63514FC8"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PLI Scheme, National Green Hydrogen Mission, EXIM Bank Green Window, G20 and COP commitments</w:t>
            </w:r>
          </w:p>
        </w:tc>
        <w:tc>
          <w:tcPr>
            <w:tcW w:w="3494" w:type="dxa"/>
          </w:tcPr>
          <w:p w14:paraId="416E86B2"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Strong policy intent; greater coordination needed between trade and finance institutions</w:t>
            </w:r>
          </w:p>
        </w:tc>
      </w:tr>
      <w:tr w:rsidR="00E611D1" w14:paraId="1C6CFE16" w14:textId="77777777" w:rsidTr="00E611D1">
        <w:trPr>
          <w:trHeight w:val="1317"/>
        </w:trPr>
        <w:tc>
          <w:tcPr>
            <w:cnfStyle w:val="001000000000" w:firstRow="0" w:lastRow="0" w:firstColumn="1" w:lastColumn="0" w:oddVBand="0" w:evenVBand="0" w:oddHBand="0" w:evenHBand="0" w:firstRowFirstColumn="0" w:firstRowLastColumn="0" w:lastRowFirstColumn="0" w:lastRowLastColumn="0"/>
            <w:tcW w:w="1763" w:type="dxa"/>
          </w:tcPr>
          <w:p w14:paraId="4751BED7" w14:textId="77777777" w:rsidR="00E611D1" w:rsidRDefault="003E2051" w:rsidP="0039368F">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Economic</w:t>
            </w:r>
          </w:p>
        </w:tc>
        <w:tc>
          <w:tcPr>
            <w:tcW w:w="3607" w:type="dxa"/>
          </w:tcPr>
          <w:p w14:paraId="26131254"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0.68% export share, 16% of green finance for exports, concessional loans lowering costs</w:t>
            </w:r>
          </w:p>
        </w:tc>
        <w:tc>
          <w:tcPr>
            <w:tcW w:w="3494" w:type="dxa"/>
          </w:tcPr>
          <w:p w14:paraId="44B2DA49"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Expanding green bonds and incentives can enhance cost efficiency and market reach</w:t>
            </w:r>
          </w:p>
        </w:tc>
      </w:tr>
      <w:tr w:rsidR="00E611D1" w14:paraId="20CAB34C" w14:textId="77777777" w:rsidTr="00E611D1">
        <w:trPr>
          <w:trHeight w:val="764"/>
        </w:trPr>
        <w:tc>
          <w:tcPr>
            <w:cnfStyle w:val="001000000000" w:firstRow="0" w:lastRow="0" w:firstColumn="1" w:lastColumn="0" w:oddVBand="0" w:evenVBand="0" w:oddHBand="0" w:evenHBand="0" w:firstRowFirstColumn="0" w:firstRowLastColumn="0" w:lastRowFirstColumn="0" w:lastRowLastColumn="0"/>
            <w:tcW w:w="1763" w:type="dxa"/>
          </w:tcPr>
          <w:p w14:paraId="1C5C441F" w14:textId="77777777" w:rsidR="00E611D1" w:rsidRDefault="003E2051" w:rsidP="0039368F">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Social</w:t>
            </w:r>
          </w:p>
        </w:tc>
        <w:tc>
          <w:tcPr>
            <w:tcW w:w="3607" w:type="dxa"/>
          </w:tcPr>
          <w:p w14:paraId="1AAE2099"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Skilled workforce in solar and wind sectors, ESG awareness, sustainability branding</w:t>
            </w:r>
          </w:p>
        </w:tc>
        <w:tc>
          <w:tcPr>
            <w:tcW w:w="3494" w:type="dxa"/>
          </w:tcPr>
          <w:p w14:paraId="25253E10"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Promotes inclusive growth and strengthens India’s image as a green exporter</w:t>
            </w:r>
          </w:p>
        </w:tc>
      </w:tr>
      <w:tr w:rsidR="00E611D1" w14:paraId="53D7BFB5" w14:textId="77777777" w:rsidTr="00E611D1">
        <w:trPr>
          <w:trHeight w:val="135"/>
        </w:trPr>
        <w:tc>
          <w:tcPr>
            <w:cnfStyle w:val="001000000000" w:firstRow="0" w:lastRow="0" w:firstColumn="1" w:lastColumn="0" w:oddVBand="0" w:evenVBand="0" w:oddHBand="0" w:evenHBand="0" w:firstRowFirstColumn="0" w:firstRowLastColumn="0" w:lastRowFirstColumn="0" w:lastRowLastColumn="0"/>
            <w:tcW w:w="1763" w:type="dxa"/>
          </w:tcPr>
          <w:p w14:paraId="1B4D2907" w14:textId="77777777" w:rsidR="00E611D1" w:rsidRDefault="003E2051" w:rsidP="0039368F">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Technological</w:t>
            </w:r>
          </w:p>
        </w:tc>
        <w:tc>
          <w:tcPr>
            <w:tcW w:w="3607" w:type="dxa"/>
          </w:tcPr>
          <w:p w14:paraId="7A2BB0C7"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Advances in bifacial solar panels, wind gearboxes, hydrogen </w:t>
            </w:r>
            <w:proofErr w:type="spellStart"/>
            <w:r>
              <w:rPr>
                <w:rFonts w:ascii="Times New Roman" w:eastAsia="Times New Roman" w:hAnsi="Times New Roman" w:cs="Times New Roman"/>
                <w:sz w:val="24"/>
                <w:szCs w:val="24"/>
              </w:rPr>
              <w:t>electrolyzers</w:t>
            </w:r>
            <w:proofErr w:type="spellEnd"/>
          </w:p>
        </w:tc>
        <w:tc>
          <w:tcPr>
            <w:tcW w:w="3494" w:type="dxa"/>
          </w:tcPr>
          <w:p w14:paraId="7929CE2E"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Green finance supports technology upgrades and ESG-compliant production for export markets</w:t>
            </w:r>
          </w:p>
        </w:tc>
      </w:tr>
      <w:tr w:rsidR="00E611D1" w14:paraId="4D6A358E" w14:textId="77777777" w:rsidTr="00E611D1">
        <w:trPr>
          <w:trHeight w:val="135"/>
        </w:trPr>
        <w:tc>
          <w:tcPr>
            <w:cnfStyle w:val="001000000000" w:firstRow="0" w:lastRow="0" w:firstColumn="1" w:lastColumn="0" w:oddVBand="0" w:evenVBand="0" w:oddHBand="0" w:evenHBand="0" w:firstRowFirstColumn="0" w:firstRowLastColumn="0" w:lastRowFirstColumn="0" w:lastRowLastColumn="0"/>
            <w:tcW w:w="1763" w:type="dxa"/>
          </w:tcPr>
          <w:p w14:paraId="16E26C7B" w14:textId="77777777" w:rsidR="00E611D1" w:rsidRDefault="003E2051" w:rsidP="0039368F">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Legal</w:t>
            </w:r>
          </w:p>
        </w:tc>
        <w:tc>
          <w:tcPr>
            <w:tcW w:w="3607" w:type="dxa"/>
          </w:tcPr>
          <w:p w14:paraId="0768697A"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RBI’s Sustainable Finance Framework (2024), WTO &amp; OECD carbon compliance, EU CBAM</w:t>
            </w:r>
          </w:p>
        </w:tc>
        <w:tc>
          <w:tcPr>
            <w:tcW w:w="3494" w:type="dxa"/>
          </w:tcPr>
          <w:p w14:paraId="4BA3290A"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Ensures exporters meet low-carbon trade standards and certification norms</w:t>
            </w:r>
          </w:p>
        </w:tc>
      </w:tr>
      <w:tr w:rsidR="00E611D1" w14:paraId="6215A150" w14:textId="77777777" w:rsidTr="00E611D1">
        <w:trPr>
          <w:trHeight w:val="1317"/>
        </w:trPr>
        <w:tc>
          <w:tcPr>
            <w:cnfStyle w:val="001000000000" w:firstRow="0" w:lastRow="0" w:firstColumn="1" w:lastColumn="0" w:oddVBand="0" w:evenVBand="0" w:oddHBand="0" w:evenHBand="0" w:firstRowFirstColumn="0" w:firstRowLastColumn="0" w:lastRowFirstColumn="0" w:lastRowLastColumn="0"/>
            <w:tcW w:w="1763" w:type="dxa"/>
          </w:tcPr>
          <w:p w14:paraId="7E956904" w14:textId="77777777" w:rsidR="00E611D1" w:rsidRDefault="003E2051" w:rsidP="0039368F">
            <w:pPr>
              <w:spacing w:after="16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w:t>
            </w:r>
          </w:p>
        </w:tc>
        <w:tc>
          <w:tcPr>
            <w:tcW w:w="3607" w:type="dxa"/>
          </w:tcPr>
          <w:p w14:paraId="44EAB5E4"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500 GW renewable target by 2030, CO₂ reduction through large solar projects</w:t>
            </w:r>
          </w:p>
        </w:tc>
        <w:tc>
          <w:tcPr>
            <w:tcW w:w="3494" w:type="dxa"/>
          </w:tcPr>
          <w:p w14:paraId="7B50B3FB" w14:textId="77777777" w:rsidR="00E611D1" w:rsidRDefault="003E2051" w:rsidP="0039368F">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sz w:val="24"/>
                <w:szCs w:val="24"/>
              </w:rPr>
              <w:t>Green finance funds decarbonization and strengthens environmental credibility</w:t>
            </w:r>
          </w:p>
        </w:tc>
      </w:tr>
    </w:tbl>
    <w:p w14:paraId="1219898E" w14:textId="212590B2" w:rsidR="00F043FD" w:rsidRDefault="00F043FD" w:rsidP="0039368F">
      <w:pPr>
        <w:spacing w:line="360" w:lineRule="auto"/>
        <w:jc w:val="both"/>
        <w:rPr>
          <w:rFonts w:ascii="Times New Roman" w:eastAsia="Times New Roman" w:hAnsi="Times New Roman" w:cs="Times New Roman"/>
          <w:b/>
          <w:bCs/>
          <w:color w:val="000000"/>
          <w:sz w:val="28"/>
          <w:szCs w:val="28"/>
        </w:rPr>
      </w:pPr>
      <w:r w:rsidRPr="00F043FD">
        <w:rPr>
          <w:rFonts w:ascii="Times New Roman" w:eastAsia="Times New Roman" w:hAnsi="Times New Roman" w:cs="Times New Roman"/>
          <w:b/>
          <w:bCs/>
          <w:color w:val="000000"/>
          <w:sz w:val="28"/>
          <w:szCs w:val="28"/>
        </w:rPr>
        <w:t>Source-</w:t>
      </w:r>
      <w:r w:rsidRPr="00F043FD">
        <w:rPr>
          <w:rFonts w:ascii="Times New Roman" w:eastAsia="Times New Roman" w:hAnsi="Times New Roman" w:cs="Times New Roman"/>
          <w:bCs/>
          <w:color w:val="000000"/>
          <w:sz w:val="28"/>
          <w:szCs w:val="28"/>
        </w:rPr>
        <w:t>Compiled by the Researcher</w:t>
      </w:r>
    </w:p>
    <w:p w14:paraId="3ECB7FD4" w14:textId="756A8266" w:rsidR="00E611D1" w:rsidRDefault="003E2051" w:rsidP="0039368F">
      <w:pPr>
        <w:spacing w:line="360" w:lineRule="auto"/>
        <w:jc w:val="both"/>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Financial Flow Mapping of Green Finance for Renewable Energy Exports (2023–24) </w:t>
      </w:r>
    </w:p>
    <w:p w14:paraId="1FC99101" w14:textId="77777777" w:rsidR="00F043FD" w:rsidRDefault="00F043FD" w:rsidP="0039368F">
      <w:pPr>
        <w:spacing w:line="360" w:lineRule="auto"/>
        <w:jc w:val="both"/>
        <w:rPr>
          <w:rFonts w:ascii="Times New Roman" w:eastAsia="Times New Roman" w:hAnsi="Times New Roman" w:cs="Times New Roman"/>
          <w:b/>
          <w:bCs/>
          <w:color w:val="000000"/>
          <w:sz w:val="28"/>
          <w:szCs w:val="28"/>
        </w:rPr>
      </w:pPr>
    </w:p>
    <w:p w14:paraId="1FF3C527" w14:textId="055C6500" w:rsidR="00E611D1" w:rsidRDefault="003E2051" w:rsidP="0039368F">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Financial flows toward export-related renewable projects are mapped from both domestic and foreign sources. According to the findings, export-oriented renewable projects received only about 16% of the total green funding raised in India during FY 2023–2024. Most of the money goes toward infrastructure in the country. India's competitiveness in exporting renewable energy can be significantly increased by extending EXIM Bank's Green Window and tying trade finance and concessional loans together.                       </w:t>
      </w:r>
      <w:r>
        <w:rPr>
          <w:rFonts w:ascii="Times New Roman" w:eastAsia="Times New Roman" w:hAnsi="Times New Roman" w:cs="Times New Roman"/>
          <w:noProof/>
        </w:rPr>
        <w:drawing>
          <wp:inline distT="0" distB="0" distL="0" distR="0" wp14:anchorId="3B59A1ED" wp14:editId="0D8D165B">
            <wp:extent cx="5810250" cy="215265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rFonts w:ascii="Times New Roman" w:eastAsia="Times New Roman" w:hAnsi="Times New Roman" w:cs="Times New Roman"/>
          <w:i/>
          <w:iCs/>
          <w:sz w:val="24"/>
          <w:szCs w:val="24"/>
        </w:rPr>
        <w:t xml:space="preserve">         </w:t>
      </w:r>
    </w:p>
    <w:p w14:paraId="4C2CBAE9" w14:textId="23BB7EA7" w:rsidR="0048103A" w:rsidRDefault="0048103A" w:rsidP="0039368F">
      <w:pPr>
        <w:spacing w:line="360" w:lineRule="auto"/>
        <w:jc w:val="both"/>
        <w:rPr>
          <w:rFonts w:ascii="Times New Roman" w:eastAsia="Times New Roman" w:hAnsi="Times New Roman" w:cs="Times New Roman"/>
          <w:b/>
          <w:bCs/>
          <w:sz w:val="24"/>
          <w:szCs w:val="24"/>
        </w:rPr>
      </w:pPr>
      <w:r w:rsidRPr="00523B49">
        <w:rPr>
          <w:rFonts w:ascii="Times New Roman" w:eastAsia="Times New Roman" w:hAnsi="Times New Roman" w:cs="Times New Roman"/>
          <w:b/>
          <w:bCs/>
          <w:sz w:val="24"/>
          <w:szCs w:val="24"/>
        </w:rPr>
        <w:t>Fig 2</w:t>
      </w:r>
      <w:r w:rsidR="00F043FD">
        <w:rPr>
          <w:rFonts w:ascii="Times New Roman" w:eastAsia="Times New Roman" w:hAnsi="Times New Roman" w:cs="Times New Roman"/>
          <w:b/>
          <w:bCs/>
          <w:sz w:val="24"/>
          <w:szCs w:val="24"/>
        </w:rPr>
        <w:t xml:space="preserve">. </w:t>
      </w:r>
      <w:r w:rsidR="00523B49" w:rsidRPr="00523B49">
        <w:rPr>
          <w:rFonts w:ascii="Times New Roman" w:eastAsia="Times New Roman" w:hAnsi="Times New Roman" w:cs="Times New Roman"/>
          <w:b/>
          <w:bCs/>
          <w:sz w:val="24"/>
          <w:szCs w:val="24"/>
        </w:rPr>
        <w:t xml:space="preserve">Flow Mapping of Green Finance </w:t>
      </w:r>
      <w:r w:rsidR="00DC0041">
        <w:rPr>
          <w:rFonts w:ascii="Times New Roman" w:eastAsia="Times New Roman" w:hAnsi="Times New Roman" w:cs="Times New Roman"/>
          <w:b/>
          <w:bCs/>
          <w:sz w:val="24"/>
          <w:szCs w:val="24"/>
        </w:rPr>
        <w:t xml:space="preserve">in case of </w:t>
      </w:r>
      <w:r w:rsidR="00DC0041" w:rsidRPr="00DC0041">
        <w:rPr>
          <w:rFonts w:ascii="Times New Roman" w:eastAsia="Times New Roman" w:hAnsi="Times New Roman" w:cs="Times New Roman"/>
          <w:b/>
          <w:bCs/>
          <w:sz w:val="24"/>
          <w:szCs w:val="24"/>
        </w:rPr>
        <w:t xml:space="preserve">Renewable Energy Exports (2023–24) </w:t>
      </w:r>
    </w:p>
    <w:p w14:paraId="68A1F37C" w14:textId="55205EAC" w:rsidR="00F043FD" w:rsidRDefault="00F043FD" w:rsidP="00F043FD">
      <w:pPr>
        <w:spacing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Source</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rPr>
        <w:t>Compiled by the Researcher</w:t>
      </w:r>
    </w:p>
    <w:p w14:paraId="1822913A" w14:textId="77777777" w:rsidR="00F043FD" w:rsidRPr="00523B49" w:rsidRDefault="00F043FD" w:rsidP="0039368F">
      <w:pPr>
        <w:spacing w:line="360" w:lineRule="auto"/>
        <w:jc w:val="both"/>
        <w:rPr>
          <w:rFonts w:ascii="Times New Roman" w:eastAsia="Times New Roman" w:hAnsi="Times New Roman" w:cs="Times New Roman"/>
          <w:b/>
          <w:bCs/>
          <w:sz w:val="24"/>
          <w:szCs w:val="24"/>
        </w:rPr>
      </w:pPr>
    </w:p>
    <w:p w14:paraId="3FD5A403" w14:textId="77777777" w:rsidR="00E611D1" w:rsidRDefault="003E2051" w:rsidP="0039368F">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According to the graph, just 16% of India's financing for renewable energy projects is allocated to exports, whereas 84% is allocated to local initiatives. Solar photovoltaics account for 60% of export funding, with biofuels, green hydrogen, storage, and services coming in second (22%), and wind energy coming in last (18%). This reflects India's expanding but still modest concentration on international renewable trade.</w:t>
      </w:r>
    </w:p>
    <w:p w14:paraId="0201E5CE" w14:textId="6091AAE6" w:rsidR="00E611D1" w:rsidRDefault="003E2051" w:rsidP="00F043F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Challenges and Way Forward</w:t>
      </w:r>
      <w:r>
        <w:rPr>
          <w:rFonts w:ascii="Times New Roman" w:eastAsia="Times New Roman" w:hAnsi="Times New Roman" w:cs="Times New Roman"/>
          <w:sz w:val="24"/>
          <w:szCs w:val="24"/>
        </w:rPr>
        <w:br/>
        <w:t>Despite progress, constraints remain</w:t>
      </w:r>
      <w:r w:rsidR="0021509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Exporters face tariff and non-tariff barriers, logistical costs, and limited access to export-linked green credit lines from Indian financial institutions. Strengthening EXIM Bank’s Green Window and developing </w:t>
      </w:r>
      <w:r>
        <w:rPr>
          <w:rFonts w:ascii="Times New Roman" w:eastAsia="Times New Roman" w:hAnsi="Times New Roman" w:cs="Times New Roman"/>
          <w:sz w:val="24"/>
          <w:szCs w:val="24"/>
        </w:rPr>
        <w:lastRenderedPageBreak/>
        <w:t>export-oriented green bond funds can bridge these financing gaps. Collaborative arrangements between Indian and U.S. clean energy financiers could further scale sustainable trade flows.</w:t>
      </w:r>
    </w:p>
    <w:p w14:paraId="3A7B046F" w14:textId="4D167400" w:rsidR="00E611D1" w:rsidRDefault="003E2051" w:rsidP="0039368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Discussion</w:t>
      </w:r>
    </w:p>
    <w:p w14:paraId="1E2ED14A" w14:textId="71780637" w:rsidR="003F2747" w:rsidRDefault="00C024B8" w:rsidP="00C024B8">
      <w:pPr>
        <w:spacing w:line="360" w:lineRule="auto"/>
        <w:jc w:val="both"/>
        <w:rPr>
          <w:rFonts w:ascii="Times New Roman" w:eastAsia="Times New Roman" w:hAnsi="Times New Roman" w:cs="Times New Roman"/>
          <w:color w:val="000000"/>
          <w:lang w:val="en-US"/>
        </w:rPr>
      </w:pPr>
      <w:r w:rsidRPr="00C024B8">
        <w:rPr>
          <w:rFonts w:ascii="Times New Roman" w:eastAsia="Times New Roman" w:hAnsi="Times New Roman" w:cs="Times New Roman"/>
          <w:color w:val="000000"/>
          <w:sz w:val="24"/>
          <w:szCs w:val="24"/>
          <w:lang w:val="en-US"/>
        </w:rPr>
        <w:t>According to this study, India's export market for renewable energy is rising, however its overall share of the country's commerce exports is still small at 0.68%. This shows that despite the sector's promise, its presence in global green value chains is still far below what it could be. A considerable concentration is apparent in the export profile: solar photovoltaic (PV) modules and cells dominate the export basket, accounting for about 60% of the total renewable energy exports for FY 2023–24. Rapid capacity development, increased production efficiency, and the expanding use of funding mechanisms that are in line with sustainability are all linked to this leadership role</w:t>
      </w:r>
      <w:r w:rsidR="003F2747">
        <w:rPr>
          <w:rFonts w:ascii="Times New Roman" w:eastAsia="Times New Roman" w:hAnsi="Times New Roman" w:cs="Times New Roman"/>
          <w:color w:val="000000"/>
          <w:lang w:val="en-US"/>
        </w:rPr>
        <w:t>.</w:t>
      </w:r>
    </w:p>
    <w:p w14:paraId="7C09003E" w14:textId="77777777" w:rsidR="00BF050D" w:rsidRPr="00BF050D" w:rsidRDefault="00BF050D" w:rsidP="00BF050D">
      <w:pPr>
        <w:spacing w:line="360" w:lineRule="auto"/>
        <w:jc w:val="both"/>
        <w:rPr>
          <w:rFonts w:ascii="Times New Roman" w:eastAsia="Times New Roman" w:hAnsi="Times New Roman" w:cs="Times New Roman"/>
          <w:color w:val="000000"/>
          <w:sz w:val="24"/>
          <w:szCs w:val="24"/>
          <w:lang w:val="en-US"/>
        </w:rPr>
      </w:pPr>
      <w:r w:rsidRPr="00BF050D">
        <w:rPr>
          <w:rFonts w:ascii="Times New Roman" w:eastAsia="Times New Roman" w:hAnsi="Times New Roman" w:cs="Times New Roman"/>
          <w:color w:val="000000"/>
          <w:sz w:val="24"/>
          <w:szCs w:val="24"/>
          <w:lang w:val="en-US"/>
        </w:rPr>
        <w:t xml:space="preserve">The analysis demonstrates that green bond investment plays a vital function in building India's solar PV export business. By securing fairly priced, environmentally focused capital, enterprises such as Adani Solar, </w:t>
      </w:r>
      <w:proofErr w:type="spellStart"/>
      <w:r w:rsidRPr="00BF050D">
        <w:rPr>
          <w:rFonts w:ascii="Times New Roman" w:eastAsia="Times New Roman" w:hAnsi="Times New Roman" w:cs="Times New Roman"/>
          <w:color w:val="000000"/>
          <w:sz w:val="24"/>
          <w:szCs w:val="24"/>
          <w:lang w:val="en-US"/>
        </w:rPr>
        <w:t>ReNew</w:t>
      </w:r>
      <w:proofErr w:type="spellEnd"/>
      <w:r w:rsidRPr="00BF050D">
        <w:rPr>
          <w:rFonts w:ascii="Times New Roman" w:eastAsia="Times New Roman" w:hAnsi="Times New Roman" w:cs="Times New Roman"/>
          <w:color w:val="000000"/>
          <w:sz w:val="24"/>
          <w:szCs w:val="24"/>
          <w:lang w:val="en-US"/>
        </w:rPr>
        <w:t xml:space="preserve"> Power, </w:t>
      </w:r>
      <w:proofErr w:type="spellStart"/>
      <w:r w:rsidRPr="00BF050D">
        <w:rPr>
          <w:rFonts w:ascii="Times New Roman" w:eastAsia="Times New Roman" w:hAnsi="Times New Roman" w:cs="Times New Roman"/>
          <w:color w:val="000000"/>
          <w:sz w:val="24"/>
          <w:szCs w:val="24"/>
          <w:lang w:val="en-US"/>
        </w:rPr>
        <w:t>Waaree</w:t>
      </w:r>
      <w:proofErr w:type="spellEnd"/>
      <w:r w:rsidRPr="00BF050D">
        <w:rPr>
          <w:rFonts w:ascii="Times New Roman" w:eastAsia="Times New Roman" w:hAnsi="Times New Roman" w:cs="Times New Roman"/>
          <w:color w:val="000000"/>
          <w:sz w:val="24"/>
          <w:szCs w:val="24"/>
          <w:lang w:val="en-US"/>
        </w:rPr>
        <w:t xml:space="preserve"> Energies, and Tata Power Solar have earned a market advantage. The large fall in funding expenses, which reaches 80 to 100 basis points, has supplied the required resources for exporters. This cash has been used to modernize production facilities, fulfill stringent efficiency standards, and conform to the ESG criteria of important markets including the EU and the U.S. This finding strongly supports the perspective that sustainable financial practices are actively driving export success, rather than passively facilitating domestic renewable energy expansion.</w:t>
      </w:r>
    </w:p>
    <w:p w14:paraId="48899237" w14:textId="77777777" w:rsidR="00BF050D" w:rsidRPr="00BF050D" w:rsidRDefault="00BF050D" w:rsidP="00BF050D">
      <w:pPr>
        <w:spacing w:line="360" w:lineRule="auto"/>
        <w:jc w:val="both"/>
        <w:rPr>
          <w:rFonts w:ascii="Times New Roman" w:eastAsia="Times New Roman" w:hAnsi="Times New Roman" w:cs="Times New Roman"/>
          <w:color w:val="000000"/>
          <w:sz w:val="24"/>
          <w:szCs w:val="24"/>
          <w:lang w:val="en-US"/>
        </w:rPr>
      </w:pPr>
      <w:r w:rsidRPr="00BF050D">
        <w:rPr>
          <w:rFonts w:ascii="Times New Roman" w:eastAsia="Times New Roman" w:hAnsi="Times New Roman" w:cs="Times New Roman"/>
          <w:color w:val="000000"/>
          <w:sz w:val="24"/>
          <w:szCs w:val="24"/>
          <w:lang w:val="en-US"/>
        </w:rPr>
        <w:t>However, the financial flow mapping demonstrates an intricate imbalance. Only about 16% of all green funds are allocated to export-linked renewable projects, despite rising climate-aligned investment in India. The uneven distribution suggests that India's green financing system still prioritizes domestic generation and infrastructure. The export scale-up potential is hampered by a lack of export-specific loan improvements, a lack of trade-focused funding, and the underutilization of tools like EXIM Bank's Green Window.</w:t>
      </w:r>
    </w:p>
    <w:p w14:paraId="7979B7EF" w14:textId="77777777" w:rsidR="00877471" w:rsidRPr="00877471" w:rsidRDefault="00877471" w:rsidP="00877471">
      <w:pPr>
        <w:spacing w:line="360" w:lineRule="auto"/>
        <w:jc w:val="both"/>
        <w:rPr>
          <w:rFonts w:ascii="Times New Roman" w:eastAsia="Times New Roman" w:hAnsi="Times New Roman" w:cs="Times New Roman"/>
          <w:color w:val="000000"/>
          <w:sz w:val="24"/>
          <w:szCs w:val="24"/>
          <w:lang w:val="en-US"/>
        </w:rPr>
      </w:pPr>
      <w:r w:rsidRPr="00877471">
        <w:rPr>
          <w:rFonts w:ascii="Times New Roman" w:eastAsia="Times New Roman" w:hAnsi="Times New Roman" w:cs="Times New Roman"/>
          <w:color w:val="000000"/>
          <w:sz w:val="24"/>
          <w:szCs w:val="24"/>
          <w:lang w:val="en-US"/>
        </w:rPr>
        <w:t xml:space="preserve">The PESTLE research also reveals that a larger range of policy, regulatory, and technological issues affect export performance in addition to financial resources. Policy </w:t>
      </w:r>
      <w:r w:rsidRPr="00877471">
        <w:rPr>
          <w:rFonts w:ascii="Times New Roman" w:eastAsia="Times New Roman" w:hAnsi="Times New Roman" w:cs="Times New Roman"/>
          <w:color w:val="000000"/>
          <w:sz w:val="24"/>
          <w:szCs w:val="24"/>
          <w:lang w:val="en-US"/>
        </w:rPr>
        <w:lastRenderedPageBreak/>
        <w:t xml:space="preserve">coherence is a recurring theme: while production has increased as a result of industrial policies like the PLI Scheme, the National Green Hydrogen Mission, and manufacturing incentives for renewable equipment, they are not fully integrated with the country's export strategy or green financing channels. Economic concerns, such as cost of capital, currency changes, and demand cycles in target nations, also effect India’s competitiveness. India's export readiness is being immediately improved by technical investments in high-efficiency PV modules, bifacial cells, wind components, </w:t>
      </w:r>
      <w:proofErr w:type="spellStart"/>
      <w:r w:rsidRPr="00877471">
        <w:rPr>
          <w:rFonts w:ascii="Times New Roman" w:eastAsia="Times New Roman" w:hAnsi="Times New Roman" w:cs="Times New Roman"/>
          <w:color w:val="000000"/>
          <w:sz w:val="24"/>
          <w:szCs w:val="24"/>
          <w:lang w:val="en-US"/>
        </w:rPr>
        <w:t>electrolyzers</w:t>
      </w:r>
      <w:proofErr w:type="spellEnd"/>
      <w:r w:rsidRPr="00877471">
        <w:rPr>
          <w:rFonts w:ascii="Times New Roman" w:eastAsia="Times New Roman" w:hAnsi="Times New Roman" w:cs="Times New Roman"/>
          <w:color w:val="000000"/>
          <w:sz w:val="24"/>
          <w:szCs w:val="24"/>
          <w:lang w:val="en-US"/>
        </w:rPr>
        <w:t>, and energy storage technologies; yet, continuous financial support is needed for further scaling.</w:t>
      </w:r>
    </w:p>
    <w:p w14:paraId="4888ACF1" w14:textId="77777777" w:rsidR="00877471" w:rsidRPr="00877471" w:rsidRDefault="00877471" w:rsidP="00877471">
      <w:pPr>
        <w:spacing w:line="360" w:lineRule="auto"/>
        <w:jc w:val="both"/>
        <w:rPr>
          <w:rFonts w:ascii="Times New Roman" w:eastAsia="Times New Roman" w:hAnsi="Times New Roman" w:cs="Times New Roman"/>
          <w:color w:val="000000"/>
          <w:sz w:val="24"/>
          <w:szCs w:val="24"/>
          <w:lang w:val="en-US"/>
        </w:rPr>
      </w:pPr>
      <w:r w:rsidRPr="00877471">
        <w:rPr>
          <w:rFonts w:ascii="Times New Roman" w:eastAsia="Times New Roman" w:hAnsi="Times New Roman" w:cs="Times New Roman"/>
          <w:color w:val="000000"/>
          <w:sz w:val="24"/>
          <w:szCs w:val="24"/>
          <w:lang w:val="en-US"/>
        </w:rPr>
        <w:t>Environmental and societal variables can affect competitiveness. Global consumer options are being redefined by the growing focus on ESG compliance, sustainable production methods, and low-carbon manufacturing paths. Early adherence to these standards through green bonds, certification programs, and cleaner production helps Indian exporters become more visible and well-known in global markets.</w:t>
      </w:r>
    </w:p>
    <w:p w14:paraId="0AF19BE6" w14:textId="77777777" w:rsidR="00877471" w:rsidRPr="00877471" w:rsidRDefault="00877471" w:rsidP="00877471">
      <w:pPr>
        <w:spacing w:line="360" w:lineRule="auto"/>
        <w:jc w:val="both"/>
        <w:rPr>
          <w:rFonts w:ascii="Times New Roman" w:eastAsia="Times New Roman" w:hAnsi="Times New Roman" w:cs="Times New Roman"/>
          <w:color w:val="000000"/>
          <w:sz w:val="24"/>
          <w:szCs w:val="24"/>
          <w:lang w:val="en-US"/>
        </w:rPr>
      </w:pPr>
      <w:r w:rsidRPr="00877471">
        <w:rPr>
          <w:rFonts w:ascii="Times New Roman" w:eastAsia="Times New Roman" w:hAnsi="Times New Roman" w:cs="Times New Roman"/>
          <w:color w:val="000000"/>
          <w:sz w:val="24"/>
          <w:szCs w:val="24"/>
          <w:lang w:val="en-US"/>
        </w:rPr>
        <w:t>In summary, the findings underline a clear but underleveraged relationship between green finance and renewable export performance. India's export competitiveness can only greatly grow if climate finance systems, trade incentives, and regulatory frameworks function more cohesively, notwithstanding the sector's robust manufacturing capacity and technological skills. To become a prominent player in the expanding low-carbon global economy, India will need to boost export-oriented green financing, eliminate capital obstacles, and improve adherence to international sustainability norms.</w:t>
      </w:r>
    </w:p>
    <w:p w14:paraId="0D910B5C" w14:textId="77777777" w:rsidR="00BF050D" w:rsidRPr="00C024B8" w:rsidRDefault="00BF050D" w:rsidP="00C024B8">
      <w:pPr>
        <w:spacing w:line="360" w:lineRule="auto"/>
        <w:jc w:val="both"/>
        <w:rPr>
          <w:rFonts w:ascii="Times New Roman" w:eastAsia="Times New Roman" w:hAnsi="Times New Roman" w:cs="Times New Roman"/>
          <w:color w:val="000000"/>
          <w:sz w:val="24"/>
          <w:szCs w:val="24"/>
          <w:lang w:val="en-US"/>
        </w:rPr>
      </w:pPr>
    </w:p>
    <w:p w14:paraId="071F56F5" w14:textId="77777777" w:rsidR="00C024B8" w:rsidRDefault="00C024B8" w:rsidP="0039368F">
      <w:pPr>
        <w:spacing w:line="360" w:lineRule="auto"/>
        <w:jc w:val="both"/>
        <w:rPr>
          <w:rFonts w:ascii="Times New Roman" w:eastAsia="Times New Roman" w:hAnsi="Times New Roman" w:cs="Times New Roman"/>
          <w:color w:val="000000"/>
        </w:rPr>
      </w:pPr>
    </w:p>
    <w:p w14:paraId="0A73F2B2" w14:textId="77777777" w:rsidR="00E611D1" w:rsidRDefault="003E2051" w:rsidP="0039368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8"/>
          <w:szCs w:val="28"/>
        </w:rPr>
        <w:t>Conclusion</w:t>
      </w:r>
    </w:p>
    <w:p w14:paraId="1B2544D6" w14:textId="524B3B7D" w:rsidR="00F043FD" w:rsidRDefault="003E2051" w:rsidP="0039368F">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Green Finance has emerged as a key driver in transforming India’s renewable energy potential into a competitive advantage within the global low-carbon trade system. Although India has mobilized significant climate-related funding, only a limited share is directed toward export-linked renewable projects, restricting its broader participation in the international value chain. Solar photovoltaics continue to dominate the sector, supported </w:t>
      </w:r>
      <w:r>
        <w:rPr>
          <w:rFonts w:ascii="Times New Roman" w:eastAsia="Times New Roman" w:hAnsi="Times New Roman" w:cs="Times New Roman"/>
          <w:color w:val="000000"/>
          <w:sz w:val="24"/>
          <w:szCs w:val="24"/>
        </w:rPr>
        <w:lastRenderedPageBreak/>
        <w:t>by instruments such as green bonds and concessional credit, which lower capital costs, enhance technological capacity, and improve ESG compliance. To strengthen global competitiveness, India must align financial innovation with trade and industrial strategies, ensuring that green capital effectively supports export growth. Expanding EXIM Bank’s Green Window, diversifying green bond markets, and advancing backward integration across renewable manufacturing will be critical steps. Through coherent financial, technological, and policy coordination, India can enhance its renewable export capabilities and establish itself as a major force in the decarbonized global economy.</w:t>
      </w:r>
    </w:p>
    <w:p w14:paraId="6B27DBA7" w14:textId="77777777" w:rsidR="00F043FD" w:rsidRPr="00F043FD" w:rsidRDefault="00F043FD" w:rsidP="00F043FD">
      <w:pPr>
        <w:spacing w:line="360" w:lineRule="auto"/>
        <w:jc w:val="both"/>
        <w:rPr>
          <w:rFonts w:ascii="Times New Roman" w:eastAsia="Times New Roman" w:hAnsi="Times New Roman" w:cs="Times New Roman"/>
          <w:b/>
          <w:color w:val="000000"/>
          <w:sz w:val="24"/>
          <w:szCs w:val="24"/>
        </w:rPr>
      </w:pPr>
      <w:r w:rsidRPr="00F043FD">
        <w:rPr>
          <w:rFonts w:ascii="Times New Roman" w:eastAsia="Times New Roman" w:hAnsi="Times New Roman" w:cs="Times New Roman"/>
          <w:b/>
          <w:color w:val="000000"/>
          <w:sz w:val="24"/>
          <w:szCs w:val="24"/>
        </w:rPr>
        <w:t>Policy Recommendations</w:t>
      </w:r>
    </w:p>
    <w:p w14:paraId="73228C0D" w14:textId="77777777" w:rsidR="00F043FD" w:rsidRPr="00F043FD" w:rsidRDefault="00F043FD" w:rsidP="00F043FD">
      <w:pPr>
        <w:spacing w:line="360" w:lineRule="auto"/>
        <w:jc w:val="both"/>
        <w:rPr>
          <w:rFonts w:ascii="Times New Roman" w:eastAsia="Times New Roman" w:hAnsi="Times New Roman" w:cs="Times New Roman"/>
          <w:color w:val="000000"/>
          <w:sz w:val="24"/>
          <w:szCs w:val="24"/>
        </w:rPr>
      </w:pPr>
      <w:r w:rsidRPr="00F043FD">
        <w:rPr>
          <w:rFonts w:ascii="Times New Roman" w:eastAsia="Times New Roman" w:hAnsi="Times New Roman" w:cs="Times New Roman"/>
          <w:color w:val="000000"/>
          <w:sz w:val="24"/>
          <w:szCs w:val="24"/>
        </w:rPr>
        <w:t>1. Establish a dedicated Green Export Fund under EXIM Bank for concessional credit and guarantees.</w:t>
      </w:r>
    </w:p>
    <w:p w14:paraId="0F63CEA1" w14:textId="77777777" w:rsidR="00F043FD" w:rsidRPr="00F043FD" w:rsidRDefault="00F043FD" w:rsidP="00F043FD">
      <w:pPr>
        <w:spacing w:line="360" w:lineRule="auto"/>
        <w:jc w:val="both"/>
        <w:rPr>
          <w:rFonts w:ascii="Times New Roman" w:eastAsia="Times New Roman" w:hAnsi="Times New Roman" w:cs="Times New Roman"/>
          <w:color w:val="000000"/>
          <w:sz w:val="24"/>
          <w:szCs w:val="24"/>
        </w:rPr>
      </w:pPr>
      <w:r w:rsidRPr="00F043FD">
        <w:rPr>
          <w:rFonts w:ascii="Times New Roman" w:eastAsia="Times New Roman" w:hAnsi="Times New Roman" w:cs="Times New Roman"/>
          <w:color w:val="000000"/>
          <w:sz w:val="24"/>
          <w:szCs w:val="24"/>
        </w:rPr>
        <w:t>2. Integrate RBI’s green taxonomy with DGFT export incentives.</w:t>
      </w:r>
    </w:p>
    <w:p w14:paraId="02FAAC5E" w14:textId="77777777" w:rsidR="00F043FD" w:rsidRPr="00F043FD" w:rsidRDefault="00F043FD" w:rsidP="00F043FD">
      <w:pPr>
        <w:spacing w:line="360" w:lineRule="auto"/>
        <w:jc w:val="both"/>
        <w:rPr>
          <w:rFonts w:ascii="Times New Roman" w:eastAsia="Times New Roman" w:hAnsi="Times New Roman" w:cs="Times New Roman"/>
          <w:color w:val="000000"/>
          <w:sz w:val="24"/>
          <w:szCs w:val="24"/>
        </w:rPr>
      </w:pPr>
      <w:r w:rsidRPr="00F043FD">
        <w:rPr>
          <w:rFonts w:ascii="Times New Roman" w:eastAsia="Times New Roman" w:hAnsi="Times New Roman" w:cs="Times New Roman"/>
          <w:color w:val="000000"/>
          <w:sz w:val="24"/>
          <w:szCs w:val="24"/>
        </w:rPr>
        <w:t>3. Partner with multilateral funds like the Green Climate Fund for export-linked projects.</w:t>
      </w:r>
    </w:p>
    <w:p w14:paraId="65B33643" w14:textId="77777777" w:rsidR="00F043FD" w:rsidRPr="00F043FD" w:rsidRDefault="00F043FD" w:rsidP="00F043FD">
      <w:pPr>
        <w:spacing w:line="360" w:lineRule="auto"/>
        <w:jc w:val="both"/>
        <w:rPr>
          <w:rFonts w:ascii="Times New Roman" w:eastAsia="Times New Roman" w:hAnsi="Times New Roman" w:cs="Times New Roman"/>
          <w:color w:val="000000"/>
          <w:sz w:val="24"/>
          <w:szCs w:val="24"/>
        </w:rPr>
      </w:pPr>
      <w:r w:rsidRPr="00F043FD">
        <w:rPr>
          <w:rFonts w:ascii="Times New Roman" w:eastAsia="Times New Roman" w:hAnsi="Times New Roman" w:cs="Times New Roman"/>
          <w:color w:val="000000"/>
          <w:sz w:val="24"/>
          <w:szCs w:val="24"/>
        </w:rPr>
        <w:t>4. Develop national carbon audit and ESG certification support for exporters.</w:t>
      </w:r>
    </w:p>
    <w:p w14:paraId="27359750" w14:textId="77777777" w:rsidR="00F043FD" w:rsidRPr="00F043FD" w:rsidRDefault="00F043FD" w:rsidP="00F043FD">
      <w:pPr>
        <w:spacing w:line="360" w:lineRule="auto"/>
        <w:jc w:val="both"/>
        <w:rPr>
          <w:rFonts w:ascii="Times New Roman" w:eastAsia="Times New Roman" w:hAnsi="Times New Roman" w:cs="Times New Roman"/>
          <w:color w:val="000000"/>
          <w:sz w:val="24"/>
          <w:szCs w:val="24"/>
        </w:rPr>
      </w:pPr>
      <w:r w:rsidRPr="00F043FD">
        <w:rPr>
          <w:rFonts w:ascii="Times New Roman" w:eastAsia="Times New Roman" w:hAnsi="Times New Roman" w:cs="Times New Roman"/>
          <w:color w:val="000000"/>
          <w:sz w:val="24"/>
          <w:szCs w:val="24"/>
        </w:rPr>
        <w:t>5. Expand green bond markets dedicated to renewable exports.</w:t>
      </w:r>
    </w:p>
    <w:p w14:paraId="4DFAA2EA" w14:textId="77777777" w:rsidR="00F043FD" w:rsidRPr="00F043FD" w:rsidRDefault="00F043FD" w:rsidP="00F043FD">
      <w:pPr>
        <w:spacing w:line="360" w:lineRule="auto"/>
        <w:jc w:val="both"/>
        <w:rPr>
          <w:rFonts w:ascii="Times New Roman" w:eastAsia="Times New Roman" w:hAnsi="Times New Roman" w:cs="Times New Roman"/>
          <w:color w:val="000000"/>
          <w:sz w:val="24"/>
          <w:szCs w:val="24"/>
        </w:rPr>
      </w:pPr>
      <w:r w:rsidRPr="00F043FD">
        <w:rPr>
          <w:rFonts w:ascii="Times New Roman" w:eastAsia="Times New Roman" w:hAnsi="Times New Roman" w:cs="Times New Roman"/>
          <w:color w:val="000000"/>
          <w:sz w:val="24"/>
          <w:szCs w:val="24"/>
        </w:rPr>
        <w:t>6. Launch digital finance platforms for transparent project tracking.</w:t>
      </w:r>
    </w:p>
    <w:p w14:paraId="31043463" w14:textId="2348D675" w:rsidR="00F043FD" w:rsidRDefault="00F043FD" w:rsidP="00F043FD">
      <w:pPr>
        <w:spacing w:line="360" w:lineRule="auto"/>
        <w:jc w:val="both"/>
        <w:rPr>
          <w:rFonts w:ascii="Times New Roman" w:eastAsia="Times New Roman" w:hAnsi="Times New Roman" w:cs="Times New Roman"/>
          <w:color w:val="000000"/>
          <w:sz w:val="24"/>
          <w:szCs w:val="24"/>
        </w:rPr>
      </w:pPr>
      <w:r w:rsidRPr="00F043FD">
        <w:rPr>
          <w:rFonts w:ascii="Times New Roman" w:eastAsia="Times New Roman" w:hAnsi="Times New Roman" w:cs="Times New Roman"/>
          <w:color w:val="000000"/>
          <w:sz w:val="24"/>
          <w:szCs w:val="24"/>
        </w:rPr>
        <w:t>7. Build exporter capacity through training and access to sustainable finance tools.</w:t>
      </w:r>
    </w:p>
    <w:p w14:paraId="7AD34544" w14:textId="77777777" w:rsidR="00F043FD" w:rsidRDefault="00F043FD" w:rsidP="00F043FD">
      <w:pPr>
        <w:spacing w:line="360" w:lineRule="auto"/>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Study Limitations and Future Research</w:t>
      </w:r>
    </w:p>
    <w:p w14:paraId="161544D5" w14:textId="77777777" w:rsidR="00F043FD" w:rsidRDefault="00F043FD" w:rsidP="00F043FD">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Descriptive-Analytical methodology in this investigation, which relies on case studies and secondary data, restricts its capacity to prove causation. While case studies of Tata Power Solar and </w:t>
      </w:r>
      <w:proofErr w:type="spellStart"/>
      <w:r>
        <w:rPr>
          <w:rFonts w:ascii="Times New Roman" w:eastAsia="Times New Roman" w:hAnsi="Times New Roman" w:cs="Times New Roman"/>
          <w:sz w:val="24"/>
          <w:szCs w:val="24"/>
        </w:rPr>
        <w:t>ReNew</w:t>
      </w:r>
      <w:proofErr w:type="spellEnd"/>
      <w:r>
        <w:rPr>
          <w:rFonts w:ascii="Times New Roman" w:eastAsia="Times New Roman" w:hAnsi="Times New Roman" w:cs="Times New Roman"/>
          <w:sz w:val="24"/>
          <w:szCs w:val="24"/>
        </w:rPr>
        <w:t xml:space="preserve"> Power provide insights that are not generally applicable, reliance on datasets from DGCI&amp;S, RBI, and EXIM Bank limits the ability to accurately analyze the direct impact of green finance on exports. Although it lacks quantitative confirmation, the PESTLE framework identifies macro linkages. The results indicate a relationship but do not establish a causal relationship between green funding and renewable export competitiveness. To more accurately measure and evaluate the long-term impacts of </w:t>
      </w:r>
      <w:r>
        <w:rPr>
          <w:rFonts w:ascii="Times New Roman" w:eastAsia="Times New Roman" w:hAnsi="Times New Roman" w:cs="Times New Roman"/>
          <w:sz w:val="24"/>
          <w:szCs w:val="24"/>
        </w:rPr>
        <w:lastRenderedPageBreak/>
        <w:t xml:space="preserve">sustainable financing on export performance and diversification, future research should make use of panel data and econometric techniques, compare with other rising economies, and create a Green </w:t>
      </w:r>
      <w:proofErr w:type="gramStart"/>
      <w:r>
        <w:rPr>
          <w:rFonts w:ascii="Times New Roman" w:eastAsia="Times New Roman" w:hAnsi="Times New Roman" w:cs="Times New Roman"/>
          <w:sz w:val="24"/>
          <w:szCs w:val="24"/>
        </w:rPr>
        <w:t>financing</w:t>
      </w:r>
      <w:proofErr w:type="gramEnd"/>
      <w:r>
        <w:rPr>
          <w:rFonts w:ascii="Times New Roman" w:eastAsia="Times New Roman" w:hAnsi="Times New Roman" w:cs="Times New Roman"/>
          <w:sz w:val="24"/>
          <w:szCs w:val="24"/>
        </w:rPr>
        <w:t>-Trade Competitiveness Index.</w:t>
      </w:r>
    </w:p>
    <w:p w14:paraId="488B0723" w14:textId="77777777" w:rsidR="00F043FD" w:rsidRDefault="00F043FD" w:rsidP="0039368F">
      <w:pPr>
        <w:jc w:val="both"/>
        <w:rPr>
          <w:highlight w:val="yellow"/>
        </w:rPr>
      </w:pPr>
    </w:p>
    <w:p w14:paraId="715EFE5A" w14:textId="77777777" w:rsidR="00F043FD" w:rsidRDefault="00F043FD" w:rsidP="0039368F">
      <w:pPr>
        <w:jc w:val="both"/>
        <w:rPr>
          <w:highlight w:val="yellow"/>
        </w:rPr>
      </w:pPr>
    </w:p>
    <w:p w14:paraId="07943747" w14:textId="77777777" w:rsidR="00F043FD" w:rsidRPr="00F043FD" w:rsidRDefault="00F043FD" w:rsidP="0039368F">
      <w:pPr>
        <w:jc w:val="both"/>
        <w:rPr>
          <w:b/>
          <w:highlight w:val="yellow"/>
        </w:rPr>
      </w:pPr>
    </w:p>
    <w:p w14:paraId="23D5EA82" w14:textId="6450B748" w:rsidR="00B30073" w:rsidRPr="00F043FD" w:rsidRDefault="00B30073" w:rsidP="0039368F">
      <w:pPr>
        <w:jc w:val="both"/>
        <w:rPr>
          <w:b/>
          <w:highlight w:val="yellow"/>
        </w:rPr>
      </w:pPr>
      <w:r w:rsidRPr="00F043FD">
        <w:rPr>
          <w:b/>
          <w:highlight w:val="yellow"/>
        </w:rPr>
        <w:t>Disclaimer (Artific</w:t>
      </w:r>
      <w:bookmarkStart w:id="2" w:name="_GoBack"/>
      <w:bookmarkEnd w:id="2"/>
      <w:r w:rsidRPr="00F043FD">
        <w:rPr>
          <w:b/>
          <w:highlight w:val="yellow"/>
        </w:rPr>
        <w:t>ial intelligence)</w:t>
      </w:r>
    </w:p>
    <w:p w14:paraId="609235CC" w14:textId="77777777" w:rsidR="00B30073" w:rsidRPr="00740879" w:rsidRDefault="00B30073" w:rsidP="0039368F">
      <w:pPr>
        <w:jc w:val="both"/>
        <w:rPr>
          <w:highlight w:val="yellow"/>
        </w:rPr>
      </w:pPr>
      <w:r w:rsidRPr="00740879">
        <w:rPr>
          <w:highlight w:val="yellow"/>
        </w:rPr>
        <w:t xml:space="preserve">Option 1: </w:t>
      </w:r>
    </w:p>
    <w:p w14:paraId="6426B244" w14:textId="77777777" w:rsidR="00B30073" w:rsidRPr="00740879" w:rsidRDefault="00B30073" w:rsidP="0039368F">
      <w:pPr>
        <w:jc w:val="both"/>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246042CB" w14:textId="77777777" w:rsidR="00B30073" w:rsidRDefault="00B30073" w:rsidP="0039368F">
      <w:pPr>
        <w:spacing w:line="360" w:lineRule="auto"/>
        <w:jc w:val="both"/>
        <w:rPr>
          <w:rFonts w:ascii="Times New Roman" w:eastAsia="Times New Roman" w:hAnsi="Times New Roman" w:cs="Times New Roman"/>
          <w:color w:val="000000"/>
          <w:sz w:val="24"/>
          <w:szCs w:val="24"/>
        </w:rPr>
      </w:pPr>
    </w:p>
    <w:p w14:paraId="2F5E4137" w14:textId="77777777" w:rsidR="00E611D1" w:rsidRDefault="003E2051" w:rsidP="0039368F">
      <w:pPr>
        <w:spacing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8"/>
          <w:szCs w:val="28"/>
        </w:rPr>
        <w:t>References</w:t>
      </w:r>
    </w:p>
    <w:p w14:paraId="2D9734DF" w14:textId="526A045D" w:rsidR="000B61CE" w:rsidRPr="000B61CE" w:rsidRDefault="000B61CE" w:rsidP="000B61CE">
      <w:pPr>
        <w:pStyle w:val="ListParagraph"/>
        <w:numPr>
          <w:ilvl w:val="0"/>
          <w:numId w:val="6"/>
        </w:numPr>
        <w:jc w:val="both"/>
        <w:rPr>
          <w:rFonts w:ascii="Times New Roman" w:hAnsi="Times New Roman" w:cs="Times New Roman"/>
          <w:sz w:val="24"/>
          <w:szCs w:val="24"/>
        </w:rPr>
      </w:pPr>
      <w:r w:rsidRPr="000B61CE">
        <w:rPr>
          <w:rFonts w:ascii="Times New Roman" w:hAnsi="Times New Roman" w:cs="Times New Roman"/>
          <w:sz w:val="24"/>
          <w:szCs w:val="24"/>
        </w:rPr>
        <w:t>Al-Masri, R., &amp; Ibrahim, M. (2025). Integrating green finance, economic complexity, and renewable energy for sustainable development in Asia. </w:t>
      </w:r>
      <w:r w:rsidRPr="000B61CE">
        <w:rPr>
          <w:rFonts w:ascii="Times New Roman" w:hAnsi="Times New Roman" w:cs="Times New Roman"/>
          <w:i/>
          <w:iCs/>
          <w:sz w:val="24"/>
          <w:szCs w:val="24"/>
        </w:rPr>
        <w:t>Journal of Energy and Environmental Policy Options</w:t>
      </w:r>
      <w:r w:rsidRPr="000B61CE">
        <w:rPr>
          <w:rFonts w:ascii="Times New Roman" w:hAnsi="Times New Roman" w:cs="Times New Roman"/>
          <w:sz w:val="24"/>
          <w:szCs w:val="24"/>
        </w:rPr>
        <w:t>, </w:t>
      </w:r>
      <w:r w:rsidRPr="000B61CE">
        <w:rPr>
          <w:rFonts w:ascii="Times New Roman" w:hAnsi="Times New Roman" w:cs="Times New Roman"/>
          <w:i/>
          <w:iCs/>
          <w:sz w:val="24"/>
          <w:szCs w:val="24"/>
        </w:rPr>
        <w:t>8</w:t>
      </w:r>
      <w:r w:rsidRPr="000B61CE">
        <w:rPr>
          <w:rFonts w:ascii="Times New Roman" w:hAnsi="Times New Roman" w:cs="Times New Roman"/>
          <w:sz w:val="24"/>
          <w:szCs w:val="24"/>
        </w:rPr>
        <w:t xml:space="preserve">(1), 66-74. </w:t>
      </w:r>
      <w:hyperlink r:id="rId9" w:tgtFrame="_blank" w:tooltip="Persistent link using digital object identifier" w:history="1">
        <w:r w:rsidRPr="000B61CE">
          <w:rPr>
            <w:rStyle w:val="Hyperlink"/>
            <w:rFonts w:ascii="Times New Roman" w:hAnsi="Times New Roman" w:cs="Times New Roman"/>
            <w:sz w:val="24"/>
            <w:szCs w:val="24"/>
          </w:rPr>
          <w:t>https://doi.org/10.1016/j.esr.2025.101747</w:t>
        </w:r>
      </w:hyperlink>
    </w:p>
    <w:p w14:paraId="4DF89F3D" w14:textId="59D72444"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proofErr w:type="spellStart"/>
      <w:r w:rsidRPr="00F125FE">
        <w:rPr>
          <w:rFonts w:ascii="Times New Roman" w:eastAsia="Times New Roman" w:hAnsi="Times New Roman" w:cs="Times New Roman"/>
          <w:sz w:val="24"/>
          <w:szCs w:val="24"/>
        </w:rPr>
        <w:t>Chaurey</w:t>
      </w:r>
      <w:proofErr w:type="spellEnd"/>
      <w:r w:rsidRPr="00F125FE">
        <w:rPr>
          <w:rFonts w:ascii="Times New Roman" w:eastAsia="Times New Roman" w:hAnsi="Times New Roman" w:cs="Times New Roman"/>
          <w:sz w:val="24"/>
          <w:szCs w:val="24"/>
        </w:rPr>
        <w:t>, A., Gueye, K., &amp; Babu, N. Y. D. (2003). </w:t>
      </w:r>
      <w:r w:rsidRPr="00F125FE">
        <w:rPr>
          <w:rFonts w:ascii="Times New Roman" w:eastAsia="Times New Roman" w:hAnsi="Times New Roman" w:cs="Times New Roman"/>
          <w:i/>
          <w:iCs/>
          <w:sz w:val="24"/>
          <w:szCs w:val="24"/>
        </w:rPr>
        <w:t>Financing Renewable Energy in India: A Review of Mechanisms in Wind and Solar Applications</w:t>
      </w:r>
      <w:r w:rsidRPr="00F125FE">
        <w:rPr>
          <w:rFonts w:ascii="Times New Roman" w:eastAsia="Times New Roman" w:hAnsi="Times New Roman" w:cs="Times New Roman"/>
          <w:sz w:val="24"/>
          <w:szCs w:val="24"/>
        </w:rPr>
        <w:t xml:space="preserve">. </w:t>
      </w:r>
      <w:r w:rsidR="00F125FE" w:rsidRPr="00F125FE">
        <w:rPr>
          <w:rFonts w:ascii="Times New Roman" w:eastAsia="Times New Roman" w:hAnsi="Times New Roman" w:cs="Times New Roman"/>
          <w:sz w:val="24"/>
          <w:szCs w:val="24"/>
        </w:rPr>
        <w:t>https://www.iges.or.jp/jp/pub/financing-renewable-energy-india-review/en</w:t>
      </w:r>
    </w:p>
    <w:p w14:paraId="5601D335" w14:textId="732BEA5A"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Dong, C., Wu, H., Zhou, J., Lin, H., &amp; Chang, L. (2023). Role of renewable energy investment and geopolitical risk in green finance development: Empirical evidence from BRICS countries. </w:t>
      </w:r>
      <w:r w:rsidRPr="00F125FE">
        <w:rPr>
          <w:rFonts w:ascii="Times New Roman" w:eastAsia="Times New Roman" w:hAnsi="Times New Roman" w:cs="Times New Roman"/>
          <w:i/>
          <w:iCs/>
          <w:sz w:val="24"/>
          <w:szCs w:val="24"/>
        </w:rPr>
        <w:t>Renewable Energy</w:t>
      </w:r>
      <w:r w:rsidRPr="00F125FE">
        <w:rPr>
          <w:rFonts w:ascii="Times New Roman" w:eastAsia="Times New Roman" w:hAnsi="Times New Roman" w:cs="Times New Roman"/>
          <w:sz w:val="24"/>
          <w:szCs w:val="24"/>
        </w:rPr>
        <w:t>, </w:t>
      </w:r>
      <w:r w:rsidRPr="00F125FE">
        <w:rPr>
          <w:rFonts w:ascii="Times New Roman" w:eastAsia="Times New Roman" w:hAnsi="Times New Roman" w:cs="Times New Roman"/>
          <w:i/>
          <w:iCs/>
          <w:sz w:val="24"/>
          <w:szCs w:val="24"/>
        </w:rPr>
        <w:t>207</w:t>
      </w:r>
      <w:r w:rsidRPr="00F125FE">
        <w:rPr>
          <w:rFonts w:ascii="Times New Roman" w:eastAsia="Times New Roman" w:hAnsi="Times New Roman" w:cs="Times New Roman"/>
          <w:sz w:val="24"/>
          <w:szCs w:val="24"/>
        </w:rPr>
        <w:t>, 234-241.</w:t>
      </w:r>
      <w:r w:rsidR="00F125FE" w:rsidRPr="00F125FE">
        <w:t xml:space="preserve"> </w:t>
      </w:r>
      <w:r w:rsidR="00F125FE" w:rsidRPr="00F125FE">
        <w:rPr>
          <w:rFonts w:ascii="Times New Roman" w:eastAsia="Times New Roman" w:hAnsi="Times New Roman" w:cs="Times New Roman"/>
          <w:sz w:val="24"/>
          <w:szCs w:val="24"/>
        </w:rPr>
        <w:t>https://doi.org/10.1016/j.renene.2023.02.115</w:t>
      </w:r>
    </w:p>
    <w:p w14:paraId="1F106F3F" w14:textId="46BC7F75"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Directorate General of Commercial Intelligence &amp; Statistics. (2025). </w:t>
      </w:r>
      <w:r w:rsidRPr="00F125FE">
        <w:rPr>
          <w:rFonts w:ascii="Times New Roman" w:eastAsia="Times New Roman" w:hAnsi="Times New Roman" w:cs="Times New Roman"/>
          <w:i/>
          <w:iCs/>
          <w:sz w:val="24"/>
          <w:szCs w:val="24"/>
        </w:rPr>
        <w:t>Quarterly Review of Merchandise Foreign Trade: October–December, 2024 (Q3 FY2024-25)</w:t>
      </w:r>
      <w:r w:rsidRPr="00F125FE">
        <w:rPr>
          <w:rFonts w:ascii="Times New Roman" w:eastAsia="Times New Roman" w:hAnsi="Times New Roman" w:cs="Times New Roman"/>
          <w:sz w:val="24"/>
          <w:szCs w:val="24"/>
        </w:rPr>
        <w:t>.</w:t>
      </w:r>
      <w:r w:rsidR="001951EA">
        <w:t xml:space="preserve"> </w:t>
      </w:r>
      <w:r w:rsidR="00F125FE" w:rsidRPr="00F125FE">
        <w:rPr>
          <w:rFonts w:ascii="Times New Roman" w:eastAsia="Times New Roman" w:hAnsi="Times New Roman" w:cs="Times New Roman"/>
          <w:sz w:val="24"/>
          <w:szCs w:val="24"/>
        </w:rPr>
        <w:t xml:space="preserve">https://www.dgciskol.gov.in/writereaddata/Downloads/20250513155758QRMFT%20Q3%20FY%2024-25.pdf </w:t>
      </w:r>
    </w:p>
    <w:p w14:paraId="5488994E" w14:textId="06BF1C5B"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lastRenderedPageBreak/>
        <w:t xml:space="preserve">Export-Import Bank of India. (2024). </w:t>
      </w:r>
      <w:r w:rsidRPr="00F125FE">
        <w:rPr>
          <w:rFonts w:ascii="Times New Roman" w:eastAsia="Times New Roman" w:hAnsi="Times New Roman" w:cs="Times New Roman"/>
          <w:i/>
          <w:iCs/>
          <w:sz w:val="24"/>
          <w:szCs w:val="24"/>
        </w:rPr>
        <w:t>Sustainability report 2023-24</w:t>
      </w:r>
      <w:r w:rsidRPr="00F125FE">
        <w:rPr>
          <w:rFonts w:ascii="Times New Roman" w:eastAsia="Times New Roman" w:hAnsi="Times New Roman" w:cs="Times New Roman"/>
          <w:sz w:val="24"/>
          <w:szCs w:val="24"/>
        </w:rPr>
        <w:t xml:space="preserve">. </w:t>
      </w:r>
      <w:r w:rsidR="00F125FE" w:rsidRPr="00F125FE">
        <w:rPr>
          <w:rFonts w:ascii="Times New Roman" w:eastAsia="Times New Roman" w:hAnsi="Times New Roman" w:cs="Times New Roman"/>
          <w:sz w:val="24"/>
          <w:szCs w:val="24"/>
        </w:rPr>
        <w:t>https://www.eximbankindia.in/themes/custom/exim/pdf/EXIM-Bank_SR-2023-24.pdf</w:t>
      </w:r>
    </w:p>
    <w:p w14:paraId="176E21E0" w14:textId="491C0C34" w:rsidR="00E611D1"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i/>
          <w:iCs/>
          <w:sz w:val="24"/>
          <w:szCs w:val="24"/>
        </w:rPr>
        <w:t>Global landscape of climate finance 2024</w:t>
      </w:r>
      <w:r w:rsidRPr="00F125FE">
        <w:rPr>
          <w:rFonts w:ascii="Times New Roman" w:eastAsia="Times New Roman" w:hAnsi="Times New Roman" w:cs="Times New Roman"/>
          <w:sz w:val="24"/>
          <w:szCs w:val="24"/>
        </w:rPr>
        <w:t xml:space="preserve">. Climate Policy Initiative. </w:t>
      </w:r>
      <w:hyperlink r:id="rId10" w:history="1">
        <w:r w:rsidR="00F125FE" w:rsidRPr="00522142">
          <w:rPr>
            <w:rStyle w:val="Hyperlink"/>
            <w:rFonts w:ascii="Times New Roman" w:eastAsia="Times New Roman" w:hAnsi="Times New Roman" w:cs="Times New Roman"/>
            <w:sz w:val="24"/>
            <w:szCs w:val="24"/>
          </w:rPr>
          <w:t>https://www.climatepolicyinitiative.org/publication/global-landscape-of-climate-finance-2024/</w:t>
        </w:r>
      </w:hyperlink>
      <w:r w:rsidR="00F125FE">
        <w:rPr>
          <w:rFonts w:ascii="Times New Roman" w:eastAsia="Times New Roman" w:hAnsi="Times New Roman" w:cs="Times New Roman"/>
          <w:sz w:val="24"/>
          <w:szCs w:val="24"/>
        </w:rPr>
        <w:tab/>
      </w:r>
    </w:p>
    <w:p w14:paraId="3D1A1661" w14:textId="77777777" w:rsidR="00005857" w:rsidRPr="00005857" w:rsidRDefault="00005857" w:rsidP="00D5064C">
      <w:pPr>
        <w:pStyle w:val="ListParagraph"/>
        <w:numPr>
          <w:ilvl w:val="0"/>
          <w:numId w:val="6"/>
        </w:numPr>
        <w:jc w:val="both"/>
        <w:rPr>
          <w:rFonts w:ascii="Times New Roman" w:hAnsi="Times New Roman" w:cs="Times New Roman"/>
          <w:sz w:val="24"/>
          <w:szCs w:val="24"/>
        </w:rPr>
      </w:pPr>
      <w:r w:rsidRPr="005D61BD">
        <w:t>Hossain, M. E., Ullah, E., Rehman, M. Z., Haseeb, M., &amp; Esquivias, M. A. (2024). Going sustainable or going extinct: the consequences of clean technologies, green finance, and natural resources on the environment. </w:t>
      </w:r>
      <w:r w:rsidRPr="00F125FE">
        <w:rPr>
          <w:i/>
          <w:iCs/>
        </w:rPr>
        <w:t>Sustainability</w:t>
      </w:r>
      <w:r w:rsidRPr="005D61BD">
        <w:t>, </w:t>
      </w:r>
      <w:r w:rsidRPr="00F125FE">
        <w:rPr>
          <w:i/>
          <w:iCs/>
        </w:rPr>
        <w:t>16</w:t>
      </w:r>
      <w:r w:rsidRPr="005D61BD">
        <w:t>(14), 5836.</w:t>
      </w:r>
      <w:r>
        <w:t xml:space="preserve"> </w:t>
      </w:r>
      <w:r w:rsidRPr="005D61BD">
        <w:t> </w:t>
      </w:r>
      <w:hyperlink r:id="rId11" w:history="1">
        <w:r w:rsidRPr="00522142">
          <w:rPr>
            <w:rStyle w:val="Hyperlink"/>
          </w:rPr>
          <w:t>https://doi.org/10.3390/su16145836</w:t>
        </w:r>
      </w:hyperlink>
    </w:p>
    <w:p w14:paraId="49B93342" w14:textId="1765F2A3" w:rsidR="00D5064C" w:rsidRPr="00D5064C" w:rsidRDefault="00D5064C" w:rsidP="00D5064C">
      <w:pPr>
        <w:pStyle w:val="ListParagraph"/>
        <w:numPr>
          <w:ilvl w:val="0"/>
          <w:numId w:val="6"/>
        </w:numPr>
        <w:jc w:val="both"/>
        <w:rPr>
          <w:rFonts w:ascii="Times New Roman" w:hAnsi="Times New Roman" w:cs="Times New Roman"/>
          <w:sz w:val="24"/>
          <w:szCs w:val="24"/>
        </w:rPr>
      </w:pPr>
      <w:r w:rsidRPr="00D5064C">
        <w:rPr>
          <w:rFonts w:ascii="Times New Roman" w:hAnsi="Times New Roman" w:cs="Times New Roman"/>
          <w:sz w:val="24"/>
          <w:szCs w:val="24"/>
        </w:rPr>
        <w:t>Hanif, M. W., &amp; Zheng, S. (2025). Assessing the economic impact of green finance and renewable energy use on environmental sustainability in high-polluting sectors. </w:t>
      </w:r>
      <w:r w:rsidRPr="00D5064C">
        <w:rPr>
          <w:rFonts w:ascii="Times New Roman" w:hAnsi="Times New Roman" w:cs="Times New Roman"/>
          <w:i/>
          <w:iCs/>
          <w:sz w:val="24"/>
          <w:szCs w:val="24"/>
        </w:rPr>
        <w:t>Renewable Energy</w:t>
      </w:r>
      <w:r w:rsidRPr="00D5064C">
        <w:rPr>
          <w:rFonts w:ascii="Times New Roman" w:hAnsi="Times New Roman" w:cs="Times New Roman"/>
          <w:sz w:val="24"/>
          <w:szCs w:val="24"/>
        </w:rPr>
        <w:t>, </w:t>
      </w:r>
      <w:r w:rsidRPr="00D5064C">
        <w:rPr>
          <w:rFonts w:ascii="Times New Roman" w:hAnsi="Times New Roman" w:cs="Times New Roman"/>
          <w:i/>
          <w:iCs/>
          <w:sz w:val="24"/>
          <w:szCs w:val="24"/>
        </w:rPr>
        <w:t>247</w:t>
      </w:r>
      <w:r w:rsidRPr="00D5064C">
        <w:rPr>
          <w:rFonts w:ascii="Times New Roman" w:hAnsi="Times New Roman" w:cs="Times New Roman"/>
          <w:sz w:val="24"/>
          <w:szCs w:val="24"/>
        </w:rPr>
        <w:t xml:space="preserve">, 123017. </w:t>
      </w:r>
      <w:hyperlink r:id="rId12" w:tgtFrame="_blank" w:tooltip="Persistent link using digital object identifier" w:history="1">
        <w:r w:rsidRPr="00D5064C">
          <w:rPr>
            <w:rStyle w:val="Hyperlink"/>
            <w:rFonts w:ascii="Times New Roman" w:hAnsi="Times New Roman" w:cs="Times New Roman"/>
            <w:sz w:val="24"/>
            <w:szCs w:val="24"/>
          </w:rPr>
          <w:t>https://doi.org/10.1016/j.renene.2025.123017</w:t>
        </w:r>
      </w:hyperlink>
    </w:p>
    <w:p w14:paraId="77164E5C" w14:textId="53DE3F94"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International Energy Agency. (2024). </w:t>
      </w:r>
      <w:r w:rsidRPr="00F125FE">
        <w:rPr>
          <w:rFonts w:ascii="Times New Roman" w:eastAsia="Times New Roman" w:hAnsi="Times New Roman" w:cs="Times New Roman"/>
          <w:i/>
          <w:iCs/>
          <w:sz w:val="24"/>
          <w:szCs w:val="24"/>
        </w:rPr>
        <w:t>Renewables 2024: Analysis and forecasts to 2030</w:t>
      </w:r>
      <w:r w:rsidRPr="00F125FE">
        <w:rPr>
          <w:rFonts w:ascii="Times New Roman" w:eastAsia="Times New Roman" w:hAnsi="Times New Roman" w:cs="Times New Roman"/>
          <w:sz w:val="24"/>
          <w:szCs w:val="24"/>
        </w:rPr>
        <w:t xml:space="preserve">. Paris: IEA. </w:t>
      </w:r>
      <w:hyperlink r:id="rId13" w:history="1">
        <w:r w:rsidR="00F125FE" w:rsidRPr="00522142">
          <w:rPr>
            <w:rStyle w:val="Hyperlink"/>
            <w:rFonts w:ascii="Times New Roman" w:eastAsia="Times New Roman" w:hAnsi="Times New Roman" w:cs="Times New Roman"/>
            <w:sz w:val="24"/>
            <w:szCs w:val="24"/>
          </w:rPr>
          <w:t>https://www.iea.org/reports/renewables-2024</w:t>
        </w:r>
      </w:hyperlink>
      <w:r w:rsidR="00F125FE">
        <w:rPr>
          <w:rFonts w:ascii="Times New Roman" w:eastAsia="Times New Roman" w:hAnsi="Times New Roman" w:cs="Times New Roman"/>
          <w:sz w:val="24"/>
          <w:szCs w:val="24"/>
        </w:rPr>
        <w:tab/>
      </w:r>
    </w:p>
    <w:p w14:paraId="2DC92445" w14:textId="7BCFA3E6"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Institute for Energy Economics and Financial Analysis. (2024, November 11). </w:t>
      </w:r>
      <w:r w:rsidRPr="00F125FE">
        <w:rPr>
          <w:rFonts w:ascii="Times New Roman" w:eastAsia="Times New Roman" w:hAnsi="Times New Roman" w:cs="Times New Roman"/>
          <w:i/>
          <w:iCs/>
          <w:sz w:val="24"/>
          <w:szCs w:val="24"/>
        </w:rPr>
        <w:t>Indian solar PV exports surging</w:t>
      </w:r>
      <w:r w:rsidRPr="00F125FE">
        <w:rPr>
          <w:rFonts w:ascii="Times New Roman" w:eastAsia="Times New Roman" w:hAnsi="Times New Roman" w:cs="Times New Roman"/>
          <w:sz w:val="24"/>
          <w:szCs w:val="24"/>
        </w:rPr>
        <w:t xml:space="preserve"> [Report]. </w:t>
      </w:r>
      <w:hyperlink r:id="rId14" w:history="1">
        <w:r w:rsidR="00F125FE" w:rsidRPr="00522142">
          <w:rPr>
            <w:rStyle w:val="Hyperlink"/>
            <w:rFonts w:ascii="Times New Roman" w:eastAsia="Times New Roman" w:hAnsi="Times New Roman" w:cs="Times New Roman"/>
            <w:sz w:val="24"/>
            <w:szCs w:val="24"/>
          </w:rPr>
          <w:t>https://ieefa.org/sites/default/files/2024-11/Indian%20Solar%20PV%20Exports%20Surging_Nov24.pdf</w:t>
        </w:r>
      </w:hyperlink>
      <w:r w:rsidR="00F125FE">
        <w:rPr>
          <w:rFonts w:ascii="Times New Roman" w:eastAsia="Times New Roman" w:hAnsi="Times New Roman" w:cs="Times New Roman"/>
          <w:sz w:val="24"/>
          <w:szCs w:val="24"/>
        </w:rPr>
        <w:tab/>
      </w:r>
    </w:p>
    <w:p w14:paraId="188146DB" w14:textId="3AD70650"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lang w:val="es-US"/>
        </w:rPr>
      </w:pPr>
      <w:proofErr w:type="spellStart"/>
      <w:r w:rsidRPr="00F125FE">
        <w:rPr>
          <w:rFonts w:ascii="Times New Roman" w:eastAsia="Times New Roman" w:hAnsi="Times New Roman" w:cs="Times New Roman"/>
          <w:sz w:val="24"/>
          <w:szCs w:val="24"/>
        </w:rPr>
        <w:t>Khemnar</w:t>
      </w:r>
      <w:proofErr w:type="spellEnd"/>
      <w:r w:rsidRPr="00F125FE">
        <w:rPr>
          <w:rFonts w:ascii="Times New Roman" w:eastAsia="Times New Roman" w:hAnsi="Times New Roman" w:cs="Times New Roman"/>
          <w:sz w:val="24"/>
          <w:szCs w:val="24"/>
        </w:rPr>
        <w:t>, J., &amp; Pandey, P. (2024). Green Finance: Key Driver of Renewable Energy Growth in India. </w:t>
      </w:r>
      <w:proofErr w:type="spellStart"/>
      <w:r w:rsidRPr="00F125FE">
        <w:rPr>
          <w:rFonts w:ascii="Times New Roman" w:eastAsia="Times New Roman" w:hAnsi="Times New Roman" w:cs="Times New Roman"/>
          <w:i/>
          <w:iCs/>
          <w:sz w:val="24"/>
          <w:szCs w:val="24"/>
        </w:rPr>
        <w:t>Shanlax</w:t>
      </w:r>
      <w:proofErr w:type="spellEnd"/>
      <w:r w:rsidRPr="00F125FE">
        <w:rPr>
          <w:rFonts w:ascii="Times New Roman" w:eastAsia="Times New Roman" w:hAnsi="Times New Roman" w:cs="Times New Roman"/>
          <w:i/>
          <w:iCs/>
          <w:sz w:val="24"/>
          <w:szCs w:val="24"/>
        </w:rPr>
        <w:t xml:space="preserve"> International Journal of Arts, Science and Humanities</w:t>
      </w:r>
      <w:r w:rsidRPr="00F125FE">
        <w:rPr>
          <w:rFonts w:ascii="Times New Roman" w:eastAsia="Times New Roman" w:hAnsi="Times New Roman" w:cs="Times New Roman"/>
          <w:sz w:val="24"/>
          <w:szCs w:val="24"/>
        </w:rPr>
        <w:t>, </w:t>
      </w:r>
      <w:r w:rsidRPr="00F125FE">
        <w:rPr>
          <w:rFonts w:ascii="Times New Roman" w:eastAsia="Times New Roman" w:hAnsi="Times New Roman" w:cs="Times New Roman"/>
          <w:i/>
          <w:iCs/>
          <w:sz w:val="24"/>
          <w:szCs w:val="24"/>
        </w:rPr>
        <w:t>12</w:t>
      </w:r>
      <w:r w:rsidRPr="00F125FE">
        <w:rPr>
          <w:rFonts w:ascii="Times New Roman" w:eastAsia="Times New Roman" w:hAnsi="Times New Roman" w:cs="Times New Roman"/>
          <w:sz w:val="24"/>
          <w:szCs w:val="24"/>
        </w:rPr>
        <w:t xml:space="preserve">(S1-i2-Oct), 13–21. </w:t>
      </w:r>
      <w:hyperlink r:id="rId15" w:history="1">
        <w:r w:rsidR="00F125FE" w:rsidRPr="00522142">
          <w:rPr>
            <w:rStyle w:val="Hyperlink"/>
            <w:rFonts w:ascii="Times New Roman" w:eastAsia="Times New Roman" w:hAnsi="Times New Roman" w:cs="Times New Roman"/>
            <w:sz w:val="24"/>
            <w:szCs w:val="24"/>
          </w:rPr>
          <w:t>https://doi.org/10.34293/sijash.v12is1-i2-oct.8413</w:t>
        </w:r>
      </w:hyperlink>
      <w:r w:rsidR="00F125FE">
        <w:rPr>
          <w:rFonts w:ascii="Times New Roman" w:eastAsia="Times New Roman" w:hAnsi="Times New Roman" w:cs="Times New Roman"/>
          <w:sz w:val="24"/>
          <w:szCs w:val="24"/>
        </w:rPr>
        <w:tab/>
      </w:r>
    </w:p>
    <w:p w14:paraId="32880697" w14:textId="0A42C10F"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lang w:val="es-US"/>
        </w:rPr>
        <w:t xml:space="preserve">Lin, Z., </w:t>
      </w:r>
      <w:proofErr w:type="spellStart"/>
      <w:r w:rsidRPr="00F125FE">
        <w:rPr>
          <w:rFonts w:ascii="Times New Roman" w:eastAsia="Times New Roman" w:hAnsi="Times New Roman" w:cs="Times New Roman"/>
          <w:sz w:val="24"/>
          <w:szCs w:val="24"/>
          <w:lang w:val="es-US"/>
        </w:rPr>
        <w:t>Alvarez</w:t>
      </w:r>
      <w:proofErr w:type="spellEnd"/>
      <w:r w:rsidRPr="00F125FE">
        <w:rPr>
          <w:rFonts w:ascii="Times New Roman" w:eastAsia="Times New Roman" w:hAnsi="Times New Roman" w:cs="Times New Roman"/>
          <w:sz w:val="24"/>
          <w:szCs w:val="24"/>
          <w:lang w:val="es-US"/>
        </w:rPr>
        <w:t xml:space="preserve">‐Otero, S., </w:t>
      </w:r>
      <w:proofErr w:type="spellStart"/>
      <w:r w:rsidRPr="00F125FE">
        <w:rPr>
          <w:rFonts w:ascii="Times New Roman" w:eastAsia="Times New Roman" w:hAnsi="Times New Roman" w:cs="Times New Roman"/>
          <w:sz w:val="24"/>
          <w:szCs w:val="24"/>
          <w:lang w:val="es-US"/>
        </w:rPr>
        <w:t>Belgacem</w:t>
      </w:r>
      <w:proofErr w:type="spellEnd"/>
      <w:r w:rsidRPr="00F125FE">
        <w:rPr>
          <w:rFonts w:ascii="Times New Roman" w:eastAsia="Times New Roman" w:hAnsi="Times New Roman" w:cs="Times New Roman"/>
          <w:sz w:val="24"/>
          <w:szCs w:val="24"/>
          <w:lang w:val="es-US"/>
        </w:rPr>
        <w:t xml:space="preserve">, S. B., &amp; Fu, Q. (2023). </w:t>
      </w:r>
      <w:r w:rsidRPr="00F125FE">
        <w:rPr>
          <w:rFonts w:ascii="Times New Roman" w:eastAsia="Times New Roman" w:hAnsi="Times New Roman" w:cs="Times New Roman"/>
          <w:sz w:val="24"/>
          <w:szCs w:val="24"/>
        </w:rPr>
        <w:t>Role of sustainable finance, geopolitical risk and economic growth in renewable energy investment: Empirical evidence from China. </w:t>
      </w:r>
      <w:r w:rsidRPr="00F125FE">
        <w:rPr>
          <w:rFonts w:ascii="Times New Roman" w:eastAsia="Times New Roman" w:hAnsi="Times New Roman" w:cs="Times New Roman"/>
          <w:i/>
          <w:iCs/>
          <w:sz w:val="24"/>
          <w:szCs w:val="24"/>
        </w:rPr>
        <w:t>Geological Journal</w:t>
      </w:r>
      <w:r w:rsidRPr="00F125FE">
        <w:rPr>
          <w:rFonts w:ascii="Times New Roman" w:eastAsia="Times New Roman" w:hAnsi="Times New Roman" w:cs="Times New Roman"/>
          <w:sz w:val="24"/>
          <w:szCs w:val="24"/>
        </w:rPr>
        <w:t>, </w:t>
      </w:r>
      <w:r w:rsidRPr="00F125FE">
        <w:rPr>
          <w:rFonts w:ascii="Times New Roman" w:eastAsia="Times New Roman" w:hAnsi="Times New Roman" w:cs="Times New Roman"/>
          <w:i/>
          <w:iCs/>
          <w:sz w:val="24"/>
          <w:szCs w:val="24"/>
        </w:rPr>
        <w:t>58</w:t>
      </w:r>
      <w:r w:rsidRPr="00F125FE">
        <w:rPr>
          <w:rFonts w:ascii="Times New Roman" w:eastAsia="Times New Roman" w:hAnsi="Times New Roman" w:cs="Times New Roman"/>
          <w:sz w:val="24"/>
          <w:szCs w:val="24"/>
        </w:rPr>
        <w:t>(9), 3339-3347.</w:t>
      </w:r>
      <w:r w:rsidR="00F125FE" w:rsidRPr="00F125FE">
        <w:t xml:space="preserve"> </w:t>
      </w:r>
      <w:hyperlink r:id="rId16" w:history="1">
        <w:r w:rsidR="00F125FE" w:rsidRPr="00522142">
          <w:rPr>
            <w:rStyle w:val="Hyperlink"/>
            <w:rFonts w:ascii="Times New Roman" w:eastAsia="Times New Roman" w:hAnsi="Times New Roman" w:cs="Times New Roman"/>
            <w:sz w:val="24"/>
            <w:szCs w:val="24"/>
          </w:rPr>
          <w:t>https://doi.org/10.1002/gj.4654</w:t>
        </w:r>
      </w:hyperlink>
      <w:r w:rsidR="00F125FE">
        <w:rPr>
          <w:rFonts w:ascii="Times New Roman" w:eastAsia="Times New Roman" w:hAnsi="Times New Roman" w:cs="Times New Roman"/>
          <w:sz w:val="24"/>
          <w:szCs w:val="24"/>
        </w:rPr>
        <w:tab/>
      </w:r>
    </w:p>
    <w:p w14:paraId="2771B030" w14:textId="32BBECBA"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proofErr w:type="spellStart"/>
      <w:r w:rsidRPr="00F125FE">
        <w:rPr>
          <w:rFonts w:ascii="Times New Roman" w:eastAsia="Times New Roman" w:hAnsi="Times New Roman" w:cs="Times New Roman"/>
          <w:sz w:val="24"/>
          <w:szCs w:val="24"/>
        </w:rPr>
        <w:t>Mavlutova</w:t>
      </w:r>
      <w:proofErr w:type="spellEnd"/>
      <w:r w:rsidRPr="00F125FE">
        <w:rPr>
          <w:rFonts w:ascii="Times New Roman" w:eastAsia="Times New Roman" w:hAnsi="Times New Roman" w:cs="Times New Roman"/>
          <w:sz w:val="24"/>
          <w:szCs w:val="24"/>
        </w:rPr>
        <w:t xml:space="preserve">, I., </w:t>
      </w:r>
      <w:proofErr w:type="spellStart"/>
      <w:r w:rsidRPr="00F125FE">
        <w:rPr>
          <w:rFonts w:ascii="Times New Roman" w:eastAsia="Times New Roman" w:hAnsi="Times New Roman" w:cs="Times New Roman"/>
          <w:sz w:val="24"/>
          <w:szCs w:val="24"/>
        </w:rPr>
        <w:t>Spilbergs</w:t>
      </w:r>
      <w:proofErr w:type="spellEnd"/>
      <w:r w:rsidRPr="00F125FE">
        <w:rPr>
          <w:rFonts w:ascii="Times New Roman" w:eastAsia="Times New Roman" w:hAnsi="Times New Roman" w:cs="Times New Roman"/>
          <w:sz w:val="24"/>
          <w:szCs w:val="24"/>
        </w:rPr>
        <w:t xml:space="preserve">, A., </w:t>
      </w:r>
      <w:proofErr w:type="spellStart"/>
      <w:r w:rsidRPr="00F125FE">
        <w:rPr>
          <w:rFonts w:ascii="Times New Roman" w:eastAsia="Times New Roman" w:hAnsi="Times New Roman" w:cs="Times New Roman"/>
          <w:sz w:val="24"/>
          <w:szCs w:val="24"/>
        </w:rPr>
        <w:t>Verdenhofs</w:t>
      </w:r>
      <w:proofErr w:type="spellEnd"/>
      <w:r w:rsidRPr="00F125FE">
        <w:rPr>
          <w:rFonts w:ascii="Times New Roman" w:eastAsia="Times New Roman" w:hAnsi="Times New Roman" w:cs="Times New Roman"/>
          <w:sz w:val="24"/>
          <w:szCs w:val="24"/>
        </w:rPr>
        <w:t xml:space="preserve">, A., Kuzmina, J., </w:t>
      </w:r>
      <w:proofErr w:type="spellStart"/>
      <w:r w:rsidRPr="00F125FE">
        <w:rPr>
          <w:rFonts w:ascii="Times New Roman" w:eastAsia="Times New Roman" w:hAnsi="Times New Roman" w:cs="Times New Roman"/>
          <w:sz w:val="24"/>
          <w:szCs w:val="24"/>
        </w:rPr>
        <w:t>Arefjevs</w:t>
      </w:r>
      <w:proofErr w:type="spellEnd"/>
      <w:r w:rsidRPr="00F125FE">
        <w:rPr>
          <w:rFonts w:ascii="Times New Roman" w:eastAsia="Times New Roman" w:hAnsi="Times New Roman" w:cs="Times New Roman"/>
          <w:sz w:val="24"/>
          <w:szCs w:val="24"/>
        </w:rPr>
        <w:t xml:space="preserve">, I., &amp; </w:t>
      </w:r>
      <w:proofErr w:type="spellStart"/>
      <w:r w:rsidRPr="00F125FE">
        <w:rPr>
          <w:rFonts w:ascii="Times New Roman" w:eastAsia="Times New Roman" w:hAnsi="Times New Roman" w:cs="Times New Roman"/>
          <w:sz w:val="24"/>
          <w:szCs w:val="24"/>
        </w:rPr>
        <w:t>Natrins</w:t>
      </w:r>
      <w:proofErr w:type="spellEnd"/>
      <w:r w:rsidRPr="00F125FE">
        <w:rPr>
          <w:rFonts w:ascii="Times New Roman" w:eastAsia="Times New Roman" w:hAnsi="Times New Roman" w:cs="Times New Roman"/>
          <w:sz w:val="24"/>
          <w:szCs w:val="24"/>
        </w:rPr>
        <w:t>, A. (2023). The Role of Green Finance in Fostering the Sustainability of the Economy and Renewable Energy Supply: Recent Issues and Challenges. </w:t>
      </w:r>
      <w:r w:rsidRPr="00F125FE">
        <w:rPr>
          <w:rFonts w:ascii="Times New Roman" w:eastAsia="Times New Roman" w:hAnsi="Times New Roman" w:cs="Times New Roman"/>
          <w:i/>
          <w:iCs/>
          <w:sz w:val="24"/>
          <w:szCs w:val="24"/>
        </w:rPr>
        <w:t>Energies</w:t>
      </w:r>
      <w:r w:rsidRPr="00F125FE">
        <w:rPr>
          <w:rFonts w:ascii="Times New Roman" w:eastAsia="Times New Roman" w:hAnsi="Times New Roman" w:cs="Times New Roman"/>
          <w:sz w:val="24"/>
          <w:szCs w:val="24"/>
        </w:rPr>
        <w:t>. </w:t>
      </w:r>
      <w:hyperlink r:id="rId17" w:history="1">
        <w:r w:rsidR="00F125FE" w:rsidRPr="00522142">
          <w:rPr>
            <w:rStyle w:val="Hyperlink"/>
            <w:rFonts w:ascii="Times New Roman" w:eastAsia="Times New Roman" w:hAnsi="Times New Roman" w:cs="Times New Roman"/>
            <w:sz w:val="24"/>
            <w:szCs w:val="24"/>
          </w:rPr>
          <w:t>https://doi.org/10.3390/en16237712</w:t>
        </w:r>
      </w:hyperlink>
      <w:r w:rsidR="00F125FE">
        <w:rPr>
          <w:rFonts w:ascii="Times New Roman" w:eastAsia="Times New Roman" w:hAnsi="Times New Roman" w:cs="Times New Roman"/>
          <w:sz w:val="24"/>
          <w:szCs w:val="24"/>
        </w:rPr>
        <w:tab/>
      </w:r>
    </w:p>
    <w:p w14:paraId="4F80F967" w14:textId="21764AC4"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Mohanty, B. C. (2024). Opportunities of Renewable Energy Financing in India. </w:t>
      </w:r>
      <w:r w:rsidRPr="00F125FE">
        <w:rPr>
          <w:rFonts w:ascii="Times New Roman" w:eastAsia="Times New Roman" w:hAnsi="Times New Roman" w:cs="Times New Roman"/>
          <w:i/>
          <w:iCs/>
          <w:sz w:val="24"/>
          <w:szCs w:val="24"/>
        </w:rPr>
        <w:t>The Management Accountant</w:t>
      </w:r>
      <w:r w:rsidRPr="00F125FE">
        <w:rPr>
          <w:rFonts w:ascii="Times New Roman" w:eastAsia="Times New Roman" w:hAnsi="Times New Roman" w:cs="Times New Roman"/>
          <w:sz w:val="24"/>
          <w:szCs w:val="24"/>
        </w:rPr>
        <w:t xml:space="preserve">, 26–30. </w:t>
      </w:r>
      <w:r w:rsidR="00F125FE" w:rsidRPr="00F125FE">
        <w:rPr>
          <w:rFonts w:ascii="Times New Roman" w:eastAsia="Times New Roman" w:hAnsi="Times New Roman" w:cs="Times New Roman"/>
          <w:sz w:val="24"/>
          <w:szCs w:val="24"/>
        </w:rPr>
        <w:t>https://doi.org/10.33516/maj.v59i6.26-30p</w:t>
      </w:r>
    </w:p>
    <w:p w14:paraId="6F40F24E" w14:textId="5BD5F86D" w:rsidR="001951EA" w:rsidRDefault="003E2051" w:rsidP="001951EA">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lastRenderedPageBreak/>
        <w:t>PERWEZ, S., &amp; SAFIUDDIN, S. K. (2025). Green Financing Practices in India’s Renewable Energy Sector: A Study. </w:t>
      </w:r>
      <w:r w:rsidRPr="00F125FE">
        <w:rPr>
          <w:rFonts w:ascii="Times New Roman" w:eastAsia="Times New Roman" w:hAnsi="Times New Roman" w:cs="Times New Roman"/>
          <w:i/>
          <w:iCs/>
          <w:sz w:val="24"/>
          <w:szCs w:val="24"/>
        </w:rPr>
        <w:t>International Journal of Environmental, Sustainability, and Social Science</w:t>
      </w:r>
      <w:r w:rsidRPr="00F125FE">
        <w:rPr>
          <w:rFonts w:ascii="Times New Roman" w:eastAsia="Times New Roman" w:hAnsi="Times New Roman" w:cs="Times New Roman"/>
          <w:sz w:val="24"/>
          <w:szCs w:val="24"/>
        </w:rPr>
        <w:t>, </w:t>
      </w:r>
      <w:r w:rsidRPr="00F125FE">
        <w:rPr>
          <w:rFonts w:ascii="Times New Roman" w:eastAsia="Times New Roman" w:hAnsi="Times New Roman" w:cs="Times New Roman"/>
          <w:i/>
          <w:iCs/>
          <w:sz w:val="24"/>
          <w:szCs w:val="24"/>
        </w:rPr>
        <w:t>6</w:t>
      </w:r>
      <w:r w:rsidRPr="00F125FE">
        <w:rPr>
          <w:rFonts w:ascii="Times New Roman" w:eastAsia="Times New Roman" w:hAnsi="Times New Roman" w:cs="Times New Roman"/>
          <w:sz w:val="24"/>
          <w:szCs w:val="24"/>
        </w:rPr>
        <w:t>(4), 636-646.</w:t>
      </w:r>
      <w:r w:rsidR="00F125FE" w:rsidRPr="00F125FE">
        <w:t xml:space="preserve"> </w:t>
      </w:r>
      <w:hyperlink r:id="rId18" w:history="1">
        <w:r w:rsidR="00151B26" w:rsidRPr="00876FDF">
          <w:rPr>
            <w:rStyle w:val="Hyperlink"/>
            <w:rFonts w:ascii="Times New Roman" w:eastAsia="Times New Roman" w:hAnsi="Times New Roman" w:cs="Times New Roman"/>
            <w:sz w:val="24"/>
            <w:szCs w:val="24"/>
          </w:rPr>
          <w:t>https://doi.org/10.38142/ijesss.v6i4.1435</w:t>
        </w:r>
      </w:hyperlink>
    </w:p>
    <w:p w14:paraId="00102D6E" w14:textId="68A9620A" w:rsidR="00151B26" w:rsidRPr="00151B26" w:rsidRDefault="00151B26" w:rsidP="00151B26">
      <w:pPr>
        <w:pStyle w:val="ListParagraph"/>
        <w:numPr>
          <w:ilvl w:val="0"/>
          <w:numId w:val="6"/>
        </w:numPr>
        <w:jc w:val="both"/>
        <w:rPr>
          <w:rFonts w:ascii="Times New Roman" w:hAnsi="Times New Roman" w:cs="Times New Roman"/>
          <w:sz w:val="24"/>
          <w:szCs w:val="24"/>
        </w:rPr>
      </w:pPr>
      <w:r w:rsidRPr="00151B26">
        <w:rPr>
          <w:rFonts w:ascii="Times New Roman" w:hAnsi="Times New Roman" w:cs="Times New Roman"/>
          <w:sz w:val="24"/>
          <w:szCs w:val="24"/>
        </w:rPr>
        <w:t>Piao, Z., Chen, X., Li, Y., &amp; Yang, K. (2025). How does green finance overcome the bottleneck of green productivity? Moderating effects of green transformation. </w:t>
      </w:r>
      <w:r w:rsidRPr="00151B26">
        <w:rPr>
          <w:rFonts w:ascii="Times New Roman" w:hAnsi="Times New Roman" w:cs="Times New Roman"/>
          <w:i/>
          <w:iCs/>
          <w:sz w:val="24"/>
          <w:szCs w:val="24"/>
        </w:rPr>
        <w:t>Economic Change and Restructuring</w:t>
      </w:r>
      <w:r w:rsidRPr="00151B26">
        <w:rPr>
          <w:rFonts w:ascii="Times New Roman" w:hAnsi="Times New Roman" w:cs="Times New Roman"/>
          <w:sz w:val="24"/>
          <w:szCs w:val="24"/>
        </w:rPr>
        <w:t>, </w:t>
      </w:r>
      <w:r w:rsidRPr="00151B26">
        <w:rPr>
          <w:rFonts w:ascii="Times New Roman" w:hAnsi="Times New Roman" w:cs="Times New Roman"/>
          <w:i/>
          <w:iCs/>
          <w:sz w:val="24"/>
          <w:szCs w:val="24"/>
        </w:rPr>
        <w:t>58</w:t>
      </w:r>
      <w:r w:rsidRPr="00151B26">
        <w:rPr>
          <w:rFonts w:ascii="Times New Roman" w:hAnsi="Times New Roman" w:cs="Times New Roman"/>
          <w:sz w:val="24"/>
          <w:szCs w:val="24"/>
        </w:rPr>
        <w:t xml:space="preserve">(1), 10. </w:t>
      </w:r>
      <w:hyperlink r:id="rId19" w:history="1">
        <w:r w:rsidRPr="00151B26">
          <w:rPr>
            <w:rStyle w:val="Hyperlink"/>
            <w:rFonts w:ascii="Times New Roman" w:hAnsi="Times New Roman" w:cs="Times New Roman"/>
            <w:sz w:val="24"/>
            <w:szCs w:val="24"/>
          </w:rPr>
          <w:t>https://doi.org/10.1007/s10644-024-09852-1</w:t>
        </w:r>
      </w:hyperlink>
    </w:p>
    <w:p w14:paraId="13B5EB5B" w14:textId="7DE00700" w:rsidR="00E611D1"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proofErr w:type="spellStart"/>
      <w:r w:rsidRPr="00F125FE">
        <w:rPr>
          <w:rFonts w:ascii="Times New Roman" w:eastAsia="Times New Roman" w:hAnsi="Times New Roman" w:cs="Times New Roman"/>
          <w:sz w:val="24"/>
          <w:szCs w:val="24"/>
        </w:rPr>
        <w:t>ReNew</w:t>
      </w:r>
      <w:proofErr w:type="spellEnd"/>
      <w:r w:rsidRPr="00F125FE">
        <w:rPr>
          <w:rFonts w:ascii="Times New Roman" w:eastAsia="Times New Roman" w:hAnsi="Times New Roman" w:cs="Times New Roman"/>
          <w:sz w:val="24"/>
          <w:szCs w:val="24"/>
        </w:rPr>
        <w:t xml:space="preserve"> Energy Global Plc. (2025). </w:t>
      </w:r>
      <w:r w:rsidRPr="00F125FE">
        <w:rPr>
          <w:rFonts w:ascii="Times New Roman" w:eastAsia="Times New Roman" w:hAnsi="Times New Roman" w:cs="Times New Roman"/>
          <w:i/>
          <w:iCs/>
          <w:sz w:val="24"/>
          <w:szCs w:val="24"/>
        </w:rPr>
        <w:t>Annual Integrated Report FY 2024-25: Scaling New India’s Leap with Clean Energy Solutions: Innovating Sustainably</w:t>
      </w:r>
      <w:r w:rsidRPr="00F125FE">
        <w:rPr>
          <w:rFonts w:ascii="Times New Roman" w:eastAsia="Times New Roman" w:hAnsi="Times New Roman" w:cs="Times New Roman"/>
          <w:sz w:val="24"/>
          <w:szCs w:val="24"/>
        </w:rPr>
        <w:t xml:space="preserve">. </w:t>
      </w:r>
      <w:hyperlink r:id="rId20" w:history="1">
        <w:r w:rsidR="004D1106" w:rsidRPr="00876FDF">
          <w:rPr>
            <w:rStyle w:val="Hyperlink"/>
            <w:rFonts w:ascii="Times New Roman" w:eastAsia="Times New Roman" w:hAnsi="Times New Roman" w:cs="Times New Roman"/>
            <w:sz w:val="24"/>
            <w:szCs w:val="24"/>
          </w:rPr>
          <w:t>https://www.renew.com/annual-integrated-report-fy-2024-25</w:t>
        </w:r>
      </w:hyperlink>
    </w:p>
    <w:p w14:paraId="6EC25AE9" w14:textId="77777777" w:rsidR="004D1106" w:rsidRPr="00F125FE" w:rsidRDefault="004D1106" w:rsidP="004D1106">
      <w:pPr>
        <w:pStyle w:val="ListParagraph"/>
        <w:spacing w:line="360" w:lineRule="auto"/>
        <w:jc w:val="both"/>
        <w:rPr>
          <w:rFonts w:ascii="Times New Roman" w:eastAsia="Times New Roman" w:hAnsi="Times New Roman" w:cs="Times New Roman"/>
          <w:sz w:val="24"/>
          <w:szCs w:val="24"/>
        </w:rPr>
      </w:pPr>
    </w:p>
    <w:p w14:paraId="4512C6EB" w14:textId="0AA1F530"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Sharma, P., Gulia, J., &amp; Garg, V. (2024, November 11). </w:t>
      </w:r>
      <w:r w:rsidRPr="00F125FE">
        <w:rPr>
          <w:rFonts w:ascii="Times New Roman" w:eastAsia="Times New Roman" w:hAnsi="Times New Roman" w:cs="Times New Roman"/>
          <w:i/>
          <w:iCs/>
          <w:sz w:val="24"/>
          <w:szCs w:val="24"/>
        </w:rPr>
        <w:t>Indian solar PV exports surging.</w:t>
      </w:r>
      <w:r w:rsidRPr="00F125FE">
        <w:rPr>
          <w:rFonts w:ascii="Times New Roman" w:eastAsia="Times New Roman" w:hAnsi="Times New Roman" w:cs="Times New Roman"/>
          <w:sz w:val="24"/>
          <w:szCs w:val="24"/>
        </w:rPr>
        <w:t xml:space="preserve"> Institute for Energy Economics and Financial Analysis (IEEFA). </w:t>
      </w:r>
      <w:r w:rsidR="00F125FE" w:rsidRPr="00F125FE">
        <w:rPr>
          <w:rFonts w:ascii="Times New Roman" w:eastAsia="Times New Roman" w:hAnsi="Times New Roman" w:cs="Times New Roman"/>
          <w:sz w:val="24"/>
          <w:szCs w:val="24"/>
        </w:rPr>
        <w:t>https://ieefa.org/resources/indian-solar-pv-exports-surging</w:t>
      </w:r>
    </w:p>
    <w:p w14:paraId="7C65FC6F" w14:textId="3EF6D54F"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Sarangi, G. K. (2018). </w:t>
      </w:r>
      <w:r w:rsidRPr="00F125FE">
        <w:rPr>
          <w:rFonts w:ascii="Times New Roman" w:eastAsia="Times New Roman" w:hAnsi="Times New Roman" w:cs="Times New Roman"/>
          <w:i/>
          <w:iCs/>
          <w:sz w:val="24"/>
          <w:szCs w:val="24"/>
        </w:rPr>
        <w:t>Green energy finance in India: Challenges and solutions</w:t>
      </w:r>
      <w:r w:rsidRPr="00F125FE">
        <w:rPr>
          <w:rFonts w:ascii="Times New Roman" w:eastAsia="Times New Roman" w:hAnsi="Times New Roman" w:cs="Times New Roman"/>
          <w:sz w:val="24"/>
          <w:szCs w:val="24"/>
        </w:rPr>
        <w:t> (No. 863). ADBI working paper.</w:t>
      </w:r>
      <w:r w:rsidR="00F125FE" w:rsidRPr="00F125FE">
        <w:t xml:space="preserve"> </w:t>
      </w:r>
      <w:r w:rsidR="00F125FE" w:rsidRPr="00F125FE">
        <w:rPr>
          <w:rFonts w:ascii="Times New Roman" w:eastAsia="Times New Roman" w:hAnsi="Times New Roman" w:cs="Times New Roman"/>
          <w:sz w:val="24"/>
          <w:szCs w:val="24"/>
        </w:rPr>
        <w:t>https://www.adb.org/publications/green-energy-finance-india-challenges-and-solutions</w:t>
      </w:r>
    </w:p>
    <w:p w14:paraId="6F923112" w14:textId="748EFAE1"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rPr>
        <w:t xml:space="preserve">Tata Power Solar. (2024). </w:t>
      </w:r>
      <w:r w:rsidRPr="00F125FE">
        <w:rPr>
          <w:rFonts w:ascii="Times New Roman" w:eastAsia="Times New Roman" w:hAnsi="Times New Roman" w:cs="Times New Roman"/>
          <w:i/>
          <w:iCs/>
          <w:sz w:val="24"/>
          <w:szCs w:val="24"/>
        </w:rPr>
        <w:t xml:space="preserve">431 MW DC Solar Project, </w:t>
      </w:r>
      <w:proofErr w:type="spellStart"/>
      <w:r w:rsidRPr="00F125FE">
        <w:rPr>
          <w:rFonts w:ascii="Times New Roman" w:eastAsia="Times New Roman" w:hAnsi="Times New Roman" w:cs="Times New Roman"/>
          <w:i/>
          <w:iCs/>
          <w:sz w:val="24"/>
          <w:szCs w:val="24"/>
        </w:rPr>
        <w:t>Neemuch</w:t>
      </w:r>
      <w:proofErr w:type="spellEnd"/>
      <w:r w:rsidRPr="00F125FE">
        <w:rPr>
          <w:rFonts w:ascii="Times New Roman" w:eastAsia="Times New Roman" w:hAnsi="Times New Roman" w:cs="Times New Roman"/>
          <w:i/>
          <w:iCs/>
          <w:sz w:val="24"/>
          <w:szCs w:val="24"/>
        </w:rPr>
        <w:t>, Madhya Pradesh.</w:t>
      </w:r>
      <w:r w:rsidRPr="00F125FE">
        <w:rPr>
          <w:rFonts w:ascii="Times New Roman" w:eastAsia="Times New Roman" w:hAnsi="Times New Roman" w:cs="Times New Roman"/>
          <w:sz w:val="24"/>
          <w:szCs w:val="24"/>
        </w:rPr>
        <w:t xml:space="preserve"> </w:t>
      </w:r>
      <w:r w:rsidR="00F125FE" w:rsidRPr="00F125FE">
        <w:rPr>
          <w:rFonts w:ascii="Times New Roman" w:eastAsia="Times New Roman" w:hAnsi="Times New Roman" w:cs="Times New Roman"/>
          <w:sz w:val="24"/>
          <w:szCs w:val="24"/>
        </w:rPr>
        <w:t>https://www.tatapowersolar.com/project/431mw-dc-solar-project-neemuch-madhya-pradesh/</w:t>
      </w:r>
    </w:p>
    <w:p w14:paraId="56717E64" w14:textId="77777777"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r w:rsidRPr="00F125FE">
        <w:rPr>
          <w:rFonts w:ascii="Times New Roman" w:eastAsia="Times New Roman" w:hAnsi="Times New Roman" w:cs="Times New Roman"/>
          <w:sz w:val="24"/>
          <w:szCs w:val="24"/>
          <w:lang w:val="es-US"/>
        </w:rPr>
        <w:t xml:space="preserve">Tata </w:t>
      </w:r>
      <w:proofErr w:type="spellStart"/>
      <w:r w:rsidRPr="00F125FE">
        <w:rPr>
          <w:rFonts w:ascii="Times New Roman" w:eastAsia="Times New Roman" w:hAnsi="Times New Roman" w:cs="Times New Roman"/>
          <w:sz w:val="24"/>
          <w:szCs w:val="24"/>
          <w:lang w:val="es-US"/>
        </w:rPr>
        <w:t>Power</w:t>
      </w:r>
      <w:proofErr w:type="spellEnd"/>
      <w:r w:rsidRPr="00F125FE">
        <w:rPr>
          <w:rFonts w:ascii="Times New Roman" w:eastAsia="Times New Roman" w:hAnsi="Times New Roman" w:cs="Times New Roman"/>
          <w:sz w:val="24"/>
          <w:szCs w:val="24"/>
          <w:lang w:val="es-US"/>
        </w:rPr>
        <w:t xml:space="preserve"> Solar. (</w:t>
      </w:r>
      <w:proofErr w:type="spellStart"/>
      <w:r w:rsidRPr="00F125FE">
        <w:rPr>
          <w:rFonts w:ascii="Times New Roman" w:eastAsia="Times New Roman" w:hAnsi="Times New Roman" w:cs="Times New Roman"/>
          <w:sz w:val="24"/>
          <w:szCs w:val="24"/>
          <w:lang w:val="es-US"/>
        </w:rPr>
        <w:t>n.d</w:t>
      </w:r>
      <w:proofErr w:type="spellEnd"/>
      <w:r w:rsidRPr="00F125FE">
        <w:rPr>
          <w:rFonts w:ascii="Times New Roman" w:eastAsia="Times New Roman" w:hAnsi="Times New Roman" w:cs="Times New Roman"/>
          <w:sz w:val="24"/>
          <w:szCs w:val="24"/>
          <w:lang w:val="es-US"/>
        </w:rPr>
        <w:t xml:space="preserve">.). </w:t>
      </w:r>
      <w:r w:rsidRPr="00F125FE">
        <w:rPr>
          <w:rFonts w:ascii="Times New Roman" w:eastAsia="Times New Roman" w:hAnsi="Times New Roman" w:cs="Times New Roman"/>
          <w:i/>
          <w:iCs/>
          <w:sz w:val="24"/>
          <w:szCs w:val="24"/>
          <w:lang w:val="es-US"/>
        </w:rPr>
        <w:t xml:space="preserve">Tata </w:t>
      </w:r>
      <w:proofErr w:type="spellStart"/>
      <w:r w:rsidRPr="00F125FE">
        <w:rPr>
          <w:rFonts w:ascii="Times New Roman" w:eastAsia="Times New Roman" w:hAnsi="Times New Roman" w:cs="Times New Roman"/>
          <w:i/>
          <w:iCs/>
          <w:sz w:val="24"/>
          <w:szCs w:val="24"/>
          <w:lang w:val="es-US"/>
        </w:rPr>
        <w:t>Power</w:t>
      </w:r>
      <w:proofErr w:type="spellEnd"/>
      <w:r w:rsidRPr="00F125FE">
        <w:rPr>
          <w:rFonts w:ascii="Times New Roman" w:eastAsia="Times New Roman" w:hAnsi="Times New Roman" w:cs="Times New Roman"/>
          <w:i/>
          <w:iCs/>
          <w:sz w:val="24"/>
          <w:szCs w:val="24"/>
          <w:lang w:val="es-US"/>
        </w:rPr>
        <w:t xml:space="preserve"> Solar.</w:t>
      </w:r>
      <w:r w:rsidRPr="00F125FE">
        <w:rPr>
          <w:rFonts w:ascii="Times New Roman" w:eastAsia="Times New Roman" w:hAnsi="Times New Roman" w:cs="Times New Roman"/>
          <w:sz w:val="24"/>
          <w:szCs w:val="24"/>
          <w:lang w:val="es-US"/>
        </w:rPr>
        <w:t xml:space="preserve"> </w:t>
      </w:r>
      <w:hyperlink r:id="rId21">
        <w:r w:rsidR="00E611D1" w:rsidRPr="00F125FE">
          <w:rPr>
            <w:rFonts w:ascii="Times New Roman" w:eastAsia="Times New Roman" w:hAnsi="Times New Roman" w:cs="Times New Roman"/>
            <w:color w:val="0000FF"/>
            <w:sz w:val="24"/>
            <w:szCs w:val="24"/>
            <w:u w:val="single"/>
          </w:rPr>
          <w:t>https://www.tatapowersolar.com/</w:t>
        </w:r>
      </w:hyperlink>
      <w:r w:rsidRPr="00F125FE">
        <w:rPr>
          <w:rFonts w:ascii="Times New Roman" w:eastAsia="Times New Roman" w:hAnsi="Times New Roman" w:cs="Times New Roman"/>
          <w:sz w:val="24"/>
          <w:szCs w:val="24"/>
        </w:rPr>
        <w:t xml:space="preserve"> </w:t>
      </w:r>
      <w:hyperlink r:id="rId22">
        <w:r w:rsidR="00E611D1" w:rsidRPr="00F125FE">
          <w:rPr>
            <w:rFonts w:ascii="Times New Roman" w:eastAsia="Times New Roman" w:hAnsi="Times New Roman" w:cs="Times New Roman"/>
            <w:color w:val="0000FF"/>
            <w:sz w:val="24"/>
            <w:szCs w:val="24"/>
            <w:u w:val="single"/>
          </w:rPr>
          <w:t>tatapowersolar.com</w:t>
        </w:r>
      </w:hyperlink>
    </w:p>
    <w:p w14:paraId="5B0AB019" w14:textId="7FD12DED" w:rsidR="00E611D1" w:rsidRPr="00F125FE" w:rsidRDefault="003E2051" w:rsidP="0039368F">
      <w:pPr>
        <w:pStyle w:val="ListParagraph"/>
        <w:numPr>
          <w:ilvl w:val="0"/>
          <w:numId w:val="6"/>
        </w:numPr>
        <w:spacing w:line="360" w:lineRule="auto"/>
        <w:jc w:val="both"/>
        <w:rPr>
          <w:rFonts w:ascii="Times New Roman" w:eastAsia="Times New Roman" w:hAnsi="Times New Roman" w:cs="Times New Roman"/>
          <w:sz w:val="24"/>
          <w:szCs w:val="24"/>
        </w:rPr>
      </w:pPr>
      <w:bookmarkStart w:id="3" w:name="_hj0s5leyxgf" w:colFirst="0" w:colLast="0"/>
      <w:bookmarkEnd w:id="3"/>
      <w:r w:rsidRPr="00F125FE">
        <w:rPr>
          <w:rFonts w:ascii="Times New Roman" w:eastAsia="Times New Roman" w:hAnsi="Times New Roman" w:cs="Times New Roman"/>
          <w:sz w:val="24"/>
          <w:szCs w:val="24"/>
        </w:rPr>
        <w:t xml:space="preserve">United Nations. (2022, May 17). </w:t>
      </w:r>
      <w:r w:rsidRPr="00F125FE">
        <w:rPr>
          <w:rFonts w:ascii="Times New Roman" w:eastAsia="Times New Roman" w:hAnsi="Times New Roman" w:cs="Times New Roman"/>
          <w:i/>
          <w:iCs/>
          <w:sz w:val="24"/>
          <w:szCs w:val="24"/>
        </w:rPr>
        <w:t>What is renewable energy?</w:t>
      </w:r>
      <w:r w:rsidRPr="00F125FE">
        <w:rPr>
          <w:rFonts w:ascii="Times New Roman" w:eastAsia="Times New Roman" w:hAnsi="Times New Roman" w:cs="Times New Roman"/>
          <w:sz w:val="24"/>
          <w:szCs w:val="24"/>
        </w:rPr>
        <w:t xml:space="preserve"> Retrieved from </w:t>
      </w:r>
      <w:r w:rsidR="00F125FE" w:rsidRPr="00F125FE">
        <w:rPr>
          <w:rFonts w:ascii="Times New Roman" w:eastAsia="Times New Roman" w:hAnsi="Times New Roman" w:cs="Times New Roman"/>
          <w:sz w:val="24"/>
          <w:szCs w:val="24"/>
        </w:rPr>
        <w:t>https://www.un.org/en/climatechange/what-is-renewable-energy</w:t>
      </w:r>
    </w:p>
    <w:p w14:paraId="44128CE4" w14:textId="1A24B06C" w:rsidR="00E611D1" w:rsidRDefault="003E2051" w:rsidP="0039368F">
      <w:pPr>
        <w:pStyle w:val="ListParagraph"/>
        <w:numPr>
          <w:ilvl w:val="0"/>
          <w:numId w:val="6"/>
        </w:numPr>
        <w:spacing w:line="360" w:lineRule="auto"/>
        <w:jc w:val="both"/>
      </w:pPr>
      <w:r w:rsidRPr="00F125FE">
        <w:rPr>
          <w:rFonts w:ascii="Times New Roman" w:eastAsia="Times New Roman" w:hAnsi="Times New Roman" w:cs="Times New Roman"/>
          <w:sz w:val="24"/>
          <w:szCs w:val="24"/>
        </w:rPr>
        <w:t xml:space="preserve">World Trade Organization. (n.d.). </w:t>
      </w:r>
      <w:r w:rsidRPr="00F125FE">
        <w:rPr>
          <w:rFonts w:ascii="Times New Roman" w:eastAsia="Times New Roman" w:hAnsi="Times New Roman" w:cs="Times New Roman"/>
          <w:i/>
          <w:iCs/>
          <w:sz w:val="24"/>
          <w:szCs w:val="24"/>
        </w:rPr>
        <w:t>Statistics.</w:t>
      </w:r>
      <w:r w:rsidRPr="00F125FE">
        <w:rPr>
          <w:rFonts w:ascii="Times New Roman" w:eastAsia="Times New Roman" w:hAnsi="Times New Roman" w:cs="Times New Roman"/>
          <w:sz w:val="24"/>
          <w:szCs w:val="24"/>
        </w:rPr>
        <w:t xml:space="preserve"> Retrieved October 29, 2025, from </w:t>
      </w:r>
      <w:r w:rsidR="00F125FE" w:rsidRPr="00F125FE">
        <w:rPr>
          <w:rFonts w:ascii="Times New Roman" w:eastAsia="Times New Roman" w:hAnsi="Times New Roman" w:cs="Times New Roman"/>
          <w:sz w:val="24"/>
          <w:szCs w:val="24"/>
        </w:rPr>
        <w:t>https://www.wto.org/english/res_e/statis_e/statis_e.htm</w:t>
      </w:r>
    </w:p>
    <w:p w14:paraId="64E6CFD5" w14:textId="77777777" w:rsidR="00005857" w:rsidRPr="00005857" w:rsidRDefault="00005857" w:rsidP="00005857">
      <w:pPr>
        <w:pStyle w:val="ListParagraph"/>
        <w:numPr>
          <w:ilvl w:val="0"/>
          <w:numId w:val="6"/>
        </w:numPr>
        <w:jc w:val="both"/>
        <w:rPr>
          <w:rFonts w:ascii="Times New Roman" w:hAnsi="Times New Roman" w:cs="Times New Roman"/>
          <w:sz w:val="24"/>
          <w:szCs w:val="24"/>
        </w:rPr>
      </w:pPr>
      <w:r w:rsidRPr="00005857">
        <w:rPr>
          <w:rFonts w:ascii="Times New Roman" w:hAnsi="Times New Roman" w:cs="Times New Roman"/>
          <w:sz w:val="24"/>
          <w:szCs w:val="24"/>
        </w:rPr>
        <w:t xml:space="preserve">Zhu, Y., Lin, B., &amp; Zhu, R. (2025). Impact assessment of green finance reforms on renewable energy development. Environmental Impact Assessment Review, 114, 107913. </w:t>
      </w:r>
      <w:hyperlink r:id="rId23" w:tgtFrame="_blank" w:tooltip="Persistent link using digital object identifier" w:history="1">
        <w:r w:rsidRPr="00005857">
          <w:rPr>
            <w:rStyle w:val="Hyperlink"/>
            <w:rFonts w:ascii="Times New Roman" w:hAnsi="Times New Roman" w:cs="Times New Roman"/>
            <w:sz w:val="24"/>
            <w:szCs w:val="24"/>
          </w:rPr>
          <w:t>https://doi.org/10.1016/j.eiar.2025.107913</w:t>
        </w:r>
      </w:hyperlink>
    </w:p>
    <w:p w14:paraId="42FF5E29" w14:textId="77777777" w:rsidR="00C024B8" w:rsidRDefault="00C024B8" w:rsidP="00C024B8">
      <w:pPr>
        <w:pStyle w:val="ListParagraph"/>
        <w:numPr>
          <w:ilvl w:val="0"/>
          <w:numId w:val="6"/>
        </w:numPr>
        <w:jc w:val="both"/>
        <w:rPr>
          <w:rFonts w:ascii="Times New Roman" w:hAnsi="Times New Roman" w:cs="Times New Roman"/>
          <w:sz w:val="24"/>
          <w:szCs w:val="24"/>
        </w:rPr>
      </w:pPr>
      <w:r w:rsidRPr="00C024B8">
        <w:rPr>
          <w:rFonts w:ascii="Times New Roman" w:hAnsi="Times New Roman" w:cs="Times New Roman"/>
          <w:sz w:val="24"/>
          <w:szCs w:val="24"/>
        </w:rPr>
        <w:lastRenderedPageBreak/>
        <w:t>Zheng, M., Du, Q., &amp; Wang, Q. J. (2023). Nexus between green finance and renewable energy development in China. </w:t>
      </w:r>
      <w:r w:rsidRPr="00C024B8">
        <w:rPr>
          <w:rFonts w:ascii="Times New Roman" w:hAnsi="Times New Roman" w:cs="Times New Roman"/>
          <w:i/>
          <w:iCs/>
          <w:sz w:val="24"/>
          <w:szCs w:val="24"/>
        </w:rPr>
        <w:t>Emerging Markets Finance and Trade</w:t>
      </w:r>
      <w:r w:rsidRPr="00C024B8">
        <w:rPr>
          <w:rFonts w:ascii="Times New Roman" w:hAnsi="Times New Roman" w:cs="Times New Roman"/>
          <w:sz w:val="24"/>
          <w:szCs w:val="24"/>
        </w:rPr>
        <w:t>, </w:t>
      </w:r>
      <w:r w:rsidRPr="00C024B8">
        <w:rPr>
          <w:rFonts w:ascii="Times New Roman" w:hAnsi="Times New Roman" w:cs="Times New Roman"/>
          <w:i/>
          <w:iCs/>
          <w:sz w:val="24"/>
          <w:szCs w:val="24"/>
        </w:rPr>
        <w:t>59</w:t>
      </w:r>
      <w:r w:rsidRPr="00C024B8">
        <w:rPr>
          <w:rFonts w:ascii="Times New Roman" w:hAnsi="Times New Roman" w:cs="Times New Roman"/>
          <w:sz w:val="24"/>
          <w:szCs w:val="24"/>
        </w:rPr>
        <w:t xml:space="preserve">(4), 1205-1218. </w:t>
      </w:r>
      <w:hyperlink r:id="rId24" w:history="1">
        <w:r w:rsidRPr="00C024B8">
          <w:rPr>
            <w:rStyle w:val="Hyperlink"/>
            <w:rFonts w:ascii="Times New Roman" w:hAnsi="Times New Roman" w:cs="Times New Roman"/>
            <w:sz w:val="24"/>
            <w:szCs w:val="24"/>
          </w:rPr>
          <w:t>https://doi.org/10.1080/1540496X.2022.2119811</w:t>
        </w:r>
      </w:hyperlink>
    </w:p>
    <w:p w14:paraId="28E14551" w14:textId="2C84ECA8" w:rsidR="008531B4" w:rsidRPr="00884038" w:rsidRDefault="008531B4" w:rsidP="00884038">
      <w:pPr>
        <w:pStyle w:val="ListParagraph"/>
        <w:numPr>
          <w:ilvl w:val="0"/>
          <w:numId w:val="6"/>
        </w:numPr>
        <w:jc w:val="both"/>
        <w:rPr>
          <w:rFonts w:ascii="Times New Roman" w:hAnsi="Times New Roman" w:cs="Times New Roman"/>
          <w:bCs/>
          <w:sz w:val="24"/>
          <w:szCs w:val="24"/>
        </w:rPr>
      </w:pPr>
      <w:proofErr w:type="spellStart"/>
      <w:r w:rsidRPr="008531B4">
        <w:rPr>
          <w:rFonts w:ascii="Times New Roman" w:hAnsi="Times New Roman" w:cs="Times New Roman"/>
          <w:bCs/>
          <w:sz w:val="24"/>
          <w:szCs w:val="24"/>
        </w:rPr>
        <w:t>Peñasco</w:t>
      </w:r>
      <w:proofErr w:type="spellEnd"/>
      <w:r w:rsidRPr="008531B4">
        <w:rPr>
          <w:rFonts w:ascii="Times New Roman" w:hAnsi="Times New Roman" w:cs="Times New Roman"/>
          <w:bCs/>
          <w:sz w:val="24"/>
          <w:szCs w:val="24"/>
        </w:rPr>
        <w:t xml:space="preserve">, C. (2025). France’s Green Horizon: Supply-Side Drivers for a Competitive Transition in Export Markets. </w:t>
      </w:r>
      <w:r w:rsidRPr="008531B4">
        <w:rPr>
          <w:rFonts w:ascii="Times New Roman" w:hAnsi="Times New Roman" w:cs="Times New Roman"/>
          <w:bCs/>
          <w:i/>
          <w:iCs/>
          <w:sz w:val="24"/>
          <w:szCs w:val="24"/>
        </w:rPr>
        <w:t>Social Science Research Network</w:t>
      </w:r>
      <w:r w:rsidRPr="008531B4">
        <w:rPr>
          <w:rFonts w:ascii="Times New Roman" w:hAnsi="Times New Roman" w:cs="Times New Roman"/>
          <w:bCs/>
          <w:sz w:val="24"/>
          <w:szCs w:val="24"/>
        </w:rPr>
        <w:t xml:space="preserve">. </w:t>
      </w:r>
      <w:hyperlink r:id="rId25" w:history="1">
        <w:r w:rsidRPr="008531B4">
          <w:rPr>
            <w:rStyle w:val="Hyperlink"/>
            <w:rFonts w:ascii="Times New Roman" w:hAnsi="Times New Roman" w:cs="Times New Roman"/>
            <w:bCs/>
            <w:sz w:val="24"/>
            <w:szCs w:val="24"/>
          </w:rPr>
          <w:t>https://doi.org/10.2139/ssrn.5382569</w:t>
        </w:r>
      </w:hyperlink>
    </w:p>
    <w:p w14:paraId="08F9E160" w14:textId="56B0A4A9" w:rsidR="008531B4" w:rsidRPr="00884038" w:rsidRDefault="008531B4" w:rsidP="00884038">
      <w:pPr>
        <w:pStyle w:val="ListParagraph"/>
        <w:numPr>
          <w:ilvl w:val="0"/>
          <w:numId w:val="6"/>
        </w:numPr>
        <w:jc w:val="both"/>
        <w:rPr>
          <w:rFonts w:ascii="Times New Roman" w:hAnsi="Times New Roman" w:cs="Times New Roman"/>
          <w:bCs/>
          <w:sz w:val="24"/>
          <w:szCs w:val="24"/>
        </w:rPr>
      </w:pPr>
      <w:r w:rsidRPr="008531B4">
        <w:rPr>
          <w:rFonts w:ascii="Times New Roman" w:hAnsi="Times New Roman" w:cs="Times New Roman"/>
          <w:bCs/>
          <w:sz w:val="24"/>
          <w:szCs w:val="24"/>
        </w:rPr>
        <w:t xml:space="preserve">Muhmad, S. N., Cheema, S., Ariff, A. M., Him, N. F. N., &amp; Muhmad, S. N. (2024). Systematic literature review and bibliometric analysis of green finance and renewable energy development. </w:t>
      </w:r>
      <w:r w:rsidRPr="008531B4">
        <w:rPr>
          <w:rFonts w:ascii="Times New Roman" w:hAnsi="Times New Roman" w:cs="Times New Roman"/>
          <w:bCs/>
          <w:i/>
          <w:iCs/>
          <w:sz w:val="24"/>
          <w:szCs w:val="24"/>
        </w:rPr>
        <w:t>Sustainable Development</w:t>
      </w:r>
      <w:r w:rsidRPr="008531B4">
        <w:rPr>
          <w:rFonts w:ascii="Times New Roman" w:hAnsi="Times New Roman" w:cs="Times New Roman"/>
          <w:bCs/>
          <w:sz w:val="24"/>
          <w:szCs w:val="24"/>
        </w:rPr>
        <w:t xml:space="preserve">. </w:t>
      </w:r>
      <w:hyperlink r:id="rId26" w:history="1">
        <w:r w:rsidRPr="008531B4">
          <w:rPr>
            <w:rStyle w:val="Hyperlink"/>
            <w:rFonts w:ascii="Times New Roman" w:hAnsi="Times New Roman" w:cs="Times New Roman"/>
            <w:bCs/>
            <w:sz w:val="24"/>
            <w:szCs w:val="24"/>
          </w:rPr>
          <w:t>https://doi.org/10.1002/sd.3093</w:t>
        </w:r>
      </w:hyperlink>
    </w:p>
    <w:p w14:paraId="5FC052A6" w14:textId="27B408B9" w:rsidR="008531B4" w:rsidRPr="00884038" w:rsidRDefault="008531B4" w:rsidP="00884038">
      <w:pPr>
        <w:pStyle w:val="ListParagraph"/>
        <w:numPr>
          <w:ilvl w:val="0"/>
          <w:numId w:val="6"/>
        </w:numPr>
        <w:jc w:val="both"/>
        <w:rPr>
          <w:rFonts w:ascii="Times New Roman" w:hAnsi="Times New Roman" w:cs="Times New Roman"/>
          <w:bCs/>
          <w:sz w:val="24"/>
          <w:szCs w:val="24"/>
          <w:lang w:val="it-IT"/>
        </w:rPr>
      </w:pPr>
      <w:proofErr w:type="spellStart"/>
      <w:r w:rsidRPr="008531B4">
        <w:rPr>
          <w:rFonts w:ascii="Times New Roman" w:hAnsi="Times New Roman" w:cs="Times New Roman"/>
          <w:bCs/>
          <w:sz w:val="24"/>
          <w:szCs w:val="24"/>
        </w:rPr>
        <w:t>Madouri</w:t>
      </w:r>
      <w:proofErr w:type="spellEnd"/>
      <w:r w:rsidRPr="008531B4">
        <w:rPr>
          <w:rFonts w:ascii="Times New Roman" w:hAnsi="Times New Roman" w:cs="Times New Roman"/>
          <w:bCs/>
          <w:sz w:val="24"/>
          <w:szCs w:val="24"/>
        </w:rPr>
        <w:t xml:space="preserve">, H. (2025). Green finance and renewable energy investments. </w:t>
      </w:r>
      <w:r w:rsidRPr="008531B4">
        <w:rPr>
          <w:rFonts w:ascii="Times New Roman" w:hAnsi="Times New Roman" w:cs="Times New Roman"/>
          <w:bCs/>
          <w:i/>
          <w:iCs/>
          <w:sz w:val="24"/>
          <w:szCs w:val="24"/>
        </w:rPr>
        <w:t>The Central European Review of Economics and Management</w:t>
      </w:r>
      <w:r w:rsidRPr="008531B4">
        <w:rPr>
          <w:rFonts w:ascii="Times New Roman" w:hAnsi="Times New Roman" w:cs="Times New Roman"/>
          <w:bCs/>
          <w:sz w:val="24"/>
          <w:szCs w:val="24"/>
        </w:rPr>
        <w:t xml:space="preserve">, </w:t>
      </w:r>
      <w:r w:rsidRPr="008531B4">
        <w:rPr>
          <w:rFonts w:ascii="Times New Roman" w:hAnsi="Times New Roman" w:cs="Times New Roman"/>
          <w:bCs/>
          <w:i/>
          <w:iCs/>
          <w:sz w:val="24"/>
          <w:szCs w:val="24"/>
        </w:rPr>
        <w:t>9</w:t>
      </w:r>
      <w:r w:rsidRPr="008531B4">
        <w:rPr>
          <w:rFonts w:ascii="Times New Roman" w:hAnsi="Times New Roman" w:cs="Times New Roman"/>
          <w:bCs/>
          <w:sz w:val="24"/>
          <w:szCs w:val="24"/>
        </w:rPr>
        <w:t xml:space="preserve">(2), 7–35. </w:t>
      </w:r>
      <w:hyperlink r:id="rId27" w:history="1">
        <w:r w:rsidRPr="008531B4">
          <w:rPr>
            <w:rStyle w:val="Hyperlink"/>
            <w:rFonts w:ascii="Times New Roman" w:hAnsi="Times New Roman" w:cs="Times New Roman"/>
            <w:bCs/>
            <w:sz w:val="24"/>
            <w:szCs w:val="24"/>
            <w:lang w:val="it-IT"/>
          </w:rPr>
          <w:t>https://doi.org/10.29015/cerem.1022</w:t>
        </w:r>
      </w:hyperlink>
    </w:p>
    <w:p w14:paraId="702FA050" w14:textId="77777777" w:rsidR="008531B4" w:rsidRPr="008531B4" w:rsidRDefault="008531B4" w:rsidP="00884038">
      <w:pPr>
        <w:pStyle w:val="ListParagraph"/>
        <w:numPr>
          <w:ilvl w:val="0"/>
          <w:numId w:val="6"/>
        </w:numPr>
        <w:jc w:val="both"/>
        <w:rPr>
          <w:rFonts w:ascii="Times New Roman" w:hAnsi="Times New Roman" w:cs="Times New Roman"/>
          <w:bCs/>
          <w:sz w:val="24"/>
          <w:szCs w:val="24"/>
        </w:rPr>
      </w:pPr>
      <w:r w:rsidRPr="008531B4">
        <w:rPr>
          <w:rFonts w:ascii="Times New Roman" w:hAnsi="Times New Roman" w:cs="Times New Roman"/>
          <w:bCs/>
          <w:sz w:val="24"/>
          <w:szCs w:val="24"/>
          <w:lang w:val="it-IT"/>
        </w:rPr>
        <w:t xml:space="preserve">Vargas‐Hernández, J. G., Czipf, C., &amp; Salmerón-Zapata, A. J. (2025). </w:t>
      </w:r>
      <w:r w:rsidRPr="008531B4">
        <w:rPr>
          <w:rFonts w:ascii="Times New Roman" w:hAnsi="Times New Roman" w:cs="Times New Roman"/>
          <w:bCs/>
          <w:i/>
          <w:iCs/>
          <w:sz w:val="24"/>
          <w:szCs w:val="24"/>
        </w:rPr>
        <w:t>Green and Renewable Energy-Related Financial Literacy in Mexico as a Competitive Advantage</w:t>
      </w:r>
      <w:r w:rsidRPr="008531B4">
        <w:rPr>
          <w:rFonts w:ascii="Times New Roman" w:hAnsi="Times New Roman" w:cs="Times New Roman"/>
          <w:bCs/>
          <w:sz w:val="24"/>
          <w:szCs w:val="24"/>
        </w:rPr>
        <w:t xml:space="preserve">. 63–100. </w:t>
      </w:r>
      <w:hyperlink r:id="rId28" w:history="1">
        <w:r w:rsidRPr="008531B4">
          <w:rPr>
            <w:rStyle w:val="Hyperlink"/>
            <w:rFonts w:ascii="Times New Roman" w:hAnsi="Times New Roman" w:cs="Times New Roman"/>
            <w:bCs/>
            <w:sz w:val="24"/>
            <w:szCs w:val="24"/>
          </w:rPr>
          <w:t>https://doi.org/10.4018/979-8-3373-5428-6.ch004</w:t>
        </w:r>
      </w:hyperlink>
    </w:p>
    <w:p w14:paraId="6E26207C" w14:textId="77777777" w:rsidR="008531B4" w:rsidRPr="008531B4" w:rsidRDefault="008531B4" w:rsidP="00884038">
      <w:pPr>
        <w:pStyle w:val="ListParagraph"/>
        <w:numPr>
          <w:ilvl w:val="0"/>
          <w:numId w:val="6"/>
        </w:numPr>
        <w:jc w:val="both"/>
        <w:rPr>
          <w:rFonts w:ascii="Times New Roman" w:hAnsi="Times New Roman" w:cs="Times New Roman"/>
          <w:bCs/>
          <w:sz w:val="24"/>
          <w:szCs w:val="24"/>
        </w:rPr>
      </w:pPr>
      <w:r w:rsidRPr="008531B4">
        <w:rPr>
          <w:rFonts w:ascii="Times New Roman" w:hAnsi="Times New Roman" w:cs="Times New Roman"/>
          <w:bCs/>
          <w:sz w:val="24"/>
          <w:szCs w:val="24"/>
        </w:rPr>
        <w:t xml:space="preserve">Zheng, M., Du, Q., &amp; Wang, Q.-J. (2022). Nexus between Green Finance and Renewable Energy Development in China. </w:t>
      </w:r>
      <w:r w:rsidRPr="008531B4">
        <w:rPr>
          <w:rFonts w:ascii="Times New Roman" w:hAnsi="Times New Roman" w:cs="Times New Roman"/>
          <w:bCs/>
          <w:i/>
          <w:iCs/>
          <w:sz w:val="24"/>
          <w:szCs w:val="24"/>
        </w:rPr>
        <w:t>Emerging Markets Finance and Trade</w:t>
      </w:r>
      <w:r w:rsidRPr="008531B4">
        <w:rPr>
          <w:rFonts w:ascii="Times New Roman" w:hAnsi="Times New Roman" w:cs="Times New Roman"/>
          <w:bCs/>
          <w:sz w:val="24"/>
          <w:szCs w:val="24"/>
        </w:rPr>
        <w:t xml:space="preserve">, </w:t>
      </w:r>
      <w:r w:rsidRPr="008531B4">
        <w:rPr>
          <w:rFonts w:ascii="Times New Roman" w:hAnsi="Times New Roman" w:cs="Times New Roman"/>
          <w:bCs/>
          <w:i/>
          <w:iCs/>
          <w:sz w:val="24"/>
          <w:szCs w:val="24"/>
        </w:rPr>
        <w:t>59</w:t>
      </w:r>
      <w:r w:rsidRPr="008531B4">
        <w:rPr>
          <w:rFonts w:ascii="Times New Roman" w:hAnsi="Times New Roman" w:cs="Times New Roman"/>
          <w:bCs/>
          <w:sz w:val="24"/>
          <w:szCs w:val="24"/>
        </w:rPr>
        <w:t xml:space="preserve">, 1205–1218. </w:t>
      </w:r>
      <w:hyperlink r:id="rId29" w:history="1">
        <w:r w:rsidRPr="008531B4">
          <w:rPr>
            <w:rStyle w:val="Hyperlink"/>
            <w:rFonts w:ascii="Times New Roman" w:hAnsi="Times New Roman" w:cs="Times New Roman"/>
            <w:bCs/>
            <w:sz w:val="24"/>
            <w:szCs w:val="24"/>
          </w:rPr>
          <w:t>https://doi.org/10.1080/1540496X.2022.2119811</w:t>
        </w:r>
      </w:hyperlink>
    </w:p>
    <w:p w14:paraId="79E2D149" w14:textId="0B92DC09" w:rsidR="005D61BD" w:rsidRPr="00884038" w:rsidRDefault="005D61BD" w:rsidP="00884038">
      <w:pPr>
        <w:jc w:val="both"/>
        <w:rPr>
          <w:rFonts w:ascii="Times New Roman" w:hAnsi="Times New Roman" w:cs="Times New Roman"/>
          <w:sz w:val="24"/>
          <w:szCs w:val="24"/>
        </w:rPr>
      </w:pPr>
    </w:p>
    <w:p w14:paraId="08C61721" w14:textId="77777777" w:rsidR="005D61BD" w:rsidRPr="005D61BD" w:rsidRDefault="005D61BD" w:rsidP="0039368F">
      <w:pPr>
        <w:spacing w:line="360" w:lineRule="auto"/>
        <w:jc w:val="both"/>
        <w:rPr>
          <w:rFonts w:ascii="Times New Roman" w:eastAsia="Times New Roman" w:hAnsi="Times New Roman" w:cs="Times New Roman"/>
          <w:sz w:val="24"/>
          <w:szCs w:val="24"/>
        </w:rPr>
      </w:pPr>
    </w:p>
    <w:p w14:paraId="16B3F08E" w14:textId="77777777" w:rsidR="00E611D1" w:rsidRDefault="00E611D1" w:rsidP="0039368F">
      <w:pPr>
        <w:spacing w:line="360" w:lineRule="auto"/>
        <w:jc w:val="both"/>
        <w:rPr>
          <w:rFonts w:ascii="Times New Roman" w:eastAsia="Times New Roman" w:hAnsi="Times New Roman" w:cs="Times New Roman"/>
        </w:rPr>
      </w:pPr>
    </w:p>
    <w:sectPr w:rsidR="00E611D1">
      <w:headerReference w:type="even" r:id="rId30"/>
      <w:headerReference w:type="default" r:id="rId31"/>
      <w:footerReference w:type="even" r:id="rId32"/>
      <w:footerReference w:type="default" r:id="rId33"/>
      <w:headerReference w:type="first" r:id="rId34"/>
      <w:footerReference w:type="first" r:id="rId35"/>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FEB15C" w14:textId="77777777" w:rsidR="00B62561" w:rsidRDefault="00B62561" w:rsidP="001D34AA">
      <w:pPr>
        <w:spacing w:after="0" w:line="240" w:lineRule="auto"/>
      </w:pPr>
      <w:r>
        <w:separator/>
      </w:r>
    </w:p>
  </w:endnote>
  <w:endnote w:type="continuationSeparator" w:id="0">
    <w:p w14:paraId="523C823D" w14:textId="77777777" w:rsidR="00B62561" w:rsidRDefault="00B62561" w:rsidP="001D3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BE464EA-721B-4F83-8C49-DBCDD6E1EBFF}"/>
    <w:embedBold r:id="rId2" w:fontKey="{004649E4-122F-463B-B656-1A768B71E529}"/>
    <w:embedItalic r:id="rId3" w:fontKey="{C4C1C3F7-AD8E-42ED-96C0-5C97917640CA}"/>
  </w:font>
  <w:font w:name="Calibri">
    <w:panose1 w:val="020F0502020204030204"/>
    <w:charset w:val="00"/>
    <w:family w:val="swiss"/>
    <w:pitch w:val="variable"/>
    <w:sig w:usb0="E4002EFF" w:usb1="C000247B" w:usb2="00000009" w:usb3="00000000" w:csb0="000001FF" w:csb1="00000000"/>
    <w:embedRegular r:id="rId4" w:fontKey="{122EBC39-175A-44C3-8280-49BCAA9AEDE5}"/>
    <w:embedBold r:id="rId5" w:fontKey="{F2061968-C289-4D27-809A-29405C05C0B6}"/>
    <w:embedItalic r:id="rId6" w:fontKey="{B2A2939A-AD0D-4C4E-991A-44A3CBC0B956}"/>
    <w:embedBoldItalic r:id="rId7" w:fontKey="{731DDE7C-D6F8-48CE-AC05-BCB79758B4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8C6D5" w14:textId="77777777" w:rsidR="001D34AA" w:rsidRDefault="001D34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96148" w14:textId="77777777" w:rsidR="001D34AA" w:rsidRDefault="001D34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06017" w14:textId="77777777" w:rsidR="001D34AA" w:rsidRDefault="001D34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D0A5E8" w14:textId="77777777" w:rsidR="00B62561" w:rsidRDefault="00B62561" w:rsidP="001D34AA">
      <w:pPr>
        <w:spacing w:after="0" w:line="240" w:lineRule="auto"/>
      </w:pPr>
      <w:r>
        <w:separator/>
      </w:r>
    </w:p>
  </w:footnote>
  <w:footnote w:type="continuationSeparator" w:id="0">
    <w:p w14:paraId="3A07B161" w14:textId="77777777" w:rsidR="00B62561" w:rsidRDefault="00B62561" w:rsidP="001D3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10BC9C" w14:textId="1151F24D" w:rsidR="001D34AA" w:rsidRDefault="00B62561">
    <w:pPr>
      <w:pStyle w:val="Header"/>
    </w:pPr>
    <w:r>
      <w:rPr>
        <w:noProof/>
      </w:rPr>
      <w:pict w14:anchorId="7938C1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522297" o:spid="_x0000_s2050" type="#_x0000_t136" style="position:absolute;margin-left:0;margin-top:0;width:540.35pt;height:68.7pt;rotation:315;z-index:-251655168;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0AB26" w14:textId="28DE9814" w:rsidR="001D34AA" w:rsidRDefault="00B62561">
    <w:pPr>
      <w:pStyle w:val="Header"/>
    </w:pPr>
    <w:r>
      <w:rPr>
        <w:noProof/>
      </w:rPr>
      <w:pict w14:anchorId="18D470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522298" o:spid="_x0000_s2051" type="#_x0000_t136" style="position:absolute;margin-left:0;margin-top:0;width:540.35pt;height:68.7pt;rotation:315;z-index:-251653120;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62500" w14:textId="6B37186A" w:rsidR="001D34AA" w:rsidRDefault="00B62561">
    <w:pPr>
      <w:pStyle w:val="Header"/>
    </w:pPr>
    <w:r>
      <w:rPr>
        <w:noProof/>
      </w:rPr>
      <w:pict w14:anchorId="7197E4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522296" o:spid="_x0000_s2049" type="#_x0000_t136" style="position:absolute;margin-left:0;margin-top:0;width:540.35pt;height:68.7pt;rotation:315;z-index:-251657216;mso-position-horizontal:center;mso-position-horizontal-relative:margin;mso-position-vertical:center;mso-position-vertical-relative:margin"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C464E"/>
    <w:multiLevelType w:val="multilevel"/>
    <w:tmpl w:val="BB02E90A"/>
    <w:lvl w:ilvl="0">
      <w:start w:val="1"/>
      <w:numFmt w:val="upperRoman"/>
      <w:lvlText w:val="%1."/>
      <w:lvlJc w:val="righ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61D41C7"/>
    <w:multiLevelType w:val="hybridMultilevel"/>
    <w:tmpl w:val="66F8A0A4"/>
    <w:lvl w:ilvl="0" w:tplc="C688072E">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8C0B04"/>
    <w:multiLevelType w:val="hybridMultilevel"/>
    <w:tmpl w:val="9A2C2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E032B7"/>
    <w:multiLevelType w:val="multilevel"/>
    <w:tmpl w:val="9D904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720C09F4"/>
    <w:multiLevelType w:val="multilevel"/>
    <w:tmpl w:val="0E32EC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4040783"/>
    <w:multiLevelType w:val="multilevel"/>
    <w:tmpl w:val="B130EB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5"/>
  </w:num>
  <w:num w:numId="3">
    <w:abstractNumId w:val="3"/>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C3sDQysTQ2NDeyMDRT0lEKTi0uzszPAykwrAUAlvVB1ywAAAA="/>
  </w:docVars>
  <w:rsids>
    <w:rsidRoot w:val="00E611D1"/>
    <w:rsid w:val="00005857"/>
    <w:rsid w:val="00036379"/>
    <w:rsid w:val="00071031"/>
    <w:rsid w:val="000B61CE"/>
    <w:rsid w:val="00151B26"/>
    <w:rsid w:val="0018467C"/>
    <w:rsid w:val="00190122"/>
    <w:rsid w:val="001951EA"/>
    <w:rsid w:val="001D34AA"/>
    <w:rsid w:val="0021509C"/>
    <w:rsid w:val="00250EFD"/>
    <w:rsid w:val="0039368F"/>
    <w:rsid w:val="003E2051"/>
    <w:rsid w:val="003F2747"/>
    <w:rsid w:val="00403E22"/>
    <w:rsid w:val="0048103A"/>
    <w:rsid w:val="004C15DB"/>
    <w:rsid w:val="004D1106"/>
    <w:rsid w:val="004F55D3"/>
    <w:rsid w:val="00523B49"/>
    <w:rsid w:val="00562D52"/>
    <w:rsid w:val="005A7FFA"/>
    <w:rsid w:val="005D61BD"/>
    <w:rsid w:val="00600204"/>
    <w:rsid w:val="00800BAC"/>
    <w:rsid w:val="008531B4"/>
    <w:rsid w:val="00877471"/>
    <w:rsid w:val="00884038"/>
    <w:rsid w:val="008A13DF"/>
    <w:rsid w:val="008D07AF"/>
    <w:rsid w:val="0092439C"/>
    <w:rsid w:val="00962AD5"/>
    <w:rsid w:val="00A705D2"/>
    <w:rsid w:val="00A75DBF"/>
    <w:rsid w:val="00A7770B"/>
    <w:rsid w:val="00B30073"/>
    <w:rsid w:val="00B62561"/>
    <w:rsid w:val="00BB3A2E"/>
    <w:rsid w:val="00BF050D"/>
    <w:rsid w:val="00C024B8"/>
    <w:rsid w:val="00C85417"/>
    <w:rsid w:val="00CD314D"/>
    <w:rsid w:val="00CE6665"/>
    <w:rsid w:val="00D5064C"/>
    <w:rsid w:val="00D54EA6"/>
    <w:rsid w:val="00DC0041"/>
    <w:rsid w:val="00E611D1"/>
    <w:rsid w:val="00E85607"/>
    <w:rsid w:val="00F043FD"/>
    <w:rsid w:val="00F05641"/>
    <w:rsid w:val="00F125FE"/>
    <w:rsid w:val="00FB2E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D88F9CB"/>
  <w15:docId w15:val="{F37F5214-5183-4720-A057-C9441A091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2"/>
        <w:szCs w:val="22"/>
        <w:lang w:val="e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uiPriority w:val="9"/>
    <w:unhideWhenUsed/>
    <w:qFormat/>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uiPriority w:val="9"/>
    <w:semiHidden/>
    <w:unhideWhenUsed/>
    <w:qFormat/>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uiPriority w:val="9"/>
    <w:semiHidden/>
    <w:unhideWhenUsed/>
    <w:qFormat/>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uiPriority w:val="9"/>
    <w:semiHidden/>
    <w:unhideWhenUsed/>
    <w:qFormat/>
    <w:pPr>
      <w:keepNext/>
      <w:keepLines/>
      <w:spacing w:before="200" w:after="0"/>
      <w:outlineLvl w:val="4"/>
    </w:pPr>
    <w:rPr>
      <w:rFonts w:ascii="Calibri" w:eastAsia="Calibri" w:hAnsi="Calibri" w:cs="Calibri"/>
      <w:color w:val="244061"/>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i/>
      <w:iCs/>
      <w:color w:val="2440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08" w:type="dxa"/>
        <w:bottom w:w="0" w:type="dxa"/>
        <w:right w:w="108" w:type="dxa"/>
      </w:tblCellMar>
    </w:tblPr>
    <w:tblStylePr w:type="firstRow">
      <w:rPr>
        <w:b/>
        <w:bCs/>
      </w:rPr>
    </w:tblStylePr>
    <w:tblStylePr w:type="lastRow">
      <w:rPr>
        <w:b/>
        <w:bCs/>
      </w:rPr>
      <w:tblPr/>
      <w:tcPr>
        <w:tcBorders>
          <w:top w:val="sing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top w:w="0" w:type="dxa"/>
        <w:left w:w="115" w:type="dxa"/>
        <w:bottom w:w="0" w:type="dxa"/>
        <w:right w:w="115"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a1">
    <w:basedOn w:val="TableNormal0"/>
    <w:tblPr>
      <w:tblStyleRowBandSize w:val="1"/>
      <w:tblStyleColBandSize w:val="1"/>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250EFD"/>
    <w:rPr>
      <w:color w:val="0000FF" w:themeColor="hyperlink"/>
      <w:u w:val="single"/>
    </w:rPr>
  </w:style>
  <w:style w:type="character" w:styleId="UnresolvedMention">
    <w:name w:val="Unresolved Mention"/>
    <w:basedOn w:val="DefaultParagraphFont"/>
    <w:uiPriority w:val="99"/>
    <w:semiHidden/>
    <w:unhideWhenUsed/>
    <w:rsid w:val="00250EFD"/>
    <w:rPr>
      <w:color w:val="605E5C"/>
      <w:shd w:val="clear" w:color="auto" w:fill="E1DFDD"/>
    </w:rPr>
  </w:style>
  <w:style w:type="paragraph" w:styleId="ListParagraph">
    <w:name w:val="List Paragraph"/>
    <w:basedOn w:val="Normal"/>
    <w:uiPriority w:val="34"/>
    <w:qFormat/>
    <w:rsid w:val="0048103A"/>
    <w:pPr>
      <w:ind w:left="720"/>
      <w:contextualSpacing/>
    </w:pPr>
  </w:style>
  <w:style w:type="paragraph" w:styleId="Header">
    <w:name w:val="header"/>
    <w:basedOn w:val="Normal"/>
    <w:link w:val="HeaderChar"/>
    <w:uiPriority w:val="99"/>
    <w:unhideWhenUsed/>
    <w:rsid w:val="001D34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D34AA"/>
  </w:style>
  <w:style w:type="paragraph" w:styleId="Footer">
    <w:name w:val="footer"/>
    <w:basedOn w:val="Normal"/>
    <w:link w:val="FooterChar"/>
    <w:uiPriority w:val="99"/>
    <w:unhideWhenUsed/>
    <w:rsid w:val="001D34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D3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iea.org/reports/renewables-2024" TargetMode="External"/><Relationship Id="rId18" Type="http://schemas.openxmlformats.org/officeDocument/2006/relationships/hyperlink" Target="https://doi.org/10.38142/ijesss.v6i4.1435" TargetMode="External"/><Relationship Id="rId26" Type="http://schemas.openxmlformats.org/officeDocument/2006/relationships/hyperlink" Target="https://doi.org/10.1002/sd.3093" TargetMode="External"/><Relationship Id="rId21" Type="http://schemas.openxmlformats.org/officeDocument/2006/relationships/hyperlink" Target="https://www.tatapowersolar.com/?utm_source=chatgpt.com"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doi.org/10.1016/j.renene.2025.123017" TargetMode="External"/><Relationship Id="rId17" Type="http://schemas.openxmlformats.org/officeDocument/2006/relationships/hyperlink" Target="https://doi.org/10.3390/en16237712" TargetMode="External"/><Relationship Id="rId25" Type="http://schemas.openxmlformats.org/officeDocument/2006/relationships/hyperlink" Target="https://doi.org/10.2139/ssrn.5382569"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doi.org/10.1002/gj.4654" TargetMode="External"/><Relationship Id="rId20" Type="http://schemas.openxmlformats.org/officeDocument/2006/relationships/hyperlink" Target="https://www.renew.com/annual-integrated-report-fy-2024-25" TargetMode="External"/><Relationship Id="rId29" Type="http://schemas.openxmlformats.org/officeDocument/2006/relationships/hyperlink" Target="https://doi.org/10.1080/1540496X.2022.211981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90/su16145836" TargetMode="External"/><Relationship Id="rId24" Type="http://schemas.openxmlformats.org/officeDocument/2006/relationships/hyperlink" Target="https://doi.org/10.1080/1540496X.2022.2119811"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34293/sijash.v12is1-i2-oct.8413" TargetMode="External"/><Relationship Id="rId23" Type="http://schemas.openxmlformats.org/officeDocument/2006/relationships/hyperlink" Target="https://doi.org/10.1016/j.eiar.2025.107913" TargetMode="External"/><Relationship Id="rId28" Type="http://schemas.openxmlformats.org/officeDocument/2006/relationships/hyperlink" Target="https://doi.org/10.4018/979-8-3373-5428-6.ch004" TargetMode="External"/><Relationship Id="rId36" Type="http://schemas.openxmlformats.org/officeDocument/2006/relationships/fontTable" Target="fontTable.xml"/><Relationship Id="rId10" Type="http://schemas.openxmlformats.org/officeDocument/2006/relationships/hyperlink" Target="https://www.climatepolicyinitiative.org/publication/global-landscape-of-climate-finance-2024/" TargetMode="External"/><Relationship Id="rId19" Type="http://schemas.openxmlformats.org/officeDocument/2006/relationships/hyperlink" Target="https://doi.org/10.1007/s10644-024-09852-1"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doi.org/10.1016/j.esr.2025.101747" TargetMode="External"/><Relationship Id="rId14" Type="http://schemas.openxmlformats.org/officeDocument/2006/relationships/hyperlink" Target="https://ieefa.org/sites/default/files/2024-11/Indian%20Solar%20PV%20Exports%20Surging_Nov24.pdf" TargetMode="External"/><Relationship Id="rId22" Type="http://schemas.openxmlformats.org/officeDocument/2006/relationships/hyperlink" Target="https://www.tatapowersolar.com/?utm_source=chatgpt.com" TargetMode="External"/><Relationship Id="rId27" Type="http://schemas.openxmlformats.org/officeDocument/2006/relationships/hyperlink" Target="https://doi.org/10.29015/cerem.1022"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chart" Target="charts/chart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Percentage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4CB-47BA-AFB9-AEED295D3A6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4CB-47BA-AFB9-AEED295D3A6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4CB-47BA-AFB9-AEED295D3A6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4CB-47BA-AFB9-AEED295D3A67}"/>
              </c:ext>
            </c:extLst>
          </c:dPt>
          <c:dLbls>
            <c:dLbl>
              <c:idx val="1"/>
              <c:layout>
                <c:manualLayout>
                  <c:x val="-3.7163289015102623E-2"/>
                  <c:y val="-2.7914431050101579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4CB-47BA-AFB9-AEED295D3A67}"/>
                </c:ext>
              </c:extLst>
            </c:dLbl>
            <c:dLbl>
              <c:idx val="2"/>
              <c:layout>
                <c:manualLayout>
                  <c:x val="2.5259498300417366E-2"/>
                  <c:y val="-2.043713562353378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CB-47BA-AFB9-AEED295D3A67}"/>
                </c:ext>
              </c:extLst>
            </c:dLbl>
            <c:dLbl>
              <c:idx val="3"/>
              <c:layout>
                <c:manualLayout>
                  <c:x val="8.7889505615076802E-2"/>
                  <c:y val="0.223393956286437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44CB-47BA-AFB9-AEED295D3A6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Sheet1!$A$2:$A$5</c:f>
              <c:strCache>
                <c:ptCount val="4"/>
                <c:pt idx="0">
                  <c:v>Domestic</c:v>
                </c:pt>
                <c:pt idx="1">
                  <c:v>Export – Solar PV</c:v>
                </c:pt>
                <c:pt idx="2">
                  <c:v>Export – Wind</c:v>
                </c:pt>
                <c:pt idx="3">
                  <c:v>Export – Biofuels, Green Hydrogen, Storage &amp; Services</c:v>
                </c:pt>
              </c:strCache>
            </c:strRef>
          </c:cat>
          <c:val>
            <c:numRef>
              <c:f>Sheet1!$B$2:$B$5</c:f>
              <c:numCache>
                <c:formatCode>General</c:formatCode>
                <c:ptCount val="4"/>
                <c:pt idx="0">
                  <c:v>84</c:v>
                </c:pt>
                <c:pt idx="1">
                  <c:v>9.6</c:v>
                </c:pt>
                <c:pt idx="2">
                  <c:v>2.9</c:v>
                </c:pt>
                <c:pt idx="3">
                  <c:v>3.5</c:v>
                </c:pt>
              </c:numCache>
            </c:numRef>
          </c:val>
          <c:extLst>
            <c:ext xmlns:c16="http://schemas.microsoft.com/office/drawing/2014/chart" uri="{C3380CC4-5D6E-409C-BE32-E72D297353CC}">
              <c16:uniqueId val="{00000008-44CB-47BA-AFB9-AEED295D3A6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21</Pages>
  <Words>5938</Words>
  <Characters>33849</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42</cp:revision>
  <dcterms:created xsi:type="dcterms:W3CDTF">2025-11-28T05:26:00Z</dcterms:created>
  <dcterms:modified xsi:type="dcterms:W3CDTF">2025-12-15T12:13:00Z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6ff4b10b-e2a3-4f23-aaad-c148124733ca</vt:lpwstr>
  </property>
</Properties>
</file>