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A12ED" w14:textId="45D1F56E" w:rsidR="00975938" w:rsidRPr="00764B10" w:rsidRDefault="002B2F1A" w:rsidP="00E452C3">
      <w:pPr>
        <w:spacing w:line="240" w:lineRule="auto"/>
        <w:jc w:val="center"/>
        <w:rPr>
          <w:rFonts w:ascii="Times New Roman" w:hAnsi="Times New Roman" w:cs="Times New Roman"/>
          <w:b/>
          <w:sz w:val="24"/>
          <w:szCs w:val="24"/>
        </w:rPr>
      </w:pPr>
      <w:bookmarkStart w:id="0" w:name="_Hlk214705134"/>
      <w:r>
        <w:rPr>
          <w:rFonts w:ascii="Times New Roman" w:hAnsi="Times New Roman" w:cs="Times New Roman"/>
          <w:b/>
          <w:sz w:val="24"/>
          <w:szCs w:val="24"/>
        </w:rPr>
        <w:t xml:space="preserve">Exploring </w:t>
      </w:r>
      <w:r w:rsidR="00E452C3" w:rsidRPr="00764B10">
        <w:rPr>
          <w:rFonts w:ascii="Times New Roman" w:hAnsi="Times New Roman" w:cs="Times New Roman"/>
          <w:b/>
          <w:sz w:val="24"/>
          <w:szCs w:val="24"/>
        </w:rPr>
        <w:t xml:space="preserve">Green Entrepreneurship </w:t>
      </w:r>
      <w:r>
        <w:rPr>
          <w:rFonts w:ascii="Times New Roman" w:hAnsi="Times New Roman" w:cs="Times New Roman"/>
          <w:b/>
          <w:sz w:val="24"/>
          <w:szCs w:val="24"/>
        </w:rPr>
        <w:t>in</w:t>
      </w:r>
      <w:r w:rsidR="00E452C3" w:rsidRPr="00764B10">
        <w:rPr>
          <w:rFonts w:ascii="Times New Roman" w:hAnsi="Times New Roman" w:cs="Times New Roman"/>
          <w:b/>
          <w:sz w:val="24"/>
          <w:szCs w:val="24"/>
        </w:rPr>
        <w:t xml:space="preserve"> </w:t>
      </w:r>
      <w:r>
        <w:rPr>
          <w:rFonts w:ascii="Times New Roman" w:hAnsi="Times New Roman" w:cs="Times New Roman"/>
          <w:b/>
          <w:sz w:val="24"/>
          <w:szCs w:val="24"/>
        </w:rPr>
        <w:t xml:space="preserve">Business </w:t>
      </w:r>
      <w:r w:rsidR="00E452C3" w:rsidRPr="00764B10">
        <w:rPr>
          <w:rFonts w:ascii="Times New Roman" w:hAnsi="Times New Roman" w:cs="Times New Roman"/>
          <w:b/>
          <w:sz w:val="24"/>
          <w:szCs w:val="24"/>
        </w:rPr>
        <w:t>Climate</w:t>
      </w:r>
      <w:r>
        <w:rPr>
          <w:rFonts w:ascii="Times New Roman" w:hAnsi="Times New Roman" w:cs="Times New Roman"/>
          <w:b/>
          <w:sz w:val="24"/>
          <w:szCs w:val="24"/>
        </w:rPr>
        <w:t>: Towards</w:t>
      </w:r>
      <w:r w:rsidR="00E452C3" w:rsidRPr="00764B10">
        <w:rPr>
          <w:rFonts w:ascii="Times New Roman" w:hAnsi="Times New Roman" w:cs="Times New Roman"/>
          <w:b/>
          <w:sz w:val="24"/>
          <w:szCs w:val="24"/>
        </w:rPr>
        <w:t xml:space="preserve"> Change Adaptation </w:t>
      </w:r>
      <w:r w:rsidR="00E452C3">
        <w:rPr>
          <w:rFonts w:ascii="Times New Roman" w:hAnsi="Times New Roman" w:cs="Times New Roman"/>
          <w:b/>
          <w:sz w:val="24"/>
          <w:szCs w:val="24"/>
        </w:rPr>
        <w:t>i</w:t>
      </w:r>
      <w:r w:rsidR="00E452C3" w:rsidRPr="00764B10">
        <w:rPr>
          <w:rFonts w:ascii="Times New Roman" w:hAnsi="Times New Roman" w:cs="Times New Roman"/>
          <w:b/>
          <w:sz w:val="24"/>
          <w:szCs w:val="24"/>
        </w:rPr>
        <w:t>n South</w:t>
      </w:r>
      <w:r w:rsidR="00580627">
        <w:rPr>
          <w:rFonts w:ascii="Times New Roman" w:hAnsi="Times New Roman" w:cs="Times New Roman"/>
          <w:b/>
          <w:sz w:val="24"/>
          <w:szCs w:val="24"/>
        </w:rPr>
        <w:t>-</w:t>
      </w:r>
      <w:r w:rsidR="00E452C3" w:rsidRPr="00764B10">
        <w:rPr>
          <w:rFonts w:ascii="Times New Roman" w:hAnsi="Times New Roman" w:cs="Times New Roman"/>
          <w:b/>
          <w:sz w:val="24"/>
          <w:szCs w:val="24"/>
        </w:rPr>
        <w:t>South Nigeria</w:t>
      </w:r>
    </w:p>
    <w:p w14:paraId="6CA36639" w14:textId="566DEE55" w:rsidR="00E452C3" w:rsidRDefault="00E452C3" w:rsidP="00E452C3">
      <w:pPr>
        <w:spacing w:line="240" w:lineRule="auto"/>
        <w:rPr>
          <w:rFonts w:ascii="Times New Roman" w:hAnsi="Times New Roman" w:cs="Times New Roman"/>
          <w:sz w:val="24"/>
          <w:szCs w:val="24"/>
        </w:rPr>
      </w:pPr>
    </w:p>
    <w:p w14:paraId="525D1B41" w14:textId="77777777" w:rsidR="00C77521" w:rsidRDefault="00C77521" w:rsidP="00E452C3">
      <w:pPr>
        <w:spacing w:line="240" w:lineRule="auto"/>
        <w:rPr>
          <w:rFonts w:ascii="Times New Roman" w:hAnsi="Times New Roman" w:cs="Times New Roman"/>
          <w:sz w:val="24"/>
          <w:szCs w:val="24"/>
        </w:rPr>
      </w:pPr>
    </w:p>
    <w:p w14:paraId="2D7C8FF1" w14:textId="0A7E16AF" w:rsidR="00E452C3" w:rsidRPr="00E452C3" w:rsidRDefault="00E452C3" w:rsidP="00E452C3">
      <w:pPr>
        <w:spacing w:line="240" w:lineRule="auto"/>
        <w:jc w:val="center"/>
        <w:rPr>
          <w:rFonts w:ascii="Times New Roman" w:hAnsi="Times New Roman" w:cs="Times New Roman"/>
          <w:b/>
          <w:bCs/>
          <w:sz w:val="24"/>
          <w:szCs w:val="24"/>
        </w:rPr>
      </w:pPr>
      <w:r w:rsidRPr="00E452C3">
        <w:rPr>
          <w:rFonts w:ascii="Times New Roman" w:hAnsi="Times New Roman" w:cs="Times New Roman"/>
          <w:b/>
          <w:bCs/>
          <w:sz w:val="24"/>
          <w:szCs w:val="24"/>
        </w:rPr>
        <w:t>Abstract</w:t>
      </w:r>
    </w:p>
    <w:p w14:paraId="5720CBE4" w14:textId="77777777" w:rsidR="00E452C3" w:rsidRPr="00E452C3" w:rsidRDefault="00E452C3" w:rsidP="00E452C3">
      <w:pPr>
        <w:spacing w:line="240" w:lineRule="auto"/>
        <w:jc w:val="both"/>
        <w:rPr>
          <w:bCs/>
          <w:i/>
          <w:iCs/>
        </w:rPr>
      </w:pPr>
      <w:r w:rsidRPr="00E452C3">
        <w:rPr>
          <w:rFonts w:ascii="Times New Roman" w:hAnsi="Times New Roman" w:cs="Times New Roman"/>
          <w:bCs/>
          <w:i/>
          <w:iCs/>
          <w:sz w:val="24"/>
          <w:szCs w:val="24"/>
        </w:rPr>
        <w:t>This study examined the effect of green entrepreneurship on climate change adaptation. The specific objectives were to</w:t>
      </w:r>
      <w:r w:rsidRPr="00E452C3">
        <w:rPr>
          <w:bCs/>
          <w:i/>
          <w:iCs/>
        </w:rPr>
        <w:t xml:space="preserve"> e</w:t>
      </w:r>
      <w:r w:rsidRPr="00E452C3">
        <w:rPr>
          <w:rFonts w:ascii="Times New Roman" w:hAnsi="Times New Roman" w:cs="Times New Roman"/>
          <w:bCs/>
          <w:i/>
          <w:iCs/>
          <w:sz w:val="24"/>
          <w:szCs w:val="24"/>
        </w:rPr>
        <w:t>xamine how waste management and recycling affect community-based adaptation; and</w:t>
      </w:r>
      <w:r w:rsidRPr="00E452C3">
        <w:rPr>
          <w:bCs/>
          <w:i/>
          <w:iCs/>
        </w:rPr>
        <w:t xml:space="preserve"> u</w:t>
      </w:r>
      <w:r w:rsidRPr="00E452C3">
        <w:rPr>
          <w:rFonts w:ascii="Times New Roman" w:hAnsi="Times New Roman" w:cs="Times New Roman"/>
          <w:bCs/>
          <w:i/>
          <w:iCs/>
          <w:sz w:val="24"/>
          <w:szCs w:val="24"/>
        </w:rPr>
        <w:t>nveil how resource efficiency affect adaptive capacity of enterprises.</w:t>
      </w:r>
      <w:r w:rsidRPr="00E452C3">
        <w:rPr>
          <w:bCs/>
          <w:i/>
          <w:iCs/>
        </w:rPr>
        <w:t xml:space="preserve"> </w:t>
      </w:r>
      <w:r w:rsidRPr="00E452C3">
        <w:rPr>
          <w:rFonts w:ascii="Times New Roman" w:eastAsia="Times New Roman" w:hAnsi="Times New Roman" w:cs="Times New Roman"/>
          <w:bCs/>
          <w:i/>
          <w:iCs/>
          <w:sz w:val="24"/>
          <w:szCs w:val="24"/>
        </w:rPr>
        <w:t xml:space="preserve">The study employed a survey research design. </w:t>
      </w:r>
      <w:r w:rsidRPr="00E452C3">
        <w:rPr>
          <w:rFonts w:ascii="Times New Roman" w:hAnsi="Times New Roman" w:cs="Times New Roman"/>
          <w:bCs/>
          <w:i/>
          <w:iCs/>
          <w:sz w:val="24"/>
          <w:szCs w:val="24"/>
        </w:rPr>
        <w:t xml:space="preserve">The research focused on business enterprises located in Akwa Ibom, Bayelsa, Cross River, Delta, Edo, and Rivers states, which are recognized for their diverse industrial activities, including manufacturing, agriculture, and services. </w:t>
      </w:r>
      <w:r w:rsidRPr="00E452C3">
        <w:rPr>
          <w:rFonts w:ascii="Times New Roman" w:hAnsi="Times New Roman" w:cs="Times New Roman"/>
          <w:bCs/>
          <w:i/>
          <w:iCs/>
          <w:color w:val="000000" w:themeColor="text1"/>
          <w:sz w:val="24"/>
          <w:szCs w:val="24"/>
        </w:rPr>
        <w:t xml:space="preserve">The population for this study consisted of 220,765 enterprises. </w:t>
      </w:r>
      <w:r w:rsidRPr="00E452C3">
        <w:rPr>
          <w:rFonts w:ascii="Times New Roman" w:hAnsi="Times New Roman" w:cs="Times New Roman"/>
          <w:bCs/>
          <w:i/>
          <w:iCs/>
          <w:sz w:val="24"/>
          <w:szCs w:val="24"/>
        </w:rPr>
        <w:t xml:space="preserve">In this study, a sample size of 384 was established. </w:t>
      </w:r>
      <w:r w:rsidRPr="00E452C3">
        <w:rPr>
          <w:rFonts w:ascii="Times New Roman" w:eastAsia="Times New Roman" w:hAnsi="Times New Roman" w:cs="Times New Roman"/>
          <w:bCs/>
          <w:i/>
          <w:iCs/>
          <w:sz w:val="24"/>
          <w:szCs w:val="24"/>
        </w:rPr>
        <w:t xml:space="preserve">A multi-stage sampling technique was utilized. </w:t>
      </w:r>
      <w:r w:rsidRPr="00E452C3">
        <w:rPr>
          <w:rFonts w:ascii="Times New Roman" w:hAnsi="Times New Roman" w:cs="Times New Roman"/>
          <w:bCs/>
          <w:i/>
          <w:iCs/>
          <w:color w:val="000000" w:themeColor="text1"/>
          <w:sz w:val="24"/>
          <w:szCs w:val="24"/>
        </w:rPr>
        <w:t xml:space="preserve">The study employed both descriptive and inferential statistical statistics for data analysis. All hypotheses were tested using regression at a significance level of 5%, with regression models facilitating the hypothesis testing process. </w:t>
      </w:r>
      <w:r w:rsidRPr="00E452C3">
        <w:rPr>
          <w:rFonts w:ascii="Times New Roman" w:hAnsi="Times New Roman" w:cs="Times New Roman"/>
          <w:bCs/>
          <w:i/>
          <w:iCs/>
          <w:sz w:val="24"/>
          <w:szCs w:val="24"/>
        </w:rPr>
        <w:t>F</w:t>
      </w:r>
      <w:r w:rsidRPr="00935199">
        <w:rPr>
          <w:rFonts w:ascii="Times New Roman" w:hAnsi="Times New Roman" w:cs="Times New Roman"/>
          <w:bCs/>
          <w:i/>
          <w:iCs/>
          <w:sz w:val="24"/>
          <w:szCs w:val="24"/>
        </w:rPr>
        <w:t xml:space="preserve">indings </w:t>
      </w:r>
      <w:r w:rsidRPr="00E452C3">
        <w:rPr>
          <w:rFonts w:ascii="Times New Roman" w:hAnsi="Times New Roman" w:cs="Times New Roman"/>
          <w:bCs/>
          <w:i/>
          <w:iCs/>
          <w:sz w:val="24"/>
          <w:szCs w:val="24"/>
        </w:rPr>
        <w:t>show</w:t>
      </w:r>
      <w:r w:rsidRPr="00935199">
        <w:rPr>
          <w:rFonts w:ascii="Times New Roman" w:hAnsi="Times New Roman" w:cs="Times New Roman"/>
          <w:bCs/>
          <w:i/>
          <w:iCs/>
          <w:sz w:val="24"/>
          <w:szCs w:val="24"/>
        </w:rPr>
        <w:t xml:space="preserve"> that waste management and recycling </w:t>
      </w:r>
      <w:r w:rsidRPr="00E452C3">
        <w:rPr>
          <w:rFonts w:ascii="Times New Roman" w:hAnsi="Times New Roman" w:cs="Times New Roman"/>
          <w:bCs/>
          <w:i/>
          <w:iCs/>
          <w:sz w:val="24"/>
          <w:szCs w:val="24"/>
        </w:rPr>
        <w:t>have</w:t>
      </w:r>
      <w:r w:rsidRPr="00935199">
        <w:rPr>
          <w:rFonts w:ascii="Times New Roman" w:hAnsi="Times New Roman" w:cs="Times New Roman"/>
          <w:bCs/>
          <w:i/>
          <w:iCs/>
          <w:sz w:val="24"/>
          <w:szCs w:val="24"/>
        </w:rPr>
        <w:t xml:space="preserve"> a strong and statistically significant positive effect on community-based adaptation, suggesting that communities that integrate structured recycling systems and effective waste practices are better equipped to respond to environmental and socio-economic stresses. </w:t>
      </w:r>
      <w:r w:rsidRPr="00E452C3">
        <w:rPr>
          <w:rFonts w:ascii="Times New Roman" w:hAnsi="Times New Roman" w:cs="Times New Roman"/>
          <w:bCs/>
          <w:i/>
          <w:iCs/>
          <w:sz w:val="24"/>
          <w:szCs w:val="24"/>
        </w:rPr>
        <w:t>F</w:t>
      </w:r>
      <w:r w:rsidRPr="00935199">
        <w:rPr>
          <w:rFonts w:ascii="Times New Roman" w:hAnsi="Times New Roman" w:cs="Times New Roman"/>
          <w:bCs/>
          <w:i/>
          <w:iCs/>
          <w:sz w:val="24"/>
          <w:szCs w:val="24"/>
        </w:rPr>
        <w:t xml:space="preserve">inding </w:t>
      </w:r>
      <w:r w:rsidRPr="00E452C3">
        <w:rPr>
          <w:rFonts w:ascii="Times New Roman" w:hAnsi="Times New Roman" w:cs="Times New Roman"/>
          <w:bCs/>
          <w:i/>
          <w:iCs/>
          <w:sz w:val="24"/>
          <w:szCs w:val="24"/>
        </w:rPr>
        <w:t xml:space="preserve">also reveals </w:t>
      </w:r>
      <w:r w:rsidRPr="00935199">
        <w:rPr>
          <w:rFonts w:ascii="Times New Roman" w:hAnsi="Times New Roman" w:cs="Times New Roman"/>
          <w:bCs/>
          <w:i/>
          <w:iCs/>
          <w:sz w:val="24"/>
          <w:szCs w:val="24"/>
        </w:rPr>
        <w:t>that resource efficiency has a strong and statistically significant positive effect on the adaptive capacity of enterprises</w:t>
      </w:r>
      <w:r w:rsidRPr="00E452C3">
        <w:rPr>
          <w:rFonts w:ascii="Times New Roman" w:hAnsi="Times New Roman" w:cs="Times New Roman"/>
          <w:bCs/>
          <w:i/>
          <w:iCs/>
          <w:sz w:val="24"/>
          <w:szCs w:val="24"/>
        </w:rPr>
        <w:t>. The study concludes that g</w:t>
      </w:r>
      <w:r w:rsidRPr="0037192D">
        <w:rPr>
          <w:rFonts w:ascii="Times New Roman" w:hAnsi="Times New Roman" w:cs="Times New Roman"/>
          <w:bCs/>
          <w:i/>
          <w:iCs/>
          <w:sz w:val="24"/>
          <w:szCs w:val="24"/>
        </w:rPr>
        <w:t>reen entrepreneurship plays a foundational role in advancing climate change adaptation, as it promotes innovation, environmental responsibility, and sustainable resource use across communities and enterprises.</w:t>
      </w:r>
      <w:r w:rsidRPr="00E452C3">
        <w:rPr>
          <w:rFonts w:ascii="Times New Roman" w:hAnsi="Times New Roman" w:cs="Times New Roman"/>
          <w:bCs/>
          <w:i/>
          <w:iCs/>
          <w:sz w:val="24"/>
          <w:szCs w:val="24"/>
        </w:rPr>
        <w:t xml:space="preserve"> The study therefore recommended that SMEs should invest in structured recycling programs, strengthen waste-segregation systems, and promote public awareness initiatives to enhance resilience against climate-related challenges. SMEs should also prioritize eco-efficient production processes, invest in technologies that reduce material and energy waste, and embed resource optimization strategies into their long-term sustainability plans to strengthen organizational resilience.</w:t>
      </w:r>
    </w:p>
    <w:p w14:paraId="616F7CF8" w14:textId="3D9CC59F" w:rsidR="00975938" w:rsidRPr="00E452C3" w:rsidRDefault="00E452C3" w:rsidP="00E452C3">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sidRPr="00260937">
        <w:rPr>
          <w:rFonts w:ascii="Times New Roman" w:hAnsi="Times New Roman" w:cs="Times New Roman"/>
          <w:bCs/>
          <w:sz w:val="24"/>
          <w:szCs w:val="24"/>
        </w:rPr>
        <w:t>Green Entrepreneurship</w:t>
      </w:r>
      <w:r>
        <w:rPr>
          <w:rFonts w:ascii="Times New Roman" w:hAnsi="Times New Roman" w:cs="Times New Roman"/>
          <w:bCs/>
          <w:sz w:val="24"/>
          <w:szCs w:val="24"/>
        </w:rPr>
        <w:t>,</w:t>
      </w:r>
      <w:r w:rsidRPr="00260937">
        <w:rPr>
          <w:rFonts w:ascii="Times New Roman" w:hAnsi="Times New Roman" w:cs="Times New Roman"/>
          <w:bCs/>
          <w:sz w:val="24"/>
          <w:szCs w:val="24"/>
        </w:rPr>
        <w:t xml:space="preserve"> Waste Management</w:t>
      </w:r>
      <w:r>
        <w:rPr>
          <w:rFonts w:ascii="Times New Roman" w:hAnsi="Times New Roman" w:cs="Times New Roman"/>
          <w:bCs/>
          <w:sz w:val="24"/>
          <w:szCs w:val="24"/>
        </w:rPr>
        <w:t xml:space="preserve">, </w:t>
      </w:r>
      <w:r w:rsidRPr="00260937">
        <w:rPr>
          <w:rFonts w:ascii="Times New Roman" w:hAnsi="Times New Roman" w:cs="Times New Roman"/>
          <w:bCs/>
          <w:sz w:val="24"/>
          <w:szCs w:val="24"/>
        </w:rPr>
        <w:t>Community-Based Adaptation</w:t>
      </w:r>
      <w:r>
        <w:rPr>
          <w:rFonts w:ascii="Times New Roman" w:hAnsi="Times New Roman" w:cs="Times New Roman"/>
          <w:bCs/>
          <w:sz w:val="24"/>
          <w:szCs w:val="24"/>
        </w:rPr>
        <w:t>,</w:t>
      </w:r>
      <w:r w:rsidRPr="00260937">
        <w:rPr>
          <w:rFonts w:ascii="Times New Roman" w:hAnsi="Times New Roman" w:cs="Times New Roman"/>
          <w:bCs/>
          <w:sz w:val="24"/>
          <w:szCs w:val="24"/>
        </w:rPr>
        <w:t xml:space="preserve"> Resource Efficiency</w:t>
      </w:r>
      <w:r>
        <w:rPr>
          <w:rFonts w:ascii="Times New Roman" w:hAnsi="Times New Roman" w:cs="Times New Roman"/>
          <w:bCs/>
          <w:sz w:val="24"/>
          <w:szCs w:val="24"/>
        </w:rPr>
        <w:t xml:space="preserve">, </w:t>
      </w:r>
      <w:r w:rsidRPr="00260937">
        <w:rPr>
          <w:rFonts w:ascii="Times New Roman" w:hAnsi="Times New Roman" w:cs="Times New Roman"/>
          <w:bCs/>
          <w:sz w:val="24"/>
          <w:szCs w:val="24"/>
        </w:rPr>
        <w:t>Adaptive Capacity</w:t>
      </w:r>
    </w:p>
    <w:p w14:paraId="77941761" w14:textId="7655E97F" w:rsidR="00975938" w:rsidRPr="00764B10" w:rsidRDefault="00975938" w:rsidP="00E452C3">
      <w:pPr>
        <w:tabs>
          <w:tab w:val="left" w:pos="2730"/>
        </w:tabs>
        <w:spacing w:after="0" w:line="240" w:lineRule="auto"/>
        <w:jc w:val="both"/>
        <w:rPr>
          <w:rFonts w:ascii="Times New Roman" w:hAnsi="Times New Roman" w:cs="Times New Roman"/>
          <w:sz w:val="24"/>
          <w:szCs w:val="24"/>
        </w:rPr>
      </w:pPr>
      <w:r w:rsidRPr="00764B10">
        <w:rPr>
          <w:rFonts w:ascii="Times New Roman" w:hAnsi="Times New Roman" w:cs="Times New Roman"/>
          <w:b/>
          <w:sz w:val="24"/>
          <w:szCs w:val="24"/>
        </w:rPr>
        <w:t xml:space="preserve">Introduction </w:t>
      </w:r>
      <w:r w:rsidRPr="00764B10">
        <w:rPr>
          <w:rFonts w:ascii="Times New Roman" w:hAnsi="Times New Roman" w:cs="Times New Roman"/>
          <w:sz w:val="24"/>
          <w:szCs w:val="24"/>
        </w:rPr>
        <w:t xml:space="preserve"> </w:t>
      </w:r>
      <w:r w:rsidRPr="00764B10">
        <w:rPr>
          <w:rFonts w:ascii="Times New Roman" w:hAnsi="Times New Roman" w:cs="Times New Roman"/>
          <w:sz w:val="24"/>
          <w:szCs w:val="24"/>
        </w:rPr>
        <w:tab/>
      </w:r>
    </w:p>
    <w:p w14:paraId="460CC982"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Green entrepreneurship, like other forms of innovative enterprise, operates through strategic choices that shape how environmental challenges are interpreted and transformed into opportunities for climate resilience. In this context, entrepreneurs rely on sustainability-oriented business models that integrate waste reduction, recycling, and efficient resource use into daily operations, thereby strengthening the capacity of communities and enterprises to cope with climate stressors. For instance, green entrepreneurs often convert waste into new value streams, promote circularity, or adopt technologies that minimize environmental degradation—practices that directly enhance community-based adaptation and enterprise-level resilience. These tendencies mirror broader insights in sustainability research, which highlight how adaptive strategies emerge from a combination of environmental awareness, innovation, and resource stewardship (Sheppard &amp; Mahdad, 2021; Rosário et al., 2022; Iriani et al., 2024).</w:t>
      </w:r>
    </w:p>
    <w:p w14:paraId="739B611B"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lastRenderedPageBreak/>
        <w:t>The study of green entrepreneurship has expanded significantly over the past decade, particularly as nations confront the realities of climate change and seek market-based mechanisms for adaptation. Scholars emphasize that waste management and recycling reduce community vulnerability by lowering pollution, improving public health, and strengthening local ecosystem services—factors that are essential for community-based adaptation. Similarly, resource efficiency has been shown to enhance firms’ adaptive capacity by reducing dependence on unstable inputs, lowering operational costs, and improving resilience to climate-induced supply disruptions (Tien et al., 2023; Mondal et al., 2022). Yet empirical evidence remains uneven, especially in African regions where climate vulnerability intersects with institutional and economic constraints.</w:t>
      </w:r>
    </w:p>
    <w:p w14:paraId="2AE943B1"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In South-South Nigeria, these gaps are particularly significant. The region faces persistent environmental challenges—ranging from flooding and erosion to waste mismanagement and declining agricultural productivity—making it an important site for examining how green entrepreneurship supports adaptation. Existing studies on the Niger Delta and surrounding states highlight efforts in renewable energy, climate-smart agriculture, and waste-to-wealth initiatives (Diemuodeke &amp; Briggs, 2018; Ikehi et al., 2023), but few works link these practices directly to measurable adaptation outcomes. For example, enterprises engaged in recycling and waste conversion contribute to cleaner, safer environments that support community resilience, yet the extent to which these practices improve localized adaptive responses remains unclear. Likewise, businesses that adopt resource-efficient technologies—such as solar energy systems or sustainable farming methods—demonstrate improved operational stability, but the specific pathways through which this stability enhances adaptive capacity require further investigation.</w:t>
      </w:r>
    </w:p>
    <w:p w14:paraId="51D6B2F1" w14:textId="77777777" w:rsidR="0049532D" w:rsidRPr="0049532D" w:rsidRDefault="0049532D" w:rsidP="000E2821">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Psychological, economic, and institutional dynamics further underscore the importance of conducting this study in South-South Nigeria. The region’s mix of ecological fragility, high dependence on natural resources, and limited infrastructural support amplifies the consequences of climate change and heightens the need for innovative adaptation strategies. Waste accumulation in cities like Port Harcourt and Yenagoa threatens community health and increases vulnerability to flooding, while inefficient resource use among small enterprises reduces their ability to withstand climate-related disruptions. By focusing on how waste management and resource efficiency—two central pillars of green entrepreneurship—shape adaptation outcomes, this study addresses a critical gap between global sustainability frameworks and the lived realities of businesses and communities in South-South Nigeria. It therefore provides timely insights into how locally driven green innovations can serve as catalysts for climate resilience in one of Nigeria’s most environmentally sensitive regions.</w:t>
      </w:r>
    </w:p>
    <w:p w14:paraId="04226888" w14:textId="1684C566" w:rsidR="00975938" w:rsidRPr="00764B10" w:rsidRDefault="00975938" w:rsidP="00E452C3">
      <w:pPr>
        <w:pStyle w:val="NormalWeb"/>
        <w:rPr>
          <w:b/>
        </w:rPr>
      </w:pPr>
      <w:r w:rsidRPr="00764B10">
        <w:rPr>
          <w:b/>
        </w:rPr>
        <w:t>Objectives of the Study</w:t>
      </w:r>
    </w:p>
    <w:p w14:paraId="3710D444" w14:textId="77777777" w:rsidR="00975938" w:rsidRPr="00764B10" w:rsidRDefault="00975938" w:rsidP="00E452C3">
      <w:pPr>
        <w:pStyle w:val="NormalWeb"/>
      </w:pPr>
      <w:r w:rsidRPr="00764B10">
        <w:t>The main objective of the study is to examine the effect of green entrepreneurship on climate change adaptation in South South Nigeria. The specific objectives are to:</w:t>
      </w:r>
    </w:p>
    <w:p w14:paraId="20F6D1C6" w14:textId="77777777" w:rsidR="00975938" w:rsidRPr="00764B10" w:rsidRDefault="00975938" w:rsidP="00E452C3">
      <w:pPr>
        <w:pStyle w:val="ListParagraph"/>
        <w:numPr>
          <w:ilvl w:val="0"/>
          <w:numId w:val="1"/>
        </w:numPr>
        <w:spacing w:line="240" w:lineRule="auto"/>
        <w:rPr>
          <w:rFonts w:ascii="Times New Roman" w:hAnsi="Times New Roman" w:cs="Times New Roman"/>
          <w:sz w:val="24"/>
          <w:szCs w:val="24"/>
        </w:rPr>
      </w:pPr>
      <w:r w:rsidRPr="00764B10">
        <w:rPr>
          <w:rFonts w:ascii="Times New Roman" w:hAnsi="Times New Roman" w:cs="Times New Roman"/>
          <w:sz w:val="24"/>
          <w:szCs w:val="24"/>
        </w:rPr>
        <w:t>Examine how waste management and recycling affect community-based adaptation; and</w:t>
      </w:r>
    </w:p>
    <w:p w14:paraId="37DA5BFE" w14:textId="77777777" w:rsidR="00975938" w:rsidRPr="00764B10" w:rsidRDefault="00975938" w:rsidP="00E452C3">
      <w:pPr>
        <w:pStyle w:val="ListParagraph"/>
        <w:numPr>
          <w:ilvl w:val="0"/>
          <w:numId w:val="1"/>
        </w:numPr>
        <w:spacing w:line="240" w:lineRule="auto"/>
        <w:rPr>
          <w:rFonts w:ascii="Times New Roman" w:hAnsi="Times New Roman" w:cs="Times New Roman"/>
          <w:sz w:val="24"/>
          <w:szCs w:val="24"/>
        </w:rPr>
      </w:pPr>
      <w:r w:rsidRPr="00764B10">
        <w:rPr>
          <w:rFonts w:ascii="Times New Roman" w:hAnsi="Times New Roman" w:cs="Times New Roman"/>
          <w:sz w:val="24"/>
          <w:szCs w:val="24"/>
        </w:rPr>
        <w:t>Unveil how resource efficiency affect adaptive capacity of enterprises.</w:t>
      </w:r>
    </w:p>
    <w:p w14:paraId="32C7680B" w14:textId="7E95A20F" w:rsidR="00975938" w:rsidRPr="00764B10" w:rsidRDefault="00975938" w:rsidP="00E452C3">
      <w:pPr>
        <w:pStyle w:val="NormalWeb"/>
        <w:rPr>
          <w:b/>
        </w:rPr>
      </w:pPr>
      <w:r w:rsidRPr="00764B10">
        <w:rPr>
          <w:b/>
        </w:rPr>
        <w:t>Hypotheses of the Study</w:t>
      </w:r>
    </w:p>
    <w:p w14:paraId="26EF3016" w14:textId="77777777" w:rsidR="00975938" w:rsidRPr="00764B10" w:rsidRDefault="00975938" w:rsidP="00E452C3">
      <w:pPr>
        <w:pStyle w:val="NormalWeb"/>
      </w:pPr>
      <w:r w:rsidRPr="00764B10">
        <w:lastRenderedPageBreak/>
        <w:t>The study formulates hypotheses that:</w:t>
      </w:r>
    </w:p>
    <w:p w14:paraId="702A5E6F" w14:textId="2D460A59"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H</w:t>
      </w:r>
      <w:r w:rsidR="0049532D" w:rsidRPr="00764B10">
        <w:rPr>
          <w:rFonts w:ascii="Times New Roman" w:hAnsi="Times New Roman" w:cs="Times New Roman"/>
          <w:b/>
          <w:sz w:val="24"/>
          <w:szCs w:val="24"/>
          <w:vertAlign w:val="subscript"/>
        </w:rPr>
        <w:t>1</w:t>
      </w:r>
      <w:r w:rsidRPr="00764B10">
        <w:rPr>
          <w:rFonts w:ascii="Times New Roman" w:hAnsi="Times New Roman" w:cs="Times New Roman"/>
          <w:b/>
          <w:sz w:val="24"/>
          <w:szCs w:val="24"/>
        </w:rPr>
        <w:t>:</w:t>
      </w:r>
      <w:r w:rsidRPr="00764B10">
        <w:rPr>
          <w:rFonts w:ascii="Times New Roman" w:hAnsi="Times New Roman" w:cs="Times New Roman"/>
          <w:b/>
          <w:sz w:val="24"/>
          <w:szCs w:val="24"/>
        </w:rPr>
        <w:tab/>
      </w:r>
      <w:r w:rsidRPr="00764B10">
        <w:rPr>
          <w:rFonts w:ascii="Times New Roman" w:hAnsi="Times New Roman" w:cs="Times New Roman"/>
          <w:sz w:val="24"/>
          <w:szCs w:val="24"/>
        </w:rPr>
        <w:t>Waste management and recycling has a significant effect on community-based adaptation</w:t>
      </w:r>
      <w:r w:rsidR="0049532D" w:rsidRPr="00764B10">
        <w:rPr>
          <w:rFonts w:ascii="Times New Roman" w:hAnsi="Times New Roman" w:cs="Times New Roman"/>
          <w:sz w:val="24"/>
          <w:szCs w:val="24"/>
        </w:rPr>
        <w:t>.</w:t>
      </w:r>
      <w:r w:rsidRPr="00764B10">
        <w:rPr>
          <w:rFonts w:ascii="Times New Roman" w:hAnsi="Times New Roman" w:cs="Times New Roman"/>
          <w:sz w:val="24"/>
          <w:szCs w:val="24"/>
        </w:rPr>
        <w:t xml:space="preserve"> </w:t>
      </w:r>
    </w:p>
    <w:p w14:paraId="2475C4C8" w14:textId="718515D5"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H</w:t>
      </w:r>
      <w:r w:rsidR="0049532D" w:rsidRPr="00764B10">
        <w:rPr>
          <w:rFonts w:ascii="Times New Roman" w:hAnsi="Times New Roman" w:cs="Times New Roman"/>
          <w:b/>
          <w:sz w:val="24"/>
          <w:szCs w:val="24"/>
          <w:vertAlign w:val="subscript"/>
        </w:rPr>
        <w:t>2</w:t>
      </w:r>
      <w:r w:rsidRPr="00764B10">
        <w:rPr>
          <w:rFonts w:ascii="Times New Roman" w:hAnsi="Times New Roman" w:cs="Times New Roman"/>
          <w:b/>
          <w:sz w:val="24"/>
          <w:szCs w:val="24"/>
        </w:rPr>
        <w:t>:</w:t>
      </w:r>
      <w:r w:rsidRPr="00764B10">
        <w:rPr>
          <w:rFonts w:ascii="Times New Roman" w:hAnsi="Times New Roman" w:cs="Times New Roman"/>
          <w:b/>
          <w:sz w:val="24"/>
          <w:szCs w:val="24"/>
        </w:rPr>
        <w:tab/>
      </w:r>
      <w:r w:rsidRPr="00764B10">
        <w:rPr>
          <w:rFonts w:ascii="Times New Roman" w:hAnsi="Times New Roman" w:cs="Times New Roman"/>
          <w:sz w:val="24"/>
          <w:szCs w:val="24"/>
        </w:rPr>
        <w:t>Resource efficiency has a significant effect on adaptive capacity of enterprises.</w:t>
      </w:r>
    </w:p>
    <w:p w14:paraId="097668F1" w14:textId="77777777" w:rsidR="0049532D" w:rsidRPr="00764B10" w:rsidRDefault="0049532D" w:rsidP="00E452C3">
      <w:pPr>
        <w:spacing w:line="240" w:lineRule="auto"/>
        <w:jc w:val="center"/>
        <w:rPr>
          <w:rFonts w:ascii="Times New Roman" w:hAnsi="Times New Roman" w:cs="Times New Roman"/>
          <w:b/>
          <w:bCs/>
          <w:sz w:val="24"/>
          <w:szCs w:val="24"/>
        </w:rPr>
      </w:pPr>
    </w:p>
    <w:p w14:paraId="35F34A53" w14:textId="565CD7B4" w:rsidR="003F5179" w:rsidRDefault="003F5179" w:rsidP="00E452C3">
      <w:pPr>
        <w:spacing w:line="240" w:lineRule="auto"/>
        <w:rPr>
          <w:rFonts w:ascii="Times New Roman" w:hAnsi="Times New Roman" w:cs="Times New Roman"/>
          <w:b/>
          <w:sz w:val="24"/>
          <w:szCs w:val="24"/>
        </w:rPr>
      </w:pPr>
      <w:r>
        <w:rPr>
          <w:rFonts w:ascii="Times New Roman" w:hAnsi="Times New Roman" w:cs="Times New Roman"/>
          <w:b/>
          <w:sz w:val="24"/>
          <w:szCs w:val="24"/>
        </w:rPr>
        <w:t>Significance of Study</w:t>
      </w:r>
    </w:p>
    <w:p w14:paraId="5FBAD0AA" w14:textId="02D960BD" w:rsidR="003F5179" w:rsidRPr="003F5179" w:rsidRDefault="003F5179" w:rsidP="003F5179">
      <w:pPr>
        <w:spacing w:line="240" w:lineRule="auto"/>
        <w:jc w:val="both"/>
        <w:rPr>
          <w:rFonts w:ascii="Times New Roman" w:hAnsi="Times New Roman" w:cs="Times New Roman"/>
          <w:bCs/>
          <w:sz w:val="24"/>
          <w:szCs w:val="24"/>
        </w:rPr>
      </w:pPr>
      <w:r w:rsidRPr="00AD62DB">
        <w:rPr>
          <w:rFonts w:ascii="Times New Roman" w:hAnsi="Times New Roman" w:cs="Times New Roman"/>
          <w:bCs/>
          <w:sz w:val="24"/>
          <w:szCs w:val="24"/>
          <w:highlight w:val="yellow"/>
        </w:rPr>
        <w:t>The study enable</w:t>
      </w:r>
      <w:r w:rsidR="00AD62DB">
        <w:rPr>
          <w:rFonts w:ascii="Times New Roman" w:hAnsi="Times New Roman" w:cs="Times New Roman"/>
          <w:bCs/>
          <w:sz w:val="24"/>
          <w:szCs w:val="24"/>
          <w:highlight w:val="yellow"/>
        </w:rPr>
        <w:t>s</w:t>
      </w:r>
      <w:r w:rsidRPr="00AD62DB">
        <w:rPr>
          <w:rFonts w:ascii="Times New Roman" w:hAnsi="Times New Roman" w:cs="Times New Roman"/>
          <w:bCs/>
          <w:sz w:val="24"/>
          <w:szCs w:val="24"/>
          <w:highlight w:val="yellow"/>
        </w:rPr>
        <w:t xml:space="preserve"> private institutions to understand how to handle the barriers related to green innovation and eco-friendly product design. This would be beneficial in achieving the necessary collaboration with the government or other related stakeholders to enhance business continuity and operational efficiency. Further, it highlights adoption of sustainable practices as important to cater to market demand and encourage consumer awareness. This study calls on the local communities to engage in eco-friendly practices and resource-efficient approaches, to actively participate in waste management and recycling initiatives, which would eventually help in improving living conditions and enhancing community resilience. For researchers, this study fills in the gap in existing knowledge by investigating how different variables interrelate in influencing climate change adaptation through green entrepreneurship. It therefore opens up avenues for further research on the effects of such practices on business sustainability and environmental health in a region especially confronting serious climatic adversities.</w:t>
      </w:r>
    </w:p>
    <w:p w14:paraId="3330AA58" w14:textId="0807FFF7" w:rsidR="00975938" w:rsidRPr="00764B10" w:rsidRDefault="005360B1" w:rsidP="00E452C3">
      <w:pPr>
        <w:spacing w:line="240" w:lineRule="auto"/>
        <w:rPr>
          <w:rFonts w:ascii="Times New Roman" w:hAnsi="Times New Roman" w:cs="Times New Roman"/>
          <w:b/>
          <w:sz w:val="24"/>
          <w:szCs w:val="24"/>
        </w:rPr>
      </w:pPr>
      <w:r w:rsidRPr="00764B10">
        <w:rPr>
          <w:rFonts w:ascii="Times New Roman" w:hAnsi="Times New Roman" w:cs="Times New Roman"/>
          <w:b/>
          <w:sz w:val="24"/>
          <w:szCs w:val="24"/>
        </w:rPr>
        <w:t>Literature Review</w:t>
      </w:r>
    </w:p>
    <w:p w14:paraId="0C804182" w14:textId="7B12BDA4" w:rsidR="00975938" w:rsidRPr="00764B10" w:rsidRDefault="00975938" w:rsidP="00E452C3">
      <w:pPr>
        <w:spacing w:after="100" w:line="240" w:lineRule="auto"/>
        <w:jc w:val="both"/>
        <w:rPr>
          <w:rFonts w:ascii="Times New Roman" w:hAnsi="Times New Roman" w:cs="Times New Roman"/>
          <w:b/>
          <w:sz w:val="24"/>
          <w:szCs w:val="24"/>
        </w:rPr>
      </w:pPr>
      <w:r w:rsidRPr="00764B10">
        <w:rPr>
          <w:rFonts w:ascii="Times New Roman" w:hAnsi="Times New Roman" w:cs="Times New Roman"/>
          <w:b/>
          <w:sz w:val="24"/>
          <w:szCs w:val="24"/>
        </w:rPr>
        <w:t>Waste Management and Community-Based Adaptation</w:t>
      </w:r>
    </w:p>
    <w:p w14:paraId="166A39BD" w14:textId="77777777" w:rsidR="0049532D" w:rsidRPr="0049532D" w:rsidRDefault="0049532D" w:rsidP="00E452C3">
      <w:pPr>
        <w:pStyle w:val="NormalWeb"/>
        <w:jc w:val="both"/>
      </w:pPr>
      <w:r w:rsidRPr="0049532D">
        <w:t>Waste management and recycling are central components of community-based adaptation, providing structured mechanisms through which communities organize, interpret, and respond to environmental challenges. These practices create clear frameworks for managing waste streams, reducing pollution, and safeguarding ecosystems, thereby enabling communities to navigate climate-related uncertainties more effectively (Kirkby et al., 2018; Abubakar et al., 2022). Waste segregation, material recovery, and composting simplify complex environmental pressures by offering practical pathways for reducing vulnerability and improving local resilience. However, while these systems enhance environmental clarity and stability, they may also reflect uneven access to infrastructure or entrenched community habits, limiting their full adaptive potential.</w:t>
      </w:r>
    </w:p>
    <w:p w14:paraId="41A8CBA1" w14:textId="44BF53FA" w:rsidR="00975938" w:rsidRPr="00764B10" w:rsidRDefault="0049532D" w:rsidP="000E2821">
      <w:pPr>
        <w:pStyle w:val="NormalWeb"/>
        <w:jc w:val="both"/>
      </w:pPr>
      <w:r w:rsidRPr="0049532D">
        <w:t>The role of waste management and recycling in strengthening community-based adaptation has been widely demonstrated across environmental and development studies. Effective recycling programs reduce greenhouse gas emissions, preserve natural resources, and curtail the ecological degradation that heightens climate risks (Lamma, 2021; Khan et al., 202</w:t>
      </w:r>
      <w:r w:rsidR="00167267" w:rsidRPr="00764B10">
        <w:t>1</w:t>
      </w:r>
      <w:r w:rsidRPr="0049532D">
        <w:t xml:space="preserve">). Yet, as with cognitive processes in organizations, the effectiveness of these systems depends on the broader social and structural context. Communities with cohesive and well-supported waste systems achieve faster environmental improvements but face risks of over-reliance when innovations stall or infrastructure is insufficient. Conversely, communities with diverse waste practices—formal and informal—may benefit from broader participation but can experience inefficiencies or health risks if systems are not well regulated (Yang et al., 2018). In regions with limited resources, such as many parts of the Global South, these dynamics make waste management and recycling both vital enablers of adaptation and potential points of vulnerability. While they foster environmental </w:t>
      </w:r>
      <w:r w:rsidRPr="0049532D">
        <w:lastRenderedPageBreak/>
        <w:t>stability and reduce hazard exposure, gaps in funding, awareness, and policy support may constrain their long-term effectiveness in enhancing resilience to climate change.</w:t>
      </w:r>
    </w:p>
    <w:p w14:paraId="0398ABFE" w14:textId="20A45E94"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Resource Efficiency and Adaptive Capacity Enterprises</w:t>
      </w:r>
    </w:p>
    <w:p w14:paraId="3D56306B" w14:textId="77777777" w:rsidR="00453FB8" w:rsidRPr="00453FB8" w:rsidRDefault="00453FB8" w:rsidP="00E452C3">
      <w:pPr>
        <w:pStyle w:val="NormalWeb"/>
        <w:jc w:val="both"/>
      </w:pPr>
      <w:r w:rsidRPr="00453FB8">
        <w:t>Previous research has established that resource efficiency—the strategic use of materials, energy, and processes to minimize waste and environmental harm—plays a crucial role in strengthening organizational resilience and long-term sustainability (Scarpellini et al., 2020). Firms that adopt resource-efficient practices typically broaden their operational flexibility by reducing dependence on volatile raw material markets, lowering production costs, and enhancing environmental performance. Such practices, including eco-friendly recycling and material optimization, enable organizations to better anticipate disruptions while improving their ability to adjust to evolving environmental, economic, and regulatory conditions. In this regard, resource efficiency serves as a foundational capability that supports firms in navigating challenges such as climate-induced risks, supply chain instability, and shifting consumer preferences.</w:t>
      </w:r>
    </w:p>
    <w:p w14:paraId="1E1EB627" w14:textId="6BC38985" w:rsidR="00975938" w:rsidRPr="00764B10" w:rsidRDefault="00453FB8" w:rsidP="00E452C3">
      <w:pPr>
        <w:pStyle w:val="NormalWeb"/>
        <w:jc w:val="both"/>
      </w:pPr>
      <w:r w:rsidRPr="00453FB8">
        <w:t>Several studies have further shown that resource-efficient strategies, especially green recycling, enhance firms’ adaptive capacity by expanding the range of production and operational alternatives available to decision-makers (</w:t>
      </w:r>
      <w:bookmarkStart w:id="1" w:name="_Hlk214698790"/>
      <w:r w:rsidRPr="00453FB8">
        <w:t>Chaturved</w:t>
      </w:r>
      <w:bookmarkEnd w:id="1"/>
      <w:r w:rsidRPr="00453FB8">
        <w:t>i et al., 2023; Fernández-Miguel et al., 2022). By integrating recycled materials into production systems, organizations not only reduce exposure to procurement risks but also improve innovation potential through advances in material science and manufacturing technologies (Krauklis et al., 2021; Yaragatti &amp; Patnaik, 2021). This broadened set of options increases firms’ ability to respond effectively to market fluctuations and regulatory changes. Evidence also highlights that resource efficiency contributes to improved financial performance—through cost savings and extended product lifecycles—which strengthens a firm’s capacity to invest in new adaptive strategies and competitive positioning (Khan</w:t>
      </w:r>
      <w:r w:rsidR="00167267" w:rsidRPr="00764B10">
        <w:t xml:space="preserve"> et al.</w:t>
      </w:r>
      <w:r w:rsidRPr="00453FB8">
        <w:t>, 2019; Suryadevara et al., 2021). This study posits that resource efficiency significantly enhances organizational adaptive capability, making it a critical determinant of how firms respond to emerging uncertainties within dynamic business environments.</w:t>
      </w:r>
    </w:p>
    <w:p w14:paraId="1B3EA899" w14:textId="0C7934EA" w:rsidR="00975938" w:rsidRPr="00764B10" w:rsidRDefault="00975938" w:rsidP="00E452C3">
      <w:pPr>
        <w:pStyle w:val="NormalWeb"/>
      </w:pPr>
      <w:r w:rsidRPr="00764B10">
        <w:rPr>
          <w:b/>
        </w:rPr>
        <w:t xml:space="preserve">Theoretical </w:t>
      </w:r>
      <w:r w:rsidR="00072451" w:rsidRPr="00764B10">
        <w:rPr>
          <w:b/>
        </w:rPr>
        <w:t>Underpinning</w:t>
      </w:r>
    </w:p>
    <w:p w14:paraId="499D1702" w14:textId="71C4D95B" w:rsidR="00072451" w:rsidRPr="00072451" w:rsidRDefault="00072451" w:rsidP="00E452C3">
      <w:pPr>
        <w:pStyle w:val="NormalWeb"/>
        <w:jc w:val="both"/>
      </w:pPr>
      <w:r w:rsidRPr="00072451">
        <w:t>The Natural Resource-Based View (NRBV) theory, originally proposed by Stuart L. Hart (1995), extends the traditional Resource-Based View (RBV) by emphasizing the strategic importance of a firm’s relationship with the natural environment. Hart argued that environmental challenges are not merely constraints but can serve as drivers of new capabilities, competitive advantage, and long-term business survival. This premise is supported by subsequent scholars who highlight that ecological constraints can stimulate innovation, learning, and strategic renewal (</w:t>
      </w:r>
      <w:r w:rsidR="002370A1" w:rsidRPr="00764B10">
        <w:rPr>
          <w:color w:val="222222"/>
          <w:shd w:val="clear" w:color="auto" w:fill="FFFFFF"/>
        </w:rPr>
        <w:t>Shrivastava, 2018</w:t>
      </w:r>
      <w:r w:rsidRPr="00072451">
        <w:t>). NRBV assumes that firms can build enduring competitive advantages through three core environmental strategies: pollution prevention, product stewardship, and sustainable development (</w:t>
      </w:r>
      <w:r w:rsidR="002370A1" w:rsidRPr="00764B10">
        <w:t>Hart &amp; Milstein, 2003</w:t>
      </w:r>
      <w:r w:rsidRPr="00072451">
        <w:t>). These assumptions reflect the belief that ecological responsibility and economic performance are mutually reinforcing when firms adopt green innovations and manage natural resources efficiently.</w:t>
      </w:r>
    </w:p>
    <w:p w14:paraId="2A8886AA" w14:textId="6D46F86A" w:rsidR="00072451" w:rsidRPr="00072451" w:rsidRDefault="00072451" w:rsidP="00E452C3">
      <w:pPr>
        <w:pStyle w:val="NormalWeb"/>
        <w:jc w:val="both"/>
      </w:pPr>
      <w:r w:rsidRPr="00072451">
        <w:t xml:space="preserve">The NRBV is significant to this study because it directly links resource efficiency, green recycling, and adaptive capacity—the central variables of your two objectives—to a firm’s strategic </w:t>
      </w:r>
      <w:r w:rsidRPr="00072451">
        <w:lastRenderedPageBreak/>
        <w:t>capabilities. The theory posits that organizations that proactively build capabilities in waste reduction, resource conservation, eco-innovation, and sustainability-oriented production are better positioned to withstand environmental uncertainties, regulatory shifts, and market fluctuations (Sharma</w:t>
      </w:r>
      <w:r w:rsidR="002370A1" w:rsidRPr="00764B10">
        <w:t>, 2024</w:t>
      </w:r>
      <w:r w:rsidRPr="00072451">
        <w:t>). This aligns with the study’s focus on how resource-efficient practices and green recycling strengthen organizational resilience, reduce operational risks, and enhance adaptive capacity in evolving environmental conditions (</w:t>
      </w:r>
      <w:r w:rsidR="002370A1" w:rsidRPr="00764B10">
        <w:t>Durán-Romero et al.</w:t>
      </w:r>
      <w:r w:rsidRPr="00072451">
        <w:t>, 20</w:t>
      </w:r>
      <w:r w:rsidR="002370A1" w:rsidRPr="00764B10">
        <w:t>20</w:t>
      </w:r>
      <w:r w:rsidRPr="00072451">
        <w:t>). NRBV is therefore ideal for explaining why organizations that adopt eco-innovation and recycling systems achieve superior adaptive and competitive outcomes (</w:t>
      </w:r>
      <w:proofErr w:type="spellStart"/>
      <w:r w:rsidR="002370A1" w:rsidRPr="00764B10">
        <w:rPr>
          <w:color w:val="222222"/>
          <w:shd w:val="clear" w:color="auto" w:fill="FFFFFF"/>
        </w:rPr>
        <w:t>Dangelico</w:t>
      </w:r>
      <w:proofErr w:type="spellEnd"/>
      <w:r w:rsidR="002370A1" w:rsidRPr="00764B10">
        <w:rPr>
          <w:color w:val="222222"/>
          <w:shd w:val="clear" w:color="auto" w:fill="FFFFFF"/>
        </w:rPr>
        <w:t xml:space="preserve"> &amp; </w:t>
      </w:r>
      <w:proofErr w:type="spellStart"/>
      <w:r w:rsidR="002370A1" w:rsidRPr="00764B10">
        <w:rPr>
          <w:color w:val="222222"/>
          <w:shd w:val="clear" w:color="auto" w:fill="FFFFFF"/>
        </w:rPr>
        <w:t>Vocalelli</w:t>
      </w:r>
      <w:proofErr w:type="spellEnd"/>
      <w:r w:rsidR="002370A1" w:rsidRPr="00764B10">
        <w:rPr>
          <w:color w:val="222222"/>
          <w:shd w:val="clear" w:color="auto" w:fill="FFFFFF"/>
        </w:rPr>
        <w:t xml:space="preserve">, </w:t>
      </w:r>
      <w:r w:rsidRPr="00072451">
        <w:t>201</w:t>
      </w:r>
      <w:r w:rsidR="002370A1" w:rsidRPr="00764B10">
        <w:t>7</w:t>
      </w:r>
      <w:r w:rsidRPr="00072451">
        <w:t xml:space="preserve">; </w:t>
      </w:r>
      <w:r w:rsidR="002370A1" w:rsidRPr="00764B10">
        <w:rPr>
          <w:color w:val="222222"/>
          <w:shd w:val="clear" w:color="auto" w:fill="FFFFFF"/>
        </w:rPr>
        <w:t>Singh &amp; Goyal, 2023</w:t>
      </w:r>
      <w:r w:rsidRPr="00072451">
        <w:t>).</w:t>
      </w:r>
    </w:p>
    <w:p w14:paraId="52A2E08D" w14:textId="000E1E53" w:rsidR="00072451" w:rsidRPr="00072451" w:rsidRDefault="00072451" w:rsidP="00E452C3">
      <w:pPr>
        <w:pStyle w:val="NormalWeb"/>
        <w:jc w:val="both"/>
      </w:pPr>
      <w:r w:rsidRPr="00072451">
        <w:t>Applied to this study, NRBV explains Objective 1 (the effect of resource efficiency on adaptive capacity) by asserting that efficient use of materials, energy, and waste streams builds unique internal capabilities that reduce costs, stabilize inputs, and improve resilience. Similarly, NRBV explains Objective 2 (the effect of green recycling on adaptive capacity) by highlighting how recycling capabilities—such as waste repurposing, closed-loop systems, and material recovery—create valuable and hard-to-imitate competencies that improve firms’ flexibility and long-term sustainability performance. Through NRBV, resource efficiency and green recycling are viewed as strategic pathways through which firms develop superior adaptive capacity and sustain competitive advantage.</w:t>
      </w:r>
    </w:p>
    <w:p w14:paraId="64ABD70B" w14:textId="2A7B09FE" w:rsidR="00975938" w:rsidRPr="00764B10" w:rsidRDefault="00072451" w:rsidP="000E2821">
      <w:pPr>
        <w:pStyle w:val="NormalWeb"/>
        <w:jc w:val="both"/>
      </w:pPr>
      <w:r w:rsidRPr="00072451">
        <w:t>Studies across sustainability, environmental management, and green supply chain research have successfully used NRBV to examine how resource efficiency, recycling systems, and eco-innovation affect organizational outcomes. For instance, Agyabeng-Mensah et al. (2021) applied NRBV to demonstrate how green production capabilities enhance sustainability performance; Quintana-García et al. (2022) used NRBV to explain competitive advantage derived from eco-innovation; and Bari</w:t>
      </w:r>
      <w:r w:rsidR="00032D9F" w:rsidRPr="00764B10">
        <w:t xml:space="preserve"> et al.</w:t>
      </w:r>
      <w:r w:rsidRPr="00072451">
        <w:t xml:space="preserve"> (2022) employed NRBV to examine how environmental practices improve firm resilience and competitiveness. Similar applications are also evident in the work of Veleva (2021), which links sustainable resource use to long-term corporate survival, as well as studies by Amui et al. (2017), who emphasize NRBV’s relevance in explaining adaptive environmental strategies in dynamic markets.</w:t>
      </w:r>
    </w:p>
    <w:p w14:paraId="3F4255DC" w14:textId="77777777" w:rsidR="00975938" w:rsidRPr="00764B10" w:rsidRDefault="00975938" w:rsidP="00E452C3">
      <w:pPr>
        <w:tabs>
          <w:tab w:val="left" w:pos="1530"/>
        </w:tabs>
        <w:spacing w:after="100" w:afterAutospacing="1" w:line="240" w:lineRule="auto"/>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METHODOLOGY</w:t>
      </w:r>
    </w:p>
    <w:p w14:paraId="6EE4BC93" w14:textId="2009AD42"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Research Design</w:t>
      </w:r>
    </w:p>
    <w:p w14:paraId="58234392" w14:textId="6725B3D1" w:rsidR="00975938" w:rsidRPr="00764B10" w:rsidRDefault="00975938" w:rsidP="00AD62DB">
      <w:pPr>
        <w:spacing w:before="100" w:beforeAutospacing="1" w:after="100" w:afterAutospacing="1" w:line="240" w:lineRule="auto"/>
        <w:jc w:val="both"/>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The study employ</w:t>
      </w:r>
      <w:r w:rsidR="00072451" w:rsidRPr="00764B10">
        <w:rPr>
          <w:rFonts w:ascii="Times New Roman" w:eastAsia="Times New Roman" w:hAnsi="Times New Roman" w:cs="Times New Roman"/>
          <w:sz w:val="24"/>
          <w:szCs w:val="24"/>
        </w:rPr>
        <w:t>ed</w:t>
      </w:r>
      <w:r w:rsidRPr="00764B10">
        <w:rPr>
          <w:rFonts w:ascii="Times New Roman" w:eastAsia="Times New Roman" w:hAnsi="Times New Roman" w:cs="Times New Roman"/>
          <w:sz w:val="24"/>
          <w:szCs w:val="24"/>
        </w:rPr>
        <w:t xml:space="preserve"> a survey research design. This design is particularly suitable for capturing quantitative data from a diverse sample of respondents, allowing for the statistical analysis necessary to validate the hypotheses. The survey consist</w:t>
      </w:r>
      <w:r w:rsidR="00072451" w:rsidRPr="00764B10">
        <w:rPr>
          <w:rFonts w:ascii="Times New Roman" w:eastAsia="Times New Roman" w:hAnsi="Times New Roman" w:cs="Times New Roman"/>
          <w:sz w:val="24"/>
          <w:szCs w:val="24"/>
        </w:rPr>
        <w:t>ed</w:t>
      </w:r>
      <w:r w:rsidRPr="00764B10">
        <w:rPr>
          <w:rFonts w:ascii="Times New Roman" w:eastAsia="Times New Roman" w:hAnsi="Times New Roman" w:cs="Times New Roman"/>
          <w:sz w:val="24"/>
          <w:szCs w:val="24"/>
        </w:rPr>
        <w:t xml:space="preserve"> of structured questionnaires featuring Likert-scale items designed to measure perceptions and practices related to each hypothesis. </w:t>
      </w:r>
    </w:p>
    <w:p w14:paraId="03CC9599" w14:textId="5D930AF5"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Sample Size of the Study</w:t>
      </w:r>
    </w:p>
    <w:p w14:paraId="67D2F597" w14:textId="29CCC46E" w:rsidR="00975938" w:rsidRPr="00764B10" w:rsidRDefault="00AD62DB" w:rsidP="00AD62DB">
      <w:pPr>
        <w:spacing w:after="200" w:line="240" w:lineRule="auto"/>
        <w:jc w:val="both"/>
        <w:rPr>
          <w:rFonts w:ascii="Times New Roman" w:hAnsi="Times New Roman" w:cs="Times New Roman"/>
          <w:sz w:val="24"/>
          <w:szCs w:val="24"/>
        </w:rPr>
      </w:pPr>
      <w:r w:rsidRPr="00764B10">
        <w:rPr>
          <w:rFonts w:ascii="Times New Roman" w:hAnsi="Times New Roman" w:cs="Times New Roman"/>
          <w:color w:val="000000" w:themeColor="text1"/>
          <w:sz w:val="24"/>
          <w:szCs w:val="24"/>
        </w:rPr>
        <w:t>The population for this study consists of 220,765 enterprises, focusing specifically on business owners and managers across six states in the South-South region.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w:t>
      </w:r>
      <w:r w:rsidR="00975938" w:rsidRPr="00764B10">
        <w:rPr>
          <w:rFonts w:ascii="Times New Roman" w:hAnsi="Times New Roman" w:cs="Times New Roman"/>
          <w:sz w:val="24"/>
          <w:szCs w:val="24"/>
        </w:rPr>
        <w:t xml:space="preserve"> sample size of 384 was established using the </w:t>
      </w:r>
      <w:proofErr w:type="spellStart"/>
      <w:r w:rsidR="00975938" w:rsidRPr="00764B10">
        <w:rPr>
          <w:rFonts w:ascii="Times New Roman" w:hAnsi="Times New Roman" w:cs="Times New Roman"/>
          <w:sz w:val="24"/>
          <w:szCs w:val="24"/>
        </w:rPr>
        <w:t>Krejcie</w:t>
      </w:r>
      <w:proofErr w:type="spellEnd"/>
      <w:r w:rsidR="00975938" w:rsidRPr="00764B10">
        <w:rPr>
          <w:rFonts w:ascii="Times New Roman" w:hAnsi="Times New Roman" w:cs="Times New Roman"/>
          <w:sz w:val="24"/>
          <w:szCs w:val="24"/>
        </w:rPr>
        <w:t xml:space="preserve"> and Morgan (1970) sample size table, ensuring sufficient data for analysis and reliable inferences. </w:t>
      </w:r>
      <w:r w:rsidR="00975938" w:rsidRPr="00764B10">
        <w:rPr>
          <w:rFonts w:ascii="Times New Roman" w:eastAsia="Times New Roman" w:hAnsi="Times New Roman" w:cs="Times New Roman"/>
          <w:sz w:val="24"/>
          <w:szCs w:val="24"/>
        </w:rPr>
        <w:t>To ensure comprehensive representation in the sample selection process, a multi-stage sampling technique w</w:t>
      </w:r>
      <w:r w:rsidR="00834443" w:rsidRPr="00764B10">
        <w:rPr>
          <w:rFonts w:ascii="Times New Roman" w:eastAsia="Times New Roman" w:hAnsi="Times New Roman" w:cs="Times New Roman"/>
          <w:sz w:val="24"/>
          <w:szCs w:val="24"/>
        </w:rPr>
        <w:t>as</w:t>
      </w:r>
      <w:r w:rsidR="00975938" w:rsidRPr="00764B10">
        <w:rPr>
          <w:rFonts w:ascii="Times New Roman" w:eastAsia="Times New Roman" w:hAnsi="Times New Roman" w:cs="Times New Roman"/>
          <w:sz w:val="24"/>
          <w:szCs w:val="24"/>
        </w:rPr>
        <w:t xml:space="preserve"> utilized. The initial step involves categorizing respondents from specific states in South-South Nigeria based on their activities related to green </w:t>
      </w:r>
      <w:r w:rsidR="00975938" w:rsidRPr="00764B10">
        <w:rPr>
          <w:rFonts w:ascii="Times New Roman" w:eastAsia="Times New Roman" w:hAnsi="Times New Roman" w:cs="Times New Roman"/>
          <w:sz w:val="24"/>
          <w:szCs w:val="24"/>
        </w:rPr>
        <w:lastRenderedPageBreak/>
        <w:t>entrepreneurship. Subsequently, participants w</w:t>
      </w:r>
      <w:r w:rsidR="00834443" w:rsidRPr="00764B10">
        <w:rPr>
          <w:rFonts w:ascii="Times New Roman" w:eastAsia="Times New Roman" w:hAnsi="Times New Roman" w:cs="Times New Roman"/>
          <w:sz w:val="24"/>
          <w:szCs w:val="24"/>
        </w:rPr>
        <w:t>er</w:t>
      </w:r>
      <w:r w:rsidR="00975938" w:rsidRPr="00764B10">
        <w:rPr>
          <w:rFonts w:ascii="Times New Roman" w:eastAsia="Times New Roman" w:hAnsi="Times New Roman" w:cs="Times New Roman"/>
          <w:sz w:val="24"/>
          <w:szCs w:val="24"/>
        </w:rPr>
        <w:t>e further classified according to relevant characteristics pertinent to climate change adaptation. In the third stage, surveys w</w:t>
      </w:r>
      <w:r w:rsidR="00834443" w:rsidRPr="00764B10">
        <w:rPr>
          <w:rFonts w:ascii="Times New Roman" w:eastAsia="Times New Roman" w:hAnsi="Times New Roman" w:cs="Times New Roman"/>
          <w:sz w:val="24"/>
          <w:szCs w:val="24"/>
        </w:rPr>
        <w:t>er</w:t>
      </w:r>
      <w:r w:rsidR="00975938" w:rsidRPr="00764B10">
        <w:rPr>
          <w:rFonts w:ascii="Times New Roman" w:eastAsia="Times New Roman" w:hAnsi="Times New Roman" w:cs="Times New Roman"/>
          <w:sz w:val="24"/>
          <w:szCs w:val="24"/>
        </w:rPr>
        <w:t>e conducted in the selected states, with samples chosen based on the size of enterprises and their familiarity with green entrepreneurship practices. This structured approach enhance</w:t>
      </w:r>
      <w:r w:rsidR="00834443" w:rsidRPr="00764B10">
        <w:rPr>
          <w:rFonts w:ascii="Times New Roman" w:eastAsia="Times New Roman" w:hAnsi="Times New Roman" w:cs="Times New Roman"/>
          <w:sz w:val="24"/>
          <w:szCs w:val="24"/>
        </w:rPr>
        <w:t>d</w:t>
      </w:r>
      <w:r w:rsidR="00975938" w:rsidRPr="00764B10">
        <w:rPr>
          <w:rFonts w:ascii="Times New Roman" w:eastAsia="Times New Roman" w:hAnsi="Times New Roman" w:cs="Times New Roman"/>
          <w:sz w:val="24"/>
          <w:szCs w:val="24"/>
        </w:rPr>
        <w:t xml:space="preserve"> inclusivity and enable</w:t>
      </w:r>
      <w:r w:rsidR="00834443" w:rsidRPr="00764B10">
        <w:rPr>
          <w:rFonts w:ascii="Times New Roman" w:eastAsia="Times New Roman" w:hAnsi="Times New Roman" w:cs="Times New Roman"/>
          <w:sz w:val="24"/>
          <w:szCs w:val="24"/>
        </w:rPr>
        <w:t>d</w:t>
      </w:r>
      <w:r w:rsidR="00975938" w:rsidRPr="00764B10">
        <w:rPr>
          <w:rFonts w:ascii="Times New Roman" w:eastAsia="Times New Roman" w:hAnsi="Times New Roman" w:cs="Times New Roman"/>
          <w:sz w:val="24"/>
          <w:szCs w:val="24"/>
        </w:rPr>
        <w:t xml:space="preserve"> a thorough analysis of the effects of green entrepreneurship on climate change adaptation within the region. </w:t>
      </w:r>
    </w:p>
    <w:p w14:paraId="2324A163" w14:textId="5E94B5D3"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Data Analyses Techniques</w:t>
      </w:r>
    </w:p>
    <w:p w14:paraId="4CF424A2" w14:textId="28D1C5B8" w:rsidR="00975938" w:rsidRPr="00764B10" w:rsidRDefault="00975938" w:rsidP="00AD62DB">
      <w:pPr>
        <w:pStyle w:val="Tablecaption0"/>
        <w:spacing w:after="100" w:afterAutospacing="1" w:line="240" w:lineRule="auto"/>
        <w:ind w:right="29"/>
        <w:jc w:val="both"/>
        <w:rPr>
          <w:rFonts w:eastAsiaTheme="minorHAnsi"/>
          <w:color w:val="000000" w:themeColor="text1"/>
          <w:sz w:val="24"/>
          <w:szCs w:val="24"/>
        </w:rPr>
      </w:pPr>
      <w:r w:rsidRPr="00764B10">
        <w:rPr>
          <w:rFonts w:eastAsiaTheme="minorHAnsi"/>
          <w:color w:val="000000" w:themeColor="text1"/>
          <w:sz w:val="24"/>
          <w:szCs w:val="24"/>
        </w:rPr>
        <w:t>The study employ</w:t>
      </w:r>
      <w:r w:rsidR="0077287B" w:rsidRPr="00764B10">
        <w:rPr>
          <w:rFonts w:eastAsiaTheme="minorHAnsi"/>
          <w:color w:val="000000" w:themeColor="text1"/>
          <w:sz w:val="24"/>
          <w:szCs w:val="24"/>
        </w:rPr>
        <w:t>ed</w:t>
      </w:r>
      <w:r w:rsidRPr="00764B10">
        <w:rPr>
          <w:rFonts w:eastAsiaTheme="minorHAnsi"/>
          <w:color w:val="000000" w:themeColor="text1"/>
          <w:sz w:val="24"/>
          <w:szCs w:val="24"/>
        </w:rPr>
        <w:t xml:space="preserve"> both descriptive and inferential statistical statistics for data analysis. The analysis w</w:t>
      </w:r>
      <w:r w:rsidR="0077287B" w:rsidRPr="00764B10">
        <w:rPr>
          <w:rFonts w:eastAsiaTheme="minorHAnsi"/>
          <w:color w:val="000000" w:themeColor="text1"/>
          <w:sz w:val="24"/>
          <w:szCs w:val="24"/>
        </w:rPr>
        <w:t>as</w:t>
      </w:r>
      <w:r w:rsidRPr="00764B10">
        <w:rPr>
          <w:rFonts w:eastAsiaTheme="minorHAnsi"/>
          <w:color w:val="000000" w:themeColor="text1"/>
          <w:sz w:val="24"/>
          <w:szCs w:val="24"/>
        </w:rPr>
        <w:t xml:space="preserve"> carried out using EVIEWS 12 software, recognized for its ability to produce reliable and unbiased results, aligning with the study's objectives. All hypotheses w</w:t>
      </w:r>
      <w:r w:rsidR="0077287B" w:rsidRPr="00764B10">
        <w:rPr>
          <w:rFonts w:eastAsiaTheme="minorHAnsi"/>
          <w:color w:val="000000" w:themeColor="text1"/>
          <w:sz w:val="24"/>
          <w:szCs w:val="24"/>
        </w:rPr>
        <w:t>er</w:t>
      </w:r>
      <w:r w:rsidRPr="00764B10">
        <w:rPr>
          <w:rFonts w:eastAsiaTheme="minorHAnsi"/>
          <w:color w:val="000000" w:themeColor="text1"/>
          <w:sz w:val="24"/>
          <w:szCs w:val="24"/>
        </w:rPr>
        <w:t xml:space="preserve">e tested </w:t>
      </w:r>
      <w:r w:rsidR="0077287B" w:rsidRPr="00764B10">
        <w:rPr>
          <w:rFonts w:eastAsiaTheme="minorHAnsi"/>
          <w:color w:val="000000" w:themeColor="text1"/>
          <w:sz w:val="24"/>
          <w:szCs w:val="24"/>
        </w:rPr>
        <w:t xml:space="preserve">using regression </w:t>
      </w:r>
      <w:r w:rsidRPr="00764B10">
        <w:rPr>
          <w:rFonts w:eastAsiaTheme="minorHAnsi"/>
          <w:color w:val="000000" w:themeColor="text1"/>
          <w:sz w:val="24"/>
          <w:szCs w:val="24"/>
        </w:rPr>
        <w:t xml:space="preserve">at a significance level of 5%, with regression models facilitating the hypothesis testing process. The models </w:t>
      </w:r>
      <w:r w:rsidR="0077287B" w:rsidRPr="00764B10">
        <w:rPr>
          <w:rFonts w:eastAsiaTheme="minorHAnsi"/>
          <w:color w:val="000000" w:themeColor="text1"/>
          <w:sz w:val="24"/>
          <w:szCs w:val="24"/>
        </w:rPr>
        <w:t>are</w:t>
      </w:r>
      <w:r w:rsidRPr="00764B10">
        <w:rPr>
          <w:rFonts w:eastAsiaTheme="minorHAnsi"/>
          <w:color w:val="000000" w:themeColor="text1"/>
          <w:sz w:val="24"/>
          <w:szCs w:val="24"/>
        </w:rPr>
        <w:t xml:space="preserve"> specified in accordance with the study's objectives as follows:</w:t>
      </w:r>
    </w:p>
    <w:p w14:paraId="4D2E4C11" w14:textId="77777777" w:rsidR="00975938" w:rsidRPr="00764B10" w:rsidRDefault="00975938" w:rsidP="00E452C3">
      <w:pPr>
        <w:autoSpaceDE w:val="0"/>
        <w:autoSpaceDN w:val="0"/>
        <w:adjustRightInd w:val="0"/>
        <w:spacing w:after="0" w:line="240" w:lineRule="auto"/>
        <w:outlineLvl w:val="0"/>
        <w:rPr>
          <w:rStyle w:val="markedcontent"/>
          <w:rFonts w:ascii="Times New Roman" w:hAnsi="Times New Roman" w:cs="Times New Roman"/>
          <w:sz w:val="24"/>
          <w:szCs w:val="24"/>
        </w:rPr>
      </w:pPr>
      <w:r w:rsidRPr="00764B10">
        <w:rPr>
          <w:rStyle w:val="markedcontent"/>
          <w:rFonts w:ascii="Times New Roman" w:hAnsi="Times New Roman" w:cs="Times New Roman"/>
          <w:sz w:val="24"/>
          <w:szCs w:val="24"/>
        </w:rPr>
        <w:t xml:space="preserve"> CCA = β0 + β</w:t>
      </w:r>
      <w:r w:rsidRPr="00764B10">
        <w:rPr>
          <w:rStyle w:val="markedcontent"/>
          <w:rFonts w:ascii="Times New Roman" w:hAnsi="Times New Roman" w:cs="Times New Roman"/>
          <w:sz w:val="24"/>
          <w:szCs w:val="24"/>
          <w:vertAlign w:val="subscript"/>
        </w:rPr>
        <w:t>1</w:t>
      </w:r>
      <w:r w:rsidRPr="00764B10">
        <w:rPr>
          <w:rStyle w:val="markedcontent"/>
          <w:rFonts w:ascii="Times New Roman" w:hAnsi="Times New Roman" w:cs="Times New Roman"/>
          <w:sz w:val="24"/>
          <w:szCs w:val="24"/>
        </w:rPr>
        <w:t>GE + ε…………….………………………………………</w:t>
      </w:r>
      <w:proofErr w:type="gramStart"/>
      <w:r w:rsidRPr="00764B10">
        <w:rPr>
          <w:rStyle w:val="markedcontent"/>
          <w:rFonts w:ascii="Times New Roman" w:hAnsi="Times New Roman" w:cs="Times New Roman"/>
          <w:sz w:val="24"/>
          <w:szCs w:val="24"/>
        </w:rPr>
        <w:t>…..</w:t>
      </w:r>
      <w:proofErr w:type="gramEnd"/>
      <w:r w:rsidRPr="00764B10">
        <w:rPr>
          <w:rStyle w:val="markedcontent"/>
          <w:rFonts w:ascii="Times New Roman" w:hAnsi="Times New Roman" w:cs="Times New Roman"/>
          <w:sz w:val="24"/>
          <w:szCs w:val="24"/>
        </w:rPr>
        <w:t>………        1</w:t>
      </w:r>
    </w:p>
    <w:p w14:paraId="54E70554" w14:textId="5EC976D5" w:rsidR="00975938" w:rsidRPr="00764B10" w:rsidRDefault="00975938" w:rsidP="00E452C3">
      <w:pPr>
        <w:autoSpaceDE w:val="0"/>
        <w:autoSpaceDN w:val="0"/>
        <w:adjustRightInd w:val="0"/>
        <w:spacing w:after="0" w:line="240" w:lineRule="auto"/>
        <w:jc w:val="center"/>
        <w:outlineLvl w:val="0"/>
        <w:rPr>
          <w:rFonts w:ascii="Times New Roman" w:hAnsi="Times New Roman" w:cs="Times New Roman"/>
          <w:sz w:val="24"/>
          <w:szCs w:val="24"/>
        </w:rPr>
      </w:pPr>
      <w:r w:rsidRPr="00764B10">
        <w:rPr>
          <w:rFonts w:ascii="Times New Roman" w:hAnsi="Times New Roman" w:cs="Times New Roman"/>
          <w:sz w:val="24"/>
          <w:szCs w:val="24"/>
        </w:rPr>
        <w:t>CBA = β</w:t>
      </w:r>
      <w:r w:rsidRPr="00764B10">
        <w:rPr>
          <w:rFonts w:ascii="Times New Roman" w:hAnsi="Times New Roman" w:cs="Times New Roman"/>
          <w:sz w:val="24"/>
          <w:szCs w:val="24"/>
          <w:vertAlign w:val="subscript"/>
        </w:rPr>
        <w:t>0</w:t>
      </w:r>
      <w:r w:rsidRPr="00764B10">
        <w:rPr>
          <w:rFonts w:ascii="Times New Roman" w:hAnsi="Times New Roman" w:cs="Times New Roman"/>
          <w:sz w:val="24"/>
          <w:szCs w:val="24"/>
        </w:rPr>
        <w:t xml:space="preserve"> + β</w:t>
      </w:r>
      <w:r w:rsidRPr="00764B10">
        <w:rPr>
          <w:rFonts w:ascii="Times New Roman" w:hAnsi="Times New Roman" w:cs="Times New Roman"/>
          <w:sz w:val="24"/>
          <w:szCs w:val="24"/>
          <w:vertAlign w:val="subscript"/>
        </w:rPr>
        <w:t>1</w:t>
      </w:r>
      <w:r w:rsidRPr="00764B10">
        <w:rPr>
          <w:rFonts w:ascii="Times New Roman" w:hAnsi="Times New Roman" w:cs="Times New Roman"/>
          <w:sz w:val="24"/>
          <w:szCs w:val="24"/>
        </w:rPr>
        <w:t>WMR + ε</w:t>
      </w:r>
      <w:r w:rsidRPr="00764B10">
        <w:rPr>
          <w:rStyle w:val="markedcontent"/>
          <w:rFonts w:ascii="Times New Roman" w:hAnsi="Times New Roman" w:cs="Times New Roman"/>
          <w:sz w:val="24"/>
          <w:szCs w:val="24"/>
        </w:rPr>
        <w:t xml:space="preserve"> ……………………………………………………….…</w:t>
      </w:r>
      <w:r w:rsidRPr="00764B10">
        <w:rPr>
          <w:rStyle w:val="markedcontent"/>
          <w:rFonts w:ascii="Times New Roman" w:hAnsi="Times New Roman" w:cs="Times New Roman"/>
          <w:sz w:val="24"/>
          <w:szCs w:val="24"/>
        </w:rPr>
        <w:tab/>
      </w:r>
      <w:r w:rsidR="0077287B" w:rsidRPr="00764B10">
        <w:rPr>
          <w:rStyle w:val="markedcontent"/>
          <w:rFonts w:ascii="Times New Roman" w:hAnsi="Times New Roman" w:cs="Times New Roman"/>
          <w:sz w:val="24"/>
          <w:szCs w:val="24"/>
        </w:rPr>
        <w:t>2</w:t>
      </w:r>
    </w:p>
    <w:p w14:paraId="3DC443AE" w14:textId="52ABA3F6" w:rsidR="00975938" w:rsidRPr="00764B10" w:rsidRDefault="00975938" w:rsidP="00AD62DB">
      <w:pPr>
        <w:autoSpaceDE w:val="0"/>
        <w:autoSpaceDN w:val="0"/>
        <w:adjustRightInd w:val="0"/>
        <w:spacing w:after="100" w:afterAutospacing="1" w:line="240" w:lineRule="auto"/>
        <w:jc w:val="center"/>
        <w:outlineLvl w:val="0"/>
        <w:rPr>
          <w:rFonts w:ascii="Times New Roman" w:hAnsi="Times New Roman" w:cs="Times New Roman"/>
          <w:sz w:val="24"/>
          <w:szCs w:val="24"/>
        </w:rPr>
      </w:pPr>
      <w:r w:rsidRPr="00764B10">
        <w:rPr>
          <w:rFonts w:ascii="Times New Roman" w:hAnsi="Times New Roman" w:cs="Times New Roman"/>
          <w:sz w:val="24"/>
          <w:szCs w:val="24"/>
        </w:rPr>
        <w:t>ADC = β</w:t>
      </w:r>
      <w:r w:rsidRPr="00764B10">
        <w:rPr>
          <w:rFonts w:ascii="Times New Roman" w:hAnsi="Times New Roman" w:cs="Times New Roman"/>
          <w:sz w:val="24"/>
          <w:szCs w:val="24"/>
          <w:vertAlign w:val="subscript"/>
        </w:rPr>
        <w:t>0</w:t>
      </w:r>
      <w:r w:rsidRPr="00764B10">
        <w:rPr>
          <w:rFonts w:ascii="Times New Roman" w:hAnsi="Times New Roman" w:cs="Times New Roman"/>
          <w:sz w:val="24"/>
          <w:szCs w:val="24"/>
        </w:rPr>
        <w:t xml:space="preserve"> + β</w:t>
      </w:r>
      <w:r w:rsidRPr="00764B10">
        <w:rPr>
          <w:rFonts w:ascii="Times New Roman" w:hAnsi="Times New Roman" w:cs="Times New Roman"/>
          <w:sz w:val="24"/>
          <w:szCs w:val="24"/>
          <w:vertAlign w:val="subscript"/>
        </w:rPr>
        <w:t>1</w:t>
      </w:r>
      <w:r w:rsidRPr="00764B10">
        <w:rPr>
          <w:rFonts w:ascii="Times New Roman" w:hAnsi="Times New Roman" w:cs="Times New Roman"/>
          <w:sz w:val="24"/>
          <w:szCs w:val="24"/>
        </w:rPr>
        <w:t>REE + ε</w:t>
      </w:r>
      <w:r w:rsidRPr="00764B10">
        <w:rPr>
          <w:rStyle w:val="markedcontent"/>
          <w:rFonts w:ascii="Times New Roman" w:hAnsi="Times New Roman" w:cs="Times New Roman"/>
          <w:sz w:val="24"/>
          <w:szCs w:val="24"/>
        </w:rPr>
        <w:t xml:space="preserve"> ……………………………………………………….…</w:t>
      </w:r>
      <w:r w:rsidRPr="00764B10">
        <w:rPr>
          <w:rStyle w:val="markedcontent"/>
          <w:rFonts w:ascii="Times New Roman" w:hAnsi="Times New Roman" w:cs="Times New Roman"/>
          <w:sz w:val="24"/>
          <w:szCs w:val="24"/>
        </w:rPr>
        <w:tab/>
      </w:r>
      <w:r w:rsidR="0077287B" w:rsidRPr="00764B10">
        <w:rPr>
          <w:rStyle w:val="markedcontent"/>
          <w:rFonts w:ascii="Times New Roman" w:hAnsi="Times New Roman" w:cs="Times New Roman"/>
          <w:sz w:val="24"/>
          <w:szCs w:val="24"/>
        </w:rPr>
        <w:t>3</w:t>
      </w:r>
    </w:p>
    <w:p w14:paraId="2D652DB9" w14:textId="77777777"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sz w:val="24"/>
          <w:szCs w:val="24"/>
        </w:rPr>
        <w:t>Where;</w:t>
      </w:r>
    </w:p>
    <w:p w14:paraId="08E19EED" w14:textId="1D1A19E4" w:rsidR="00975938" w:rsidRPr="00764B10" w:rsidRDefault="00975938" w:rsidP="00E452C3">
      <w:pPr>
        <w:spacing w:line="240" w:lineRule="auto"/>
        <w:rPr>
          <w:rFonts w:ascii="Times New Roman" w:hAnsi="Times New Roman" w:cs="Times New Roman"/>
          <w:sz w:val="24"/>
          <w:szCs w:val="24"/>
        </w:rPr>
      </w:pPr>
      <w:r w:rsidRPr="00764B10">
        <w:rPr>
          <w:rFonts w:ascii="Times New Roman" w:hAnsi="Times New Roman" w:cs="Times New Roman"/>
          <w:sz w:val="24"/>
          <w:szCs w:val="24"/>
        </w:rPr>
        <w:t xml:space="preserve">WMR= Waste Management </w:t>
      </w:r>
      <w:r w:rsidR="0077287B" w:rsidRPr="00764B10">
        <w:rPr>
          <w:rFonts w:ascii="Times New Roman" w:hAnsi="Times New Roman" w:cs="Times New Roman"/>
          <w:sz w:val="24"/>
          <w:szCs w:val="24"/>
        </w:rPr>
        <w:t>and</w:t>
      </w:r>
      <w:r w:rsidRPr="00764B10">
        <w:rPr>
          <w:rFonts w:ascii="Times New Roman" w:hAnsi="Times New Roman" w:cs="Times New Roman"/>
          <w:sz w:val="24"/>
          <w:szCs w:val="24"/>
        </w:rPr>
        <w:t xml:space="preserve"> Recycling, </w:t>
      </w:r>
    </w:p>
    <w:p w14:paraId="529A8F7C" w14:textId="77777777" w:rsidR="00975938" w:rsidRPr="00764B10" w:rsidRDefault="00975938" w:rsidP="00E452C3">
      <w:pPr>
        <w:spacing w:line="240" w:lineRule="auto"/>
        <w:rPr>
          <w:rFonts w:ascii="Times New Roman" w:eastAsia="Times New Roman" w:hAnsi="Times New Roman" w:cs="Times New Roman"/>
          <w:sz w:val="24"/>
          <w:szCs w:val="24"/>
        </w:rPr>
      </w:pPr>
      <w:r w:rsidRPr="00764B10">
        <w:rPr>
          <w:rFonts w:ascii="Times New Roman" w:hAnsi="Times New Roman" w:cs="Times New Roman"/>
          <w:sz w:val="24"/>
          <w:szCs w:val="24"/>
        </w:rPr>
        <w:t>REE= Resource Efficiency</w:t>
      </w:r>
      <w:r w:rsidRPr="00764B10">
        <w:rPr>
          <w:rFonts w:ascii="Times New Roman" w:eastAsia="Times New Roman" w:hAnsi="Times New Roman" w:cs="Times New Roman"/>
          <w:sz w:val="24"/>
          <w:szCs w:val="24"/>
        </w:rPr>
        <w:t xml:space="preserve">, </w:t>
      </w:r>
    </w:p>
    <w:p w14:paraId="2408A7B0" w14:textId="77777777" w:rsidR="00975938" w:rsidRPr="00764B10" w:rsidRDefault="00975938" w:rsidP="00E452C3">
      <w:pPr>
        <w:spacing w:line="240" w:lineRule="auto"/>
        <w:rPr>
          <w:rFonts w:ascii="Times New Roman" w:hAnsi="Times New Roman" w:cs="Times New Roman"/>
          <w:sz w:val="24"/>
          <w:szCs w:val="24"/>
        </w:rPr>
      </w:pPr>
      <w:r w:rsidRPr="00764B10">
        <w:rPr>
          <w:rFonts w:ascii="Times New Roman" w:hAnsi="Times New Roman" w:cs="Times New Roman"/>
          <w:sz w:val="24"/>
          <w:szCs w:val="24"/>
        </w:rPr>
        <w:t xml:space="preserve">CBA= Community-Based Adaptation, </w:t>
      </w:r>
    </w:p>
    <w:p w14:paraId="7B15BE8F" w14:textId="77777777" w:rsidR="00975938" w:rsidRPr="00764B10" w:rsidRDefault="00975938" w:rsidP="00E452C3">
      <w:pPr>
        <w:spacing w:after="0" w:line="240" w:lineRule="auto"/>
        <w:jc w:val="both"/>
        <w:rPr>
          <w:rFonts w:ascii="Times New Roman" w:eastAsia="Times New Roman" w:hAnsi="Times New Roman" w:cs="Times New Roman"/>
          <w:sz w:val="24"/>
          <w:szCs w:val="24"/>
        </w:rPr>
      </w:pPr>
      <w:r w:rsidRPr="00764B10">
        <w:rPr>
          <w:rFonts w:ascii="Times New Roman" w:hAnsi="Times New Roman" w:cs="Times New Roman"/>
          <w:sz w:val="24"/>
          <w:szCs w:val="24"/>
        </w:rPr>
        <w:t>ADC= Adaptive Capacity</w:t>
      </w:r>
      <w:r w:rsidRPr="00764B10">
        <w:rPr>
          <w:rFonts w:ascii="Times New Roman" w:eastAsia="Times New Roman" w:hAnsi="Times New Roman" w:cs="Times New Roman"/>
          <w:sz w:val="24"/>
          <w:szCs w:val="24"/>
        </w:rPr>
        <w:t>,</w:t>
      </w:r>
    </w:p>
    <w:p w14:paraId="0C3C79ED" w14:textId="77777777"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sz w:val="24"/>
          <w:szCs w:val="24"/>
        </w:rPr>
        <w:t>β= Coefficient</w:t>
      </w:r>
    </w:p>
    <w:p w14:paraId="071E23E3" w14:textId="77777777" w:rsidR="00975938" w:rsidRPr="00764B10" w:rsidRDefault="00975938" w:rsidP="000E2821">
      <w:pPr>
        <w:spacing w:after="100" w:afterAutospacing="1" w:line="240" w:lineRule="auto"/>
        <w:jc w:val="both"/>
        <w:rPr>
          <w:rFonts w:ascii="Times New Roman" w:hAnsi="Times New Roman" w:cs="Times New Roman"/>
          <w:sz w:val="24"/>
          <w:szCs w:val="24"/>
        </w:rPr>
      </w:pPr>
      <w:r w:rsidRPr="00764B10">
        <w:rPr>
          <w:rFonts w:ascii="Times New Roman" w:hAnsi="Times New Roman" w:cs="Times New Roman"/>
          <w:sz w:val="24"/>
          <w:szCs w:val="24"/>
        </w:rPr>
        <w:t>ε = Error Term</w:t>
      </w:r>
    </w:p>
    <w:p w14:paraId="2F94695E" w14:textId="77777777" w:rsidR="00341941" w:rsidRPr="00764B10" w:rsidRDefault="00341941"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Data Analysis and Results</w:t>
      </w:r>
    </w:p>
    <w:p w14:paraId="6B9B0E9E" w14:textId="363D0E1E" w:rsidR="00341941" w:rsidRPr="00764B10" w:rsidRDefault="00AD62DB" w:rsidP="00E452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Table 1</w:t>
      </w:r>
      <w:r w:rsidR="00341941" w:rsidRPr="00764B10">
        <w:rPr>
          <w:rFonts w:ascii="Times New Roman" w:hAnsi="Times New Roman" w:cs="Times New Roman"/>
          <w:b/>
          <w:color w:val="000000"/>
          <w:sz w:val="24"/>
          <w:szCs w:val="24"/>
        </w:rPr>
        <w:t>. Demographic information</w:t>
      </w:r>
    </w:p>
    <w:tbl>
      <w:tblPr>
        <w:tblStyle w:val="PlainTable2"/>
        <w:tblW w:w="0" w:type="auto"/>
        <w:tblLook w:val="04A0" w:firstRow="1" w:lastRow="0" w:firstColumn="1" w:lastColumn="0" w:noHBand="0" w:noVBand="1"/>
      </w:tblPr>
      <w:tblGrid>
        <w:gridCol w:w="3116"/>
        <w:gridCol w:w="3117"/>
        <w:gridCol w:w="3117"/>
      </w:tblGrid>
      <w:tr w:rsidR="00341941" w:rsidRPr="00764B10" w14:paraId="706123C6" w14:textId="77777777" w:rsidTr="00665D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8CAA93"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Cs w:val="0"/>
                <w:sz w:val="24"/>
                <w:szCs w:val="24"/>
              </w:rPr>
            </w:pPr>
            <w:bookmarkStart w:id="2" w:name="_Hlk214646448"/>
            <w:r w:rsidRPr="00764B10">
              <w:rPr>
                <w:rFonts w:ascii="Times New Roman" w:hAnsi="Times New Roman" w:cs="Times New Roman"/>
                <w:bCs w:val="0"/>
                <w:sz w:val="24"/>
                <w:szCs w:val="24"/>
              </w:rPr>
              <w:t>Demography</w:t>
            </w:r>
          </w:p>
        </w:tc>
        <w:tc>
          <w:tcPr>
            <w:tcW w:w="3117" w:type="dxa"/>
          </w:tcPr>
          <w:p w14:paraId="4D78A7E3" w14:textId="77777777" w:rsidR="00341941" w:rsidRPr="00764B10" w:rsidRDefault="00341941" w:rsidP="00AD62DB">
            <w:pPr>
              <w:autoSpaceDE w:val="0"/>
              <w:autoSpaceDN w:val="0"/>
              <w:adjustRightInd w:val="0"/>
              <w:spacing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64B10">
              <w:rPr>
                <w:rFonts w:ascii="Times New Roman" w:hAnsi="Times New Roman" w:cs="Times New Roman"/>
                <w:bCs w:val="0"/>
                <w:color w:val="000000"/>
                <w:sz w:val="24"/>
                <w:szCs w:val="24"/>
              </w:rPr>
              <w:t>Frequency</w:t>
            </w:r>
          </w:p>
        </w:tc>
        <w:tc>
          <w:tcPr>
            <w:tcW w:w="3117" w:type="dxa"/>
          </w:tcPr>
          <w:p w14:paraId="28CD8B2E" w14:textId="77777777" w:rsidR="00341941" w:rsidRPr="00764B10" w:rsidRDefault="00341941" w:rsidP="00E452C3">
            <w:pPr>
              <w:autoSpaceDE w:val="0"/>
              <w:autoSpaceDN w:val="0"/>
              <w:adjustRightInd w:val="0"/>
              <w:spacing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64B10">
              <w:rPr>
                <w:rFonts w:ascii="Times New Roman" w:hAnsi="Times New Roman" w:cs="Times New Roman"/>
                <w:bCs w:val="0"/>
                <w:color w:val="000000"/>
                <w:sz w:val="24"/>
                <w:szCs w:val="24"/>
              </w:rPr>
              <w:t>Percent</w:t>
            </w:r>
          </w:p>
        </w:tc>
      </w:tr>
      <w:tr w:rsidR="00341941" w:rsidRPr="00764B10" w14:paraId="2406B6A9"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9A6486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Gender</w:t>
            </w:r>
          </w:p>
        </w:tc>
        <w:tc>
          <w:tcPr>
            <w:tcW w:w="3117" w:type="dxa"/>
          </w:tcPr>
          <w:p w14:paraId="5B33AF57"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3117" w:type="dxa"/>
          </w:tcPr>
          <w:p w14:paraId="68DA9157"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341941" w:rsidRPr="00764B10" w14:paraId="597B27F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09A352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Male</w:t>
            </w:r>
          </w:p>
        </w:tc>
        <w:tc>
          <w:tcPr>
            <w:tcW w:w="3117" w:type="dxa"/>
          </w:tcPr>
          <w:p w14:paraId="26F5149F" w14:textId="2C4AB0F7"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192</w:t>
            </w:r>
          </w:p>
        </w:tc>
        <w:tc>
          <w:tcPr>
            <w:tcW w:w="3117" w:type="dxa"/>
          </w:tcPr>
          <w:p w14:paraId="2324E53D" w14:textId="24A2B8FE"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50.0</w:t>
            </w:r>
          </w:p>
        </w:tc>
      </w:tr>
      <w:tr w:rsidR="00341941" w:rsidRPr="00764B10" w14:paraId="2EBF9903"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B8B0D4"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Female</w:t>
            </w:r>
          </w:p>
        </w:tc>
        <w:tc>
          <w:tcPr>
            <w:tcW w:w="3117" w:type="dxa"/>
          </w:tcPr>
          <w:p w14:paraId="1C649227" w14:textId="0C4D3B7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192</w:t>
            </w:r>
          </w:p>
        </w:tc>
        <w:tc>
          <w:tcPr>
            <w:tcW w:w="3117" w:type="dxa"/>
          </w:tcPr>
          <w:p w14:paraId="5947B38A" w14:textId="47CA842A"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50.0</w:t>
            </w:r>
          </w:p>
        </w:tc>
      </w:tr>
      <w:tr w:rsidR="00341941" w:rsidRPr="00764B10" w14:paraId="090EF26F"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75DE6CE"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sz w:val="24"/>
                <w:szCs w:val="24"/>
              </w:rPr>
              <w:t>Age</w:t>
            </w:r>
          </w:p>
        </w:tc>
        <w:tc>
          <w:tcPr>
            <w:tcW w:w="3117" w:type="dxa"/>
          </w:tcPr>
          <w:p w14:paraId="386C10BA"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3117" w:type="dxa"/>
          </w:tcPr>
          <w:p w14:paraId="24CA89A3"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41941" w:rsidRPr="00764B10" w14:paraId="11570FEF"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D7732FD" w14:textId="3FBC410E"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&gt;18</w:t>
            </w:r>
            <w:r w:rsidR="00341941" w:rsidRPr="00764B10">
              <w:rPr>
                <w:rFonts w:ascii="Times New Roman" w:hAnsi="Times New Roman" w:cs="Times New Roman"/>
                <w:b w:val="0"/>
                <w:color w:val="000000"/>
                <w:sz w:val="24"/>
                <w:szCs w:val="24"/>
              </w:rPr>
              <w:t xml:space="preserve"> years</w:t>
            </w:r>
          </w:p>
        </w:tc>
        <w:tc>
          <w:tcPr>
            <w:tcW w:w="3117" w:type="dxa"/>
          </w:tcPr>
          <w:p w14:paraId="00EBE343" w14:textId="164F532D"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c>
          <w:tcPr>
            <w:tcW w:w="3117" w:type="dxa"/>
          </w:tcPr>
          <w:p w14:paraId="747A4286" w14:textId="22676D6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r>
      <w:tr w:rsidR="00341941" w:rsidRPr="00764B10" w14:paraId="28A4B9CD"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540B0F93" w14:textId="2EA0D9E6"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20 – 2</w:t>
            </w:r>
            <w:r w:rsidR="00BE6DE5" w:rsidRPr="00764B10">
              <w:rPr>
                <w:rFonts w:ascii="Times New Roman" w:hAnsi="Times New Roman" w:cs="Times New Roman"/>
                <w:b w:val="0"/>
                <w:color w:val="000000"/>
                <w:sz w:val="24"/>
                <w:szCs w:val="24"/>
              </w:rPr>
              <w:t>5</w:t>
            </w:r>
            <w:r w:rsidRPr="00764B10">
              <w:rPr>
                <w:rFonts w:ascii="Times New Roman" w:hAnsi="Times New Roman" w:cs="Times New Roman"/>
                <w:b w:val="0"/>
                <w:color w:val="000000"/>
                <w:sz w:val="24"/>
                <w:szCs w:val="24"/>
              </w:rPr>
              <w:t xml:space="preserve"> years</w:t>
            </w:r>
          </w:p>
        </w:tc>
        <w:tc>
          <w:tcPr>
            <w:tcW w:w="3117" w:type="dxa"/>
          </w:tcPr>
          <w:p w14:paraId="47616CBE" w14:textId="18A5358A"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1</w:t>
            </w:r>
            <w:r w:rsidR="00BE6DE5" w:rsidRPr="00764B10">
              <w:rPr>
                <w:rFonts w:ascii="Times New Roman" w:hAnsi="Times New Roman" w:cs="Times New Roman"/>
                <w:bCs/>
                <w:color w:val="000000"/>
                <w:sz w:val="24"/>
                <w:szCs w:val="24"/>
              </w:rPr>
              <w:t>12</w:t>
            </w:r>
          </w:p>
        </w:tc>
        <w:tc>
          <w:tcPr>
            <w:tcW w:w="3117" w:type="dxa"/>
          </w:tcPr>
          <w:p w14:paraId="7F9595E7" w14:textId="5B7D7950"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29.2</w:t>
            </w:r>
          </w:p>
        </w:tc>
      </w:tr>
      <w:tr w:rsidR="00341941" w:rsidRPr="00764B10" w14:paraId="1C7E14E3"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278C31D" w14:textId="5B351D35"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26</w:t>
            </w:r>
            <w:r w:rsidR="00341941" w:rsidRPr="00764B10">
              <w:rPr>
                <w:rFonts w:ascii="Times New Roman" w:hAnsi="Times New Roman" w:cs="Times New Roman"/>
                <w:b w:val="0"/>
                <w:color w:val="000000"/>
                <w:sz w:val="24"/>
                <w:szCs w:val="24"/>
              </w:rPr>
              <w:t xml:space="preserve"> – 3</w:t>
            </w:r>
            <w:r w:rsidRPr="00764B10">
              <w:rPr>
                <w:rFonts w:ascii="Times New Roman" w:hAnsi="Times New Roman" w:cs="Times New Roman"/>
                <w:b w:val="0"/>
                <w:color w:val="000000"/>
                <w:sz w:val="24"/>
                <w:szCs w:val="24"/>
              </w:rPr>
              <w:t>1</w:t>
            </w:r>
            <w:r w:rsidR="00341941" w:rsidRPr="00764B10">
              <w:rPr>
                <w:rFonts w:ascii="Times New Roman" w:hAnsi="Times New Roman" w:cs="Times New Roman"/>
                <w:b w:val="0"/>
                <w:color w:val="000000"/>
                <w:sz w:val="24"/>
                <w:szCs w:val="24"/>
              </w:rPr>
              <w:t xml:space="preserve"> years</w:t>
            </w:r>
          </w:p>
        </w:tc>
        <w:tc>
          <w:tcPr>
            <w:tcW w:w="3117" w:type="dxa"/>
          </w:tcPr>
          <w:p w14:paraId="7DE220F9"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94</w:t>
            </w:r>
          </w:p>
        </w:tc>
        <w:tc>
          <w:tcPr>
            <w:tcW w:w="3117" w:type="dxa"/>
          </w:tcPr>
          <w:p w14:paraId="6717F0CF" w14:textId="4B5D9A2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24.5</w:t>
            </w:r>
          </w:p>
        </w:tc>
      </w:tr>
      <w:tr w:rsidR="00341941" w:rsidRPr="00764B10" w14:paraId="768D3AA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2BF3FA38" w14:textId="3E1AB5FD"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32</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37</w:t>
            </w:r>
            <w:r w:rsidR="00341941" w:rsidRPr="00764B10">
              <w:rPr>
                <w:rFonts w:ascii="Times New Roman" w:hAnsi="Times New Roman" w:cs="Times New Roman"/>
                <w:b w:val="0"/>
                <w:color w:val="000000"/>
                <w:sz w:val="24"/>
                <w:szCs w:val="24"/>
              </w:rPr>
              <w:t xml:space="preserve"> years</w:t>
            </w:r>
          </w:p>
        </w:tc>
        <w:tc>
          <w:tcPr>
            <w:tcW w:w="3117" w:type="dxa"/>
          </w:tcPr>
          <w:p w14:paraId="49D30132" w14:textId="571896BC"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95</w:t>
            </w:r>
          </w:p>
        </w:tc>
        <w:tc>
          <w:tcPr>
            <w:tcW w:w="3117" w:type="dxa"/>
          </w:tcPr>
          <w:p w14:paraId="3EE1C69D" w14:textId="25741DE8"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24.7</w:t>
            </w:r>
          </w:p>
        </w:tc>
      </w:tr>
      <w:tr w:rsidR="00341941" w:rsidRPr="00764B10" w14:paraId="12CAADF2"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0F9BF8" w14:textId="06273480"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&gt;38</w:t>
            </w:r>
            <w:r w:rsidR="00341941" w:rsidRPr="00764B10">
              <w:rPr>
                <w:rFonts w:ascii="Times New Roman" w:hAnsi="Times New Roman" w:cs="Times New Roman"/>
                <w:b w:val="0"/>
                <w:color w:val="000000"/>
                <w:sz w:val="24"/>
                <w:szCs w:val="24"/>
              </w:rPr>
              <w:t xml:space="preserve"> years</w:t>
            </w:r>
          </w:p>
        </w:tc>
        <w:tc>
          <w:tcPr>
            <w:tcW w:w="3117" w:type="dxa"/>
          </w:tcPr>
          <w:p w14:paraId="28DF2C46" w14:textId="0934371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83</w:t>
            </w:r>
          </w:p>
        </w:tc>
        <w:tc>
          <w:tcPr>
            <w:tcW w:w="3117" w:type="dxa"/>
          </w:tcPr>
          <w:p w14:paraId="14B22F3B" w14:textId="3E650821"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21.6</w:t>
            </w:r>
          </w:p>
        </w:tc>
      </w:tr>
      <w:tr w:rsidR="00341941" w:rsidRPr="00764B10" w14:paraId="115C01E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47FE9A5"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sz w:val="24"/>
                <w:szCs w:val="24"/>
              </w:rPr>
              <w:t>Education</w:t>
            </w:r>
          </w:p>
        </w:tc>
        <w:tc>
          <w:tcPr>
            <w:tcW w:w="3117" w:type="dxa"/>
          </w:tcPr>
          <w:p w14:paraId="3A33126B"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3117" w:type="dxa"/>
          </w:tcPr>
          <w:p w14:paraId="5456648B"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41941" w:rsidRPr="00764B10" w14:paraId="2F5DC4B2"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1C12FB1"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Primary</w:t>
            </w:r>
          </w:p>
        </w:tc>
        <w:tc>
          <w:tcPr>
            <w:tcW w:w="3117" w:type="dxa"/>
          </w:tcPr>
          <w:p w14:paraId="3B4F650E" w14:textId="60AC2F5A"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c>
          <w:tcPr>
            <w:tcW w:w="3117" w:type="dxa"/>
          </w:tcPr>
          <w:p w14:paraId="6FE49610" w14:textId="0A9271C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r>
      <w:tr w:rsidR="00341941" w:rsidRPr="00764B10" w14:paraId="25E5BA01"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B4FB54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Secondary</w:t>
            </w:r>
          </w:p>
        </w:tc>
        <w:tc>
          <w:tcPr>
            <w:tcW w:w="3117" w:type="dxa"/>
          </w:tcPr>
          <w:p w14:paraId="7BE98196" w14:textId="4CA09AB9"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21</w:t>
            </w:r>
          </w:p>
        </w:tc>
        <w:tc>
          <w:tcPr>
            <w:tcW w:w="3117" w:type="dxa"/>
          </w:tcPr>
          <w:p w14:paraId="481D44D0" w14:textId="6865565C"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5.4</w:t>
            </w:r>
          </w:p>
        </w:tc>
      </w:tr>
      <w:tr w:rsidR="00341941" w:rsidRPr="00764B10" w14:paraId="3BE2B7B0"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1D750D"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OND/NCE</w:t>
            </w:r>
          </w:p>
        </w:tc>
        <w:tc>
          <w:tcPr>
            <w:tcW w:w="3117" w:type="dxa"/>
          </w:tcPr>
          <w:p w14:paraId="7A2078DE" w14:textId="5C5CF75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132</w:t>
            </w:r>
          </w:p>
        </w:tc>
        <w:tc>
          <w:tcPr>
            <w:tcW w:w="3117" w:type="dxa"/>
          </w:tcPr>
          <w:p w14:paraId="4AC9D44F" w14:textId="510E93E6"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34.4</w:t>
            </w:r>
          </w:p>
        </w:tc>
      </w:tr>
      <w:tr w:rsidR="00341941" w:rsidRPr="00764B10" w14:paraId="17B08EDD"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3AD9E61"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HND/Bachelor’s Degree</w:t>
            </w:r>
          </w:p>
        </w:tc>
        <w:tc>
          <w:tcPr>
            <w:tcW w:w="3117" w:type="dxa"/>
          </w:tcPr>
          <w:p w14:paraId="36A18EA2" w14:textId="2AF102C2"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1</w:t>
            </w:r>
            <w:r w:rsidR="00BE6DE5" w:rsidRPr="00764B10">
              <w:rPr>
                <w:rFonts w:ascii="Times New Roman" w:hAnsi="Times New Roman" w:cs="Times New Roman"/>
                <w:bCs/>
                <w:color w:val="000000"/>
                <w:sz w:val="24"/>
                <w:szCs w:val="24"/>
              </w:rPr>
              <w:t>09</w:t>
            </w:r>
          </w:p>
        </w:tc>
        <w:tc>
          <w:tcPr>
            <w:tcW w:w="3117" w:type="dxa"/>
          </w:tcPr>
          <w:p w14:paraId="6EE9BACF" w14:textId="11CF84EA"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28.4</w:t>
            </w:r>
          </w:p>
        </w:tc>
      </w:tr>
      <w:tr w:rsidR="00341941" w:rsidRPr="00764B10" w14:paraId="5C76C2EC"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B656AE8"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lastRenderedPageBreak/>
              <w:t>Postgraduate</w:t>
            </w:r>
          </w:p>
        </w:tc>
        <w:tc>
          <w:tcPr>
            <w:tcW w:w="3117" w:type="dxa"/>
          </w:tcPr>
          <w:p w14:paraId="2CC33015" w14:textId="39A9323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122</w:t>
            </w:r>
          </w:p>
        </w:tc>
        <w:tc>
          <w:tcPr>
            <w:tcW w:w="3117" w:type="dxa"/>
          </w:tcPr>
          <w:p w14:paraId="57185B63" w14:textId="0FF48036"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31.8</w:t>
            </w:r>
          </w:p>
        </w:tc>
      </w:tr>
      <w:tr w:rsidR="00341941" w:rsidRPr="00764B10" w14:paraId="2B980B67"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A0D831F" w14:textId="77777777" w:rsidR="00341941" w:rsidRPr="00764B10" w:rsidRDefault="00341941" w:rsidP="00AD62DB">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Experience</w:t>
            </w:r>
          </w:p>
        </w:tc>
        <w:tc>
          <w:tcPr>
            <w:tcW w:w="3117" w:type="dxa"/>
          </w:tcPr>
          <w:p w14:paraId="436BFEB9"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3117" w:type="dxa"/>
          </w:tcPr>
          <w:p w14:paraId="2117DD78"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341941" w:rsidRPr="00764B10" w14:paraId="458E3799"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FA3AD9" w14:textId="04E45282"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&gt;</w:t>
            </w:r>
            <w:r w:rsidR="00341941" w:rsidRPr="00764B10">
              <w:rPr>
                <w:rFonts w:ascii="Times New Roman" w:hAnsi="Times New Roman" w:cs="Times New Roman"/>
                <w:b w:val="0"/>
                <w:color w:val="000000"/>
                <w:sz w:val="24"/>
                <w:szCs w:val="24"/>
              </w:rPr>
              <w:t xml:space="preserve"> 1 year</w:t>
            </w:r>
          </w:p>
        </w:tc>
        <w:tc>
          <w:tcPr>
            <w:tcW w:w="3117" w:type="dxa"/>
          </w:tcPr>
          <w:p w14:paraId="54B054CC" w14:textId="15B572C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87</w:t>
            </w:r>
          </w:p>
        </w:tc>
        <w:tc>
          <w:tcPr>
            <w:tcW w:w="3117" w:type="dxa"/>
          </w:tcPr>
          <w:p w14:paraId="0BB1F845" w14:textId="23313494"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22.7</w:t>
            </w:r>
          </w:p>
        </w:tc>
      </w:tr>
      <w:tr w:rsidR="00341941" w:rsidRPr="00764B10" w14:paraId="7EB6959B"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7BF7BBD3" w14:textId="5D3F1C5E"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2</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5</w:t>
            </w:r>
            <w:r w:rsidR="00341941" w:rsidRPr="00764B10">
              <w:rPr>
                <w:rFonts w:ascii="Times New Roman" w:hAnsi="Times New Roman" w:cs="Times New Roman"/>
                <w:b w:val="0"/>
                <w:color w:val="000000"/>
                <w:sz w:val="24"/>
                <w:szCs w:val="24"/>
              </w:rPr>
              <w:t xml:space="preserve"> years</w:t>
            </w:r>
          </w:p>
        </w:tc>
        <w:tc>
          <w:tcPr>
            <w:tcW w:w="3117" w:type="dxa"/>
          </w:tcPr>
          <w:p w14:paraId="69ED8649" w14:textId="11176F8B"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105</w:t>
            </w:r>
          </w:p>
        </w:tc>
        <w:tc>
          <w:tcPr>
            <w:tcW w:w="3117" w:type="dxa"/>
          </w:tcPr>
          <w:p w14:paraId="58458971" w14:textId="795D5138" w:rsidR="00341941" w:rsidRPr="00764B10" w:rsidRDefault="00A21A9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27.3</w:t>
            </w:r>
          </w:p>
        </w:tc>
      </w:tr>
      <w:tr w:rsidR="00341941" w:rsidRPr="00764B10" w14:paraId="2DF1F2BD"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D96482E" w14:textId="22D551B7"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6</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11</w:t>
            </w:r>
            <w:r w:rsidR="00341941" w:rsidRPr="00764B10">
              <w:rPr>
                <w:rFonts w:ascii="Times New Roman" w:hAnsi="Times New Roman" w:cs="Times New Roman"/>
                <w:b w:val="0"/>
                <w:color w:val="000000"/>
                <w:sz w:val="24"/>
                <w:szCs w:val="24"/>
              </w:rPr>
              <w:t xml:space="preserve"> years</w:t>
            </w:r>
          </w:p>
        </w:tc>
        <w:tc>
          <w:tcPr>
            <w:tcW w:w="3117" w:type="dxa"/>
          </w:tcPr>
          <w:p w14:paraId="495BE3B4" w14:textId="3657F27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112</w:t>
            </w:r>
          </w:p>
        </w:tc>
        <w:tc>
          <w:tcPr>
            <w:tcW w:w="3117" w:type="dxa"/>
          </w:tcPr>
          <w:p w14:paraId="653B45CF" w14:textId="071167F7"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29.2</w:t>
            </w:r>
          </w:p>
        </w:tc>
      </w:tr>
      <w:tr w:rsidR="00341941" w:rsidRPr="00764B10" w14:paraId="5F4B9625"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5F9FCA6" w14:textId="1BEC1ACF"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12</w:t>
            </w:r>
            <w:r w:rsidR="00341941" w:rsidRPr="00764B10">
              <w:rPr>
                <w:rFonts w:ascii="Times New Roman" w:hAnsi="Times New Roman" w:cs="Times New Roman"/>
                <w:b w:val="0"/>
                <w:color w:val="000000"/>
                <w:sz w:val="24"/>
                <w:szCs w:val="24"/>
              </w:rPr>
              <w:t xml:space="preserve"> – 1</w:t>
            </w:r>
            <w:r w:rsidRPr="00764B10">
              <w:rPr>
                <w:rFonts w:ascii="Times New Roman" w:hAnsi="Times New Roman" w:cs="Times New Roman"/>
                <w:b w:val="0"/>
                <w:color w:val="000000"/>
                <w:sz w:val="24"/>
                <w:szCs w:val="24"/>
              </w:rPr>
              <w:t>7</w:t>
            </w:r>
            <w:r w:rsidR="00341941" w:rsidRPr="00764B10">
              <w:rPr>
                <w:rFonts w:ascii="Times New Roman" w:hAnsi="Times New Roman" w:cs="Times New Roman"/>
                <w:b w:val="0"/>
                <w:color w:val="000000"/>
                <w:sz w:val="24"/>
                <w:szCs w:val="24"/>
              </w:rPr>
              <w:t xml:space="preserve"> years</w:t>
            </w:r>
          </w:p>
        </w:tc>
        <w:tc>
          <w:tcPr>
            <w:tcW w:w="3117" w:type="dxa"/>
          </w:tcPr>
          <w:p w14:paraId="525E4ACA" w14:textId="50AE9A85"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6</w:t>
            </w:r>
            <w:r w:rsidR="00BE6DE5" w:rsidRPr="00764B10">
              <w:rPr>
                <w:rFonts w:ascii="Times New Roman" w:hAnsi="Times New Roman" w:cs="Times New Roman"/>
                <w:bCs/>
                <w:color w:val="000000"/>
                <w:sz w:val="24"/>
                <w:szCs w:val="24"/>
              </w:rPr>
              <w:t>7</w:t>
            </w:r>
          </w:p>
        </w:tc>
        <w:tc>
          <w:tcPr>
            <w:tcW w:w="3117" w:type="dxa"/>
          </w:tcPr>
          <w:p w14:paraId="06680319" w14:textId="027C6146" w:rsidR="00341941" w:rsidRPr="00764B10" w:rsidRDefault="00A21A9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17.4</w:t>
            </w:r>
          </w:p>
        </w:tc>
      </w:tr>
      <w:tr w:rsidR="00341941" w:rsidRPr="00764B10" w14:paraId="0C485B4F"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1CBEEE4" w14:textId="5C06056D"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 xml:space="preserve">&gt; </w:t>
            </w:r>
            <w:r w:rsidR="00341941" w:rsidRPr="00764B10">
              <w:rPr>
                <w:rFonts w:ascii="Times New Roman" w:hAnsi="Times New Roman" w:cs="Times New Roman"/>
                <w:b w:val="0"/>
                <w:color w:val="000000"/>
                <w:sz w:val="24"/>
                <w:szCs w:val="24"/>
              </w:rPr>
              <w:t>1</w:t>
            </w:r>
            <w:r w:rsidRPr="00764B10">
              <w:rPr>
                <w:rFonts w:ascii="Times New Roman" w:hAnsi="Times New Roman" w:cs="Times New Roman"/>
                <w:b w:val="0"/>
                <w:color w:val="000000"/>
                <w:sz w:val="24"/>
                <w:szCs w:val="24"/>
              </w:rPr>
              <w:t>7</w:t>
            </w:r>
            <w:r w:rsidR="00341941" w:rsidRPr="00764B10">
              <w:rPr>
                <w:rFonts w:ascii="Times New Roman" w:hAnsi="Times New Roman" w:cs="Times New Roman"/>
                <w:b w:val="0"/>
                <w:color w:val="000000"/>
                <w:sz w:val="24"/>
                <w:szCs w:val="24"/>
              </w:rPr>
              <w:t xml:space="preserve"> years</w:t>
            </w:r>
          </w:p>
        </w:tc>
        <w:tc>
          <w:tcPr>
            <w:tcW w:w="3117" w:type="dxa"/>
          </w:tcPr>
          <w:p w14:paraId="37989EC9" w14:textId="25BFD02D"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13</w:t>
            </w:r>
          </w:p>
        </w:tc>
        <w:tc>
          <w:tcPr>
            <w:tcW w:w="3117" w:type="dxa"/>
          </w:tcPr>
          <w:p w14:paraId="75104588" w14:textId="5656486E"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3.4</w:t>
            </w:r>
          </w:p>
        </w:tc>
      </w:tr>
    </w:tbl>
    <w:bookmarkEnd w:id="2"/>
    <w:p w14:paraId="7BEADEAF" w14:textId="4EE3A490" w:rsidR="00975938" w:rsidRPr="00764B10" w:rsidRDefault="00341941" w:rsidP="00E452C3">
      <w:pPr>
        <w:spacing w:line="240" w:lineRule="auto"/>
        <w:rPr>
          <w:rFonts w:ascii="Times New Roman" w:hAnsi="Times New Roman" w:cs="Times New Roman"/>
          <w:sz w:val="24"/>
          <w:szCs w:val="24"/>
        </w:rPr>
      </w:pPr>
      <w:r w:rsidRPr="00764B10">
        <w:rPr>
          <w:rFonts w:ascii="Times New Roman" w:hAnsi="Times New Roman" w:cs="Times New Roman"/>
          <w:b/>
          <w:sz w:val="24"/>
          <w:szCs w:val="24"/>
        </w:rPr>
        <w:t>Source:</w:t>
      </w:r>
      <w:r w:rsidRPr="00764B10">
        <w:rPr>
          <w:rFonts w:ascii="Times New Roman" w:hAnsi="Times New Roman" w:cs="Times New Roman"/>
          <w:sz w:val="24"/>
          <w:szCs w:val="24"/>
        </w:rPr>
        <w:t xml:space="preserve"> Field Survey, 2025</w:t>
      </w:r>
    </w:p>
    <w:p w14:paraId="1E9178DC" w14:textId="1C53B6C9" w:rsidR="00484C0C"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 xml:space="preserve">The demographic distribution of respondents </w:t>
      </w:r>
      <w:r w:rsidR="00140687" w:rsidRPr="00764B10">
        <w:rPr>
          <w:rFonts w:ascii="Times New Roman" w:hAnsi="Times New Roman" w:cs="Times New Roman"/>
          <w:sz w:val="24"/>
          <w:szCs w:val="24"/>
        </w:rPr>
        <w:t xml:space="preserve">(in </w:t>
      </w:r>
      <w:r w:rsidR="00AD62DB">
        <w:rPr>
          <w:rFonts w:ascii="Times New Roman" w:hAnsi="Times New Roman" w:cs="Times New Roman"/>
          <w:sz w:val="24"/>
          <w:szCs w:val="24"/>
        </w:rPr>
        <w:t>Table 1</w:t>
      </w:r>
      <w:r w:rsidR="00140687" w:rsidRPr="00764B10">
        <w:rPr>
          <w:rFonts w:ascii="Times New Roman" w:hAnsi="Times New Roman" w:cs="Times New Roman"/>
          <w:sz w:val="24"/>
          <w:szCs w:val="24"/>
        </w:rPr>
        <w:t xml:space="preserve">) </w:t>
      </w:r>
      <w:r w:rsidRPr="00764B10">
        <w:rPr>
          <w:rFonts w:ascii="Times New Roman" w:hAnsi="Times New Roman" w:cs="Times New Roman"/>
          <w:sz w:val="24"/>
          <w:szCs w:val="24"/>
        </w:rPr>
        <w:t>indicates an equal representation of gender, with 192 males and 192 females, each constituting 50% of the sample. This balance ensures that the perspectives captured in the study are not skewed toward one gender, allowing for more equitable insights and reducing potential gender bias in the analysis of the research variables.</w:t>
      </w:r>
    </w:p>
    <w:p w14:paraId="64C32452" w14:textId="6E2F3BC5" w:rsidR="009B58D7"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The age distribution of respondents shows that the majority fall within the 20–25 years category, accounting for 29.2% of the sample. This is followed closely by those aged 32–37 years (24.7%) and 26–31 years (24.5%), while respondents above 38 years constitute the smallest group at 21.6%. The sample reflects a relatively balanced age composition, with a slight concentration in the younger adult range.</w:t>
      </w:r>
    </w:p>
    <w:p w14:paraId="4D7DC538" w14:textId="77777777" w:rsidR="009B58D7" w:rsidRPr="009B58D7" w:rsidRDefault="009B58D7" w:rsidP="00E452C3">
      <w:pPr>
        <w:spacing w:line="240" w:lineRule="auto"/>
        <w:jc w:val="both"/>
        <w:rPr>
          <w:rFonts w:ascii="Times New Roman" w:hAnsi="Times New Roman" w:cs="Times New Roman"/>
          <w:sz w:val="24"/>
          <w:szCs w:val="24"/>
        </w:rPr>
      </w:pPr>
      <w:r w:rsidRPr="009B58D7">
        <w:rPr>
          <w:rFonts w:ascii="Times New Roman" w:hAnsi="Times New Roman" w:cs="Times New Roman"/>
          <w:sz w:val="24"/>
          <w:szCs w:val="24"/>
        </w:rPr>
        <w:t>The educational profile of respondents indicates that most have attained tertiary education. Those with OND/NCE qualifications represent the largest group at 34.4%, followed by postgraduate degree holders at 31.8%, and HND/Bachelor’s degree holders at 28.4%. A smaller proportion, 5.4%, completed only secondary education, while no respondents had primary education. This distribution suggests a highly educated sample, with a strong representation of individuals possessing advanced qualifications.</w:t>
      </w:r>
    </w:p>
    <w:p w14:paraId="465321B2" w14:textId="7B714B76" w:rsidR="009B58D7"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The respondents’ work experience shows a diverse range of professional exposure. Those with 6–11 years of experience form the largest group at 29.2%, followed by 2–5 years at 27.3%, and over 1 year at 22.7%. Respondents with 12–17 years of experience account for 17.4%, while only 3.4% have more than 17 years of experience. This distribution indicates a mix of early-career, mid-career, and a few highly experienced individuals.</w:t>
      </w:r>
    </w:p>
    <w:p w14:paraId="0DAE0A45" w14:textId="77777777" w:rsidR="009B58D7" w:rsidRPr="00764B10" w:rsidRDefault="009B58D7" w:rsidP="00E452C3">
      <w:pPr>
        <w:spacing w:line="240" w:lineRule="auto"/>
        <w:rPr>
          <w:rFonts w:ascii="Times New Roman" w:hAnsi="Times New Roman" w:cs="Times New Roman"/>
          <w:sz w:val="24"/>
          <w:szCs w:val="24"/>
        </w:rPr>
      </w:pPr>
    </w:p>
    <w:p w14:paraId="7DA48C8E" w14:textId="2D8420AF" w:rsidR="00484C0C" w:rsidRPr="00484C0C" w:rsidRDefault="00AD62DB" w:rsidP="00E452C3">
      <w:pPr>
        <w:spacing w:line="240" w:lineRule="auto"/>
        <w:rPr>
          <w:rFonts w:ascii="Times New Roman" w:hAnsi="Times New Roman" w:cs="Times New Roman"/>
          <w:sz w:val="24"/>
          <w:szCs w:val="24"/>
        </w:rPr>
      </w:pPr>
      <w:r>
        <w:rPr>
          <w:rFonts w:ascii="Times New Roman" w:hAnsi="Times New Roman" w:cs="Times New Roman"/>
          <w:b/>
          <w:bCs/>
          <w:sz w:val="24"/>
          <w:szCs w:val="24"/>
        </w:rPr>
        <w:t>Table 2</w:t>
      </w:r>
      <w:r w:rsidR="00632B1F" w:rsidRPr="00764B10">
        <w:rPr>
          <w:rFonts w:ascii="Times New Roman" w:hAnsi="Times New Roman" w:cs="Times New Roman"/>
          <w:b/>
          <w:bCs/>
          <w:sz w:val="24"/>
          <w:szCs w:val="24"/>
        </w:rPr>
        <w:t>. Effect of w</w:t>
      </w:r>
      <w:r w:rsidR="005360B1" w:rsidRPr="00764B10">
        <w:rPr>
          <w:rFonts w:ascii="Times New Roman" w:hAnsi="Times New Roman" w:cs="Times New Roman"/>
          <w:b/>
          <w:bCs/>
          <w:sz w:val="24"/>
          <w:szCs w:val="24"/>
        </w:rPr>
        <w:t>aste management and recycling on community-based adaptation</w:t>
      </w:r>
    </w:p>
    <w:tbl>
      <w:tblPr>
        <w:tblStyle w:val="PlainTable2"/>
        <w:tblW w:w="5000" w:type="pct"/>
        <w:tblLook w:val="04A0" w:firstRow="1" w:lastRow="0" w:firstColumn="1" w:lastColumn="0" w:noHBand="0" w:noVBand="1"/>
      </w:tblPr>
      <w:tblGrid>
        <w:gridCol w:w="2890"/>
        <w:gridCol w:w="1580"/>
        <w:gridCol w:w="1730"/>
        <w:gridCol w:w="1732"/>
        <w:gridCol w:w="1428"/>
      </w:tblGrid>
      <w:tr w:rsidR="00484C0C" w:rsidRPr="00484C0C" w14:paraId="788C55AE" w14:textId="77777777" w:rsidTr="00632B1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0CF7CA2" w14:textId="77777777" w:rsidR="00484C0C" w:rsidRPr="00484C0C" w:rsidRDefault="00484C0C" w:rsidP="00E452C3">
            <w:pPr>
              <w:spacing w:line="240" w:lineRule="auto"/>
              <w:rPr>
                <w:rFonts w:ascii="Times New Roman" w:hAnsi="Times New Roman" w:cs="Times New Roman"/>
                <w:sz w:val="24"/>
                <w:szCs w:val="24"/>
              </w:rPr>
            </w:pPr>
            <w:r w:rsidRPr="00484C0C">
              <w:rPr>
                <w:rFonts w:ascii="Times New Roman" w:hAnsi="Times New Roman" w:cs="Times New Roman"/>
                <w:sz w:val="24"/>
                <w:szCs w:val="24"/>
              </w:rPr>
              <w:t>Variable</w:t>
            </w:r>
          </w:p>
        </w:tc>
        <w:tc>
          <w:tcPr>
            <w:tcW w:w="844" w:type="pct"/>
          </w:tcPr>
          <w:p w14:paraId="62ED5706"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Coefficient</w:t>
            </w:r>
          </w:p>
        </w:tc>
        <w:tc>
          <w:tcPr>
            <w:tcW w:w="924" w:type="pct"/>
          </w:tcPr>
          <w:p w14:paraId="46306AE7"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Std. Error</w:t>
            </w:r>
          </w:p>
        </w:tc>
        <w:tc>
          <w:tcPr>
            <w:tcW w:w="925" w:type="pct"/>
          </w:tcPr>
          <w:p w14:paraId="4A820512"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t-Statistic</w:t>
            </w:r>
          </w:p>
        </w:tc>
        <w:tc>
          <w:tcPr>
            <w:tcW w:w="763" w:type="pct"/>
          </w:tcPr>
          <w:p w14:paraId="7909659E"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Prob.  </w:t>
            </w:r>
          </w:p>
        </w:tc>
      </w:tr>
      <w:tr w:rsidR="00484C0C" w:rsidRPr="00484C0C" w14:paraId="29692B68"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1098823"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C</w:t>
            </w:r>
          </w:p>
        </w:tc>
        <w:tc>
          <w:tcPr>
            <w:tcW w:w="844" w:type="pct"/>
          </w:tcPr>
          <w:p w14:paraId="15B8A2F3"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0.468022</w:t>
            </w:r>
          </w:p>
        </w:tc>
        <w:tc>
          <w:tcPr>
            <w:tcW w:w="924" w:type="pct"/>
          </w:tcPr>
          <w:p w14:paraId="674FFE0C"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0.071660</w:t>
            </w:r>
          </w:p>
        </w:tc>
        <w:tc>
          <w:tcPr>
            <w:tcW w:w="925" w:type="pct"/>
          </w:tcPr>
          <w:p w14:paraId="02D1EDED"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6.531098</w:t>
            </w:r>
          </w:p>
        </w:tc>
        <w:tc>
          <w:tcPr>
            <w:tcW w:w="763" w:type="pct"/>
          </w:tcPr>
          <w:p w14:paraId="4AA14F39"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w:t>
            </w:r>
          </w:p>
        </w:tc>
      </w:tr>
      <w:tr w:rsidR="00484C0C" w:rsidRPr="00484C0C" w14:paraId="21113A21"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2B2FC43"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WMR</w:t>
            </w:r>
          </w:p>
        </w:tc>
        <w:tc>
          <w:tcPr>
            <w:tcW w:w="844" w:type="pct"/>
          </w:tcPr>
          <w:p w14:paraId="67847B1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0.884061</w:t>
            </w:r>
          </w:p>
        </w:tc>
        <w:tc>
          <w:tcPr>
            <w:tcW w:w="924" w:type="pct"/>
          </w:tcPr>
          <w:p w14:paraId="6074138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0.018875</w:t>
            </w:r>
          </w:p>
        </w:tc>
        <w:tc>
          <w:tcPr>
            <w:tcW w:w="925" w:type="pct"/>
          </w:tcPr>
          <w:p w14:paraId="601CFB07"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46.83773</w:t>
            </w:r>
          </w:p>
        </w:tc>
        <w:tc>
          <w:tcPr>
            <w:tcW w:w="763" w:type="pct"/>
          </w:tcPr>
          <w:p w14:paraId="52D71A1A"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w:t>
            </w:r>
          </w:p>
        </w:tc>
      </w:tr>
      <w:tr w:rsidR="00484C0C" w:rsidRPr="00764B10" w14:paraId="4161EDBA"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9068735"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R-squared</w:t>
            </w:r>
          </w:p>
        </w:tc>
        <w:tc>
          <w:tcPr>
            <w:tcW w:w="844" w:type="pct"/>
          </w:tcPr>
          <w:p w14:paraId="0A7DE2C2"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0.851695</w:t>
            </w:r>
          </w:p>
        </w:tc>
        <w:tc>
          <w:tcPr>
            <w:tcW w:w="1849" w:type="pct"/>
            <w:gridSpan w:val="2"/>
          </w:tcPr>
          <w:p w14:paraId="1A70F28A"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Mean dependent var</w:t>
            </w:r>
          </w:p>
        </w:tc>
        <w:tc>
          <w:tcPr>
            <w:tcW w:w="763" w:type="pct"/>
          </w:tcPr>
          <w:p w14:paraId="1D0E1C57"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3.619792</w:t>
            </w:r>
          </w:p>
        </w:tc>
      </w:tr>
      <w:tr w:rsidR="00484C0C" w:rsidRPr="00764B10" w14:paraId="1B431887"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4E9D448"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Adjusted R-squared</w:t>
            </w:r>
          </w:p>
        </w:tc>
        <w:tc>
          <w:tcPr>
            <w:tcW w:w="844" w:type="pct"/>
          </w:tcPr>
          <w:p w14:paraId="7981B494"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0.851307</w:t>
            </w:r>
          </w:p>
        </w:tc>
        <w:tc>
          <w:tcPr>
            <w:tcW w:w="1849" w:type="pct"/>
            <w:gridSpan w:val="2"/>
          </w:tcPr>
          <w:p w14:paraId="7FF99D94"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S.D. dependent var</w:t>
            </w:r>
          </w:p>
        </w:tc>
        <w:tc>
          <w:tcPr>
            <w:tcW w:w="763" w:type="pct"/>
          </w:tcPr>
          <w:p w14:paraId="163C1D77"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1.252141</w:t>
            </w:r>
          </w:p>
        </w:tc>
      </w:tr>
      <w:tr w:rsidR="00484C0C" w:rsidRPr="00764B10" w14:paraId="032C20FB"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810B2A7"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S.E. of regression</w:t>
            </w:r>
          </w:p>
        </w:tc>
        <w:tc>
          <w:tcPr>
            <w:tcW w:w="844" w:type="pct"/>
          </w:tcPr>
          <w:p w14:paraId="33A2B90A"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0.482835</w:t>
            </w:r>
          </w:p>
        </w:tc>
        <w:tc>
          <w:tcPr>
            <w:tcW w:w="1849" w:type="pct"/>
            <w:gridSpan w:val="2"/>
          </w:tcPr>
          <w:p w14:paraId="04A17E97"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Akaike info criterion</w:t>
            </w:r>
          </w:p>
        </w:tc>
        <w:tc>
          <w:tcPr>
            <w:tcW w:w="763" w:type="pct"/>
          </w:tcPr>
          <w:p w14:paraId="15D40E0F"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1.386912</w:t>
            </w:r>
          </w:p>
        </w:tc>
      </w:tr>
      <w:tr w:rsidR="00484C0C" w:rsidRPr="00764B10" w14:paraId="0B0A9739"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EF9F441"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Sum squared resid</w:t>
            </w:r>
          </w:p>
        </w:tc>
        <w:tc>
          <w:tcPr>
            <w:tcW w:w="844" w:type="pct"/>
          </w:tcPr>
          <w:p w14:paraId="661C4EDC"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89.05561</w:t>
            </w:r>
          </w:p>
        </w:tc>
        <w:tc>
          <w:tcPr>
            <w:tcW w:w="1849" w:type="pct"/>
            <w:gridSpan w:val="2"/>
          </w:tcPr>
          <w:p w14:paraId="670A3851"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Schwarz criterion</w:t>
            </w:r>
          </w:p>
        </w:tc>
        <w:tc>
          <w:tcPr>
            <w:tcW w:w="763" w:type="pct"/>
          </w:tcPr>
          <w:p w14:paraId="686F25D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1.407488</w:t>
            </w:r>
          </w:p>
        </w:tc>
      </w:tr>
      <w:tr w:rsidR="00484C0C" w:rsidRPr="00764B10" w14:paraId="6D100BF4"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0582672"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Log likelihood</w:t>
            </w:r>
          </w:p>
        </w:tc>
        <w:tc>
          <w:tcPr>
            <w:tcW w:w="844" w:type="pct"/>
          </w:tcPr>
          <w:p w14:paraId="40C7BAD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-264.2871</w:t>
            </w:r>
          </w:p>
        </w:tc>
        <w:tc>
          <w:tcPr>
            <w:tcW w:w="1849" w:type="pct"/>
            <w:gridSpan w:val="2"/>
          </w:tcPr>
          <w:p w14:paraId="49583C6C"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Hannan-Quinn criter.</w:t>
            </w:r>
          </w:p>
        </w:tc>
        <w:tc>
          <w:tcPr>
            <w:tcW w:w="763" w:type="pct"/>
          </w:tcPr>
          <w:p w14:paraId="44F7AF62"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1.395074</w:t>
            </w:r>
          </w:p>
        </w:tc>
      </w:tr>
      <w:tr w:rsidR="00484C0C" w:rsidRPr="00764B10" w14:paraId="03A60BEA"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BA7892D"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F-statistic</w:t>
            </w:r>
          </w:p>
        </w:tc>
        <w:tc>
          <w:tcPr>
            <w:tcW w:w="844" w:type="pct"/>
          </w:tcPr>
          <w:p w14:paraId="05464EC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2193.773</w:t>
            </w:r>
          </w:p>
        </w:tc>
        <w:tc>
          <w:tcPr>
            <w:tcW w:w="1849" w:type="pct"/>
            <w:gridSpan w:val="2"/>
          </w:tcPr>
          <w:p w14:paraId="7549E4F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Durbin-Watson stat</w:t>
            </w:r>
          </w:p>
        </w:tc>
        <w:tc>
          <w:tcPr>
            <w:tcW w:w="763" w:type="pct"/>
          </w:tcPr>
          <w:p w14:paraId="7EAE66A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1.959107</w:t>
            </w:r>
          </w:p>
        </w:tc>
      </w:tr>
      <w:tr w:rsidR="00484C0C" w:rsidRPr="00484C0C" w14:paraId="5A011645"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423B64D"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Prob(F-statistic)</w:t>
            </w:r>
          </w:p>
        </w:tc>
        <w:tc>
          <w:tcPr>
            <w:tcW w:w="844" w:type="pct"/>
          </w:tcPr>
          <w:p w14:paraId="3915547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0.000000</w:t>
            </w:r>
          </w:p>
        </w:tc>
        <w:tc>
          <w:tcPr>
            <w:tcW w:w="924" w:type="pct"/>
          </w:tcPr>
          <w:p w14:paraId="0256C87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5" w:type="pct"/>
          </w:tcPr>
          <w:p w14:paraId="5655C956"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63" w:type="pct"/>
          </w:tcPr>
          <w:p w14:paraId="3419B9FE"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DD56177" w14:textId="6C80C68F" w:rsidR="005360B1" w:rsidRPr="00764B10" w:rsidRDefault="00484C0C"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lastRenderedPageBreak/>
        <w:br/>
      </w:r>
      <w:r w:rsidR="00AD62DB">
        <w:rPr>
          <w:rFonts w:ascii="Times New Roman" w:hAnsi="Times New Roman" w:cs="Times New Roman"/>
          <w:sz w:val="24"/>
          <w:szCs w:val="24"/>
        </w:rPr>
        <w:t>Table 2</w:t>
      </w:r>
      <w:r w:rsidR="00632B1F" w:rsidRPr="00764B10">
        <w:rPr>
          <w:rFonts w:ascii="Times New Roman" w:hAnsi="Times New Roman" w:cs="Times New Roman"/>
          <w:sz w:val="24"/>
          <w:szCs w:val="24"/>
        </w:rPr>
        <w:t xml:space="preserve"> </w:t>
      </w:r>
      <w:r w:rsidR="00FD6511" w:rsidRPr="00764B10">
        <w:rPr>
          <w:rFonts w:ascii="Times New Roman" w:hAnsi="Times New Roman" w:cs="Times New Roman"/>
          <w:sz w:val="24"/>
          <w:szCs w:val="24"/>
        </w:rPr>
        <w:t>indicates</w:t>
      </w:r>
      <w:r w:rsidR="00632B1F" w:rsidRPr="00764B10">
        <w:rPr>
          <w:rFonts w:ascii="Times New Roman" w:hAnsi="Times New Roman" w:cs="Times New Roman"/>
          <w:sz w:val="24"/>
          <w:szCs w:val="24"/>
        </w:rPr>
        <w:t xml:space="preserve"> that waste management and recycling (WMR) has a strong and statistically significant positive effect on community-based adaptation. The coefficient for WMR (0.8841) is both large and highly significant (p &lt; 0.001), showing that improvements in waste management practices substantially enhance community adaptive capacity. The model explains 85.2% of the variation in community-based adaptation (R² = 0.8517), demonstrating an excellent overall fit. The F-statistic is also highly significant (p &lt; 0.001), confirming that the model is robust. Additionally, the Durbin-Watson value (1.96) suggests no serious autocorrelation issues. Overall, the findings strongly support the conclusion that effective waste management and recycling are critical drivers of improved community resilience and adaptation.</w:t>
      </w:r>
    </w:p>
    <w:p w14:paraId="7371822C" w14:textId="0CFBFAE8" w:rsidR="009B58D7" w:rsidRPr="009B58D7" w:rsidRDefault="00AD62DB" w:rsidP="00E452C3">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3</w:t>
      </w:r>
      <w:r w:rsidR="00632B1F" w:rsidRPr="00764B10">
        <w:rPr>
          <w:rFonts w:ascii="Times New Roman" w:hAnsi="Times New Roman" w:cs="Times New Roman"/>
          <w:b/>
          <w:bCs/>
          <w:sz w:val="24"/>
          <w:szCs w:val="24"/>
        </w:rPr>
        <w:t>. Effect of r</w:t>
      </w:r>
      <w:r w:rsidR="005360B1" w:rsidRPr="00764B10">
        <w:rPr>
          <w:rFonts w:ascii="Times New Roman" w:hAnsi="Times New Roman" w:cs="Times New Roman"/>
          <w:b/>
          <w:bCs/>
          <w:sz w:val="24"/>
          <w:szCs w:val="24"/>
        </w:rPr>
        <w:t>esource efficiency on adaptive capacity of enterprises</w:t>
      </w:r>
    </w:p>
    <w:tbl>
      <w:tblPr>
        <w:tblStyle w:val="PlainTable2"/>
        <w:tblW w:w="5000" w:type="pct"/>
        <w:tblLook w:val="04A0" w:firstRow="1" w:lastRow="0" w:firstColumn="1" w:lastColumn="0" w:noHBand="0" w:noVBand="1"/>
      </w:tblPr>
      <w:tblGrid>
        <w:gridCol w:w="2890"/>
        <w:gridCol w:w="1580"/>
        <w:gridCol w:w="1730"/>
        <w:gridCol w:w="1732"/>
        <w:gridCol w:w="1428"/>
      </w:tblGrid>
      <w:tr w:rsidR="009B58D7" w:rsidRPr="009B58D7" w14:paraId="4B8B6F25" w14:textId="77777777" w:rsidTr="0014068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8B00778" w14:textId="77777777" w:rsidR="009B58D7" w:rsidRPr="009B58D7" w:rsidRDefault="009B58D7" w:rsidP="00E452C3">
            <w:pPr>
              <w:spacing w:line="240" w:lineRule="auto"/>
              <w:rPr>
                <w:rFonts w:ascii="Times New Roman" w:hAnsi="Times New Roman" w:cs="Times New Roman"/>
                <w:sz w:val="24"/>
                <w:szCs w:val="24"/>
              </w:rPr>
            </w:pPr>
            <w:r w:rsidRPr="009B58D7">
              <w:rPr>
                <w:rFonts w:ascii="Times New Roman" w:hAnsi="Times New Roman" w:cs="Times New Roman"/>
                <w:sz w:val="24"/>
                <w:szCs w:val="24"/>
              </w:rPr>
              <w:t>Variable</w:t>
            </w:r>
          </w:p>
        </w:tc>
        <w:tc>
          <w:tcPr>
            <w:tcW w:w="844" w:type="pct"/>
          </w:tcPr>
          <w:p w14:paraId="541B6741"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Coefficient</w:t>
            </w:r>
          </w:p>
        </w:tc>
        <w:tc>
          <w:tcPr>
            <w:tcW w:w="924" w:type="pct"/>
          </w:tcPr>
          <w:p w14:paraId="3A54FF3B"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Std. Error</w:t>
            </w:r>
          </w:p>
        </w:tc>
        <w:tc>
          <w:tcPr>
            <w:tcW w:w="925" w:type="pct"/>
          </w:tcPr>
          <w:p w14:paraId="69D0535F"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t-Statistic</w:t>
            </w:r>
          </w:p>
        </w:tc>
        <w:tc>
          <w:tcPr>
            <w:tcW w:w="763" w:type="pct"/>
          </w:tcPr>
          <w:p w14:paraId="781B54A6"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Prob.  </w:t>
            </w:r>
          </w:p>
        </w:tc>
      </w:tr>
      <w:tr w:rsidR="009B58D7" w:rsidRPr="009B58D7" w14:paraId="4233B473"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A7F56A5"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C</w:t>
            </w:r>
          </w:p>
        </w:tc>
        <w:tc>
          <w:tcPr>
            <w:tcW w:w="844" w:type="pct"/>
          </w:tcPr>
          <w:p w14:paraId="722BB647"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0.912981</w:t>
            </w:r>
          </w:p>
        </w:tc>
        <w:tc>
          <w:tcPr>
            <w:tcW w:w="924" w:type="pct"/>
          </w:tcPr>
          <w:p w14:paraId="11FCC6CB"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0.101933</w:t>
            </w:r>
          </w:p>
        </w:tc>
        <w:tc>
          <w:tcPr>
            <w:tcW w:w="925" w:type="pct"/>
          </w:tcPr>
          <w:p w14:paraId="29631D1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8.956667</w:t>
            </w:r>
          </w:p>
        </w:tc>
        <w:tc>
          <w:tcPr>
            <w:tcW w:w="763" w:type="pct"/>
          </w:tcPr>
          <w:p w14:paraId="5A6079F6"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w:t>
            </w:r>
          </w:p>
        </w:tc>
      </w:tr>
      <w:tr w:rsidR="009B58D7" w:rsidRPr="009B58D7" w14:paraId="353D7A6A"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49E70B3"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REE</w:t>
            </w:r>
          </w:p>
        </w:tc>
        <w:tc>
          <w:tcPr>
            <w:tcW w:w="844" w:type="pct"/>
          </w:tcPr>
          <w:p w14:paraId="5D566375"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0.781502</w:t>
            </w:r>
          </w:p>
        </w:tc>
        <w:tc>
          <w:tcPr>
            <w:tcW w:w="924" w:type="pct"/>
          </w:tcPr>
          <w:p w14:paraId="563276F0"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0.028597</w:t>
            </w:r>
          </w:p>
        </w:tc>
        <w:tc>
          <w:tcPr>
            <w:tcW w:w="925" w:type="pct"/>
          </w:tcPr>
          <w:p w14:paraId="6909C38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27.32843</w:t>
            </w:r>
          </w:p>
        </w:tc>
        <w:tc>
          <w:tcPr>
            <w:tcW w:w="763" w:type="pct"/>
          </w:tcPr>
          <w:p w14:paraId="36A00DC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w:t>
            </w:r>
          </w:p>
        </w:tc>
      </w:tr>
      <w:tr w:rsidR="009B58D7" w:rsidRPr="00764B10" w14:paraId="342E6F6A"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9B34E97"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R-squared</w:t>
            </w:r>
          </w:p>
        </w:tc>
        <w:tc>
          <w:tcPr>
            <w:tcW w:w="844" w:type="pct"/>
          </w:tcPr>
          <w:p w14:paraId="7EDAE1A0"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0.661601</w:t>
            </w:r>
          </w:p>
        </w:tc>
        <w:tc>
          <w:tcPr>
            <w:tcW w:w="1849" w:type="pct"/>
            <w:gridSpan w:val="2"/>
          </w:tcPr>
          <w:p w14:paraId="2E0EB11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Mean dependent var</w:t>
            </w:r>
          </w:p>
        </w:tc>
        <w:tc>
          <w:tcPr>
            <w:tcW w:w="763" w:type="pct"/>
          </w:tcPr>
          <w:p w14:paraId="07932CE8"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3.507813</w:t>
            </w:r>
          </w:p>
        </w:tc>
      </w:tr>
      <w:tr w:rsidR="009B58D7" w:rsidRPr="00764B10" w14:paraId="5ECCBD82"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474F2A5"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Adjusted R-squared</w:t>
            </w:r>
          </w:p>
        </w:tc>
        <w:tc>
          <w:tcPr>
            <w:tcW w:w="844" w:type="pct"/>
          </w:tcPr>
          <w:p w14:paraId="458DAC89"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0.660715</w:t>
            </w:r>
          </w:p>
        </w:tc>
        <w:tc>
          <w:tcPr>
            <w:tcW w:w="1849" w:type="pct"/>
            <w:gridSpan w:val="2"/>
          </w:tcPr>
          <w:p w14:paraId="6720E2B4"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S.D. dependent var</w:t>
            </w:r>
          </w:p>
        </w:tc>
        <w:tc>
          <w:tcPr>
            <w:tcW w:w="763" w:type="pct"/>
          </w:tcPr>
          <w:p w14:paraId="4056D8EC"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1.247427</w:t>
            </w:r>
          </w:p>
        </w:tc>
      </w:tr>
      <w:tr w:rsidR="009B58D7" w:rsidRPr="00764B10" w14:paraId="08368A89"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F8F1404"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S.E. of regression</w:t>
            </w:r>
          </w:p>
        </w:tc>
        <w:tc>
          <w:tcPr>
            <w:tcW w:w="844" w:type="pct"/>
          </w:tcPr>
          <w:p w14:paraId="5EFFDDF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0.726604</w:t>
            </w:r>
          </w:p>
        </w:tc>
        <w:tc>
          <w:tcPr>
            <w:tcW w:w="1849" w:type="pct"/>
            <w:gridSpan w:val="2"/>
          </w:tcPr>
          <w:p w14:paraId="18F2C743"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Akaike info criterion</w:t>
            </w:r>
          </w:p>
        </w:tc>
        <w:tc>
          <w:tcPr>
            <w:tcW w:w="763" w:type="pct"/>
          </w:tcPr>
          <w:p w14:paraId="23477A96"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2.204324</w:t>
            </w:r>
          </w:p>
        </w:tc>
      </w:tr>
      <w:tr w:rsidR="009B58D7" w:rsidRPr="00764B10" w14:paraId="2764DD3F"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F6D6C88"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Sum squared resid</w:t>
            </w:r>
          </w:p>
        </w:tc>
        <w:tc>
          <w:tcPr>
            <w:tcW w:w="844" w:type="pct"/>
          </w:tcPr>
          <w:p w14:paraId="13E9712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201.6782</w:t>
            </w:r>
          </w:p>
        </w:tc>
        <w:tc>
          <w:tcPr>
            <w:tcW w:w="1849" w:type="pct"/>
            <w:gridSpan w:val="2"/>
          </w:tcPr>
          <w:p w14:paraId="7DA7A80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Schwarz criterion</w:t>
            </w:r>
          </w:p>
        </w:tc>
        <w:tc>
          <w:tcPr>
            <w:tcW w:w="763" w:type="pct"/>
          </w:tcPr>
          <w:p w14:paraId="50AD676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2.224901</w:t>
            </w:r>
          </w:p>
        </w:tc>
      </w:tr>
      <w:tr w:rsidR="009B58D7" w:rsidRPr="00764B10" w14:paraId="12C496EC"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38872E8"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Log likelihood</w:t>
            </w:r>
          </w:p>
        </w:tc>
        <w:tc>
          <w:tcPr>
            <w:tcW w:w="844" w:type="pct"/>
          </w:tcPr>
          <w:p w14:paraId="04AD10E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-421.2303</w:t>
            </w:r>
          </w:p>
        </w:tc>
        <w:tc>
          <w:tcPr>
            <w:tcW w:w="1849" w:type="pct"/>
            <w:gridSpan w:val="2"/>
          </w:tcPr>
          <w:p w14:paraId="7E6DAFCD"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Hannan-Quinn criter.</w:t>
            </w:r>
          </w:p>
        </w:tc>
        <w:tc>
          <w:tcPr>
            <w:tcW w:w="763" w:type="pct"/>
          </w:tcPr>
          <w:p w14:paraId="4354441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2.212486</w:t>
            </w:r>
          </w:p>
        </w:tc>
      </w:tr>
      <w:tr w:rsidR="009B58D7" w:rsidRPr="00764B10" w14:paraId="0250141F"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ADEA58B"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F-statistic</w:t>
            </w:r>
          </w:p>
        </w:tc>
        <w:tc>
          <w:tcPr>
            <w:tcW w:w="844" w:type="pct"/>
          </w:tcPr>
          <w:p w14:paraId="6A8175BF"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746.8433</w:t>
            </w:r>
          </w:p>
        </w:tc>
        <w:tc>
          <w:tcPr>
            <w:tcW w:w="1849" w:type="pct"/>
            <w:gridSpan w:val="2"/>
          </w:tcPr>
          <w:p w14:paraId="038F1FB2"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Durbin-Watson stat</w:t>
            </w:r>
          </w:p>
        </w:tc>
        <w:tc>
          <w:tcPr>
            <w:tcW w:w="763" w:type="pct"/>
          </w:tcPr>
          <w:p w14:paraId="64A0A7B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1.523861</w:t>
            </w:r>
          </w:p>
        </w:tc>
      </w:tr>
      <w:tr w:rsidR="009B58D7" w:rsidRPr="009B58D7" w14:paraId="234E7EF4"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520928C"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Prob(F-statistic)</w:t>
            </w:r>
          </w:p>
        </w:tc>
        <w:tc>
          <w:tcPr>
            <w:tcW w:w="844" w:type="pct"/>
          </w:tcPr>
          <w:p w14:paraId="5DA2E1E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0.000000</w:t>
            </w:r>
          </w:p>
        </w:tc>
        <w:tc>
          <w:tcPr>
            <w:tcW w:w="924" w:type="pct"/>
          </w:tcPr>
          <w:p w14:paraId="4CC1FC2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5" w:type="pct"/>
          </w:tcPr>
          <w:p w14:paraId="48F2D003"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63" w:type="pct"/>
          </w:tcPr>
          <w:p w14:paraId="2622E240"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18B4FEA" w14:textId="007EFE69" w:rsidR="00632B1F" w:rsidRPr="00632B1F" w:rsidRDefault="00632B1F" w:rsidP="00E452C3">
      <w:pPr>
        <w:spacing w:line="240" w:lineRule="auto"/>
        <w:rPr>
          <w:rFonts w:ascii="Times New Roman" w:hAnsi="Times New Roman" w:cs="Times New Roman"/>
          <w:b/>
          <w:bCs/>
          <w:sz w:val="24"/>
          <w:szCs w:val="24"/>
        </w:rPr>
      </w:pPr>
    </w:p>
    <w:p w14:paraId="1885905D" w14:textId="0FEC668D" w:rsidR="00632B1F" w:rsidRPr="00632B1F" w:rsidRDefault="00AD62DB" w:rsidP="00E452C3">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632B1F" w:rsidRPr="00632B1F">
        <w:rPr>
          <w:rFonts w:ascii="Times New Roman" w:hAnsi="Times New Roman" w:cs="Times New Roman"/>
          <w:sz w:val="24"/>
          <w:szCs w:val="24"/>
        </w:rPr>
        <w:t xml:space="preserve"> </w:t>
      </w:r>
      <w:r w:rsidR="000E2821" w:rsidRPr="00632B1F">
        <w:rPr>
          <w:rFonts w:ascii="Times New Roman" w:hAnsi="Times New Roman" w:cs="Times New Roman"/>
          <w:sz w:val="24"/>
          <w:szCs w:val="24"/>
        </w:rPr>
        <w:t>shows</w:t>
      </w:r>
      <w:r w:rsidR="00632B1F" w:rsidRPr="00632B1F">
        <w:rPr>
          <w:rFonts w:ascii="Times New Roman" w:hAnsi="Times New Roman" w:cs="Times New Roman"/>
          <w:sz w:val="24"/>
          <w:szCs w:val="24"/>
        </w:rPr>
        <w:t xml:space="preserve"> that resource efficiency (REE) has a strong and statistically significant positive effect on the adaptive capacity of enterprises. The coefficient for REE (0.7815) is substantial and highly significant (p &lt; 0.001), indicating that improvements in resource-efficient practices meaningfully enhance an enterprise’s ability to adjust, respond, and thrive under changing conditions. The model explains 66.2% of the variation in adaptive capacity (R² = 0.6616), demonstrating a solid fit, while the highly significant F-statistic (p &lt; 0.001) confirms the overall robustness of the model. Although the Durbin-Watson value (1.52) suggests mild positive autocorrelation, it does not undermine the overall reliability of the findings. Overall, the results clearly indicate that adopting resource efficiency strategies plays a crucial role in strengthening enterprise adaptive capacity.</w:t>
      </w:r>
    </w:p>
    <w:p w14:paraId="38F1685A" w14:textId="15CE948D" w:rsidR="00632B1F" w:rsidRPr="00764B10" w:rsidRDefault="00935199"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Discussion</w:t>
      </w:r>
    </w:p>
    <w:p w14:paraId="016CBD12" w14:textId="06F278B8" w:rsidR="00935199" w:rsidRPr="00764B10" w:rsidRDefault="00935199"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F</w:t>
      </w:r>
      <w:r w:rsidRPr="00935199">
        <w:rPr>
          <w:rFonts w:ascii="Times New Roman" w:hAnsi="Times New Roman" w:cs="Times New Roman"/>
          <w:sz w:val="24"/>
          <w:szCs w:val="24"/>
        </w:rPr>
        <w:t xml:space="preserve">indings </w:t>
      </w:r>
      <w:r w:rsidRPr="00764B10">
        <w:rPr>
          <w:rFonts w:ascii="Times New Roman" w:hAnsi="Times New Roman" w:cs="Times New Roman"/>
          <w:sz w:val="24"/>
          <w:szCs w:val="24"/>
        </w:rPr>
        <w:t>show</w:t>
      </w:r>
      <w:r w:rsidRPr="00935199">
        <w:rPr>
          <w:rFonts w:ascii="Times New Roman" w:hAnsi="Times New Roman" w:cs="Times New Roman"/>
          <w:sz w:val="24"/>
          <w:szCs w:val="24"/>
        </w:rPr>
        <w:t xml:space="preserve"> that waste management and recycling (WMR) </w:t>
      </w:r>
      <w:r w:rsidRPr="00764B10">
        <w:rPr>
          <w:rFonts w:ascii="Times New Roman" w:hAnsi="Times New Roman" w:cs="Times New Roman"/>
          <w:sz w:val="24"/>
          <w:szCs w:val="24"/>
        </w:rPr>
        <w:t>have</w:t>
      </w:r>
      <w:r w:rsidRPr="00935199">
        <w:rPr>
          <w:rFonts w:ascii="Times New Roman" w:hAnsi="Times New Roman" w:cs="Times New Roman"/>
          <w:sz w:val="24"/>
          <w:szCs w:val="24"/>
        </w:rPr>
        <w:t xml:space="preserve"> a strong and statistically significant positive effect on community-based adaptation, suggesting that communities that integrate structured recycling systems and effective waste practices are better equipped to respond to environmental and socio-economic stresses. This </w:t>
      </w:r>
      <w:r w:rsidRPr="00764B10">
        <w:rPr>
          <w:rFonts w:ascii="Times New Roman" w:hAnsi="Times New Roman" w:cs="Times New Roman"/>
          <w:sz w:val="24"/>
          <w:szCs w:val="24"/>
        </w:rPr>
        <w:t>finding</w:t>
      </w:r>
      <w:r w:rsidRPr="00935199">
        <w:rPr>
          <w:rFonts w:ascii="Times New Roman" w:hAnsi="Times New Roman" w:cs="Times New Roman"/>
          <w:sz w:val="24"/>
          <w:szCs w:val="24"/>
        </w:rPr>
        <w:t xml:space="preserve"> aligns with previous studies showing that improved waste management strengthens local resilience by reducing environmental degradation, enhancing public health, and supporting sustainable livelihoods. For example, </w:t>
      </w:r>
      <w:r w:rsidR="00032D9F" w:rsidRPr="00764B10">
        <w:rPr>
          <w:rFonts w:ascii="Times New Roman" w:hAnsi="Times New Roman" w:cs="Times New Roman"/>
          <w:color w:val="222222"/>
          <w:sz w:val="24"/>
          <w:szCs w:val="24"/>
          <w:shd w:val="clear" w:color="auto" w:fill="FFFFFF"/>
        </w:rPr>
        <w:t>Kanade et al. (2024)</w:t>
      </w:r>
      <w:r w:rsidRPr="00935199">
        <w:rPr>
          <w:rFonts w:ascii="Times New Roman" w:hAnsi="Times New Roman" w:cs="Times New Roman"/>
          <w:sz w:val="24"/>
          <w:szCs w:val="24"/>
        </w:rPr>
        <w:t xml:space="preserve"> emphasized that community-level recycling initiatives reduce pollution and strengthen adaptive responses to climate risks. Similarly, </w:t>
      </w:r>
      <w:r w:rsidR="00032D9F" w:rsidRPr="00764B10">
        <w:rPr>
          <w:rFonts w:ascii="Times New Roman" w:hAnsi="Times New Roman" w:cs="Times New Roman"/>
          <w:color w:val="222222"/>
          <w:sz w:val="24"/>
          <w:szCs w:val="24"/>
          <w:shd w:val="clear" w:color="auto" w:fill="FFFFFF"/>
        </w:rPr>
        <w:t>Knickmeyer</w:t>
      </w:r>
      <w:r w:rsidRPr="00935199">
        <w:rPr>
          <w:rFonts w:ascii="Times New Roman" w:hAnsi="Times New Roman" w:cs="Times New Roman"/>
          <w:sz w:val="24"/>
          <w:szCs w:val="24"/>
        </w:rPr>
        <w:t xml:space="preserve"> (2020) found that recycling systems create circular resource flows that stabilize local economies during periods of environmental uncertainty. Studies in developing contexts also confirm this relationship; </w:t>
      </w:r>
      <w:r w:rsidR="004641A1" w:rsidRPr="00764B10">
        <w:rPr>
          <w:rFonts w:ascii="Times New Roman" w:hAnsi="Times New Roman" w:cs="Times New Roman"/>
          <w:color w:val="222222"/>
          <w:sz w:val="24"/>
          <w:szCs w:val="24"/>
          <w:shd w:val="clear" w:color="auto" w:fill="FFFFFF"/>
        </w:rPr>
        <w:t xml:space="preserve">He et al. </w:t>
      </w:r>
      <w:r w:rsidR="004641A1" w:rsidRPr="00764B10">
        <w:rPr>
          <w:rFonts w:ascii="Times New Roman" w:hAnsi="Times New Roman" w:cs="Times New Roman"/>
          <w:color w:val="222222"/>
          <w:sz w:val="24"/>
          <w:szCs w:val="24"/>
          <w:shd w:val="clear" w:color="auto" w:fill="FFFFFF"/>
        </w:rPr>
        <w:lastRenderedPageBreak/>
        <w:t>(2024)</w:t>
      </w:r>
      <w:r w:rsidRPr="00935199">
        <w:rPr>
          <w:rFonts w:ascii="Times New Roman" w:hAnsi="Times New Roman" w:cs="Times New Roman"/>
          <w:sz w:val="24"/>
          <w:szCs w:val="24"/>
        </w:rPr>
        <w:t xml:space="preserve"> reported that community-led waste management programs in African cities significantly improve coping mechanisms during climate-related disruptions.</w:t>
      </w:r>
      <w:r w:rsidRPr="00764B10">
        <w:rPr>
          <w:rFonts w:ascii="Times New Roman" w:hAnsi="Times New Roman" w:cs="Times New Roman"/>
          <w:sz w:val="24"/>
          <w:szCs w:val="24"/>
        </w:rPr>
        <w:t xml:space="preserve"> </w:t>
      </w:r>
      <w:r w:rsidRPr="00935199">
        <w:rPr>
          <w:rFonts w:ascii="Times New Roman" w:hAnsi="Times New Roman" w:cs="Times New Roman"/>
          <w:sz w:val="24"/>
          <w:szCs w:val="24"/>
        </w:rPr>
        <w:t xml:space="preserve">The positive effect found in this study further supports the argument by </w:t>
      </w:r>
      <w:proofErr w:type="spellStart"/>
      <w:r w:rsidR="004E78D4" w:rsidRPr="00764B10">
        <w:rPr>
          <w:rFonts w:ascii="Times New Roman" w:hAnsi="Times New Roman" w:cs="Times New Roman"/>
          <w:color w:val="222222"/>
          <w:sz w:val="24"/>
          <w:szCs w:val="24"/>
          <w:shd w:val="clear" w:color="auto" w:fill="FFFFFF"/>
        </w:rPr>
        <w:t>Kattoua</w:t>
      </w:r>
      <w:proofErr w:type="spellEnd"/>
      <w:r w:rsidR="004E78D4" w:rsidRPr="00764B10">
        <w:rPr>
          <w:rFonts w:ascii="Times New Roman" w:hAnsi="Times New Roman" w:cs="Times New Roman"/>
          <w:color w:val="222222"/>
          <w:sz w:val="24"/>
          <w:szCs w:val="24"/>
          <w:shd w:val="clear" w:color="auto" w:fill="FFFFFF"/>
        </w:rPr>
        <w:t xml:space="preserve"> et al. (2019)</w:t>
      </w:r>
      <w:r w:rsidRPr="00935199">
        <w:rPr>
          <w:rFonts w:ascii="Times New Roman" w:hAnsi="Times New Roman" w:cs="Times New Roman"/>
          <w:sz w:val="24"/>
          <w:szCs w:val="24"/>
        </w:rPr>
        <w:t xml:space="preserve"> that inclusive waste governance enhances community participation, which is a core determinant of adaptive capacity. Additionally, </w:t>
      </w:r>
      <w:r w:rsidR="004E78D4" w:rsidRPr="00764B10">
        <w:rPr>
          <w:rFonts w:ascii="Times New Roman" w:hAnsi="Times New Roman" w:cs="Times New Roman"/>
          <w:sz w:val="24"/>
          <w:szCs w:val="24"/>
        </w:rPr>
        <w:t xml:space="preserve">Kurniawan </w:t>
      </w:r>
      <w:r w:rsidRPr="00935199">
        <w:rPr>
          <w:rFonts w:ascii="Times New Roman" w:hAnsi="Times New Roman" w:cs="Times New Roman"/>
          <w:sz w:val="24"/>
          <w:szCs w:val="24"/>
        </w:rPr>
        <w:t>et al. (202</w:t>
      </w:r>
      <w:r w:rsidR="004E78D4" w:rsidRPr="00764B10">
        <w:rPr>
          <w:rFonts w:ascii="Times New Roman" w:hAnsi="Times New Roman" w:cs="Times New Roman"/>
          <w:sz w:val="24"/>
          <w:szCs w:val="24"/>
        </w:rPr>
        <w:t>3</w:t>
      </w:r>
      <w:r w:rsidRPr="00935199">
        <w:rPr>
          <w:rFonts w:ascii="Times New Roman" w:hAnsi="Times New Roman" w:cs="Times New Roman"/>
          <w:sz w:val="24"/>
          <w:szCs w:val="24"/>
        </w:rPr>
        <w:t xml:space="preserve">) demonstrated that recycling-led livelihood opportunities build social resilience by diversifying income streams and reducing vulnerability. </w:t>
      </w:r>
    </w:p>
    <w:p w14:paraId="23EB0236" w14:textId="7AB85C3D" w:rsidR="00935199" w:rsidRPr="00935199" w:rsidRDefault="00935199"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F</w:t>
      </w:r>
      <w:r w:rsidRPr="00935199">
        <w:rPr>
          <w:rFonts w:ascii="Times New Roman" w:hAnsi="Times New Roman" w:cs="Times New Roman"/>
          <w:sz w:val="24"/>
          <w:szCs w:val="24"/>
        </w:rPr>
        <w:t xml:space="preserve">inding </w:t>
      </w:r>
      <w:r w:rsidRPr="00764B10">
        <w:rPr>
          <w:rFonts w:ascii="Times New Roman" w:hAnsi="Times New Roman" w:cs="Times New Roman"/>
          <w:sz w:val="24"/>
          <w:szCs w:val="24"/>
        </w:rPr>
        <w:t xml:space="preserve">reveals </w:t>
      </w:r>
      <w:r w:rsidRPr="00935199">
        <w:rPr>
          <w:rFonts w:ascii="Times New Roman" w:hAnsi="Times New Roman" w:cs="Times New Roman"/>
          <w:sz w:val="24"/>
          <w:szCs w:val="24"/>
        </w:rPr>
        <w:t>that resource efficiency has a strong and statistically significant positive effect on the adaptive capacity of enterprises</w:t>
      </w:r>
      <w:r w:rsidRPr="00764B10">
        <w:rPr>
          <w:rFonts w:ascii="Times New Roman" w:hAnsi="Times New Roman" w:cs="Times New Roman"/>
          <w:sz w:val="24"/>
          <w:szCs w:val="24"/>
        </w:rPr>
        <w:t>. It demonstrates</w:t>
      </w:r>
      <w:r w:rsidRPr="00935199">
        <w:rPr>
          <w:rFonts w:ascii="Times New Roman" w:hAnsi="Times New Roman" w:cs="Times New Roman"/>
          <w:sz w:val="24"/>
          <w:szCs w:val="24"/>
        </w:rPr>
        <w:t xml:space="preserve"> that firms that conserve materials, reduce waste, and optimize production processes are better positioned to cope with environmental, economic, and operational uncertainties. This outcome aligns with past studies emphasizing that resource-efficient practices strengthen organizational resilience by lowering production costs, improving operational stability, and enhancing long-term sustainability. For instance, </w:t>
      </w:r>
      <w:r w:rsidR="00764B10" w:rsidRPr="00764B10">
        <w:rPr>
          <w:rFonts w:ascii="Times New Roman" w:hAnsi="Times New Roman" w:cs="Times New Roman"/>
          <w:color w:val="222222"/>
          <w:sz w:val="24"/>
          <w:szCs w:val="24"/>
          <w:shd w:val="clear" w:color="auto" w:fill="FFFFFF"/>
        </w:rPr>
        <w:t>Chaturvedi</w:t>
      </w:r>
      <w:r w:rsidRPr="00935199">
        <w:rPr>
          <w:rFonts w:ascii="Times New Roman" w:hAnsi="Times New Roman" w:cs="Times New Roman"/>
          <w:sz w:val="24"/>
          <w:szCs w:val="24"/>
        </w:rPr>
        <w:t xml:space="preserve"> et al. (202</w:t>
      </w:r>
      <w:r w:rsidR="00764B10" w:rsidRPr="00764B10">
        <w:rPr>
          <w:rFonts w:ascii="Times New Roman" w:hAnsi="Times New Roman" w:cs="Times New Roman"/>
          <w:sz w:val="24"/>
          <w:szCs w:val="24"/>
        </w:rPr>
        <w:t>3</w:t>
      </w:r>
      <w:r w:rsidRPr="00935199">
        <w:rPr>
          <w:rFonts w:ascii="Times New Roman" w:hAnsi="Times New Roman" w:cs="Times New Roman"/>
          <w:sz w:val="24"/>
          <w:szCs w:val="24"/>
        </w:rPr>
        <w:t>) showed that resource efficiency directly improves a firm’s adaptive capability by stabilizing inputs and reducing exposure to volatile resource markets. Similarly, Khan</w:t>
      </w:r>
      <w:r w:rsidRPr="00764B10">
        <w:rPr>
          <w:rFonts w:ascii="Times New Roman" w:hAnsi="Times New Roman" w:cs="Times New Roman"/>
          <w:sz w:val="24"/>
          <w:szCs w:val="24"/>
        </w:rPr>
        <w:t xml:space="preserve"> et al.</w:t>
      </w:r>
      <w:r w:rsidRPr="00935199">
        <w:rPr>
          <w:rFonts w:ascii="Times New Roman" w:hAnsi="Times New Roman" w:cs="Times New Roman"/>
          <w:sz w:val="24"/>
          <w:szCs w:val="24"/>
        </w:rPr>
        <w:t xml:space="preserve"> (2019) found that efficient resource use enhances financial performance and equips firms with the flexibility needed to adjust to changing market and regulatory conditions.</w:t>
      </w:r>
      <w:r w:rsidRPr="00764B10">
        <w:rPr>
          <w:rFonts w:ascii="Times New Roman" w:hAnsi="Times New Roman" w:cs="Times New Roman"/>
          <w:sz w:val="24"/>
          <w:szCs w:val="24"/>
        </w:rPr>
        <w:t xml:space="preserve"> </w:t>
      </w:r>
      <w:r w:rsidRPr="00935199">
        <w:rPr>
          <w:rFonts w:ascii="Times New Roman" w:hAnsi="Times New Roman" w:cs="Times New Roman"/>
          <w:sz w:val="24"/>
          <w:szCs w:val="24"/>
        </w:rPr>
        <w:t xml:space="preserve">Research in environmental management also supports this relationship; Suryadevara et al. (2021) demonstrated that enterprises adopting resource-efficient technologies experience improved responsiveness during disruptions. </w:t>
      </w:r>
    </w:p>
    <w:p w14:paraId="216B015D" w14:textId="77DB1822" w:rsidR="00935199" w:rsidRPr="00764B10" w:rsidRDefault="00935199"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Conclusion and Recommendations</w:t>
      </w:r>
    </w:p>
    <w:p w14:paraId="5E73A3DB" w14:textId="77777777" w:rsidR="0037192D" w:rsidRPr="0037192D" w:rsidRDefault="0037192D" w:rsidP="00E452C3">
      <w:pPr>
        <w:spacing w:line="240" w:lineRule="auto"/>
        <w:jc w:val="both"/>
        <w:rPr>
          <w:rFonts w:ascii="Times New Roman" w:hAnsi="Times New Roman" w:cs="Times New Roman"/>
          <w:sz w:val="24"/>
          <w:szCs w:val="24"/>
        </w:rPr>
      </w:pPr>
      <w:r w:rsidRPr="0037192D">
        <w:rPr>
          <w:rFonts w:ascii="Times New Roman" w:hAnsi="Times New Roman" w:cs="Times New Roman"/>
          <w:sz w:val="24"/>
          <w:szCs w:val="24"/>
        </w:rPr>
        <w:t>Green entrepreneurship plays a foundational role in advancing climate change adaptation, as it promotes innovation, environmental responsibility, and sustainable resource use across communities and enterprises. This study’s findings reinforce the importance of green entrepreneurial practices by showing that sustainability-oriented actions—such as waste management, recycling, and resource efficiency—significantly enhance adaptive capacity. First, the results revealed that waste management and recycling have a strong and statistically significant positive effect on community-based adaptation, demonstrating that communities that adopt recycling initiatives, waste reduction strategies, and environmental stewardship are better prepared to cope with climate-related shocks. Such practices reduce pollution, preserve local ecosystems, and strengthen community resilience pathways.</w:t>
      </w:r>
    </w:p>
    <w:p w14:paraId="233266F7" w14:textId="53C8DEE7" w:rsidR="00FD6511" w:rsidRPr="00764B10" w:rsidRDefault="0037192D" w:rsidP="00E452C3">
      <w:pPr>
        <w:spacing w:line="240" w:lineRule="auto"/>
        <w:jc w:val="both"/>
        <w:rPr>
          <w:rFonts w:ascii="Times New Roman" w:hAnsi="Times New Roman" w:cs="Times New Roman"/>
          <w:sz w:val="24"/>
          <w:szCs w:val="24"/>
        </w:rPr>
      </w:pPr>
      <w:r w:rsidRPr="0037192D">
        <w:rPr>
          <w:rFonts w:ascii="Times New Roman" w:hAnsi="Times New Roman" w:cs="Times New Roman"/>
          <w:sz w:val="24"/>
          <w:szCs w:val="24"/>
        </w:rPr>
        <w:t>Second, the study established that resource efficiency significantly improves the adaptive capacity of enterprises, confirming that businesses that minimize waste, optimize inputs, and adopt eco-efficient technologies are more resilient to environmental and economic fluctuations. This supports the principles of the Natural Resource-Based View (NRBV), which emphasizes that eco-innovation and sustainable resource use form the basis for long-term competitive advantage and organizational survival.</w:t>
      </w:r>
      <w:r w:rsidR="00FD6511" w:rsidRPr="00764B10">
        <w:rPr>
          <w:rFonts w:ascii="Times New Roman" w:hAnsi="Times New Roman" w:cs="Times New Roman"/>
          <w:sz w:val="24"/>
          <w:szCs w:val="24"/>
        </w:rPr>
        <w:t xml:space="preserve"> The study therefore</w:t>
      </w:r>
      <w:r w:rsidRPr="00764B10">
        <w:rPr>
          <w:rFonts w:ascii="Times New Roman" w:hAnsi="Times New Roman" w:cs="Times New Roman"/>
          <w:sz w:val="24"/>
          <w:szCs w:val="24"/>
        </w:rPr>
        <w:t xml:space="preserve"> recommended that</w:t>
      </w:r>
      <w:r w:rsidR="00FD6511" w:rsidRPr="00764B10">
        <w:rPr>
          <w:rFonts w:ascii="Times New Roman" w:hAnsi="Times New Roman" w:cs="Times New Roman"/>
          <w:sz w:val="24"/>
          <w:szCs w:val="24"/>
        </w:rPr>
        <w:t>:</w:t>
      </w:r>
      <w:r w:rsidRPr="00764B10">
        <w:rPr>
          <w:rFonts w:ascii="Times New Roman" w:hAnsi="Times New Roman" w:cs="Times New Roman"/>
          <w:sz w:val="24"/>
          <w:szCs w:val="24"/>
        </w:rPr>
        <w:t xml:space="preserve"> </w:t>
      </w:r>
    </w:p>
    <w:p w14:paraId="4F451D6A" w14:textId="77777777" w:rsidR="00FD6511" w:rsidRPr="00764B10" w:rsidRDefault="00FD6511" w:rsidP="00E452C3">
      <w:pPr>
        <w:pStyle w:val="ListParagraph"/>
        <w:numPr>
          <w:ilvl w:val="0"/>
          <w:numId w:val="21"/>
        </w:num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SMEs should</w:t>
      </w:r>
      <w:r w:rsidR="0037192D" w:rsidRPr="00764B10">
        <w:rPr>
          <w:rFonts w:ascii="Times New Roman" w:hAnsi="Times New Roman" w:cs="Times New Roman"/>
          <w:sz w:val="24"/>
          <w:szCs w:val="24"/>
        </w:rPr>
        <w:t xml:space="preserve"> invest in structured recycling programs, strengthen waste-segregation systems, and promote public awareness initiatives to enhance resilience against climate-related challenges.</w:t>
      </w:r>
    </w:p>
    <w:p w14:paraId="70297ECF" w14:textId="1CFAFBAA" w:rsidR="0037192D" w:rsidRDefault="00FD6511" w:rsidP="00E452C3">
      <w:pPr>
        <w:pStyle w:val="ListParagraph"/>
        <w:numPr>
          <w:ilvl w:val="0"/>
          <w:numId w:val="21"/>
        </w:num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SMEs should</w:t>
      </w:r>
      <w:r w:rsidR="0037192D" w:rsidRPr="00764B10">
        <w:rPr>
          <w:rFonts w:ascii="Times New Roman" w:hAnsi="Times New Roman" w:cs="Times New Roman"/>
          <w:sz w:val="24"/>
          <w:szCs w:val="24"/>
        </w:rPr>
        <w:t xml:space="preserve"> prioritize eco-efficient production processes, invest in technologies that reduce material and energy waste, and embed resource optimization strategies into their long-term sustainability plans to strengthen organizational resilience.</w:t>
      </w:r>
    </w:p>
    <w:p w14:paraId="63956E97" w14:textId="77777777" w:rsidR="00D41D91" w:rsidRPr="00D41D91" w:rsidRDefault="00D41D91" w:rsidP="00D41D91">
      <w:pPr>
        <w:spacing w:line="240" w:lineRule="auto"/>
        <w:jc w:val="both"/>
        <w:rPr>
          <w:rFonts w:ascii="Times New Roman" w:hAnsi="Times New Roman" w:cs="Times New Roman"/>
          <w:sz w:val="24"/>
          <w:szCs w:val="24"/>
        </w:rPr>
      </w:pPr>
    </w:p>
    <w:p w14:paraId="07E271AD" w14:textId="48BB6A63" w:rsidR="00E432E1" w:rsidRDefault="00E432E1" w:rsidP="00B9613D">
      <w:pPr>
        <w:pStyle w:val="ListParagraph"/>
        <w:rPr>
          <w:b/>
          <w:highlight w:val="yellow"/>
        </w:rPr>
      </w:pPr>
      <w:r w:rsidRPr="00B9613D">
        <w:rPr>
          <w:b/>
          <w:highlight w:val="yellow"/>
        </w:rPr>
        <w:t>Disclaimer (Artificial intelligence)</w:t>
      </w:r>
    </w:p>
    <w:p w14:paraId="58ED309B" w14:textId="77777777" w:rsidR="00207CF6" w:rsidRPr="00B9613D" w:rsidRDefault="00207CF6" w:rsidP="00B9613D">
      <w:pPr>
        <w:pStyle w:val="ListParagraph"/>
        <w:rPr>
          <w:b/>
          <w:highlight w:val="yellow"/>
        </w:rPr>
      </w:pPr>
      <w:bookmarkStart w:id="3" w:name="_GoBack"/>
      <w:bookmarkEnd w:id="3"/>
    </w:p>
    <w:p w14:paraId="152FB738" w14:textId="77777777" w:rsidR="00E432E1" w:rsidRPr="00E432E1" w:rsidRDefault="00E432E1" w:rsidP="00B9613D">
      <w:pPr>
        <w:pStyle w:val="ListParagraph"/>
        <w:rPr>
          <w:highlight w:val="yellow"/>
        </w:rPr>
      </w:pPr>
      <w:r w:rsidRPr="00E432E1">
        <w:rPr>
          <w:highlight w:val="yellow"/>
        </w:rPr>
        <w:t xml:space="preserve">Option 1: </w:t>
      </w:r>
    </w:p>
    <w:p w14:paraId="629489C0" w14:textId="77777777" w:rsidR="00E432E1" w:rsidRPr="00E432E1" w:rsidRDefault="00E432E1" w:rsidP="00B9613D">
      <w:pPr>
        <w:pStyle w:val="ListParagraph"/>
        <w:rPr>
          <w:highlight w:val="yellow"/>
        </w:rPr>
      </w:pPr>
      <w:r w:rsidRPr="00E432E1">
        <w:rPr>
          <w:highlight w:val="yellow"/>
        </w:rPr>
        <w:t xml:space="preserve">Author(s) hereby declare that NO generative AI technologies such as Large Language Models (ChatGPT, COPILOT, etc.) and text-to-image generators have been used during the writing or editing of this manuscript. </w:t>
      </w:r>
    </w:p>
    <w:p w14:paraId="7775839B" w14:textId="77777777" w:rsidR="00E432E1" w:rsidRPr="00E432E1" w:rsidRDefault="00E432E1" w:rsidP="00B9613D">
      <w:pPr>
        <w:pStyle w:val="ListParagraph"/>
        <w:rPr>
          <w:highlight w:val="yellow"/>
        </w:rPr>
      </w:pPr>
      <w:r w:rsidRPr="00E432E1">
        <w:rPr>
          <w:highlight w:val="yellow"/>
        </w:rPr>
        <w:t xml:space="preserve">Option 2: </w:t>
      </w:r>
    </w:p>
    <w:p w14:paraId="7246D0FC" w14:textId="77777777" w:rsidR="00E432E1" w:rsidRPr="00E432E1" w:rsidRDefault="00E432E1" w:rsidP="00B9613D">
      <w:pPr>
        <w:pStyle w:val="ListParagraph"/>
        <w:rPr>
          <w:highlight w:val="yellow"/>
        </w:rPr>
      </w:pPr>
      <w:r w:rsidRPr="00E432E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CC412B" w14:textId="77777777" w:rsidR="00E432E1" w:rsidRPr="00E432E1" w:rsidRDefault="00E432E1" w:rsidP="00B9613D">
      <w:pPr>
        <w:pStyle w:val="ListParagraph"/>
        <w:rPr>
          <w:highlight w:val="yellow"/>
        </w:rPr>
      </w:pPr>
      <w:r w:rsidRPr="00E432E1">
        <w:rPr>
          <w:highlight w:val="yellow"/>
        </w:rPr>
        <w:t>Details of the AI usage are given below:</w:t>
      </w:r>
    </w:p>
    <w:p w14:paraId="33ECDE92" w14:textId="77777777" w:rsidR="00E432E1" w:rsidRPr="00E432E1" w:rsidRDefault="00E432E1" w:rsidP="00B9613D">
      <w:pPr>
        <w:pStyle w:val="ListParagraph"/>
        <w:rPr>
          <w:highlight w:val="yellow"/>
        </w:rPr>
      </w:pPr>
      <w:r w:rsidRPr="00E432E1">
        <w:rPr>
          <w:highlight w:val="yellow"/>
        </w:rPr>
        <w:t>1.</w:t>
      </w:r>
    </w:p>
    <w:p w14:paraId="2123599D" w14:textId="77777777" w:rsidR="00E432E1" w:rsidRPr="00E432E1" w:rsidRDefault="00E432E1" w:rsidP="00B9613D">
      <w:pPr>
        <w:pStyle w:val="ListParagraph"/>
        <w:rPr>
          <w:highlight w:val="yellow"/>
        </w:rPr>
      </w:pPr>
      <w:r w:rsidRPr="00E432E1">
        <w:rPr>
          <w:highlight w:val="yellow"/>
        </w:rPr>
        <w:t>2.</w:t>
      </w:r>
    </w:p>
    <w:p w14:paraId="643195F4" w14:textId="77777777" w:rsidR="00E432E1" w:rsidRPr="00D047BB" w:rsidRDefault="00E432E1" w:rsidP="00B9613D">
      <w:pPr>
        <w:pStyle w:val="ListParagraph"/>
      </w:pPr>
      <w:r w:rsidRPr="00E432E1">
        <w:rPr>
          <w:highlight w:val="yellow"/>
        </w:rPr>
        <w:t>3.</w:t>
      </w:r>
    </w:p>
    <w:p w14:paraId="54838478" w14:textId="77777777" w:rsidR="00764B10" w:rsidRPr="00764B10" w:rsidRDefault="00764B10" w:rsidP="00E452C3">
      <w:pPr>
        <w:spacing w:line="240" w:lineRule="auto"/>
        <w:jc w:val="both"/>
        <w:rPr>
          <w:rFonts w:ascii="Times New Roman" w:hAnsi="Times New Roman" w:cs="Times New Roman"/>
          <w:sz w:val="24"/>
          <w:szCs w:val="24"/>
        </w:rPr>
      </w:pPr>
    </w:p>
    <w:p w14:paraId="64581CA5" w14:textId="74B0BA69" w:rsidR="00764B10" w:rsidRDefault="00764B10" w:rsidP="00E452C3">
      <w:pPr>
        <w:spacing w:line="240" w:lineRule="auto"/>
        <w:jc w:val="center"/>
        <w:rPr>
          <w:rFonts w:ascii="Times New Roman" w:hAnsi="Times New Roman" w:cs="Times New Roman"/>
          <w:b/>
          <w:bCs/>
          <w:sz w:val="24"/>
          <w:szCs w:val="24"/>
        </w:rPr>
      </w:pPr>
      <w:r w:rsidRPr="00764B10">
        <w:rPr>
          <w:rFonts w:ascii="Times New Roman" w:hAnsi="Times New Roman" w:cs="Times New Roman"/>
          <w:b/>
          <w:bCs/>
          <w:sz w:val="24"/>
          <w:szCs w:val="24"/>
        </w:rPr>
        <w:t>References</w:t>
      </w:r>
    </w:p>
    <w:p w14:paraId="3AEC4E0C" w14:textId="322FA525" w:rsidR="00567F09" w:rsidRDefault="00567F09" w:rsidP="00E452C3">
      <w:pPr>
        <w:spacing w:line="240" w:lineRule="auto"/>
        <w:jc w:val="center"/>
        <w:rPr>
          <w:rFonts w:ascii="Times New Roman" w:hAnsi="Times New Roman" w:cs="Times New Roman"/>
          <w:b/>
          <w:bCs/>
          <w:sz w:val="24"/>
          <w:szCs w:val="24"/>
        </w:rPr>
      </w:pPr>
    </w:p>
    <w:bookmarkEnd w:id="0"/>
    <w:p w14:paraId="7BB751F9"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sz w:val="24"/>
          <w:szCs w:val="24"/>
        </w:rPr>
        <w:t xml:space="preserve">Abubakar, I. R., </w:t>
      </w:r>
      <w:proofErr w:type="spellStart"/>
      <w:r w:rsidRPr="00567F09">
        <w:rPr>
          <w:rFonts w:ascii="Times New Roman" w:hAnsi="Times New Roman" w:cs="Times New Roman"/>
          <w:sz w:val="24"/>
          <w:szCs w:val="24"/>
        </w:rPr>
        <w:t>Maniruzzaman</w:t>
      </w:r>
      <w:proofErr w:type="spellEnd"/>
      <w:r w:rsidRPr="00567F09">
        <w:rPr>
          <w:rFonts w:ascii="Times New Roman" w:hAnsi="Times New Roman" w:cs="Times New Roman"/>
          <w:sz w:val="24"/>
          <w:szCs w:val="24"/>
        </w:rPr>
        <w:t xml:space="preserve">, K. M., </w:t>
      </w:r>
      <w:proofErr w:type="spellStart"/>
      <w:r w:rsidRPr="00567F09">
        <w:rPr>
          <w:rFonts w:ascii="Times New Roman" w:hAnsi="Times New Roman" w:cs="Times New Roman"/>
          <w:sz w:val="24"/>
          <w:szCs w:val="24"/>
        </w:rPr>
        <w:t>Dano</w:t>
      </w:r>
      <w:proofErr w:type="spellEnd"/>
      <w:r w:rsidRPr="00567F09">
        <w:rPr>
          <w:rFonts w:ascii="Times New Roman" w:hAnsi="Times New Roman" w:cs="Times New Roman"/>
          <w:sz w:val="24"/>
          <w:szCs w:val="24"/>
        </w:rPr>
        <w:t xml:space="preserve">, U. L., </w:t>
      </w:r>
      <w:proofErr w:type="spellStart"/>
      <w:r w:rsidRPr="00567F09">
        <w:rPr>
          <w:rFonts w:ascii="Times New Roman" w:hAnsi="Times New Roman" w:cs="Times New Roman"/>
          <w:sz w:val="24"/>
          <w:szCs w:val="24"/>
        </w:rPr>
        <w:t>AlShihri</w:t>
      </w:r>
      <w:proofErr w:type="spellEnd"/>
      <w:r w:rsidRPr="00567F09">
        <w:rPr>
          <w:rFonts w:ascii="Times New Roman" w:hAnsi="Times New Roman" w:cs="Times New Roman"/>
          <w:sz w:val="24"/>
          <w:szCs w:val="24"/>
        </w:rPr>
        <w:t xml:space="preserve">, F. S., </w:t>
      </w:r>
      <w:proofErr w:type="spellStart"/>
      <w:r w:rsidRPr="00567F09">
        <w:rPr>
          <w:rFonts w:ascii="Times New Roman" w:hAnsi="Times New Roman" w:cs="Times New Roman"/>
          <w:sz w:val="24"/>
          <w:szCs w:val="24"/>
        </w:rPr>
        <w:t>AlShammari</w:t>
      </w:r>
      <w:proofErr w:type="spellEnd"/>
      <w:r w:rsidRPr="00567F09">
        <w:rPr>
          <w:rFonts w:ascii="Times New Roman" w:hAnsi="Times New Roman" w:cs="Times New Roman"/>
          <w:sz w:val="24"/>
          <w:szCs w:val="24"/>
        </w:rPr>
        <w:t>, M. S., Ahmed, S. M. S., Al-</w:t>
      </w:r>
      <w:proofErr w:type="spellStart"/>
      <w:r w:rsidRPr="00567F09">
        <w:rPr>
          <w:rFonts w:ascii="Times New Roman" w:hAnsi="Times New Roman" w:cs="Times New Roman"/>
          <w:sz w:val="24"/>
          <w:szCs w:val="24"/>
        </w:rPr>
        <w:t>Gehlani</w:t>
      </w:r>
      <w:proofErr w:type="spellEnd"/>
      <w:r w:rsidRPr="00567F09">
        <w:rPr>
          <w:rFonts w:ascii="Times New Roman" w:hAnsi="Times New Roman" w:cs="Times New Roman"/>
          <w:sz w:val="24"/>
          <w:szCs w:val="24"/>
        </w:rPr>
        <w:t xml:space="preserve">, W. A. G., &amp; </w:t>
      </w:r>
      <w:proofErr w:type="spellStart"/>
      <w:r w:rsidRPr="00567F09">
        <w:rPr>
          <w:rFonts w:ascii="Times New Roman" w:hAnsi="Times New Roman" w:cs="Times New Roman"/>
          <w:sz w:val="24"/>
          <w:szCs w:val="24"/>
        </w:rPr>
        <w:t>Alrawaf</w:t>
      </w:r>
      <w:proofErr w:type="spellEnd"/>
      <w:r w:rsidRPr="00567F09">
        <w:rPr>
          <w:rFonts w:ascii="Times New Roman" w:hAnsi="Times New Roman" w:cs="Times New Roman"/>
          <w:sz w:val="24"/>
          <w:szCs w:val="24"/>
        </w:rPr>
        <w:t xml:space="preserve">, T. I. (2022). Environmental sustainability impacts of solid waste management practices in the Global South. </w:t>
      </w:r>
      <w:r w:rsidRPr="00567F09">
        <w:rPr>
          <w:rFonts w:ascii="Times New Roman" w:hAnsi="Times New Roman" w:cs="Times New Roman"/>
          <w:i/>
          <w:iCs/>
          <w:sz w:val="24"/>
          <w:szCs w:val="24"/>
        </w:rPr>
        <w:t>International Journal of Environmental Research and Public Health, 19</w:t>
      </w:r>
      <w:r w:rsidRPr="00567F09">
        <w:rPr>
          <w:rFonts w:ascii="Times New Roman" w:hAnsi="Times New Roman" w:cs="Times New Roman"/>
          <w:sz w:val="24"/>
          <w:szCs w:val="24"/>
        </w:rPr>
        <w:t xml:space="preserve">(19), 12717. </w:t>
      </w:r>
      <w:hyperlink r:id="rId7" w:history="1">
        <w:r w:rsidRPr="00567F09">
          <w:rPr>
            <w:rFonts w:ascii="Times New Roman" w:hAnsi="Times New Roman" w:cs="Times New Roman"/>
            <w:color w:val="0000FF"/>
            <w:sz w:val="24"/>
            <w:szCs w:val="24"/>
            <w:u w:val="single"/>
          </w:rPr>
          <w:t>https://doi.org/10.3390/ijerph191912717</w:t>
        </w:r>
      </w:hyperlink>
    </w:p>
    <w:p w14:paraId="42D0B139"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Agyabeng</w:t>
      </w:r>
      <w:proofErr w:type="spellEnd"/>
      <w:r w:rsidRPr="00567F09">
        <w:rPr>
          <w:rFonts w:ascii="Times New Roman" w:hAnsi="Times New Roman" w:cs="Times New Roman"/>
          <w:color w:val="222222"/>
          <w:sz w:val="24"/>
          <w:szCs w:val="24"/>
          <w:shd w:val="clear" w:color="auto" w:fill="FFFFFF"/>
        </w:rPr>
        <w:t xml:space="preserve">-Mensah, Y., </w:t>
      </w:r>
      <w:proofErr w:type="spellStart"/>
      <w:r w:rsidRPr="00567F09">
        <w:rPr>
          <w:rFonts w:ascii="Times New Roman" w:hAnsi="Times New Roman" w:cs="Times New Roman"/>
          <w:color w:val="222222"/>
          <w:sz w:val="24"/>
          <w:szCs w:val="24"/>
          <w:shd w:val="clear" w:color="auto" w:fill="FFFFFF"/>
        </w:rPr>
        <w:t>Afum</w:t>
      </w:r>
      <w:proofErr w:type="spellEnd"/>
      <w:r w:rsidRPr="00567F09">
        <w:rPr>
          <w:rFonts w:ascii="Times New Roman" w:hAnsi="Times New Roman" w:cs="Times New Roman"/>
          <w:color w:val="222222"/>
          <w:sz w:val="24"/>
          <w:szCs w:val="24"/>
          <w:shd w:val="clear" w:color="auto" w:fill="FFFFFF"/>
        </w:rPr>
        <w:t xml:space="preserve">, E., Acquah, I. S. K., </w:t>
      </w:r>
      <w:proofErr w:type="spellStart"/>
      <w:r w:rsidRPr="00567F09">
        <w:rPr>
          <w:rFonts w:ascii="Times New Roman" w:hAnsi="Times New Roman" w:cs="Times New Roman"/>
          <w:color w:val="222222"/>
          <w:sz w:val="24"/>
          <w:szCs w:val="24"/>
          <w:shd w:val="clear" w:color="auto" w:fill="FFFFFF"/>
        </w:rPr>
        <w:t>Dacosta</w:t>
      </w:r>
      <w:proofErr w:type="spellEnd"/>
      <w:r w:rsidRPr="00567F09">
        <w:rPr>
          <w:rFonts w:ascii="Times New Roman" w:hAnsi="Times New Roman" w:cs="Times New Roman"/>
          <w:color w:val="222222"/>
          <w:sz w:val="24"/>
          <w:szCs w:val="24"/>
          <w:shd w:val="clear" w:color="auto" w:fill="FFFFFF"/>
        </w:rPr>
        <w:t xml:space="preserve">, E., </w:t>
      </w:r>
      <w:proofErr w:type="spellStart"/>
      <w:r w:rsidRPr="00567F09">
        <w:rPr>
          <w:rFonts w:ascii="Times New Roman" w:hAnsi="Times New Roman" w:cs="Times New Roman"/>
          <w:color w:val="222222"/>
          <w:sz w:val="24"/>
          <w:szCs w:val="24"/>
          <w:shd w:val="clear" w:color="auto" w:fill="FFFFFF"/>
        </w:rPr>
        <w:t>Baah</w:t>
      </w:r>
      <w:proofErr w:type="spellEnd"/>
      <w:r w:rsidRPr="00567F09">
        <w:rPr>
          <w:rFonts w:ascii="Times New Roman" w:hAnsi="Times New Roman" w:cs="Times New Roman"/>
          <w:color w:val="222222"/>
          <w:sz w:val="24"/>
          <w:szCs w:val="24"/>
          <w:shd w:val="clear" w:color="auto" w:fill="FFFFFF"/>
        </w:rPr>
        <w:t xml:space="preserve">, C., &amp; </w:t>
      </w:r>
      <w:proofErr w:type="spellStart"/>
      <w:r w:rsidRPr="00567F09">
        <w:rPr>
          <w:rFonts w:ascii="Times New Roman" w:hAnsi="Times New Roman" w:cs="Times New Roman"/>
          <w:color w:val="222222"/>
          <w:sz w:val="24"/>
          <w:szCs w:val="24"/>
          <w:shd w:val="clear" w:color="auto" w:fill="FFFFFF"/>
        </w:rPr>
        <w:t>Ahenkorah</w:t>
      </w:r>
      <w:proofErr w:type="spellEnd"/>
      <w:r w:rsidRPr="00567F09">
        <w:rPr>
          <w:rFonts w:ascii="Times New Roman" w:hAnsi="Times New Roman" w:cs="Times New Roman"/>
          <w:color w:val="222222"/>
          <w:sz w:val="24"/>
          <w:szCs w:val="24"/>
          <w:shd w:val="clear" w:color="auto" w:fill="FFFFFF"/>
        </w:rPr>
        <w:t xml:space="preserve">, E. (2021). The role of green logistics management practices, supply chain traceability and logistics </w:t>
      </w:r>
      <w:proofErr w:type="spellStart"/>
      <w:r w:rsidRPr="00567F09">
        <w:rPr>
          <w:rFonts w:ascii="Times New Roman" w:hAnsi="Times New Roman" w:cs="Times New Roman"/>
          <w:color w:val="222222"/>
          <w:sz w:val="24"/>
          <w:szCs w:val="24"/>
          <w:shd w:val="clear" w:color="auto" w:fill="FFFFFF"/>
        </w:rPr>
        <w:t>ecocentricity</w:t>
      </w:r>
      <w:proofErr w:type="spellEnd"/>
      <w:r w:rsidRPr="00567F09">
        <w:rPr>
          <w:rFonts w:ascii="Times New Roman" w:hAnsi="Times New Roman" w:cs="Times New Roman"/>
          <w:color w:val="222222"/>
          <w:sz w:val="24"/>
          <w:szCs w:val="24"/>
          <w:shd w:val="clear" w:color="auto" w:fill="FFFFFF"/>
        </w:rPr>
        <w:t xml:space="preserve"> in sustainability performance. </w:t>
      </w:r>
      <w:r w:rsidRPr="00567F09">
        <w:rPr>
          <w:rFonts w:ascii="Times New Roman" w:hAnsi="Times New Roman" w:cs="Times New Roman"/>
          <w:i/>
          <w:iCs/>
          <w:color w:val="222222"/>
          <w:sz w:val="24"/>
          <w:szCs w:val="24"/>
          <w:shd w:val="clear" w:color="auto" w:fill="FFFFFF"/>
        </w:rPr>
        <w:t>The International Journal of Logistics Management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32</w:t>
      </w:r>
      <w:r w:rsidRPr="00567F09">
        <w:rPr>
          <w:rFonts w:ascii="Times New Roman" w:hAnsi="Times New Roman" w:cs="Times New Roman"/>
          <w:color w:val="222222"/>
          <w:sz w:val="24"/>
          <w:szCs w:val="24"/>
          <w:shd w:val="clear" w:color="auto" w:fill="FFFFFF"/>
        </w:rPr>
        <w:t xml:space="preserve">(2), 538-566. </w:t>
      </w:r>
      <w:hyperlink r:id="rId8" w:history="1">
        <w:r w:rsidRPr="00567F09">
          <w:rPr>
            <w:rFonts w:ascii="Times New Roman" w:hAnsi="Times New Roman" w:cs="Times New Roman"/>
            <w:color w:val="0000FF"/>
            <w:sz w:val="24"/>
            <w:szCs w:val="24"/>
            <w:u w:val="single"/>
            <w:shd w:val="clear" w:color="auto" w:fill="FFFFFF"/>
          </w:rPr>
          <w:t>https://doi.org/10.1108/IJLM-05-2020-0187</w:t>
        </w:r>
      </w:hyperlink>
    </w:p>
    <w:p w14:paraId="5B2BA39C"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lang w:val="fr-FR"/>
        </w:rPr>
        <w:t>Amui</w:t>
      </w:r>
      <w:proofErr w:type="spellEnd"/>
      <w:r w:rsidRPr="00567F09">
        <w:rPr>
          <w:rFonts w:ascii="Times New Roman" w:hAnsi="Times New Roman" w:cs="Times New Roman"/>
          <w:color w:val="222222"/>
          <w:sz w:val="24"/>
          <w:szCs w:val="24"/>
          <w:shd w:val="clear" w:color="auto" w:fill="FFFFFF"/>
          <w:lang w:val="fr-FR"/>
        </w:rPr>
        <w:t xml:space="preserve">, L. B. L., Jabbour, C. J. C., de Sousa Jabbour, A. B. L., &amp; </w:t>
      </w:r>
      <w:proofErr w:type="spellStart"/>
      <w:r w:rsidRPr="00567F09">
        <w:rPr>
          <w:rFonts w:ascii="Times New Roman" w:hAnsi="Times New Roman" w:cs="Times New Roman"/>
          <w:color w:val="222222"/>
          <w:sz w:val="24"/>
          <w:szCs w:val="24"/>
          <w:shd w:val="clear" w:color="auto" w:fill="FFFFFF"/>
          <w:lang w:val="fr-FR"/>
        </w:rPr>
        <w:t>Kannan</w:t>
      </w:r>
      <w:proofErr w:type="spellEnd"/>
      <w:r w:rsidRPr="00567F09">
        <w:rPr>
          <w:rFonts w:ascii="Times New Roman" w:hAnsi="Times New Roman" w:cs="Times New Roman"/>
          <w:color w:val="222222"/>
          <w:sz w:val="24"/>
          <w:szCs w:val="24"/>
          <w:shd w:val="clear" w:color="auto" w:fill="FFFFFF"/>
          <w:lang w:val="fr-FR"/>
        </w:rPr>
        <w:t xml:space="preserve">, D. (2017). </w:t>
      </w:r>
      <w:r w:rsidRPr="00567F09">
        <w:rPr>
          <w:rFonts w:ascii="Times New Roman" w:hAnsi="Times New Roman" w:cs="Times New Roman"/>
          <w:color w:val="222222"/>
          <w:sz w:val="24"/>
          <w:szCs w:val="24"/>
          <w:shd w:val="clear" w:color="auto" w:fill="FFFFFF"/>
        </w:rPr>
        <w:t>Sustainability as a dynamic organizational capability: a systematic review and a future agenda toward a sustainable transition. </w:t>
      </w:r>
      <w:r w:rsidRPr="00567F09">
        <w:rPr>
          <w:rFonts w:ascii="Times New Roman" w:hAnsi="Times New Roman" w:cs="Times New Roman"/>
          <w:i/>
          <w:iCs/>
          <w:color w:val="222222"/>
          <w:sz w:val="24"/>
          <w:szCs w:val="24"/>
          <w:shd w:val="clear" w:color="auto" w:fill="FFFFFF"/>
        </w:rPr>
        <w:t>Journal of cleaner production</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142</w:t>
      </w:r>
      <w:r w:rsidRPr="00567F09">
        <w:rPr>
          <w:rFonts w:ascii="Times New Roman" w:hAnsi="Times New Roman" w:cs="Times New Roman"/>
          <w:color w:val="222222"/>
          <w:sz w:val="24"/>
          <w:szCs w:val="24"/>
          <w:shd w:val="clear" w:color="auto" w:fill="FFFFFF"/>
        </w:rPr>
        <w:t xml:space="preserve">, 308-322. </w:t>
      </w:r>
      <w:hyperlink r:id="rId9" w:history="1">
        <w:r w:rsidRPr="00567F09">
          <w:rPr>
            <w:rFonts w:ascii="Times New Roman" w:hAnsi="Times New Roman" w:cs="Times New Roman"/>
            <w:color w:val="0000FF"/>
            <w:sz w:val="24"/>
            <w:szCs w:val="24"/>
            <w:u w:val="single"/>
            <w:shd w:val="clear" w:color="auto" w:fill="FFFFFF"/>
          </w:rPr>
          <w:t>https://doi.org/10.1016/j.jclepro.2016.07.103</w:t>
        </w:r>
      </w:hyperlink>
    </w:p>
    <w:p w14:paraId="34307196"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 xml:space="preserve">Bari, N., </w:t>
      </w:r>
      <w:proofErr w:type="spellStart"/>
      <w:r w:rsidRPr="00567F09">
        <w:rPr>
          <w:rFonts w:ascii="Times New Roman" w:hAnsi="Times New Roman" w:cs="Times New Roman"/>
          <w:color w:val="222222"/>
          <w:sz w:val="24"/>
          <w:szCs w:val="24"/>
          <w:shd w:val="clear" w:color="auto" w:fill="FFFFFF"/>
        </w:rPr>
        <w:t>Chimhundu</w:t>
      </w:r>
      <w:proofErr w:type="spellEnd"/>
      <w:r w:rsidRPr="00567F09">
        <w:rPr>
          <w:rFonts w:ascii="Times New Roman" w:hAnsi="Times New Roman" w:cs="Times New Roman"/>
          <w:color w:val="222222"/>
          <w:sz w:val="24"/>
          <w:szCs w:val="24"/>
          <w:shd w:val="clear" w:color="auto" w:fill="FFFFFF"/>
        </w:rPr>
        <w:t>, R., &amp; Chan, K. C. (2022). Dynamic capabilities to achieve corporate sustainability: a roadmap to sustained competitive advantage. </w:t>
      </w:r>
      <w:r w:rsidRPr="00567F09">
        <w:rPr>
          <w:rFonts w:ascii="Times New Roman" w:hAnsi="Times New Roman" w:cs="Times New Roman"/>
          <w:i/>
          <w:iCs/>
          <w:color w:val="222222"/>
          <w:sz w:val="24"/>
          <w:szCs w:val="24"/>
          <w:shd w:val="clear" w:color="auto" w:fill="FFFFFF"/>
        </w:rPr>
        <w:t>Sustainability</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14</w:t>
      </w:r>
      <w:r w:rsidRPr="00567F09">
        <w:rPr>
          <w:rFonts w:ascii="Times New Roman" w:hAnsi="Times New Roman" w:cs="Times New Roman"/>
          <w:color w:val="222222"/>
          <w:sz w:val="24"/>
          <w:szCs w:val="24"/>
          <w:shd w:val="clear" w:color="auto" w:fill="FFFFFF"/>
        </w:rPr>
        <w:t xml:space="preserve">(3), 1531. </w:t>
      </w:r>
      <w:hyperlink r:id="rId10" w:history="1">
        <w:r w:rsidRPr="00567F09">
          <w:rPr>
            <w:rFonts w:ascii="Times New Roman" w:hAnsi="Times New Roman" w:cs="Times New Roman"/>
            <w:color w:val="0000FF"/>
            <w:sz w:val="24"/>
            <w:szCs w:val="24"/>
            <w:u w:val="single"/>
            <w:shd w:val="clear" w:color="auto" w:fill="FFFFFF"/>
          </w:rPr>
          <w:t>https://doi.org/10.3390/su14031531</w:t>
        </w:r>
      </w:hyperlink>
      <w:r w:rsidRPr="00567F09">
        <w:rPr>
          <w:rFonts w:ascii="Times New Roman" w:hAnsi="Times New Roman" w:cs="Times New Roman"/>
          <w:color w:val="222222"/>
          <w:sz w:val="24"/>
          <w:szCs w:val="24"/>
          <w:shd w:val="clear" w:color="auto" w:fill="FFFFFF"/>
        </w:rPr>
        <w:t xml:space="preserve"> </w:t>
      </w:r>
    </w:p>
    <w:p w14:paraId="41826022"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 xml:space="preserve">Chaturvedi, R., </w:t>
      </w:r>
      <w:proofErr w:type="spellStart"/>
      <w:r w:rsidRPr="00567F09">
        <w:rPr>
          <w:rFonts w:ascii="Times New Roman" w:hAnsi="Times New Roman" w:cs="Times New Roman"/>
          <w:color w:val="222222"/>
          <w:sz w:val="24"/>
          <w:szCs w:val="24"/>
          <w:shd w:val="clear" w:color="auto" w:fill="FFFFFF"/>
        </w:rPr>
        <w:t>Darokar</w:t>
      </w:r>
      <w:proofErr w:type="spellEnd"/>
      <w:r w:rsidRPr="00567F09">
        <w:rPr>
          <w:rFonts w:ascii="Times New Roman" w:hAnsi="Times New Roman" w:cs="Times New Roman"/>
          <w:color w:val="222222"/>
          <w:sz w:val="24"/>
          <w:szCs w:val="24"/>
          <w:shd w:val="clear" w:color="auto" w:fill="FFFFFF"/>
        </w:rPr>
        <w:t xml:space="preserve">, H., Patil, P. P., Kumar, M., Sangeeta, K., </w:t>
      </w:r>
      <w:proofErr w:type="spellStart"/>
      <w:r w:rsidRPr="00567F09">
        <w:rPr>
          <w:rFonts w:ascii="Times New Roman" w:hAnsi="Times New Roman" w:cs="Times New Roman"/>
          <w:color w:val="222222"/>
          <w:sz w:val="24"/>
          <w:szCs w:val="24"/>
          <w:shd w:val="clear" w:color="auto" w:fill="FFFFFF"/>
        </w:rPr>
        <w:t>Aravinda</w:t>
      </w:r>
      <w:proofErr w:type="spellEnd"/>
      <w:r w:rsidRPr="00567F09">
        <w:rPr>
          <w:rFonts w:ascii="Times New Roman" w:hAnsi="Times New Roman" w:cs="Times New Roman"/>
          <w:color w:val="222222"/>
          <w:sz w:val="24"/>
          <w:szCs w:val="24"/>
          <w:shd w:val="clear" w:color="auto" w:fill="FFFFFF"/>
        </w:rPr>
        <w:t xml:space="preserve">, K., &amp; </w:t>
      </w:r>
      <w:proofErr w:type="spellStart"/>
      <w:r w:rsidRPr="00567F09">
        <w:rPr>
          <w:rFonts w:ascii="Times New Roman" w:hAnsi="Times New Roman" w:cs="Times New Roman"/>
          <w:color w:val="222222"/>
          <w:sz w:val="24"/>
          <w:szCs w:val="24"/>
          <w:shd w:val="clear" w:color="auto" w:fill="FFFFFF"/>
        </w:rPr>
        <w:t>Kadhim</w:t>
      </w:r>
      <w:proofErr w:type="spellEnd"/>
      <w:r w:rsidRPr="00567F09">
        <w:rPr>
          <w:rFonts w:ascii="Times New Roman" w:hAnsi="Times New Roman" w:cs="Times New Roman"/>
          <w:color w:val="222222"/>
          <w:sz w:val="24"/>
          <w:szCs w:val="24"/>
          <w:shd w:val="clear" w:color="auto" w:fill="FFFFFF"/>
        </w:rPr>
        <w:t>, A. A. (2023). Maximizing towards the Sustainability: Integrating Materials, Energy, and Resource Efficiency in revolutionizing Manufacturing Industry. In </w:t>
      </w:r>
      <w:r w:rsidRPr="00567F09">
        <w:rPr>
          <w:rFonts w:ascii="Times New Roman" w:hAnsi="Times New Roman" w:cs="Times New Roman"/>
          <w:i/>
          <w:iCs/>
          <w:color w:val="222222"/>
          <w:sz w:val="24"/>
          <w:szCs w:val="24"/>
          <w:shd w:val="clear" w:color="auto" w:fill="FFFFFF"/>
        </w:rPr>
        <w:t>E3S Web of Conferences</w:t>
      </w:r>
      <w:r w:rsidRPr="00567F09">
        <w:rPr>
          <w:rFonts w:ascii="Times New Roman" w:hAnsi="Times New Roman" w:cs="Times New Roman"/>
          <w:color w:val="222222"/>
          <w:sz w:val="24"/>
          <w:szCs w:val="24"/>
          <w:shd w:val="clear" w:color="auto" w:fill="FFFFFF"/>
        </w:rPr>
        <w:t> (Vol. 453, p. 01036). EDP Sciences.</w:t>
      </w:r>
      <w:r w:rsidRPr="00567F09">
        <w:t xml:space="preserve"> </w:t>
      </w:r>
      <w:hyperlink r:id="rId11" w:history="1">
        <w:r w:rsidRPr="00567F09">
          <w:rPr>
            <w:rFonts w:ascii="Times New Roman" w:hAnsi="Times New Roman" w:cs="Times New Roman"/>
            <w:color w:val="0000FF"/>
            <w:sz w:val="24"/>
            <w:szCs w:val="24"/>
            <w:u w:val="single"/>
            <w:shd w:val="clear" w:color="auto" w:fill="FFFFFF"/>
          </w:rPr>
          <w:t>https://doi.org/10.1051/e3sconf/202345301036</w:t>
        </w:r>
      </w:hyperlink>
      <w:r w:rsidRPr="00567F09">
        <w:rPr>
          <w:rFonts w:ascii="Times New Roman" w:hAnsi="Times New Roman" w:cs="Times New Roman"/>
          <w:color w:val="222222"/>
          <w:sz w:val="24"/>
          <w:szCs w:val="24"/>
          <w:shd w:val="clear" w:color="auto" w:fill="FFFFFF"/>
        </w:rPr>
        <w:t xml:space="preserve"> </w:t>
      </w:r>
    </w:p>
    <w:p w14:paraId="41AECD9F" w14:textId="77777777" w:rsidR="00567F09" w:rsidRPr="00567F09" w:rsidRDefault="00567F09" w:rsidP="00567F09">
      <w:pPr>
        <w:spacing w:before="288" w:after="0" w:line="240" w:lineRule="auto"/>
        <w:ind w:left="446" w:hanging="446"/>
        <w:jc w:val="both"/>
        <w:rPr>
          <w:rFonts w:ascii="Times New Roman" w:hAnsi="Times New Roman" w:cs="Times New Roman"/>
          <w:sz w:val="24"/>
          <w:szCs w:val="24"/>
        </w:rPr>
      </w:pPr>
      <w:r w:rsidRPr="00567F09">
        <w:rPr>
          <w:rFonts w:ascii="Times New Roman" w:hAnsi="Times New Roman" w:cs="Times New Roman"/>
          <w:sz w:val="24"/>
          <w:szCs w:val="24"/>
        </w:rPr>
        <w:lastRenderedPageBreak/>
        <w:t xml:space="preserve">Creswell, J. (2003). </w:t>
      </w:r>
      <w:r w:rsidRPr="00567F09">
        <w:rPr>
          <w:rFonts w:ascii="Times New Roman" w:hAnsi="Times New Roman" w:cs="Times New Roman"/>
          <w:i/>
          <w:sz w:val="24"/>
          <w:szCs w:val="24"/>
        </w:rPr>
        <w:t>Research Design: qualitative, quantitative and mixed methods approaches</w:t>
      </w:r>
      <w:r w:rsidRPr="00567F09">
        <w:rPr>
          <w:rFonts w:ascii="Times New Roman" w:hAnsi="Times New Roman" w:cs="Times New Roman"/>
          <w:sz w:val="24"/>
          <w:szCs w:val="24"/>
        </w:rPr>
        <w:t>, New York: Sage.</w:t>
      </w:r>
      <w:r w:rsidRPr="00567F09">
        <w:t xml:space="preserve"> </w:t>
      </w:r>
      <w:hyperlink r:id="rId12" w:history="1">
        <w:r w:rsidRPr="00567F09">
          <w:rPr>
            <w:rFonts w:ascii="Times New Roman" w:hAnsi="Times New Roman" w:cs="Times New Roman"/>
            <w:color w:val="0000FF"/>
            <w:sz w:val="24"/>
            <w:szCs w:val="24"/>
            <w:u w:val="single"/>
          </w:rPr>
          <w:t>https://vertexaisearch.cloud.google.com/grounding-api-redirect/AUZIYQGVwwe_X2h8Ao5inBwc3dN66YW6qsUBj-HZ2gTXc1kI8ZUFmIZOySDGcj78cOTTxCP4Z7bEgIt7coF8y8EfOehHknEQ6USVZh0zz6vXFnmnDVxFsgXVerILw95to4xLIYZA205aPN0Mk3kULTXUCA3ZAvghb2_Hm_otMIW-MfEYd2tV7vBNk70qeE_K28-4-rzYIM8yMtHOjqa6V90FNvy4fPJ6V90FNvy4fPJ6S0kyGIqsAeBhR0v_znQzYyuYuO21L-4mOQASZ88wTu5uEct4YKBq2WI68-dVCulbhowpSQcDJc7LPU8099UYJTr5y3xHZA</w:t>
        </w:r>
      </w:hyperlink>
      <w:r w:rsidRPr="00567F09">
        <w:rPr>
          <w:rFonts w:ascii="Times New Roman" w:hAnsi="Times New Roman" w:cs="Times New Roman"/>
          <w:sz w:val="24"/>
          <w:szCs w:val="24"/>
        </w:rPr>
        <w:t xml:space="preserve"> </w:t>
      </w:r>
    </w:p>
    <w:p w14:paraId="6A131B5C"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lang w:val="pt-BR"/>
        </w:rPr>
        <w:t xml:space="preserve">Dangelico, R. M., &amp; Vocalelli, D. (2017). </w:t>
      </w:r>
      <w:r w:rsidRPr="00567F09">
        <w:rPr>
          <w:rFonts w:ascii="Times New Roman" w:hAnsi="Times New Roman" w:cs="Times New Roman"/>
          <w:color w:val="222222"/>
          <w:sz w:val="24"/>
          <w:szCs w:val="24"/>
          <w:shd w:val="clear" w:color="auto" w:fill="FFFFFF"/>
        </w:rPr>
        <w:t>“Green Marketing”: An analysis of definitions, strategy steps, and tools through a systematic review of the literature. </w:t>
      </w:r>
      <w:r w:rsidRPr="00567F09">
        <w:rPr>
          <w:rFonts w:ascii="Times New Roman" w:hAnsi="Times New Roman" w:cs="Times New Roman"/>
          <w:i/>
          <w:iCs/>
          <w:color w:val="222222"/>
          <w:sz w:val="24"/>
          <w:szCs w:val="24"/>
          <w:shd w:val="clear" w:color="auto" w:fill="FFFFFF"/>
        </w:rPr>
        <w:t>Journal of Cleaner production</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165</w:t>
      </w:r>
      <w:r w:rsidRPr="00567F09">
        <w:rPr>
          <w:rFonts w:ascii="Times New Roman" w:hAnsi="Times New Roman" w:cs="Times New Roman"/>
          <w:color w:val="222222"/>
          <w:sz w:val="24"/>
          <w:szCs w:val="24"/>
          <w:shd w:val="clear" w:color="auto" w:fill="FFFFFF"/>
        </w:rPr>
        <w:t xml:space="preserve">, 1263-1279. </w:t>
      </w:r>
      <w:hyperlink r:id="rId13" w:history="1">
        <w:r w:rsidRPr="00567F09">
          <w:rPr>
            <w:rFonts w:ascii="Times New Roman" w:hAnsi="Times New Roman" w:cs="Times New Roman"/>
            <w:color w:val="0000FF"/>
            <w:sz w:val="24"/>
            <w:szCs w:val="24"/>
            <w:u w:val="single"/>
            <w:shd w:val="clear" w:color="auto" w:fill="FFFFFF"/>
          </w:rPr>
          <w:t>https://doi.org/10.1016/j.jclepro.2017.07.184</w:t>
        </w:r>
      </w:hyperlink>
    </w:p>
    <w:p w14:paraId="7A0D8703"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lang w:val="pt-BR"/>
        </w:rPr>
      </w:pPr>
      <w:proofErr w:type="spellStart"/>
      <w:r w:rsidRPr="00567F09">
        <w:rPr>
          <w:rFonts w:ascii="Times New Roman" w:hAnsi="Times New Roman" w:cs="Times New Roman"/>
          <w:sz w:val="24"/>
          <w:szCs w:val="24"/>
        </w:rPr>
        <w:t>Diemuodeke</w:t>
      </w:r>
      <w:proofErr w:type="spellEnd"/>
      <w:r w:rsidRPr="00567F09">
        <w:rPr>
          <w:rFonts w:ascii="Times New Roman" w:hAnsi="Times New Roman" w:cs="Times New Roman"/>
          <w:sz w:val="24"/>
          <w:szCs w:val="24"/>
        </w:rPr>
        <w:t xml:space="preserve">, E. O., &amp; Briggs, T. A. (2018). Policy pathways for renewable and sustainable energy </w:t>
      </w:r>
      <w:proofErr w:type="spellStart"/>
      <w:r w:rsidRPr="00567F09">
        <w:rPr>
          <w:rFonts w:ascii="Times New Roman" w:hAnsi="Times New Roman" w:cs="Times New Roman"/>
          <w:sz w:val="24"/>
          <w:szCs w:val="24"/>
        </w:rPr>
        <w:t>utilisation</w:t>
      </w:r>
      <w:proofErr w:type="spellEnd"/>
      <w:r w:rsidRPr="00567F09">
        <w:rPr>
          <w:rFonts w:ascii="Times New Roman" w:hAnsi="Times New Roman" w:cs="Times New Roman"/>
          <w:sz w:val="24"/>
          <w:szCs w:val="24"/>
        </w:rPr>
        <w:t xml:space="preserve"> in rural coastline communities in the Niger Delta zone of Nigeria. </w:t>
      </w:r>
      <w:r w:rsidRPr="00567F09">
        <w:rPr>
          <w:rFonts w:ascii="Times New Roman" w:hAnsi="Times New Roman" w:cs="Times New Roman"/>
          <w:i/>
          <w:iCs/>
          <w:sz w:val="24"/>
          <w:szCs w:val="24"/>
          <w:lang w:val="pt-BR"/>
        </w:rPr>
        <w:t>Energy Reports</w:t>
      </w:r>
      <w:r w:rsidRPr="00567F09">
        <w:rPr>
          <w:rFonts w:ascii="Times New Roman" w:hAnsi="Times New Roman" w:cs="Times New Roman"/>
          <w:sz w:val="24"/>
          <w:szCs w:val="24"/>
          <w:lang w:val="pt-BR"/>
        </w:rPr>
        <w:t xml:space="preserve">, 4, 638-644. </w:t>
      </w:r>
      <w:hyperlink r:id="rId14" w:history="1">
        <w:r w:rsidRPr="00567F09">
          <w:rPr>
            <w:rFonts w:ascii="Times New Roman" w:hAnsi="Times New Roman" w:cs="Times New Roman"/>
            <w:color w:val="0000FF"/>
            <w:sz w:val="24"/>
            <w:szCs w:val="24"/>
            <w:u w:val="single"/>
            <w:lang w:val="pt-BR"/>
          </w:rPr>
          <w:t>https://doi.org/10.1016/j.egyr.2018.10.004</w:t>
        </w:r>
      </w:hyperlink>
    </w:p>
    <w:p w14:paraId="74018230"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r w:rsidRPr="00567F09">
        <w:rPr>
          <w:rFonts w:ascii="Times New Roman" w:hAnsi="Times New Roman" w:cs="Times New Roman"/>
          <w:sz w:val="24"/>
          <w:szCs w:val="24"/>
          <w:lang w:val="pt-BR"/>
        </w:rPr>
        <w:t xml:space="preserve">Durán-Romero, G., López, A. M., Beliaeva, T., Ferasso, M., Garonne, C., &amp; Jones, P. (2020). </w:t>
      </w:r>
      <w:r w:rsidRPr="00567F09">
        <w:rPr>
          <w:rFonts w:ascii="Times New Roman" w:hAnsi="Times New Roman" w:cs="Times New Roman"/>
          <w:sz w:val="24"/>
          <w:szCs w:val="24"/>
        </w:rPr>
        <w:t xml:space="preserve">Bridging the gap between circular economy and climate change mitigation policies through eco-innovations and the Quintuple Helix Model. </w:t>
      </w:r>
      <w:r w:rsidRPr="00567F09">
        <w:rPr>
          <w:rFonts w:ascii="Times New Roman" w:hAnsi="Times New Roman" w:cs="Times New Roman"/>
          <w:i/>
          <w:iCs/>
          <w:sz w:val="24"/>
          <w:szCs w:val="24"/>
        </w:rPr>
        <w:t>Technological Forecasting and Social Change, 160</w:t>
      </w:r>
      <w:r w:rsidRPr="00567F09">
        <w:rPr>
          <w:rFonts w:ascii="Times New Roman" w:hAnsi="Times New Roman" w:cs="Times New Roman"/>
          <w:sz w:val="24"/>
          <w:szCs w:val="24"/>
        </w:rPr>
        <w:t xml:space="preserve">, 120246. </w:t>
      </w:r>
      <w:hyperlink r:id="rId15" w:history="1">
        <w:r w:rsidRPr="00567F09">
          <w:rPr>
            <w:rFonts w:ascii="Times New Roman" w:hAnsi="Times New Roman" w:cs="Times New Roman"/>
            <w:color w:val="0000FF"/>
            <w:sz w:val="24"/>
            <w:szCs w:val="24"/>
            <w:u w:val="single"/>
          </w:rPr>
          <w:t>https://doi.org/10.1016/j.techfore.2020.120246</w:t>
        </w:r>
      </w:hyperlink>
    </w:p>
    <w:p w14:paraId="78EC4E44"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lang w:val="pt-BR"/>
        </w:rPr>
        <w:t xml:space="preserve">Fernández-Miguel, A., Riccardi, M. P., Veglio, V., García-Muiña, F. E., Fernández del Hoyo, A. P., &amp; Settembre-Blundo, D. (2022). </w:t>
      </w:r>
      <w:r w:rsidRPr="00567F09">
        <w:rPr>
          <w:rFonts w:ascii="Times New Roman" w:hAnsi="Times New Roman" w:cs="Times New Roman"/>
          <w:color w:val="222222"/>
          <w:sz w:val="24"/>
          <w:szCs w:val="24"/>
          <w:shd w:val="clear" w:color="auto" w:fill="FFFFFF"/>
        </w:rPr>
        <w:t>Disruption in resource-intensive supply chains: reshoring and nearshoring as strategies to enable them to become more resilient and sustainable. </w:t>
      </w:r>
      <w:r w:rsidRPr="00567F09">
        <w:rPr>
          <w:rFonts w:ascii="Times New Roman" w:hAnsi="Times New Roman" w:cs="Times New Roman"/>
          <w:i/>
          <w:iCs/>
          <w:color w:val="222222"/>
          <w:sz w:val="24"/>
          <w:szCs w:val="24"/>
          <w:shd w:val="clear" w:color="auto" w:fill="FFFFFF"/>
        </w:rPr>
        <w:t>Sustainability</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14</w:t>
      </w:r>
      <w:r w:rsidRPr="00567F09">
        <w:rPr>
          <w:rFonts w:ascii="Times New Roman" w:hAnsi="Times New Roman" w:cs="Times New Roman"/>
          <w:color w:val="222222"/>
          <w:sz w:val="24"/>
          <w:szCs w:val="24"/>
          <w:shd w:val="clear" w:color="auto" w:fill="FFFFFF"/>
        </w:rPr>
        <w:t xml:space="preserve">(17), 10909. </w:t>
      </w:r>
      <w:hyperlink r:id="rId16" w:history="1">
        <w:r w:rsidRPr="00567F09">
          <w:rPr>
            <w:rFonts w:ascii="Times New Roman" w:hAnsi="Times New Roman" w:cs="Times New Roman"/>
            <w:color w:val="0000FF"/>
            <w:sz w:val="24"/>
            <w:szCs w:val="24"/>
            <w:u w:val="single"/>
            <w:shd w:val="clear" w:color="auto" w:fill="FFFFFF"/>
          </w:rPr>
          <w:t>https://doi.org/10.3390/su141710909</w:t>
        </w:r>
      </w:hyperlink>
      <w:r w:rsidRPr="00567F09">
        <w:rPr>
          <w:rFonts w:ascii="Times New Roman" w:hAnsi="Times New Roman" w:cs="Times New Roman"/>
          <w:color w:val="222222"/>
          <w:sz w:val="24"/>
          <w:szCs w:val="24"/>
          <w:shd w:val="clear" w:color="auto" w:fill="FFFFFF"/>
        </w:rPr>
        <w:t xml:space="preserve"> </w:t>
      </w:r>
    </w:p>
    <w:p w14:paraId="1C837706"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sz w:val="24"/>
          <w:szCs w:val="24"/>
        </w:rPr>
        <w:t xml:space="preserve">Hart, S. L. (1995). A natural-resource-based view of the firm. </w:t>
      </w:r>
      <w:r w:rsidRPr="00567F09">
        <w:rPr>
          <w:rFonts w:ascii="Times New Roman" w:hAnsi="Times New Roman" w:cs="Times New Roman"/>
          <w:i/>
          <w:iCs/>
          <w:sz w:val="24"/>
          <w:szCs w:val="24"/>
        </w:rPr>
        <w:t xml:space="preserve"> Academy of management review 20 </w:t>
      </w:r>
      <w:r w:rsidRPr="00567F09">
        <w:rPr>
          <w:rFonts w:ascii="Times New Roman" w:hAnsi="Times New Roman" w:cs="Times New Roman"/>
          <w:sz w:val="24"/>
          <w:szCs w:val="24"/>
        </w:rPr>
        <w:t>(4), 9861014.</w:t>
      </w:r>
      <w:r w:rsidRPr="00567F09">
        <w:t xml:space="preserve"> </w:t>
      </w:r>
      <w:hyperlink r:id="rId17" w:history="1">
        <w:r w:rsidRPr="00567F09">
          <w:rPr>
            <w:rFonts w:ascii="Times New Roman" w:hAnsi="Times New Roman" w:cs="Times New Roman"/>
            <w:color w:val="0000FF"/>
            <w:sz w:val="24"/>
            <w:szCs w:val="24"/>
            <w:u w:val="single"/>
          </w:rPr>
          <w:t>https://doi.org/10.5465/amr.1995.9512280033</w:t>
        </w:r>
      </w:hyperlink>
      <w:r w:rsidRPr="00567F09">
        <w:rPr>
          <w:rFonts w:ascii="Times New Roman" w:hAnsi="Times New Roman" w:cs="Times New Roman"/>
          <w:sz w:val="24"/>
          <w:szCs w:val="24"/>
        </w:rPr>
        <w:t xml:space="preserve"> </w:t>
      </w:r>
    </w:p>
    <w:p w14:paraId="7A79DF71"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sz w:val="24"/>
          <w:szCs w:val="24"/>
          <w:lang w:val="fr-FR"/>
        </w:rPr>
        <w:t xml:space="preserve">Hart, S. L., &amp; </w:t>
      </w:r>
      <w:proofErr w:type="spellStart"/>
      <w:r w:rsidRPr="00567F09">
        <w:rPr>
          <w:rFonts w:ascii="Times New Roman" w:hAnsi="Times New Roman" w:cs="Times New Roman"/>
          <w:sz w:val="24"/>
          <w:szCs w:val="24"/>
          <w:lang w:val="fr-FR"/>
        </w:rPr>
        <w:t>Milstein</w:t>
      </w:r>
      <w:proofErr w:type="spellEnd"/>
      <w:r w:rsidRPr="00567F09">
        <w:rPr>
          <w:rFonts w:ascii="Times New Roman" w:hAnsi="Times New Roman" w:cs="Times New Roman"/>
          <w:sz w:val="24"/>
          <w:szCs w:val="24"/>
          <w:lang w:val="fr-FR"/>
        </w:rPr>
        <w:t xml:space="preserve">, M. B. (2003). </w:t>
      </w:r>
      <w:r w:rsidRPr="00567F09">
        <w:rPr>
          <w:rFonts w:ascii="Times New Roman" w:hAnsi="Times New Roman" w:cs="Times New Roman"/>
          <w:sz w:val="24"/>
          <w:szCs w:val="24"/>
        </w:rPr>
        <w:t xml:space="preserve">Creating sustainable value. </w:t>
      </w:r>
      <w:r w:rsidRPr="00567F09">
        <w:rPr>
          <w:rFonts w:ascii="Times New Roman" w:hAnsi="Times New Roman" w:cs="Times New Roman"/>
          <w:i/>
          <w:iCs/>
          <w:sz w:val="24"/>
          <w:szCs w:val="24"/>
        </w:rPr>
        <w:t xml:space="preserve"> The Academy of Management Executive 17 </w:t>
      </w:r>
      <w:r w:rsidRPr="00567F09">
        <w:rPr>
          <w:rFonts w:ascii="Times New Roman" w:hAnsi="Times New Roman" w:cs="Times New Roman"/>
          <w:sz w:val="24"/>
          <w:szCs w:val="24"/>
        </w:rPr>
        <w:t>(2), 56-67.</w:t>
      </w:r>
      <w:r w:rsidRPr="00567F09">
        <w:t xml:space="preserve"> </w:t>
      </w:r>
      <w:hyperlink r:id="rId18" w:history="1">
        <w:r w:rsidRPr="00567F09">
          <w:rPr>
            <w:rFonts w:ascii="Times New Roman" w:hAnsi="Times New Roman" w:cs="Times New Roman"/>
            <w:color w:val="0000FF"/>
            <w:sz w:val="24"/>
            <w:szCs w:val="24"/>
            <w:u w:val="single"/>
          </w:rPr>
          <w:t>https://doi.org/10.5465/AME.2003.10025194</w:t>
        </w:r>
      </w:hyperlink>
      <w:r w:rsidRPr="00567F09">
        <w:rPr>
          <w:rFonts w:ascii="Times New Roman" w:hAnsi="Times New Roman" w:cs="Times New Roman"/>
          <w:sz w:val="24"/>
          <w:szCs w:val="24"/>
        </w:rPr>
        <w:t xml:space="preserve"> </w:t>
      </w:r>
    </w:p>
    <w:p w14:paraId="307DF015" w14:textId="77777777" w:rsidR="00567F09" w:rsidRPr="00567F09" w:rsidRDefault="00567F09" w:rsidP="00567F09">
      <w:pPr>
        <w:spacing w:line="240" w:lineRule="auto"/>
        <w:ind w:left="425" w:hanging="425"/>
        <w:jc w:val="both"/>
        <w:rPr>
          <w:rFonts w:ascii="Times New Roman" w:hAnsi="Times New Roman" w:cs="Times New Roman"/>
          <w:color w:val="222222"/>
          <w:sz w:val="24"/>
          <w:szCs w:val="24"/>
          <w:shd w:val="clear" w:color="auto" w:fill="FFFFFF"/>
        </w:rPr>
      </w:pPr>
      <w:r w:rsidRPr="00567F09">
        <w:rPr>
          <w:rFonts w:ascii="Times New Roman" w:hAnsi="Times New Roman" w:cs="Times New Roman"/>
          <w:color w:val="222222"/>
          <w:sz w:val="24"/>
          <w:szCs w:val="24"/>
          <w:shd w:val="clear" w:color="auto" w:fill="FFFFFF"/>
        </w:rPr>
        <w:t xml:space="preserve">He, Y., </w:t>
      </w:r>
      <w:proofErr w:type="spellStart"/>
      <w:r w:rsidRPr="00567F09">
        <w:rPr>
          <w:rFonts w:ascii="Times New Roman" w:hAnsi="Times New Roman" w:cs="Times New Roman"/>
          <w:color w:val="222222"/>
          <w:sz w:val="24"/>
          <w:szCs w:val="24"/>
          <w:shd w:val="clear" w:color="auto" w:fill="FFFFFF"/>
        </w:rPr>
        <w:t>Zaremohzzabieh</w:t>
      </w:r>
      <w:proofErr w:type="spellEnd"/>
      <w:r w:rsidRPr="00567F09">
        <w:rPr>
          <w:rFonts w:ascii="Times New Roman" w:hAnsi="Times New Roman" w:cs="Times New Roman"/>
          <w:color w:val="222222"/>
          <w:sz w:val="24"/>
          <w:szCs w:val="24"/>
          <w:shd w:val="clear" w:color="auto" w:fill="FFFFFF"/>
        </w:rPr>
        <w:t>, Z., Rahman, H. A., Ismail, S. N. S., &amp; Bin-</w:t>
      </w:r>
      <w:proofErr w:type="spellStart"/>
      <w:r w:rsidRPr="00567F09">
        <w:rPr>
          <w:rFonts w:ascii="Times New Roman" w:hAnsi="Times New Roman" w:cs="Times New Roman"/>
          <w:color w:val="222222"/>
          <w:sz w:val="24"/>
          <w:szCs w:val="24"/>
          <w:shd w:val="clear" w:color="auto" w:fill="FFFFFF"/>
        </w:rPr>
        <w:t>qiang</w:t>
      </w:r>
      <w:proofErr w:type="spellEnd"/>
      <w:r w:rsidRPr="00567F09">
        <w:rPr>
          <w:rFonts w:ascii="Times New Roman" w:hAnsi="Times New Roman" w:cs="Times New Roman"/>
          <w:color w:val="222222"/>
          <w:sz w:val="24"/>
          <w:szCs w:val="24"/>
          <w:shd w:val="clear" w:color="auto" w:fill="FFFFFF"/>
        </w:rPr>
        <w:t>, J. (2024). Applying participatory research in solid waste management: A systematic literature review and evaluation reporting. </w:t>
      </w:r>
      <w:r w:rsidRPr="00567F09">
        <w:rPr>
          <w:rFonts w:ascii="Times New Roman" w:hAnsi="Times New Roman" w:cs="Times New Roman"/>
          <w:i/>
          <w:iCs/>
          <w:color w:val="222222"/>
          <w:sz w:val="24"/>
          <w:szCs w:val="24"/>
          <w:shd w:val="clear" w:color="auto" w:fill="FFFFFF"/>
        </w:rPr>
        <w:t>Journal of Infrastructure, Policy and Development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8</w:t>
      </w:r>
      <w:r w:rsidRPr="00567F09">
        <w:rPr>
          <w:rFonts w:ascii="Times New Roman" w:hAnsi="Times New Roman" w:cs="Times New Roman"/>
          <w:color w:val="222222"/>
          <w:sz w:val="24"/>
          <w:szCs w:val="24"/>
          <w:shd w:val="clear" w:color="auto" w:fill="FFFFFF"/>
        </w:rPr>
        <w:t xml:space="preserve">(5), 5072. </w:t>
      </w:r>
      <w:hyperlink r:id="rId19" w:history="1">
        <w:r w:rsidRPr="00567F09">
          <w:rPr>
            <w:rFonts w:ascii="Times New Roman" w:hAnsi="Times New Roman" w:cs="Times New Roman"/>
            <w:color w:val="0000FF"/>
            <w:sz w:val="24"/>
            <w:szCs w:val="24"/>
            <w:u w:val="single"/>
            <w:shd w:val="clear" w:color="auto" w:fill="FFFFFF"/>
          </w:rPr>
          <w:t>https://doi.org/10.24294/jipd.v8i5.5072</w:t>
        </w:r>
      </w:hyperlink>
    </w:p>
    <w:p w14:paraId="6A701D2F"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proofErr w:type="spellStart"/>
      <w:r w:rsidRPr="00567F09">
        <w:rPr>
          <w:rFonts w:ascii="Times New Roman" w:eastAsia="Times New Roman" w:hAnsi="Times New Roman" w:cs="Times New Roman"/>
          <w:sz w:val="24"/>
          <w:szCs w:val="24"/>
        </w:rPr>
        <w:t>Ikehi</w:t>
      </w:r>
      <w:proofErr w:type="spellEnd"/>
      <w:r w:rsidRPr="00567F09">
        <w:rPr>
          <w:rFonts w:ascii="Times New Roman" w:eastAsia="Times New Roman" w:hAnsi="Times New Roman" w:cs="Times New Roman"/>
          <w:sz w:val="24"/>
          <w:szCs w:val="24"/>
        </w:rPr>
        <w:t xml:space="preserve">, M. E., </w:t>
      </w:r>
      <w:proofErr w:type="spellStart"/>
      <w:r w:rsidRPr="00567F09">
        <w:rPr>
          <w:rFonts w:ascii="Times New Roman" w:eastAsia="Times New Roman" w:hAnsi="Times New Roman" w:cs="Times New Roman"/>
          <w:sz w:val="24"/>
          <w:szCs w:val="24"/>
        </w:rPr>
        <w:t>Ifeanyieze</w:t>
      </w:r>
      <w:proofErr w:type="spellEnd"/>
      <w:r w:rsidRPr="00567F09">
        <w:rPr>
          <w:rFonts w:ascii="Times New Roman" w:eastAsia="Times New Roman" w:hAnsi="Times New Roman" w:cs="Times New Roman"/>
          <w:sz w:val="24"/>
          <w:szCs w:val="24"/>
        </w:rPr>
        <w:t xml:space="preserve">, F. O., </w:t>
      </w:r>
      <w:proofErr w:type="spellStart"/>
      <w:r w:rsidRPr="00567F09">
        <w:rPr>
          <w:rFonts w:ascii="Times New Roman" w:eastAsia="Times New Roman" w:hAnsi="Times New Roman" w:cs="Times New Roman"/>
          <w:sz w:val="24"/>
          <w:szCs w:val="24"/>
        </w:rPr>
        <w:t>Onu</w:t>
      </w:r>
      <w:proofErr w:type="spellEnd"/>
      <w:r w:rsidRPr="00567F09">
        <w:rPr>
          <w:rFonts w:ascii="Times New Roman" w:eastAsia="Times New Roman" w:hAnsi="Times New Roman" w:cs="Times New Roman"/>
          <w:sz w:val="24"/>
          <w:szCs w:val="24"/>
        </w:rPr>
        <w:t xml:space="preserve">, F. M., Ejiofor, T. E., &amp; Nwankwo, C. U. (2023). Assessing climate change mitigation and adaptation strategies and agricultural innovation systems in the Niger Delta. </w:t>
      </w:r>
      <w:proofErr w:type="spellStart"/>
      <w:r w:rsidRPr="00567F09">
        <w:rPr>
          <w:rFonts w:ascii="Times New Roman" w:eastAsia="Times New Roman" w:hAnsi="Times New Roman" w:cs="Times New Roman"/>
          <w:i/>
          <w:iCs/>
          <w:sz w:val="24"/>
          <w:szCs w:val="24"/>
        </w:rPr>
        <w:t>GeoJournal</w:t>
      </w:r>
      <w:proofErr w:type="spellEnd"/>
      <w:r w:rsidRPr="00567F09">
        <w:rPr>
          <w:rFonts w:ascii="Times New Roman" w:eastAsia="Times New Roman" w:hAnsi="Times New Roman" w:cs="Times New Roman"/>
          <w:sz w:val="24"/>
          <w:szCs w:val="24"/>
        </w:rPr>
        <w:t xml:space="preserve">, 88, 209–224. </w:t>
      </w:r>
      <w:hyperlink r:id="rId20" w:history="1">
        <w:r w:rsidRPr="00567F09">
          <w:rPr>
            <w:rFonts w:ascii="Times New Roman" w:eastAsia="Times New Roman" w:hAnsi="Times New Roman" w:cs="Times New Roman"/>
            <w:color w:val="0000FF"/>
            <w:sz w:val="24"/>
            <w:szCs w:val="24"/>
            <w:u w:val="single"/>
          </w:rPr>
          <w:t>https://doi.org/10.1007/s10708-022-10596-6</w:t>
        </w:r>
      </w:hyperlink>
    </w:p>
    <w:p w14:paraId="6A1C7FD2"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proofErr w:type="spellStart"/>
      <w:r w:rsidRPr="00567F09">
        <w:rPr>
          <w:rFonts w:ascii="Times New Roman" w:hAnsi="Times New Roman" w:cs="Times New Roman"/>
          <w:sz w:val="24"/>
          <w:szCs w:val="24"/>
        </w:rPr>
        <w:t>Iriani</w:t>
      </w:r>
      <w:proofErr w:type="spellEnd"/>
      <w:r w:rsidRPr="00567F09">
        <w:rPr>
          <w:rFonts w:ascii="Times New Roman" w:hAnsi="Times New Roman" w:cs="Times New Roman"/>
          <w:sz w:val="24"/>
          <w:szCs w:val="24"/>
        </w:rPr>
        <w:t xml:space="preserve">, N., </w:t>
      </w:r>
      <w:proofErr w:type="spellStart"/>
      <w:r w:rsidRPr="00567F09">
        <w:rPr>
          <w:rFonts w:ascii="Times New Roman" w:hAnsi="Times New Roman" w:cs="Times New Roman"/>
          <w:sz w:val="24"/>
          <w:szCs w:val="24"/>
        </w:rPr>
        <w:t>Agustianti</w:t>
      </w:r>
      <w:proofErr w:type="spellEnd"/>
      <w:r w:rsidRPr="00567F09">
        <w:rPr>
          <w:rFonts w:ascii="Times New Roman" w:hAnsi="Times New Roman" w:cs="Times New Roman"/>
          <w:sz w:val="24"/>
          <w:szCs w:val="24"/>
        </w:rPr>
        <w:t xml:space="preserve">, A., </w:t>
      </w:r>
      <w:proofErr w:type="spellStart"/>
      <w:r w:rsidRPr="00567F09">
        <w:rPr>
          <w:rFonts w:ascii="Times New Roman" w:hAnsi="Times New Roman" w:cs="Times New Roman"/>
          <w:sz w:val="24"/>
          <w:szCs w:val="24"/>
        </w:rPr>
        <w:t>Sucianti</w:t>
      </w:r>
      <w:proofErr w:type="spellEnd"/>
      <w:r w:rsidRPr="00567F09">
        <w:rPr>
          <w:rFonts w:ascii="Times New Roman" w:hAnsi="Times New Roman" w:cs="Times New Roman"/>
          <w:sz w:val="24"/>
          <w:szCs w:val="24"/>
        </w:rPr>
        <w:t xml:space="preserve">, R., Rahman, M. A., &amp; </w:t>
      </w:r>
      <w:proofErr w:type="spellStart"/>
      <w:r w:rsidRPr="00567F09">
        <w:rPr>
          <w:rFonts w:ascii="Times New Roman" w:hAnsi="Times New Roman" w:cs="Times New Roman"/>
          <w:sz w:val="24"/>
          <w:szCs w:val="24"/>
        </w:rPr>
        <w:t>Putera</w:t>
      </w:r>
      <w:proofErr w:type="spellEnd"/>
      <w:r w:rsidRPr="00567F09">
        <w:rPr>
          <w:rFonts w:ascii="Times New Roman" w:hAnsi="Times New Roman" w:cs="Times New Roman"/>
          <w:sz w:val="24"/>
          <w:szCs w:val="24"/>
        </w:rPr>
        <w:t xml:space="preserve">, W. (2024). Understanding risk and uncertainty management: A qualitative inquiry into developing business strategies amidst global economic shifts, government policies, and market volatility. </w:t>
      </w:r>
      <w:r w:rsidRPr="00567F09">
        <w:rPr>
          <w:rFonts w:ascii="Times New Roman" w:hAnsi="Times New Roman" w:cs="Times New Roman"/>
          <w:i/>
          <w:iCs/>
          <w:sz w:val="24"/>
          <w:szCs w:val="24"/>
        </w:rPr>
        <w:t>Golden Ratio of Finance Management, 4</w:t>
      </w:r>
      <w:r w:rsidRPr="00567F09">
        <w:rPr>
          <w:rFonts w:ascii="Times New Roman" w:hAnsi="Times New Roman" w:cs="Times New Roman"/>
          <w:sz w:val="24"/>
          <w:szCs w:val="24"/>
        </w:rPr>
        <w:t xml:space="preserve">(2), 62–77. </w:t>
      </w:r>
      <w:hyperlink r:id="rId21" w:history="1">
        <w:r w:rsidRPr="00567F09">
          <w:rPr>
            <w:rFonts w:ascii="Times New Roman" w:hAnsi="Times New Roman" w:cs="Times New Roman"/>
            <w:color w:val="0000FF"/>
            <w:sz w:val="24"/>
            <w:szCs w:val="24"/>
            <w:u w:val="single"/>
          </w:rPr>
          <w:t>https://doi.org/10.52970/grfm.v4i2.444</w:t>
        </w:r>
      </w:hyperlink>
    </w:p>
    <w:p w14:paraId="2A9F7778" w14:textId="77777777" w:rsidR="00567F09" w:rsidRPr="00567F09" w:rsidRDefault="00567F09" w:rsidP="00567F09">
      <w:pPr>
        <w:spacing w:line="240" w:lineRule="auto"/>
        <w:ind w:left="425" w:hanging="425"/>
        <w:jc w:val="both"/>
        <w:rPr>
          <w:rFonts w:ascii="Times New Roman" w:hAnsi="Times New Roman" w:cs="Times New Roman"/>
          <w:color w:val="222222"/>
          <w:sz w:val="24"/>
          <w:szCs w:val="24"/>
          <w:shd w:val="clear" w:color="auto" w:fill="FFFFFF"/>
        </w:rPr>
      </w:pPr>
      <w:proofErr w:type="spellStart"/>
      <w:r w:rsidRPr="00567F09">
        <w:rPr>
          <w:rFonts w:ascii="Times New Roman" w:hAnsi="Times New Roman" w:cs="Times New Roman"/>
          <w:color w:val="222222"/>
          <w:sz w:val="24"/>
          <w:szCs w:val="24"/>
          <w:shd w:val="clear" w:color="auto" w:fill="FFFFFF"/>
        </w:rPr>
        <w:t>Kanade</w:t>
      </w:r>
      <w:proofErr w:type="spellEnd"/>
      <w:r w:rsidRPr="00567F09">
        <w:rPr>
          <w:rFonts w:ascii="Times New Roman" w:hAnsi="Times New Roman" w:cs="Times New Roman"/>
          <w:color w:val="222222"/>
          <w:sz w:val="24"/>
          <w:szCs w:val="24"/>
          <w:shd w:val="clear" w:color="auto" w:fill="FFFFFF"/>
        </w:rPr>
        <w:t xml:space="preserve">, T. M., Joseph, J., Ansari, S., Varghese, M. A. M., &amp; </w:t>
      </w:r>
      <w:proofErr w:type="spellStart"/>
      <w:r w:rsidRPr="00567F09">
        <w:rPr>
          <w:rFonts w:ascii="Times New Roman" w:hAnsi="Times New Roman" w:cs="Times New Roman"/>
          <w:color w:val="222222"/>
          <w:sz w:val="24"/>
          <w:szCs w:val="24"/>
          <w:shd w:val="clear" w:color="auto" w:fill="FFFFFF"/>
        </w:rPr>
        <w:t>Savale</w:t>
      </w:r>
      <w:proofErr w:type="spellEnd"/>
      <w:r w:rsidRPr="00567F09">
        <w:rPr>
          <w:rFonts w:ascii="Times New Roman" w:hAnsi="Times New Roman" w:cs="Times New Roman"/>
          <w:color w:val="222222"/>
          <w:sz w:val="24"/>
          <w:szCs w:val="24"/>
          <w:shd w:val="clear" w:color="auto" w:fill="FFFFFF"/>
        </w:rPr>
        <w:t>, T. (2024). Solid waste management for environmental sustainability and human health. </w:t>
      </w:r>
      <w:r w:rsidRPr="00567F09">
        <w:rPr>
          <w:rFonts w:ascii="Times New Roman" w:hAnsi="Times New Roman" w:cs="Times New Roman"/>
          <w:i/>
          <w:iCs/>
          <w:color w:val="222222"/>
          <w:sz w:val="24"/>
          <w:szCs w:val="24"/>
          <w:shd w:val="clear" w:color="auto" w:fill="FFFFFF"/>
        </w:rPr>
        <w:t>Journal of Informatics Education and Research</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4</w:t>
      </w:r>
      <w:r w:rsidRPr="00567F09">
        <w:rPr>
          <w:rFonts w:ascii="Times New Roman" w:hAnsi="Times New Roman" w:cs="Times New Roman"/>
          <w:color w:val="222222"/>
          <w:sz w:val="24"/>
          <w:szCs w:val="24"/>
          <w:shd w:val="clear" w:color="auto" w:fill="FFFFFF"/>
        </w:rPr>
        <w:t xml:space="preserve">(1). </w:t>
      </w:r>
      <w:hyperlink r:id="rId22" w:history="1">
        <w:r w:rsidRPr="00567F09">
          <w:rPr>
            <w:rFonts w:ascii="Times New Roman" w:hAnsi="Times New Roman" w:cs="Times New Roman"/>
            <w:color w:val="0000FF"/>
            <w:sz w:val="24"/>
            <w:szCs w:val="24"/>
            <w:u w:val="single"/>
            <w:shd w:val="clear" w:color="auto" w:fill="FFFFFF"/>
          </w:rPr>
          <w:t>https://doi.org/10.52783/jier.v4i1.599</w:t>
        </w:r>
      </w:hyperlink>
    </w:p>
    <w:p w14:paraId="42B711A2"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lastRenderedPageBreak/>
        <w:t>Kattoua</w:t>
      </w:r>
      <w:proofErr w:type="spellEnd"/>
      <w:r w:rsidRPr="00567F09">
        <w:rPr>
          <w:rFonts w:ascii="Times New Roman" w:hAnsi="Times New Roman" w:cs="Times New Roman"/>
          <w:color w:val="222222"/>
          <w:sz w:val="24"/>
          <w:szCs w:val="24"/>
          <w:shd w:val="clear" w:color="auto" w:fill="FFFFFF"/>
        </w:rPr>
        <w:t xml:space="preserve">, M. G., Al-Khatib, I. A., &amp; </w:t>
      </w:r>
      <w:proofErr w:type="spellStart"/>
      <w:r w:rsidRPr="00567F09">
        <w:rPr>
          <w:rFonts w:ascii="Times New Roman" w:hAnsi="Times New Roman" w:cs="Times New Roman"/>
          <w:color w:val="222222"/>
          <w:sz w:val="24"/>
          <w:szCs w:val="24"/>
          <w:shd w:val="clear" w:color="auto" w:fill="FFFFFF"/>
        </w:rPr>
        <w:t>Kontogianni</w:t>
      </w:r>
      <w:proofErr w:type="spellEnd"/>
      <w:r w:rsidRPr="00567F09">
        <w:rPr>
          <w:rFonts w:ascii="Times New Roman" w:hAnsi="Times New Roman" w:cs="Times New Roman"/>
          <w:color w:val="222222"/>
          <w:sz w:val="24"/>
          <w:szCs w:val="24"/>
          <w:shd w:val="clear" w:color="auto" w:fill="FFFFFF"/>
        </w:rPr>
        <w:t>, S. (2019). Barriers on the propagation of household solid waste recycling practices in developing countries: State of Palestine example. </w:t>
      </w:r>
      <w:r w:rsidRPr="00567F09">
        <w:rPr>
          <w:rFonts w:ascii="Times New Roman" w:hAnsi="Times New Roman" w:cs="Times New Roman"/>
          <w:i/>
          <w:iCs/>
          <w:color w:val="222222"/>
          <w:sz w:val="24"/>
          <w:szCs w:val="24"/>
          <w:shd w:val="clear" w:color="auto" w:fill="FFFFFF"/>
        </w:rPr>
        <w:t>Journal of material cycles and waste management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21</w:t>
      </w:r>
      <w:r w:rsidRPr="00567F09">
        <w:rPr>
          <w:rFonts w:ascii="Times New Roman" w:hAnsi="Times New Roman" w:cs="Times New Roman"/>
          <w:color w:val="222222"/>
          <w:sz w:val="24"/>
          <w:szCs w:val="24"/>
          <w:shd w:val="clear" w:color="auto" w:fill="FFFFFF"/>
        </w:rPr>
        <w:t xml:space="preserve">, 774-785. </w:t>
      </w:r>
      <w:hyperlink r:id="rId23" w:history="1">
        <w:r w:rsidRPr="00567F09">
          <w:rPr>
            <w:rFonts w:ascii="Times New Roman" w:hAnsi="Times New Roman" w:cs="Times New Roman"/>
            <w:color w:val="0000FF"/>
            <w:sz w:val="24"/>
            <w:szCs w:val="24"/>
            <w:u w:val="single"/>
            <w:shd w:val="clear" w:color="auto" w:fill="FFFFFF"/>
          </w:rPr>
          <w:t>https://doi.org/10.1007/s10163-019-00833-5</w:t>
        </w:r>
      </w:hyperlink>
    </w:p>
    <w:p w14:paraId="042C41EE"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 xml:space="preserve">Khan, N., </w:t>
      </w:r>
      <w:proofErr w:type="spellStart"/>
      <w:r w:rsidRPr="00567F09">
        <w:rPr>
          <w:rFonts w:ascii="Times New Roman" w:hAnsi="Times New Roman" w:cs="Times New Roman"/>
          <w:color w:val="222222"/>
          <w:sz w:val="24"/>
          <w:szCs w:val="24"/>
          <w:shd w:val="clear" w:color="auto" w:fill="FFFFFF"/>
        </w:rPr>
        <w:t>Jhariya</w:t>
      </w:r>
      <w:proofErr w:type="spellEnd"/>
      <w:r w:rsidRPr="00567F09">
        <w:rPr>
          <w:rFonts w:ascii="Times New Roman" w:hAnsi="Times New Roman" w:cs="Times New Roman"/>
          <w:color w:val="222222"/>
          <w:sz w:val="24"/>
          <w:szCs w:val="24"/>
          <w:shd w:val="clear" w:color="auto" w:fill="FFFFFF"/>
        </w:rPr>
        <w:t>, M. K., Raj, A., Banerjee, A., &amp; Meena, R. S. (2021). Eco-designing for sustainability. </w:t>
      </w:r>
      <w:r w:rsidRPr="00567F09">
        <w:rPr>
          <w:rFonts w:ascii="Times New Roman" w:hAnsi="Times New Roman" w:cs="Times New Roman"/>
          <w:i/>
          <w:iCs/>
          <w:color w:val="222222"/>
          <w:sz w:val="24"/>
          <w:szCs w:val="24"/>
          <w:shd w:val="clear" w:color="auto" w:fill="FFFFFF"/>
        </w:rPr>
        <w:t>Ecological intensification of natural resources for sustainable agriculture</w:t>
      </w:r>
      <w:r w:rsidRPr="00567F09">
        <w:rPr>
          <w:rFonts w:ascii="Times New Roman" w:hAnsi="Times New Roman" w:cs="Times New Roman"/>
          <w:color w:val="222222"/>
          <w:sz w:val="24"/>
          <w:szCs w:val="24"/>
          <w:shd w:val="clear" w:color="auto" w:fill="FFFFFF"/>
        </w:rPr>
        <w:t xml:space="preserve">, 565-595. </w:t>
      </w:r>
      <w:hyperlink r:id="rId24" w:history="1">
        <w:r w:rsidRPr="00567F09">
          <w:rPr>
            <w:rFonts w:ascii="Times New Roman" w:hAnsi="Times New Roman" w:cs="Times New Roman"/>
            <w:color w:val="0000FF"/>
            <w:sz w:val="24"/>
            <w:szCs w:val="24"/>
            <w:u w:val="single"/>
            <w:shd w:val="clear" w:color="auto" w:fill="FFFFFF"/>
          </w:rPr>
          <w:t>https://doi.org/10.1007/978-981-33-4203-3_16</w:t>
        </w:r>
      </w:hyperlink>
    </w:p>
    <w:p w14:paraId="30EA0547"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 xml:space="preserve">Khan, S. Z., Yang, Q., &amp; </w:t>
      </w:r>
      <w:proofErr w:type="spellStart"/>
      <w:r w:rsidRPr="00567F09">
        <w:rPr>
          <w:rFonts w:ascii="Times New Roman" w:hAnsi="Times New Roman" w:cs="Times New Roman"/>
          <w:color w:val="222222"/>
          <w:sz w:val="24"/>
          <w:szCs w:val="24"/>
          <w:shd w:val="clear" w:color="auto" w:fill="FFFFFF"/>
        </w:rPr>
        <w:t>Waheed</w:t>
      </w:r>
      <w:proofErr w:type="spellEnd"/>
      <w:r w:rsidRPr="00567F09">
        <w:rPr>
          <w:rFonts w:ascii="Times New Roman" w:hAnsi="Times New Roman" w:cs="Times New Roman"/>
          <w:color w:val="222222"/>
          <w:sz w:val="24"/>
          <w:szCs w:val="24"/>
          <w:shd w:val="clear" w:color="auto" w:fill="FFFFFF"/>
        </w:rPr>
        <w:t>, A. (2019). Investment in intangible resources and capabilities spurs sustainable competitive advantage and firm performance. </w:t>
      </w:r>
      <w:r w:rsidRPr="00567F09">
        <w:rPr>
          <w:rFonts w:ascii="Times New Roman" w:hAnsi="Times New Roman" w:cs="Times New Roman"/>
          <w:i/>
          <w:iCs/>
          <w:color w:val="222222"/>
          <w:sz w:val="24"/>
          <w:szCs w:val="24"/>
          <w:shd w:val="clear" w:color="auto" w:fill="FFFFFF"/>
        </w:rPr>
        <w:t>Corporate Social Responsibility and Environmental Management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26</w:t>
      </w:r>
      <w:r w:rsidRPr="00567F09">
        <w:rPr>
          <w:rFonts w:ascii="Times New Roman" w:hAnsi="Times New Roman" w:cs="Times New Roman"/>
          <w:color w:val="222222"/>
          <w:sz w:val="24"/>
          <w:szCs w:val="24"/>
          <w:shd w:val="clear" w:color="auto" w:fill="FFFFFF"/>
        </w:rPr>
        <w:t xml:space="preserve">(2), 285-295. </w:t>
      </w:r>
      <w:hyperlink r:id="rId25" w:history="1">
        <w:r w:rsidRPr="00567F09">
          <w:rPr>
            <w:rFonts w:ascii="Times New Roman" w:hAnsi="Times New Roman" w:cs="Times New Roman"/>
            <w:color w:val="0000FF"/>
            <w:sz w:val="24"/>
            <w:szCs w:val="24"/>
            <w:u w:val="single"/>
            <w:shd w:val="clear" w:color="auto" w:fill="FFFFFF"/>
          </w:rPr>
          <w:t>https://doi.org/10.1002/csr.1678</w:t>
        </w:r>
      </w:hyperlink>
    </w:p>
    <w:p w14:paraId="1CD94904"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Kirkby</w:t>
      </w:r>
      <w:proofErr w:type="spellEnd"/>
      <w:r w:rsidRPr="00567F09">
        <w:rPr>
          <w:rFonts w:ascii="Times New Roman" w:hAnsi="Times New Roman" w:cs="Times New Roman"/>
          <w:color w:val="222222"/>
          <w:sz w:val="24"/>
          <w:szCs w:val="24"/>
          <w:shd w:val="clear" w:color="auto" w:fill="FFFFFF"/>
        </w:rPr>
        <w:t>, P., Williams, C., &amp; Huq, S. (2018). Community-based adaptation (CBA): adding conceptual clarity to the approach, and establishing its principles and challenges. </w:t>
      </w:r>
      <w:r w:rsidRPr="00567F09">
        <w:rPr>
          <w:rFonts w:ascii="Times New Roman" w:hAnsi="Times New Roman" w:cs="Times New Roman"/>
          <w:i/>
          <w:iCs/>
          <w:color w:val="222222"/>
          <w:sz w:val="24"/>
          <w:szCs w:val="24"/>
          <w:shd w:val="clear" w:color="auto" w:fill="FFFFFF"/>
        </w:rPr>
        <w:t>Climate and Development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10</w:t>
      </w:r>
      <w:r w:rsidRPr="00567F09">
        <w:rPr>
          <w:rFonts w:ascii="Times New Roman" w:hAnsi="Times New Roman" w:cs="Times New Roman"/>
          <w:color w:val="222222"/>
          <w:sz w:val="24"/>
          <w:szCs w:val="24"/>
          <w:shd w:val="clear" w:color="auto" w:fill="FFFFFF"/>
        </w:rPr>
        <w:t xml:space="preserve">(7), 577-589. </w:t>
      </w:r>
      <w:hyperlink r:id="rId26" w:history="1">
        <w:r w:rsidRPr="00567F09">
          <w:rPr>
            <w:rFonts w:ascii="Times New Roman" w:hAnsi="Times New Roman" w:cs="Times New Roman"/>
            <w:color w:val="0000FF"/>
            <w:sz w:val="24"/>
            <w:szCs w:val="24"/>
            <w:u w:val="single"/>
            <w:shd w:val="clear" w:color="auto" w:fill="FFFFFF"/>
          </w:rPr>
          <w:t>https://doi.org/10.1080/17565529.2017.1372265</w:t>
        </w:r>
      </w:hyperlink>
    </w:p>
    <w:p w14:paraId="56D2D839"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Krauklis</w:t>
      </w:r>
      <w:proofErr w:type="spellEnd"/>
      <w:r w:rsidRPr="00567F09">
        <w:rPr>
          <w:rFonts w:ascii="Times New Roman" w:hAnsi="Times New Roman" w:cs="Times New Roman"/>
          <w:color w:val="222222"/>
          <w:sz w:val="24"/>
          <w:szCs w:val="24"/>
          <w:shd w:val="clear" w:color="auto" w:fill="FFFFFF"/>
        </w:rPr>
        <w:t xml:space="preserve">, A. E., Karl, C. W., </w:t>
      </w:r>
      <w:proofErr w:type="spellStart"/>
      <w:r w:rsidRPr="00567F09">
        <w:rPr>
          <w:rFonts w:ascii="Times New Roman" w:hAnsi="Times New Roman" w:cs="Times New Roman"/>
          <w:color w:val="222222"/>
          <w:sz w:val="24"/>
          <w:szCs w:val="24"/>
          <w:shd w:val="clear" w:color="auto" w:fill="FFFFFF"/>
        </w:rPr>
        <w:t>Gagani</w:t>
      </w:r>
      <w:proofErr w:type="spellEnd"/>
      <w:r w:rsidRPr="00567F09">
        <w:rPr>
          <w:rFonts w:ascii="Times New Roman" w:hAnsi="Times New Roman" w:cs="Times New Roman"/>
          <w:color w:val="222222"/>
          <w:sz w:val="24"/>
          <w:szCs w:val="24"/>
          <w:shd w:val="clear" w:color="auto" w:fill="FFFFFF"/>
        </w:rPr>
        <w:t xml:space="preserve">, A. I., &amp; </w:t>
      </w:r>
      <w:proofErr w:type="spellStart"/>
      <w:r w:rsidRPr="00567F09">
        <w:rPr>
          <w:rFonts w:ascii="Times New Roman" w:hAnsi="Times New Roman" w:cs="Times New Roman"/>
          <w:color w:val="222222"/>
          <w:sz w:val="24"/>
          <w:szCs w:val="24"/>
          <w:shd w:val="clear" w:color="auto" w:fill="FFFFFF"/>
        </w:rPr>
        <w:t>Jørgensen</w:t>
      </w:r>
      <w:proofErr w:type="spellEnd"/>
      <w:r w:rsidRPr="00567F09">
        <w:rPr>
          <w:rFonts w:ascii="Times New Roman" w:hAnsi="Times New Roman" w:cs="Times New Roman"/>
          <w:color w:val="222222"/>
          <w:sz w:val="24"/>
          <w:szCs w:val="24"/>
          <w:shd w:val="clear" w:color="auto" w:fill="FFFFFF"/>
        </w:rPr>
        <w:t>, J. K. (2021). Composite material recycling technology—state-of-the-art and sustainable development for the 2020s. </w:t>
      </w:r>
      <w:r w:rsidRPr="00567F09">
        <w:rPr>
          <w:rFonts w:ascii="Times New Roman" w:hAnsi="Times New Roman" w:cs="Times New Roman"/>
          <w:i/>
          <w:iCs/>
          <w:color w:val="222222"/>
          <w:sz w:val="24"/>
          <w:szCs w:val="24"/>
          <w:shd w:val="clear" w:color="auto" w:fill="FFFFFF"/>
        </w:rPr>
        <w:t>Journal of Composites Science</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5</w:t>
      </w:r>
      <w:r w:rsidRPr="00567F09">
        <w:rPr>
          <w:rFonts w:ascii="Times New Roman" w:hAnsi="Times New Roman" w:cs="Times New Roman"/>
          <w:color w:val="222222"/>
          <w:sz w:val="24"/>
          <w:szCs w:val="24"/>
          <w:shd w:val="clear" w:color="auto" w:fill="FFFFFF"/>
        </w:rPr>
        <w:t>(1), 28.</w:t>
      </w:r>
      <w:r w:rsidRPr="00567F09">
        <w:t xml:space="preserve"> </w:t>
      </w:r>
      <w:hyperlink r:id="rId27" w:history="1">
        <w:r w:rsidRPr="00567F09">
          <w:rPr>
            <w:rFonts w:ascii="Times New Roman" w:hAnsi="Times New Roman" w:cs="Times New Roman"/>
            <w:color w:val="0000FF"/>
            <w:sz w:val="24"/>
            <w:szCs w:val="24"/>
            <w:u w:val="single"/>
            <w:shd w:val="clear" w:color="auto" w:fill="FFFFFF"/>
          </w:rPr>
          <w:t>https://doi.org/10.3390/jcs5010028</w:t>
        </w:r>
      </w:hyperlink>
      <w:r w:rsidRPr="00567F09">
        <w:rPr>
          <w:rFonts w:ascii="Times New Roman" w:hAnsi="Times New Roman" w:cs="Times New Roman"/>
          <w:color w:val="222222"/>
          <w:sz w:val="24"/>
          <w:szCs w:val="24"/>
          <w:shd w:val="clear" w:color="auto" w:fill="FFFFFF"/>
        </w:rPr>
        <w:t xml:space="preserve"> </w:t>
      </w:r>
    </w:p>
    <w:p w14:paraId="71BDDE44"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sz w:val="24"/>
          <w:szCs w:val="24"/>
        </w:rPr>
        <w:t xml:space="preserve">Kurniawan, T. A., </w:t>
      </w:r>
      <w:proofErr w:type="spellStart"/>
      <w:r w:rsidRPr="00567F09">
        <w:rPr>
          <w:rFonts w:ascii="Times New Roman" w:hAnsi="Times New Roman" w:cs="Times New Roman"/>
          <w:sz w:val="24"/>
          <w:szCs w:val="24"/>
        </w:rPr>
        <w:t>Meidiana</w:t>
      </w:r>
      <w:proofErr w:type="spellEnd"/>
      <w:r w:rsidRPr="00567F09">
        <w:rPr>
          <w:rFonts w:ascii="Times New Roman" w:hAnsi="Times New Roman" w:cs="Times New Roman"/>
          <w:sz w:val="24"/>
          <w:szCs w:val="24"/>
        </w:rPr>
        <w:t xml:space="preserve">, C., Othman, M. H. D., Goh, H. H., &amp; Chew, K. W. (2023). Strengthening waste recycling industry in Malang (Indonesia): Lessons from waste management in the era of Industry 4.0. </w:t>
      </w:r>
      <w:r w:rsidRPr="00567F09">
        <w:rPr>
          <w:rFonts w:ascii="Times New Roman" w:hAnsi="Times New Roman" w:cs="Times New Roman"/>
          <w:i/>
          <w:iCs/>
          <w:sz w:val="24"/>
          <w:szCs w:val="24"/>
        </w:rPr>
        <w:t>Journal of Cleaner Production, 382,</w:t>
      </w:r>
      <w:r w:rsidRPr="00567F09">
        <w:rPr>
          <w:rFonts w:ascii="Times New Roman" w:hAnsi="Times New Roman" w:cs="Times New Roman"/>
          <w:sz w:val="24"/>
          <w:szCs w:val="24"/>
        </w:rPr>
        <w:t xml:space="preserve"> 135296. </w:t>
      </w:r>
      <w:hyperlink r:id="rId28" w:history="1">
        <w:r w:rsidRPr="00567F09">
          <w:rPr>
            <w:rFonts w:ascii="Times New Roman" w:hAnsi="Times New Roman" w:cs="Times New Roman"/>
            <w:color w:val="0000FF"/>
            <w:sz w:val="24"/>
            <w:szCs w:val="24"/>
            <w:u w:val="single"/>
          </w:rPr>
          <w:t>https://doi.org/10.1016/j.jclepro.2022.135296</w:t>
        </w:r>
      </w:hyperlink>
    </w:p>
    <w:p w14:paraId="1C04D58F"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sz w:val="24"/>
          <w:szCs w:val="24"/>
        </w:rPr>
        <w:t>Lamma</w:t>
      </w:r>
      <w:proofErr w:type="spellEnd"/>
      <w:r w:rsidRPr="00567F09">
        <w:rPr>
          <w:rFonts w:ascii="Times New Roman" w:hAnsi="Times New Roman" w:cs="Times New Roman"/>
          <w:sz w:val="24"/>
          <w:szCs w:val="24"/>
        </w:rPr>
        <w:t xml:space="preserve">, O. A. (2021). The impact of recycling in preserving the environment. </w:t>
      </w:r>
      <w:r w:rsidRPr="00567F09">
        <w:rPr>
          <w:rFonts w:ascii="Times New Roman" w:hAnsi="Times New Roman" w:cs="Times New Roman"/>
          <w:i/>
          <w:iCs/>
          <w:sz w:val="24"/>
          <w:szCs w:val="24"/>
        </w:rPr>
        <w:t>International Journal of Applied Research, 7</w:t>
      </w:r>
      <w:r w:rsidRPr="00567F09">
        <w:rPr>
          <w:rFonts w:ascii="Times New Roman" w:hAnsi="Times New Roman" w:cs="Times New Roman"/>
          <w:sz w:val="24"/>
          <w:szCs w:val="24"/>
        </w:rPr>
        <w:t>(11), 297-302.</w:t>
      </w:r>
      <w:r w:rsidRPr="00567F09">
        <w:t xml:space="preserve"> </w:t>
      </w:r>
      <w:hyperlink r:id="rId29" w:history="1">
        <w:r w:rsidRPr="00567F09">
          <w:rPr>
            <w:rFonts w:ascii="Times New Roman" w:hAnsi="Times New Roman" w:cs="Times New Roman"/>
            <w:color w:val="0000FF"/>
            <w:sz w:val="24"/>
            <w:szCs w:val="24"/>
            <w:u w:val="single"/>
          </w:rPr>
          <w:t>https://www.allresearchjournal.com/archives/2021/vol7issue11/PartE/7-11-82-446.pdf</w:t>
        </w:r>
      </w:hyperlink>
      <w:r w:rsidRPr="00567F09">
        <w:rPr>
          <w:rFonts w:ascii="Times New Roman" w:hAnsi="Times New Roman" w:cs="Times New Roman"/>
          <w:sz w:val="24"/>
          <w:szCs w:val="24"/>
        </w:rPr>
        <w:t xml:space="preserve"> </w:t>
      </w:r>
    </w:p>
    <w:p w14:paraId="0081965C"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r w:rsidRPr="00567F09">
        <w:rPr>
          <w:rFonts w:ascii="Times New Roman" w:hAnsi="Times New Roman" w:cs="Times New Roman"/>
          <w:sz w:val="24"/>
          <w:szCs w:val="24"/>
        </w:rPr>
        <w:t xml:space="preserve">Mondal, S., Singh, S., &amp; Gupta, H. (2022). A meta-analysis of green and sustainable business models: A comprehensive approach. </w:t>
      </w:r>
      <w:r w:rsidRPr="00567F09">
        <w:rPr>
          <w:rFonts w:ascii="Times New Roman" w:hAnsi="Times New Roman" w:cs="Times New Roman"/>
          <w:i/>
          <w:iCs/>
          <w:sz w:val="24"/>
          <w:szCs w:val="24"/>
        </w:rPr>
        <w:t>Journal of Cleaner Production, 371</w:t>
      </w:r>
      <w:r w:rsidRPr="00567F09">
        <w:rPr>
          <w:rFonts w:ascii="Times New Roman" w:hAnsi="Times New Roman" w:cs="Times New Roman"/>
          <w:sz w:val="24"/>
          <w:szCs w:val="24"/>
        </w:rPr>
        <w:t xml:space="preserve">, 133623. </w:t>
      </w:r>
      <w:hyperlink r:id="rId30" w:history="1">
        <w:r w:rsidRPr="00567F09">
          <w:rPr>
            <w:rFonts w:ascii="Times New Roman" w:hAnsi="Times New Roman" w:cs="Times New Roman"/>
            <w:color w:val="0000FF"/>
            <w:sz w:val="24"/>
            <w:szCs w:val="24"/>
            <w:u w:val="single"/>
          </w:rPr>
          <w:t>https://doi.org/10.1016/j.jclepro.2022.133623</w:t>
        </w:r>
      </w:hyperlink>
    </w:p>
    <w:p w14:paraId="0671FEDF"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 xml:space="preserve">Quintana‐García, C., </w:t>
      </w:r>
      <w:proofErr w:type="spellStart"/>
      <w:r w:rsidRPr="00567F09">
        <w:rPr>
          <w:rFonts w:ascii="Times New Roman" w:hAnsi="Times New Roman" w:cs="Times New Roman"/>
          <w:color w:val="222222"/>
          <w:sz w:val="24"/>
          <w:szCs w:val="24"/>
          <w:shd w:val="clear" w:color="auto" w:fill="FFFFFF"/>
        </w:rPr>
        <w:t>Marchante</w:t>
      </w:r>
      <w:proofErr w:type="spellEnd"/>
      <w:r w:rsidRPr="00567F09">
        <w:rPr>
          <w:rFonts w:ascii="Times New Roman" w:hAnsi="Times New Roman" w:cs="Times New Roman"/>
          <w:color w:val="222222"/>
          <w:sz w:val="24"/>
          <w:szCs w:val="24"/>
          <w:shd w:val="clear" w:color="auto" w:fill="FFFFFF"/>
        </w:rPr>
        <w:t>‐Lara, M., &amp; Benavides‐</w:t>
      </w:r>
      <w:proofErr w:type="spellStart"/>
      <w:r w:rsidRPr="00567F09">
        <w:rPr>
          <w:rFonts w:ascii="Times New Roman" w:hAnsi="Times New Roman" w:cs="Times New Roman"/>
          <w:color w:val="222222"/>
          <w:sz w:val="24"/>
          <w:szCs w:val="24"/>
          <w:shd w:val="clear" w:color="auto" w:fill="FFFFFF"/>
        </w:rPr>
        <w:t>Chicón</w:t>
      </w:r>
      <w:proofErr w:type="spellEnd"/>
      <w:r w:rsidRPr="00567F09">
        <w:rPr>
          <w:rFonts w:ascii="Times New Roman" w:hAnsi="Times New Roman" w:cs="Times New Roman"/>
          <w:color w:val="222222"/>
          <w:sz w:val="24"/>
          <w:szCs w:val="24"/>
          <w:shd w:val="clear" w:color="auto" w:fill="FFFFFF"/>
        </w:rPr>
        <w:t>, C. G. (2022). Towards sustainable development: Environmental innovation, cleaner production performance, and reputation. </w:t>
      </w:r>
      <w:r w:rsidRPr="00567F09">
        <w:rPr>
          <w:rFonts w:ascii="Times New Roman" w:hAnsi="Times New Roman" w:cs="Times New Roman"/>
          <w:i/>
          <w:iCs/>
          <w:color w:val="222222"/>
          <w:sz w:val="24"/>
          <w:szCs w:val="24"/>
          <w:shd w:val="clear" w:color="auto" w:fill="FFFFFF"/>
        </w:rPr>
        <w:t>Corporate Social Responsibility and Environmental Management</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29</w:t>
      </w:r>
      <w:r w:rsidRPr="00567F09">
        <w:rPr>
          <w:rFonts w:ascii="Times New Roman" w:hAnsi="Times New Roman" w:cs="Times New Roman"/>
          <w:color w:val="222222"/>
          <w:sz w:val="24"/>
          <w:szCs w:val="24"/>
          <w:shd w:val="clear" w:color="auto" w:fill="FFFFFF"/>
        </w:rPr>
        <w:t xml:space="preserve">(5), 1330-1340. </w:t>
      </w:r>
      <w:hyperlink r:id="rId31" w:history="1">
        <w:r w:rsidRPr="00567F09">
          <w:rPr>
            <w:rFonts w:ascii="Times New Roman" w:hAnsi="Times New Roman" w:cs="Times New Roman"/>
            <w:color w:val="0000FF"/>
            <w:sz w:val="24"/>
            <w:szCs w:val="24"/>
            <w:u w:val="single"/>
            <w:shd w:val="clear" w:color="auto" w:fill="FFFFFF"/>
          </w:rPr>
          <w:t>https://doi.org/10.1002/csr.2272</w:t>
        </w:r>
      </w:hyperlink>
    </w:p>
    <w:p w14:paraId="5E4B745F"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lang w:val="pt-BR"/>
        </w:rPr>
      </w:pPr>
      <w:proofErr w:type="spellStart"/>
      <w:r w:rsidRPr="00567F09">
        <w:rPr>
          <w:rFonts w:ascii="Times New Roman" w:hAnsi="Times New Roman" w:cs="Times New Roman"/>
          <w:sz w:val="24"/>
          <w:szCs w:val="24"/>
        </w:rPr>
        <w:t>Rosário</w:t>
      </w:r>
      <w:proofErr w:type="spellEnd"/>
      <w:r w:rsidRPr="00567F09">
        <w:rPr>
          <w:rFonts w:ascii="Times New Roman" w:hAnsi="Times New Roman" w:cs="Times New Roman"/>
          <w:sz w:val="24"/>
          <w:szCs w:val="24"/>
        </w:rPr>
        <w:t xml:space="preserve">, A. T., Raimundo, R. J., &amp; Cruz, S. P. (2022). Sustainable entrepreneurship: A literature review. </w:t>
      </w:r>
      <w:r w:rsidRPr="00567F09">
        <w:rPr>
          <w:rFonts w:ascii="Times New Roman" w:hAnsi="Times New Roman" w:cs="Times New Roman"/>
          <w:i/>
          <w:iCs/>
          <w:sz w:val="24"/>
          <w:szCs w:val="24"/>
          <w:lang w:val="pt-BR"/>
        </w:rPr>
        <w:t>Sustainability, 14</w:t>
      </w:r>
      <w:r w:rsidRPr="00567F09">
        <w:rPr>
          <w:rFonts w:ascii="Times New Roman" w:hAnsi="Times New Roman" w:cs="Times New Roman"/>
          <w:sz w:val="24"/>
          <w:szCs w:val="24"/>
          <w:lang w:val="pt-BR"/>
        </w:rPr>
        <w:t xml:space="preserve">(9), 5556. </w:t>
      </w:r>
      <w:hyperlink r:id="rId32" w:history="1">
        <w:r w:rsidRPr="00567F09">
          <w:rPr>
            <w:rFonts w:ascii="Times New Roman" w:hAnsi="Times New Roman" w:cs="Times New Roman"/>
            <w:color w:val="0000FF"/>
            <w:sz w:val="24"/>
            <w:szCs w:val="24"/>
            <w:u w:val="single"/>
            <w:lang w:val="pt-BR"/>
          </w:rPr>
          <w:t>https://doi.org/10.3390/su14095556</w:t>
        </w:r>
      </w:hyperlink>
    </w:p>
    <w:p w14:paraId="0FBC512A"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lang w:val="pt-BR"/>
        </w:rPr>
        <w:t xml:space="preserve">Scarpellini, S., Marín-Vinuesa, L. M., Aranda-Usón, A., &amp; Portillo-Tarragona, P. (2020). </w:t>
      </w:r>
      <w:r w:rsidRPr="00567F09">
        <w:rPr>
          <w:rFonts w:ascii="Times New Roman" w:hAnsi="Times New Roman" w:cs="Times New Roman"/>
          <w:color w:val="222222"/>
          <w:sz w:val="24"/>
          <w:szCs w:val="24"/>
          <w:shd w:val="clear" w:color="auto" w:fill="FFFFFF"/>
        </w:rPr>
        <w:t>Dynamic capabilities and environmental accounting for the circular economy in businesses. </w:t>
      </w:r>
      <w:r w:rsidRPr="00567F09">
        <w:rPr>
          <w:rFonts w:ascii="Times New Roman" w:hAnsi="Times New Roman" w:cs="Times New Roman"/>
          <w:i/>
          <w:iCs/>
          <w:color w:val="222222"/>
          <w:sz w:val="24"/>
          <w:szCs w:val="24"/>
          <w:shd w:val="clear" w:color="auto" w:fill="FFFFFF"/>
        </w:rPr>
        <w:t>Sustainability Accounting, Management and Policy Journal</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11</w:t>
      </w:r>
      <w:r w:rsidRPr="00567F09">
        <w:rPr>
          <w:rFonts w:ascii="Times New Roman" w:hAnsi="Times New Roman" w:cs="Times New Roman"/>
          <w:color w:val="222222"/>
          <w:sz w:val="24"/>
          <w:szCs w:val="24"/>
          <w:shd w:val="clear" w:color="auto" w:fill="FFFFFF"/>
        </w:rPr>
        <w:t xml:space="preserve">(7), 1129-1158. </w:t>
      </w:r>
      <w:hyperlink r:id="rId33" w:history="1">
        <w:r w:rsidRPr="00567F09">
          <w:rPr>
            <w:rFonts w:ascii="Times New Roman" w:hAnsi="Times New Roman" w:cs="Times New Roman"/>
            <w:color w:val="0000FF"/>
            <w:sz w:val="24"/>
            <w:szCs w:val="24"/>
            <w:u w:val="single"/>
            <w:shd w:val="clear" w:color="auto" w:fill="FFFFFF"/>
          </w:rPr>
          <w:t>https://doi.org/10.1108/SAMPJ-04-2019-0150</w:t>
        </w:r>
      </w:hyperlink>
    </w:p>
    <w:p w14:paraId="46827B05"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lastRenderedPageBreak/>
        <w:t>Sharma, S. (2024). Fostering Green Product Design and Innovation for a Sustainable Future. In </w:t>
      </w:r>
      <w:r w:rsidRPr="00567F09">
        <w:rPr>
          <w:rFonts w:ascii="Times New Roman" w:hAnsi="Times New Roman" w:cs="Times New Roman"/>
          <w:i/>
          <w:iCs/>
          <w:color w:val="222222"/>
          <w:sz w:val="24"/>
          <w:szCs w:val="24"/>
          <w:shd w:val="clear" w:color="auto" w:fill="FFFFFF"/>
        </w:rPr>
        <w:t>Waste Management and Life Cycle Assessment for Sustainable Business Practice</w:t>
      </w:r>
      <w:r w:rsidRPr="00567F09">
        <w:rPr>
          <w:rFonts w:ascii="Times New Roman" w:hAnsi="Times New Roman" w:cs="Times New Roman"/>
          <w:color w:val="222222"/>
          <w:sz w:val="24"/>
          <w:szCs w:val="24"/>
          <w:shd w:val="clear" w:color="auto" w:fill="FFFFFF"/>
        </w:rPr>
        <w:t xml:space="preserve"> (pp. 86-110). IGI Global. </w:t>
      </w:r>
      <w:r w:rsidRPr="00567F09">
        <w:rPr>
          <w:rFonts w:ascii="Times New Roman" w:hAnsi="Times New Roman" w:cs="Times New Roman"/>
          <w:color w:val="737373"/>
          <w:sz w:val="24"/>
          <w:szCs w:val="24"/>
          <w:shd w:val="clear" w:color="auto" w:fill="FFFFFF"/>
        </w:rPr>
        <w:t>DOI: </w:t>
      </w:r>
      <w:r w:rsidRPr="00567F09">
        <w:rPr>
          <w:rFonts w:ascii="Times New Roman" w:hAnsi="Times New Roman" w:cs="Times New Roman"/>
          <w:color w:val="333333"/>
          <w:sz w:val="24"/>
          <w:szCs w:val="24"/>
          <w:shd w:val="clear" w:color="auto" w:fill="FFFFFF"/>
        </w:rPr>
        <w:t>10.4018/979-8-3693-2595-7.ch005</w:t>
      </w:r>
    </w:p>
    <w:p w14:paraId="16B64297"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r w:rsidRPr="00567F09">
        <w:rPr>
          <w:rFonts w:ascii="Times New Roman" w:hAnsi="Times New Roman" w:cs="Times New Roman"/>
          <w:sz w:val="24"/>
          <w:szCs w:val="24"/>
        </w:rPr>
        <w:t xml:space="preserve">Sheppard, J., &amp; </w:t>
      </w:r>
      <w:proofErr w:type="spellStart"/>
      <w:r w:rsidRPr="00567F09">
        <w:rPr>
          <w:rFonts w:ascii="Times New Roman" w:hAnsi="Times New Roman" w:cs="Times New Roman"/>
          <w:sz w:val="24"/>
          <w:szCs w:val="24"/>
        </w:rPr>
        <w:t>Mahdad</w:t>
      </w:r>
      <w:proofErr w:type="spellEnd"/>
      <w:r w:rsidRPr="00567F09">
        <w:rPr>
          <w:rFonts w:ascii="Times New Roman" w:hAnsi="Times New Roman" w:cs="Times New Roman"/>
          <w:sz w:val="24"/>
          <w:szCs w:val="24"/>
        </w:rPr>
        <w:t xml:space="preserve">, M. (2021). Unpacking hybrid organizing in a born green entrepreneurial company. </w:t>
      </w:r>
      <w:r w:rsidRPr="00567F09">
        <w:rPr>
          <w:rFonts w:ascii="Times New Roman" w:hAnsi="Times New Roman" w:cs="Times New Roman"/>
          <w:i/>
          <w:iCs/>
          <w:sz w:val="24"/>
          <w:szCs w:val="24"/>
        </w:rPr>
        <w:t>Sustainability, 13</w:t>
      </w:r>
      <w:r w:rsidRPr="00567F09">
        <w:rPr>
          <w:rFonts w:ascii="Times New Roman" w:hAnsi="Times New Roman" w:cs="Times New Roman"/>
          <w:sz w:val="24"/>
          <w:szCs w:val="24"/>
        </w:rPr>
        <w:t xml:space="preserve">(20), 11353. </w:t>
      </w:r>
      <w:hyperlink r:id="rId34" w:history="1">
        <w:r w:rsidRPr="00567F09">
          <w:rPr>
            <w:rFonts w:ascii="Times New Roman" w:hAnsi="Times New Roman" w:cs="Times New Roman"/>
            <w:color w:val="0000FF"/>
            <w:sz w:val="24"/>
            <w:szCs w:val="24"/>
            <w:u w:val="single"/>
          </w:rPr>
          <w:t>https://doi.org/10.3390/su132011353</w:t>
        </w:r>
      </w:hyperlink>
    </w:p>
    <w:p w14:paraId="6925512D"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Singh, S., &amp; Goyal, M. K. (2023). Enhancing climate resilience in businesses: The role of artificial intelligence. </w:t>
      </w:r>
      <w:r w:rsidRPr="00567F09">
        <w:rPr>
          <w:rFonts w:ascii="Times New Roman" w:hAnsi="Times New Roman" w:cs="Times New Roman"/>
          <w:i/>
          <w:iCs/>
          <w:color w:val="222222"/>
          <w:sz w:val="24"/>
          <w:szCs w:val="24"/>
          <w:shd w:val="clear" w:color="auto" w:fill="FFFFFF"/>
        </w:rPr>
        <w:t>Journal of Cleaner Production</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418</w:t>
      </w:r>
      <w:r w:rsidRPr="00567F09">
        <w:rPr>
          <w:rFonts w:ascii="Times New Roman" w:hAnsi="Times New Roman" w:cs="Times New Roman"/>
          <w:color w:val="222222"/>
          <w:sz w:val="24"/>
          <w:szCs w:val="24"/>
          <w:shd w:val="clear" w:color="auto" w:fill="FFFFFF"/>
        </w:rPr>
        <w:t xml:space="preserve">, 138228. </w:t>
      </w:r>
      <w:hyperlink r:id="rId35" w:history="1">
        <w:r w:rsidRPr="00567F09">
          <w:rPr>
            <w:rFonts w:ascii="Times New Roman" w:hAnsi="Times New Roman" w:cs="Times New Roman"/>
            <w:color w:val="0000FF"/>
            <w:sz w:val="24"/>
            <w:szCs w:val="24"/>
            <w:u w:val="single"/>
            <w:shd w:val="clear" w:color="auto" w:fill="FFFFFF"/>
          </w:rPr>
          <w:t>https://doi.org/10.1016/j.jclepro.2023.138228</w:t>
        </w:r>
      </w:hyperlink>
    </w:p>
    <w:p w14:paraId="57A81FA3"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Suryadevara</w:t>
      </w:r>
      <w:proofErr w:type="spellEnd"/>
      <w:r w:rsidRPr="00567F09">
        <w:rPr>
          <w:rFonts w:ascii="Times New Roman" w:hAnsi="Times New Roman" w:cs="Times New Roman"/>
          <w:color w:val="222222"/>
          <w:sz w:val="24"/>
          <w:szCs w:val="24"/>
          <w:shd w:val="clear" w:color="auto" w:fill="FFFFFF"/>
        </w:rPr>
        <w:t xml:space="preserve">, S., </w:t>
      </w:r>
      <w:proofErr w:type="spellStart"/>
      <w:r w:rsidRPr="00567F09">
        <w:rPr>
          <w:rFonts w:ascii="Times New Roman" w:hAnsi="Times New Roman" w:cs="Times New Roman"/>
          <w:color w:val="222222"/>
          <w:sz w:val="24"/>
          <w:szCs w:val="24"/>
          <w:shd w:val="clear" w:color="auto" w:fill="FFFFFF"/>
        </w:rPr>
        <w:t>Yanamala</w:t>
      </w:r>
      <w:proofErr w:type="spellEnd"/>
      <w:r w:rsidRPr="00567F09">
        <w:rPr>
          <w:rFonts w:ascii="Times New Roman" w:hAnsi="Times New Roman" w:cs="Times New Roman"/>
          <w:color w:val="222222"/>
          <w:sz w:val="24"/>
          <w:szCs w:val="24"/>
          <w:shd w:val="clear" w:color="auto" w:fill="FFFFFF"/>
        </w:rPr>
        <w:t xml:space="preserve">, A. K. Y., &amp; </w:t>
      </w:r>
      <w:proofErr w:type="spellStart"/>
      <w:r w:rsidRPr="00567F09">
        <w:rPr>
          <w:rFonts w:ascii="Times New Roman" w:hAnsi="Times New Roman" w:cs="Times New Roman"/>
          <w:color w:val="222222"/>
          <w:sz w:val="24"/>
          <w:szCs w:val="24"/>
          <w:shd w:val="clear" w:color="auto" w:fill="FFFFFF"/>
        </w:rPr>
        <w:t>Kalli</w:t>
      </w:r>
      <w:proofErr w:type="spellEnd"/>
      <w:r w:rsidRPr="00567F09">
        <w:rPr>
          <w:rFonts w:ascii="Times New Roman" w:hAnsi="Times New Roman" w:cs="Times New Roman"/>
          <w:color w:val="222222"/>
          <w:sz w:val="24"/>
          <w:szCs w:val="24"/>
          <w:shd w:val="clear" w:color="auto" w:fill="FFFFFF"/>
        </w:rPr>
        <w:t xml:space="preserve">, V. D. R. (2021). Enhancing Resource-Efficiency and Reliability in Long-Term Wireless Monitoring of </w:t>
      </w:r>
      <w:proofErr w:type="spellStart"/>
      <w:r w:rsidRPr="00567F09">
        <w:rPr>
          <w:rFonts w:ascii="Times New Roman" w:hAnsi="Times New Roman" w:cs="Times New Roman"/>
          <w:color w:val="222222"/>
          <w:sz w:val="24"/>
          <w:szCs w:val="24"/>
          <w:shd w:val="clear" w:color="auto" w:fill="FFFFFF"/>
        </w:rPr>
        <w:t>Photoplethysmographic</w:t>
      </w:r>
      <w:proofErr w:type="spellEnd"/>
      <w:r w:rsidRPr="00567F09">
        <w:rPr>
          <w:rFonts w:ascii="Times New Roman" w:hAnsi="Times New Roman" w:cs="Times New Roman"/>
          <w:color w:val="222222"/>
          <w:sz w:val="24"/>
          <w:szCs w:val="24"/>
          <w:shd w:val="clear" w:color="auto" w:fill="FFFFFF"/>
        </w:rPr>
        <w:t xml:space="preserve"> Signals. </w:t>
      </w:r>
      <w:r w:rsidRPr="00567F09">
        <w:rPr>
          <w:rFonts w:ascii="Times New Roman" w:hAnsi="Times New Roman" w:cs="Times New Roman"/>
          <w:i/>
          <w:iCs/>
          <w:color w:val="222222"/>
          <w:sz w:val="24"/>
          <w:szCs w:val="24"/>
          <w:shd w:val="clear" w:color="auto" w:fill="FFFFFF"/>
        </w:rPr>
        <w:t>International Journal of Machine Learning Research in Cybersecurity and Artificial Intelligence</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12</w:t>
      </w:r>
      <w:r w:rsidRPr="00567F09">
        <w:rPr>
          <w:rFonts w:ascii="Times New Roman" w:hAnsi="Times New Roman" w:cs="Times New Roman"/>
          <w:color w:val="222222"/>
          <w:sz w:val="24"/>
          <w:szCs w:val="24"/>
          <w:shd w:val="clear" w:color="auto" w:fill="FFFFFF"/>
        </w:rPr>
        <w:t>(1), 98-121.</w:t>
      </w:r>
    </w:p>
    <w:p w14:paraId="67D28675" w14:textId="77777777" w:rsidR="00567F09" w:rsidRPr="00567F09" w:rsidRDefault="00567F09" w:rsidP="00567F09">
      <w:pPr>
        <w:spacing w:line="240" w:lineRule="auto"/>
        <w:ind w:left="426" w:hanging="426"/>
        <w:jc w:val="both"/>
        <w:rPr>
          <w:rFonts w:ascii="Times New Roman" w:hAnsi="Times New Roman" w:cs="Times New Roman"/>
          <w:color w:val="0000FF"/>
          <w:sz w:val="24"/>
          <w:szCs w:val="24"/>
          <w:u w:val="single"/>
        </w:rPr>
      </w:pPr>
      <w:r w:rsidRPr="00567F09">
        <w:rPr>
          <w:rFonts w:ascii="Times New Roman" w:hAnsi="Times New Roman" w:cs="Times New Roman"/>
          <w:sz w:val="24"/>
          <w:szCs w:val="24"/>
          <w:lang w:val="fr-FR"/>
        </w:rPr>
        <w:t xml:space="preserve">Tien, N. H., Tien, N. V., Mai, N. P., &amp; Duc, L. D. M. (2023). </w:t>
      </w:r>
      <w:r w:rsidRPr="00567F09">
        <w:rPr>
          <w:rFonts w:ascii="Times New Roman" w:hAnsi="Times New Roman" w:cs="Times New Roman"/>
          <w:sz w:val="24"/>
          <w:szCs w:val="24"/>
        </w:rPr>
        <w:t xml:space="preserve">Green entrepreneurship: A game changer in Vietnam business landscape. </w:t>
      </w:r>
      <w:r w:rsidRPr="00567F09">
        <w:rPr>
          <w:rFonts w:ascii="Times New Roman" w:hAnsi="Times New Roman" w:cs="Times New Roman"/>
          <w:i/>
          <w:iCs/>
          <w:sz w:val="24"/>
          <w:szCs w:val="24"/>
        </w:rPr>
        <w:t>International Journal of Entrepreneurship and Small Business, 48</w:t>
      </w:r>
      <w:r w:rsidRPr="00567F09">
        <w:rPr>
          <w:rFonts w:ascii="Times New Roman" w:hAnsi="Times New Roman" w:cs="Times New Roman"/>
          <w:sz w:val="24"/>
          <w:szCs w:val="24"/>
        </w:rPr>
        <w:t xml:space="preserve">(4), 408–431. </w:t>
      </w:r>
      <w:hyperlink r:id="rId36" w:history="1">
        <w:r w:rsidRPr="00567F09">
          <w:rPr>
            <w:rFonts w:ascii="Times New Roman" w:hAnsi="Times New Roman" w:cs="Times New Roman"/>
            <w:color w:val="0000FF"/>
            <w:sz w:val="24"/>
            <w:szCs w:val="24"/>
            <w:u w:val="single"/>
          </w:rPr>
          <w:t>https://doi.org/10.1504/IJESB.2023.130829#</w:t>
        </w:r>
      </w:hyperlink>
    </w:p>
    <w:p w14:paraId="127D12F8"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Veleva</w:t>
      </w:r>
      <w:proofErr w:type="spellEnd"/>
      <w:r w:rsidRPr="00567F09">
        <w:rPr>
          <w:rFonts w:ascii="Times New Roman" w:hAnsi="Times New Roman" w:cs="Times New Roman"/>
          <w:color w:val="222222"/>
          <w:sz w:val="24"/>
          <w:szCs w:val="24"/>
          <w:shd w:val="clear" w:color="auto" w:fill="FFFFFF"/>
        </w:rPr>
        <w:t>, V. (2021). The role of entrepreneurs in advancing sustainable lifestyles: Challenges, impacts, and future opportunities. </w:t>
      </w:r>
      <w:r w:rsidRPr="00567F09">
        <w:rPr>
          <w:rFonts w:ascii="Times New Roman" w:hAnsi="Times New Roman" w:cs="Times New Roman"/>
          <w:i/>
          <w:iCs/>
          <w:color w:val="222222"/>
          <w:sz w:val="24"/>
          <w:szCs w:val="24"/>
          <w:shd w:val="clear" w:color="auto" w:fill="FFFFFF"/>
        </w:rPr>
        <w:t>Journal of Cleaner Production</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283</w:t>
      </w:r>
      <w:r w:rsidRPr="00567F09">
        <w:rPr>
          <w:rFonts w:ascii="Times New Roman" w:hAnsi="Times New Roman" w:cs="Times New Roman"/>
          <w:color w:val="222222"/>
          <w:sz w:val="24"/>
          <w:szCs w:val="24"/>
          <w:shd w:val="clear" w:color="auto" w:fill="FFFFFF"/>
        </w:rPr>
        <w:t xml:space="preserve">, 124658. </w:t>
      </w:r>
      <w:hyperlink r:id="rId37" w:history="1">
        <w:r w:rsidRPr="00567F09">
          <w:rPr>
            <w:rFonts w:ascii="Times New Roman" w:hAnsi="Times New Roman" w:cs="Times New Roman"/>
            <w:color w:val="0000FF"/>
            <w:sz w:val="24"/>
            <w:szCs w:val="24"/>
            <w:u w:val="single"/>
            <w:shd w:val="clear" w:color="auto" w:fill="FFFFFF"/>
          </w:rPr>
          <w:t>https://doi.org/10.1016/j.jclepro.2020.124658</w:t>
        </w:r>
      </w:hyperlink>
    </w:p>
    <w:p w14:paraId="634D6D1D" w14:textId="77777777" w:rsidR="00567F09" w:rsidRPr="00567F09" w:rsidRDefault="00567F09" w:rsidP="00567F09">
      <w:pPr>
        <w:spacing w:line="240" w:lineRule="auto"/>
        <w:ind w:left="426" w:hanging="426"/>
        <w:jc w:val="both"/>
        <w:rPr>
          <w:rFonts w:ascii="Times New Roman" w:hAnsi="Times New Roman" w:cs="Times New Roman"/>
          <w:sz w:val="24"/>
          <w:szCs w:val="24"/>
        </w:rPr>
      </w:pPr>
      <w:r w:rsidRPr="00567F09">
        <w:rPr>
          <w:rFonts w:ascii="Times New Roman" w:hAnsi="Times New Roman" w:cs="Times New Roman"/>
          <w:color w:val="222222"/>
          <w:sz w:val="24"/>
          <w:szCs w:val="24"/>
          <w:shd w:val="clear" w:color="auto" w:fill="FFFFFF"/>
        </w:rPr>
        <w:t>Yang, H., Ma, M., Thompson, J. R., &amp; Flower, R. J. (2018). Waste management, informal recycling, environmental pollution and public health. </w:t>
      </w:r>
      <w:r w:rsidRPr="00567F09">
        <w:rPr>
          <w:rFonts w:ascii="Times New Roman" w:hAnsi="Times New Roman" w:cs="Times New Roman"/>
          <w:i/>
          <w:iCs/>
          <w:color w:val="222222"/>
          <w:sz w:val="24"/>
          <w:szCs w:val="24"/>
          <w:shd w:val="clear" w:color="auto" w:fill="FFFFFF"/>
        </w:rPr>
        <w:t>J Epidemiol Community Health</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72</w:t>
      </w:r>
      <w:r w:rsidRPr="00567F09">
        <w:rPr>
          <w:rFonts w:ascii="Times New Roman" w:hAnsi="Times New Roman" w:cs="Times New Roman"/>
          <w:color w:val="222222"/>
          <w:sz w:val="24"/>
          <w:szCs w:val="24"/>
          <w:shd w:val="clear" w:color="auto" w:fill="FFFFFF"/>
        </w:rPr>
        <w:t xml:space="preserve">(3), 237-243. </w:t>
      </w:r>
      <w:hyperlink r:id="rId38" w:history="1">
        <w:r w:rsidRPr="00567F09">
          <w:rPr>
            <w:rFonts w:ascii="Times New Roman" w:hAnsi="Times New Roman" w:cs="Times New Roman"/>
            <w:color w:val="0000FF"/>
            <w:sz w:val="24"/>
            <w:szCs w:val="24"/>
            <w:u w:val="single"/>
            <w:shd w:val="clear" w:color="auto" w:fill="FFFFFF"/>
          </w:rPr>
          <w:t>https://doi.org/10.1136/jech-2016-208597</w:t>
        </w:r>
      </w:hyperlink>
    </w:p>
    <w:p w14:paraId="2C5FD424" w14:textId="77777777" w:rsidR="00567F09" w:rsidRPr="00567F09" w:rsidRDefault="00567F09" w:rsidP="00567F09">
      <w:pPr>
        <w:spacing w:line="240" w:lineRule="auto"/>
        <w:ind w:left="426" w:hanging="426"/>
        <w:jc w:val="both"/>
        <w:rPr>
          <w:rFonts w:ascii="Times New Roman" w:hAnsi="Times New Roman" w:cs="Times New Roman"/>
          <w:sz w:val="24"/>
          <w:szCs w:val="24"/>
        </w:rPr>
      </w:pPr>
      <w:proofErr w:type="spellStart"/>
      <w:r w:rsidRPr="00567F09">
        <w:rPr>
          <w:rFonts w:ascii="Times New Roman" w:hAnsi="Times New Roman" w:cs="Times New Roman"/>
          <w:color w:val="222222"/>
          <w:sz w:val="24"/>
          <w:szCs w:val="24"/>
          <w:shd w:val="clear" w:color="auto" w:fill="FFFFFF"/>
        </w:rPr>
        <w:t>Yaragatti</w:t>
      </w:r>
      <w:proofErr w:type="spellEnd"/>
      <w:r w:rsidRPr="00567F09">
        <w:rPr>
          <w:rFonts w:ascii="Times New Roman" w:hAnsi="Times New Roman" w:cs="Times New Roman"/>
          <w:color w:val="222222"/>
          <w:sz w:val="24"/>
          <w:szCs w:val="24"/>
          <w:shd w:val="clear" w:color="auto" w:fill="FFFFFF"/>
        </w:rPr>
        <w:t>, N., &amp; Patnaik, A. (2021). A review on additive manufacturing of polymers composites. </w:t>
      </w:r>
      <w:r w:rsidRPr="00567F09">
        <w:rPr>
          <w:rFonts w:ascii="Times New Roman" w:hAnsi="Times New Roman" w:cs="Times New Roman"/>
          <w:i/>
          <w:iCs/>
          <w:color w:val="222222"/>
          <w:sz w:val="24"/>
          <w:szCs w:val="24"/>
          <w:shd w:val="clear" w:color="auto" w:fill="FFFFFF"/>
        </w:rPr>
        <w:t>Materials Today: Proceedings</w:t>
      </w:r>
      <w:r w:rsidRPr="00567F09">
        <w:rPr>
          <w:rFonts w:ascii="Times New Roman" w:hAnsi="Times New Roman" w:cs="Times New Roman"/>
          <w:color w:val="222222"/>
          <w:sz w:val="24"/>
          <w:szCs w:val="24"/>
          <w:shd w:val="clear" w:color="auto" w:fill="FFFFFF"/>
        </w:rPr>
        <w:t>, </w:t>
      </w:r>
      <w:r w:rsidRPr="00567F09">
        <w:rPr>
          <w:rFonts w:ascii="Times New Roman" w:hAnsi="Times New Roman" w:cs="Times New Roman"/>
          <w:i/>
          <w:iCs/>
          <w:color w:val="222222"/>
          <w:sz w:val="24"/>
          <w:szCs w:val="24"/>
          <w:shd w:val="clear" w:color="auto" w:fill="FFFFFF"/>
        </w:rPr>
        <w:t>44</w:t>
      </w:r>
      <w:r w:rsidRPr="00567F09">
        <w:rPr>
          <w:rFonts w:ascii="Times New Roman" w:hAnsi="Times New Roman" w:cs="Times New Roman"/>
          <w:color w:val="222222"/>
          <w:sz w:val="24"/>
          <w:szCs w:val="24"/>
          <w:shd w:val="clear" w:color="auto" w:fill="FFFFFF"/>
        </w:rPr>
        <w:t xml:space="preserve">, 4150-4157. </w:t>
      </w:r>
      <w:hyperlink r:id="rId39" w:history="1">
        <w:r w:rsidRPr="00567F09">
          <w:rPr>
            <w:rFonts w:ascii="Times New Roman" w:hAnsi="Times New Roman" w:cs="Times New Roman"/>
            <w:color w:val="0000FF"/>
            <w:sz w:val="24"/>
            <w:szCs w:val="24"/>
            <w:u w:val="single"/>
            <w:shd w:val="clear" w:color="auto" w:fill="FFFFFF"/>
          </w:rPr>
          <w:t>https://doi.org/10.1016/j.matpr.2020.10.490</w:t>
        </w:r>
      </w:hyperlink>
    </w:p>
    <w:p w14:paraId="68DF4139" w14:textId="498C3E55" w:rsidR="00567F09" w:rsidRPr="00764B10" w:rsidRDefault="00567F09" w:rsidP="00E452C3">
      <w:pPr>
        <w:spacing w:line="240" w:lineRule="auto"/>
        <w:jc w:val="center"/>
        <w:rPr>
          <w:rFonts w:ascii="Times New Roman" w:hAnsi="Times New Roman" w:cs="Times New Roman"/>
          <w:b/>
          <w:bCs/>
          <w:sz w:val="24"/>
          <w:szCs w:val="24"/>
        </w:rPr>
      </w:pPr>
    </w:p>
    <w:sectPr w:rsidR="00567F09" w:rsidRPr="00764B1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F894B" w14:textId="77777777" w:rsidR="00266A2D" w:rsidRDefault="00266A2D">
      <w:pPr>
        <w:spacing w:after="0" w:line="240" w:lineRule="auto"/>
      </w:pPr>
      <w:r>
        <w:separator/>
      </w:r>
    </w:p>
  </w:endnote>
  <w:endnote w:type="continuationSeparator" w:id="0">
    <w:p w14:paraId="025AE398" w14:textId="77777777" w:rsidR="00266A2D" w:rsidRDefault="0026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642E" w14:textId="77777777" w:rsidR="00C77521" w:rsidRDefault="00C77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21D5" w14:textId="77777777" w:rsidR="00975938" w:rsidRDefault="00975938">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114</w:t>
    </w:r>
    <w:r>
      <w:rPr>
        <w:color w:val="000000"/>
      </w:rPr>
      <w:fldChar w:fldCharType="end"/>
    </w:r>
  </w:p>
  <w:p w14:paraId="75FDB03B" w14:textId="77777777" w:rsidR="00975938" w:rsidRDefault="00975938">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9D7F" w14:textId="77777777" w:rsidR="00C77521" w:rsidRDefault="00C77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068A" w14:textId="77777777" w:rsidR="00266A2D" w:rsidRDefault="00266A2D">
      <w:pPr>
        <w:spacing w:after="0" w:line="240" w:lineRule="auto"/>
      </w:pPr>
      <w:r>
        <w:separator/>
      </w:r>
    </w:p>
  </w:footnote>
  <w:footnote w:type="continuationSeparator" w:id="0">
    <w:p w14:paraId="1191A6F5" w14:textId="77777777" w:rsidR="00266A2D" w:rsidRDefault="0026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A021" w14:textId="0FB1B002" w:rsidR="00C77521" w:rsidRDefault="00266A2D">
    <w:pPr>
      <w:pStyle w:val="Header"/>
    </w:pPr>
    <w:r>
      <w:rPr>
        <w:noProof/>
      </w:rPr>
      <w:pict w14:anchorId="64EDB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32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EE81" w14:textId="3D85CD6A" w:rsidR="00C77521" w:rsidRDefault="00266A2D">
    <w:pPr>
      <w:pStyle w:val="Header"/>
    </w:pPr>
    <w:r>
      <w:rPr>
        <w:noProof/>
      </w:rPr>
      <w:pict w14:anchorId="0A60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32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28EB" w14:textId="2D243E19" w:rsidR="00C77521" w:rsidRDefault="00266A2D">
    <w:pPr>
      <w:pStyle w:val="Header"/>
    </w:pPr>
    <w:r>
      <w:rPr>
        <w:noProof/>
      </w:rPr>
      <w:pict w14:anchorId="0EB76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32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A8B"/>
    <w:multiLevelType w:val="multilevel"/>
    <w:tmpl w:val="824A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687A"/>
    <w:multiLevelType w:val="multilevel"/>
    <w:tmpl w:val="CD06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08B7"/>
    <w:multiLevelType w:val="multilevel"/>
    <w:tmpl w:val="0AC20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F7ED6"/>
    <w:multiLevelType w:val="multilevel"/>
    <w:tmpl w:val="63E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E23D2"/>
    <w:multiLevelType w:val="multilevel"/>
    <w:tmpl w:val="E82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C1016"/>
    <w:multiLevelType w:val="multilevel"/>
    <w:tmpl w:val="798E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55CE"/>
    <w:multiLevelType w:val="multilevel"/>
    <w:tmpl w:val="047E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86E82"/>
    <w:multiLevelType w:val="multilevel"/>
    <w:tmpl w:val="9DF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344D7"/>
    <w:multiLevelType w:val="multilevel"/>
    <w:tmpl w:val="4E64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60697"/>
    <w:multiLevelType w:val="hybridMultilevel"/>
    <w:tmpl w:val="059694A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64515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30545"/>
    <w:multiLevelType w:val="multilevel"/>
    <w:tmpl w:val="A610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770C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306D3"/>
    <w:multiLevelType w:val="multilevel"/>
    <w:tmpl w:val="FD6C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F3B54"/>
    <w:multiLevelType w:val="multilevel"/>
    <w:tmpl w:val="A8D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12538"/>
    <w:multiLevelType w:val="multilevel"/>
    <w:tmpl w:val="0400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E07CD"/>
    <w:multiLevelType w:val="multilevel"/>
    <w:tmpl w:val="F5B2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B2161"/>
    <w:multiLevelType w:val="multilevel"/>
    <w:tmpl w:val="7B3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F646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B126D"/>
    <w:multiLevelType w:val="multilevel"/>
    <w:tmpl w:val="485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B4485"/>
    <w:multiLevelType w:val="multilevel"/>
    <w:tmpl w:val="A676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10"/>
  </w:num>
  <w:num w:numId="4">
    <w:abstractNumId w:val="1"/>
  </w:num>
  <w:num w:numId="5">
    <w:abstractNumId w:val="8"/>
  </w:num>
  <w:num w:numId="6">
    <w:abstractNumId w:val="0"/>
  </w:num>
  <w:num w:numId="7">
    <w:abstractNumId w:val="11"/>
  </w:num>
  <w:num w:numId="8">
    <w:abstractNumId w:val="6"/>
  </w:num>
  <w:num w:numId="9">
    <w:abstractNumId w:val="5"/>
  </w:num>
  <w:num w:numId="10">
    <w:abstractNumId w:val="2"/>
  </w:num>
  <w:num w:numId="11">
    <w:abstractNumId w:val="17"/>
  </w:num>
  <w:num w:numId="12">
    <w:abstractNumId w:val="16"/>
  </w:num>
  <w:num w:numId="13">
    <w:abstractNumId w:val="13"/>
  </w:num>
  <w:num w:numId="14">
    <w:abstractNumId w:val="20"/>
  </w:num>
  <w:num w:numId="15">
    <w:abstractNumId w:val="14"/>
  </w:num>
  <w:num w:numId="16">
    <w:abstractNumId w:val="4"/>
  </w:num>
  <w:num w:numId="17">
    <w:abstractNumId w:val="7"/>
  </w:num>
  <w:num w:numId="18">
    <w:abstractNumId w:val="3"/>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NDWyNDQwNDIxsLRQ0lEKTi0uzszPAykwrAUAaqg29SwAAAA="/>
  </w:docVars>
  <w:rsids>
    <w:rsidRoot w:val="00975938"/>
    <w:rsid w:val="00012CCB"/>
    <w:rsid w:val="00032D9F"/>
    <w:rsid w:val="00072451"/>
    <w:rsid w:val="000E2821"/>
    <w:rsid w:val="00140687"/>
    <w:rsid w:val="00167267"/>
    <w:rsid w:val="00207CF6"/>
    <w:rsid w:val="002370A1"/>
    <w:rsid w:val="00266A2D"/>
    <w:rsid w:val="002B2F1A"/>
    <w:rsid w:val="002C71F3"/>
    <w:rsid w:val="00341941"/>
    <w:rsid w:val="0037192D"/>
    <w:rsid w:val="003F5179"/>
    <w:rsid w:val="0040607B"/>
    <w:rsid w:val="00453FB8"/>
    <w:rsid w:val="004641A1"/>
    <w:rsid w:val="00484C0C"/>
    <w:rsid w:val="0049532D"/>
    <w:rsid w:val="004E78D4"/>
    <w:rsid w:val="005360B1"/>
    <w:rsid w:val="00567F09"/>
    <w:rsid w:val="00580627"/>
    <w:rsid w:val="005F786D"/>
    <w:rsid w:val="00632B1F"/>
    <w:rsid w:val="00674157"/>
    <w:rsid w:val="00675DFD"/>
    <w:rsid w:val="006B22BE"/>
    <w:rsid w:val="00764B10"/>
    <w:rsid w:val="0077287B"/>
    <w:rsid w:val="007C718F"/>
    <w:rsid w:val="00834443"/>
    <w:rsid w:val="00935199"/>
    <w:rsid w:val="0094113A"/>
    <w:rsid w:val="00975938"/>
    <w:rsid w:val="00994830"/>
    <w:rsid w:val="009B58D7"/>
    <w:rsid w:val="009B690F"/>
    <w:rsid w:val="009C07DE"/>
    <w:rsid w:val="00A21A95"/>
    <w:rsid w:val="00A75473"/>
    <w:rsid w:val="00AD62DB"/>
    <w:rsid w:val="00B9613D"/>
    <w:rsid w:val="00BD7ED1"/>
    <w:rsid w:val="00BE6DE5"/>
    <w:rsid w:val="00BF417A"/>
    <w:rsid w:val="00C77521"/>
    <w:rsid w:val="00CD5961"/>
    <w:rsid w:val="00D41D91"/>
    <w:rsid w:val="00DE5C51"/>
    <w:rsid w:val="00E432E1"/>
    <w:rsid w:val="00E452C3"/>
    <w:rsid w:val="00E90BA4"/>
    <w:rsid w:val="00EE1B1C"/>
    <w:rsid w:val="00EE465F"/>
    <w:rsid w:val="00F40593"/>
    <w:rsid w:val="00FD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9E5F1"/>
  <w15:chartTrackingRefBased/>
  <w15:docId w15:val="{AAB47B41-7F61-4F28-A4C5-4C99AF9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9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75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5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938"/>
    <w:rPr>
      <w:rFonts w:eastAsiaTheme="majorEastAsia" w:cstheme="majorBidi"/>
      <w:color w:val="272727" w:themeColor="text1" w:themeTint="D8"/>
    </w:rPr>
  </w:style>
  <w:style w:type="paragraph" w:styleId="Title">
    <w:name w:val="Title"/>
    <w:basedOn w:val="Normal"/>
    <w:next w:val="Normal"/>
    <w:link w:val="TitleChar"/>
    <w:uiPriority w:val="10"/>
    <w:qFormat/>
    <w:rsid w:val="00975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938"/>
    <w:pPr>
      <w:spacing w:before="160"/>
      <w:jc w:val="center"/>
    </w:pPr>
    <w:rPr>
      <w:i/>
      <w:iCs/>
      <w:color w:val="404040" w:themeColor="text1" w:themeTint="BF"/>
    </w:rPr>
  </w:style>
  <w:style w:type="character" w:customStyle="1" w:styleId="QuoteChar">
    <w:name w:val="Quote Char"/>
    <w:basedOn w:val="DefaultParagraphFont"/>
    <w:link w:val="Quote"/>
    <w:uiPriority w:val="29"/>
    <w:rsid w:val="00975938"/>
    <w:rPr>
      <w:i/>
      <w:iCs/>
      <w:color w:val="404040" w:themeColor="text1" w:themeTint="BF"/>
    </w:rPr>
  </w:style>
  <w:style w:type="paragraph" w:styleId="ListParagraph">
    <w:name w:val="List Paragraph"/>
    <w:basedOn w:val="Normal"/>
    <w:uiPriority w:val="34"/>
    <w:qFormat/>
    <w:rsid w:val="00975938"/>
    <w:pPr>
      <w:ind w:left="720"/>
      <w:contextualSpacing/>
    </w:pPr>
  </w:style>
  <w:style w:type="character" w:styleId="IntenseEmphasis">
    <w:name w:val="Intense Emphasis"/>
    <w:basedOn w:val="DefaultParagraphFont"/>
    <w:uiPriority w:val="21"/>
    <w:qFormat/>
    <w:rsid w:val="00975938"/>
    <w:rPr>
      <w:i/>
      <w:iCs/>
      <w:color w:val="0F4761" w:themeColor="accent1" w:themeShade="BF"/>
    </w:rPr>
  </w:style>
  <w:style w:type="paragraph" w:styleId="IntenseQuote">
    <w:name w:val="Intense Quote"/>
    <w:basedOn w:val="Normal"/>
    <w:next w:val="Normal"/>
    <w:link w:val="IntenseQuoteChar"/>
    <w:uiPriority w:val="30"/>
    <w:qFormat/>
    <w:rsid w:val="00975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938"/>
    <w:rPr>
      <w:i/>
      <w:iCs/>
      <w:color w:val="0F4761" w:themeColor="accent1" w:themeShade="BF"/>
    </w:rPr>
  </w:style>
  <w:style w:type="character" w:styleId="IntenseReference">
    <w:name w:val="Intense Reference"/>
    <w:basedOn w:val="DefaultParagraphFont"/>
    <w:uiPriority w:val="32"/>
    <w:qFormat/>
    <w:rsid w:val="00975938"/>
    <w:rPr>
      <w:b/>
      <w:bCs/>
      <w:smallCaps/>
      <w:color w:val="0F4761" w:themeColor="accent1" w:themeShade="BF"/>
      <w:spacing w:val="5"/>
    </w:rPr>
  </w:style>
  <w:style w:type="table" w:styleId="TableGrid">
    <w:name w:val="Table Grid"/>
    <w:basedOn w:val="TableGrid8"/>
    <w:uiPriority w:val="39"/>
    <w:rsid w:val="00975938"/>
    <w:rPr>
      <w:rFonts w:ascii="Calibri" w:eastAsia="Calibri" w:hAnsi="Calibri" w:cs="Times New Roman"/>
      <w:sz w:val="20"/>
      <w:szCs w:val="20"/>
      <w:lang w:val="en-GB"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975938"/>
    <w:pPr>
      <w:spacing w:line="259" w:lineRule="auto"/>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975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938"/>
    <w:rPr>
      <w:i/>
      <w:iCs/>
    </w:rPr>
  </w:style>
  <w:style w:type="character" w:styleId="Hyperlink">
    <w:name w:val="Hyperlink"/>
    <w:basedOn w:val="DefaultParagraphFont"/>
    <w:uiPriority w:val="99"/>
    <w:unhideWhenUsed/>
    <w:rsid w:val="00975938"/>
    <w:rPr>
      <w:color w:val="0000FF"/>
      <w:u w:val="single"/>
    </w:rPr>
  </w:style>
  <w:style w:type="character" w:styleId="Strong">
    <w:name w:val="Strong"/>
    <w:basedOn w:val="DefaultParagraphFont"/>
    <w:uiPriority w:val="22"/>
    <w:qFormat/>
    <w:rsid w:val="00975938"/>
    <w:rPr>
      <w:b/>
      <w:bCs/>
    </w:rPr>
  </w:style>
  <w:style w:type="table" w:styleId="TableGridLight">
    <w:name w:val="Grid Table Light"/>
    <w:basedOn w:val="TableNormal"/>
    <w:uiPriority w:val="40"/>
    <w:rsid w:val="00975938"/>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975938"/>
  </w:style>
  <w:style w:type="character" w:customStyle="1" w:styleId="markedcontent">
    <w:name w:val="markedcontent"/>
    <w:basedOn w:val="DefaultParagraphFont"/>
    <w:rsid w:val="00975938"/>
  </w:style>
  <w:style w:type="character" w:customStyle="1" w:styleId="Tablecaption">
    <w:name w:val="Table caption_"/>
    <w:basedOn w:val="DefaultParagraphFont"/>
    <w:link w:val="Tablecaption0"/>
    <w:rsid w:val="00975938"/>
    <w:rPr>
      <w:rFonts w:ascii="Times New Roman" w:eastAsia="Times New Roman" w:hAnsi="Times New Roman" w:cs="Times New Roman"/>
      <w:sz w:val="17"/>
      <w:szCs w:val="17"/>
      <w:shd w:val="clear" w:color="auto" w:fill="FFFFFF"/>
    </w:rPr>
  </w:style>
  <w:style w:type="paragraph" w:customStyle="1" w:styleId="Tablecaption0">
    <w:name w:val="Table caption"/>
    <w:basedOn w:val="Normal"/>
    <w:link w:val="Tablecaption"/>
    <w:rsid w:val="00975938"/>
    <w:pPr>
      <w:widowControl w:val="0"/>
      <w:shd w:val="clear" w:color="auto" w:fill="FFFFFF"/>
      <w:spacing w:after="0" w:line="0" w:lineRule="atLeast"/>
    </w:pPr>
    <w:rPr>
      <w:rFonts w:ascii="Times New Roman" w:eastAsia="Times New Roman" w:hAnsi="Times New Roman" w:cs="Times New Roman"/>
      <w:kern w:val="2"/>
      <w:sz w:val="17"/>
      <w:szCs w:val="17"/>
      <w14:ligatures w14:val="standardContextual"/>
    </w:rPr>
  </w:style>
  <w:style w:type="table" w:styleId="PlainTable2">
    <w:name w:val="Plain Table 2"/>
    <w:basedOn w:val="TableNormal"/>
    <w:uiPriority w:val="42"/>
    <w:rsid w:val="00975938"/>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sbn-label">
    <w:name w:val="isbn-label"/>
    <w:basedOn w:val="DefaultParagraphFont"/>
    <w:rsid w:val="00764B10"/>
  </w:style>
  <w:style w:type="paragraph" w:styleId="BodyText">
    <w:name w:val="Body Text"/>
    <w:basedOn w:val="Normal"/>
    <w:link w:val="BodyTextChar"/>
    <w:rsid w:val="009C07DE"/>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Char">
    <w:name w:val="Body Text Char"/>
    <w:basedOn w:val="DefaultParagraphFont"/>
    <w:link w:val="BodyText"/>
    <w:rsid w:val="009C07DE"/>
    <w:rPr>
      <w:rFonts w:ascii="Times New Roman" w:eastAsia="Times New Roman" w:hAnsi="Times New Roman" w:cs="Times New Roman"/>
      <w:kern w:val="0"/>
      <w:sz w:val="28"/>
      <w:szCs w:val="20"/>
      <w:lang w:val="ro-RO" w:eastAsia="ro-RO"/>
      <w14:ligatures w14:val="none"/>
    </w:rPr>
  </w:style>
  <w:style w:type="character" w:styleId="UnresolvedMention">
    <w:name w:val="Unresolved Mention"/>
    <w:basedOn w:val="DefaultParagraphFont"/>
    <w:uiPriority w:val="99"/>
    <w:semiHidden/>
    <w:unhideWhenUsed/>
    <w:rsid w:val="00BD7ED1"/>
    <w:rPr>
      <w:color w:val="605E5C"/>
      <w:shd w:val="clear" w:color="auto" w:fill="E1DFDD"/>
    </w:rPr>
  </w:style>
  <w:style w:type="paragraph" w:styleId="Header">
    <w:name w:val="header"/>
    <w:basedOn w:val="Normal"/>
    <w:link w:val="HeaderChar"/>
    <w:uiPriority w:val="99"/>
    <w:unhideWhenUsed/>
    <w:rsid w:val="00C77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521"/>
    <w:rPr>
      <w:kern w:val="0"/>
      <w:sz w:val="22"/>
      <w:szCs w:val="22"/>
      <w14:ligatures w14:val="none"/>
    </w:rPr>
  </w:style>
  <w:style w:type="paragraph" w:styleId="Footer">
    <w:name w:val="footer"/>
    <w:basedOn w:val="Normal"/>
    <w:link w:val="FooterChar"/>
    <w:uiPriority w:val="99"/>
    <w:unhideWhenUsed/>
    <w:rsid w:val="00C77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52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17.07.184" TargetMode="External"/><Relationship Id="rId18" Type="http://schemas.openxmlformats.org/officeDocument/2006/relationships/hyperlink" Target="https://doi.org/10.5465/AME.2003.10025194" TargetMode="External"/><Relationship Id="rId26" Type="http://schemas.openxmlformats.org/officeDocument/2006/relationships/hyperlink" Target="https://doi.org/10.1080/17565529.2017.1372265" TargetMode="External"/><Relationship Id="rId39" Type="http://schemas.openxmlformats.org/officeDocument/2006/relationships/hyperlink" Target="https://doi.org/10.1016/j.matpr.2020.10.490" TargetMode="External"/><Relationship Id="rId21" Type="http://schemas.openxmlformats.org/officeDocument/2006/relationships/hyperlink" Target="https://doi.org/10.52970/grfm.v4i2.444" TargetMode="External"/><Relationship Id="rId34" Type="http://schemas.openxmlformats.org/officeDocument/2006/relationships/hyperlink" Target="https://doi.org/10.3390/su13201135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3390/ijerph191912717" TargetMode="External"/><Relationship Id="rId2" Type="http://schemas.openxmlformats.org/officeDocument/2006/relationships/styles" Target="styles.xml"/><Relationship Id="rId16" Type="http://schemas.openxmlformats.org/officeDocument/2006/relationships/hyperlink" Target="https://doi.org/10.3390/su141710909" TargetMode="External"/><Relationship Id="rId29" Type="http://schemas.openxmlformats.org/officeDocument/2006/relationships/hyperlink" Target="https://www.allresearchjournal.com/archives/2021/vol7issue11/PartE/7-11-82-44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345301036" TargetMode="External"/><Relationship Id="rId24" Type="http://schemas.openxmlformats.org/officeDocument/2006/relationships/hyperlink" Target="https://doi.org/10.1007/978-981-33-4203-3_16" TargetMode="External"/><Relationship Id="rId32" Type="http://schemas.openxmlformats.org/officeDocument/2006/relationships/hyperlink" Target="https://doi.org/10.3390/su14095556" TargetMode="External"/><Relationship Id="rId37" Type="http://schemas.openxmlformats.org/officeDocument/2006/relationships/hyperlink" Target="https://doi.org/10.1016/j.jclepro.2020.12465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techfore.2020.120246" TargetMode="External"/><Relationship Id="rId23" Type="http://schemas.openxmlformats.org/officeDocument/2006/relationships/hyperlink" Target="https://doi.org/10.1007/s10163-019-00833-5" TargetMode="External"/><Relationship Id="rId28" Type="http://schemas.openxmlformats.org/officeDocument/2006/relationships/hyperlink" Target="https://doi.org/10.1016/j.jclepro.2022.135296" TargetMode="External"/><Relationship Id="rId36" Type="http://schemas.openxmlformats.org/officeDocument/2006/relationships/hyperlink" Target="https://doi.org/10.1504/IJESB.2023.130829" TargetMode="External"/><Relationship Id="rId10" Type="http://schemas.openxmlformats.org/officeDocument/2006/relationships/hyperlink" Target="https://doi.org/10.3390/su14031531" TargetMode="External"/><Relationship Id="rId19" Type="http://schemas.openxmlformats.org/officeDocument/2006/relationships/hyperlink" Target="https://doi.org/10.24294/jipd.v8i5.5072" TargetMode="External"/><Relationship Id="rId31" Type="http://schemas.openxmlformats.org/officeDocument/2006/relationships/hyperlink" Target="https://doi.org/10.1002/csr.227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clepro.2016.07.103" TargetMode="External"/><Relationship Id="rId14" Type="http://schemas.openxmlformats.org/officeDocument/2006/relationships/hyperlink" Target="https://doi.org/10.1016/j.egyr.2018.10.004" TargetMode="External"/><Relationship Id="rId22" Type="http://schemas.openxmlformats.org/officeDocument/2006/relationships/hyperlink" Target="https://doi.org/10.52783/jier.v4i1.599" TargetMode="External"/><Relationship Id="rId27" Type="http://schemas.openxmlformats.org/officeDocument/2006/relationships/hyperlink" Target="https://doi.org/10.3390/jcs5010028" TargetMode="External"/><Relationship Id="rId30" Type="http://schemas.openxmlformats.org/officeDocument/2006/relationships/hyperlink" Target="https://doi.org/10.1016/j.jclepro.2022.133623" TargetMode="External"/><Relationship Id="rId35" Type="http://schemas.openxmlformats.org/officeDocument/2006/relationships/hyperlink" Target="https://doi.org/10.1016/j.jclepro.2023.138228" TargetMode="External"/><Relationship Id="rId43" Type="http://schemas.openxmlformats.org/officeDocument/2006/relationships/footer" Target="footer2.xml"/><Relationship Id="rId8" Type="http://schemas.openxmlformats.org/officeDocument/2006/relationships/hyperlink" Target="https://doi.org/10.1108/IJLM-05-2020-0187" TargetMode="External"/><Relationship Id="rId3" Type="http://schemas.openxmlformats.org/officeDocument/2006/relationships/settings" Target="settings.xml"/><Relationship Id="rId12" Type="http://schemas.openxmlformats.org/officeDocument/2006/relationships/hyperlink" Target="https://vertexaisearch.cloud.google.com/grounding-api-redirect/AUZIYQGVwwe_X2h8Ao5inBwc3dN66YW6qsUBj-HZ2gTXc1kI8ZUFmIZOySDGcj78cOTTxCP4Z7bEgIt7coF8y8EfOehHknEQ6USVZh0zz6vXFnmnDVxFsgXVerILw95to4xLIYZA205aPN0Mk3kULTXUCA3ZAvghb2_Hm_otMIW-MfEYd2tV7vBNk70qeE_K28-4-rzYIM8yMtHOjqa6V90FNvy4fPJ6V90FNvy4fPJ6S0kyGIqsAeBhR0v_znQzYyuYuO21L-4mOQASZ88wTu5uEct4YKBq2WI68-dVCulbhowpSQcDJc7LPU8099UYJTr5y3xHZA" TargetMode="External"/><Relationship Id="rId17" Type="http://schemas.openxmlformats.org/officeDocument/2006/relationships/hyperlink" Target="https://doi.org/10.5465/amr.1995.9512280033" TargetMode="External"/><Relationship Id="rId25" Type="http://schemas.openxmlformats.org/officeDocument/2006/relationships/hyperlink" Target="https://doi.org/10.1002/csr.1678" TargetMode="External"/><Relationship Id="rId33" Type="http://schemas.openxmlformats.org/officeDocument/2006/relationships/hyperlink" Target="https://doi.org/10.1108/SAMPJ-04-2019-0150" TargetMode="External"/><Relationship Id="rId38" Type="http://schemas.openxmlformats.org/officeDocument/2006/relationships/hyperlink" Target="https://doi.org/10.1136/jech-2016-208597" TargetMode="External"/><Relationship Id="rId46" Type="http://schemas.openxmlformats.org/officeDocument/2006/relationships/fontTable" Target="fontTable.xml"/><Relationship Id="rId20" Type="http://schemas.openxmlformats.org/officeDocument/2006/relationships/hyperlink" Target="https://doi.org/10.1007/s10708-022-10596-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Akeem Nafiu</dc:creator>
  <cp:keywords/>
  <dc:description/>
  <cp:lastModifiedBy>Editor GP 005</cp:lastModifiedBy>
  <cp:revision>7</cp:revision>
  <dcterms:created xsi:type="dcterms:W3CDTF">2025-11-27T16:11:00Z</dcterms:created>
  <dcterms:modified xsi:type="dcterms:W3CDTF">2025-11-29T08:54:00Z</dcterms:modified>
</cp:coreProperties>
</file>