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3CCB" w14:textId="77777777" w:rsidR="00754C9A" w:rsidRDefault="00754C9A" w:rsidP="00441B6F">
      <w:pPr>
        <w:pStyle w:val="Title"/>
        <w:spacing w:after="0"/>
        <w:jc w:val="both"/>
        <w:rPr>
          <w:rFonts w:ascii="Arial" w:hAnsi="Arial" w:cs="Arial"/>
        </w:rPr>
      </w:pPr>
    </w:p>
    <w:p w14:paraId="2E85C611" w14:textId="77777777" w:rsidR="0050330B" w:rsidRDefault="0050330B" w:rsidP="00CC1A17">
      <w:pPr>
        <w:pStyle w:val="Author"/>
        <w:spacing w:line="240" w:lineRule="auto"/>
        <w:rPr>
          <w:rFonts w:ascii="Arial" w:hAnsi="Arial" w:cs="Arial"/>
          <w:bCs/>
          <w:iCs/>
          <w:kern w:val="28"/>
          <w:sz w:val="36"/>
        </w:rPr>
      </w:pPr>
      <w:r w:rsidRPr="0050330B">
        <w:rPr>
          <w:rFonts w:ascii="Arial" w:hAnsi="Arial" w:cs="Arial"/>
          <w:bCs/>
          <w:iCs/>
          <w:kern w:val="28"/>
          <w:sz w:val="36"/>
        </w:rPr>
        <w:t>Short Research Article</w:t>
      </w:r>
    </w:p>
    <w:p w14:paraId="3D8110C1" w14:textId="77777777" w:rsidR="00E53721" w:rsidRDefault="00E53721" w:rsidP="00CC1A17">
      <w:pPr>
        <w:pStyle w:val="Author"/>
        <w:spacing w:line="240" w:lineRule="auto"/>
        <w:rPr>
          <w:rFonts w:ascii="Arial" w:hAnsi="Arial" w:cs="Arial"/>
          <w:bCs/>
          <w:iCs/>
          <w:kern w:val="28"/>
          <w:sz w:val="36"/>
        </w:rPr>
      </w:pPr>
    </w:p>
    <w:p w14:paraId="1B891354" w14:textId="77777777" w:rsidR="00FF22A5" w:rsidRDefault="002E5DFB" w:rsidP="00CC1A17">
      <w:pPr>
        <w:pStyle w:val="Author"/>
        <w:spacing w:line="240" w:lineRule="auto"/>
        <w:rPr>
          <w:rFonts w:ascii="Arial" w:hAnsi="Arial" w:cs="Arial"/>
          <w:bCs/>
          <w:iCs/>
          <w:kern w:val="28"/>
          <w:sz w:val="36"/>
        </w:rPr>
      </w:pPr>
      <w:r w:rsidRPr="002E5DFB">
        <w:rPr>
          <w:rFonts w:ascii="Arial" w:hAnsi="Arial" w:cs="Arial"/>
          <w:bCs/>
          <w:iCs/>
          <w:kern w:val="28"/>
          <w:sz w:val="36"/>
        </w:rPr>
        <w:t>Motivation and Coping Mechanisms of Female Students in Automotive Technology:</w:t>
      </w:r>
    </w:p>
    <w:p w14:paraId="36DE0F57" w14:textId="2D7FD131" w:rsidR="00163BC4" w:rsidRPr="000D6621" w:rsidRDefault="002E5DFB" w:rsidP="00CC1A17">
      <w:pPr>
        <w:pStyle w:val="Author"/>
        <w:spacing w:line="240" w:lineRule="auto"/>
        <w:rPr>
          <w:rFonts w:ascii="Arial" w:hAnsi="Arial" w:cs="Arial"/>
          <w:bCs/>
          <w:iCs/>
          <w:kern w:val="28"/>
          <w:sz w:val="36"/>
        </w:rPr>
      </w:pPr>
      <w:r w:rsidRPr="002E5DFB">
        <w:rPr>
          <w:rFonts w:ascii="Arial" w:hAnsi="Arial" w:cs="Arial"/>
          <w:bCs/>
          <w:iCs/>
          <w:kern w:val="28"/>
          <w:sz w:val="36"/>
        </w:rPr>
        <w:t>A Case Study in Northern Philippines</w:t>
      </w:r>
    </w:p>
    <w:p w14:paraId="7FFF3D0A" w14:textId="77777777" w:rsidR="00A258C3" w:rsidRPr="00790ADA" w:rsidRDefault="00A258C3" w:rsidP="00441B6F">
      <w:pPr>
        <w:pStyle w:val="Author"/>
        <w:spacing w:line="240" w:lineRule="auto"/>
        <w:jc w:val="both"/>
        <w:rPr>
          <w:rFonts w:ascii="Arial" w:hAnsi="Arial" w:cs="Arial"/>
          <w:sz w:val="36"/>
        </w:rPr>
      </w:pPr>
    </w:p>
    <w:p w14:paraId="09D4901B" w14:textId="77777777" w:rsidR="002C57D2" w:rsidRPr="00FB3A86" w:rsidRDefault="002C57D2" w:rsidP="00441B6F">
      <w:pPr>
        <w:pStyle w:val="Affiliation"/>
        <w:spacing w:after="0" w:line="240" w:lineRule="auto"/>
        <w:jc w:val="both"/>
        <w:rPr>
          <w:rFonts w:ascii="Arial" w:hAnsi="Arial" w:cs="Arial"/>
        </w:rPr>
      </w:pPr>
    </w:p>
    <w:p w14:paraId="3AA907CB" w14:textId="77777777" w:rsidR="00B01FCD" w:rsidRPr="00FB3A86" w:rsidRDefault="00000000" w:rsidP="00441B6F">
      <w:pPr>
        <w:pStyle w:val="Copyright"/>
        <w:spacing w:after="0" w:line="240" w:lineRule="auto"/>
        <w:jc w:val="both"/>
        <w:rPr>
          <w:rFonts w:ascii="Arial" w:hAnsi="Arial" w:cs="Arial"/>
        </w:rPr>
        <w:sectPr w:rsidR="00B01FCD" w:rsidRPr="00FB3A86" w:rsidSect="00DD5B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019CC221" w14:textId="7F538BFF"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1E44FE">
        <w:tc>
          <w:tcPr>
            <w:tcW w:w="9576" w:type="dxa"/>
            <w:shd w:val="clear" w:color="auto" w:fill="F2F2F2"/>
          </w:tcPr>
          <w:p w14:paraId="0D08730E" w14:textId="534B59D9" w:rsidR="00505F06" w:rsidRPr="00BA1B01" w:rsidRDefault="0071049F" w:rsidP="00CC1A17">
            <w:pPr>
              <w:pStyle w:val="Body"/>
              <w:spacing w:after="0"/>
              <w:rPr>
                <w:rFonts w:ascii="Arial" w:eastAsia="Calibri" w:hAnsi="Arial" w:cs="Arial"/>
                <w:szCs w:val="22"/>
              </w:rPr>
            </w:pPr>
            <w:r w:rsidRPr="0071049F">
              <w:rPr>
                <w:rFonts w:ascii="Arial" w:eastAsia="Calibri" w:hAnsi="Arial" w:cs="Arial"/>
                <w:szCs w:val="22"/>
              </w:rPr>
              <w:t xml:space="preserve">This study aimed to explore the motivation, gender-related challenges, and coping mechanisms of female students pursuing an Automotive Technology degree in Northern Philippines, highlighting how personal, social, and institutional factors influence their persistence in a male-dominated field. A qualitative case study was employed to capture in-depth, contextualized experiences of participants within their real-life educational setting. The study was conducted at a state university in Northern Philippines with seven purposively selected female students enrolled in the Automotive Technology program during the semester of data collection. Data </w:t>
            </w:r>
            <w:r w:rsidRPr="0071049F">
              <w:rPr>
                <w:rFonts w:ascii="Arial" w:eastAsia="Calibri" w:hAnsi="Arial" w:cs="Arial"/>
                <w:szCs w:val="22"/>
              </w:rPr>
              <w:t>was</w:t>
            </w:r>
            <w:r w:rsidRPr="0071049F">
              <w:rPr>
                <w:rFonts w:ascii="Arial" w:eastAsia="Calibri" w:hAnsi="Arial" w:cs="Arial"/>
                <w:szCs w:val="22"/>
              </w:rPr>
              <w:t xml:space="preserve"> gathered through semi-structured interviews and analyzed using thematic analysis following Clarke and Braun’s (2019) six-step framework to identify recurring patterns related to motivation, gender bias, coping strategies, and institutional support. Findings revealed that intrinsic motivation, such as personal interest and passion for mechanical work, alongside extrinsic influences from family and role models, significantly shaped students’ engagement, consistent with Self-Determination Theory and Expectancy-Value Theory. Participants also expressed a desire to challenge gender stereotypes, reflecting high self-efficacy and agency as explained by Social Cognitive Theory. Despite encountering gender-related challenges, including skepticism from peers and instructors, students employed adaptive coping strategies, such as cognitive reframing, goal-oriented focus, social support, and emotional regulation, which reinforced resilience, persistence, and skill mastery. Furthermore, participants emphasized the importance of mentorship, visible female role models, hands-on workshops, and inclusive institutional practices in fostering empowerment and motivation. The interplay of intrinsic interest, social support, and self-efficacy underscores the need for gender-sensitive policies and structured support in technical education to sustain female students’ motivation, confidence, and professional development in male-dominated programs.</w:t>
            </w:r>
          </w:p>
        </w:tc>
      </w:tr>
    </w:tbl>
    <w:p w14:paraId="6559E3BE" w14:textId="77777777" w:rsidR="00636EB2" w:rsidRDefault="00636EB2" w:rsidP="00441B6F">
      <w:pPr>
        <w:pStyle w:val="Body"/>
        <w:spacing w:after="0"/>
        <w:rPr>
          <w:rFonts w:ascii="Arial" w:hAnsi="Arial" w:cs="Arial"/>
          <w:i/>
        </w:rPr>
      </w:pPr>
    </w:p>
    <w:p w14:paraId="52DF2596" w14:textId="5FE48034" w:rsidR="00505F06" w:rsidRDefault="00A24E7E" w:rsidP="00441B6F">
      <w:pPr>
        <w:pStyle w:val="Body"/>
        <w:spacing w:after="0"/>
        <w:rPr>
          <w:rFonts w:ascii="Arial" w:hAnsi="Arial" w:cs="Arial"/>
          <w:i/>
        </w:rPr>
      </w:pPr>
      <w:r>
        <w:rPr>
          <w:rFonts w:ascii="Arial" w:hAnsi="Arial" w:cs="Arial"/>
          <w:i/>
        </w:rPr>
        <w:t>Keywords:</w:t>
      </w:r>
      <w:r w:rsidR="00CC1A17">
        <w:rPr>
          <w:rFonts w:ascii="Arial" w:hAnsi="Arial" w:cs="Arial"/>
          <w:i/>
        </w:rPr>
        <w:t xml:space="preserve"> </w:t>
      </w:r>
      <w:r w:rsidR="00CC1A17" w:rsidRPr="00CC1A17">
        <w:rPr>
          <w:rFonts w:ascii="Arial" w:hAnsi="Arial" w:cs="Arial"/>
          <w:i/>
        </w:rPr>
        <w:t xml:space="preserve">automotive technology, case study, coping mechanisms, gender-related challenges, motivation, technical-vocational education  </w:t>
      </w:r>
    </w:p>
    <w:p w14:paraId="62F5C9CF" w14:textId="77777777" w:rsidR="000D6621" w:rsidRPr="00A24E7E" w:rsidRDefault="000D6621" w:rsidP="00441B6F">
      <w:pPr>
        <w:pStyle w:val="Body"/>
        <w:spacing w:after="0"/>
        <w:rPr>
          <w:rFonts w:ascii="Arial" w:hAnsi="Arial" w:cs="Arial"/>
          <w:i/>
        </w:rPr>
      </w:pPr>
    </w:p>
    <w:p w14:paraId="55B1D956" w14:textId="71D2C75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2EB9D06" w14:textId="77777777" w:rsidR="00790ADA" w:rsidRPr="00FB3A86" w:rsidRDefault="00790ADA" w:rsidP="00441B6F">
      <w:pPr>
        <w:pStyle w:val="AbstHead"/>
        <w:spacing w:after="0"/>
        <w:jc w:val="both"/>
        <w:rPr>
          <w:rFonts w:ascii="Arial" w:hAnsi="Arial" w:cs="Arial"/>
        </w:rPr>
      </w:pPr>
    </w:p>
    <w:p w14:paraId="7C2B85CC" w14:textId="77777777" w:rsidR="000D6621" w:rsidRPr="000D6621" w:rsidRDefault="000D6621" w:rsidP="000D6621">
      <w:pPr>
        <w:pStyle w:val="Body"/>
        <w:rPr>
          <w:rFonts w:ascii="Arial" w:hAnsi="Arial" w:cs="Arial"/>
        </w:rPr>
      </w:pPr>
      <w:r w:rsidRPr="000D6621">
        <w:rPr>
          <w:rFonts w:ascii="Arial" w:hAnsi="Arial" w:cs="Arial"/>
        </w:rPr>
        <w:t xml:space="preserve">Gender disparity in technical and vocational education and training (TVET) remains one of the most persistent educational challenges worldwide. Despite efforts by various organizations to promote inclusivity, men still dominate fields related to mechanics, automotive, and electronics, while women are largely directed toward service-oriented or care-related courses. UNESCO (2021) notes that the notion of “masculine” and “feminine” careers continues to influence educational choices and career trajectories. These </w:t>
      </w:r>
      <w:r w:rsidRPr="000D6621">
        <w:rPr>
          <w:rFonts w:ascii="Arial" w:hAnsi="Arial" w:cs="Arial"/>
        </w:rPr>
        <w:lastRenderedPageBreak/>
        <w:t>stereotypes discourage many young women from entering industrial and technical trades, reinforcing occupational segregation that has existed for generations.</w:t>
      </w:r>
    </w:p>
    <w:p w14:paraId="2CB8E869" w14:textId="39DB22D7" w:rsidR="000D6621" w:rsidRPr="000D6621" w:rsidRDefault="00A91742" w:rsidP="000D6621">
      <w:pPr>
        <w:pStyle w:val="Body"/>
        <w:rPr>
          <w:rFonts w:ascii="Arial" w:hAnsi="Arial" w:cs="Arial"/>
        </w:rPr>
      </w:pPr>
      <w:r w:rsidRPr="00A91742">
        <w:rPr>
          <w:rFonts w:ascii="Arial" w:hAnsi="Arial" w:cs="Arial"/>
        </w:rPr>
        <w:t xml:space="preserve">Ortega, Montero, Canals, &amp; </w:t>
      </w:r>
      <w:proofErr w:type="spellStart"/>
      <w:r w:rsidRPr="00A91742">
        <w:rPr>
          <w:rFonts w:ascii="Arial" w:hAnsi="Arial" w:cs="Arial"/>
        </w:rPr>
        <w:t>Mizala</w:t>
      </w:r>
      <w:proofErr w:type="spellEnd"/>
      <w:r>
        <w:rPr>
          <w:rFonts w:ascii="Arial" w:hAnsi="Arial" w:cs="Arial"/>
        </w:rPr>
        <w:t xml:space="preserve"> </w:t>
      </w:r>
      <w:r w:rsidR="00B15BB2">
        <w:rPr>
          <w:rFonts w:ascii="Arial" w:hAnsi="Arial" w:cs="Arial"/>
        </w:rPr>
        <w:t>(</w:t>
      </w:r>
      <w:r w:rsidR="00B15BB2" w:rsidRPr="00B15BB2">
        <w:rPr>
          <w:rFonts w:ascii="Arial" w:hAnsi="Arial" w:cs="Arial"/>
        </w:rPr>
        <w:t>2025</w:t>
      </w:r>
      <w:r w:rsidR="00B15BB2">
        <w:rPr>
          <w:rFonts w:ascii="Arial" w:hAnsi="Arial" w:cs="Arial"/>
        </w:rPr>
        <w:t>)</w:t>
      </w:r>
      <w:r w:rsidR="000D6621" w:rsidRPr="000D6621">
        <w:rPr>
          <w:rFonts w:ascii="Arial" w:hAnsi="Arial" w:cs="Arial"/>
        </w:rPr>
        <w:t xml:space="preserve"> emphasizes that cultural expectations, gender socialization, and educational tracking contribute to the underrepresentation of women in technical education. This is particularly evident in the Philippines, where the Technical Education and Skills Development Authority (TESDA</w:t>
      </w:r>
      <w:r w:rsidR="00ED16DC">
        <w:rPr>
          <w:rFonts w:ascii="Arial" w:hAnsi="Arial" w:cs="Arial"/>
        </w:rPr>
        <w:t xml:space="preserve"> Women Center</w:t>
      </w:r>
      <w:r w:rsidR="000D6621" w:rsidRPr="000D6621">
        <w:rPr>
          <w:rFonts w:ascii="Arial" w:hAnsi="Arial" w:cs="Arial"/>
        </w:rPr>
        <w:t>, 2020) has reported that women account for less than 10% of enrollees in male-dominated programs such as automotive technology. Despite the presence of gender mainstreaming programs and institutional gender and development (GAD) policies, deep-rooted gender norms continue to affect female participation.</w:t>
      </w:r>
    </w:p>
    <w:p w14:paraId="6638171F" w14:textId="78437EEF" w:rsidR="000D6621" w:rsidRPr="000D6621" w:rsidRDefault="000D6621" w:rsidP="000D6621">
      <w:pPr>
        <w:pStyle w:val="Body"/>
        <w:rPr>
          <w:rFonts w:ascii="Arial" w:hAnsi="Arial" w:cs="Arial"/>
        </w:rPr>
      </w:pPr>
      <w:r w:rsidRPr="000D6621">
        <w:rPr>
          <w:rFonts w:ascii="Arial" w:hAnsi="Arial" w:cs="Arial"/>
        </w:rPr>
        <w:t xml:space="preserve">According to </w:t>
      </w:r>
      <w:r w:rsidR="00DC4FBE" w:rsidRPr="00DC4FBE">
        <w:rPr>
          <w:rFonts w:ascii="Arial" w:hAnsi="Arial" w:cs="Arial"/>
        </w:rPr>
        <w:t>Soliman &amp; Gabutin</w:t>
      </w:r>
      <w:r w:rsidR="00DC4FBE">
        <w:rPr>
          <w:rFonts w:ascii="Arial" w:hAnsi="Arial" w:cs="Arial"/>
        </w:rPr>
        <w:t xml:space="preserve"> (</w:t>
      </w:r>
      <w:r w:rsidR="00DC4FBE" w:rsidRPr="00DC4FBE">
        <w:rPr>
          <w:rFonts w:ascii="Arial" w:hAnsi="Arial" w:cs="Arial"/>
        </w:rPr>
        <w:t>2025</w:t>
      </w:r>
      <w:r w:rsidRPr="000D6621">
        <w:rPr>
          <w:rFonts w:ascii="Arial" w:hAnsi="Arial" w:cs="Arial"/>
        </w:rPr>
        <w:t>), women who pursue non-traditional courses frequently struggle with self-doubt, partly because of social narratives that question their capability to perform mechanical or technical tasks. Such perceptions not only influence student confidence but also shape the structure of TVET institutions, as gender bias becomes embedded in curricula, learning spaces, and teaching methods. Tan and Lopez (2022) further point out that the scarcity of female instructors in these programs aggravates the imbalance, as women lack visible role models who can validate their potential and competence. They assert that the presence of female mentors in technical education could normalize women’s participation, inspire confidence, and foster a more inclusive learning environment.</w:t>
      </w:r>
      <w:r w:rsidR="00A91742">
        <w:rPr>
          <w:rFonts w:ascii="Arial" w:hAnsi="Arial" w:cs="Arial"/>
        </w:rPr>
        <w:t xml:space="preserve"> </w:t>
      </w:r>
      <w:r w:rsidRPr="000D6621">
        <w:rPr>
          <w:rFonts w:ascii="Arial" w:hAnsi="Arial" w:cs="Arial"/>
        </w:rPr>
        <w:t xml:space="preserve">Ultimately, addressing gender issues in TVET requires more than policy compliance; it demands a cultural shift in how society perceives gender roles, skills, and career identity. </w:t>
      </w:r>
    </w:p>
    <w:p w14:paraId="10DBE3D8" w14:textId="48217BE0" w:rsidR="000D6621" w:rsidRPr="000D6621" w:rsidRDefault="000D6621" w:rsidP="000D6621">
      <w:pPr>
        <w:pStyle w:val="Body"/>
        <w:rPr>
          <w:rFonts w:ascii="Arial" w:hAnsi="Arial" w:cs="Arial"/>
        </w:rPr>
      </w:pPr>
      <w:r w:rsidRPr="000D6621">
        <w:rPr>
          <w:rFonts w:ascii="Arial" w:hAnsi="Arial" w:cs="Arial"/>
        </w:rPr>
        <w:t xml:space="preserve">The experiences of women in male-dominated programs highlight the gendered realities of technical education. </w:t>
      </w:r>
      <w:proofErr w:type="spellStart"/>
      <w:r w:rsidR="006F36F2" w:rsidRPr="006F36F2">
        <w:rPr>
          <w:rFonts w:ascii="Arial" w:hAnsi="Arial" w:cs="Arial"/>
        </w:rPr>
        <w:t>Mtt</w:t>
      </w:r>
      <w:proofErr w:type="spellEnd"/>
      <w:r w:rsidR="006F36F2" w:rsidRPr="006F36F2">
        <w:rPr>
          <w:rFonts w:ascii="Arial" w:hAnsi="Arial" w:cs="Arial"/>
        </w:rPr>
        <w:t xml:space="preserve"> et al.</w:t>
      </w:r>
      <w:r w:rsidR="006F36F2">
        <w:rPr>
          <w:rFonts w:ascii="Arial" w:hAnsi="Arial" w:cs="Arial"/>
        </w:rPr>
        <w:t xml:space="preserve"> (</w:t>
      </w:r>
      <w:r w:rsidR="006F36F2" w:rsidRPr="006F36F2">
        <w:rPr>
          <w:rFonts w:ascii="Arial" w:hAnsi="Arial" w:cs="Arial"/>
        </w:rPr>
        <w:t>2024</w:t>
      </w:r>
      <w:r w:rsidRPr="000D6621">
        <w:rPr>
          <w:rFonts w:ascii="Arial" w:hAnsi="Arial" w:cs="Arial"/>
        </w:rPr>
        <w:t>) reports that female students in mechanical and automotive courses often encounter subtle and overt forms of discrimination such as stereotyping, teasing, and exclusion during workshop sessions. Male classmates frequently take leadership roles in group activities, while women are often relegated to supporting tasks, resulting in fewer opportunities to gain hands-on experience. These gendered patterns reinforce traditional beliefs that women are less competent in technical work.</w:t>
      </w:r>
    </w:p>
    <w:p w14:paraId="5EC0984E" w14:textId="3E429AAC" w:rsidR="000D6621" w:rsidRPr="000D6621" w:rsidRDefault="000D6621" w:rsidP="000D6621">
      <w:pPr>
        <w:pStyle w:val="Body"/>
        <w:rPr>
          <w:rFonts w:ascii="Arial" w:hAnsi="Arial" w:cs="Arial"/>
        </w:rPr>
      </w:pPr>
      <w:r w:rsidRPr="000D6621">
        <w:rPr>
          <w:rFonts w:ascii="Arial" w:hAnsi="Arial" w:cs="Arial"/>
        </w:rPr>
        <w:t xml:space="preserve">A study conducted by </w:t>
      </w:r>
      <w:r w:rsidR="0000546F" w:rsidRPr="0000546F">
        <w:rPr>
          <w:rFonts w:ascii="Arial" w:hAnsi="Arial" w:cs="Arial"/>
        </w:rPr>
        <w:t>Talento</w:t>
      </w:r>
      <w:r w:rsidR="00A91742">
        <w:rPr>
          <w:rFonts w:ascii="Arial" w:hAnsi="Arial" w:cs="Arial"/>
        </w:rPr>
        <w:t xml:space="preserve">, Tandang, </w:t>
      </w:r>
      <w:r w:rsidR="00A91742" w:rsidRPr="00A91742">
        <w:rPr>
          <w:rFonts w:ascii="Arial" w:hAnsi="Arial" w:cs="Arial"/>
        </w:rPr>
        <w:t xml:space="preserve">Rogelio, &amp; Araña-Roldan </w:t>
      </w:r>
      <w:r w:rsidR="0000546F">
        <w:rPr>
          <w:rFonts w:ascii="Arial" w:hAnsi="Arial" w:cs="Arial"/>
        </w:rPr>
        <w:t>(</w:t>
      </w:r>
      <w:r w:rsidR="0000546F" w:rsidRPr="0000546F">
        <w:rPr>
          <w:rFonts w:ascii="Arial" w:hAnsi="Arial" w:cs="Arial"/>
        </w:rPr>
        <w:t>2022</w:t>
      </w:r>
      <w:r w:rsidR="0000546F">
        <w:rPr>
          <w:rFonts w:ascii="Arial" w:hAnsi="Arial" w:cs="Arial"/>
        </w:rPr>
        <w:t>)</w:t>
      </w:r>
      <w:r w:rsidRPr="000D6621">
        <w:rPr>
          <w:rFonts w:ascii="Arial" w:hAnsi="Arial" w:cs="Arial"/>
        </w:rPr>
        <w:t xml:space="preserve"> among female students in Philippine state universities revealed that while some women receive support from peers and teachers, others face skepticism and ridicule. Such treatment negatively affects motivation, confidence, and sense of belonging. The study also pointed out the absence of gender-sensitive facilities—such as separate restrooms, appropriate uniforms, and safety equipment—as a major concern for female learners. These physical and social barriers contribute to feelings of discomfort and exclusion, further limiting female participation.</w:t>
      </w:r>
    </w:p>
    <w:p w14:paraId="1D9FC314" w14:textId="096ACB7F" w:rsidR="000D6621" w:rsidRPr="000D6621" w:rsidRDefault="000D6621" w:rsidP="000D6621">
      <w:pPr>
        <w:pStyle w:val="Body"/>
        <w:rPr>
          <w:rFonts w:ascii="Arial" w:hAnsi="Arial" w:cs="Arial"/>
        </w:rPr>
      </w:pPr>
      <w:r w:rsidRPr="000D6621">
        <w:rPr>
          <w:rFonts w:ascii="Arial" w:hAnsi="Arial" w:cs="Arial"/>
        </w:rPr>
        <w:t xml:space="preserve">On a global scale, </w:t>
      </w:r>
      <w:r w:rsidR="009B6FE9" w:rsidRPr="009B6FE9">
        <w:rPr>
          <w:rFonts w:ascii="Arial" w:hAnsi="Arial" w:cs="Arial"/>
        </w:rPr>
        <w:t xml:space="preserve">Longe &amp; </w:t>
      </w:r>
      <w:proofErr w:type="spellStart"/>
      <w:r w:rsidR="009B6FE9" w:rsidRPr="009B6FE9">
        <w:rPr>
          <w:rFonts w:ascii="Arial" w:hAnsi="Arial" w:cs="Arial"/>
        </w:rPr>
        <w:t>Ouahada</w:t>
      </w:r>
      <w:proofErr w:type="spellEnd"/>
      <w:r w:rsidR="009B6FE9">
        <w:rPr>
          <w:rFonts w:ascii="Arial" w:hAnsi="Arial" w:cs="Arial"/>
        </w:rPr>
        <w:t xml:space="preserve"> (</w:t>
      </w:r>
      <w:r w:rsidR="009B6FE9" w:rsidRPr="009B6FE9">
        <w:rPr>
          <w:rFonts w:ascii="Arial" w:hAnsi="Arial" w:cs="Arial"/>
        </w:rPr>
        <w:t>2019)</w:t>
      </w:r>
      <w:r w:rsidRPr="000D6621">
        <w:rPr>
          <w:rFonts w:ascii="Arial" w:hAnsi="Arial" w:cs="Arial"/>
        </w:rPr>
        <w:t xml:space="preserve"> found that women in engineering and automotive programs experience “invisible barriers” like microaggressions and lower expectations from instructors. These barriers create an environment where women must constantly prove themselves capable of performing at par with their male peers. </w:t>
      </w:r>
      <w:r w:rsidR="0000546F" w:rsidRPr="0000546F">
        <w:rPr>
          <w:rFonts w:ascii="Arial" w:hAnsi="Arial" w:cs="Arial"/>
        </w:rPr>
        <w:t>Sukumaran et al.</w:t>
      </w:r>
      <w:r w:rsidR="0000546F">
        <w:rPr>
          <w:rFonts w:ascii="Arial" w:hAnsi="Arial" w:cs="Arial"/>
        </w:rPr>
        <w:t xml:space="preserve"> (</w:t>
      </w:r>
      <w:r w:rsidR="0000546F" w:rsidRPr="0000546F">
        <w:rPr>
          <w:rFonts w:ascii="Arial" w:hAnsi="Arial" w:cs="Arial"/>
        </w:rPr>
        <w:t>2024</w:t>
      </w:r>
      <w:r w:rsidR="0000546F">
        <w:rPr>
          <w:rFonts w:ascii="Arial" w:hAnsi="Arial" w:cs="Arial"/>
        </w:rPr>
        <w:t>)</w:t>
      </w:r>
      <w:r w:rsidRPr="000D6621">
        <w:rPr>
          <w:rFonts w:ascii="Arial" w:hAnsi="Arial" w:cs="Arial"/>
        </w:rPr>
        <w:t xml:space="preserve"> describe this as a “double burden,” where women must simultaneously manage academic demands and the emotional strain of overcoming bias. For some, these pressures lead to burnout or withdrawal from the program.</w:t>
      </w:r>
    </w:p>
    <w:p w14:paraId="53BC3B9D" w14:textId="702AECE9" w:rsidR="00B01FCD" w:rsidRDefault="000D6621" w:rsidP="000D6621">
      <w:pPr>
        <w:pStyle w:val="Body"/>
        <w:spacing w:after="0"/>
        <w:rPr>
          <w:rFonts w:ascii="Arial" w:hAnsi="Arial" w:cs="Arial"/>
        </w:rPr>
      </w:pPr>
      <w:r w:rsidRPr="000D6621">
        <w:rPr>
          <w:rFonts w:ascii="Arial" w:hAnsi="Arial" w:cs="Arial"/>
        </w:rPr>
        <w:t>With all the aforementioned, this study aimed at looking into the female automotive students’ motivation, gender-related challenges and coping mechanisms in pursuing automotive degree program.</w:t>
      </w:r>
    </w:p>
    <w:p w14:paraId="7747D8DD" w14:textId="77777777" w:rsidR="00790ADA" w:rsidRDefault="00790ADA" w:rsidP="00441B6F">
      <w:pPr>
        <w:pStyle w:val="Body"/>
        <w:spacing w:after="0"/>
        <w:rPr>
          <w:rFonts w:ascii="Arial" w:hAnsi="Arial" w:cs="Arial"/>
        </w:rPr>
      </w:pPr>
    </w:p>
    <w:p w14:paraId="04B90D97" w14:textId="77777777" w:rsidR="000D6621" w:rsidRPr="00FB3A86" w:rsidRDefault="000D6621" w:rsidP="00441B6F">
      <w:pPr>
        <w:pStyle w:val="Body"/>
        <w:spacing w:after="0"/>
        <w:rPr>
          <w:rFonts w:ascii="Arial" w:hAnsi="Arial" w:cs="Arial"/>
        </w:rPr>
      </w:pPr>
    </w:p>
    <w:p w14:paraId="1A578688" w14:textId="131F16F4"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AD0C6C8" w14:textId="77777777" w:rsidR="00790ADA" w:rsidRPr="00FB3A86" w:rsidRDefault="00790ADA" w:rsidP="00441B6F">
      <w:pPr>
        <w:pStyle w:val="AbstHead"/>
        <w:spacing w:after="0"/>
        <w:jc w:val="both"/>
        <w:rPr>
          <w:rFonts w:ascii="Arial" w:hAnsi="Arial" w:cs="Arial"/>
        </w:rPr>
      </w:pPr>
    </w:p>
    <w:p w14:paraId="2E7ED321" w14:textId="1D7D66BC" w:rsidR="000D6621" w:rsidRPr="000D6621" w:rsidRDefault="000D6621" w:rsidP="000D6621">
      <w:pPr>
        <w:pStyle w:val="Body"/>
        <w:rPr>
          <w:rFonts w:ascii="Arial" w:hAnsi="Arial" w:cs="Arial"/>
        </w:rPr>
      </w:pPr>
      <w:r w:rsidRPr="000D6621">
        <w:rPr>
          <w:rFonts w:ascii="Arial" w:hAnsi="Arial" w:cs="Arial"/>
        </w:rPr>
        <w:t>This study used a qualitative research approach through a case study design to explore the experiences, challenges, and coping mechanisms of female students in the automotive technology program at a state university in Northern Philippines. The case study design was followed because it can capture a complex phenomenon in-depth, within its real-life setting (Yin, 2018). By focusing on a specific group of female students within a defined educational institution, the researchers captured rich, nuanced insights into their motivations, experiences of gender bias, academic and social challenges, and strategies for coping and empowerment.</w:t>
      </w:r>
    </w:p>
    <w:p w14:paraId="0170691D" w14:textId="7AB4EC3D" w:rsidR="00B740E7" w:rsidRDefault="000D6621" w:rsidP="000D6621">
      <w:pPr>
        <w:pStyle w:val="Body"/>
        <w:rPr>
          <w:rFonts w:ascii="Arial" w:hAnsi="Arial" w:cs="Arial"/>
        </w:rPr>
      </w:pPr>
      <w:r w:rsidRPr="000D6621">
        <w:rPr>
          <w:rFonts w:ascii="Arial" w:hAnsi="Arial" w:cs="Arial"/>
        </w:rPr>
        <w:t xml:space="preserve">The study was conducted at a state university in Northern Philippines because it provided a representative context for understanding the dynamics of female participation in technical education in a region where automotive programs are predominantly male-dominated. </w:t>
      </w:r>
      <w:r w:rsidR="00D33711" w:rsidRPr="00D33711">
        <w:rPr>
          <w:rFonts w:ascii="Arial" w:hAnsi="Arial" w:cs="Arial"/>
        </w:rPr>
        <w:t>Selecting this locale allowed the researchers to explore institutional, cultural, and community factors that influence students' experiences, applying the bounded system principle of case study research (Rashid et al., 2019)</w:t>
      </w:r>
      <w:r w:rsidRPr="000D6621">
        <w:rPr>
          <w:rFonts w:ascii="Arial" w:hAnsi="Arial" w:cs="Arial"/>
        </w:rPr>
        <w:t>. The localized focus also allowed for deep insight into how regional educational practices, resources, and social norms shape the engagement of female students in technical programs.</w:t>
      </w:r>
    </w:p>
    <w:p w14:paraId="20E45172" w14:textId="084C62AD" w:rsidR="000D6621" w:rsidRPr="000D6621" w:rsidRDefault="00B740E7" w:rsidP="000D6621">
      <w:pPr>
        <w:pStyle w:val="Body"/>
        <w:rPr>
          <w:rFonts w:ascii="Arial" w:hAnsi="Arial" w:cs="Arial"/>
        </w:rPr>
      </w:pPr>
      <w:r w:rsidRPr="00B740E7">
        <w:rPr>
          <w:rFonts w:ascii="Arial" w:hAnsi="Arial" w:cs="Arial"/>
        </w:rPr>
        <w:t>Purposive sampling was employed to select participants who were directly involved in the Automotive Technology program and capable of providing meaningful insights into the research questions. A total of seven (7) female students were purposively chosen based on the following criteria: they were currently enrolled in the program during the semester of data collection and were willing to participate in the interview process. The participants came from different municipalities, ensuring a broader representation of experiences and perspectives. This sampling approach enhanced the depth and relevance of the data collected (Campbell et al., 2020). By focusing on students who could articulate their personal and academic challenges in a male-dominated field, the study captured rich, nuanced narratives that contributed to a deeper understanding of gender-related issues within the specific educational context</w:t>
      </w:r>
      <w:r w:rsidR="000D6621" w:rsidRPr="000D6621">
        <w:rPr>
          <w:rFonts w:ascii="Arial" w:hAnsi="Arial" w:cs="Arial"/>
        </w:rPr>
        <w:t>.</w:t>
      </w:r>
    </w:p>
    <w:p w14:paraId="358CFD4C" w14:textId="5948CAD8" w:rsidR="000D6621" w:rsidRPr="000D6621" w:rsidRDefault="00D33711" w:rsidP="000D6621">
      <w:pPr>
        <w:pStyle w:val="Body"/>
        <w:rPr>
          <w:rFonts w:ascii="Arial" w:hAnsi="Arial" w:cs="Arial"/>
        </w:rPr>
      </w:pPr>
      <w:r w:rsidRPr="00D33711">
        <w:rPr>
          <w:rFonts w:ascii="Arial" w:hAnsi="Arial" w:cs="Arial"/>
        </w:rPr>
        <w:t>Data were collected through semi-structured interviews, which allowed for both structured and flexible exploration of participants’ experiences. Thematic analysis, following the framework of Clarke and Braun (201</w:t>
      </w:r>
      <w:r>
        <w:rPr>
          <w:rFonts w:ascii="Arial" w:hAnsi="Arial" w:cs="Arial"/>
        </w:rPr>
        <w:t>9</w:t>
      </w:r>
      <w:r w:rsidRPr="00D33711">
        <w:rPr>
          <w:rFonts w:ascii="Arial" w:hAnsi="Arial" w:cs="Arial"/>
        </w:rPr>
        <w:t xml:space="preserve">, as cited in Kiger &amp; </w:t>
      </w:r>
      <w:proofErr w:type="spellStart"/>
      <w:r w:rsidRPr="00D33711">
        <w:rPr>
          <w:rFonts w:ascii="Arial" w:hAnsi="Arial" w:cs="Arial"/>
        </w:rPr>
        <w:t>Varpio</w:t>
      </w:r>
      <w:proofErr w:type="spellEnd"/>
      <w:r w:rsidRPr="00D33711">
        <w:rPr>
          <w:rFonts w:ascii="Arial" w:hAnsi="Arial" w:cs="Arial"/>
        </w:rPr>
        <w:t>, 2020), was employed to identify patterns and recurring themes concerning motivation, gender bias, academic and social challenges, and coping strategies, thereby providing a coherent understanding of the lived experiences of female students. This method was selected for its flexibility and suitability in capturing the complexity of participants lived experiences (Braun &amp; Clarke, 20</w:t>
      </w:r>
      <w:r>
        <w:rPr>
          <w:rFonts w:ascii="Arial" w:hAnsi="Arial" w:cs="Arial"/>
        </w:rPr>
        <w:t>19</w:t>
      </w:r>
      <w:r w:rsidRPr="00D33711">
        <w:rPr>
          <w:rFonts w:ascii="Arial" w:hAnsi="Arial" w:cs="Arial"/>
        </w:rPr>
        <w:t>). The analysis followed six systematic phases: familiarization with the data, generating initial codes, searching for themes, reviewing themes, defining and naming themes, and producing the final report (Braun &amp; Clarke, 2019</w:t>
      </w:r>
      <w:r>
        <w:rPr>
          <w:rFonts w:ascii="Arial" w:hAnsi="Arial" w:cs="Arial"/>
        </w:rPr>
        <w:t xml:space="preserve">, </w:t>
      </w:r>
      <w:r w:rsidRPr="00D33711">
        <w:rPr>
          <w:rFonts w:ascii="Arial" w:hAnsi="Arial" w:cs="Arial"/>
        </w:rPr>
        <w:t xml:space="preserve">as cited in Kiger &amp; </w:t>
      </w:r>
      <w:proofErr w:type="spellStart"/>
      <w:r w:rsidRPr="00D33711">
        <w:rPr>
          <w:rFonts w:ascii="Arial" w:hAnsi="Arial" w:cs="Arial"/>
        </w:rPr>
        <w:t>Varpio</w:t>
      </w:r>
      <w:proofErr w:type="spellEnd"/>
      <w:r w:rsidRPr="00D33711">
        <w:rPr>
          <w:rFonts w:ascii="Arial" w:hAnsi="Arial" w:cs="Arial"/>
        </w:rPr>
        <w:t>, 2020). Through this rigorous analytical process, recurring themes emerged related to students’ motivations for pursuing technical education, experiences of gender bias, academic and social challenges encountered in male-dominated environments, peer support networks, and coping strategies used to navigate systemic barriers. This approach provided a coherent and nuanced understanding of the multifaceted experiences of female students in technical fields.</w:t>
      </w:r>
    </w:p>
    <w:p w14:paraId="2847E48F" w14:textId="30DD09BF" w:rsidR="00502516" w:rsidRDefault="000D6621" w:rsidP="000D6621">
      <w:pPr>
        <w:pStyle w:val="Body"/>
        <w:spacing w:after="0"/>
        <w:rPr>
          <w:rFonts w:ascii="Arial" w:hAnsi="Arial" w:cs="Arial"/>
        </w:rPr>
      </w:pPr>
      <w:r w:rsidRPr="000D6621">
        <w:rPr>
          <w:rFonts w:ascii="Arial" w:hAnsi="Arial" w:cs="Arial"/>
        </w:rPr>
        <w:t>The approach allowed the unraveling of complex social, academic, and cultural contexts that could form a sound basis for drawing meaningful conclusions and actionable recommendations for addressing the concerns of women in technical education programs.</w:t>
      </w:r>
    </w:p>
    <w:p w14:paraId="69181664" w14:textId="77777777" w:rsidR="002E0D56" w:rsidRDefault="002E0D56" w:rsidP="00441B6F">
      <w:pPr>
        <w:pStyle w:val="Body"/>
        <w:spacing w:after="0"/>
        <w:rPr>
          <w:rFonts w:ascii="Arial" w:hAnsi="Arial" w:cs="Arial"/>
        </w:rPr>
      </w:pPr>
    </w:p>
    <w:p w14:paraId="0BDE64F5" w14:textId="77777777" w:rsidR="000D6621" w:rsidRDefault="000D6621" w:rsidP="00441B6F">
      <w:pPr>
        <w:pStyle w:val="Head1"/>
        <w:spacing w:after="0"/>
        <w:jc w:val="both"/>
        <w:rPr>
          <w:rFonts w:ascii="Arial" w:hAnsi="Arial" w:cs="Arial"/>
        </w:rPr>
      </w:pPr>
    </w:p>
    <w:p w14:paraId="36D41646" w14:textId="3F4BE299" w:rsidR="0018093A" w:rsidRDefault="0018093A" w:rsidP="00441B6F">
      <w:pPr>
        <w:pStyle w:val="Head1"/>
        <w:spacing w:after="0"/>
        <w:jc w:val="both"/>
        <w:rPr>
          <w:rFonts w:ascii="Arial" w:hAnsi="Arial" w:cs="Arial"/>
        </w:rPr>
      </w:pPr>
      <w:r>
        <w:rPr>
          <w:rFonts w:ascii="Arial" w:hAnsi="Arial" w:cs="Arial"/>
        </w:rPr>
        <w:t>3. THEORETICAL FRAMEWORK</w:t>
      </w:r>
    </w:p>
    <w:p w14:paraId="1A012158" w14:textId="77777777" w:rsidR="0018093A" w:rsidRDefault="0018093A" w:rsidP="00441B6F">
      <w:pPr>
        <w:pStyle w:val="Head1"/>
        <w:spacing w:after="0"/>
        <w:jc w:val="both"/>
        <w:rPr>
          <w:rFonts w:ascii="Arial" w:hAnsi="Arial" w:cs="Arial"/>
        </w:rPr>
      </w:pPr>
    </w:p>
    <w:p w14:paraId="7DEC599F" w14:textId="738764A2" w:rsidR="0018093A" w:rsidRPr="0018093A" w:rsidRDefault="0018093A" w:rsidP="0018093A">
      <w:pPr>
        <w:pStyle w:val="NormalWeb"/>
        <w:spacing w:before="0" w:beforeAutospacing="0"/>
        <w:jc w:val="both"/>
        <w:rPr>
          <w:rFonts w:ascii="Arial" w:hAnsi="Arial" w:cs="Arial"/>
          <w:sz w:val="20"/>
          <w:szCs w:val="20"/>
        </w:rPr>
      </w:pPr>
      <w:r w:rsidRPr="0018093A">
        <w:rPr>
          <w:rFonts w:ascii="Arial" w:hAnsi="Arial" w:cs="Arial"/>
          <w:sz w:val="20"/>
          <w:szCs w:val="20"/>
        </w:rPr>
        <w:t xml:space="preserve">This study on the motivation, gender-related challenges, and coping mechanisms of female students in an Automotive Technology program is grounded on three major psychological and educational theories: </w:t>
      </w:r>
      <w:r w:rsidRPr="0018093A">
        <w:rPr>
          <w:rStyle w:val="Strong"/>
          <w:rFonts w:ascii="Arial" w:hAnsi="Arial" w:cs="Arial"/>
          <w:sz w:val="20"/>
          <w:szCs w:val="20"/>
        </w:rPr>
        <w:t>Self-Determination Theory (SDT)</w:t>
      </w:r>
      <w:r w:rsidRPr="0018093A">
        <w:rPr>
          <w:rFonts w:ascii="Arial" w:hAnsi="Arial" w:cs="Arial"/>
          <w:sz w:val="20"/>
          <w:szCs w:val="20"/>
        </w:rPr>
        <w:t xml:space="preserve">, </w:t>
      </w:r>
      <w:r w:rsidRPr="0018093A">
        <w:rPr>
          <w:rStyle w:val="Strong"/>
          <w:rFonts w:ascii="Arial" w:hAnsi="Arial" w:cs="Arial"/>
          <w:sz w:val="20"/>
          <w:szCs w:val="20"/>
        </w:rPr>
        <w:t>Expectancy-Value Theory (EVT)</w:t>
      </w:r>
      <w:r w:rsidRPr="0018093A">
        <w:rPr>
          <w:rFonts w:ascii="Arial" w:hAnsi="Arial" w:cs="Arial"/>
          <w:sz w:val="20"/>
          <w:szCs w:val="20"/>
        </w:rPr>
        <w:t xml:space="preserve">, and </w:t>
      </w:r>
      <w:r w:rsidRPr="0018093A">
        <w:rPr>
          <w:rStyle w:val="Strong"/>
          <w:rFonts w:ascii="Arial" w:hAnsi="Arial" w:cs="Arial"/>
          <w:sz w:val="20"/>
          <w:szCs w:val="20"/>
        </w:rPr>
        <w:t>Social Cognitive Theory (SCT)</w:t>
      </w:r>
      <w:r w:rsidRPr="0018093A">
        <w:rPr>
          <w:rFonts w:ascii="Arial" w:hAnsi="Arial" w:cs="Arial"/>
          <w:sz w:val="20"/>
          <w:szCs w:val="20"/>
        </w:rPr>
        <w:t>. Combined, these frameworks provide a coherent lens for understanding how intrinsic and extrinsic motivation, perceived competence, social influences, and self-efficacy shape the decisions, experiences, and persistence of women entering a male-dominated technical field.</w:t>
      </w:r>
    </w:p>
    <w:p w14:paraId="483F0DED" w14:textId="0D1BF28C" w:rsidR="0018093A" w:rsidRPr="0018093A" w:rsidRDefault="0018093A" w:rsidP="0018093A">
      <w:pPr>
        <w:pStyle w:val="NormalWeb"/>
        <w:jc w:val="both"/>
        <w:rPr>
          <w:rFonts w:ascii="Arial" w:hAnsi="Arial" w:cs="Arial"/>
          <w:b/>
          <w:bCs/>
          <w:sz w:val="22"/>
          <w:szCs w:val="22"/>
        </w:rPr>
      </w:pPr>
      <w:r>
        <w:rPr>
          <w:rFonts w:ascii="Arial" w:hAnsi="Arial" w:cs="Arial"/>
          <w:b/>
          <w:bCs/>
          <w:sz w:val="22"/>
          <w:szCs w:val="22"/>
        </w:rPr>
        <w:t xml:space="preserve">3.1 </w:t>
      </w:r>
      <w:r w:rsidRPr="0018093A">
        <w:rPr>
          <w:rFonts w:ascii="Arial" w:hAnsi="Arial" w:cs="Arial"/>
          <w:b/>
          <w:bCs/>
          <w:sz w:val="22"/>
          <w:szCs w:val="22"/>
        </w:rPr>
        <w:t>Self-Determination Theory (Deci &amp; Ryan, 2000)</w:t>
      </w:r>
    </w:p>
    <w:p w14:paraId="215A75FE" w14:textId="0434A23B" w:rsidR="0018093A" w:rsidRPr="0018093A" w:rsidRDefault="0018093A" w:rsidP="0018093A">
      <w:pPr>
        <w:pStyle w:val="NormalWeb"/>
        <w:jc w:val="both"/>
        <w:rPr>
          <w:rFonts w:ascii="Arial" w:hAnsi="Arial" w:cs="Arial"/>
          <w:sz w:val="20"/>
          <w:szCs w:val="20"/>
        </w:rPr>
      </w:pPr>
      <w:r w:rsidRPr="0018093A">
        <w:rPr>
          <w:rFonts w:ascii="Arial" w:hAnsi="Arial" w:cs="Arial"/>
          <w:sz w:val="20"/>
          <w:szCs w:val="20"/>
        </w:rPr>
        <w:t>Self-Determination Theory posits that individuals are motivated by the fulfillment of three basic psychological needs: autonomy, competence, and relatedness. When these needs are supported, learners demonstrate higher intrinsic motivation, persistence, and well-being.</w:t>
      </w:r>
    </w:p>
    <w:p w14:paraId="4C268690" w14:textId="72405BD7" w:rsidR="0018093A" w:rsidRPr="0018093A" w:rsidRDefault="0018093A" w:rsidP="0018093A">
      <w:pPr>
        <w:pStyle w:val="NormalWeb"/>
        <w:jc w:val="both"/>
        <w:rPr>
          <w:rFonts w:ascii="Arial" w:hAnsi="Arial" w:cs="Arial"/>
          <w:sz w:val="20"/>
          <w:szCs w:val="20"/>
        </w:rPr>
      </w:pPr>
      <w:r w:rsidRPr="0018093A">
        <w:rPr>
          <w:rFonts w:ascii="Arial" w:hAnsi="Arial" w:cs="Arial"/>
          <w:sz w:val="20"/>
          <w:szCs w:val="20"/>
        </w:rPr>
        <w:t>In this study, intrinsic motivation—such as personal interest in mechanical work, curiosity about how vehicles function, and enjoyment of hands-on learning—emerged as a dominant factor influencing the participants’ choice to pursue Automotive Technology. These motivations reflect the autonomy-driven pursuit of meaningful and self-endorsed goals. Their desire to master mechanical tasks and technical skills signifies the need for competence, while the support from peers, mentors, and instructors addresses relatedness.</w:t>
      </w:r>
    </w:p>
    <w:p w14:paraId="4A3ADD23" w14:textId="2A103FF7" w:rsidR="0018093A" w:rsidRPr="0018093A" w:rsidRDefault="0018093A" w:rsidP="0018093A">
      <w:pPr>
        <w:pStyle w:val="NormalWeb"/>
        <w:jc w:val="both"/>
        <w:rPr>
          <w:rFonts w:ascii="Arial" w:hAnsi="Arial" w:cs="Arial"/>
          <w:sz w:val="20"/>
          <w:szCs w:val="20"/>
        </w:rPr>
      </w:pPr>
      <w:r w:rsidRPr="0018093A">
        <w:rPr>
          <w:rFonts w:ascii="Arial" w:hAnsi="Arial" w:cs="Arial"/>
          <w:sz w:val="20"/>
          <w:szCs w:val="20"/>
        </w:rPr>
        <w:t>The theory helps explain why female students continue to engage in a program where they are numerically underrepresented: their interest and autonomy-driven motivation sustain their persistence despite external barriers. Moreover, SDT contextualizes how school environments that provide equal opportunities, respectful treatment, and gender-inclusive practices further reinforce intrinsic motivation and overall academic engagement.</w:t>
      </w:r>
    </w:p>
    <w:p w14:paraId="435CF6F6" w14:textId="5FAF63BC" w:rsidR="0018093A" w:rsidRPr="0018093A" w:rsidRDefault="0018093A" w:rsidP="0018093A">
      <w:pPr>
        <w:pStyle w:val="NormalWeb"/>
        <w:jc w:val="both"/>
        <w:rPr>
          <w:rFonts w:ascii="Arial" w:hAnsi="Arial" w:cs="Arial"/>
          <w:b/>
          <w:bCs/>
          <w:sz w:val="22"/>
          <w:szCs w:val="22"/>
        </w:rPr>
      </w:pPr>
      <w:r>
        <w:rPr>
          <w:rFonts w:ascii="Arial" w:hAnsi="Arial" w:cs="Arial"/>
          <w:b/>
          <w:bCs/>
          <w:sz w:val="22"/>
          <w:szCs w:val="22"/>
        </w:rPr>
        <w:t xml:space="preserve">3.2 </w:t>
      </w:r>
      <w:r w:rsidRPr="0018093A">
        <w:rPr>
          <w:rFonts w:ascii="Arial" w:hAnsi="Arial" w:cs="Arial"/>
          <w:b/>
          <w:bCs/>
          <w:sz w:val="22"/>
          <w:szCs w:val="22"/>
        </w:rPr>
        <w:t>Expectancy-Value Theory (Eccles &amp; Wigfield, 2002)</w:t>
      </w:r>
    </w:p>
    <w:p w14:paraId="6CDDE471" w14:textId="6691FDA9" w:rsidR="0018093A" w:rsidRPr="0018093A" w:rsidRDefault="0018093A" w:rsidP="0018093A">
      <w:pPr>
        <w:pStyle w:val="NormalWeb"/>
        <w:jc w:val="both"/>
        <w:rPr>
          <w:rFonts w:ascii="Arial" w:hAnsi="Arial" w:cs="Arial"/>
          <w:sz w:val="20"/>
          <w:szCs w:val="20"/>
        </w:rPr>
      </w:pPr>
      <w:r w:rsidRPr="0018093A">
        <w:rPr>
          <w:rFonts w:ascii="Arial" w:hAnsi="Arial" w:cs="Arial"/>
          <w:sz w:val="20"/>
          <w:szCs w:val="20"/>
        </w:rPr>
        <w:t>Expectancy-Value Theory explains academic choices and persistence based on two determinants: expectancies for success (belief in one’s capability to perform a task) and task values (perceived importance, usefulness, interest, and personal significance of the task). It also emphasizes the critical role of family, cultural values, and social influences in shaping students’ motivations and educational decisions.</w:t>
      </w:r>
    </w:p>
    <w:p w14:paraId="4AA3CCE6" w14:textId="09BD187C" w:rsidR="0018093A" w:rsidRPr="0018093A" w:rsidRDefault="0018093A" w:rsidP="0018093A">
      <w:pPr>
        <w:pStyle w:val="NormalWeb"/>
        <w:jc w:val="both"/>
        <w:rPr>
          <w:rFonts w:ascii="Arial" w:hAnsi="Arial" w:cs="Arial"/>
          <w:sz w:val="20"/>
          <w:szCs w:val="20"/>
        </w:rPr>
      </w:pPr>
      <w:r w:rsidRPr="0018093A">
        <w:rPr>
          <w:rFonts w:ascii="Arial" w:hAnsi="Arial" w:cs="Arial"/>
          <w:sz w:val="20"/>
          <w:szCs w:val="20"/>
        </w:rPr>
        <w:t>The findings show that family encouragement, particularly from fathers or relatives working in technical fields, significantly shaped the participants’ career choices. These insights are consistent with EVT’s assertion that socialization agents—parents, mentors, and community members—influence students’ perceptions of what they can achieve and what is worth pursuing. Female students in this study perceived Automotive Technology as valuable not only for personal growth and interest but also for career advancement, employability, and economic stability, reflecting the attainment, utility, and intrinsic value components of EVT.</w:t>
      </w:r>
    </w:p>
    <w:p w14:paraId="3E94E156" w14:textId="36610997" w:rsidR="0018093A" w:rsidRPr="0018093A" w:rsidRDefault="0018093A" w:rsidP="0018093A">
      <w:pPr>
        <w:pStyle w:val="NormalWeb"/>
        <w:jc w:val="both"/>
        <w:rPr>
          <w:rFonts w:ascii="Arial" w:hAnsi="Arial" w:cs="Arial"/>
          <w:sz w:val="20"/>
          <w:szCs w:val="20"/>
        </w:rPr>
      </w:pPr>
      <w:r w:rsidRPr="0018093A">
        <w:rPr>
          <w:rFonts w:ascii="Arial" w:hAnsi="Arial" w:cs="Arial"/>
          <w:sz w:val="20"/>
          <w:szCs w:val="20"/>
        </w:rPr>
        <w:t>EVT further clarifies why some female students were motivated by a desire to challenge gender stereotypes. The task value of identity expression—the desire to prove women’s capability and break norms—adds meaning to their academic pursuit. Thus, EVT provides a lens for understanding how personal values, social norms, and future career expectations interplay to sustain motivation among women in male-dominated programs.</w:t>
      </w:r>
    </w:p>
    <w:p w14:paraId="3176696E" w14:textId="46A2F0DB" w:rsidR="0018093A" w:rsidRPr="0018093A" w:rsidRDefault="0018093A" w:rsidP="0018093A">
      <w:pPr>
        <w:pStyle w:val="NormalWeb"/>
        <w:jc w:val="both"/>
        <w:rPr>
          <w:rFonts w:ascii="Arial" w:hAnsi="Arial" w:cs="Arial"/>
          <w:b/>
          <w:bCs/>
          <w:sz w:val="20"/>
          <w:szCs w:val="20"/>
        </w:rPr>
      </w:pPr>
      <w:r w:rsidRPr="0018093A">
        <w:rPr>
          <w:rFonts w:ascii="Arial" w:hAnsi="Arial" w:cs="Arial"/>
          <w:b/>
          <w:bCs/>
          <w:sz w:val="20"/>
          <w:szCs w:val="20"/>
        </w:rPr>
        <w:t>3.</w:t>
      </w:r>
      <w:r>
        <w:rPr>
          <w:rFonts w:ascii="Arial" w:hAnsi="Arial" w:cs="Arial"/>
          <w:b/>
          <w:bCs/>
          <w:sz w:val="20"/>
          <w:szCs w:val="20"/>
        </w:rPr>
        <w:t>3</w:t>
      </w:r>
      <w:r w:rsidRPr="0018093A">
        <w:rPr>
          <w:rFonts w:ascii="Arial" w:hAnsi="Arial" w:cs="Arial"/>
          <w:b/>
          <w:bCs/>
          <w:sz w:val="20"/>
          <w:szCs w:val="20"/>
        </w:rPr>
        <w:t xml:space="preserve"> Social Cognitive Theory (Bandura, 1999)</w:t>
      </w:r>
    </w:p>
    <w:p w14:paraId="687E95AD" w14:textId="73FED6C0" w:rsidR="0018093A" w:rsidRPr="0018093A" w:rsidRDefault="0018093A" w:rsidP="0018093A">
      <w:pPr>
        <w:pStyle w:val="NormalWeb"/>
        <w:jc w:val="both"/>
        <w:rPr>
          <w:rFonts w:ascii="Arial" w:hAnsi="Arial" w:cs="Arial"/>
          <w:sz w:val="20"/>
          <w:szCs w:val="20"/>
        </w:rPr>
      </w:pPr>
      <w:r w:rsidRPr="0018093A">
        <w:rPr>
          <w:rFonts w:ascii="Arial" w:hAnsi="Arial" w:cs="Arial"/>
          <w:sz w:val="20"/>
          <w:szCs w:val="20"/>
        </w:rPr>
        <w:t>Social Cognitive Theory emphasizes the role of self-efficacy, observational learning, and reciprocal interactions between personal factors, behavior, and the environment. For Bandura, self-efficacy—one’s belief in their ability to succeed in specific tasks—is a critical factor in persistence and coping behavior.</w:t>
      </w:r>
    </w:p>
    <w:p w14:paraId="679173BE" w14:textId="128171BF" w:rsidR="0018093A" w:rsidRPr="0018093A" w:rsidRDefault="0018093A" w:rsidP="0018093A">
      <w:pPr>
        <w:pStyle w:val="NormalWeb"/>
        <w:jc w:val="both"/>
        <w:rPr>
          <w:rFonts w:ascii="Arial" w:hAnsi="Arial" w:cs="Arial"/>
          <w:sz w:val="20"/>
          <w:szCs w:val="20"/>
        </w:rPr>
      </w:pPr>
      <w:r w:rsidRPr="0018093A">
        <w:rPr>
          <w:rFonts w:ascii="Arial" w:hAnsi="Arial" w:cs="Arial"/>
          <w:sz w:val="20"/>
          <w:szCs w:val="20"/>
        </w:rPr>
        <w:t>In this study, SCT is essential for understanding how female students cope with gender-related bias and academic challenges. Participants used self-efficacy-driven coping strategies, such as cognitive reframing (“I remind myself why I started”), persistence, and problem-focused actions. Negative experiences, such as classmates doubting their abilities, often strengthened their determination—reflecting high self-efficacy and agency.</w:t>
      </w:r>
    </w:p>
    <w:p w14:paraId="443FD11D" w14:textId="52121B83" w:rsidR="0018093A" w:rsidRPr="0018093A" w:rsidRDefault="0018093A" w:rsidP="0018093A">
      <w:pPr>
        <w:pStyle w:val="NormalWeb"/>
        <w:spacing w:before="0" w:beforeAutospacing="0"/>
        <w:jc w:val="both"/>
        <w:rPr>
          <w:rFonts w:ascii="Arial" w:hAnsi="Arial" w:cs="Arial"/>
          <w:sz w:val="20"/>
          <w:szCs w:val="20"/>
        </w:rPr>
      </w:pPr>
      <w:r w:rsidRPr="0018093A">
        <w:rPr>
          <w:rFonts w:ascii="Arial" w:hAnsi="Arial" w:cs="Arial"/>
          <w:sz w:val="20"/>
          <w:szCs w:val="20"/>
        </w:rPr>
        <w:t>Social support from family, mentors, and peers also aligns with SCT, which posits that positive social modeling and encouragement enhance confidence and learning outcomes. The students’ desire to challenge stereotypes demonstrates the role of personal agency in overcoming environmental constraints. Moreover, SCT supports the finding that mentorship and female role models can significantly enhance motivation, resilience, and persistence by providing vicarious learning experiences and reinforcing self-belief.</w:t>
      </w:r>
    </w:p>
    <w:p w14:paraId="5BF550AB" w14:textId="0625C806" w:rsidR="00902823" w:rsidRDefault="0018093A"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4CE23110" w14:textId="73EEAB49" w:rsidR="00790ADA" w:rsidRPr="00502516" w:rsidRDefault="0018093A" w:rsidP="0018093A">
      <w:pPr>
        <w:pStyle w:val="Body"/>
        <w:rPr>
          <w:rFonts w:ascii="Arial" w:hAnsi="Arial" w:cs="Arial"/>
        </w:rPr>
      </w:pPr>
      <w:r w:rsidRPr="0018093A">
        <w:rPr>
          <w:rFonts w:ascii="Arial" w:hAnsi="Arial" w:cs="Arial"/>
        </w:rPr>
        <w:t>Thematic analysis produced four interrelated clusters: (1) motivational drivers for pursuing Automotive Technology, (2) gender-related challenges, (3) coping mechanisms, and (4) suggested institutional supports to empower female students. Below each theme we integrate Self-Determination Theory (SDT), Expectancy-Value Theory (EVT), and Social Cognitive Theory (SCT) to explain how personal, social, and institutional factors interact to shape students’ experiences.</w:t>
      </w:r>
    </w:p>
    <w:p w14:paraId="07643A33" w14:textId="65FBC63C" w:rsidR="000D6621" w:rsidRPr="000D6621" w:rsidRDefault="0018093A" w:rsidP="000D6621">
      <w:pPr>
        <w:pStyle w:val="Body"/>
        <w:rPr>
          <w:rFonts w:ascii="Arial" w:hAnsi="Arial" w:cs="Arial"/>
          <w:b/>
          <w:bCs/>
          <w:sz w:val="22"/>
          <w:szCs w:val="22"/>
        </w:rPr>
      </w:pPr>
      <w:r>
        <w:rPr>
          <w:rFonts w:ascii="Arial" w:hAnsi="Arial" w:cs="Arial"/>
          <w:b/>
          <w:bCs/>
          <w:sz w:val="22"/>
          <w:szCs w:val="22"/>
        </w:rPr>
        <w:t>4</w:t>
      </w:r>
      <w:r w:rsidR="000D6621">
        <w:rPr>
          <w:rFonts w:ascii="Arial" w:hAnsi="Arial" w:cs="Arial"/>
          <w:b/>
          <w:bCs/>
          <w:sz w:val="22"/>
          <w:szCs w:val="22"/>
        </w:rPr>
        <w:t xml:space="preserve">.1 </w:t>
      </w:r>
      <w:r w:rsidR="000D6621" w:rsidRPr="000D6621">
        <w:rPr>
          <w:rFonts w:ascii="Arial" w:hAnsi="Arial" w:cs="Arial"/>
          <w:b/>
          <w:bCs/>
          <w:sz w:val="22"/>
          <w:szCs w:val="22"/>
        </w:rPr>
        <w:t>Motivation in Pursuing for an Automotive Degree</w:t>
      </w:r>
    </w:p>
    <w:p w14:paraId="25BDF6F5" w14:textId="3FBAA404" w:rsidR="00BB08AF" w:rsidRPr="00BB08AF" w:rsidRDefault="000D6621" w:rsidP="00BB08AF">
      <w:pPr>
        <w:pStyle w:val="Body"/>
        <w:rPr>
          <w:rFonts w:ascii="Arial" w:hAnsi="Arial" w:cs="Arial"/>
        </w:rPr>
      </w:pPr>
      <w:r w:rsidRPr="000D6621">
        <w:rPr>
          <w:rFonts w:ascii="Arial" w:hAnsi="Arial" w:cs="Arial"/>
          <w:b/>
          <w:bCs/>
        </w:rPr>
        <w:t xml:space="preserve">Intrinsic Motivation: Personal Interest and Passion. </w:t>
      </w:r>
      <w:r w:rsidR="00BB08AF" w:rsidRPr="00BB08AF">
        <w:rPr>
          <w:rFonts w:ascii="Arial" w:hAnsi="Arial" w:cs="Arial"/>
        </w:rPr>
        <w:t>Participants reported developing a strong personal interest in understanding how vehicles work and acquiring technical skills. One participant expressed, “I’ve always been interested in how cars work and wanted to learn how to fix and maintain them myself.” This finding suggests that intrinsic motivation, driven by curiosity and enjoyment of hands-on learning, significantly influences their career choice. This aligns with Self-Determination Theory (Deci &amp; Ryan, 2000), which posits that intrinsic motivation promotes engagement, learning, and persistence in challenging learning environments.</w:t>
      </w:r>
    </w:p>
    <w:p w14:paraId="0A96FEED" w14:textId="1A2E23FD" w:rsidR="000D6621" w:rsidRPr="000D6621" w:rsidRDefault="00BB08AF" w:rsidP="00BB08AF">
      <w:pPr>
        <w:pStyle w:val="Body"/>
        <w:rPr>
          <w:rFonts w:ascii="Arial" w:hAnsi="Arial" w:cs="Arial"/>
        </w:rPr>
      </w:pPr>
      <w:r w:rsidRPr="00BB08AF">
        <w:rPr>
          <w:rFonts w:ascii="Arial" w:hAnsi="Arial" w:cs="Arial"/>
        </w:rPr>
        <w:t>Recent studies have reinforced the importance of intrinsic motivation in technical and STEM-related education. Yan et al. (2025) found that intrinsic motivation strongly predicted vocational students’ persistence and learning outcomes, particularly in skill-based programs. Similarly, Wang et al. (2024)</w:t>
      </w:r>
      <w:r>
        <w:rPr>
          <w:rFonts w:ascii="Arial" w:hAnsi="Arial" w:cs="Arial"/>
        </w:rPr>
        <w:t xml:space="preserve"> </w:t>
      </w:r>
      <w:r w:rsidRPr="00BB08AF">
        <w:rPr>
          <w:rFonts w:ascii="Arial" w:hAnsi="Arial" w:cs="Arial"/>
        </w:rPr>
        <w:t>reported that intrinsic forms of learning motivation, such as personal interest and satisfaction in problem-solving, were significant predictors of engineering students’ success and retention. Additionally, Sakellariou &amp; Fang</w:t>
      </w:r>
      <w:r>
        <w:rPr>
          <w:rFonts w:ascii="Arial" w:hAnsi="Arial" w:cs="Arial"/>
        </w:rPr>
        <w:t xml:space="preserve"> (</w:t>
      </w:r>
      <w:r w:rsidRPr="00BB08AF">
        <w:rPr>
          <w:rFonts w:ascii="Arial" w:hAnsi="Arial" w:cs="Arial"/>
        </w:rPr>
        <w:t>2021)</w:t>
      </w:r>
      <w:r>
        <w:rPr>
          <w:rFonts w:ascii="Arial" w:hAnsi="Arial" w:cs="Arial"/>
        </w:rPr>
        <w:t xml:space="preserve"> </w:t>
      </w:r>
      <w:r w:rsidRPr="00BB08AF">
        <w:rPr>
          <w:rFonts w:ascii="Arial" w:hAnsi="Arial" w:cs="Arial"/>
        </w:rPr>
        <w:t>highlighted that intrinsic motivation derived from curiosity and self-efficacy positively influenced students’ engagement and academic persistence in STEM fields. These studies collectively affirm that intrinsic motivation is a vital factor influencing female students’ choice to pursue male-dominated technical disciplines such as automotive technology.</w:t>
      </w:r>
    </w:p>
    <w:p w14:paraId="1D67AE92" w14:textId="57862613" w:rsidR="00BB08AF" w:rsidRPr="00BB08AF" w:rsidRDefault="000D6621" w:rsidP="00BB08AF">
      <w:pPr>
        <w:pStyle w:val="Body"/>
        <w:rPr>
          <w:rFonts w:ascii="Arial" w:hAnsi="Arial" w:cs="Arial"/>
        </w:rPr>
      </w:pPr>
      <w:r w:rsidRPr="00E433C6">
        <w:rPr>
          <w:rFonts w:ascii="Arial" w:hAnsi="Arial" w:cs="Arial"/>
          <w:b/>
          <w:bCs/>
        </w:rPr>
        <w:t>Extrinsic Motivation: Family Influence and Role Models.</w:t>
      </w:r>
      <w:r w:rsidRPr="000D6621">
        <w:rPr>
          <w:rFonts w:ascii="Arial" w:hAnsi="Arial" w:cs="Arial"/>
        </w:rPr>
        <w:t xml:space="preserve"> </w:t>
      </w:r>
      <w:r w:rsidR="00BB08AF">
        <w:rPr>
          <w:rFonts w:ascii="Arial" w:hAnsi="Arial" w:cs="Arial"/>
        </w:rPr>
        <w:t>F</w:t>
      </w:r>
      <w:r w:rsidR="00BB08AF" w:rsidRPr="00BB08AF">
        <w:rPr>
          <w:rFonts w:ascii="Arial" w:hAnsi="Arial" w:cs="Arial"/>
        </w:rPr>
        <w:t>amily influence was also identified as a strong motivator, particularly when parents or guardians were employed in the automotive or technical field. One participant shared, “I was motivated to take up automotive because of my father, who is a chief mechanic.” Admiration for such role models and the desire to emulate their achievements emerged as key influences. This observation is consistent with Expectancy-Value Theory (Eccles &amp; Wigfield, 2002), which underscores the role of family and social context in shaping students’ academic and occupational decisions.</w:t>
      </w:r>
    </w:p>
    <w:p w14:paraId="71B47D2F" w14:textId="4ACF77B3" w:rsidR="000D6621" w:rsidRPr="000D6621" w:rsidRDefault="00BB08AF" w:rsidP="00BB08AF">
      <w:pPr>
        <w:pStyle w:val="Body"/>
        <w:rPr>
          <w:rFonts w:ascii="Arial" w:hAnsi="Arial" w:cs="Arial"/>
        </w:rPr>
      </w:pPr>
      <w:r w:rsidRPr="00BB08AF">
        <w:rPr>
          <w:rFonts w:ascii="Arial" w:hAnsi="Arial" w:cs="Arial"/>
        </w:rPr>
        <w:t xml:space="preserve">Contemporary studies provide similar insights. </w:t>
      </w:r>
      <w:proofErr w:type="spellStart"/>
      <w:r w:rsidRPr="00BB08AF">
        <w:rPr>
          <w:rFonts w:ascii="Arial" w:hAnsi="Arial" w:cs="Arial"/>
        </w:rPr>
        <w:t>Fantinelli</w:t>
      </w:r>
      <w:proofErr w:type="spellEnd"/>
      <w:r w:rsidRPr="00BB08AF">
        <w:rPr>
          <w:rFonts w:ascii="Arial" w:hAnsi="Arial" w:cs="Arial"/>
        </w:rPr>
        <w:t xml:space="preserve"> et al. (2023) found that family expectations and contextual support significantly influence adolescents’ vocational decision-making and well-being. In another study, </w:t>
      </w:r>
      <w:r w:rsidR="00B24D6C" w:rsidRPr="00B24D6C">
        <w:rPr>
          <w:rFonts w:ascii="Arial" w:hAnsi="Arial" w:cs="Arial"/>
        </w:rPr>
        <w:t>H. Wang et al.,</w:t>
      </w:r>
      <w:r w:rsidR="00B24D6C">
        <w:rPr>
          <w:rFonts w:ascii="Arial" w:hAnsi="Arial" w:cs="Arial"/>
        </w:rPr>
        <w:t xml:space="preserve"> </w:t>
      </w:r>
      <w:r w:rsidRPr="00BB08AF">
        <w:rPr>
          <w:rFonts w:ascii="Arial" w:hAnsi="Arial" w:cs="Arial"/>
        </w:rPr>
        <w:t>(2024) revealed that parental support and encouragement enhanced students’ career adaptability by fostering a sense of meaning and purpose in their studies. Moreover, Yan et al. (2025) emphasized that external factors—such as familial expectations and community recognition—can reinforce students’ motivation to pursue technical programs. These findings confirm that family encouragement not only motivates female students to enroll in traditionally male-dominated fields but also strengthens their self-confidence and persistence in such environments.</w:t>
      </w:r>
    </w:p>
    <w:p w14:paraId="417E2043" w14:textId="3F150AB7" w:rsidR="00B24D6C" w:rsidRPr="00B24D6C" w:rsidRDefault="000D6621" w:rsidP="00B24D6C">
      <w:pPr>
        <w:pStyle w:val="Body"/>
        <w:rPr>
          <w:rFonts w:ascii="Arial" w:hAnsi="Arial" w:cs="Arial"/>
        </w:rPr>
      </w:pPr>
      <w:r w:rsidRPr="00E433C6">
        <w:rPr>
          <w:rFonts w:ascii="Arial" w:hAnsi="Arial" w:cs="Arial"/>
          <w:b/>
          <w:bCs/>
        </w:rPr>
        <w:t xml:space="preserve">Challenging Gender Stereotypes. </w:t>
      </w:r>
      <w:r w:rsidR="00B24D6C" w:rsidRPr="00B24D6C">
        <w:rPr>
          <w:rFonts w:ascii="Arial" w:hAnsi="Arial" w:cs="Arial"/>
        </w:rPr>
        <w:t>A number of participants indicated that they chose to study automotive technology as a way of challenging gender stereotypes and asserting women’s capabilities in technical fields. Statements such as “I wanted to challenge gender stereotypes and prove that women can excel in fields that are often dominated by men” reflect a deliberate effort to counter societal expectations. This aligns with Social Cognitive Theory (Bandura, 1999), which posits that self-efficacy beliefs shape individuals’ capacity to overcome barriers and succeed in underrepresented domains.</w:t>
      </w:r>
    </w:p>
    <w:p w14:paraId="34337999" w14:textId="2548E254" w:rsidR="000D6621" w:rsidRPr="000D6621" w:rsidRDefault="00B24D6C" w:rsidP="00B24D6C">
      <w:pPr>
        <w:pStyle w:val="Body"/>
        <w:rPr>
          <w:rFonts w:ascii="Arial" w:hAnsi="Arial" w:cs="Arial"/>
        </w:rPr>
      </w:pPr>
      <w:r w:rsidRPr="00B24D6C">
        <w:rPr>
          <w:rFonts w:ascii="Arial" w:hAnsi="Arial" w:cs="Arial"/>
        </w:rPr>
        <w:t>Recent scholarship corroborates these findings. Chan (2022) demonstrated that gender norms and self-efficacy beliefs play a pivotal role in determining girls’ aspirations and persistence in STEM education. Similarly, Hermans et al. (2022) identified that motivational profiles among male and female STEM students differ significantly, with female students often driven by a desire for personal achievement and social change. Furthermore, Paiva et al. (2024) found that female students in ICT and engineering programs were motivated not only by employability but also by identity-building and empowerment, viewing their participation as a means of resisting gender bias. These studies substantiate that motivation to overcome gendered barriers functions both as an internal drive and a coping strategy, reflecting agency and empowerment among female students in technical education.</w:t>
      </w:r>
      <w:r w:rsidR="000D6621" w:rsidRPr="000D6621">
        <w:rPr>
          <w:rFonts w:ascii="Arial" w:hAnsi="Arial" w:cs="Arial"/>
        </w:rPr>
        <w:t xml:space="preserve"> </w:t>
      </w:r>
    </w:p>
    <w:p w14:paraId="7F420B29" w14:textId="6902DAD8" w:rsidR="000D6621" w:rsidRPr="000D6621" w:rsidRDefault="000D6621" w:rsidP="000D6621">
      <w:pPr>
        <w:pStyle w:val="Body"/>
        <w:rPr>
          <w:rFonts w:ascii="Arial" w:hAnsi="Arial" w:cs="Arial"/>
        </w:rPr>
      </w:pPr>
      <w:r w:rsidRPr="00E433C6">
        <w:rPr>
          <w:rFonts w:ascii="Arial" w:hAnsi="Arial" w:cs="Arial"/>
          <w:b/>
          <w:bCs/>
        </w:rPr>
        <w:t>Career Aspirations and Skill Development.</w:t>
      </w:r>
      <w:r w:rsidRPr="000D6621">
        <w:rPr>
          <w:rFonts w:ascii="Arial" w:hAnsi="Arial" w:cs="Arial"/>
        </w:rPr>
        <w:t xml:space="preserve"> Students also explained that they are interested in building a career professionally and acquiring marketable skills. As one participant put it, "I want to build a career in a field that challenges me and helps me grow." This underlines the fact that motivation is not only related to personal interest but also to long-term career planning and economic security. According to </w:t>
      </w:r>
      <w:r w:rsidR="0068138C" w:rsidRPr="0068138C">
        <w:rPr>
          <w:rFonts w:ascii="Arial" w:hAnsi="Arial" w:cs="Arial"/>
        </w:rPr>
        <w:t>Hedge</w:t>
      </w:r>
      <w:r w:rsidR="0068138C">
        <w:rPr>
          <w:rFonts w:ascii="Arial" w:hAnsi="Arial" w:cs="Arial"/>
        </w:rPr>
        <w:t xml:space="preserve"> (</w:t>
      </w:r>
      <w:r w:rsidR="0068138C" w:rsidRPr="0068138C">
        <w:rPr>
          <w:rFonts w:ascii="Arial" w:hAnsi="Arial" w:cs="Arial"/>
        </w:rPr>
        <w:t>2024</w:t>
      </w:r>
      <w:r w:rsidR="0068138C">
        <w:rPr>
          <w:rFonts w:ascii="Arial" w:hAnsi="Arial" w:cs="Arial"/>
        </w:rPr>
        <w:t>)</w:t>
      </w:r>
      <w:r w:rsidRPr="000D6621">
        <w:rPr>
          <w:rFonts w:ascii="Arial" w:hAnsi="Arial" w:cs="Arial"/>
        </w:rPr>
        <w:t xml:space="preserve">, vocational motivation among female students in STEM and technical fields is closely connected to future employability and professional development prospects. </w:t>
      </w:r>
    </w:p>
    <w:p w14:paraId="621889B0" w14:textId="6E1A1424" w:rsidR="00CC1A17" w:rsidRPr="000D6621" w:rsidRDefault="000D6621" w:rsidP="000D6621">
      <w:pPr>
        <w:pStyle w:val="Body"/>
        <w:rPr>
          <w:rFonts w:ascii="Arial" w:hAnsi="Arial" w:cs="Arial"/>
        </w:rPr>
      </w:pPr>
      <w:r w:rsidRPr="000D6621">
        <w:rPr>
          <w:rFonts w:ascii="Arial" w:hAnsi="Arial" w:cs="Arial"/>
        </w:rPr>
        <w:t>The implication in the context of motivation is that female students in the Automotive Technology program are influenced by an interaction of intrinsic interest, social influences, and gender empowerment goals. Intrinsic interest in vehicles motivates engagement, while family role models and career aspirations provide external support. At the same time, the desire to counteract gender stereotypes underlines the students' resilience and determination to be successful in their male-dominated field. These findings have implications for supportive learning environments, mentorship, and gender-sensitive policies that would promote motivation and confidence in female technical students.</w:t>
      </w:r>
    </w:p>
    <w:p w14:paraId="43C3E3F5" w14:textId="5EC0C58A" w:rsidR="000D6621" w:rsidRPr="00E433C6" w:rsidRDefault="0018093A" w:rsidP="000D6621">
      <w:pPr>
        <w:pStyle w:val="Body"/>
        <w:rPr>
          <w:rFonts w:ascii="Arial" w:hAnsi="Arial" w:cs="Arial"/>
          <w:b/>
          <w:bCs/>
          <w:sz w:val="22"/>
          <w:szCs w:val="22"/>
        </w:rPr>
      </w:pPr>
      <w:r>
        <w:rPr>
          <w:rFonts w:ascii="Arial" w:hAnsi="Arial" w:cs="Arial"/>
          <w:b/>
          <w:bCs/>
          <w:sz w:val="22"/>
          <w:szCs w:val="22"/>
        </w:rPr>
        <w:t>4</w:t>
      </w:r>
      <w:r w:rsidR="00E433C6" w:rsidRPr="00E433C6">
        <w:rPr>
          <w:rFonts w:ascii="Arial" w:hAnsi="Arial" w:cs="Arial"/>
          <w:b/>
          <w:bCs/>
          <w:sz w:val="22"/>
          <w:szCs w:val="22"/>
        </w:rPr>
        <w:t xml:space="preserve">.2 </w:t>
      </w:r>
      <w:r w:rsidR="000D6621" w:rsidRPr="00E433C6">
        <w:rPr>
          <w:rFonts w:ascii="Arial" w:hAnsi="Arial" w:cs="Arial"/>
          <w:b/>
          <w:bCs/>
          <w:sz w:val="22"/>
          <w:szCs w:val="22"/>
        </w:rPr>
        <w:t xml:space="preserve">Gender-related Challenges </w:t>
      </w:r>
    </w:p>
    <w:p w14:paraId="49A59B5E" w14:textId="751505C2" w:rsidR="00DE7E08" w:rsidRPr="00DE7E08" w:rsidRDefault="000D6621" w:rsidP="00DE7E08">
      <w:pPr>
        <w:pStyle w:val="Body"/>
        <w:rPr>
          <w:rFonts w:ascii="Arial" w:hAnsi="Arial" w:cs="Arial"/>
        </w:rPr>
      </w:pPr>
      <w:r w:rsidRPr="00E433C6">
        <w:rPr>
          <w:rFonts w:ascii="Arial" w:hAnsi="Arial" w:cs="Arial"/>
          <w:b/>
          <w:bCs/>
        </w:rPr>
        <w:t>Experiences of Gender-related Bias.</w:t>
      </w:r>
      <w:r w:rsidRPr="000D6621">
        <w:rPr>
          <w:rFonts w:ascii="Arial" w:hAnsi="Arial" w:cs="Arial"/>
        </w:rPr>
        <w:t xml:space="preserve"> </w:t>
      </w:r>
      <w:r w:rsidR="00DE7E08" w:rsidRPr="00DE7E08">
        <w:rPr>
          <w:rFonts w:ascii="Arial" w:hAnsi="Arial" w:cs="Arial"/>
        </w:rPr>
        <w:t>The findings indicate that female students in the Automotive Technology program encounter mixed experiences of gender bias. Some participants reported instances of bias, particularly from classmates and occasionally instructors. For example:</w:t>
      </w:r>
    </w:p>
    <w:p w14:paraId="31ACF1DF" w14:textId="3C141B13" w:rsidR="00DE7E08" w:rsidRPr="00DE7E08" w:rsidRDefault="00DE7E08" w:rsidP="00DE7E08">
      <w:pPr>
        <w:pStyle w:val="Body"/>
        <w:rPr>
          <w:rFonts w:ascii="Arial" w:hAnsi="Arial" w:cs="Arial"/>
        </w:rPr>
      </w:pPr>
      <w:r w:rsidRPr="00DE7E08">
        <w:rPr>
          <w:rFonts w:ascii="Arial" w:hAnsi="Arial" w:cs="Arial"/>
          <w:i/>
          <w:iCs/>
        </w:rPr>
        <w:t>“</w:t>
      </w:r>
      <w:proofErr w:type="spellStart"/>
      <w:r w:rsidRPr="00DE7E08">
        <w:rPr>
          <w:rFonts w:ascii="Arial" w:hAnsi="Arial" w:cs="Arial"/>
          <w:i/>
          <w:iCs/>
        </w:rPr>
        <w:t>Iniisip</w:t>
      </w:r>
      <w:proofErr w:type="spellEnd"/>
      <w:r w:rsidRPr="00DE7E08">
        <w:rPr>
          <w:rFonts w:ascii="Arial" w:hAnsi="Arial" w:cs="Arial"/>
          <w:i/>
          <w:iCs/>
        </w:rPr>
        <w:t xml:space="preserve"> ng </w:t>
      </w:r>
      <w:proofErr w:type="spellStart"/>
      <w:r w:rsidRPr="00DE7E08">
        <w:rPr>
          <w:rFonts w:ascii="Arial" w:hAnsi="Arial" w:cs="Arial"/>
          <w:i/>
          <w:iCs/>
        </w:rPr>
        <w:t>iba</w:t>
      </w:r>
      <w:proofErr w:type="spellEnd"/>
      <w:r w:rsidRPr="00DE7E08">
        <w:rPr>
          <w:rFonts w:ascii="Arial" w:hAnsi="Arial" w:cs="Arial"/>
          <w:i/>
          <w:iCs/>
        </w:rPr>
        <w:t xml:space="preserve"> na </w:t>
      </w:r>
      <w:proofErr w:type="spellStart"/>
      <w:r w:rsidRPr="00DE7E08">
        <w:rPr>
          <w:rFonts w:ascii="Arial" w:hAnsi="Arial" w:cs="Arial"/>
          <w:i/>
          <w:iCs/>
        </w:rPr>
        <w:t>hindi</w:t>
      </w:r>
      <w:proofErr w:type="spellEnd"/>
      <w:r w:rsidRPr="00DE7E08">
        <w:rPr>
          <w:rFonts w:ascii="Arial" w:hAnsi="Arial" w:cs="Arial"/>
          <w:i/>
          <w:iCs/>
        </w:rPr>
        <w:t xml:space="preserve"> kaya ng </w:t>
      </w:r>
      <w:proofErr w:type="spellStart"/>
      <w:r w:rsidRPr="00DE7E08">
        <w:rPr>
          <w:rFonts w:ascii="Arial" w:hAnsi="Arial" w:cs="Arial"/>
          <w:i/>
          <w:iCs/>
        </w:rPr>
        <w:t>babae</w:t>
      </w:r>
      <w:proofErr w:type="spellEnd"/>
      <w:r w:rsidRPr="00DE7E08">
        <w:rPr>
          <w:rFonts w:ascii="Arial" w:hAnsi="Arial" w:cs="Arial"/>
          <w:i/>
          <w:iCs/>
        </w:rPr>
        <w:t xml:space="preserve"> ang </w:t>
      </w:r>
      <w:proofErr w:type="spellStart"/>
      <w:r w:rsidRPr="00DE7E08">
        <w:rPr>
          <w:rFonts w:ascii="Arial" w:hAnsi="Arial" w:cs="Arial"/>
          <w:i/>
          <w:iCs/>
        </w:rPr>
        <w:t>mekanikal</w:t>
      </w:r>
      <w:proofErr w:type="spellEnd"/>
      <w:r w:rsidRPr="00DE7E08">
        <w:rPr>
          <w:rFonts w:ascii="Arial" w:hAnsi="Arial" w:cs="Arial"/>
          <w:i/>
          <w:iCs/>
        </w:rPr>
        <w:t xml:space="preserve"> na </w:t>
      </w:r>
      <w:proofErr w:type="spellStart"/>
      <w:r w:rsidRPr="00DE7E08">
        <w:rPr>
          <w:rFonts w:ascii="Arial" w:hAnsi="Arial" w:cs="Arial"/>
          <w:i/>
          <w:iCs/>
        </w:rPr>
        <w:t>trabaho</w:t>
      </w:r>
      <w:proofErr w:type="spellEnd"/>
      <w:r w:rsidRPr="00DE7E08">
        <w:rPr>
          <w:rFonts w:ascii="Arial" w:hAnsi="Arial" w:cs="Arial"/>
          <w:i/>
          <w:iCs/>
        </w:rPr>
        <w:t>” (“Some people assume that women are not capable of mechanical work”)</w:t>
      </w:r>
      <w:r>
        <w:rPr>
          <w:rFonts w:ascii="Arial" w:hAnsi="Arial" w:cs="Arial"/>
          <w:i/>
          <w:iCs/>
        </w:rPr>
        <w:t xml:space="preserve"> </w:t>
      </w:r>
      <w:r>
        <w:rPr>
          <w:rFonts w:ascii="Arial" w:hAnsi="Arial" w:cs="Arial"/>
        </w:rPr>
        <w:t>– Participant A</w:t>
      </w:r>
    </w:p>
    <w:p w14:paraId="5520FD02" w14:textId="45897BB2" w:rsidR="00DE7E08" w:rsidRPr="00DE7E08" w:rsidRDefault="00DE7E08" w:rsidP="00DE7E08">
      <w:pPr>
        <w:pStyle w:val="Body"/>
        <w:rPr>
          <w:rFonts w:ascii="Arial" w:hAnsi="Arial" w:cs="Arial"/>
        </w:rPr>
      </w:pPr>
      <w:r w:rsidRPr="00DE7E08">
        <w:rPr>
          <w:rFonts w:ascii="Arial" w:hAnsi="Arial" w:cs="Arial"/>
          <w:i/>
          <w:iCs/>
        </w:rPr>
        <w:t>“</w:t>
      </w:r>
      <w:proofErr w:type="spellStart"/>
      <w:r w:rsidRPr="00DE7E08">
        <w:rPr>
          <w:rFonts w:ascii="Arial" w:hAnsi="Arial" w:cs="Arial"/>
          <w:i/>
          <w:iCs/>
        </w:rPr>
        <w:t>Nagduda</w:t>
      </w:r>
      <w:proofErr w:type="spellEnd"/>
      <w:r w:rsidRPr="00DE7E08">
        <w:rPr>
          <w:rFonts w:ascii="Arial" w:hAnsi="Arial" w:cs="Arial"/>
          <w:i/>
          <w:iCs/>
        </w:rPr>
        <w:t xml:space="preserve"> ang </w:t>
      </w:r>
      <w:proofErr w:type="spellStart"/>
      <w:r w:rsidRPr="00DE7E08">
        <w:rPr>
          <w:rFonts w:ascii="Arial" w:hAnsi="Arial" w:cs="Arial"/>
          <w:i/>
          <w:iCs/>
        </w:rPr>
        <w:t>mga</w:t>
      </w:r>
      <w:proofErr w:type="spellEnd"/>
      <w:r w:rsidRPr="00DE7E08">
        <w:rPr>
          <w:rFonts w:ascii="Arial" w:hAnsi="Arial" w:cs="Arial"/>
          <w:i/>
          <w:iCs/>
        </w:rPr>
        <w:t xml:space="preserve"> </w:t>
      </w:r>
      <w:proofErr w:type="spellStart"/>
      <w:r w:rsidRPr="00DE7E08">
        <w:rPr>
          <w:rFonts w:ascii="Arial" w:hAnsi="Arial" w:cs="Arial"/>
          <w:i/>
          <w:iCs/>
        </w:rPr>
        <w:t>kaklase</w:t>
      </w:r>
      <w:proofErr w:type="spellEnd"/>
      <w:r w:rsidRPr="00DE7E08">
        <w:rPr>
          <w:rFonts w:ascii="Arial" w:hAnsi="Arial" w:cs="Arial"/>
          <w:i/>
          <w:iCs/>
        </w:rPr>
        <w:t xml:space="preserve"> </w:t>
      </w:r>
      <w:proofErr w:type="spellStart"/>
      <w:r w:rsidRPr="00DE7E08">
        <w:rPr>
          <w:rFonts w:ascii="Arial" w:hAnsi="Arial" w:cs="Arial"/>
          <w:i/>
          <w:iCs/>
        </w:rPr>
        <w:t>sa</w:t>
      </w:r>
      <w:proofErr w:type="spellEnd"/>
      <w:r w:rsidRPr="00DE7E08">
        <w:rPr>
          <w:rFonts w:ascii="Arial" w:hAnsi="Arial" w:cs="Arial"/>
          <w:i/>
          <w:iCs/>
        </w:rPr>
        <w:t xml:space="preserve"> </w:t>
      </w:r>
      <w:proofErr w:type="spellStart"/>
      <w:r w:rsidRPr="00DE7E08">
        <w:rPr>
          <w:rFonts w:ascii="Arial" w:hAnsi="Arial" w:cs="Arial"/>
          <w:i/>
          <w:iCs/>
        </w:rPr>
        <w:t>aking</w:t>
      </w:r>
      <w:proofErr w:type="spellEnd"/>
      <w:r w:rsidRPr="00DE7E08">
        <w:rPr>
          <w:rFonts w:ascii="Arial" w:hAnsi="Arial" w:cs="Arial"/>
          <w:i/>
          <w:iCs/>
        </w:rPr>
        <w:t xml:space="preserve"> </w:t>
      </w:r>
      <w:proofErr w:type="spellStart"/>
      <w:r w:rsidRPr="00DE7E08">
        <w:rPr>
          <w:rFonts w:ascii="Arial" w:hAnsi="Arial" w:cs="Arial"/>
          <w:i/>
          <w:iCs/>
        </w:rPr>
        <w:t>kakayahan</w:t>
      </w:r>
      <w:proofErr w:type="spellEnd"/>
      <w:r w:rsidRPr="00DE7E08">
        <w:rPr>
          <w:rFonts w:ascii="Arial" w:hAnsi="Arial" w:cs="Arial"/>
          <w:i/>
          <w:iCs/>
        </w:rPr>
        <w:t xml:space="preserve"> </w:t>
      </w:r>
      <w:proofErr w:type="spellStart"/>
      <w:r w:rsidRPr="00DE7E08">
        <w:rPr>
          <w:rFonts w:ascii="Arial" w:hAnsi="Arial" w:cs="Arial"/>
          <w:i/>
          <w:iCs/>
        </w:rPr>
        <w:t>dahil</w:t>
      </w:r>
      <w:proofErr w:type="spellEnd"/>
      <w:r w:rsidRPr="00DE7E08">
        <w:rPr>
          <w:rFonts w:ascii="Arial" w:hAnsi="Arial" w:cs="Arial"/>
          <w:i/>
          <w:iCs/>
        </w:rPr>
        <w:t xml:space="preserve"> </w:t>
      </w:r>
      <w:proofErr w:type="spellStart"/>
      <w:r w:rsidRPr="00DE7E08">
        <w:rPr>
          <w:rFonts w:ascii="Arial" w:hAnsi="Arial" w:cs="Arial"/>
          <w:i/>
          <w:iCs/>
        </w:rPr>
        <w:t>babae</w:t>
      </w:r>
      <w:proofErr w:type="spellEnd"/>
      <w:r w:rsidRPr="00DE7E08">
        <w:rPr>
          <w:rFonts w:ascii="Arial" w:hAnsi="Arial" w:cs="Arial"/>
          <w:i/>
          <w:iCs/>
        </w:rPr>
        <w:t xml:space="preserve"> </w:t>
      </w:r>
      <w:proofErr w:type="spellStart"/>
      <w:r w:rsidRPr="00DE7E08">
        <w:rPr>
          <w:rFonts w:ascii="Arial" w:hAnsi="Arial" w:cs="Arial"/>
          <w:i/>
          <w:iCs/>
        </w:rPr>
        <w:t>ako</w:t>
      </w:r>
      <w:proofErr w:type="spellEnd"/>
      <w:r w:rsidRPr="00DE7E08">
        <w:rPr>
          <w:rFonts w:ascii="Arial" w:hAnsi="Arial" w:cs="Arial"/>
          <w:i/>
          <w:iCs/>
        </w:rPr>
        <w:t>” (“Classmates doubted my skills just because I’m a woman”)</w:t>
      </w:r>
      <w:r>
        <w:rPr>
          <w:rFonts w:ascii="Arial" w:hAnsi="Arial" w:cs="Arial"/>
          <w:i/>
          <w:iCs/>
        </w:rPr>
        <w:t xml:space="preserve"> </w:t>
      </w:r>
      <w:r>
        <w:rPr>
          <w:rFonts w:ascii="Arial" w:hAnsi="Arial" w:cs="Arial"/>
        </w:rPr>
        <w:t>– Participant C</w:t>
      </w:r>
    </w:p>
    <w:p w14:paraId="569646D9" w14:textId="5B2A4860" w:rsidR="00DE7E08" w:rsidRPr="00DE7E08" w:rsidRDefault="00DE7E08" w:rsidP="00DE7E08">
      <w:pPr>
        <w:pStyle w:val="Body"/>
        <w:rPr>
          <w:rFonts w:ascii="Arial" w:hAnsi="Arial" w:cs="Arial"/>
        </w:rPr>
      </w:pPr>
      <w:r w:rsidRPr="00DE7E08">
        <w:rPr>
          <w:rFonts w:ascii="Arial" w:hAnsi="Arial" w:cs="Arial"/>
        </w:rPr>
        <w:t xml:space="preserve">These responses highlight the persistence of gender stereotypes in technical fields, where cultural assumptions often question women’s competence in mechanical tasks. These findings are consistent with recent research by Tams et al. (2022), who reported that women in male-dominated STEM programs still face subtle and overt skepticism about their technical capabilities. Similarly, </w:t>
      </w:r>
      <w:r w:rsidR="007365FC" w:rsidRPr="007365FC">
        <w:rPr>
          <w:rFonts w:ascii="Arial" w:hAnsi="Arial" w:cs="Arial"/>
        </w:rPr>
        <w:t>Labor Market Intelligence Report</w:t>
      </w:r>
      <w:r w:rsidR="007365FC">
        <w:rPr>
          <w:rFonts w:ascii="Arial" w:hAnsi="Arial" w:cs="Arial"/>
        </w:rPr>
        <w:t xml:space="preserve"> 2022 of TESDA </w:t>
      </w:r>
      <w:r w:rsidRPr="00DE7E08">
        <w:rPr>
          <w:rFonts w:ascii="Arial" w:hAnsi="Arial" w:cs="Arial"/>
        </w:rPr>
        <w:t xml:space="preserve">found that female vocational students in </w:t>
      </w:r>
      <w:r w:rsidR="007365FC">
        <w:rPr>
          <w:rFonts w:ascii="Arial" w:hAnsi="Arial" w:cs="Arial"/>
        </w:rPr>
        <w:t>the Philippines</w:t>
      </w:r>
      <w:r w:rsidRPr="00DE7E08">
        <w:rPr>
          <w:rFonts w:ascii="Arial" w:hAnsi="Arial" w:cs="Arial"/>
        </w:rPr>
        <w:t xml:space="preserve"> frequently encounter gendered expectations that challenge their participation in technical courses</w:t>
      </w:r>
      <w:r w:rsidR="007365FC">
        <w:rPr>
          <w:rFonts w:ascii="Arial" w:hAnsi="Arial" w:cs="Arial"/>
        </w:rPr>
        <w:t xml:space="preserve"> </w:t>
      </w:r>
      <w:r w:rsidR="007365FC" w:rsidRPr="007365FC">
        <w:rPr>
          <w:rFonts w:ascii="Arial" w:hAnsi="Arial" w:cs="Arial"/>
        </w:rPr>
        <w:t>(Technical Education and Skills Development Authority [TESDA], 2022)</w:t>
      </w:r>
    </w:p>
    <w:p w14:paraId="5F82A5AC" w14:textId="465B30C8" w:rsidR="00DE7E08" w:rsidRPr="00DE7E08" w:rsidRDefault="00DE7E08" w:rsidP="00DE7E08">
      <w:pPr>
        <w:pStyle w:val="Body"/>
        <w:rPr>
          <w:rFonts w:ascii="Arial" w:hAnsi="Arial" w:cs="Arial"/>
        </w:rPr>
      </w:pPr>
      <w:r w:rsidRPr="00DE7E08">
        <w:rPr>
          <w:rFonts w:ascii="Arial" w:hAnsi="Arial" w:cs="Arial"/>
        </w:rPr>
        <w:t>Despite these challenges, several students reported that such experiences serve as motivational drivers. One participant shared:</w:t>
      </w:r>
    </w:p>
    <w:p w14:paraId="4006B1AB" w14:textId="483EA8B5" w:rsidR="00DE7E08" w:rsidRPr="00DE7E08" w:rsidRDefault="00DE7E08" w:rsidP="00DE7E08">
      <w:pPr>
        <w:pStyle w:val="Body"/>
        <w:rPr>
          <w:rFonts w:ascii="Arial" w:hAnsi="Arial" w:cs="Arial"/>
        </w:rPr>
      </w:pPr>
      <w:r w:rsidRPr="00DE7E08">
        <w:rPr>
          <w:rFonts w:ascii="Arial" w:hAnsi="Arial" w:cs="Arial"/>
          <w:i/>
          <w:iCs/>
        </w:rPr>
        <w:t>“</w:t>
      </w:r>
      <w:proofErr w:type="spellStart"/>
      <w:r w:rsidRPr="00DE7E08">
        <w:rPr>
          <w:rFonts w:ascii="Arial" w:hAnsi="Arial" w:cs="Arial"/>
          <w:i/>
          <w:iCs/>
        </w:rPr>
        <w:t>Ginagamit</w:t>
      </w:r>
      <w:proofErr w:type="spellEnd"/>
      <w:r w:rsidRPr="00DE7E08">
        <w:rPr>
          <w:rFonts w:ascii="Arial" w:hAnsi="Arial" w:cs="Arial"/>
          <w:i/>
          <w:iCs/>
        </w:rPr>
        <w:t xml:space="preserve"> ko ang </w:t>
      </w:r>
      <w:proofErr w:type="spellStart"/>
      <w:r w:rsidRPr="00DE7E08">
        <w:rPr>
          <w:rFonts w:ascii="Arial" w:hAnsi="Arial" w:cs="Arial"/>
          <w:i/>
          <w:iCs/>
        </w:rPr>
        <w:t>mga</w:t>
      </w:r>
      <w:proofErr w:type="spellEnd"/>
      <w:r w:rsidRPr="00DE7E08">
        <w:rPr>
          <w:rFonts w:ascii="Arial" w:hAnsi="Arial" w:cs="Arial"/>
          <w:i/>
          <w:iCs/>
        </w:rPr>
        <w:t xml:space="preserve"> </w:t>
      </w:r>
      <w:proofErr w:type="spellStart"/>
      <w:r w:rsidRPr="00DE7E08">
        <w:rPr>
          <w:rFonts w:ascii="Arial" w:hAnsi="Arial" w:cs="Arial"/>
          <w:i/>
          <w:iCs/>
        </w:rPr>
        <w:t>ganitong</w:t>
      </w:r>
      <w:proofErr w:type="spellEnd"/>
      <w:r w:rsidRPr="00DE7E08">
        <w:rPr>
          <w:rFonts w:ascii="Arial" w:hAnsi="Arial" w:cs="Arial"/>
          <w:i/>
          <w:iCs/>
        </w:rPr>
        <w:t xml:space="preserve"> </w:t>
      </w:r>
      <w:proofErr w:type="spellStart"/>
      <w:r w:rsidRPr="00DE7E08">
        <w:rPr>
          <w:rFonts w:ascii="Arial" w:hAnsi="Arial" w:cs="Arial"/>
          <w:i/>
          <w:iCs/>
        </w:rPr>
        <w:t>sitwasyon</w:t>
      </w:r>
      <w:proofErr w:type="spellEnd"/>
      <w:r w:rsidRPr="00DE7E08">
        <w:rPr>
          <w:rFonts w:ascii="Arial" w:hAnsi="Arial" w:cs="Arial"/>
          <w:i/>
          <w:iCs/>
        </w:rPr>
        <w:t xml:space="preserve"> </w:t>
      </w:r>
      <w:proofErr w:type="spellStart"/>
      <w:r w:rsidRPr="00DE7E08">
        <w:rPr>
          <w:rFonts w:ascii="Arial" w:hAnsi="Arial" w:cs="Arial"/>
          <w:i/>
          <w:iCs/>
        </w:rPr>
        <w:t>bilang</w:t>
      </w:r>
      <w:proofErr w:type="spellEnd"/>
      <w:r w:rsidRPr="00DE7E08">
        <w:rPr>
          <w:rFonts w:ascii="Arial" w:hAnsi="Arial" w:cs="Arial"/>
          <w:i/>
          <w:iCs/>
        </w:rPr>
        <w:t xml:space="preserve"> </w:t>
      </w:r>
      <w:proofErr w:type="spellStart"/>
      <w:r w:rsidRPr="00DE7E08">
        <w:rPr>
          <w:rFonts w:ascii="Arial" w:hAnsi="Arial" w:cs="Arial"/>
          <w:i/>
          <w:iCs/>
        </w:rPr>
        <w:t>inspirasyon</w:t>
      </w:r>
      <w:proofErr w:type="spellEnd"/>
      <w:r w:rsidRPr="00DE7E08">
        <w:rPr>
          <w:rFonts w:ascii="Arial" w:hAnsi="Arial" w:cs="Arial"/>
          <w:i/>
          <w:iCs/>
        </w:rPr>
        <w:t xml:space="preserve"> para </w:t>
      </w:r>
      <w:proofErr w:type="spellStart"/>
      <w:r w:rsidRPr="00DE7E08">
        <w:rPr>
          <w:rFonts w:ascii="Arial" w:hAnsi="Arial" w:cs="Arial"/>
          <w:i/>
          <w:iCs/>
        </w:rPr>
        <w:t>patunayan</w:t>
      </w:r>
      <w:proofErr w:type="spellEnd"/>
      <w:r w:rsidRPr="00DE7E08">
        <w:rPr>
          <w:rFonts w:ascii="Arial" w:hAnsi="Arial" w:cs="Arial"/>
          <w:i/>
          <w:iCs/>
        </w:rPr>
        <w:t xml:space="preserve"> na </w:t>
      </w:r>
      <w:proofErr w:type="spellStart"/>
      <w:r w:rsidRPr="00DE7E08">
        <w:rPr>
          <w:rFonts w:ascii="Arial" w:hAnsi="Arial" w:cs="Arial"/>
          <w:i/>
          <w:iCs/>
        </w:rPr>
        <w:t>hindi</w:t>
      </w:r>
      <w:proofErr w:type="spellEnd"/>
      <w:r w:rsidRPr="00DE7E08">
        <w:rPr>
          <w:rFonts w:ascii="Arial" w:hAnsi="Arial" w:cs="Arial"/>
          <w:i/>
          <w:iCs/>
        </w:rPr>
        <w:t xml:space="preserve"> </w:t>
      </w:r>
      <w:proofErr w:type="spellStart"/>
      <w:r w:rsidRPr="00DE7E08">
        <w:rPr>
          <w:rFonts w:ascii="Arial" w:hAnsi="Arial" w:cs="Arial"/>
          <w:i/>
          <w:iCs/>
        </w:rPr>
        <w:t>batay</w:t>
      </w:r>
      <w:proofErr w:type="spellEnd"/>
      <w:r w:rsidRPr="00DE7E08">
        <w:rPr>
          <w:rFonts w:ascii="Arial" w:hAnsi="Arial" w:cs="Arial"/>
          <w:i/>
          <w:iCs/>
        </w:rPr>
        <w:t xml:space="preserve"> </w:t>
      </w:r>
      <w:proofErr w:type="spellStart"/>
      <w:r w:rsidRPr="00DE7E08">
        <w:rPr>
          <w:rFonts w:ascii="Arial" w:hAnsi="Arial" w:cs="Arial"/>
          <w:i/>
          <w:iCs/>
        </w:rPr>
        <w:t>sa</w:t>
      </w:r>
      <w:proofErr w:type="spellEnd"/>
      <w:r w:rsidRPr="00DE7E08">
        <w:rPr>
          <w:rFonts w:ascii="Arial" w:hAnsi="Arial" w:cs="Arial"/>
          <w:i/>
          <w:iCs/>
        </w:rPr>
        <w:t xml:space="preserve"> </w:t>
      </w:r>
      <w:proofErr w:type="spellStart"/>
      <w:r w:rsidRPr="00DE7E08">
        <w:rPr>
          <w:rFonts w:ascii="Arial" w:hAnsi="Arial" w:cs="Arial"/>
          <w:i/>
          <w:iCs/>
        </w:rPr>
        <w:t>kasarian</w:t>
      </w:r>
      <w:proofErr w:type="spellEnd"/>
      <w:r w:rsidRPr="00DE7E08">
        <w:rPr>
          <w:rFonts w:ascii="Arial" w:hAnsi="Arial" w:cs="Arial"/>
          <w:i/>
          <w:iCs/>
        </w:rPr>
        <w:t xml:space="preserve"> ang </w:t>
      </w:r>
      <w:proofErr w:type="spellStart"/>
      <w:r w:rsidRPr="00DE7E08">
        <w:rPr>
          <w:rFonts w:ascii="Arial" w:hAnsi="Arial" w:cs="Arial"/>
          <w:i/>
          <w:iCs/>
        </w:rPr>
        <w:t>kakayahan</w:t>
      </w:r>
      <w:proofErr w:type="spellEnd"/>
      <w:r w:rsidRPr="00DE7E08">
        <w:rPr>
          <w:rFonts w:ascii="Arial" w:hAnsi="Arial" w:cs="Arial"/>
          <w:i/>
          <w:iCs/>
        </w:rPr>
        <w:t>” (“I use those moments as motivation to prove that skill has nothing to do with gender”).</w:t>
      </w:r>
      <w:r>
        <w:rPr>
          <w:rFonts w:ascii="Arial" w:hAnsi="Arial" w:cs="Arial"/>
        </w:rPr>
        <w:t xml:space="preserve"> – Participant D</w:t>
      </w:r>
    </w:p>
    <w:p w14:paraId="119E51C1" w14:textId="051F5646" w:rsidR="00112DAD" w:rsidRPr="00112DAD" w:rsidRDefault="00DE7E08" w:rsidP="00DE7E08">
      <w:pPr>
        <w:pStyle w:val="Body"/>
        <w:rPr>
          <w:rFonts w:ascii="Arial" w:hAnsi="Arial" w:cs="Arial"/>
        </w:rPr>
      </w:pPr>
      <w:r w:rsidRPr="00DE7E08">
        <w:rPr>
          <w:rFonts w:ascii="Arial" w:hAnsi="Arial" w:cs="Arial"/>
        </w:rPr>
        <w:t xml:space="preserve">This finding aligns with Bandura’s (1999) Social Cognitive Theory, which emphasizes self-efficacy as a critical determinant of individuals’ ability to overcome barriers. The students’ resilience and determination to succeed illustrate how negative experiences can reinforce motivation and persistence in male-dominated fields. Recent studies by </w:t>
      </w:r>
      <w:r w:rsidR="007365FC" w:rsidRPr="007365FC">
        <w:rPr>
          <w:rFonts w:ascii="Arial" w:hAnsi="Arial" w:cs="Arial"/>
        </w:rPr>
        <w:t>Zhou et al.</w:t>
      </w:r>
      <w:r w:rsidR="007365FC">
        <w:rPr>
          <w:rFonts w:ascii="Arial" w:hAnsi="Arial" w:cs="Arial"/>
        </w:rPr>
        <w:t xml:space="preserve"> (</w:t>
      </w:r>
      <w:r w:rsidR="007365FC" w:rsidRPr="007365FC">
        <w:rPr>
          <w:rFonts w:ascii="Arial" w:hAnsi="Arial" w:cs="Arial"/>
        </w:rPr>
        <w:t>2025</w:t>
      </w:r>
      <w:r w:rsidRPr="00DE7E08">
        <w:rPr>
          <w:rFonts w:ascii="Arial" w:hAnsi="Arial" w:cs="Arial"/>
        </w:rPr>
        <w:t>) complement this perspective, showing that self-efficacy and coping strategies mediate the relationship between perceived gender bias and academic performance among female students in technical disciplines.</w:t>
      </w:r>
    </w:p>
    <w:p w14:paraId="50E7C122" w14:textId="26D83AD5" w:rsidR="00112DAD" w:rsidRPr="00112DAD" w:rsidRDefault="00112DAD" w:rsidP="00112DAD">
      <w:pPr>
        <w:pStyle w:val="Body"/>
        <w:rPr>
          <w:rFonts w:ascii="Arial" w:hAnsi="Arial" w:cs="Arial"/>
        </w:rPr>
      </w:pPr>
      <w:r w:rsidRPr="00112DAD">
        <w:rPr>
          <w:rFonts w:ascii="Arial" w:hAnsi="Arial" w:cs="Arial"/>
        </w:rPr>
        <w:t>On the other hand, several participants indicated that they had experienced negligible or no bias, describing respectful and equitable treatment by both instructors and classmates. For example:</w:t>
      </w:r>
    </w:p>
    <w:p w14:paraId="3A9980B9" w14:textId="2B0C04C8" w:rsidR="00112DAD" w:rsidRPr="00112DAD" w:rsidRDefault="00112DAD" w:rsidP="00112DAD">
      <w:pPr>
        <w:pStyle w:val="Body"/>
        <w:rPr>
          <w:rFonts w:ascii="Arial" w:hAnsi="Arial" w:cs="Arial"/>
        </w:rPr>
      </w:pPr>
      <w:r w:rsidRPr="00112DAD">
        <w:rPr>
          <w:rFonts w:ascii="Arial" w:hAnsi="Arial" w:cs="Arial"/>
          <w:i/>
          <w:iCs/>
        </w:rPr>
        <w:t xml:space="preserve">“Lahat ng instructor </w:t>
      </w:r>
      <w:proofErr w:type="spellStart"/>
      <w:r w:rsidRPr="00112DAD">
        <w:rPr>
          <w:rFonts w:ascii="Arial" w:hAnsi="Arial" w:cs="Arial"/>
          <w:i/>
          <w:iCs/>
        </w:rPr>
        <w:t>ay</w:t>
      </w:r>
      <w:proofErr w:type="spellEnd"/>
      <w:r w:rsidRPr="00112DAD">
        <w:rPr>
          <w:rFonts w:ascii="Arial" w:hAnsi="Arial" w:cs="Arial"/>
          <w:i/>
          <w:iCs/>
        </w:rPr>
        <w:t xml:space="preserve"> </w:t>
      </w:r>
      <w:proofErr w:type="spellStart"/>
      <w:r w:rsidRPr="00112DAD">
        <w:rPr>
          <w:rFonts w:ascii="Arial" w:hAnsi="Arial" w:cs="Arial"/>
          <w:i/>
          <w:iCs/>
        </w:rPr>
        <w:t>tumuturing</w:t>
      </w:r>
      <w:proofErr w:type="spellEnd"/>
      <w:r w:rsidRPr="00112DAD">
        <w:rPr>
          <w:rFonts w:ascii="Arial" w:hAnsi="Arial" w:cs="Arial"/>
          <w:i/>
          <w:iCs/>
        </w:rPr>
        <w:t xml:space="preserve"> </w:t>
      </w:r>
      <w:proofErr w:type="spellStart"/>
      <w:r w:rsidRPr="00112DAD">
        <w:rPr>
          <w:rFonts w:ascii="Arial" w:hAnsi="Arial" w:cs="Arial"/>
          <w:i/>
          <w:iCs/>
        </w:rPr>
        <w:t>sa</w:t>
      </w:r>
      <w:proofErr w:type="spellEnd"/>
      <w:r w:rsidRPr="00112DAD">
        <w:rPr>
          <w:rFonts w:ascii="Arial" w:hAnsi="Arial" w:cs="Arial"/>
          <w:i/>
          <w:iCs/>
        </w:rPr>
        <w:t xml:space="preserve"> amin ng patas—</w:t>
      </w:r>
      <w:proofErr w:type="spellStart"/>
      <w:r w:rsidRPr="00112DAD">
        <w:rPr>
          <w:rFonts w:ascii="Arial" w:hAnsi="Arial" w:cs="Arial"/>
          <w:i/>
          <w:iCs/>
        </w:rPr>
        <w:t>walang</w:t>
      </w:r>
      <w:proofErr w:type="spellEnd"/>
      <w:r w:rsidRPr="00112DAD">
        <w:rPr>
          <w:rFonts w:ascii="Arial" w:hAnsi="Arial" w:cs="Arial"/>
          <w:i/>
          <w:iCs/>
        </w:rPr>
        <w:t xml:space="preserve"> </w:t>
      </w:r>
      <w:proofErr w:type="spellStart"/>
      <w:r w:rsidRPr="00112DAD">
        <w:rPr>
          <w:rFonts w:ascii="Arial" w:hAnsi="Arial" w:cs="Arial"/>
          <w:i/>
          <w:iCs/>
        </w:rPr>
        <w:t>pinag-iba</w:t>
      </w:r>
      <w:proofErr w:type="spellEnd"/>
      <w:r w:rsidRPr="00112DAD">
        <w:rPr>
          <w:rFonts w:ascii="Arial" w:hAnsi="Arial" w:cs="Arial"/>
          <w:i/>
          <w:iCs/>
        </w:rPr>
        <w:t xml:space="preserve"> </w:t>
      </w:r>
      <w:proofErr w:type="spellStart"/>
      <w:r w:rsidRPr="00112DAD">
        <w:rPr>
          <w:rFonts w:ascii="Arial" w:hAnsi="Arial" w:cs="Arial"/>
          <w:i/>
          <w:iCs/>
        </w:rPr>
        <w:t>dahil</w:t>
      </w:r>
      <w:proofErr w:type="spellEnd"/>
      <w:r w:rsidRPr="00112DAD">
        <w:rPr>
          <w:rFonts w:ascii="Arial" w:hAnsi="Arial" w:cs="Arial"/>
          <w:i/>
          <w:iCs/>
        </w:rPr>
        <w:t xml:space="preserve"> </w:t>
      </w:r>
      <w:proofErr w:type="spellStart"/>
      <w:r w:rsidRPr="00112DAD">
        <w:rPr>
          <w:rFonts w:ascii="Arial" w:hAnsi="Arial" w:cs="Arial"/>
          <w:i/>
          <w:iCs/>
        </w:rPr>
        <w:t>babae</w:t>
      </w:r>
      <w:proofErr w:type="spellEnd"/>
      <w:r w:rsidRPr="00112DAD">
        <w:rPr>
          <w:rFonts w:ascii="Arial" w:hAnsi="Arial" w:cs="Arial"/>
          <w:i/>
          <w:iCs/>
        </w:rPr>
        <w:t xml:space="preserve"> kami.” (“All instructors are treating us equally—there is no distinction just because we are women.”)</w:t>
      </w:r>
      <w:r>
        <w:rPr>
          <w:rFonts w:ascii="Arial" w:hAnsi="Arial" w:cs="Arial"/>
          <w:i/>
          <w:iCs/>
        </w:rPr>
        <w:t xml:space="preserve"> </w:t>
      </w:r>
      <w:r>
        <w:rPr>
          <w:rFonts w:ascii="Arial" w:hAnsi="Arial" w:cs="Arial"/>
        </w:rPr>
        <w:t>– Participant B</w:t>
      </w:r>
    </w:p>
    <w:p w14:paraId="074AF326" w14:textId="0B29612A" w:rsidR="00DE7E08" w:rsidRPr="00DE7E08" w:rsidRDefault="00DE7E08" w:rsidP="00DE7E08">
      <w:pPr>
        <w:pStyle w:val="Body"/>
        <w:rPr>
          <w:rFonts w:ascii="Arial" w:hAnsi="Arial" w:cs="Arial"/>
        </w:rPr>
      </w:pPr>
      <w:r w:rsidRPr="00DE7E08">
        <w:rPr>
          <w:rFonts w:ascii="Arial" w:hAnsi="Arial" w:cs="Arial"/>
        </w:rPr>
        <w:t xml:space="preserve">This suggests that institutional support and inclusive practices can mitigate challenges related to gender bias. These observations are supported by recent research by Bustamante-Mora et al., </w:t>
      </w:r>
      <w:r>
        <w:rPr>
          <w:rFonts w:ascii="Arial" w:hAnsi="Arial" w:cs="Arial"/>
        </w:rPr>
        <w:t>(</w:t>
      </w:r>
      <w:r w:rsidRPr="00DE7E08">
        <w:rPr>
          <w:rFonts w:ascii="Arial" w:hAnsi="Arial" w:cs="Arial"/>
        </w:rPr>
        <w:t>2025</w:t>
      </w:r>
      <w:r>
        <w:rPr>
          <w:rFonts w:ascii="Arial" w:hAnsi="Arial" w:cs="Arial"/>
        </w:rPr>
        <w:t>)</w:t>
      </w:r>
      <w:r w:rsidRPr="00DE7E08">
        <w:rPr>
          <w:rFonts w:ascii="Arial" w:hAnsi="Arial" w:cs="Arial"/>
        </w:rPr>
        <w:t>, who found that inclusive teaching and equitable institutional policies significantly enhance women’s confidence and engagement in STEM fields.</w:t>
      </w:r>
    </w:p>
    <w:p w14:paraId="2CE48033" w14:textId="4D814AA5" w:rsidR="000D6621" w:rsidRPr="000D6621" w:rsidRDefault="00DE7E08" w:rsidP="00DE7E08">
      <w:pPr>
        <w:pStyle w:val="Body"/>
        <w:rPr>
          <w:rFonts w:ascii="Arial" w:hAnsi="Arial" w:cs="Arial"/>
        </w:rPr>
      </w:pPr>
      <w:r w:rsidRPr="00DE7E08">
        <w:rPr>
          <w:rFonts w:ascii="Arial" w:hAnsi="Arial" w:cs="Arial"/>
        </w:rPr>
        <w:t>Overall, the findings show that while gender bias persists for some female students, its impact is tempered through individual resilience and institutional support. Experiences of bias can motivate students to excel, while respect and encouragement from instructors and peers foster confidence and proficiency. This duality underscores the importance of awareness programs and inclusive teaching practices to ensure equitable opportunities for all students, regardless of gender.</w:t>
      </w:r>
    </w:p>
    <w:p w14:paraId="6B0FD183" w14:textId="247A8002" w:rsidR="000D6621" w:rsidRPr="001E24A6" w:rsidRDefault="0018093A" w:rsidP="000D6621">
      <w:pPr>
        <w:pStyle w:val="Body"/>
        <w:rPr>
          <w:rFonts w:ascii="Arial" w:hAnsi="Arial" w:cs="Arial"/>
          <w:b/>
          <w:bCs/>
          <w:sz w:val="22"/>
          <w:szCs w:val="22"/>
        </w:rPr>
      </w:pPr>
      <w:r>
        <w:rPr>
          <w:rFonts w:ascii="Arial" w:hAnsi="Arial" w:cs="Arial"/>
          <w:b/>
          <w:bCs/>
          <w:sz w:val="22"/>
          <w:szCs w:val="22"/>
        </w:rPr>
        <w:t>4</w:t>
      </w:r>
      <w:r w:rsidR="00E433C6" w:rsidRPr="001E24A6">
        <w:rPr>
          <w:rFonts w:ascii="Arial" w:hAnsi="Arial" w:cs="Arial"/>
          <w:b/>
          <w:bCs/>
          <w:sz w:val="22"/>
          <w:szCs w:val="22"/>
        </w:rPr>
        <w:t xml:space="preserve">.3 </w:t>
      </w:r>
      <w:r w:rsidR="000D6621" w:rsidRPr="001E24A6">
        <w:rPr>
          <w:rFonts w:ascii="Arial" w:hAnsi="Arial" w:cs="Arial"/>
          <w:b/>
          <w:bCs/>
          <w:sz w:val="22"/>
          <w:szCs w:val="22"/>
        </w:rPr>
        <w:t>Coping Mechanisms</w:t>
      </w:r>
    </w:p>
    <w:p w14:paraId="4C970813" w14:textId="04D36D8B" w:rsidR="001E24A6" w:rsidRPr="001E24A6" w:rsidRDefault="001E24A6" w:rsidP="001E24A6">
      <w:pPr>
        <w:pStyle w:val="Body"/>
        <w:rPr>
          <w:rFonts w:ascii="Arial" w:hAnsi="Arial" w:cs="Arial"/>
        </w:rPr>
      </w:pPr>
      <w:r w:rsidRPr="001E24A6">
        <w:rPr>
          <w:rFonts w:ascii="Arial" w:hAnsi="Arial" w:cs="Arial"/>
        </w:rPr>
        <w:t xml:space="preserve">The findings reveal that female students in the Automotive Technology program employ proactive and adaptive coping strategies to navigate challenges and gendered experiences in their academic journey. Central among these strategies is cognitive reframing and goal-oriented motivation, as expressed in statements such as </w:t>
      </w:r>
      <w:r w:rsidRPr="001E24A6">
        <w:rPr>
          <w:rFonts w:ascii="Arial" w:hAnsi="Arial" w:cs="Arial"/>
          <w:i/>
          <w:iCs/>
        </w:rPr>
        <w:t>“I remind myself why I started and use the challenges as motivation to improve”</w:t>
      </w:r>
      <w:r w:rsidRPr="001E24A6">
        <w:rPr>
          <w:rFonts w:ascii="Arial" w:hAnsi="Arial" w:cs="Arial"/>
        </w:rPr>
        <w:t xml:space="preserve"> and </w:t>
      </w:r>
      <w:r w:rsidRPr="001E24A6">
        <w:rPr>
          <w:rFonts w:ascii="Arial" w:hAnsi="Arial" w:cs="Arial"/>
          <w:i/>
          <w:iCs/>
        </w:rPr>
        <w:t>“I remind myself of my goals and why I chose this course.</w:t>
      </w:r>
      <w:r w:rsidRPr="001E24A6">
        <w:rPr>
          <w:rFonts w:ascii="Arial" w:hAnsi="Arial" w:cs="Arial"/>
        </w:rPr>
        <w:t xml:space="preserve">” Similarly, one participant shared, </w:t>
      </w:r>
      <w:r w:rsidRPr="001E24A6">
        <w:rPr>
          <w:rFonts w:ascii="Arial" w:hAnsi="Arial" w:cs="Arial"/>
          <w:i/>
          <w:iCs/>
        </w:rPr>
        <w:t>“</w:t>
      </w:r>
      <w:proofErr w:type="spellStart"/>
      <w:r w:rsidRPr="001E24A6">
        <w:rPr>
          <w:rFonts w:ascii="Arial" w:hAnsi="Arial" w:cs="Arial"/>
          <w:i/>
          <w:iCs/>
        </w:rPr>
        <w:t>Kapag</w:t>
      </w:r>
      <w:proofErr w:type="spellEnd"/>
      <w:r w:rsidRPr="001E24A6">
        <w:rPr>
          <w:rFonts w:ascii="Arial" w:hAnsi="Arial" w:cs="Arial"/>
          <w:i/>
          <w:iCs/>
        </w:rPr>
        <w:t xml:space="preserve"> </w:t>
      </w:r>
      <w:proofErr w:type="spellStart"/>
      <w:r w:rsidRPr="001E24A6">
        <w:rPr>
          <w:rFonts w:ascii="Arial" w:hAnsi="Arial" w:cs="Arial"/>
          <w:i/>
          <w:iCs/>
        </w:rPr>
        <w:t>nahihirapan</w:t>
      </w:r>
      <w:proofErr w:type="spellEnd"/>
      <w:r w:rsidRPr="001E24A6">
        <w:rPr>
          <w:rFonts w:ascii="Arial" w:hAnsi="Arial" w:cs="Arial"/>
          <w:i/>
          <w:iCs/>
        </w:rPr>
        <w:t xml:space="preserve"> </w:t>
      </w:r>
      <w:proofErr w:type="spellStart"/>
      <w:r w:rsidRPr="001E24A6">
        <w:rPr>
          <w:rFonts w:ascii="Arial" w:hAnsi="Arial" w:cs="Arial"/>
          <w:i/>
          <w:iCs/>
        </w:rPr>
        <w:t>ako</w:t>
      </w:r>
      <w:proofErr w:type="spellEnd"/>
      <w:r w:rsidRPr="001E24A6">
        <w:rPr>
          <w:rFonts w:ascii="Arial" w:hAnsi="Arial" w:cs="Arial"/>
          <w:i/>
          <w:iCs/>
        </w:rPr>
        <w:t xml:space="preserve">, </w:t>
      </w:r>
      <w:proofErr w:type="spellStart"/>
      <w:r w:rsidRPr="001E24A6">
        <w:rPr>
          <w:rFonts w:ascii="Arial" w:hAnsi="Arial" w:cs="Arial"/>
          <w:i/>
          <w:iCs/>
        </w:rPr>
        <w:t>iniisip</w:t>
      </w:r>
      <w:proofErr w:type="spellEnd"/>
      <w:r w:rsidRPr="001E24A6">
        <w:rPr>
          <w:rFonts w:ascii="Arial" w:hAnsi="Arial" w:cs="Arial"/>
          <w:i/>
          <w:iCs/>
        </w:rPr>
        <w:t xml:space="preserve"> ko kung </w:t>
      </w:r>
      <w:proofErr w:type="spellStart"/>
      <w:r w:rsidRPr="001E24A6">
        <w:rPr>
          <w:rFonts w:ascii="Arial" w:hAnsi="Arial" w:cs="Arial"/>
          <w:i/>
          <w:iCs/>
        </w:rPr>
        <w:t>bakit</w:t>
      </w:r>
      <w:proofErr w:type="spellEnd"/>
      <w:r w:rsidRPr="001E24A6">
        <w:rPr>
          <w:rFonts w:ascii="Arial" w:hAnsi="Arial" w:cs="Arial"/>
          <w:i/>
          <w:iCs/>
        </w:rPr>
        <w:t xml:space="preserve"> ko </w:t>
      </w:r>
      <w:proofErr w:type="spellStart"/>
      <w:r w:rsidRPr="001E24A6">
        <w:rPr>
          <w:rFonts w:ascii="Arial" w:hAnsi="Arial" w:cs="Arial"/>
          <w:i/>
          <w:iCs/>
        </w:rPr>
        <w:t>pinili</w:t>
      </w:r>
      <w:proofErr w:type="spellEnd"/>
      <w:r w:rsidRPr="001E24A6">
        <w:rPr>
          <w:rFonts w:ascii="Arial" w:hAnsi="Arial" w:cs="Arial"/>
          <w:i/>
          <w:iCs/>
        </w:rPr>
        <w:t xml:space="preserve"> ang </w:t>
      </w:r>
      <w:proofErr w:type="spellStart"/>
      <w:r w:rsidRPr="001E24A6">
        <w:rPr>
          <w:rFonts w:ascii="Arial" w:hAnsi="Arial" w:cs="Arial"/>
          <w:i/>
          <w:iCs/>
        </w:rPr>
        <w:t>kursong</w:t>
      </w:r>
      <w:proofErr w:type="spellEnd"/>
      <w:r w:rsidRPr="001E24A6">
        <w:rPr>
          <w:rFonts w:ascii="Arial" w:hAnsi="Arial" w:cs="Arial"/>
          <w:i/>
          <w:iCs/>
        </w:rPr>
        <w:t xml:space="preserve"> </w:t>
      </w:r>
      <w:proofErr w:type="spellStart"/>
      <w:r w:rsidRPr="001E24A6">
        <w:rPr>
          <w:rFonts w:ascii="Arial" w:hAnsi="Arial" w:cs="Arial"/>
          <w:i/>
          <w:iCs/>
        </w:rPr>
        <w:t>ito</w:t>
      </w:r>
      <w:proofErr w:type="spellEnd"/>
      <w:r w:rsidRPr="001E24A6">
        <w:rPr>
          <w:rFonts w:ascii="Arial" w:hAnsi="Arial" w:cs="Arial"/>
          <w:i/>
          <w:iCs/>
        </w:rPr>
        <w:t>” (When I struggle, I remind myself why I chose this course)</w:t>
      </w:r>
      <w:r w:rsidRPr="001E24A6">
        <w:rPr>
          <w:rFonts w:ascii="Arial" w:hAnsi="Arial" w:cs="Arial"/>
        </w:rPr>
        <w:t>.</w:t>
      </w:r>
    </w:p>
    <w:p w14:paraId="5E6D4C36" w14:textId="534F49D2" w:rsidR="001E24A6" w:rsidRPr="001E24A6" w:rsidRDefault="001E24A6" w:rsidP="001E24A6">
      <w:pPr>
        <w:pStyle w:val="Body"/>
        <w:rPr>
          <w:rFonts w:ascii="Arial" w:hAnsi="Arial" w:cs="Arial"/>
        </w:rPr>
      </w:pPr>
      <w:r w:rsidRPr="001E24A6">
        <w:rPr>
          <w:rFonts w:ascii="Arial" w:hAnsi="Arial" w:cs="Arial"/>
        </w:rPr>
        <w:t xml:space="preserve">These reflections illustrate the role of self-efficacy, as conceptualized by Bandura et al. (1999), wherein individuals’ belief in their capability to overcome obstacles nurtures resilience and persistence. This internal belief system motivates female students to maintain effort and determination even in environments where they may feel outnumbered or underestimated. Recent research supports this view: </w:t>
      </w:r>
      <w:r w:rsidR="004703BF" w:rsidRPr="004703BF">
        <w:rPr>
          <w:rFonts w:ascii="Arial" w:hAnsi="Arial" w:cs="Arial"/>
        </w:rPr>
        <w:t xml:space="preserve">Al-Ayed and </w:t>
      </w:r>
      <w:proofErr w:type="spellStart"/>
      <w:r w:rsidR="004703BF" w:rsidRPr="004703BF">
        <w:rPr>
          <w:rFonts w:ascii="Arial" w:hAnsi="Arial" w:cs="Arial"/>
        </w:rPr>
        <w:t>Alateeg</w:t>
      </w:r>
      <w:proofErr w:type="spellEnd"/>
      <w:r w:rsidR="004703BF" w:rsidRPr="004703BF">
        <w:rPr>
          <w:rFonts w:ascii="Arial" w:hAnsi="Arial" w:cs="Arial"/>
        </w:rPr>
        <w:t xml:space="preserve"> (2025)</w:t>
      </w:r>
      <w:r w:rsidRPr="001E24A6">
        <w:rPr>
          <w:rFonts w:ascii="Arial" w:hAnsi="Arial" w:cs="Arial"/>
        </w:rPr>
        <w:t xml:space="preserve"> found that self-efficacy significantly predicts academic resilience among women in male-dominated </w:t>
      </w:r>
      <w:r w:rsidR="00D35ED7">
        <w:rPr>
          <w:rFonts w:ascii="Arial" w:hAnsi="Arial" w:cs="Arial"/>
        </w:rPr>
        <w:t xml:space="preserve">Industrial Technology-based </w:t>
      </w:r>
      <w:r w:rsidRPr="001E24A6">
        <w:rPr>
          <w:rFonts w:ascii="Arial" w:hAnsi="Arial" w:cs="Arial"/>
        </w:rPr>
        <w:t xml:space="preserve">disciplines, while </w:t>
      </w:r>
      <w:proofErr w:type="spellStart"/>
      <w:r w:rsidR="004703BF" w:rsidRPr="004703BF">
        <w:rPr>
          <w:rFonts w:ascii="Arial" w:hAnsi="Arial" w:cs="Arial"/>
        </w:rPr>
        <w:t>Arumi</w:t>
      </w:r>
      <w:proofErr w:type="spellEnd"/>
      <w:r w:rsidR="004703BF" w:rsidRPr="004703BF">
        <w:rPr>
          <w:rFonts w:ascii="Arial" w:hAnsi="Arial" w:cs="Arial"/>
        </w:rPr>
        <w:t xml:space="preserve"> et al. (2025</w:t>
      </w:r>
      <w:r w:rsidRPr="001E24A6">
        <w:rPr>
          <w:rFonts w:ascii="Arial" w:hAnsi="Arial" w:cs="Arial"/>
        </w:rPr>
        <w:t>) highlighted that self-belief moderates the relationship between gender bias and student perseverance in vocational education settings.</w:t>
      </w:r>
    </w:p>
    <w:p w14:paraId="1B7A18FB" w14:textId="444A52B3" w:rsidR="001E24A6" w:rsidRPr="001E24A6" w:rsidRDefault="001E24A6" w:rsidP="001E24A6">
      <w:pPr>
        <w:pStyle w:val="Body"/>
        <w:rPr>
          <w:rFonts w:ascii="Arial" w:hAnsi="Arial" w:cs="Arial"/>
        </w:rPr>
      </w:pPr>
      <w:r w:rsidRPr="001E24A6">
        <w:rPr>
          <w:rFonts w:ascii="Arial" w:hAnsi="Arial" w:cs="Arial"/>
        </w:rPr>
        <w:t xml:space="preserve">Another prevalent coping mechanism among the participants involves seeking social support from peers, instructors, and family members. Statements such as “I talk to my friends or family for support when things get tough” and </w:t>
      </w:r>
      <w:r w:rsidRPr="001E24A6">
        <w:rPr>
          <w:rFonts w:ascii="Arial" w:hAnsi="Arial" w:cs="Arial"/>
          <w:i/>
          <w:iCs/>
        </w:rPr>
        <w:t>“I ask help from my instructors or classmates when needed”</w:t>
      </w:r>
      <w:r w:rsidRPr="001E24A6">
        <w:rPr>
          <w:rFonts w:ascii="Arial" w:hAnsi="Arial" w:cs="Arial"/>
        </w:rPr>
        <w:t xml:space="preserve"> demonstrate the value of communal relationships. As one student shared, </w:t>
      </w:r>
      <w:r w:rsidRPr="001E24A6">
        <w:rPr>
          <w:rFonts w:ascii="Arial" w:hAnsi="Arial" w:cs="Arial"/>
          <w:i/>
          <w:iCs/>
        </w:rPr>
        <w:t>“</w:t>
      </w:r>
      <w:proofErr w:type="spellStart"/>
      <w:r w:rsidRPr="001E24A6">
        <w:rPr>
          <w:rFonts w:ascii="Arial" w:hAnsi="Arial" w:cs="Arial"/>
          <w:i/>
          <w:iCs/>
        </w:rPr>
        <w:t>Kapag</w:t>
      </w:r>
      <w:proofErr w:type="spellEnd"/>
      <w:r w:rsidRPr="001E24A6">
        <w:rPr>
          <w:rFonts w:ascii="Arial" w:hAnsi="Arial" w:cs="Arial"/>
          <w:i/>
          <w:iCs/>
        </w:rPr>
        <w:t xml:space="preserve"> may </w:t>
      </w:r>
      <w:proofErr w:type="spellStart"/>
      <w:r w:rsidRPr="001E24A6">
        <w:rPr>
          <w:rFonts w:ascii="Arial" w:hAnsi="Arial" w:cs="Arial"/>
          <w:i/>
          <w:iCs/>
        </w:rPr>
        <w:t>problema</w:t>
      </w:r>
      <w:proofErr w:type="spellEnd"/>
      <w:r w:rsidRPr="001E24A6">
        <w:rPr>
          <w:rFonts w:ascii="Arial" w:hAnsi="Arial" w:cs="Arial"/>
          <w:i/>
          <w:iCs/>
        </w:rPr>
        <w:t xml:space="preserve"> </w:t>
      </w:r>
      <w:proofErr w:type="spellStart"/>
      <w:r w:rsidRPr="001E24A6">
        <w:rPr>
          <w:rFonts w:ascii="Arial" w:hAnsi="Arial" w:cs="Arial"/>
          <w:i/>
          <w:iCs/>
        </w:rPr>
        <w:t>ako</w:t>
      </w:r>
      <w:proofErr w:type="spellEnd"/>
      <w:r w:rsidRPr="001E24A6">
        <w:rPr>
          <w:rFonts w:ascii="Arial" w:hAnsi="Arial" w:cs="Arial"/>
          <w:i/>
          <w:iCs/>
        </w:rPr>
        <w:t xml:space="preserve"> </w:t>
      </w:r>
      <w:proofErr w:type="spellStart"/>
      <w:r w:rsidRPr="001E24A6">
        <w:rPr>
          <w:rFonts w:ascii="Arial" w:hAnsi="Arial" w:cs="Arial"/>
          <w:i/>
          <w:iCs/>
        </w:rPr>
        <w:t>sa</w:t>
      </w:r>
      <w:proofErr w:type="spellEnd"/>
      <w:r w:rsidRPr="001E24A6">
        <w:rPr>
          <w:rFonts w:ascii="Arial" w:hAnsi="Arial" w:cs="Arial"/>
          <w:i/>
          <w:iCs/>
        </w:rPr>
        <w:t xml:space="preserve"> project, </w:t>
      </w:r>
      <w:proofErr w:type="spellStart"/>
      <w:r w:rsidRPr="001E24A6">
        <w:rPr>
          <w:rFonts w:ascii="Arial" w:hAnsi="Arial" w:cs="Arial"/>
          <w:i/>
          <w:iCs/>
        </w:rPr>
        <w:t>lumalapit</w:t>
      </w:r>
      <w:proofErr w:type="spellEnd"/>
      <w:r w:rsidRPr="001E24A6">
        <w:rPr>
          <w:rFonts w:ascii="Arial" w:hAnsi="Arial" w:cs="Arial"/>
          <w:i/>
          <w:iCs/>
        </w:rPr>
        <w:t xml:space="preserve"> </w:t>
      </w:r>
      <w:proofErr w:type="spellStart"/>
      <w:r w:rsidRPr="001E24A6">
        <w:rPr>
          <w:rFonts w:ascii="Arial" w:hAnsi="Arial" w:cs="Arial"/>
          <w:i/>
          <w:iCs/>
        </w:rPr>
        <w:t>ako</w:t>
      </w:r>
      <w:proofErr w:type="spellEnd"/>
      <w:r w:rsidRPr="001E24A6">
        <w:rPr>
          <w:rFonts w:ascii="Arial" w:hAnsi="Arial" w:cs="Arial"/>
          <w:i/>
          <w:iCs/>
        </w:rPr>
        <w:t xml:space="preserve"> </w:t>
      </w:r>
      <w:proofErr w:type="spellStart"/>
      <w:r w:rsidRPr="001E24A6">
        <w:rPr>
          <w:rFonts w:ascii="Arial" w:hAnsi="Arial" w:cs="Arial"/>
          <w:i/>
          <w:iCs/>
        </w:rPr>
        <w:t>sa</w:t>
      </w:r>
      <w:proofErr w:type="spellEnd"/>
      <w:r w:rsidRPr="001E24A6">
        <w:rPr>
          <w:rFonts w:ascii="Arial" w:hAnsi="Arial" w:cs="Arial"/>
          <w:i/>
          <w:iCs/>
        </w:rPr>
        <w:t xml:space="preserve"> </w:t>
      </w:r>
      <w:proofErr w:type="spellStart"/>
      <w:r w:rsidRPr="001E24A6">
        <w:rPr>
          <w:rFonts w:ascii="Arial" w:hAnsi="Arial" w:cs="Arial"/>
          <w:i/>
          <w:iCs/>
        </w:rPr>
        <w:t>mga</w:t>
      </w:r>
      <w:proofErr w:type="spellEnd"/>
      <w:r w:rsidRPr="001E24A6">
        <w:rPr>
          <w:rFonts w:ascii="Arial" w:hAnsi="Arial" w:cs="Arial"/>
          <w:i/>
          <w:iCs/>
        </w:rPr>
        <w:t xml:space="preserve"> </w:t>
      </w:r>
      <w:proofErr w:type="spellStart"/>
      <w:r w:rsidRPr="001E24A6">
        <w:rPr>
          <w:rFonts w:ascii="Arial" w:hAnsi="Arial" w:cs="Arial"/>
          <w:i/>
          <w:iCs/>
        </w:rPr>
        <w:t>kaklase</w:t>
      </w:r>
      <w:proofErr w:type="spellEnd"/>
      <w:r w:rsidRPr="001E24A6">
        <w:rPr>
          <w:rFonts w:ascii="Arial" w:hAnsi="Arial" w:cs="Arial"/>
          <w:i/>
          <w:iCs/>
        </w:rPr>
        <w:t xml:space="preserve"> o </w:t>
      </w:r>
      <w:proofErr w:type="spellStart"/>
      <w:r w:rsidRPr="001E24A6">
        <w:rPr>
          <w:rFonts w:ascii="Arial" w:hAnsi="Arial" w:cs="Arial"/>
          <w:i/>
          <w:iCs/>
        </w:rPr>
        <w:t>guro</w:t>
      </w:r>
      <w:proofErr w:type="spellEnd"/>
      <w:r w:rsidRPr="001E24A6">
        <w:rPr>
          <w:rFonts w:ascii="Arial" w:hAnsi="Arial" w:cs="Arial"/>
          <w:i/>
          <w:iCs/>
        </w:rPr>
        <w:t xml:space="preserve"> ko para </w:t>
      </w:r>
      <w:proofErr w:type="spellStart"/>
      <w:r w:rsidRPr="001E24A6">
        <w:rPr>
          <w:rFonts w:ascii="Arial" w:hAnsi="Arial" w:cs="Arial"/>
          <w:i/>
          <w:iCs/>
        </w:rPr>
        <w:t>humingi</w:t>
      </w:r>
      <w:proofErr w:type="spellEnd"/>
      <w:r w:rsidRPr="001E24A6">
        <w:rPr>
          <w:rFonts w:ascii="Arial" w:hAnsi="Arial" w:cs="Arial"/>
          <w:i/>
          <w:iCs/>
        </w:rPr>
        <w:t xml:space="preserve"> ng </w:t>
      </w:r>
      <w:proofErr w:type="spellStart"/>
      <w:r w:rsidRPr="001E24A6">
        <w:rPr>
          <w:rFonts w:ascii="Arial" w:hAnsi="Arial" w:cs="Arial"/>
          <w:i/>
          <w:iCs/>
        </w:rPr>
        <w:t>tulong</w:t>
      </w:r>
      <w:proofErr w:type="spellEnd"/>
      <w:r w:rsidRPr="001E24A6">
        <w:rPr>
          <w:rFonts w:ascii="Arial" w:hAnsi="Arial" w:cs="Arial"/>
          <w:i/>
          <w:iCs/>
        </w:rPr>
        <w:t>” (When I encounter problems in projects, I approach my classmates or teachers for help).</w:t>
      </w:r>
    </w:p>
    <w:p w14:paraId="169C6222" w14:textId="53199EB6" w:rsidR="001E24A6" w:rsidRPr="001E24A6" w:rsidRDefault="001E24A6" w:rsidP="001E24A6">
      <w:pPr>
        <w:pStyle w:val="Body"/>
        <w:rPr>
          <w:rFonts w:ascii="Arial" w:hAnsi="Arial" w:cs="Arial"/>
        </w:rPr>
      </w:pPr>
      <w:r w:rsidRPr="001E24A6">
        <w:rPr>
          <w:rFonts w:ascii="Arial" w:hAnsi="Arial" w:cs="Arial"/>
        </w:rPr>
        <w:t xml:space="preserve">Social support serves as a protective buffer that enhances academic motivation and emotional stability. According to </w:t>
      </w:r>
      <w:r w:rsidR="004703BF" w:rsidRPr="004703BF">
        <w:rPr>
          <w:rFonts w:ascii="Arial" w:hAnsi="Arial" w:cs="Arial"/>
        </w:rPr>
        <w:t>Hayati et al. (2025</w:t>
      </w:r>
      <w:r w:rsidRPr="001E24A6">
        <w:rPr>
          <w:rFonts w:ascii="Arial" w:hAnsi="Arial" w:cs="Arial"/>
        </w:rPr>
        <w:t xml:space="preserve">), peer and mentor relationships play a crucial role in mitigating stress and fostering persistence among women in technical and engineering fields. Similarly, </w:t>
      </w:r>
      <w:proofErr w:type="spellStart"/>
      <w:r w:rsidRPr="001E24A6">
        <w:rPr>
          <w:rFonts w:ascii="Arial" w:hAnsi="Arial" w:cs="Arial"/>
        </w:rPr>
        <w:t>Thaiduong</w:t>
      </w:r>
      <w:proofErr w:type="spellEnd"/>
      <w:r>
        <w:rPr>
          <w:rFonts w:ascii="Arial" w:hAnsi="Arial" w:cs="Arial"/>
        </w:rPr>
        <w:t xml:space="preserve"> (</w:t>
      </w:r>
      <w:r w:rsidRPr="001E24A6">
        <w:rPr>
          <w:rFonts w:ascii="Arial" w:hAnsi="Arial" w:cs="Arial"/>
        </w:rPr>
        <w:t>2025) emphasized that supportive faculty-student relationships cultivate a sense of belonging and confidence, essential for retention in nontraditional gender programs.</w:t>
      </w:r>
    </w:p>
    <w:p w14:paraId="69C57238" w14:textId="3CC88B5B" w:rsidR="001E24A6" w:rsidRPr="001E24A6" w:rsidRDefault="001E24A6" w:rsidP="001E24A6">
      <w:pPr>
        <w:pStyle w:val="Body"/>
        <w:rPr>
          <w:rFonts w:ascii="Arial" w:hAnsi="Arial" w:cs="Arial"/>
        </w:rPr>
      </w:pPr>
      <w:r w:rsidRPr="001E24A6">
        <w:rPr>
          <w:rFonts w:ascii="Arial" w:hAnsi="Arial" w:cs="Arial"/>
        </w:rPr>
        <w:t xml:space="preserve">Participants also highlighted the importance of maintaining a positive mindset and regulating emotions in response to challenges. For instance, one student shared, </w:t>
      </w:r>
      <w:r w:rsidRPr="001E24A6">
        <w:rPr>
          <w:rFonts w:ascii="Arial" w:hAnsi="Arial" w:cs="Arial"/>
          <w:i/>
          <w:iCs/>
        </w:rPr>
        <w:t>“I try to stay calm and focus on solving the problem instead of getting discouraged,”</w:t>
      </w:r>
      <w:r w:rsidRPr="001E24A6">
        <w:rPr>
          <w:rFonts w:ascii="Arial" w:hAnsi="Arial" w:cs="Arial"/>
        </w:rPr>
        <w:t xml:space="preserve"> while another said, </w:t>
      </w:r>
      <w:r w:rsidRPr="001E24A6">
        <w:rPr>
          <w:rFonts w:ascii="Arial" w:hAnsi="Arial" w:cs="Arial"/>
          <w:i/>
          <w:iCs/>
        </w:rPr>
        <w:t xml:space="preserve">“Hindi </w:t>
      </w:r>
      <w:proofErr w:type="spellStart"/>
      <w:r w:rsidRPr="001E24A6">
        <w:rPr>
          <w:rFonts w:ascii="Arial" w:hAnsi="Arial" w:cs="Arial"/>
          <w:i/>
          <w:iCs/>
        </w:rPr>
        <w:t>ako</w:t>
      </w:r>
      <w:proofErr w:type="spellEnd"/>
      <w:r w:rsidRPr="001E24A6">
        <w:rPr>
          <w:rFonts w:ascii="Arial" w:hAnsi="Arial" w:cs="Arial"/>
          <w:i/>
          <w:iCs/>
        </w:rPr>
        <w:t xml:space="preserve"> </w:t>
      </w:r>
      <w:proofErr w:type="spellStart"/>
      <w:r w:rsidRPr="001E24A6">
        <w:rPr>
          <w:rFonts w:ascii="Arial" w:hAnsi="Arial" w:cs="Arial"/>
          <w:i/>
          <w:iCs/>
        </w:rPr>
        <w:t>nagpapadala</w:t>
      </w:r>
      <w:proofErr w:type="spellEnd"/>
      <w:r w:rsidRPr="001E24A6">
        <w:rPr>
          <w:rFonts w:ascii="Arial" w:hAnsi="Arial" w:cs="Arial"/>
          <w:i/>
          <w:iCs/>
        </w:rPr>
        <w:t xml:space="preserve"> </w:t>
      </w:r>
      <w:proofErr w:type="spellStart"/>
      <w:r w:rsidRPr="001E24A6">
        <w:rPr>
          <w:rFonts w:ascii="Arial" w:hAnsi="Arial" w:cs="Arial"/>
          <w:i/>
          <w:iCs/>
        </w:rPr>
        <w:t>sa</w:t>
      </w:r>
      <w:proofErr w:type="spellEnd"/>
      <w:r w:rsidRPr="001E24A6">
        <w:rPr>
          <w:rFonts w:ascii="Arial" w:hAnsi="Arial" w:cs="Arial"/>
          <w:i/>
          <w:iCs/>
        </w:rPr>
        <w:t xml:space="preserve"> </w:t>
      </w:r>
      <w:proofErr w:type="spellStart"/>
      <w:r w:rsidRPr="001E24A6">
        <w:rPr>
          <w:rFonts w:ascii="Arial" w:hAnsi="Arial" w:cs="Arial"/>
          <w:i/>
          <w:iCs/>
        </w:rPr>
        <w:t>kaba</w:t>
      </w:r>
      <w:proofErr w:type="spellEnd"/>
      <w:r w:rsidRPr="001E24A6">
        <w:rPr>
          <w:rFonts w:ascii="Arial" w:hAnsi="Arial" w:cs="Arial"/>
          <w:i/>
          <w:iCs/>
        </w:rPr>
        <w:t xml:space="preserve"> o </w:t>
      </w:r>
      <w:proofErr w:type="spellStart"/>
      <w:r w:rsidRPr="001E24A6">
        <w:rPr>
          <w:rFonts w:ascii="Arial" w:hAnsi="Arial" w:cs="Arial"/>
          <w:i/>
          <w:iCs/>
        </w:rPr>
        <w:t>takot</w:t>
      </w:r>
      <w:proofErr w:type="spellEnd"/>
      <w:r w:rsidRPr="001E24A6">
        <w:rPr>
          <w:rFonts w:ascii="Arial" w:hAnsi="Arial" w:cs="Arial"/>
          <w:i/>
          <w:iCs/>
        </w:rPr>
        <w:t xml:space="preserve">; mas </w:t>
      </w:r>
      <w:proofErr w:type="spellStart"/>
      <w:r w:rsidRPr="001E24A6">
        <w:rPr>
          <w:rFonts w:ascii="Arial" w:hAnsi="Arial" w:cs="Arial"/>
          <w:i/>
          <w:iCs/>
        </w:rPr>
        <w:t>pinipili</w:t>
      </w:r>
      <w:proofErr w:type="spellEnd"/>
      <w:r w:rsidRPr="001E24A6">
        <w:rPr>
          <w:rFonts w:ascii="Arial" w:hAnsi="Arial" w:cs="Arial"/>
          <w:i/>
          <w:iCs/>
        </w:rPr>
        <w:t xml:space="preserve"> </w:t>
      </w:r>
      <w:proofErr w:type="spellStart"/>
      <w:r w:rsidRPr="001E24A6">
        <w:rPr>
          <w:rFonts w:ascii="Arial" w:hAnsi="Arial" w:cs="Arial"/>
          <w:i/>
          <w:iCs/>
        </w:rPr>
        <w:t>kong</w:t>
      </w:r>
      <w:proofErr w:type="spellEnd"/>
      <w:r w:rsidRPr="001E24A6">
        <w:rPr>
          <w:rFonts w:ascii="Arial" w:hAnsi="Arial" w:cs="Arial"/>
          <w:i/>
          <w:iCs/>
        </w:rPr>
        <w:t xml:space="preserve"> mag-focus </w:t>
      </w:r>
      <w:proofErr w:type="spellStart"/>
      <w:r w:rsidRPr="001E24A6">
        <w:rPr>
          <w:rFonts w:ascii="Arial" w:hAnsi="Arial" w:cs="Arial"/>
          <w:i/>
          <w:iCs/>
        </w:rPr>
        <w:t>sa</w:t>
      </w:r>
      <w:proofErr w:type="spellEnd"/>
      <w:r w:rsidRPr="001E24A6">
        <w:rPr>
          <w:rFonts w:ascii="Arial" w:hAnsi="Arial" w:cs="Arial"/>
          <w:i/>
          <w:iCs/>
        </w:rPr>
        <w:t xml:space="preserve"> </w:t>
      </w:r>
      <w:proofErr w:type="spellStart"/>
      <w:r w:rsidRPr="001E24A6">
        <w:rPr>
          <w:rFonts w:ascii="Arial" w:hAnsi="Arial" w:cs="Arial"/>
          <w:i/>
          <w:iCs/>
        </w:rPr>
        <w:t>solusyon</w:t>
      </w:r>
      <w:proofErr w:type="spellEnd"/>
      <w:r w:rsidRPr="001E24A6">
        <w:rPr>
          <w:rFonts w:ascii="Arial" w:hAnsi="Arial" w:cs="Arial"/>
          <w:i/>
          <w:iCs/>
        </w:rPr>
        <w:t>” (I don’t let fear or anxiety control me; I focus on finding solutions)</w:t>
      </w:r>
      <w:r w:rsidRPr="001E24A6">
        <w:rPr>
          <w:rFonts w:ascii="Arial" w:hAnsi="Arial" w:cs="Arial"/>
        </w:rPr>
        <w:t xml:space="preserve">. These coping behaviors align with the dual framework of problem-focused and emotion-focused coping, as discussed by </w:t>
      </w:r>
      <w:proofErr w:type="spellStart"/>
      <w:r w:rsidR="00D35ED7" w:rsidRPr="00D35ED7">
        <w:rPr>
          <w:rFonts w:ascii="Arial" w:hAnsi="Arial" w:cs="Arial"/>
        </w:rPr>
        <w:t>Putranto</w:t>
      </w:r>
      <w:proofErr w:type="spellEnd"/>
      <w:r w:rsidR="00D35ED7" w:rsidRPr="00D35ED7">
        <w:rPr>
          <w:rFonts w:ascii="Arial" w:hAnsi="Arial" w:cs="Arial"/>
        </w:rPr>
        <w:t xml:space="preserve"> et al.</w:t>
      </w:r>
      <w:r w:rsidR="00D35ED7">
        <w:rPr>
          <w:rFonts w:ascii="Arial" w:hAnsi="Arial" w:cs="Arial"/>
        </w:rPr>
        <w:t xml:space="preserve"> (</w:t>
      </w:r>
      <w:r w:rsidR="00D35ED7" w:rsidRPr="00D35ED7">
        <w:rPr>
          <w:rFonts w:ascii="Arial" w:hAnsi="Arial" w:cs="Arial"/>
        </w:rPr>
        <w:t>2025</w:t>
      </w:r>
      <w:r w:rsidRPr="001E24A6">
        <w:rPr>
          <w:rFonts w:ascii="Arial" w:hAnsi="Arial" w:cs="Arial"/>
        </w:rPr>
        <w:t xml:space="preserve">) and </w:t>
      </w:r>
      <w:proofErr w:type="spellStart"/>
      <w:r w:rsidR="00D35ED7" w:rsidRPr="00D35ED7">
        <w:rPr>
          <w:rFonts w:ascii="Arial" w:hAnsi="Arial" w:cs="Arial"/>
        </w:rPr>
        <w:t>Theodoratou</w:t>
      </w:r>
      <w:proofErr w:type="spellEnd"/>
      <w:r w:rsidR="00D35ED7" w:rsidRPr="00D35ED7">
        <w:rPr>
          <w:rFonts w:ascii="Arial" w:hAnsi="Arial" w:cs="Arial"/>
        </w:rPr>
        <w:t xml:space="preserve"> et al. (2023)</w:t>
      </w:r>
      <w:r w:rsidR="00D35ED7">
        <w:rPr>
          <w:rFonts w:ascii="Arial" w:hAnsi="Arial" w:cs="Arial"/>
        </w:rPr>
        <w:t xml:space="preserve">, </w:t>
      </w:r>
      <w:r w:rsidRPr="001E24A6">
        <w:rPr>
          <w:rFonts w:ascii="Arial" w:hAnsi="Arial" w:cs="Arial"/>
        </w:rPr>
        <w:t>Problem-focused coping involves deliberate, task-oriented actions to address the stressor, while emotion-focused coping involves strategies to manage the emotional responses accompanying the challenge.</w:t>
      </w:r>
    </w:p>
    <w:p w14:paraId="5952F5B8" w14:textId="56BBAE2D" w:rsidR="000D6621" w:rsidRPr="000D6621" w:rsidRDefault="001E24A6" w:rsidP="001E24A6">
      <w:pPr>
        <w:pStyle w:val="Body"/>
        <w:rPr>
          <w:rFonts w:ascii="Arial" w:hAnsi="Arial" w:cs="Arial"/>
        </w:rPr>
      </w:pPr>
      <w:r w:rsidRPr="001E24A6">
        <w:rPr>
          <w:rFonts w:ascii="Arial" w:hAnsi="Arial" w:cs="Arial"/>
        </w:rPr>
        <w:t>Overall, the findings indicate that female students’ coping mechanisms are multifaceted, involving goal-directed motivation, social support, and emotional regulation. These strategies not only sustain persistence but also strengthen self-efficacy, confidence, and skill mastery within male-dominated environments. The interplay of personal agency and social connection reinforces Bandura’s social cognitive framework, wherein self-efficacy and social support interact to promote adaptive functioning. Thus, institutions should consider developing mentorship programs, peer networks, and resilience-building workshops that empower women to thrive in technical education and beyond</w:t>
      </w:r>
      <w:r w:rsidR="000D6621" w:rsidRPr="000D6621">
        <w:rPr>
          <w:rFonts w:ascii="Arial" w:hAnsi="Arial" w:cs="Arial"/>
        </w:rPr>
        <w:t>.</w:t>
      </w:r>
    </w:p>
    <w:p w14:paraId="3006EF85" w14:textId="7325896B" w:rsidR="00E433C6" w:rsidRDefault="0018093A" w:rsidP="00E433C6">
      <w:pPr>
        <w:pStyle w:val="Body"/>
        <w:spacing w:after="0"/>
        <w:rPr>
          <w:rFonts w:ascii="Arial" w:hAnsi="Arial" w:cs="Arial"/>
          <w:b/>
          <w:bCs/>
          <w:sz w:val="22"/>
          <w:szCs w:val="22"/>
        </w:rPr>
      </w:pPr>
      <w:r>
        <w:rPr>
          <w:rFonts w:ascii="Arial" w:hAnsi="Arial" w:cs="Arial"/>
          <w:b/>
          <w:bCs/>
          <w:sz w:val="22"/>
          <w:szCs w:val="22"/>
        </w:rPr>
        <w:t>4</w:t>
      </w:r>
      <w:r w:rsidR="00E433C6" w:rsidRPr="00E433C6">
        <w:rPr>
          <w:rFonts w:ascii="Arial" w:hAnsi="Arial" w:cs="Arial"/>
          <w:b/>
          <w:bCs/>
          <w:sz w:val="22"/>
          <w:szCs w:val="22"/>
        </w:rPr>
        <w:t xml:space="preserve">.4 </w:t>
      </w:r>
      <w:r w:rsidR="000D6621" w:rsidRPr="00E433C6">
        <w:rPr>
          <w:rFonts w:ascii="Arial" w:hAnsi="Arial" w:cs="Arial"/>
          <w:b/>
          <w:bCs/>
          <w:sz w:val="22"/>
          <w:szCs w:val="22"/>
        </w:rPr>
        <w:t>Way Forward in Empowering Women in the</w:t>
      </w:r>
    </w:p>
    <w:p w14:paraId="427F6E96" w14:textId="1E0FDF27" w:rsidR="000D6621" w:rsidRPr="00E433C6" w:rsidRDefault="000D6621" w:rsidP="000D6621">
      <w:pPr>
        <w:pStyle w:val="Body"/>
        <w:rPr>
          <w:rFonts w:ascii="Arial" w:hAnsi="Arial" w:cs="Arial"/>
          <w:b/>
          <w:bCs/>
          <w:sz w:val="22"/>
          <w:szCs w:val="22"/>
        </w:rPr>
      </w:pPr>
      <w:r w:rsidRPr="00E433C6">
        <w:rPr>
          <w:rFonts w:ascii="Arial" w:hAnsi="Arial" w:cs="Arial"/>
          <w:b/>
          <w:bCs/>
          <w:sz w:val="22"/>
          <w:szCs w:val="22"/>
        </w:rPr>
        <w:t>Automotive Technology Program</w:t>
      </w:r>
    </w:p>
    <w:p w14:paraId="11685387" w14:textId="51E1EC47" w:rsidR="000D6621" w:rsidRPr="000D6621" w:rsidRDefault="000D6621" w:rsidP="000D6621">
      <w:pPr>
        <w:pStyle w:val="Body"/>
        <w:rPr>
          <w:rFonts w:ascii="Arial" w:hAnsi="Arial" w:cs="Arial"/>
        </w:rPr>
      </w:pPr>
      <w:r w:rsidRPr="000D6621">
        <w:rPr>
          <w:rFonts w:ascii="Arial" w:hAnsi="Arial" w:cs="Arial"/>
        </w:rPr>
        <w:t xml:space="preserve">In this context, the female students' responses suggest that schools play an indispensable role in advocating for gender equality and empowering women to further their studies in technical programs such as Automotive Technology. The call for equal opportunities is a recurrent theme in many responses, where it has been suggested that schools should provide equal opportunities for hands-on learning, workshops, and leadership for female students. Participants stressed the idea that schools should actively encourage more female enrollment, mentorship, and highlight women's accomplishments in order to instill confidence and belonging. For example, one participant noted, </w:t>
      </w:r>
      <w:r w:rsidRPr="00E433C6">
        <w:rPr>
          <w:rFonts w:ascii="Arial" w:hAnsi="Arial" w:cs="Arial"/>
          <w:i/>
          <w:iCs/>
        </w:rPr>
        <w:t>"Schools can promote equality by encouraging more women to join, giving them equal opportunities, and highlighting female role models in the field."</w:t>
      </w:r>
    </w:p>
    <w:p w14:paraId="793EE298" w14:textId="5FC94A02" w:rsidR="000D6621" w:rsidRPr="000D6621" w:rsidRDefault="000D6621" w:rsidP="000D6621">
      <w:pPr>
        <w:pStyle w:val="Body"/>
        <w:rPr>
          <w:rFonts w:ascii="Arial" w:hAnsi="Arial" w:cs="Arial"/>
        </w:rPr>
      </w:pPr>
      <w:r w:rsidRPr="000D6621">
        <w:rPr>
          <w:rFonts w:ascii="Arial" w:hAnsi="Arial" w:cs="Arial"/>
        </w:rPr>
        <w:t xml:space="preserve">Another significant strategy identified is the use of mentorship and role model programs. Mentorship in the automotive industry can provide guidance, practical knowledge, and inspiration from female professionals, thus helping students to cope with challenges associated with studying in a field dominated by men. This finding supports the research of </w:t>
      </w:r>
      <w:r w:rsidR="006F36F2" w:rsidRPr="006F36F2">
        <w:rPr>
          <w:rFonts w:ascii="Arial" w:hAnsi="Arial" w:cs="Arial"/>
        </w:rPr>
        <w:t>MacIsaac</w:t>
      </w:r>
      <w:r w:rsidR="006F36F2">
        <w:rPr>
          <w:rFonts w:ascii="Arial" w:hAnsi="Arial" w:cs="Arial"/>
        </w:rPr>
        <w:t xml:space="preserve"> (</w:t>
      </w:r>
      <w:r w:rsidR="006F36F2" w:rsidRPr="006F36F2">
        <w:rPr>
          <w:rFonts w:ascii="Arial" w:hAnsi="Arial" w:cs="Arial"/>
        </w:rPr>
        <w:t>2021</w:t>
      </w:r>
      <w:r w:rsidR="006F36F2">
        <w:rPr>
          <w:rFonts w:ascii="Arial" w:hAnsi="Arial" w:cs="Arial"/>
        </w:rPr>
        <w:t>)</w:t>
      </w:r>
      <w:r w:rsidRPr="000D6621">
        <w:rPr>
          <w:rFonts w:ascii="Arial" w:hAnsi="Arial" w:cs="Arial"/>
        </w:rPr>
        <w:t xml:space="preserve"> that mentorship has been found to positively influence persistence, self-efficacy, and career development in traditionally male fields for women. Exposure to role models serves to counteract stereotypes; as </w:t>
      </w:r>
      <w:r w:rsidR="00C73BA9" w:rsidRPr="00C73BA9">
        <w:rPr>
          <w:rFonts w:ascii="Arial" w:hAnsi="Arial" w:cs="Arial"/>
        </w:rPr>
        <w:t>Midgley et al.</w:t>
      </w:r>
      <w:r w:rsidR="00C73BA9">
        <w:rPr>
          <w:rFonts w:ascii="Arial" w:hAnsi="Arial" w:cs="Arial"/>
        </w:rPr>
        <w:t xml:space="preserve"> (</w:t>
      </w:r>
      <w:r w:rsidR="00C73BA9" w:rsidRPr="00C73BA9">
        <w:rPr>
          <w:rFonts w:ascii="Arial" w:hAnsi="Arial" w:cs="Arial"/>
        </w:rPr>
        <w:t>2023</w:t>
      </w:r>
      <w:r w:rsidR="00C73BA9">
        <w:rPr>
          <w:rFonts w:ascii="Arial" w:hAnsi="Arial" w:cs="Arial"/>
        </w:rPr>
        <w:t>)</w:t>
      </w:r>
      <w:r w:rsidRPr="000D6621">
        <w:rPr>
          <w:rFonts w:ascii="Arial" w:hAnsi="Arial" w:cs="Arial"/>
        </w:rPr>
        <w:t xml:space="preserve"> has reported, visible female success in the domain increases women's aspirations and belief in their own capabilities.</w:t>
      </w:r>
    </w:p>
    <w:p w14:paraId="02672EDA" w14:textId="53581F34" w:rsidR="000D6621" w:rsidRPr="000D6621" w:rsidRDefault="000D6621" w:rsidP="000D6621">
      <w:pPr>
        <w:pStyle w:val="Body"/>
        <w:rPr>
          <w:rFonts w:ascii="Arial" w:hAnsi="Arial" w:cs="Arial"/>
        </w:rPr>
      </w:pPr>
      <w:r w:rsidRPr="000D6621">
        <w:rPr>
          <w:rFonts w:ascii="Arial" w:hAnsi="Arial" w:cs="Arial"/>
        </w:rPr>
        <w:t xml:space="preserve">Participants further suggested practical workshops and awareness programs to demystify technical skills and make automotive work more approachable. Such practical, beginner-friendly experiences would make female students less anxious and more confident, in line with </w:t>
      </w:r>
      <w:proofErr w:type="spellStart"/>
      <w:r w:rsidR="00DC4FBE" w:rsidRPr="00DC4FBE">
        <w:rPr>
          <w:rFonts w:ascii="Arial" w:hAnsi="Arial" w:cs="Arial"/>
        </w:rPr>
        <w:t>Sáinz</w:t>
      </w:r>
      <w:proofErr w:type="spellEnd"/>
      <w:r w:rsidR="00DC4FBE" w:rsidRPr="00DC4FBE">
        <w:rPr>
          <w:rFonts w:ascii="Arial" w:hAnsi="Arial" w:cs="Arial"/>
        </w:rPr>
        <w:t xml:space="preserve"> et al.</w:t>
      </w:r>
      <w:r w:rsidR="00DC4FBE">
        <w:rPr>
          <w:rFonts w:ascii="Arial" w:hAnsi="Arial" w:cs="Arial"/>
        </w:rPr>
        <w:t xml:space="preserve"> (</w:t>
      </w:r>
      <w:r w:rsidR="00DC4FBE" w:rsidRPr="00DC4FBE">
        <w:rPr>
          <w:rFonts w:ascii="Arial" w:hAnsi="Arial" w:cs="Arial"/>
        </w:rPr>
        <w:t>2018</w:t>
      </w:r>
      <w:r w:rsidR="00DC4FBE">
        <w:rPr>
          <w:rFonts w:ascii="Arial" w:hAnsi="Arial" w:cs="Arial"/>
        </w:rPr>
        <w:t xml:space="preserve">) </w:t>
      </w:r>
      <w:r w:rsidRPr="000D6621">
        <w:rPr>
          <w:rFonts w:ascii="Arial" w:hAnsi="Arial" w:cs="Arial"/>
        </w:rPr>
        <w:t>articulation that early exposure to and positive reinforcement in STEM and technical activities yield a rise in women's motivation for and continued participation in such activity.</w:t>
      </w:r>
    </w:p>
    <w:p w14:paraId="42014235" w14:textId="4B7D1712" w:rsidR="000D6621" w:rsidRDefault="000D6621" w:rsidP="000D6621">
      <w:pPr>
        <w:pStyle w:val="Body"/>
        <w:spacing w:after="0"/>
        <w:rPr>
          <w:rFonts w:ascii="Arial" w:hAnsi="Arial" w:cs="Arial"/>
        </w:rPr>
      </w:pPr>
      <w:r w:rsidRPr="000D6621">
        <w:rPr>
          <w:rFonts w:ascii="Arial" w:hAnsi="Arial" w:cs="Arial"/>
        </w:rPr>
        <w:t>In summary, female students enrolled in the program believe in equal opportunity initiatives, combined with mentorship programs, visibility of female role models, and practical skill-building workshops, which schools can use to facilitate empowerment in Automotive Technology. Such strategies also build students' overall resilience and confidence through the promotion of a supportive community, leading to female participation and success in areas usually dominated by males. These findings highlight the commitment to gender equity at an institutional level as being one of the mechanisms through which there can be social and educational change</w:t>
      </w:r>
    </w:p>
    <w:p w14:paraId="09FF08BF" w14:textId="77777777" w:rsidR="000D6621" w:rsidRDefault="000D6621" w:rsidP="00441B6F">
      <w:pPr>
        <w:pStyle w:val="Body"/>
        <w:spacing w:after="0"/>
        <w:rPr>
          <w:rFonts w:ascii="Arial" w:hAnsi="Arial" w:cs="Arial"/>
        </w:rPr>
      </w:pPr>
    </w:p>
    <w:p w14:paraId="64F57F08" w14:textId="57727E87" w:rsidR="00790ADA" w:rsidRPr="00FB3A86" w:rsidRDefault="00790ADA" w:rsidP="00441B6F">
      <w:pPr>
        <w:pStyle w:val="Body"/>
        <w:spacing w:after="0"/>
        <w:rPr>
          <w:rFonts w:ascii="Arial" w:hAnsi="Arial" w:cs="Arial"/>
        </w:rPr>
      </w:pPr>
    </w:p>
    <w:p w14:paraId="391733F1" w14:textId="051DC212" w:rsidR="00B01FCD" w:rsidRDefault="0071049F"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r w:rsidR="004703BF">
        <w:rPr>
          <w:rFonts w:ascii="Arial" w:hAnsi="Arial" w:cs="Arial"/>
        </w:rPr>
        <w:t xml:space="preserve"> AND Recommendation</w:t>
      </w:r>
    </w:p>
    <w:p w14:paraId="4A307CD1" w14:textId="77777777" w:rsidR="00790ADA" w:rsidRPr="00FB3A86" w:rsidRDefault="00790ADA" w:rsidP="00441B6F">
      <w:pPr>
        <w:pStyle w:val="ConcHead"/>
        <w:spacing w:after="0"/>
        <w:jc w:val="both"/>
        <w:rPr>
          <w:rFonts w:ascii="Arial" w:hAnsi="Arial" w:cs="Arial"/>
        </w:rPr>
      </w:pPr>
    </w:p>
    <w:p w14:paraId="16E55B33" w14:textId="5A42E159" w:rsidR="001122F3" w:rsidRPr="001122F3" w:rsidRDefault="001122F3" w:rsidP="001122F3">
      <w:pPr>
        <w:pStyle w:val="Body"/>
        <w:rPr>
          <w:rFonts w:ascii="Arial" w:hAnsi="Arial" w:cs="Arial"/>
        </w:rPr>
      </w:pPr>
      <w:r w:rsidRPr="001122F3">
        <w:rPr>
          <w:rFonts w:ascii="Arial" w:hAnsi="Arial" w:cs="Arial"/>
        </w:rPr>
        <w:t>Female students in Automotive Technology demonstrate strong motivation driven by intrinsic interest, hands-on learning, career aspirations, and, for some, the desire to challenge traditional gender roles. Their commitment is further reinforced by family role models and supportive social networks, reflecting the interaction of personal, social, and cultural factors that influence persistence in a male-dominated field. These findings highlight that motivation—both intrinsic and extrinsic—is a critical factor in sustaining engagement and skill development in technical education.</w:t>
      </w:r>
    </w:p>
    <w:p w14:paraId="2979A666" w14:textId="52CBEDEB" w:rsidR="001122F3" w:rsidRPr="001122F3" w:rsidRDefault="001122F3" w:rsidP="001122F3">
      <w:pPr>
        <w:pStyle w:val="Body"/>
        <w:rPr>
          <w:rFonts w:ascii="Arial" w:hAnsi="Arial" w:cs="Arial"/>
        </w:rPr>
      </w:pPr>
      <w:r w:rsidRPr="001122F3">
        <w:rPr>
          <w:rFonts w:ascii="Arial" w:hAnsi="Arial" w:cs="Arial"/>
        </w:rPr>
        <w:t>Despite high motivation, female students encounter a range of academic, technical, and social challenges, including gender bias, doubts from peers or instructors, mastering complex systems, and managing personal and academic responsibilities. Nevertheless, they employ effective coping strategies such as goal-oriented focus, problem-solving, positive thinking, and seeking social support, demonstrating resilience and self-efficacy. These adaptive strategies enable them to overcome barriers, maintain academic performance, and pursue long-term career goals, emphasizing the importance of fostering both personal agency and supportive learning environments.</w:t>
      </w:r>
    </w:p>
    <w:p w14:paraId="180CEDB0" w14:textId="3AF16881" w:rsidR="00790ADA" w:rsidRDefault="001122F3" w:rsidP="001122F3">
      <w:pPr>
        <w:pStyle w:val="Body"/>
        <w:spacing w:after="0"/>
        <w:rPr>
          <w:rFonts w:ascii="Arial" w:hAnsi="Arial" w:cs="Arial"/>
        </w:rPr>
      </w:pPr>
      <w:r w:rsidRPr="001122F3">
        <w:rPr>
          <w:rFonts w:ascii="Arial" w:hAnsi="Arial" w:cs="Arial"/>
        </w:rPr>
        <w:t>To enhance participation and success of women in Automotive Technology, schools and institutions must implement inclusive practices and structured support. Recommendations include promoting gender equality through awareness campaigns and role models, establishing mentorship programs with female professionals, providing hands-on workshops to build technical competence, ensuring equitable access to resources, and offering resilience and stress management programs. Regular feedback mechanisms can further tailor institutional support to students’ needs. Collectively, these strategies reinforce motivation, confidence, and skill mastery, creating an equitable and empowering environment for female students in technical education.</w:t>
      </w:r>
    </w:p>
    <w:p w14:paraId="4F602ED4" w14:textId="77777777" w:rsidR="0071049F" w:rsidRDefault="0071049F" w:rsidP="001122F3">
      <w:pPr>
        <w:pStyle w:val="Body"/>
        <w:spacing w:after="0"/>
        <w:rPr>
          <w:rFonts w:ascii="Arial" w:hAnsi="Arial" w:cs="Arial"/>
        </w:rPr>
      </w:pPr>
    </w:p>
    <w:p w14:paraId="404CC3C5" w14:textId="77777777" w:rsidR="0071049F" w:rsidRDefault="0071049F" w:rsidP="001122F3">
      <w:pPr>
        <w:pStyle w:val="Body"/>
        <w:spacing w:after="0"/>
        <w:rPr>
          <w:rFonts w:ascii="Arial" w:hAnsi="Arial" w:cs="Arial"/>
        </w:rPr>
      </w:pPr>
    </w:p>
    <w:p w14:paraId="384ACADC" w14:textId="3C5FA2A7" w:rsidR="0071049F" w:rsidRPr="0071049F" w:rsidRDefault="0071049F" w:rsidP="001122F3">
      <w:pPr>
        <w:pStyle w:val="Body"/>
        <w:spacing w:after="0"/>
        <w:rPr>
          <w:rFonts w:ascii="Arial" w:hAnsi="Arial" w:cs="Arial"/>
          <w:b/>
          <w:bCs/>
          <w:sz w:val="22"/>
          <w:szCs w:val="22"/>
        </w:rPr>
      </w:pPr>
      <w:r w:rsidRPr="0071049F">
        <w:rPr>
          <w:rFonts w:ascii="Arial" w:hAnsi="Arial" w:cs="Arial"/>
          <w:b/>
          <w:bCs/>
          <w:sz w:val="22"/>
          <w:szCs w:val="22"/>
        </w:rPr>
        <w:t>ACKNOWLEDGEMENT</w:t>
      </w:r>
    </w:p>
    <w:p w14:paraId="6A91B189" w14:textId="77777777" w:rsidR="0071049F" w:rsidRDefault="0071049F" w:rsidP="001122F3">
      <w:pPr>
        <w:pStyle w:val="Body"/>
        <w:spacing w:after="0"/>
        <w:rPr>
          <w:rFonts w:ascii="Arial" w:hAnsi="Arial" w:cs="Arial"/>
        </w:rPr>
      </w:pPr>
    </w:p>
    <w:p w14:paraId="3E967B26" w14:textId="27827065" w:rsidR="0071049F" w:rsidRDefault="0071049F" w:rsidP="001122F3">
      <w:pPr>
        <w:pStyle w:val="Body"/>
        <w:spacing w:after="0"/>
        <w:rPr>
          <w:rFonts w:ascii="Arial" w:hAnsi="Arial" w:cs="Arial"/>
        </w:rPr>
      </w:pPr>
      <w:r w:rsidRPr="0071049F">
        <w:rPr>
          <w:rFonts w:ascii="Arial" w:hAnsi="Arial" w:cs="Arial"/>
        </w:rPr>
        <w:t xml:space="preserve">The researchers would like to express their sincere gratitude to the female students of the Automotive Technology program who generously shared their experiences, insights, and perspectives for this study. Special thanks are extended to the faculty and administrative staff of </w:t>
      </w:r>
      <w:r>
        <w:rPr>
          <w:rFonts w:ascii="Arial" w:hAnsi="Arial" w:cs="Arial"/>
        </w:rPr>
        <w:t xml:space="preserve">the University that allowed us to conduct the study to their institution and </w:t>
      </w:r>
      <w:r w:rsidRPr="0071049F">
        <w:rPr>
          <w:rFonts w:ascii="Arial" w:hAnsi="Arial" w:cs="Arial"/>
        </w:rPr>
        <w:t>for their support and assistance during data collection. The guidance of mentors and colleagues who provided valuable feedback throughout the research process is also deeply appreciated. Finally, the researchers acknowledge the encouragement of family and friends, whose support made this study possible.</w:t>
      </w:r>
    </w:p>
    <w:p w14:paraId="3532D79F" w14:textId="77777777" w:rsidR="001122F3" w:rsidRDefault="001122F3" w:rsidP="001122F3">
      <w:pPr>
        <w:pStyle w:val="Body"/>
        <w:spacing w:after="0"/>
        <w:rPr>
          <w:rFonts w:ascii="Arial" w:hAnsi="Arial" w:cs="Arial"/>
        </w:rPr>
      </w:pPr>
    </w:p>
    <w:p w14:paraId="38758E4C" w14:textId="211924E3" w:rsidR="002B685A" w:rsidRPr="0071049F" w:rsidRDefault="0071049F" w:rsidP="00441B6F">
      <w:pPr>
        <w:pStyle w:val="ReferHead"/>
        <w:spacing w:after="0"/>
        <w:jc w:val="both"/>
        <w:rPr>
          <w:rFonts w:ascii="Arial" w:hAnsi="Arial" w:cs="Arial"/>
          <w:bCs/>
          <w:caps w:val="0"/>
          <w:szCs w:val="22"/>
        </w:rPr>
      </w:pPr>
      <w:r w:rsidRPr="0071049F">
        <w:rPr>
          <w:rFonts w:ascii="Arial" w:hAnsi="Arial" w:cs="Arial"/>
          <w:bCs/>
          <w:caps w:val="0"/>
          <w:szCs w:val="22"/>
        </w:rPr>
        <w:t>COMPETING INTEREST</w:t>
      </w:r>
    </w:p>
    <w:p w14:paraId="450D7D54" w14:textId="77777777" w:rsidR="0071049F" w:rsidRDefault="0071049F" w:rsidP="00441B6F">
      <w:pPr>
        <w:pStyle w:val="ReferHead"/>
        <w:spacing w:after="0"/>
        <w:jc w:val="both"/>
        <w:rPr>
          <w:rFonts w:ascii="Arial" w:hAnsi="Arial" w:cs="Arial"/>
          <w:b w:val="0"/>
          <w:caps w:val="0"/>
          <w:sz w:val="20"/>
        </w:rPr>
      </w:pPr>
    </w:p>
    <w:p w14:paraId="2A25E63E" w14:textId="0AFE8F60" w:rsidR="0071049F" w:rsidRDefault="0071049F" w:rsidP="00441B6F">
      <w:pPr>
        <w:pStyle w:val="ReferHead"/>
        <w:spacing w:after="0"/>
        <w:jc w:val="both"/>
        <w:rPr>
          <w:rFonts w:ascii="Arial" w:hAnsi="Arial" w:cs="Arial"/>
          <w:b w:val="0"/>
          <w:caps w:val="0"/>
          <w:sz w:val="20"/>
        </w:rPr>
      </w:pPr>
      <w:r w:rsidRPr="0071049F">
        <w:rPr>
          <w:rFonts w:ascii="Arial" w:hAnsi="Arial" w:cs="Arial"/>
          <w:b w:val="0"/>
          <w:caps w:val="0"/>
          <w:sz w:val="20"/>
        </w:rPr>
        <w:t>Authors have declared that no competing interests exist.</w:t>
      </w:r>
    </w:p>
    <w:p w14:paraId="20119195" w14:textId="77777777" w:rsidR="0071049F" w:rsidRPr="0071049F" w:rsidRDefault="0071049F" w:rsidP="00441B6F">
      <w:pPr>
        <w:pStyle w:val="ReferHead"/>
        <w:spacing w:after="0"/>
        <w:jc w:val="both"/>
        <w:rPr>
          <w:rFonts w:ascii="Arial" w:hAnsi="Arial" w:cs="Arial"/>
          <w:b w:val="0"/>
          <w:caps w:val="0"/>
          <w:sz w:val="20"/>
        </w:rPr>
      </w:pPr>
    </w:p>
    <w:p w14:paraId="10E0D985" w14:textId="2598F78F"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3FDB3B22" w14:textId="350258C5" w:rsidR="001A29D8" w:rsidRDefault="00EB342C" w:rsidP="00441B6F">
      <w:pPr>
        <w:pStyle w:val="ReferHead"/>
        <w:spacing w:after="0"/>
        <w:jc w:val="both"/>
        <w:rPr>
          <w:rFonts w:ascii="Arial" w:hAnsi="Arial" w:cs="Arial"/>
          <w:b w:val="0"/>
          <w:caps w:val="0"/>
          <w:sz w:val="20"/>
        </w:rPr>
      </w:pPr>
      <w:r w:rsidRPr="00EB342C">
        <w:rPr>
          <w:rFonts w:ascii="Arial" w:hAnsi="Arial" w:cs="Arial"/>
          <w:b w:val="0"/>
          <w:caps w:val="0"/>
          <w:sz w:val="20"/>
        </w:rPr>
        <w:t xml:space="preserve">Prior to the commencement of the study, informed consent was obtained from all </w:t>
      </w:r>
      <w:r w:rsidR="00D33711">
        <w:rPr>
          <w:rFonts w:ascii="Arial" w:hAnsi="Arial" w:cs="Arial"/>
          <w:b w:val="0"/>
          <w:caps w:val="0"/>
          <w:sz w:val="20"/>
        </w:rPr>
        <w:t>Participants</w:t>
      </w:r>
      <w:r w:rsidRPr="00EB342C">
        <w:rPr>
          <w:rFonts w:ascii="Arial" w:hAnsi="Arial" w:cs="Arial"/>
          <w:b w:val="0"/>
          <w:caps w:val="0"/>
          <w:sz w:val="20"/>
        </w:rPr>
        <w:t xml:space="preserve"> to ensure their voluntary participation. The research strictly adhered to both institutional ethical guidelines and international Free, Prior, and Informed Consent (FPIC) procedures, upholding the principles of respect, confidentiality, and participant autonomy throughout the study.</w:t>
      </w:r>
    </w:p>
    <w:p w14:paraId="021DECF3" w14:textId="77777777" w:rsidR="0071049F" w:rsidRDefault="0071049F" w:rsidP="00441B6F">
      <w:pPr>
        <w:pStyle w:val="ReferHead"/>
        <w:spacing w:after="0"/>
        <w:jc w:val="both"/>
        <w:rPr>
          <w:rFonts w:ascii="Arial" w:hAnsi="Arial" w:cs="Arial"/>
          <w:b w:val="0"/>
          <w:caps w:val="0"/>
          <w:sz w:val="20"/>
        </w:rPr>
      </w:pPr>
    </w:p>
    <w:p w14:paraId="18D06C66" w14:textId="0348D702" w:rsidR="0071049F" w:rsidRPr="0071049F" w:rsidRDefault="0071049F" w:rsidP="00441B6F">
      <w:pPr>
        <w:pStyle w:val="ReferHead"/>
        <w:spacing w:after="0"/>
        <w:jc w:val="both"/>
        <w:rPr>
          <w:rFonts w:ascii="Arial" w:hAnsi="Arial" w:cs="Arial"/>
          <w:bCs/>
          <w:caps w:val="0"/>
          <w:szCs w:val="22"/>
        </w:rPr>
      </w:pPr>
      <w:r w:rsidRPr="0071049F">
        <w:rPr>
          <w:rFonts w:ascii="Arial" w:hAnsi="Arial" w:cs="Arial"/>
          <w:bCs/>
          <w:caps w:val="0"/>
          <w:szCs w:val="22"/>
        </w:rPr>
        <w:t>AUTHORS’ CONTRIBUTIONS</w:t>
      </w:r>
    </w:p>
    <w:p w14:paraId="54F064AC" w14:textId="77777777" w:rsidR="0071049F" w:rsidRDefault="0071049F" w:rsidP="00441B6F">
      <w:pPr>
        <w:pStyle w:val="ReferHead"/>
        <w:spacing w:after="0"/>
        <w:jc w:val="both"/>
        <w:rPr>
          <w:rFonts w:ascii="Arial" w:hAnsi="Arial" w:cs="Arial"/>
          <w:b w:val="0"/>
          <w:caps w:val="0"/>
          <w:sz w:val="20"/>
        </w:rPr>
      </w:pPr>
    </w:p>
    <w:p w14:paraId="7A62A699" w14:textId="2D2A77B0" w:rsidR="0071049F" w:rsidRPr="00EB342C" w:rsidRDefault="0071049F" w:rsidP="00441B6F">
      <w:pPr>
        <w:pStyle w:val="ReferHead"/>
        <w:spacing w:after="0"/>
        <w:jc w:val="both"/>
        <w:rPr>
          <w:rFonts w:ascii="Arial" w:hAnsi="Arial" w:cs="Arial"/>
          <w:b w:val="0"/>
          <w:caps w:val="0"/>
          <w:sz w:val="20"/>
        </w:rPr>
      </w:pPr>
      <w:r>
        <w:rPr>
          <w:rFonts w:ascii="Arial" w:hAnsi="Arial" w:cs="Arial"/>
          <w:b w:val="0"/>
          <w:caps w:val="0"/>
          <w:sz w:val="20"/>
        </w:rPr>
        <w:t>FVA</w:t>
      </w:r>
      <w:r w:rsidRPr="0071049F">
        <w:rPr>
          <w:rFonts w:ascii="Arial" w:hAnsi="Arial" w:cs="Arial"/>
          <w:b w:val="0"/>
          <w:caps w:val="0"/>
          <w:sz w:val="20"/>
        </w:rPr>
        <w:t xml:space="preserve"> designed the study, developed the research protocol, conducted the statistical analyses, wrote the initial draft of the manuscript, and oversaw the overall management of the study. </w:t>
      </w:r>
      <w:r>
        <w:rPr>
          <w:rFonts w:ascii="Arial" w:hAnsi="Arial" w:cs="Arial"/>
          <w:b w:val="0"/>
          <w:caps w:val="0"/>
          <w:sz w:val="20"/>
        </w:rPr>
        <w:t>JST and JKMR</w:t>
      </w:r>
      <w:r w:rsidRPr="0071049F">
        <w:rPr>
          <w:rFonts w:ascii="Arial" w:hAnsi="Arial" w:cs="Arial"/>
          <w:b w:val="0"/>
          <w:caps w:val="0"/>
          <w:sz w:val="20"/>
        </w:rPr>
        <w:t xml:space="preserve"> conducted the literature searches, assisted in data collection, and contributed to the analysis and interpretation of the data. All authors reviewed, provided feedback on, and approved the final manuscript.</w:t>
      </w:r>
    </w:p>
    <w:p w14:paraId="1E353AF7" w14:textId="77777777" w:rsidR="005C784C" w:rsidRDefault="005C784C" w:rsidP="00441B6F">
      <w:pPr>
        <w:pStyle w:val="ReferHead"/>
        <w:spacing w:after="0"/>
        <w:jc w:val="both"/>
        <w:rPr>
          <w:rFonts w:ascii="Arial" w:hAnsi="Arial" w:cs="Arial"/>
          <w:b w:val="0"/>
          <w:caps w:val="0"/>
          <w:sz w:val="20"/>
        </w:rPr>
      </w:pPr>
    </w:p>
    <w:p w14:paraId="7B23D99D" w14:textId="180DF5F3" w:rsidR="005C784C" w:rsidRDefault="005C784C" w:rsidP="00441B6F">
      <w:pPr>
        <w:pStyle w:val="ReferHead"/>
        <w:spacing w:after="0"/>
        <w:jc w:val="both"/>
        <w:rPr>
          <w:rFonts w:ascii="Arial" w:hAnsi="Arial" w:cs="Arial"/>
          <w:bCs/>
        </w:rPr>
      </w:pPr>
      <w:r>
        <w:rPr>
          <w:rFonts w:ascii="Arial" w:hAnsi="Arial" w:cs="Arial"/>
          <w:bCs/>
        </w:rPr>
        <w:t>Ethical approval</w:t>
      </w:r>
    </w:p>
    <w:p w14:paraId="29604B9B" w14:textId="77777777" w:rsidR="005C784C" w:rsidRPr="002B685A" w:rsidRDefault="005C784C" w:rsidP="00441B6F">
      <w:pPr>
        <w:pStyle w:val="ReferHead"/>
        <w:spacing w:after="0"/>
        <w:jc w:val="both"/>
        <w:rPr>
          <w:rFonts w:ascii="Arial" w:hAnsi="Arial" w:cs="Arial"/>
          <w:bCs/>
        </w:rPr>
      </w:pPr>
    </w:p>
    <w:p w14:paraId="6E413E9D" w14:textId="3546B43B" w:rsidR="005C784C" w:rsidRDefault="00261F98" w:rsidP="00441B6F">
      <w:pPr>
        <w:pStyle w:val="ReferHead"/>
        <w:spacing w:after="0"/>
        <w:jc w:val="both"/>
        <w:rPr>
          <w:rFonts w:ascii="Arial" w:hAnsi="Arial" w:cs="Arial"/>
          <w:b w:val="0"/>
          <w:caps w:val="0"/>
          <w:sz w:val="20"/>
        </w:rPr>
      </w:pPr>
      <w:r w:rsidRPr="00261F98">
        <w:rPr>
          <w:rFonts w:ascii="Arial" w:hAnsi="Arial" w:cs="Arial"/>
          <w:b w:val="0"/>
          <w:caps w:val="0"/>
          <w:sz w:val="20"/>
        </w:rPr>
        <w:t>All authors hereby declare that the study was conducted in full compliance with ethical standards, following the principles outlined in the 1964 Declaration of Helsinki and relevant national regulations governing research involving human participants</w:t>
      </w:r>
      <w:r w:rsidR="005C784C" w:rsidRPr="005C784C">
        <w:rPr>
          <w:rFonts w:ascii="Arial" w:hAnsi="Arial" w:cs="Arial"/>
          <w:b w:val="0"/>
          <w:caps w:val="0"/>
          <w:sz w:val="20"/>
        </w:rPr>
        <w:t>.</w:t>
      </w:r>
    </w:p>
    <w:p w14:paraId="257E85F6" w14:textId="01E5FA59" w:rsidR="007167E4" w:rsidRDefault="007167E4" w:rsidP="00441B6F">
      <w:pPr>
        <w:pStyle w:val="ReferHead"/>
        <w:spacing w:after="0"/>
        <w:jc w:val="both"/>
        <w:rPr>
          <w:rFonts w:ascii="Arial" w:hAnsi="Arial" w:cs="Arial"/>
          <w:b w:val="0"/>
          <w:caps w:val="0"/>
          <w:sz w:val="20"/>
        </w:rPr>
      </w:pPr>
    </w:p>
    <w:p w14:paraId="1F2899B8" w14:textId="5F1C4120" w:rsidR="007167E4" w:rsidRPr="0071049F" w:rsidRDefault="0071049F" w:rsidP="007167E4">
      <w:pPr>
        <w:rPr>
          <w:rFonts w:ascii="Arial" w:eastAsia="Calibri" w:hAnsi="Arial" w:cs="Arial"/>
          <w:b/>
          <w:bCs/>
          <w:kern w:val="2"/>
          <w:sz w:val="22"/>
          <w:szCs w:val="22"/>
        </w:rPr>
      </w:pPr>
      <w:bookmarkStart w:id="0" w:name="_Hlk197682619"/>
      <w:bookmarkStart w:id="1" w:name="_Hlk180402183"/>
      <w:bookmarkStart w:id="2" w:name="_Hlk183680988"/>
      <w:bookmarkStart w:id="3" w:name="_Hlk197351200"/>
      <w:r w:rsidRPr="0071049F">
        <w:rPr>
          <w:rFonts w:ascii="Arial" w:eastAsia="Calibri" w:hAnsi="Arial" w:cs="Arial"/>
          <w:b/>
          <w:bCs/>
          <w:kern w:val="2"/>
          <w:sz w:val="22"/>
          <w:szCs w:val="22"/>
        </w:rPr>
        <w:t>DISCLAIMER (ARTIFICIAL INTELLIGENCE)</w:t>
      </w:r>
    </w:p>
    <w:p w14:paraId="24E869D8" w14:textId="77777777" w:rsidR="0071049F" w:rsidRPr="0071049F" w:rsidRDefault="0071049F" w:rsidP="007167E4">
      <w:pPr>
        <w:rPr>
          <w:rFonts w:ascii="Arial" w:eastAsia="Calibri" w:hAnsi="Arial" w:cs="Arial"/>
          <w:kern w:val="2"/>
          <w:sz w:val="22"/>
          <w:szCs w:val="22"/>
        </w:rPr>
      </w:pPr>
    </w:p>
    <w:p w14:paraId="4755470A" w14:textId="52BDE12B" w:rsidR="007167E4" w:rsidRPr="0071049F" w:rsidRDefault="007167E4" w:rsidP="007167E4">
      <w:pPr>
        <w:rPr>
          <w:rFonts w:ascii="Arial" w:eastAsia="Calibri" w:hAnsi="Arial" w:cs="Arial"/>
          <w:kern w:val="2"/>
        </w:rPr>
      </w:pPr>
      <w:r w:rsidRPr="0071049F">
        <w:rPr>
          <w:rFonts w:ascii="Arial" w:eastAsia="Calibri" w:hAnsi="Arial" w:cs="Arial"/>
          <w:kern w:val="2"/>
        </w:rPr>
        <w:t xml:space="preserve">Author(s) hereby </w:t>
      </w:r>
      <w:r w:rsidR="0071049F" w:rsidRPr="0071049F">
        <w:rPr>
          <w:rFonts w:ascii="Arial" w:eastAsia="Calibri" w:hAnsi="Arial" w:cs="Arial"/>
          <w:kern w:val="2"/>
        </w:rPr>
        <w:t>declares</w:t>
      </w:r>
      <w:r w:rsidRPr="0071049F">
        <w:rPr>
          <w:rFonts w:ascii="Arial" w:eastAsia="Calibri" w:hAnsi="Arial" w:cs="Arial"/>
          <w:kern w:val="2"/>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D932F90" w14:textId="77777777" w:rsidR="007167E4" w:rsidRPr="0071049F" w:rsidRDefault="007167E4" w:rsidP="007167E4">
      <w:pPr>
        <w:rPr>
          <w:rFonts w:ascii="Arial" w:eastAsia="Calibri" w:hAnsi="Arial" w:cs="Arial"/>
          <w:kern w:val="2"/>
        </w:rPr>
      </w:pPr>
      <w:r w:rsidRPr="0071049F">
        <w:rPr>
          <w:rFonts w:ascii="Arial" w:eastAsia="Calibri" w:hAnsi="Arial" w:cs="Arial"/>
          <w:kern w:val="2"/>
        </w:rPr>
        <w:t>Details of the AI usage are given below:</w:t>
      </w:r>
    </w:p>
    <w:bookmarkEnd w:id="0"/>
    <w:bookmarkEnd w:id="1"/>
    <w:bookmarkEnd w:id="2"/>
    <w:bookmarkEnd w:id="3"/>
    <w:p w14:paraId="6CEF7041" w14:textId="77777777" w:rsidR="0071049F" w:rsidRPr="0071049F" w:rsidRDefault="0071049F" w:rsidP="0071049F">
      <w:pPr>
        <w:pStyle w:val="ReferHead"/>
        <w:numPr>
          <w:ilvl w:val="0"/>
          <w:numId w:val="31"/>
        </w:numPr>
        <w:spacing w:after="0"/>
        <w:jc w:val="both"/>
        <w:rPr>
          <w:rFonts w:ascii="Arial" w:eastAsia="Calibri" w:hAnsi="Arial" w:cs="Arial"/>
          <w:b w:val="0"/>
          <w:caps w:val="0"/>
          <w:kern w:val="2"/>
          <w:sz w:val="20"/>
        </w:rPr>
      </w:pPr>
      <w:r w:rsidRPr="0071049F">
        <w:rPr>
          <w:rFonts w:ascii="Arial" w:eastAsia="Calibri" w:hAnsi="Arial" w:cs="Arial"/>
          <w:b w:val="0"/>
          <w:caps w:val="0"/>
          <w:kern w:val="2"/>
          <w:sz w:val="20"/>
        </w:rPr>
        <w:t>Version: GPT-5 Mini</w:t>
      </w:r>
    </w:p>
    <w:p w14:paraId="7276166F" w14:textId="77777777" w:rsidR="0071049F" w:rsidRPr="0071049F" w:rsidRDefault="0071049F" w:rsidP="0071049F">
      <w:pPr>
        <w:pStyle w:val="ReferHead"/>
        <w:numPr>
          <w:ilvl w:val="0"/>
          <w:numId w:val="31"/>
        </w:numPr>
        <w:spacing w:after="0"/>
        <w:jc w:val="both"/>
        <w:rPr>
          <w:rFonts w:ascii="Arial" w:eastAsia="Calibri" w:hAnsi="Arial" w:cs="Arial"/>
          <w:b w:val="0"/>
          <w:caps w:val="0"/>
          <w:kern w:val="2"/>
          <w:sz w:val="20"/>
        </w:rPr>
      </w:pPr>
      <w:r w:rsidRPr="0071049F">
        <w:rPr>
          <w:rFonts w:ascii="Arial" w:eastAsia="Calibri" w:hAnsi="Arial" w:cs="Arial"/>
          <w:b w:val="0"/>
          <w:caps w:val="0"/>
          <w:kern w:val="2"/>
          <w:sz w:val="20"/>
        </w:rPr>
        <w:t>Purpose: Used as an English language and grammar critic to improve clarity, coherence, and readability of the manuscript.</w:t>
      </w:r>
    </w:p>
    <w:p w14:paraId="5143A3F8" w14:textId="3CCF8306" w:rsidR="00860000" w:rsidRPr="0071049F" w:rsidRDefault="0071049F" w:rsidP="0071049F">
      <w:pPr>
        <w:pStyle w:val="ReferHead"/>
        <w:numPr>
          <w:ilvl w:val="0"/>
          <w:numId w:val="31"/>
        </w:numPr>
        <w:jc w:val="both"/>
        <w:rPr>
          <w:rFonts w:ascii="Arial" w:eastAsia="Calibri" w:hAnsi="Arial" w:cs="Arial"/>
          <w:b w:val="0"/>
          <w:caps w:val="0"/>
          <w:kern w:val="2"/>
          <w:sz w:val="20"/>
        </w:rPr>
      </w:pPr>
      <w:r w:rsidRPr="0071049F">
        <w:rPr>
          <w:rFonts w:ascii="Arial" w:eastAsia="Calibri" w:hAnsi="Arial" w:cs="Arial"/>
          <w:b w:val="0"/>
          <w:caps w:val="0"/>
          <w:kern w:val="2"/>
          <w:sz w:val="20"/>
        </w:rPr>
        <w:t>Prompt Used: The AI was prompted to review and enhance written sections of the manuscript, including grammar, style, sentence structure, and professional tone, without altering the scientific content.</w:t>
      </w: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87F6F1" w14:textId="77777777" w:rsidR="00EB342C" w:rsidRDefault="00EB342C" w:rsidP="00441B6F">
      <w:pPr>
        <w:pStyle w:val="Body"/>
        <w:spacing w:after="0"/>
      </w:pPr>
    </w:p>
    <w:p w14:paraId="5344CD1E" w14:textId="2D1779F4"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Aquino, J. M., Naga, R., &amp; </w:t>
      </w:r>
      <w:proofErr w:type="spellStart"/>
      <w:r w:rsidRPr="00ED16DC">
        <w:rPr>
          <w:rFonts w:ascii="Arial" w:hAnsi="Arial" w:cs="Arial"/>
          <w:sz w:val="20"/>
          <w:szCs w:val="20"/>
        </w:rPr>
        <w:t>Napiza</w:t>
      </w:r>
      <w:proofErr w:type="spellEnd"/>
      <w:r w:rsidRPr="00ED16DC">
        <w:rPr>
          <w:rFonts w:ascii="Arial" w:hAnsi="Arial" w:cs="Arial"/>
          <w:sz w:val="20"/>
          <w:szCs w:val="20"/>
        </w:rPr>
        <w:t xml:space="preserve">, E. (2024). The upshot of BS Industrial Technology graduates’ acquired competencies aligned to employment opportunities. </w:t>
      </w:r>
      <w:r w:rsidRPr="00ED16DC">
        <w:rPr>
          <w:rFonts w:ascii="Arial" w:hAnsi="Arial" w:cs="Arial"/>
          <w:i/>
          <w:iCs/>
          <w:sz w:val="20"/>
          <w:szCs w:val="20"/>
        </w:rPr>
        <w:t>e-</w:t>
      </w:r>
      <w:proofErr w:type="spellStart"/>
      <w:r w:rsidRPr="00ED16DC">
        <w:rPr>
          <w:rFonts w:ascii="Arial" w:hAnsi="Arial" w:cs="Arial"/>
          <w:i/>
          <w:iCs/>
          <w:sz w:val="20"/>
          <w:szCs w:val="20"/>
        </w:rPr>
        <w:t>Jurnal</w:t>
      </w:r>
      <w:proofErr w:type="spellEnd"/>
      <w:r w:rsidRPr="00ED16DC">
        <w:rPr>
          <w:rFonts w:ascii="Arial" w:hAnsi="Arial" w:cs="Arial"/>
          <w:i/>
          <w:iCs/>
          <w:sz w:val="20"/>
          <w:szCs w:val="20"/>
        </w:rPr>
        <w:t xml:space="preserve"> </w:t>
      </w:r>
      <w:proofErr w:type="spellStart"/>
      <w:r w:rsidRPr="00ED16DC">
        <w:rPr>
          <w:rFonts w:ascii="Arial" w:hAnsi="Arial" w:cs="Arial"/>
          <w:i/>
          <w:iCs/>
          <w:sz w:val="20"/>
          <w:szCs w:val="20"/>
        </w:rPr>
        <w:t>Penyelidikan</w:t>
      </w:r>
      <w:proofErr w:type="spellEnd"/>
      <w:r w:rsidRPr="00ED16DC">
        <w:rPr>
          <w:rFonts w:ascii="Arial" w:hAnsi="Arial" w:cs="Arial"/>
          <w:i/>
          <w:iCs/>
          <w:sz w:val="20"/>
          <w:szCs w:val="20"/>
        </w:rPr>
        <w:t xml:space="preserve"> Dan Inovasi</w:t>
      </w:r>
      <w:r w:rsidRPr="00ED16DC">
        <w:rPr>
          <w:rFonts w:ascii="Arial" w:hAnsi="Arial" w:cs="Arial"/>
          <w:sz w:val="20"/>
          <w:szCs w:val="20"/>
        </w:rPr>
        <w:t xml:space="preserve">, </w:t>
      </w:r>
      <w:r w:rsidRPr="00ED16DC">
        <w:rPr>
          <w:rFonts w:ascii="Arial" w:hAnsi="Arial" w:cs="Arial"/>
          <w:i/>
          <w:iCs/>
          <w:sz w:val="20"/>
          <w:szCs w:val="20"/>
        </w:rPr>
        <w:t>11</w:t>
      </w:r>
      <w:r w:rsidRPr="00ED16DC">
        <w:rPr>
          <w:rFonts w:ascii="Arial" w:hAnsi="Arial" w:cs="Arial"/>
          <w:sz w:val="20"/>
          <w:szCs w:val="20"/>
        </w:rPr>
        <w:t xml:space="preserve">(1), 62–81. </w:t>
      </w:r>
      <w:r w:rsidRPr="00ED16DC">
        <w:rPr>
          <w:rStyle w:val="url"/>
          <w:rFonts w:ascii="Arial" w:hAnsi="Arial" w:cs="Arial"/>
          <w:sz w:val="20"/>
          <w:szCs w:val="20"/>
        </w:rPr>
        <w:t>https://doi.org/10.53840/ejpi.v11i1.159</w:t>
      </w:r>
    </w:p>
    <w:p w14:paraId="018B0387" w14:textId="77777777" w:rsidR="0040402D" w:rsidRDefault="00ED16DC" w:rsidP="0040402D">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Bandura, A., Freeman, W. H., &amp; Lightsey, R. (1999). Self-Efficacy: the exercise of control. </w:t>
      </w:r>
      <w:r w:rsidRPr="00ED16DC">
        <w:rPr>
          <w:rFonts w:ascii="Arial" w:hAnsi="Arial" w:cs="Arial"/>
          <w:i/>
          <w:iCs/>
          <w:sz w:val="20"/>
          <w:szCs w:val="20"/>
        </w:rPr>
        <w:t>Journal of Cognitive Psychotherapy</w:t>
      </w:r>
      <w:r w:rsidRPr="00ED16DC">
        <w:rPr>
          <w:rFonts w:ascii="Arial" w:hAnsi="Arial" w:cs="Arial"/>
          <w:sz w:val="20"/>
          <w:szCs w:val="20"/>
        </w:rPr>
        <w:t xml:space="preserve">, </w:t>
      </w:r>
      <w:r w:rsidRPr="00ED16DC">
        <w:rPr>
          <w:rFonts w:ascii="Arial" w:hAnsi="Arial" w:cs="Arial"/>
          <w:i/>
          <w:iCs/>
          <w:sz w:val="20"/>
          <w:szCs w:val="20"/>
        </w:rPr>
        <w:t>13</w:t>
      </w:r>
      <w:r w:rsidRPr="00ED16DC">
        <w:rPr>
          <w:rFonts w:ascii="Arial" w:hAnsi="Arial" w:cs="Arial"/>
          <w:sz w:val="20"/>
          <w:szCs w:val="20"/>
        </w:rPr>
        <w:t xml:space="preserve">(2), 158–166. </w:t>
      </w:r>
      <w:r w:rsidRPr="00ED16DC">
        <w:rPr>
          <w:rStyle w:val="url"/>
          <w:rFonts w:ascii="Arial" w:hAnsi="Arial" w:cs="Arial"/>
          <w:sz w:val="20"/>
          <w:szCs w:val="20"/>
        </w:rPr>
        <w:t>https://doi.org/10.1891/0889-8391.13.2.158</w:t>
      </w:r>
    </w:p>
    <w:p w14:paraId="116C7E54" w14:textId="77777777" w:rsidR="0040402D" w:rsidRDefault="0040402D" w:rsidP="0040402D">
      <w:pPr>
        <w:pStyle w:val="NormalWeb"/>
        <w:spacing w:before="0" w:beforeAutospacing="0" w:after="240" w:afterAutospacing="0"/>
        <w:ind w:left="360" w:hanging="360"/>
        <w:jc w:val="both"/>
        <w:rPr>
          <w:rFonts w:ascii="Arial" w:hAnsi="Arial" w:cs="Arial"/>
          <w:sz w:val="16"/>
          <w:szCs w:val="16"/>
        </w:rPr>
      </w:pPr>
      <w:r w:rsidRPr="0040402D">
        <w:rPr>
          <w:rFonts w:ascii="Arial" w:hAnsi="Arial" w:cs="Arial"/>
          <w:sz w:val="20"/>
          <w:szCs w:val="20"/>
        </w:rPr>
        <w:t xml:space="preserve">Braun, V., &amp; Clarke, V. (2019). Reflecting on reflexive thematic analysis. </w:t>
      </w:r>
      <w:r w:rsidRPr="0040402D">
        <w:rPr>
          <w:rFonts w:ascii="Arial" w:hAnsi="Arial" w:cs="Arial"/>
          <w:i/>
          <w:iCs/>
          <w:sz w:val="20"/>
          <w:szCs w:val="20"/>
        </w:rPr>
        <w:t>Qualitative Research in Sport Exercise and Health</w:t>
      </w:r>
      <w:r w:rsidRPr="0040402D">
        <w:rPr>
          <w:rFonts w:ascii="Arial" w:hAnsi="Arial" w:cs="Arial"/>
          <w:sz w:val="20"/>
          <w:szCs w:val="20"/>
        </w:rPr>
        <w:t xml:space="preserve">, </w:t>
      </w:r>
      <w:r w:rsidRPr="0040402D">
        <w:rPr>
          <w:rFonts w:ascii="Arial" w:hAnsi="Arial" w:cs="Arial"/>
          <w:i/>
          <w:iCs/>
          <w:sz w:val="20"/>
          <w:szCs w:val="20"/>
        </w:rPr>
        <w:t>11</w:t>
      </w:r>
      <w:r w:rsidRPr="0040402D">
        <w:rPr>
          <w:rFonts w:ascii="Arial" w:hAnsi="Arial" w:cs="Arial"/>
          <w:sz w:val="20"/>
          <w:szCs w:val="20"/>
        </w:rPr>
        <w:t>(4), 589–597. https://doi.org/10.1080/2159676x.2019.1628806</w:t>
      </w:r>
    </w:p>
    <w:p w14:paraId="330DD995" w14:textId="5A2D2836" w:rsidR="0040402D" w:rsidRPr="0040402D" w:rsidRDefault="0040402D" w:rsidP="0040402D">
      <w:pPr>
        <w:pStyle w:val="NormalWeb"/>
        <w:spacing w:before="0" w:beforeAutospacing="0" w:after="240" w:afterAutospacing="0"/>
        <w:ind w:left="360" w:hanging="360"/>
        <w:jc w:val="both"/>
        <w:rPr>
          <w:rFonts w:ascii="Arial" w:hAnsi="Arial" w:cs="Arial"/>
          <w:sz w:val="12"/>
          <w:szCs w:val="12"/>
        </w:rPr>
      </w:pPr>
      <w:r w:rsidRPr="0040402D">
        <w:rPr>
          <w:rFonts w:ascii="Arial" w:hAnsi="Arial" w:cs="Arial"/>
          <w:sz w:val="20"/>
          <w:szCs w:val="20"/>
        </w:rPr>
        <w:t xml:space="preserve">Bustamante-Mora, A., </w:t>
      </w:r>
      <w:proofErr w:type="spellStart"/>
      <w:r w:rsidRPr="0040402D">
        <w:rPr>
          <w:rFonts w:ascii="Arial" w:hAnsi="Arial" w:cs="Arial"/>
          <w:sz w:val="20"/>
          <w:szCs w:val="20"/>
        </w:rPr>
        <w:t>Diéguez</w:t>
      </w:r>
      <w:proofErr w:type="spellEnd"/>
      <w:r w:rsidRPr="0040402D">
        <w:rPr>
          <w:rFonts w:ascii="Arial" w:hAnsi="Arial" w:cs="Arial"/>
          <w:sz w:val="20"/>
          <w:szCs w:val="20"/>
        </w:rPr>
        <w:t xml:space="preserve">-Rebolledo, M., Díaz-Arancibia, J., Sánchez-Vázquez, E., &amp; Medina-Gómez, J. (2025). Inclusive Pedagogical Models in STEM: The Importance of Emotional Intelligence, Resilience, and Motivation with a Gender Perspective. </w:t>
      </w:r>
      <w:r w:rsidRPr="0040402D">
        <w:rPr>
          <w:rFonts w:ascii="Arial" w:hAnsi="Arial" w:cs="Arial"/>
          <w:i/>
          <w:iCs/>
          <w:sz w:val="20"/>
          <w:szCs w:val="20"/>
        </w:rPr>
        <w:t>Sustainability</w:t>
      </w:r>
      <w:r w:rsidRPr="0040402D">
        <w:rPr>
          <w:rFonts w:ascii="Arial" w:hAnsi="Arial" w:cs="Arial"/>
          <w:sz w:val="20"/>
          <w:szCs w:val="20"/>
        </w:rPr>
        <w:t xml:space="preserve">, </w:t>
      </w:r>
      <w:r w:rsidRPr="0040402D">
        <w:rPr>
          <w:rFonts w:ascii="Arial" w:hAnsi="Arial" w:cs="Arial"/>
          <w:i/>
          <w:iCs/>
          <w:sz w:val="20"/>
          <w:szCs w:val="20"/>
        </w:rPr>
        <w:t>17</w:t>
      </w:r>
      <w:r w:rsidRPr="0040402D">
        <w:rPr>
          <w:rFonts w:ascii="Arial" w:hAnsi="Arial" w:cs="Arial"/>
          <w:sz w:val="20"/>
          <w:szCs w:val="20"/>
        </w:rPr>
        <w:t>(10), 4437. https://doi.org/10.3390/su17104437</w:t>
      </w:r>
    </w:p>
    <w:p w14:paraId="26706878" w14:textId="5349033B"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Campbell, S., Greenwood, M., Prior, S., Shearer, T., </w:t>
      </w:r>
      <w:proofErr w:type="spellStart"/>
      <w:r w:rsidRPr="00ED16DC">
        <w:rPr>
          <w:rFonts w:ascii="Arial" w:hAnsi="Arial" w:cs="Arial"/>
          <w:sz w:val="20"/>
          <w:szCs w:val="20"/>
        </w:rPr>
        <w:t>Walkem</w:t>
      </w:r>
      <w:proofErr w:type="spellEnd"/>
      <w:r w:rsidRPr="00ED16DC">
        <w:rPr>
          <w:rFonts w:ascii="Arial" w:hAnsi="Arial" w:cs="Arial"/>
          <w:sz w:val="20"/>
          <w:szCs w:val="20"/>
        </w:rPr>
        <w:t xml:space="preserve">, K., Young, S., Bywaters, D., &amp; Walker, K. (2020). Purposive sampling: complex or simple? Research case examples. </w:t>
      </w:r>
      <w:r w:rsidRPr="00ED16DC">
        <w:rPr>
          <w:rFonts w:ascii="Arial" w:hAnsi="Arial" w:cs="Arial"/>
          <w:i/>
          <w:iCs/>
          <w:sz w:val="20"/>
          <w:szCs w:val="20"/>
        </w:rPr>
        <w:t>Journal of Research in Nursing</w:t>
      </w:r>
      <w:r w:rsidRPr="00ED16DC">
        <w:rPr>
          <w:rFonts w:ascii="Arial" w:hAnsi="Arial" w:cs="Arial"/>
          <w:sz w:val="20"/>
          <w:szCs w:val="20"/>
        </w:rPr>
        <w:t xml:space="preserve">, </w:t>
      </w:r>
      <w:r w:rsidRPr="00ED16DC">
        <w:rPr>
          <w:rFonts w:ascii="Arial" w:hAnsi="Arial" w:cs="Arial"/>
          <w:i/>
          <w:iCs/>
          <w:sz w:val="20"/>
          <w:szCs w:val="20"/>
        </w:rPr>
        <w:t>25</w:t>
      </w:r>
      <w:r w:rsidRPr="00ED16DC">
        <w:rPr>
          <w:rFonts w:ascii="Arial" w:hAnsi="Arial" w:cs="Arial"/>
          <w:sz w:val="20"/>
          <w:szCs w:val="20"/>
        </w:rPr>
        <w:t xml:space="preserve">(8), 652–661. </w:t>
      </w:r>
      <w:r w:rsidRPr="00ED16DC">
        <w:rPr>
          <w:rStyle w:val="url"/>
          <w:rFonts w:ascii="Arial" w:hAnsi="Arial" w:cs="Arial"/>
          <w:sz w:val="20"/>
          <w:szCs w:val="20"/>
        </w:rPr>
        <w:t>https://doi.org/10.1177/1744987120927206</w:t>
      </w:r>
    </w:p>
    <w:p w14:paraId="1407D588" w14:textId="1130CBEB"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Chan, R. C. H. (2022). A social cognitive perspective on gender disparities in self-efficacy, interest, and aspirations in science, technology, engineering, and mathematics (STEM): the influence of cultural and gender norms. </w:t>
      </w:r>
      <w:r w:rsidRPr="0040402D">
        <w:rPr>
          <w:rFonts w:ascii="Arial" w:hAnsi="Arial" w:cs="Arial"/>
          <w:i/>
          <w:iCs/>
          <w:sz w:val="20"/>
          <w:szCs w:val="20"/>
        </w:rPr>
        <w:t>International Journal of STEM Education</w:t>
      </w:r>
      <w:r w:rsidRPr="0040402D">
        <w:rPr>
          <w:rFonts w:ascii="Arial" w:hAnsi="Arial" w:cs="Arial"/>
          <w:sz w:val="20"/>
          <w:szCs w:val="20"/>
        </w:rPr>
        <w:t xml:space="preserve">, </w:t>
      </w:r>
      <w:r w:rsidRPr="0040402D">
        <w:rPr>
          <w:rFonts w:ascii="Arial" w:hAnsi="Arial" w:cs="Arial"/>
          <w:i/>
          <w:iCs/>
          <w:sz w:val="20"/>
          <w:szCs w:val="20"/>
        </w:rPr>
        <w:t>9</w:t>
      </w:r>
      <w:r w:rsidRPr="0040402D">
        <w:rPr>
          <w:rFonts w:ascii="Arial" w:hAnsi="Arial" w:cs="Arial"/>
          <w:sz w:val="20"/>
          <w:szCs w:val="20"/>
        </w:rPr>
        <w:t>(1). https://doi.org/10.1186/s40594-022-00352-0</w:t>
      </w:r>
    </w:p>
    <w:p w14:paraId="1C544483"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Deci, E. L., &amp; Ryan, R. M. (2000). The “What” and “Why” of goal pursuits: human needs and the Self-Determination of behavior. </w:t>
      </w:r>
      <w:r w:rsidRPr="00ED16DC">
        <w:rPr>
          <w:rFonts w:ascii="Arial" w:hAnsi="Arial" w:cs="Arial"/>
          <w:i/>
          <w:iCs/>
          <w:sz w:val="20"/>
          <w:szCs w:val="20"/>
        </w:rPr>
        <w:t>Psychological Inquiry</w:t>
      </w:r>
      <w:r w:rsidRPr="00ED16DC">
        <w:rPr>
          <w:rFonts w:ascii="Arial" w:hAnsi="Arial" w:cs="Arial"/>
          <w:sz w:val="20"/>
          <w:szCs w:val="20"/>
        </w:rPr>
        <w:t xml:space="preserve">, </w:t>
      </w:r>
      <w:r w:rsidRPr="00ED16DC">
        <w:rPr>
          <w:rFonts w:ascii="Arial" w:hAnsi="Arial" w:cs="Arial"/>
          <w:i/>
          <w:iCs/>
          <w:sz w:val="20"/>
          <w:szCs w:val="20"/>
        </w:rPr>
        <w:t>11</w:t>
      </w:r>
      <w:r w:rsidRPr="00ED16DC">
        <w:rPr>
          <w:rFonts w:ascii="Arial" w:hAnsi="Arial" w:cs="Arial"/>
          <w:sz w:val="20"/>
          <w:szCs w:val="20"/>
        </w:rPr>
        <w:t xml:space="preserve">(4), 227–268. </w:t>
      </w:r>
      <w:r w:rsidRPr="00ED16DC">
        <w:rPr>
          <w:rStyle w:val="url"/>
          <w:rFonts w:ascii="Arial" w:hAnsi="Arial" w:cs="Arial"/>
          <w:sz w:val="20"/>
          <w:szCs w:val="20"/>
        </w:rPr>
        <w:t>https://doi.org/10.1207/s15327965pli1104_01</w:t>
      </w:r>
    </w:p>
    <w:p w14:paraId="67D5289C"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Diekman, A. B., Brown, E. R., Johnston, A. M., &amp; Clark, E. K. (2010). Seeking congruity between goals and roles. </w:t>
      </w:r>
      <w:r w:rsidRPr="00ED16DC">
        <w:rPr>
          <w:rFonts w:ascii="Arial" w:hAnsi="Arial" w:cs="Arial"/>
          <w:i/>
          <w:iCs/>
          <w:sz w:val="20"/>
          <w:szCs w:val="20"/>
        </w:rPr>
        <w:t>Psychological Science</w:t>
      </w:r>
      <w:r w:rsidRPr="00ED16DC">
        <w:rPr>
          <w:rFonts w:ascii="Arial" w:hAnsi="Arial" w:cs="Arial"/>
          <w:sz w:val="20"/>
          <w:szCs w:val="20"/>
        </w:rPr>
        <w:t xml:space="preserve">, </w:t>
      </w:r>
      <w:r w:rsidRPr="00ED16DC">
        <w:rPr>
          <w:rFonts w:ascii="Arial" w:hAnsi="Arial" w:cs="Arial"/>
          <w:i/>
          <w:iCs/>
          <w:sz w:val="20"/>
          <w:szCs w:val="20"/>
        </w:rPr>
        <w:t>21</w:t>
      </w:r>
      <w:r w:rsidRPr="00ED16DC">
        <w:rPr>
          <w:rFonts w:ascii="Arial" w:hAnsi="Arial" w:cs="Arial"/>
          <w:sz w:val="20"/>
          <w:szCs w:val="20"/>
        </w:rPr>
        <w:t xml:space="preserve">(8), 1051–1057. </w:t>
      </w:r>
      <w:r w:rsidRPr="00ED16DC">
        <w:rPr>
          <w:rStyle w:val="url"/>
          <w:rFonts w:ascii="Arial" w:hAnsi="Arial" w:cs="Arial"/>
          <w:sz w:val="20"/>
          <w:szCs w:val="20"/>
        </w:rPr>
        <w:t>https://doi.org/10.1177/0956797610377342</w:t>
      </w:r>
    </w:p>
    <w:p w14:paraId="7783CC66"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Eccles, J. S., &amp; Wigfield, A. (2002). Motivational beliefs, values, and goals. </w:t>
      </w:r>
      <w:r w:rsidRPr="00ED16DC">
        <w:rPr>
          <w:rFonts w:ascii="Arial" w:hAnsi="Arial" w:cs="Arial"/>
          <w:i/>
          <w:iCs/>
          <w:sz w:val="20"/>
          <w:szCs w:val="20"/>
        </w:rPr>
        <w:t>Annual Review of Psychology</w:t>
      </w:r>
      <w:r w:rsidRPr="00ED16DC">
        <w:rPr>
          <w:rFonts w:ascii="Arial" w:hAnsi="Arial" w:cs="Arial"/>
          <w:sz w:val="20"/>
          <w:szCs w:val="20"/>
        </w:rPr>
        <w:t xml:space="preserve">, </w:t>
      </w:r>
      <w:r w:rsidRPr="00ED16DC">
        <w:rPr>
          <w:rFonts w:ascii="Arial" w:hAnsi="Arial" w:cs="Arial"/>
          <w:i/>
          <w:iCs/>
          <w:sz w:val="20"/>
          <w:szCs w:val="20"/>
        </w:rPr>
        <w:t>53</w:t>
      </w:r>
      <w:r w:rsidRPr="00ED16DC">
        <w:rPr>
          <w:rFonts w:ascii="Arial" w:hAnsi="Arial" w:cs="Arial"/>
          <w:sz w:val="20"/>
          <w:szCs w:val="20"/>
        </w:rPr>
        <w:t xml:space="preserve">(1), 109–132. </w:t>
      </w:r>
      <w:r w:rsidRPr="00ED16DC">
        <w:rPr>
          <w:rStyle w:val="url"/>
          <w:rFonts w:ascii="Arial" w:hAnsi="Arial" w:cs="Arial"/>
          <w:sz w:val="20"/>
          <w:szCs w:val="20"/>
        </w:rPr>
        <w:t>https://doi.org/10.1146/annurev.psych.53.100901.135153</w:t>
      </w:r>
    </w:p>
    <w:p w14:paraId="10C50F6C" w14:textId="31E14824"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Fantinelli, S., Esposito, C., Carlucci, L., Limone, P., &amp; Sulla, F. (2023). The influence of individual and contextual factors on the vocational choices of adolescents and their impact on Well-Being. </w:t>
      </w:r>
      <w:r w:rsidRPr="0040402D">
        <w:rPr>
          <w:rFonts w:ascii="Arial" w:hAnsi="Arial" w:cs="Arial"/>
          <w:i/>
          <w:iCs/>
          <w:sz w:val="20"/>
          <w:szCs w:val="20"/>
        </w:rPr>
        <w:t>Behavioral Sciences</w:t>
      </w:r>
      <w:r w:rsidRPr="0040402D">
        <w:rPr>
          <w:rFonts w:ascii="Arial" w:hAnsi="Arial" w:cs="Arial"/>
          <w:sz w:val="20"/>
          <w:szCs w:val="20"/>
        </w:rPr>
        <w:t xml:space="preserve">, </w:t>
      </w:r>
      <w:r w:rsidRPr="0040402D">
        <w:rPr>
          <w:rFonts w:ascii="Arial" w:hAnsi="Arial" w:cs="Arial"/>
          <w:i/>
          <w:iCs/>
          <w:sz w:val="20"/>
          <w:szCs w:val="20"/>
        </w:rPr>
        <w:t>13</w:t>
      </w:r>
      <w:r w:rsidRPr="0040402D">
        <w:rPr>
          <w:rFonts w:ascii="Arial" w:hAnsi="Arial" w:cs="Arial"/>
          <w:sz w:val="20"/>
          <w:szCs w:val="20"/>
        </w:rPr>
        <w:t>(3), 233. https://doi.org/10.3390/bs13030233</w:t>
      </w:r>
    </w:p>
    <w:p w14:paraId="16455C32" w14:textId="180B9E50"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Hedge, B. (2024). Persistence of STEM majors in higher education. </w:t>
      </w:r>
      <w:r w:rsidRPr="00ED16DC">
        <w:rPr>
          <w:rFonts w:ascii="Arial" w:hAnsi="Arial" w:cs="Arial"/>
          <w:i/>
          <w:iCs/>
          <w:sz w:val="20"/>
          <w:szCs w:val="20"/>
        </w:rPr>
        <w:t>Journal of Research in Science Mathematics and Technology Education</w:t>
      </w:r>
      <w:r w:rsidRPr="00ED16DC">
        <w:rPr>
          <w:rFonts w:ascii="Arial" w:hAnsi="Arial" w:cs="Arial"/>
          <w:sz w:val="20"/>
          <w:szCs w:val="20"/>
        </w:rPr>
        <w:t xml:space="preserve">, 27–41. </w:t>
      </w:r>
      <w:r w:rsidRPr="00ED16DC">
        <w:rPr>
          <w:rStyle w:val="url"/>
          <w:rFonts w:ascii="Arial" w:hAnsi="Arial" w:cs="Arial"/>
          <w:sz w:val="20"/>
          <w:szCs w:val="20"/>
        </w:rPr>
        <w:t>https://doi.org/10.31756/jrsmte.312si</w:t>
      </w:r>
    </w:p>
    <w:p w14:paraId="59D79080" w14:textId="3B64EE1E"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Hermans, S., </w:t>
      </w:r>
      <w:proofErr w:type="spellStart"/>
      <w:r w:rsidRPr="0040402D">
        <w:rPr>
          <w:rFonts w:ascii="Arial" w:hAnsi="Arial" w:cs="Arial"/>
          <w:sz w:val="20"/>
          <w:szCs w:val="20"/>
        </w:rPr>
        <w:t>Gijsen</w:t>
      </w:r>
      <w:proofErr w:type="spellEnd"/>
      <w:r w:rsidRPr="0040402D">
        <w:rPr>
          <w:rFonts w:ascii="Arial" w:hAnsi="Arial" w:cs="Arial"/>
          <w:sz w:val="20"/>
          <w:szCs w:val="20"/>
        </w:rPr>
        <w:t xml:space="preserve">, M., </w:t>
      </w:r>
      <w:proofErr w:type="spellStart"/>
      <w:r w:rsidRPr="0040402D">
        <w:rPr>
          <w:rFonts w:ascii="Arial" w:hAnsi="Arial" w:cs="Arial"/>
          <w:sz w:val="20"/>
          <w:szCs w:val="20"/>
        </w:rPr>
        <w:t>Mombaers</w:t>
      </w:r>
      <w:proofErr w:type="spellEnd"/>
      <w:r w:rsidRPr="0040402D">
        <w:rPr>
          <w:rFonts w:ascii="Arial" w:hAnsi="Arial" w:cs="Arial"/>
          <w:sz w:val="20"/>
          <w:szCs w:val="20"/>
        </w:rPr>
        <w:t xml:space="preserve">, T., &amp; Van </w:t>
      </w:r>
      <w:proofErr w:type="spellStart"/>
      <w:r w:rsidRPr="0040402D">
        <w:rPr>
          <w:rFonts w:ascii="Arial" w:hAnsi="Arial" w:cs="Arial"/>
          <w:sz w:val="20"/>
          <w:szCs w:val="20"/>
        </w:rPr>
        <w:t>Petegem</w:t>
      </w:r>
      <w:proofErr w:type="spellEnd"/>
      <w:r w:rsidRPr="0040402D">
        <w:rPr>
          <w:rFonts w:ascii="Arial" w:hAnsi="Arial" w:cs="Arial"/>
          <w:sz w:val="20"/>
          <w:szCs w:val="20"/>
        </w:rPr>
        <w:t xml:space="preserve">, P. (2022). Gendered patterns in students’ motivation profiles regarding </w:t>
      </w:r>
      <w:proofErr w:type="spellStart"/>
      <w:r w:rsidRPr="0040402D">
        <w:rPr>
          <w:rFonts w:ascii="Arial" w:hAnsi="Arial" w:cs="Arial"/>
          <w:sz w:val="20"/>
          <w:szCs w:val="20"/>
        </w:rPr>
        <w:t>iSTEM</w:t>
      </w:r>
      <w:proofErr w:type="spellEnd"/>
      <w:r w:rsidRPr="0040402D">
        <w:rPr>
          <w:rFonts w:ascii="Arial" w:hAnsi="Arial" w:cs="Arial"/>
          <w:sz w:val="20"/>
          <w:szCs w:val="20"/>
        </w:rPr>
        <w:t xml:space="preserve"> and STEM test scores: a cluster analysis. </w:t>
      </w:r>
      <w:r w:rsidRPr="0040402D">
        <w:rPr>
          <w:rFonts w:ascii="Arial" w:hAnsi="Arial" w:cs="Arial"/>
          <w:i/>
          <w:iCs/>
          <w:sz w:val="20"/>
          <w:szCs w:val="20"/>
        </w:rPr>
        <w:t>International Journal of STEM Education</w:t>
      </w:r>
      <w:r w:rsidRPr="0040402D">
        <w:rPr>
          <w:rFonts w:ascii="Arial" w:hAnsi="Arial" w:cs="Arial"/>
          <w:sz w:val="20"/>
          <w:szCs w:val="20"/>
        </w:rPr>
        <w:t xml:space="preserve">, </w:t>
      </w:r>
      <w:r w:rsidRPr="0040402D">
        <w:rPr>
          <w:rFonts w:ascii="Arial" w:hAnsi="Arial" w:cs="Arial"/>
          <w:i/>
          <w:iCs/>
          <w:sz w:val="20"/>
          <w:szCs w:val="20"/>
        </w:rPr>
        <w:t>9</w:t>
      </w:r>
      <w:r w:rsidRPr="0040402D">
        <w:rPr>
          <w:rFonts w:ascii="Arial" w:hAnsi="Arial" w:cs="Arial"/>
          <w:sz w:val="20"/>
          <w:szCs w:val="20"/>
        </w:rPr>
        <w:t>(1). https://doi.org/10.1186/s40594-022-00379-3</w:t>
      </w:r>
    </w:p>
    <w:p w14:paraId="39365475" w14:textId="1294F9AA"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Kiger, M. E., &amp; </w:t>
      </w:r>
      <w:proofErr w:type="spellStart"/>
      <w:r w:rsidRPr="0040402D">
        <w:rPr>
          <w:rFonts w:ascii="Arial" w:hAnsi="Arial" w:cs="Arial"/>
          <w:sz w:val="20"/>
          <w:szCs w:val="20"/>
        </w:rPr>
        <w:t>Varpio</w:t>
      </w:r>
      <w:proofErr w:type="spellEnd"/>
      <w:r w:rsidRPr="0040402D">
        <w:rPr>
          <w:rFonts w:ascii="Arial" w:hAnsi="Arial" w:cs="Arial"/>
          <w:sz w:val="20"/>
          <w:szCs w:val="20"/>
        </w:rPr>
        <w:t xml:space="preserve">, L. (2020). Thematic analysis of qualitative data: AMEE Guide No. 131. </w:t>
      </w:r>
      <w:r w:rsidRPr="0040402D">
        <w:rPr>
          <w:rFonts w:ascii="Arial" w:hAnsi="Arial" w:cs="Arial"/>
          <w:i/>
          <w:iCs/>
          <w:sz w:val="20"/>
          <w:szCs w:val="20"/>
        </w:rPr>
        <w:t>Medical Teacher</w:t>
      </w:r>
      <w:r w:rsidRPr="0040402D">
        <w:rPr>
          <w:rFonts w:ascii="Arial" w:hAnsi="Arial" w:cs="Arial"/>
          <w:sz w:val="20"/>
          <w:szCs w:val="20"/>
        </w:rPr>
        <w:t xml:space="preserve">, </w:t>
      </w:r>
      <w:r w:rsidRPr="0040402D">
        <w:rPr>
          <w:rFonts w:ascii="Arial" w:hAnsi="Arial" w:cs="Arial"/>
          <w:i/>
          <w:iCs/>
          <w:sz w:val="20"/>
          <w:szCs w:val="20"/>
        </w:rPr>
        <w:t>42</w:t>
      </w:r>
      <w:r w:rsidRPr="0040402D">
        <w:rPr>
          <w:rFonts w:ascii="Arial" w:hAnsi="Arial" w:cs="Arial"/>
          <w:sz w:val="20"/>
          <w:szCs w:val="20"/>
        </w:rPr>
        <w:t>(8), 846–854. https://doi.org/10.1080/0142159x.2020.1755030</w:t>
      </w:r>
    </w:p>
    <w:p w14:paraId="450E7AAA" w14:textId="2A0FBF9B"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Longe, O. M., &amp; </w:t>
      </w:r>
      <w:proofErr w:type="spellStart"/>
      <w:r w:rsidRPr="00ED16DC">
        <w:rPr>
          <w:rFonts w:ascii="Arial" w:hAnsi="Arial" w:cs="Arial"/>
          <w:sz w:val="20"/>
          <w:szCs w:val="20"/>
        </w:rPr>
        <w:t>Ouahada</w:t>
      </w:r>
      <w:proofErr w:type="spellEnd"/>
      <w:r w:rsidRPr="00ED16DC">
        <w:rPr>
          <w:rFonts w:ascii="Arial" w:hAnsi="Arial" w:cs="Arial"/>
          <w:sz w:val="20"/>
          <w:szCs w:val="20"/>
        </w:rPr>
        <w:t xml:space="preserve">, K. (2019). A Literature Review on Challenges and Opportunities for Women in Engineering. </w:t>
      </w:r>
      <w:r w:rsidRPr="00ED16DC">
        <w:rPr>
          <w:rFonts w:ascii="Arial" w:hAnsi="Arial" w:cs="Arial"/>
          <w:i/>
          <w:iCs/>
          <w:sz w:val="20"/>
          <w:szCs w:val="20"/>
        </w:rPr>
        <w:t>2019 IEEE AFRICON</w:t>
      </w:r>
      <w:r w:rsidRPr="00ED16DC">
        <w:rPr>
          <w:rFonts w:ascii="Arial" w:hAnsi="Arial" w:cs="Arial"/>
          <w:sz w:val="20"/>
          <w:szCs w:val="20"/>
        </w:rPr>
        <w:t xml:space="preserve">, 1–6. </w:t>
      </w:r>
      <w:r w:rsidRPr="00ED16DC">
        <w:rPr>
          <w:rStyle w:val="url"/>
          <w:rFonts w:ascii="Arial" w:hAnsi="Arial" w:cs="Arial"/>
          <w:sz w:val="20"/>
          <w:szCs w:val="20"/>
        </w:rPr>
        <w:t>https://doi.org/10.1109/africon46755.2019.9133955</w:t>
      </w:r>
    </w:p>
    <w:p w14:paraId="5784B149"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MacIsaac, J. (2021). Picturing femininities and masculinities: Using visual methods to explore gender relations. </w:t>
      </w:r>
      <w:r w:rsidRPr="00ED16DC">
        <w:rPr>
          <w:rFonts w:ascii="Arial" w:hAnsi="Arial" w:cs="Arial"/>
          <w:i/>
          <w:iCs/>
          <w:sz w:val="20"/>
          <w:szCs w:val="20"/>
        </w:rPr>
        <w:t>Methods in Psychology</w:t>
      </w:r>
      <w:r w:rsidRPr="00ED16DC">
        <w:rPr>
          <w:rFonts w:ascii="Arial" w:hAnsi="Arial" w:cs="Arial"/>
          <w:sz w:val="20"/>
          <w:szCs w:val="20"/>
        </w:rPr>
        <w:t xml:space="preserve">, </w:t>
      </w:r>
      <w:r w:rsidRPr="00ED16DC">
        <w:rPr>
          <w:rFonts w:ascii="Arial" w:hAnsi="Arial" w:cs="Arial"/>
          <w:i/>
          <w:iCs/>
          <w:sz w:val="20"/>
          <w:szCs w:val="20"/>
        </w:rPr>
        <w:t>5</w:t>
      </w:r>
      <w:r w:rsidRPr="00ED16DC">
        <w:rPr>
          <w:rFonts w:ascii="Arial" w:hAnsi="Arial" w:cs="Arial"/>
          <w:sz w:val="20"/>
          <w:szCs w:val="20"/>
        </w:rPr>
        <w:t xml:space="preserve">, 100079. </w:t>
      </w:r>
      <w:r w:rsidRPr="00ED16DC">
        <w:rPr>
          <w:rStyle w:val="url"/>
          <w:rFonts w:ascii="Arial" w:hAnsi="Arial" w:cs="Arial"/>
          <w:sz w:val="20"/>
          <w:szCs w:val="20"/>
        </w:rPr>
        <w:t>https://doi.org/10.1016/j.metip.2021.100079</w:t>
      </w:r>
    </w:p>
    <w:p w14:paraId="18921C15"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McLean, L., Gaul, D., &amp; Penco, R. (2022). Perceived Social Support and Stress: a Study of 1st Year Students in Ireland. </w:t>
      </w:r>
      <w:r w:rsidRPr="00ED16DC">
        <w:rPr>
          <w:rFonts w:ascii="Arial" w:hAnsi="Arial" w:cs="Arial"/>
          <w:i/>
          <w:iCs/>
          <w:sz w:val="20"/>
          <w:szCs w:val="20"/>
        </w:rPr>
        <w:t>International Journal of Mental Health and Addiction</w:t>
      </w:r>
      <w:r w:rsidRPr="00ED16DC">
        <w:rPr>
          <w:rFonts w:ascii="Arial" w:hAnsi="Arial" w:cs="Arial"/>
          <w:sz w:val="20"/>
          <w:szCs w:val="20"/>
        </w:rPr>
        <w:t xml:space="preserve">, </w:t>
      </w:r>
      <w:r w:rsidRPr="00ED16DC">
        <w:rPr>
          <w:rFonts w:ascii="Arial" w:hAnsi="Arial" w:cs="Arial"/>
          <w:i/>
          <w:iCs/>
          <w:sz w:val="20"/>
          <w:szCs w:val="20"/>
        </w:rPr>
        <w:t>21</w:t>
      </w:r>
      <w:r w:rsidRPr="00ED16DC">
        <w:rPr>
          <w:rFonts w:ascii="Arial" w:hAnsi="Arial" w:cs="Arial"/>
          <w:sz w:val="20"/>
          <w:szCs w:val="20"/>
        </w:rPr>
        <w:t xml:space="preserve">(4), 2101–2121. </w:t>
      </w:r>
      <w:r w:rsidRPr="00ED16DC">
        <w:rPr>
          <w:rStyle w:val="url"/>
          <w:rFonts w:ascii="Arial" w:hAnsi="Arial" w:cs="Arial"/>
          <w:sz w:val="20"/>
          <w:szCs w:val="20"/>
        </w:rPr>
        <w:t>https://doi.org/10.1007/s11469-021-00710-z</w:t>
      </w:r>
    </w:p>
    <w:p w14:paraId="384C0DF2"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Midgley, C., Lockwood, P., &amp; Hu, L. Y. (2023). Maximizing women’s motivation in domains dominated by men: personally known versus famous role models. </w:t>
      </w:r>
      <w:r w:rsidRPr="00ED16DC">
        <w:rPr>
          <w:rFonts w:ascii="Arial" w:hAnsi="Arial" w:cs="Arial"/>
          <w:i/>
          <w:iCs/>
          <w:sz w:val="20"/>
          <w:szCs w:val="20"/>
        </w:rPr>
        <w:t>Psychology of Women Quarterly</w:t>
      </w:r>
      <w:r w:rsidRPr="00ED16DC">
        <w:rPr>
          <w:rFonts w:ascii="Arial" w:hAnsi="Arial" w:cs="Arial"/>
          <w:sz w:val="20"/>
          <w:szCs w:val="20"/>
        </w:rPr>
        <w:t xml:space="preserve">, </w:t>
      </w:r>
      <w:r w:rsidRPr="00ED16DC">
        <w:rPr>
          <w:rFonts w:ascii="Arial" w:hAnsi="Arial" w:cs="Arial"/>
          <w:i/>
          <w:iCs/>
          <w:sz w:val="20"/>
          <w:szCs w:val="20"/>
        </w:rPr>
        <w:t>47</w:t>
      </w:r>
      <w:r w:rsidRPr="00ED16DC">
        <w:rPr>
          <w:rFonts w:ascii="Arial" w:hAnsi="Arial" w:cs="Arial"/>
          <w:sz w:val="20"/>
          <w:szCs w:val="20"/>
        </w:rPr>
        <w:t xml:space="preserve">(2), 213–230. </w:t>
      </w:r>
      <w:r w:rsidRPr="00ED16DC">
        <w:rPr>
          <w:rStyle w:val="url"/>
          <w:rFonts w:ascii="Arial" w:hAnsi="Arial" w:cs="Arial"/>
          <w:sz w:val="20"/>
          <w:szCs w:val="20"/>
        </w:rPr>
        <w:t>https://doi.org/10.1177/03616843231156165</w:t>
      </w:r>
    </w:p>
    <w:p w14:paraId="58BFDF38"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proofErr w:type="spellStart"/>
      <w:r w:rsidRPr="00ED16DC">
        <w:rPr>
          <w:rFonts w:ascii="Arial" w:hAnsi="Arial" w:cs="Arial"/>
          <w:sz w:val="20"/>
          <w:szCs w:val="20"/>
        </w:rPr>
        <w:t>Mtt</w:t>
      </w:r>
      <w:proofErr w:type="spellEnd"/>
      <w:r w:rsidRPr="00ED16DC">
        <w:rPr>
          <w:rFonts w:ascii="Arial" w:hAnsi="Arial" w:cs="Arial"/>
          <w:sz w:val="20"/>
          <w:szCs w:val="20"/>
        </w:rPr>
        <w:t xml:space="preserve">, C. T. D., Rosales, V. S., &amp; </w:t>
      </w:r>
      <w:proofErr w:type="spellStart"/>
      <w:r w:rsidRPr="00ED16DC">
        <w:rPr>
          <w:rFonts w:ascii="Arial" w:hAnsi="Arial" w:cs="Arial"/>
          <w:sz w:val="20"/>
          <w:szCs w:val="20"/>
        </w:rPr>
        <w:t>Requino</w:t>
      </w:r>
      <w:proofErr w:type="spellEnd"/>
      <w:r w:rsidRPr="00ED16DC">
        <w:rPr>
          <w:rFonts w:ascii="Arial" w:hAnsi="Arial" w:cs="Arial"/>
          <w:sz w:val="20"/>
          <w:szCs w:val="20"/>
        </w:rPr>
        <w:t xml:space="preserve">, R. B. (2024). Determining Gender Issues in Technical and Vocational Education and Training (TVET) and its Influencing Factors in the Philippines. </w:t>
      </w:r>
      <w:r w:rsidRPr="00ED16DC">
        <w:rPr>
          <w:rFonts w:ascii="Arial" w:hAnsi="Arial" w:cs="Arial"/>
          <w:i/>
          <w:iCs/>
          <w:sz w:val="20"/>
          <w:szCs w:val="20"/>
        </w:rPr>
        <w:t>International Journal of Religion</w:t>
      </w:r>
      <w:r w:rsidRPr="00ED16DC">
        <w:rPr>
          <w:rFonts w:ascii="Arial" w:hAnsi="Arial" w:cs="Arial"/>
          <w:sz w:val="20"/>
          <w:szCs w:val="20"/>
        </w:rPr>
        <w:t xml:space="preserve">, </w:t>
      </w:r>
      <w:r w:rsidRPr="00ED16DC">
        <w:rPr>
          <w:rFonts w:ascii="Arial" w:hAnsi="Arial" w:cs="Arial"/>
          <w:i/>
          <w:iCs/>
          <w:sz w:val="20"/>
          <w:szCs w:val="20"/>
        </w:rPr>
        <w:t>5</w:t>
      </w:r>
      <w:r w:rsidRPr="00ED16DC">
        <w:rPr>
          <w:rFonts w:ascii="Arial" w:hAnsi="Arial" w:cs="Arial"/>
          <w:sz w:val="20"/>
          <w:szCs w:val="20"/>
        </w:rPr>
        <w:t xml:space="preserve">(10), 1395–1404. </w:t>
      </w:r>
      <w:r w:rsidRPr="00ED16DC">
        <w:rPr>
          <w:rStyle w:val="url"/>
          <w:rFonts w:ascii="Arial" w:hAnsi="Arial" w:cs="Arial"/>
          <w:sz w:val="20"/>
          <w:szCs w:val="20"/>
        </w:rPr>
        <w:t>https://doi.org/10.61707/5q85rd97</w:t>
      </w:r>
    </w:p>
    <w:p w14:paraId="53E34D2C"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Nicholls, A. R., Polman, R. C., &amp; Levy, A. R. (2011). A path analysis of stress appraisals, emotions, coping, and performance satisfaction among athletes. </w:t>
      </w:r>
      <w:r w:rsidRPr="00ED16DC">
        <w:rPr>
          <w:rFonts w:ascii="Arial" w:hAnsi="Arial" w:cs="Arial"/>
          <w:i/>
          <w:iCs/>
          <w:sz w:val="20"/>
          <w:szCs w:val="20"/>
        </w:rPr>
        <w:t>Psychology of Sport and Exercise</w:t>
      </w:r>
      <w:r w:rsidRPr="00ED16DC">
        <w:rPr>
          <w:rFonts w:ascii="Arial" w:hAnsi="Arial" w:cs="Arial"/>
          <w:sz w:val="20"/>
          <w:szCs w:val="20"/>
        </w:rPr>
        <w:t xml:space="preserve">, </w:t>
      </w:r>
      <w:r w:rsidRPr="00ED16DC">
        <w:rPr>
          <w:rFonts w:ascii="Arial" w:hAnsi="Arial" w:cs="Arial"/>
          <w:i/>
          <w:iCs/>
          <w:sz w:val="20"/>
          <w:szCs w:val="20"/>
        </w:rPr>
        <w:t>13</w:t>
      </w:r>
      <w:r w:rsidRPr="00ED16DC">
        <w:rPr>
          <w:rFonts w:ascii="Arial" w:hAnsi="Arial" w:cs="Arial"/>
          <w:sz w:val="20"/>
          <w:szCs w:val="20"/>
        </w:rPr>
        <w:t xml:space="preserve">(3), 263–270. </w:t>
      </w:r>
      <w:r w:rsidRPr="00ED16DC">
        <w:rPr>
          <w:rStyle w:val="url"/>
          <w:rFonts w:ascii="Arial" w:hAnsi="Arial" w:cs="Arial"/>
          <w:sz w:val="20"/>
          <w:szCs w:val="20"/>
        </w:rPr>
        <w:t>https://doi.org/10.1016/j.psychsport.2011.12.003</w:t>
      </w:r>
    </w:p>
    <w:p w14:paraId="5214650E"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Ortega, L., Montero, M., Canals, C., &amp; </w:t>
      </w:r>
      <w:proofErr w:type="spellStart"/>
      <w:r w:rsidRPr="00ED16DC">
        <w:rPr>
          <w:rFonts w:ascii="Arial" w:hAnsi="Arial" w:cs="Arial"/>
          <w:sz w:val="20"/>
          <w:szCs w:val="20"/>
        </w:rPr>
        <w:t>Mizala</w:t>
      </w:r>
      <w:proofErr w:type="spellEnd"/>
      <w:r w:rsidRPr="00ED16DC">
        <w:rPr>
          <w:rFonts w:ascii="Arial" w:hAnsi="Arial" w:cs="Arial"/>
          <w:sz w:val="20"/>
          <w:szCs w:val="20"/>
        </w:rPr>
        <w:t xml:space="preserve">, A. (2025). Gender segregation in secondary school course choices: socioeconomic gradients and the protective role of school gender culture. </w:t>
      </w:r>
      <w:r w:rsidRPr="00ED16DC">
        <w:rPr>
          <w:rFonts w:ascii="Arial" w:hAnsi="Arial" w:cs="Arial"/>
          <w:i/>
          <w:iCs/>
          <w:sz w:val="20"/>
          <w:szCs w:val="20"/>
        </w:rPr>
        <w:t>American Educational Research Journal</w:t>
      </w:r>
      <w:r w:rsidRPr="00ED16DC">
        <w:rPr>
          <w:rFonts w:ascii="Arial" w:hAnsi="Arial" w:cs="Arial"/>
          <w:sz w:val="20"/>
          <w:szCs w:val="20"/>
        </w:rPr>
        <w:t xml:space="preserve">, </w:t>
      </w:r>
      <w:r w:rsidRPr="00ED16DC">
        <w:rPr>
          <w:rFonts w:ascii="Arial" w:hAnsi="Arial" w:cs="Arial"/>
          <w:i/>
          <w:iCs/>
          <w:sz w:val="20"/>
          <w:szCs w:val="20"/>
        </w:rPr>
        <w:t>62</w:t>
      </w:r>
      <w:r w:rsidRPr="00ED16DC">
        <w:rPr>
          <w:rFonts w:ascii="Arial" w:hAnsi="Arial" w:cs="Arial"/>
          <w:sz w:val="20"/>
          <w:szCs w:val="20"/>
        </w:rPr>
        <w:t xml:space="preserve">(3), 499–539. </w:t>
      </w:r>
      <w:r w:rsidRPr="00ED16DC">
        <w:rPr>
          <w:rStyle w:val="url"/>
          <w:rFonts w:ascii="Arial" w:hAnsi="Arial" w:cs="Arial"/>
          <w:sz w:val="20"/>
          <w:szCs w:val="20"/>
        </w:rPr>
        <w:t>https://doi.org/10.3102/00028312241308537</w:t>
      </w:r>
    </w:p>
    <w:p w14:paraId="7CC7C575" w14:textId="6DF68533"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Paiva, T., </w:t>
      </w:r>
      <w:proofErr w:type="spellStart"/>
      <w:r w:rsidRPr="0040402D">
        <w:rPr>
          <w:rFonts w:ascii="Arial" w:hAnsi="Arial" w:cs="Arial"/>
          <w:sz w:val="20"/>
          <w:szCs w:val="20"/>
        </w:rPr>
        <w:t>Felgueira</w:t>
      </w:r>
      <w:proofErr w:type="spellEnd"/>
      <w:r w:rsidRPr="0040402D">
        <w:rPr>
          <w:rFonts w:ascii="Arial" w:hAnsi="Arial" w:cs="Arial"/>
          <w:sz w:val="20"/>
          <w:szCs w:val="20"/>
        </w:rPr>
        <w:t xml:space="preserve">, T., Alves, C., Gomes, N., Salgado, S., &amp; </w:t>
      </w:r>
      <w:proofErr w:type="spellStart"/>
      <w:r w:rsidRPr="0040402D">
        <w:rPr>
          <w:rFonts w:ascii="Arial" w:hAnsi="Arial" w:cs="Arial"/>
          <w:sz w:val="20"/>
          <w:szCs w:val="20"/>
        </w:rPr>
        <w:t>Salaberri</w:t>
      </w:r>
      <w:proofErr w:type="spellEnd"/>
      <w:r w:rsidRPr="0040402D">
        <w:rPr>
          <w:rFonts w:ascii="Arial" w:hAnsi="Arial" w:cs="Arial"/>
          <w:sz w:val="20"/>
          <w:szCs w:val="20"/>
        </w:rPr>
        <w:t xml:space="preserve">, M. (2024). An education model to empower women in tech entrepreneurship. </w:t>
      </w:r>
      <w:r w:rsidRPr="0040402D">
        <w:rPr>
          <w:rFonts w:ascii="Arial" w:hAnsi="Arial" w:cs="Arial"/>
          <w:i/>
          <w:iCs/>
          <w:sz w:val="20"/>
          <w:szCs w:val="20"/>
        </w:rPr>
        <w:t>Frontiers in Education</w:t>
      </w:r>
      <w:r w:rsidRPr="0040402D">
        <w:rPr>
          <w:rFonts w:ascii="Arial" w:hAnsi="Arial" w:cs="Arial"/>
          <w:sz w:val="20"/>
          <w:szCs w:val="20"/>
        </w:rPr>
        <w:t xml:space="preserve">, </w:t>
      </w:r>
      <w:r w:rsidRPr="0040402D">
        <w:rPr>
          <w:rFonts w:ascii="Arial" w:hAnsi="Arial" w:cs="Arial"/>
          <w:i/>
          <w:iCs/>
          <w:sz w:val="20"/>
          <w:szCs w:val="20"/>
        </w:rPr>
        <w:t>9</w:t>
      </w:r>
      <w:r w:rsidRPr="0040402D">
        <w:rPr>
          <w:rFonts w:ascii="Arial" w:hAnsi="Arial" w:cs="Arial"/>
          <w:sz w:val="20"/>
          <w:szCs w:val="20"/>
        </w:rPr>
        <w:t>. https://doi.org/10.3389/feduc.2024.1474584</w:t>
      </w:r>
    </w:p>
    <w:p w14:paraId="13C5986D" w14:textId="5B82A29E"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Rashid, Y., Rashid, A., Warraich, M. A., Sabir, S. S., &amp; Waseem, A. (2019). Case study method: A Step-by-Step guide for business researchers. </w:t>
      </w:r>
      <w:r w:rsidRPr="0040402D">
        <w:rPr>
          <w:rFonts w:ascii="Arial" w:hAnsi="Arial" w:cs="Arial"/>
          <w:i/>
          <w:iCs/>
          <w:sz w:val="20"/>
          <w:szCs w:val="20"/>
        </w:rPr>
        <w:t>International Journal of Qualitative Methods</w:t>
      </w:r>
      <w:r w:rsidRPr="0040402D">
        <w:rPr>
          <w:rFonts w:ascii="Arial" w:hAnsi="Arial" w:cs="Arial"/>
          <w:sz w:val="20"/>
          <w:szCs w:val="20"/>
        </w:rPr>
        <w:t xml:space="preserve">, </w:t>
      </w:r>
      <w:r w:rsidRPr="0040402D">
        <w:rPr>
          <w:rFonts w:ascii="Arial" w:hAnsi="Arial" w:cs="Arial"/>
          <w:i/>
          <w:iCs/>
          <w:sz w:val="20"/>
          <w:szCs w:val="20"/>
        </w:rPr>
        <w:t>18</w:t>
      </w:r>
      <w:r w:rsidRPr="0040402D">
        <w:rPr>
          <w:rFonts w:ascii="Arial" w:hAnsi="Arial" w:cs="Arial"/>
          <w:sz w:val="20"/>
          <w:szCs w:val="20"/>
        </w:rPr>
        <w:t>. https://doi.org/10.1177/1609406919862424</w:t>
      </w:r>
    </w:p>
    <w:p w14:paraId="73759C48" w14:textId="2560F5E2"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proofErr w:type="spellStart"/>
      <w:r w:rsidRPr="00ED16DC">
        <w:rPr>
          <w:rFonts w:ascii="Arial" w:hAnsi="Arial" w:cs="Arial"/>
          <w:sz w:val="20"/>
          <w:szCs w:val="20"/>
        </w:rPr>
        <w:t>Sáinz</w:t>
      </w:r>
      <w:proofErr w:type="spellEnd"/>
      <w:r w:rsidRPr="00ED16DC">
        <w:rPr>
          <w:rFonts w:ascii="Arial" w:hAnsi="Arial" w:cs="Arial"/>
          <w:sz w:val="20"/>
          <w:szCs w:val="20"/>
        </w:rPr>
        <w:t xml:space="preserve">, M., </w:t>
      </w:r>
      <w:proofErr w:type="spellStart"/>
      <w:r w:rsidRPr="00ED16DC">
        <w:rPr>
          <w:rFonts w:ascii="Arial" w:hAnsi="Arial" w:cs="Arial"/>
          <w:sz w:val="20"/>
          <w:szCs w:val="20"/>
        </w:rPr>
        <w:t>Fàbregues</w:t>
      </w:r>
      <w:proofErr w:type="spellEnd"/>
      <w:r w:rsidRPr="00ED16DC">
        <w:rPr>
          <w:rFonts w:ascii="Arial" w:hAnsi="Arial" w:cs="Arial"/>
          <w:sz w:val="20"/>
          <w:szCs w:val="20"/>
        </w:rPr>
        <w:t xml:space="preserve">, S., Rodó-De-Zárate, M., Martínez-Cantos, J., Arroyo, L., &amp; Romano, M. (2018). Gendered motivations to pursue Male-Dominated STEM careers among Spanish Young people: a qualitative study. </w:t>
      </w:r>
      <w:r w:rsidRPr="00ED16DC">
        <w:rPr>
          <w:rFonts w:ascii="Arial" w:hAnsi="Arial" w:cs="Arial"/>
          <w:i/>
          <w:iCs/>
          <w:sz w:val="20"/>
          <w:szCs w:val="20"/>
        </w:rPr>
        <w:t>Journal of Career Development</w:t>
      </w:r>
      <w:r w:rsidRPr="00ED16DC">
        <w:rPr>
          <w:rFonts w:ascii="Arial" w:hAnsi="Arial" w:cs="Arial"/>
          <w:sz w:val="20"/>
          <w:szCs w:val="20"/>
        </w:rPr>
        <w:t xml:space="preserve">, </w:t>
      </w:r>
      <w:r w:rsidRPr="00ED16DC">
        <w:rPr>
          <w:rFonts w:ascii="Arial" w:hAnsi="Arial" w:cs="Arial"/>
          <w:i/>
          <w:iCs/>
          <w:sz w:val="20"/>
          <w:szCs w:val="20"/>
        </w:rPr>
        <w:t>47</w:t>
      </w:r>
      <w:r w:rsidRPr="00ED16DC">
        <w:rPr>
          <w:rFonts w:ascii="Arial" w:hAnsi="Arial" w:cs="Arial"/>
          <w:sz w:val="20"/>
          <w:szCs w:val="20"/>
        </w:rPr>
        <w:t xml:space="preserve">(4), 408–423. </w:t>
      </w:r>
      <w:r w:rsidRPr="00ED16DC">
        <w:rPr>
          <w:rStyle w:val="url"/>
          <w:rFonts w:ascii="Arial" w:hAnsi="Arial" w:cs="Arial"/>
          <w:sz w:val="20"/>
          <w:szCs w:val="20"/>
        </w:rPr>
        <w:t>https://doi.org/10.1177/0894845318801101</w:t>
      </w:r>
    </w:p>
    <w:p w14:paraId="0D92E732" w14:textId="74C57E7C"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Sakellariou, C., &amp; Fang, Z. (2021). Self-efficacy and interest in STEM subjects as predictors of the STEM gender gap in the US: The role of unobserved heterogeneity. </w:t>
      </w:r>
      <w:r w:rsidRPr="0040402D">
        <w:rPr>
          <w:rFonts w:ascii="Arial" w:hAnsi="Arial" w:cs="Arial"/>
          <w:i/>
          <w:iCs/>
          <w:sz w:val="20"/>
          <w:szCs w:val="20"/>
        </w:rPr>
        <w:t>International Journal of Educational Research</w:t>
      </w:r>
      <w:r w:rsidRPr="0040402D">
        <w:rPr>
          <w:rFonts w:ascii="Arial" w:hAnsi="Arial" w:cs="Arial"/>
          <w:sz w:val="20"/>
          <w:szCs w:val="20"/>
        </w:rPr>
        <w:t xml:space="preserve">, </w:t>
      </w:r>
      <w:r w:rsidRPr="0040402D">
        <w:rPr>
          <w:rFonts w:ascii="Arial" w:hAnsi="Arial" w:cs="Arial"/>
          <w:i/>
          <w:iCs/>
          <w:sz w:val="20"/>
          <w:szCs w:val="20"/>
        </w:rPr>
        <w:t>109</w:t>
      </w:r>
      <w:r w:rsidRPr="0040402D">
        <w:rPr>
          <w:rFonts w:ascii="Arial" w:hAnsi="Arial" w:cs="Arial"/>
          <w:sz w:val="20"/>
          <w:szCs w:val="20"/>
        </w:rPr>
        <w:t>, 101821. https://doi.org/10.1016/j.ijer.2021.101821</w:t>
      </w:r>
    </w:p>
    <w:p w14:paraId="01F959F7" w14:textId="3DA567FB"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Soliman, M. M., &amp; Gabutin, D. R. (2025). Gender and Cookery: Exploring Perceptions and Participation in Technical-Vocational Livelihood (TVL) Tracks. </w:t>
      </w:r>
      <w:r w:rsidRPr="00ED16DC">
        <w:rPr>
          <w:rFonts w:ascii="Arial" w:hAnsi="Arial" w:cs="Arial"/>
          <w:i/>
          <w:iCs/>
          <w:sz w:val="20"/>
          <w:szCs w:val="20"/>
        </w:rPr>
        <w:t>International Journal of Research and Innovation in Applied Science</w:t>
      </w:r>
      <w:r w:rsidRPr="00ED16DC">
        <w:rPr>
          <w:rFonts w:ascii="Arial" w:hAnsi="Arial" w:cs="Arial"/>
          <w:sz w:val="20"/>
          <w:szCs w:val="20"/>
        </w:rPr>
        <w:t xml:space="preserve">, </w:t>
      </w:r>
      <w:r w:rsidRPr="00ED16DC">
        <w:rPr>
          <w:rFonts w:ascii="Arial" w:hAnsi="Arial" w:cs="Arial"/>
          <w:i/>
          <w:iCs/>
          <w:sz w:val="20"/>
          <w:szCs w:val="20"/>
        </w:rPr>
        <w:t>X</w:t>
      </w:r>
      <w:r w:rsidRPr="00ED16DC">
        <w:rPr>
          <w:rFonts w:ascii="Arial" w:hAnsi="Arial" w:cs="Arial"/>
          <w:sz w:val="20"/>
          <w:szCs w:val="20"/>
        </w:rPr>
        <w:t xml:space="preserve">(VII), 640–652. </w:t>
      </w:r>
      <w:r w:rsidRPr="00ED16DC">
        <w:rPr>
          <w:rStyle w:val="url"/>
          <w:rFonts w:ascii="Arial" w:hAnsi="Arial" w:cs="Arial"/>
          <w:sz w:val="20"/>
          <w:szCs w:val="20"/>
        </w:rPr>
        <w:t>https://doi.org/10.51584/ijrias.2025.100700058</w:t>
      </w:r>
    </w:p>
    <w:p w14:paraId="55FD0A1B"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Sukumaran, S., </w:t>
      </w:r>
      <w:proofErr w:type="spellStart"/>
      <w:r w:rsidRPr="00ED16DC">
        <w:rPr>
          <w:rFonts w:ascii="Arial" w:hAnsi="Arial" w:cs="Arial"/>
          <w:sz w:val="20"/>
          <w:szCs w:val="20"/>
        </w:rPr>
        <w:t>Chakkambath</w:t>
      </w:r>
      <w:proofErr w:type="spellEnd"/>
      <w:r w:rsidRPr="00ED16DC">
        <w:rPr>
          <w:rFonts w:ascii="Arial" w:hAnsi="Arial" w:cs="Arial"/>
          <w:sz w:val="20"/>
          <w:szCs w:val="20"/>
        </w:rPr>
        <w:t xml:space="preserve">, R. S., &amp; K, I. N. C. (2024). The Double Burden: a study on women’s dual roles in the workplace and household responsibilities in Kerala. </w:t>
      </w:r>
      <w:r w:rsidRPr="00ED16DC">
        <w:rPr>
          <w:rFonts w:ascii="Arial" w:hAnsi="Arial" w:cs="Arial"/>
          <w:i/>
          <w:iCs/>
          <w:sz w:val="20"/>
          <w:szCs w:val="20"/>
        </w:rPr>
        <w:t>Journal of Women Empowerment and Studies</w:t>
      </w:r>
      <w:r w:rsidRPr="00ED16DC">
        <w:rPr>
          <w:rFonts w:ascii="Arial" w:hAnsi="Arial" w:cs="Arial"/>
          <w:sz w:val="20"/>
          <w:szCs w:val="20"/>
        </w:rPr>
        <w:t xml:space="preserve">, </w:t>
      </w:r>
      <w:r w:rsidRPr="00ED16DC">
        <w:rPr>
          <w:rFonts w:ascii="Arial" w:hAnsi="Arial" w:cs="Arial"/>
          <w:i/>
          <w:iCs/>
          <w:sz w:val="20"/>
          <w:szCs w:val="20"/>
        </w:rPr>
        <w:t>45</w:t>
      </w:r>
      <w:r w:rsidRPr="00ED16DC">
        <w:rPr>
          <w:rFonts w:ascii="Arial" w:hAnsi="Arial" w:cs="Arial"/>
          <w:sz w:val="20"/>
          <w:szCs w:val="20"/>
        </w:rPr>
        <w:t xml:space="preserve">, 48–60. </w:t>
      </w:r>
      <w:r w:rsidRPr="00ED16DC">
        <w:rPr>
          <w:rStyle w:val="url"/>
          <w:rFonts w:ascii="Arial" w:hAnsi="Arial" w:cs="Arial"/>
          <w:sz w:val="20"/>
          <w:szCs w:val="20"/>
        </w:rPr>
        <w:t>https://doi.org/10.55529/jwes.45.48.60</w:t>
      </w:r>
    </w:p>
    <w:p w14:paraId="6779A28C"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Talento, M. S., Tandang, N., Rogelio, R. A., &amp; Araña-Roldan, R. A. (2022). Factors influencing employment of female graduates of technical and vocational education and training program in the Philippines. </w:t>
      </w:r>
      <w:r w:rsidRPr="00ED16DC">
        <w:rPr>
          <w:rFonts w:ascii="Arial" w:hAnsi="Arial" w:cs="Arial"/>
          <w:i/>
          <w:iCs/>
          <w:sz w:val="20"/>
          <w:szCs w:val="20"/>
        </w:rPr>
        <w:t>The Philippine Journal of Science</w:t>
      </w:r>
      <w:r w:rsidRPr="00ED16DC">
        <w:rPr>
          <w:rFonts w:ascii="Arial" w:hAnsi="Arial" w:cs="Arial"/>
          <w:sz w:val="20"/>
          <w:szCs w:val="20"/>
        </w:rPr>
        <w:t xml:space="preserve">, </w:t>
      </w:r>
      <w:r w:rsidRPr="00ED16DC">
        <w:rPr>
          <w:rFonts w:ascii="Arial" w:hAnsi="Arial" w:cs="Arial"/>
          <w:i/>
          <w:iCs/>
          <w:sz w:val="20"/>
          <w:szCs w:val="20"/>
        </w:rPr>
        <w:t>151</w:t>
      </w:r>
      <w:r w:rsidRPr="00ED16DC">
        <w:rPr>
          <w:rFonts w:ascii="Arial" w:hAnsi="Arial" w:cs="Arial"/>
          <w:sz w:val="20"/>
          <w:szCs w:val="20"/>
        </w:rPr>
        <w:t xml:space="preserve">(3). </w:t>
      </w:r>
      <w:r w:rsidRPr="00ED16DC">
        <w:rPr>
          <w:rStyle w:val="url"/>
          <w:rFonts w:ascii="Arial" w:hAnsi="Arial" w:cs="Arial"/>
          <w:sz w:val="20"/>
          <w:szCs w:val="20"/>
        </w:rPr>
        <w:t>https://doi.org/10.56899/151.03.30</w:t>
      </w:r>
    </w:p>
    <w:p w14:paraId="23E62208" w14:textId="7E295D74"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Technical Education and Skills Development Authority [TESDA]. (2022). LABOR MARKET INTELLIGENCE REPORT: Breaking the Barriers: TVET AND A PRO-WOMEN LABOR MARKET. In </w:t>
      </w:r>
      <w:r w:rsidRPr="0040402D">
        <w:rPr>
          <w:rFonts w:ascii="Arial" w:hAnsi="Arial" w:cs="Arial"/>
          <w:i/>
          <w:iCs/>
          <w:sz w:val="20"/>
          <w:szCs w:val="20"/>
        </w:rPr>
        <w:t>Tesda.gov.ph</w:t>
      </w:r>
      <w:r w:rsidRPr="0040402D">
        <w:rPr>
          <w:rFonts w:ascii="Arial" w:hAnsi="Arial" w:cs="Arial"/>
          <w:sz w:val="20"/>
          <w:szCs w:val="20"/>
        </w:rPr>
        <w:t>. Technical Education and Skills Development Authority (TESDA). Retrieved November 6, 2025, from https://tesda.gov.ph/Uploads/File/LMIR/2022/LMIR%20No.%201_Women%20(Final).pdf</w:t>
      </w:r>
    </w:p>
    <w:p w14:paraId="405DC58D" w14:textId="5792557B"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Technical Education and Skills Development Authority (TESDA) Women Center. (2021). </w:t>
      </w:r>
      <w:r w:rsidRPr="00ED16DC">
        <w:rPr>
          <w:rFonts w:ascii="Arial" w:hAnsi="Arial" w:cs="Arial"/>
          <w:i/>
          <w:iCs/>
          <w:sz w:val="20"/>
          <w:szCs w:val="20"/>
        </w:rPr>
        <w:t>Gender and Development Framework in TVET</w:t>
      </w:r>
      <w:r w:rsidRPr="00ED16DC">
        <w:rPr>
          <w:rFonts w:ascii="Arial" w:hAnsi="Arial" w:cs="Arial"/>
          <w:sz w:val="20"/>
          <w:szCs w:val="20"/>
        </w:rPr>
        <w:t xml:space="preserve"> [Press release]. Retrieved August 6, 2025, from </w:t>
      </w:r>
      <w:r w:rsidRPr="00ED16DC">
        <w:rPr>
          <w:rStyle w:val="url"/>
          <w:rFonts w:ascii="Arial" w:hAnsi="Arial" w:cs="Arial"/>
          <w:sz w:val="20"/>
          <w:szCs w:val="20"/>
        </w:rPr>
        <w:t>https://twc.tesda.gov.ph/gad</w:t>
      </w:r>
    </w:p>
    <w:p w14:paraId="68709341"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The UNESCO-UNEVOC International Centre. (2021). </w:t>
      </w:r>
      <w:r w:rsidRPr="00ED16DC">
        <w:rPr>
          <w:rFonts w:ascii="Arial" w:hAnsi="Arial" w:cs="Arial"/>
          <w:i/>
          <w:iCs/>
          <w:sz w:val="20"/>
          <w:szCs w:val="20"/>
        </w:rPr>
        <w:t>Promoting Gender Equality in STEM-related TVET</w:t>
      </w:r>
      <w:r w:rsidRPr="00ED16DC">
        <w:rPr>
          <w:rFonts w:ascii="Arial" w:hAnsi="Arial" w:cs="Arial"/>
          <w:sz w:val="20"/>
          <w:szCs w:val="20"/>
        </w:rPr>
        <w:t xml:space="preserve"> [Press release]. UNESCO-UNEVOC. Retrieved August 11, 2025, from </w:t>
      </w:r>
      <w:r w:rsidRPr="00ED16DC">
        <w:rPr>
          <w:rStyle w:val="url"/>
          <w:rFonts w:ascii="Arial" w:hAnsi="Arial" w:cs="Arial"/>
          <w:sz w:val="20"/>
          <w:szCs w:val="20"/>
        </w:rPr>
        <w:t>https://unevoc.unesco.org/home/Gender_STEM_Workshop</w:t>
      </w:r>
    </w:p>
    <w:p w14:paraId="370D7A20" w14:textId="77777777"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Wang, H., Liu, J., Li, C., Fang, A., &amp; Wang, G. (2024). Research on the effect mechanism of Career-Specific Parental Support Promoting Meaning in Life of Chinese higher Vocational College students. </w:t>
      </w:r>
      <w:r w:rsidRPr="0040402D">
        <w:rPr>
          <w:rFonts w:ascii="Arial" w:hAnsi="Arial" w:cs="Arial"/>
          <w:i/>
          <w:iCs/>
          <w:sz w:val="20"/>
          <w:szCs w:val="20"/>
        </w:rPr>
        <w:t>Behavioral Sciences</w:t>
      </w:r>
      <w:r w:rsidRPr="0040402D">
        <w:rPr>
          <w:rFonts w:ascii="Arial" w:hAnsi="Arial" w:cs="Arial"/>
          <w:sz w:val="20"/>
          <w:szCs w:val="20"/>
        </w:rPr>
        <w:t xml:space="preserve">, </w:t>
      </w:r>
      <w:r w:rsidRPr="0040402D">
        <w:rPr>
          <w:rFonts w:ascii="Arial" w:hAnsi="Arial" w:cs="Arial"/>
          <w:i/>
          <w:iCs/>
          <w:sz w:val="20"/>
          <w:szCs w:val="20"/>
        </w:rPr>
        <w:t>14</w:t>
      </w:r>
      <w:r w:rsidRPr="0040402D">
        <w:rPr>
          <w:rFonts w:ascii="Arial" w:hAnsi="Arial" w:cs="Arial"/>
          <w:sz w:val="20"/>
          <w:szCs w:val="20"/>
        </w:rPr>
        <w:t>(12), 1172. https://doi.org/10.3390/bs14121172</w:t>
      </w:r>
    </w:p>
    <w:p w14:paraId="7508E729" w14:textId="6B038497" w:rsid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Wang, X., Dai, M., &amp; Short, K. M. (2024). One size doesn’t fit all: how different types of learning motivations influence engineering undergraduate students’ success outcomes. </w:t>
      </w:r>
      <w:r w:rsidRPr="0040402D">
        <w:rPr>
          <w:rFonts w:ascii="Arial" w:hAnsi="Arial" w:cs="Arial"/>
          <w:i/>
          <w:iCs/>
          <w:sz w:val="20"/>
          <w:szCs w:val="20"/>
        </w:rPr>
        <w:t>International Journal of STEM Education</w:t>
      </w:r>
      <w:r w:rsidRPr="0040402D">
        <w:rPr>
          <w:rFonts w:ascii="Arial" w:hAnsi="Arial" w:cs="Arial"/>
          <w:sz w:val="20"/>
          <w:szCs w:val="20"/>
        </w:rPr>
        <w:t xml:space="preserve">, </w:t>
      </w:r>
      <w:r w:rsidRPr="0040402D">
        <w:rPr>
          <w:rFonts w:ascii="Arial" w:hAnsi="Arial" w:cs="Arial"/>
          <w:i/>
          <w:iCs/>
          <w:sz w:val="20"/>
          <w:szCs w:val="20"/>
        </w:rPr>
        <w:t>11</w:t>
      </w:r>
      <w:r w:rsidRPr="0040402D">
        <w:rPr>
          <w:rFonts w:ascii="Arial" w:hAnsi="Arial" w:cs="Arial"/>
          <w:sz w:val="20"/>
          <w:szCs w:val="20"/>
        </w:rPr>
        <w:t>(1). https://doi.org/10.1186/s40594-024-00502-6</w:t>
      </w:r>
    </w:p>
    <w:p w14:paraId="5823748B" w14:textId="5519A2CA"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Yan, Z., Omar, M., Kamaruzaman, F. M., &amp; Rasul, M. S. (2025). The Influence of extrinsic learning motivation on vocational Students’ learning motivation: A study of regulation types. </w:t>
      </w:r>
      <w:r w:rsidRPr="0040402D">
        <w:rPr>
          <w:rFonts w:ascii="Arial" w:hAnsi="Arial" w:cs="Arial"/>
          <w:i/>
          <w:iCs/>
          <w:sz w:val="20"/>
          <w:szCs w:val="20"/>
        </w:rPr>
        <w:t>International Journal of Learning Teaching and Educational Research</w:t>
      </w:r>
      <w:r w:rsidRPr="0040402D">
        <w:rPr>
          <w:rFonts w:ascii="Arial" w:hAnsi="Arial" w:cs="Arial"/>
          <w:sz w:val="20"/>
          <w:szCs w:val="20"/>
        </w:rPr>
        <w:t xml:space="preserve">, </w:t>
      </w:r>
      <w:r w:rsidRPr="0040402D">
        <w:rPr>
          <w:rFonts w:ascii="Arial" w:hAnsi="Arial" w:cs="Arial"/>
          <w:i/>
          <w:iCs/>
          <w:sz w:val="20"/>
          <w:szCs w:val="20"/>
        </w:rPr>
        <w:t>24</w:t>
      </w:r>
      <w:r w:rsidRPr="0040402D">
        <w:rPr>
          <w:rFonts w:ascii="Arial" w:hAnsi="Arial" w:cs="Arial"/>
          <w:sz w:val="20"/>
          <w:szCs w:val="20"/>
        </w:rPr>
        <w:t>(5), 556–578. https://doi.org/10.26803/ijlter.24.5.29</w:t>
      </w:r>
    </w:p>
    <w:p w14:paraId="2093AE0E" w14:textId="77777777" w:rsidR="0040402D" w:rsidRDefault="00ED16DC" w:rsidP="0040402D">
      <w:pPr>
        <w:pStyle w:val="NormalWeb"/>
        <w:spacing w:before="0" w:beforeAutospacing="0" w:after="240" w:afterAutospacing="0"/>
        <w:ind w:left="360" w:hanging="360"/>
        <w:jc w:val="both"/>
        <w:rPr>
          <w:rStyle w:val="url"/>
          <w:rFonts w:ascii="Arial" w:hAnsi="Arial" w:cs="Arial"/>
          <w:sz w:val="20"/>
          <w:szCs w:val="20"/>
        </w:rPr>
      </w:pPr>
      <w:r w:rsidRPr="00ED16DC">
        <w:rPr>
          <w:rFonts w:ascii="Arial" w:hAnsi="Arial" w:cs="Arial"/>
          <w:sz w:val="20"/>
          <w:szCs w:val="20"/>
        </w:rPr>
        <w:t xml:space="preserve">Yin, R. K. (2018). </w:t>
      </w:r>
      <w:r w:rsidRPr="00ED16DC">
        <w:rPr>
          <w:rFonts w:ascii="Arial" w:hAnsi="Arial" w:cs="Arial"/>
          <w:i/>
          <w:iCs/>
          <w:sz w:val="20"/>
          <w:szCs w:val="20"/>
        </w:rPr>
        <w:t>Case study research and applications: design and methods</w:t>
      </w:r>
      <w:r w:rsidRPr="00ED16DC">
        <w:rPr>
          <w:rFonts w:ascii="Arial" w:hAnsi="Arial" w:cs="Arial"/>
          <w:sz w:val="20"/>
          <w:szCs w:val="20"/>
        </w:rPr>
        <w:t xml:space="preserve">. </w:t>
      </w:r>
      <w:r w:rsidRPr="00ED16DC">
        <w:rPr>
          <w:rStyle w:val="url"/>
          <w:rFonts w:ascii="Arial" w:hAnsi="Arial" w:cs="Arial"/>
          <w:sz w:val="20"/>
          <w:szCs w:val="20"/>
        </w:rPr>
        <w:t>http://bvbr.bib-bvb.de:8991/F?func=service&amp;doc_library=BVB01&amp;local_base=BVB01&amp;doc_number=029878778&amp;sequence=000001&amp;line_number=0001&amp;func_code=DB_RECORDS&amp;service_type=MEDIA</w:t>
      </w:r>
    </w:p>
    <w:p w14:paraId="28EC790F" w14:textId="5E8B499B" w:rsidR="0040402D" w:rsidRPr="0040402D" w:rsidRDefault="0040402D" w:rsidP="0040402D">
      <w:pPr>
        <w:pStyle w:val="NormalWeb"/>
        <w:spacing w:before="0" w:beforeAutospacing="0" w:after="240" w:afterAutospacing="0"/>
        <w:ind w:left="360" w:hanging="360"/>
        <w:jc w:val="both"/>
        <w:rPr>
          <w:rFonts w:ascii="Arial" w:hAnsi="Arial" w:cs="Arial"/>
          <w:sz w:val="16"/>
          <w:szCs w:val="16"/>
        </w:rPr>
      </w:pPr>
      <w:r w:rsidRPr="0040402D">
        <w:rPr>
          <w:rFonts w:ascii="Arial" w:hAnsi="Arial" w:cs="Arial"/>
          <w:sz w:val="20"/>
          <w:szCs w:val="20"/>
        </w:rPr>
        <w:t xml:space="preserve">Zhou, J., Chen, S., &amp; Gong, Y. (2025). Exploring gender differences in vocational education and training through the lens of neuroscience. </w:t>
      </w:r>
      <w:r w:rsidRPr="0040402D">
        <w:rPr>
          <w:rFonts w:ascii="Arial" w:hAnsi="Arial" w:cs="Arial"/>
          <w:i/>
          <w:iCs/>
          <w:sz w:val="20"/>
          <w:szCs w:val="20"/>
        </w:rPr>
        <w:t xml:space="preserve">Acta </w:t>
      </w:r>
      <w:proofErr w:type="spellStart"/>
      <w:r w:rsidRPr="0040402D">
        <w:rPr>
          <w:rFonts w:ascii="Arial" w:hAnsi="Arial" w:cs="Arial"/>
          <w:i/>
          <w:iCs/>
          <w:sz w:val="20"/>
          <w:szCs w:val="20"/>
        </w:rPr>
        <w:t>Psychologica</w:t>
      </w:r>
      <w:proofErr w:type="spellEnd"/>
      <w:r w:rsidRPr="0040402D">
        <w:rPr>
          <w:rFonts w:ascii="Arial" w:hAnsi="Arial" w:cs="Arial"/>
          <w:sz w:val="20"/>
          <w:szCs w:val="20"/>
        </w:rPr>
        <w:t xml:space="preserve">, </w:t>
      </w:r>
      <w:r w:rsidRPr="0040402D">
        <w:rPr>
          <w:rFonts w:ascii="Arial" w:hAnsi="Arial" w:cs="Arial"/>
          <w:i/>
          <w:iCs/>
          <w:sz w:val="20"/>
          <w:szCs w:val="20"/>
        </w:rPr>
        <w:t>254</w:t>
      </w:r>
      <w:r w:rsidRPr="0040402D">
        <w:rPr>
          <w:rFonts w:ascii="Arial" w:hAnsi="Arial" w:cs="Arial"/>
          <w:sz w:val="20"/>
          <w:szCs w:val="20"/>
        </w:rPr>
        <w:t>, 104743. https://doi.org/10.1016/j.actpsy.2025.104743</w:t>
      </w:r>
    </w:p>
    <w:p w14:paraId="5D5DDF21" w14:textId="53870D9A" w:rsidR="0040402D" w:rsidRPr="0040402D" w:rsidRDefault="0040402D" w:rsidP="0040402D">
      <w:pPr>
        <w:pStyle w:val="NormalWeb"/>
        <w:spacing w:before="0" w:beforeAutospacing="0" w:after="240" w:afterAutospacing="0"/>
        <w:jc w:val="both"/>
        <w:rPr>
          <w:rFonts w:ascii="Arial" w:hAnsi="Arial" w:cs="Arial"/>
          <w:sz w:val="20"/>
          <w:szCs w:val="20"/>
        </w:rPr>
        <w:sectPr w:rsidR="0040402D" w:rsidRPr="0040402D" w:rsidSect="00DD5B3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DD5B3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3DDFA" w14:textId="77777777" w:rsidR="00276BA0" w:rsidRDefault="00276BA0" w:rsidP="00C37E61">
      <w:r>
        <w:separator/>
      </w:r>
    </w:p>
  </w:endnote>
  <w:endnote w:type="continuationSeparator" w:id="0">
    <w:p w14:paraId="51A6D726" w14:textId="77777777" w:rsidR="00276BA0" w:rsidRDefault="00276B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8186" w14:textId="77777777" w:rsidR="00DD5B3D" w:rsidRDefault="00DD5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06BF" w14:textId="77777777" w:rsidR="00DD5B3D" w:rsidRDefault="00DD5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AD1B" w14:textId="34EB1445" w:rsidR="00754C9A" w:rsidRPr="00556281" w:rsidRDefault="00754C9A" w:rsidP="005562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43B52" w14:textId="77777777" w:rsidR="00276BA0" w:rsidRDefault="00276BA0" w:rsidP="00C37E61">
      <w:r>
        <w:separator/>
      </w:r>
    </w:p>
  </w:footnote>
  <w:footnote w:type="continuationSeparator" w:id="0">
    <w:p w14:paraId="1F2B2695" w14:textId="77777777" w:rsidR="00276BA0" w:rsidRDefault="00276B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CCB5" w14:textId="59FEB27A" w:rsidR="00DD5B3D" w:rsidRDefault="00000000">
    <w:pPr>
      <w:pStyle w:val="Header"/>
    </w:pPr>
    <w:r>
      <w:rPr>
        <w:noProof/>
      </w:rPr>
      <w:pict w14:anchorId="3A6F4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29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2957" w14:textId="081AB28A" w:rsidR="00DD5B3D" w:rsidRDefault="00000000">
    <w:pPr>
      <w:pStyle w:val="Header"/>
    </w:pPr>
    <w:r>
      <w:rPr>
        <w:noProof/>
      </w:rPr>
      <w:pict w14:anchorId="34B7B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29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EFA1" w14:textId="5F329776" w:rsidR="00296529" w:rsidRPr="00296529" w:rsidRDefault="00000000" w:rsidP="00296529">
    <w:pPr>
      <w:ind w:left="2160"/>
      <w:jc w:val="center"/>
      <w:rPr>
        <w:rFonts w:ascii="Times New Roman" w:eastAsia="Calibri" w:hAnsi="Times New Roman"/>
        <w:i/>
        <w:sz w:val="18"/>
        <w:szCs w:val="22"/>
      </w:rPr>
    </w:pPr>
    <w:r>
      <w:rPr>
        <w:noProof/>
      </w:rPr>
      <w:pict w14:anchorId="62046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29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E31E" w14:textId="6625B424" w:rsidR="00DD5B3D" w:rsidRDefault="00000000">
    <w:pPr>
      <w:pStyle w:val="Header"/>
    </w:pPr>
    <w:r>
      <w:rPr>
        <w:noProof/>
      </w:rPr>
      <w:pict w14:anchorId="12ABD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300"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5E62" w14:textId="79A184A8" w:rsidR="00DD5B3D" w:rsidRDefault="00000000">
    <w:pPr>
      <w:pStyle w:val="Header"/>
    </w:pPr>
    <w:r>
      <w:rPr>
        <w:noProof/>
      </w:rPr>
      <w:pict w14:anchorId="51565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301"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D738" w14:textId="2151472C" w:rsidR="00DD5B3D" w:rsidRDefault="00000000">
    <w:pPr>
      <w:pStyle w:val="Header"/>
    </w:pPr>
    <w:r>
      <w:rPr>
        <w:noProof/>
      </w:rPr>
      <w:pict w14:anchorId="7C494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299"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54254D0"/>
    <w:multiLevelType w:val="hybridMultilevel"/>
    <w:tmpl w:val="E0F2408C"/>
    <w:lvl w:ilvl="0" w:tplc="ED7AFD54">
      <w:start w:val="1"/>
      <w:numFmt w:val="decimal"/>
      <w:lvlText w:val="%1. "/>
      <w:lvlJc w:val="left"/>
      <w:pPr>
        <w:ind w:left="720" w:hanging="360"/>
      </w:pPr>
      <w:rPr>
        <w:rFonts w:ascii="Helvetica" w:hAnsi="Helvetica" w:hint="default"/>
        <w:b w:val="0"/>
        <w:i w:val="0"/>
        <w:sz w:val="20"/>
        <w:u w:val="non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632571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69944252">
    <w:abstractNumId w:val="15"/>
  </w:num>
  <w:num w:numId="3" w16cid:durableId="630549820">
    <w:abstractNumId w:val="24"/>
  </w:num>
  <w:num w:numId="4" w16cid:durableId="7748697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33468950">
    <w:abstractNumId w:val="7"/>
  </w:num>
  <w:num w:numId="6" w16cid:durableId="1186678966">
    <w:abstractNumId w:val="6"/>
  </w:num>
  <w:num w:numId="7" w16cid:durableId="416635826">
    <w:abstractNumId w:val="1"/>
  </w:num>
  <w:num w:numId="8" w16cid:durableId="1130980249">
    <w:abstractNumId w:val="12"/>
  </w:num>
  <w:num w:numId="9" w16cid:durableId="1047492614">
    <w:abstractNumId w:val="26"/>
  </w:num>
  <w:num w:numId="10" w16cid:durableId="929313091">
    <w:abstractNumId w:val="2"/>
  </w:num>
  <w:num w:numId="11" w16cid:durableId="1589994961">
    <w:abstractNumId w:val="19"/>
  </w:num>
  <w:num w:numId="12" w16cid:durableId="638144303">
    <w:abstractNumId w:val="3"/>
  </w:num>
  <w:num w:numId="13" w16cid:durableId="2556303">
    <w:abstractNumId w:val="17"/>
  </w:num>
  <w:num w:numId="14" w16cid:durableId="860314082">
    <w:abstractNumId w:val="8"/>
  </w:num>
  <w:num w:numId="15" w16cid:durableId="730428040">
    <w:abstractNumId w:val="22"/>
  </w:num>
  <w:num w:numId="16" w16cid:durableId="1409771533">
    <w:abstractNumId w:val="5"/>
  </w:num>
  <w:num w:numId="17" w16cid:durableId="617562636">
    <w:abstractNumId w:val="23"/>
  </w:num>
  <w:num w:numId="18" w16cid:durableId="277490540">
    <w:abstractNumId w:val="14"/>
  </w:num>
  <w:num w:numId="19" w16cid:durableId="1372682489">
    <w:abstractNumId w:val="29"/>
  </w:num>
  <w:num w:numId="20" w16cid:durableId="1091850808">
    <w:abstractNumId w:val="11"/>
  </w:num>
  <w:num w:numId="21" w16cid:durableId="904295897">
    <w:abstractNumId w:val="9"/>
  </w:num>
  <w:num w:numId="22" w16cid:durableId="524752016">
    <w:abstractNumId w:val="13"/>
  </w:num>
  <w:num w:numId="23" w16cid:durableId="1132096153">
    <w:abstractNumId w:val="20"/>
  </w:num>
  <w:num w:numId="24" w16cid:durableId="1380282380">
    <w:abstractNumId w:val="27"/>
  </w:num>
  <w:num w:numId="25" w16cid:durableId="1225488930">
    <w:abstractNumId w:val="4"/>
  </w:num>
  <w:num w:numId="26" w16cid:durableId="2138864439">
    <w:abstractNumId w:val="16"/>
  </w:num>
  <w:num w:numId="27" w16cid:durableId="1736780095">
    <w:abstractNumId w:val="21"/>
  </w:num>
  <w:num w:numId="28" w16cid:durableId="1063018573">
    <w:abstractNumId w:val="28"/>
  </w:num>
  <w:num w:numId="29" w16cid:durableId="1616055427">
    <w:abstractNumId w:val="25"/>
  </w:num>
  <w:num w:numId="30" w16cid:durableId="948509140">
    <w:abstractNumId w:val="10"/>
  </w:num>
  <w:num w:numId="31" w16cid:durableId="20151071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46F"/>
    <w:rsid w:val="00030174"/>
    <w:rsid w:val="000451C3"/>
    <w:rsid w:val="0004579C"/>
    <w:rsid w:val="000A47FA"/>
    <w:rsid w:val="000A65D3"/>
    <w:rsid w:val="000B1E33"/>
    <w:rsid w:val="000D6621"/>
    <w:rsid w:val="000D689F"/>
    <w:rsid w:val="000E7B7B"/>
    <w:rsid w:val="000E7D62"/>
    <w:rsid w:val="00100AFF"/>
    <w:rsid w:val="00103357"/>
    <w:rsid w:val="001122F3"/>
    <w:rsid w:val="00112DAD"/>
    <w:rsid w:val="00123C9F"/>
    <w:rsid w:val="00126190"/>
    <w:rsid w:val="00126638"/>
    <w:rsid w:val="00130F17"/>
    <w:rsid w:val="001320BF"/>
    <w:rsid w:val="00163BC4"/>
    <w:rsid w:val="0018093A"/>
    <w:rsid w:val="00191062"/>
    <w:rsid w:val="00192B72"/>
    <w:rsid w:val="0019749F"/>
    <w:rsid w:val="001A29D8"/>
    <w:rsid w:val="001A5CAA"/>
    <w:rsid w:val="001B0427"/>
    <w:rsid w:val="001D3A51"/>
    <w:rsid w:val="001E10D2"/>
    <w:rsid w:val="001E24A6"/>
    <w:rsid w:val="001E25B4"/>
    <w:rsid w:val="001E44FE"/>
    <w:rsid w:val="00200595"/>
    <w:rsid w:val="00204835"/>
    <w:rsid w:val="00231920"/>
    <w:rsid w:val="0023195C"/>
    <w:rsid w:val="00240AF8"/>
    <w:rsid w:val="0024282C"/>
    <w:rsid w:val="002460DC"/>
    <w:rsid w:val="00250985"/>
    <w:rsid w:val="002556F6"/>
    <w:rsid w:val="00261F98"/>
    <w:rsid w:val="00276BA0"/>
    <w:rsid w:val="00277704"/>
    <w:rsid w:val="00283105"/>
    <w:rsid w:val="00284C4C"/>
    <w:rsid w:val="00287E68"/>
    <w:rsid w:val="00296529"/>
    <w:rsid w:val="002B27FB"/>
    <w:rsid w:val="002B685A"/>
    <w:rsid w:val="002C57D2"/>
    <w:rsid w:val="002E0D56"/>
    <w:rsid w:val="002E5DFB"/>
    <w:rsid w:val="00315186"/>
    <w:rsid w:val="0033343E"/>
    <w:rsid w:val="003512C2"/>
    <w:rsid w:val="00371FB6"/>
    <w:rsid w:val="003763C1"/>
    <w:rsid w:val="00376BBE"/>
    <w:rsid w:val="0039224F"/>
    <w:rsid w:val="003A28E9"/>
    <w:rsid w:val="003A43A4"/>
    <w:rsid w:val="003A7E18"/>
    <w:rsid w:val="003C4C86"/>
    <w:rsid w:val="003C6258"/>
    <w:rsid w:val="003D2935"/>
    <w:rsid w:val="003E2904"/>
    <w:rsid w:val="00401927"/>
    <w:rsid w:val="0040402D"/>
    <w:rsid w:val="0041027F"/>
    <w:rsid w:val="00412475"/>
    <w:rsid w:val="00423789"/>
    <w:rsid w:val="00440F43"/>
    <w:rsid w:val="00441B6F"/>
    <w:rsid w:val="00446221"/>
    <w:rsid w:val="00450E62"/>
    <w:rsid w:val="004539DB"/>
    <w:rsid w:val="004703BF"/>
    <w:rsid w:val="00471A80"/>
    <w:rsid w:val="004D305E"/>
    <w:rsid w:val="004D4277"/>
    <w:rsid w:val="004F768B"/>
    <w:rsid w:val="00502516"/>
    <w:rsid w:val="0050330B"/>
    <w:rsid w:val="00505F06"/>
    <w:rsid w:val="00506828"/>
    <w:rsid w:val="0053056E"/>
    <w:rsid w:val="00554FDA"/>
    <w:rsid w:val="00556281"/>
    <w:rsid w:val="005833C7"/>
    <w:rsid w:val="005B6A65"/>
    <w:rsid w:val="005C784C"/>
    <w:rsid w:val="005D17F6"/>
    <w:rsid w:val="005E5539"/>
    <w:rsid w:val="00602BF5"/>
    <w:rsid w:val="00617FDD"/>
    <w:rsid w:val="00633614"/>
    <w:rsid w:val="00633F68"/>
    <w:rsid w:val="00636EB2"/>
    <w:rsid w:val="006375B8"/>
    <w:rsid w:val="0066510A"/>
    <w:rsid w:val="00673F9F"/>
    <w:rsid w:val="0068138C"/>
    <w:rsid w:val="00686953"/>
    <w:rsid w:val="00687DEA"/>
    <w:rsid w:val="00687E67"/>
    <w:rsid w:val="006967F7"/>
    <w:rsid w:val="006A250C"/>
    <w:rsid w:val="006A4428"/>
    <w:rsid w:val="006B21D3"/>
    <w:rsid w:val="006B57D0"/>
    <w:rsid w:val="006D30FF"/>
    <w:rsid w:val="006D45C4"/>
    <w:rsid w:val="006D6940"/>
    <w:rsid w:val="006F11EC"/>
    <w:rsid w:val="006F36F2"/>
    <w:rsid w:val="0070082C"/>
    <w:rsid w:val="0071049F"/>
    <w:rsid w:val="007167E4"/>
    <w:rsid w:val="007365FC"/>
    <w:rsid w:val="007369E6"/>
    <w:rsid w:val="00746E59"/>
    <w:rsid w:val="00754C9A"/>
    <w:rsid w:val="0075599A"/>
    <w:rsid w:val="00761D52"/>
    <w:rsid w:val="0076360E"/>
    <w:rsid w:val="0077749E"/>
    <w:rsid w:val="007863FF"/>
    <w:rsid w:val="00790ADA"/>
    <w:rsid w:val="007D2288"/>
    <w:rsid w:val="007E088F"/>
    <w:rsid w:val="007E5BFB"/>
    <w:rsid w:val="007F7B32"/>
    <w:rsid w:val="00804BC2"/>
    <w:rsid w:val="0081431A"/>
    <w:rsid w:val="00815366"/>
    <w:rsid w:val="0083216F"/>
    <w:rsid w:val="00860000"/>
    <w:rsid w:val="00863BD3"/>
    <w:rsid w:val="008641ED"/>
    <w:rsid w:val="00866D66"/>
    <w:rsid w:val="008671C6"/>
    <w:rsid w:val="00875803"/>
    <w:rsid w:val="008A28B9"/>
    <w:rsid w:val="008B459E"/>
    <w:rsid w:val="008D27E0"/>
    <w:rsid w:val="008D601B"/>
    <w:rsid w:val="008E13AE"/>
    <w:rsid w:val="008E1506"/>
    <w:rsid w:val="008E710C"/>
    <w:rsid w:val="008F69D6"/>
    <w:rsid w:val="00902823"/>
    <w:rsid w:val="009042D9"/>
    <w:rsid w:val="00915CA6"/>
    <w:rsid w:val="00927834"/>
    <w:rsid w:val="009500A6"/>
    <w:rsid w:val="00957C18"/>
    <w:rsid w:val="0096563B"/>
    <w:rsid w:val="009659BA"/>
    <w:rsid w:val="00983040"/>
    <w:rsid w:val="009B3FB9"/>
    <w:rsid w:val="009B6FE9"/>
    <w:rsid w:val="009C2465"/>
    <w:rsid w:val="009D35A0"/>
    <w:rsid w:val="009D7EB7"/>
    <w:rsid w:val="009E048A"/>
    <w:rsid w:val="009E08E9"/>
    <w:rsid w:val="009E3DB9"/>
    <w:rsid w:val="009E4039"/>
    <w:rsid w:val="009E6E35"/>
    <w:rsid w:val="009F0EDA"/>
    <w:rsid w:val="00A03B96"/>
    <w:rsid w:val="00A05B19"/>
    <w:rsid w:val="00A1134E"/>
    <w:rsid w:val="00A24E7E"/>
    <w:rsid w:val="00A258C3"/>
    <w:rsid w:val="00A347C0"/>
    <w:rsid w:val="00A51431"/>
    <w:rsid w:val="00A539AD"/>
    <w:rsid w:val="00A711A8"/>
    <w:rsid w:val="00A91742"/>
    <w:rsid w:val="00A94063"/>
    <w:rsid w:val="00A95D05"/>
    <w:rsid w:val="00AA6219"/>
    <w:rsid w:val="00AA74E0"/>
    <w:rsid w:val="00AB703F"/>
    <w:rsid w:val="00AC6BB8"/>
    <w:rsid w:val="00AD3AA9"/>
    <w:rsid w:val="00AE008F"/>
    <w:rsid w:val="00B01FCD"/>
    <w:rsid w:val="00B15BB2"/>
    <w:rsid w:val="00B1776C"/>
    <w:rsid w:val="00B24D6C"/>
    <w:rsid w:val="00B52583"/>
    <w:rsid w:val="00B52896"/>
    <w:rsid w:val="00B740E7"/>
    <w:rsid w:val="00B95236"/>
    <w:rsid w:val="00B96BD9"/>
    <w:rsid w:val="00BA1B01"/>
    <w:rsid w:val="00BA2641"/>
    <w:rsid w:val="00BB08AF"/>
    <w:rsid w:val="00BB37AA"/>
    <w:rsid w:val="00BC53A0"/>
    <w:rsid w:val="00BE62AD"/>
    <w:rsid w:val="00BF121F"/>
    <w:rsid w:val="00BF1F80"/>
    <w:rsid w:val="00C166EF"/>
    <w:rsid w:val="00C17EB0"/>
    <w:rsid w:val="00C27F5F"/>
    <w:rsid w:val="00C30A0F"/>
    <w:rsid w:val="00C37E61"/>
    <w:rsid w:val="00C556CC"/>
    <w:rsid w:val="00C70F1B"/>
    <w:rsid w:val="00C71A47"/>
    <w:rsid w:val="00C73BA9"/>
    <w:rsid w:val="00C7464C"/>
    <w:rsid w:val="00C85588"/>
    <w:rsid w:val="00CC1A17"/>
    <w:rsid w:val="00CD6755"/>
    <w:rsid w:val="00CD6856"/>
    <w:rsid w:val="00CE0089"/>
    <w:rsid w:val="00CE0461"/>
    <w:rsid w:val="00CE793C"/>
    <w:rsid w:val="00CF193C"/>
    <w:rsid w:val="00D173F1"/>
    <w:rsid w:val="00D33711"/>
    <w:rsid w:val="00D35ED7"/>
    <w:rsid w:val="00D74CB0"/>
    <w:rsid w:val="00D8295D"/>
    <w:rsid w:val="00DC2A65"/>
    <w:rsid w:val="00DC4FBE"/>
    <w:rsid w:val="00DD5B3D"/>
    <w:rsid w:val="00DE15F0"/>
    <w:rsid w:val="00DE5663"/>
    <w:rsid w:val="00DE78AA"/>
    <w:rsid w:val="00DE7E08"/>
    <w:rsid w:val="00E053D0"/>
    <w:rsid w:val="00E15994"/>
    <w:rsid w:val="00E3114E"/>
    <w:rsid w:val="00E31A70"/>
    <w:rsid w:val="00E35B02"/>
    <w:rsid w:val="00E433C6"/>
    <w:rsid w:val="00E53721"/>
    <w:rsid w:val="00E66496"/>
    <w:rsid w:val="00E66B35"/>
    <w:rsid w:val="00E66E10"/>
    <w:rsid w:val="00E769F6"/>
    <w:rsid w:val="00E8407C"/>
    <w:rsid w:val="00E84F3C"/>
    <w:rsid w:val="00EA012C"/>
    <w:rsid w:val="00EB342C"/>
    <w:rsid w:val="00EC6A55"/>
    <w:rsid w:val="00ED0288"/>
    <w:rsid w:val="00ED16DC"/>
    <w:rsid w:val="00EE52CB"/>
    <w:rsid w:val="00EF581D"/>
    <w:rsid w:val="00EF7FD8"/>
    <w:rsid w:val="00F06F59"/>
    <w:rsid w:val="00F17988"/>
    <w:rsid w:val="00F469F0"/>
    <w:rsid w:val="00F53273"/>
    <w:rsid w:val="00F755E4"/>
    <w:rsid w:val="00F77D02"/>
    <w:rsid w:val="00FB3A86"/>
    <w:rsid w:val="00FD36C8"/>
    <w:rsid w:val="00FF0551"/>
    <w:rsid w:val="00FF2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D16DC"/>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ED16DC"/>
  </w:style>
  <w:style w:type="character" w:styleId="Strong">
    <w:name w:val="Strong"/>
    <w:basedOn w:val="DefaultParagraphFont"/>
    <w:uiPriority w:val="22"/>
    <w:qFormat/>
    <w:rsid w:val="00180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28791-71F0-49D9-B5CD-D343117EE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263</TotalTime>
  <Pages>14</Pages>
  <Words>6670</Words>
  <Characters>38022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44603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Dan Jerome Malapira</cp:lastModifiedBy>
  <cp:revision>25</cp:revision>
  <cp:lastPrinted>1999-07-06T11:00:00Z</cp:lastPrinted>
  <dcterms:created xsi:type="dcterms:W3CDTF">2014-10-25T14:34:00Z</dcterms:created>
  <dcterms:modified xsi:type="dcterms:W3CDTF">2025-11-23T06:08:00Z</dcterms:modified>
</cp:coreProperties>
</file>