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3CCB" w14:textId="77777777" w:rsidR="00754C9A" w:rsidRDefault="00754C9A" w:rsidP="00441B6F">
      <w:pPr>
        <w:pStyle w:val="Title"/>
        <w:spacing w:after="0"/>
        <w:jc w:val="both"/>
        <w:rPr>
          <w:rFonts w:ascii="Arial" w:hAnsi="Arial" w:cs="Arial"/>
        </w:rPr>
      </w:pPr>
    </w:p>
    <w:p w14:paraId="36298AC4" w14:textId="77777777" w:rsidR="00485435" w:rsidRDefault="00485435" w:rsidP="00441B6F">
      <w:pPr>
        <w:pStyle w:val="Author"/>
        <w:spacing w:line="240" w:lineRule="auto"/>
        <w:rPr>
          <w:rFonts w:ascii="Arial" w:hAnsi="Arial" w:cs="Arial"/>
          <w:bCs/>
          <w:iCs/>
          <w:kern w:val="28"/>
          <w:sz w:val="36"/>
        </w:rPr>
      </w:pPr>
      <w:r w:rsidRPr="00485435">
        <w:rPr>
          <w:rFonts w:ascii="Arial" w:hAnsi="Arial" w:cs="Arial"/>
          <w:bCs/>
          <w:iCs/>
          <w:kern w:val="28"/>
          <w:sz w:val="36"/>
        </w:rPr>
        <w:t>Short Research Article</w:t>
      </w:r>
    </w:p>
    <w:p w14:paraId="1B4DCCFF" w14:textId="77777777" w:rsidR="004363D8" w:rsidRDefault="004363D8" w:rsidP="00441B6F">
      <w:pPr>
        <w:pStyle w:val="Author"/>
        <w:spacing w:line="240" w:lineRule="auto"/>
        <w:rPr>
          <w:rFonts w:ascii="Arial" w:hAnsi="Arial" w:cs="Arial"/>
          <w:bCs/>
          <w:iCs/>
          <w:kern w:val="28"/>
          <w:sz w:val="36"/>
        </w:rPr>
      </w:pPr>
    </w:p>
    <w:p w14:paraId="36DE0F57" w14:textId="2D51CCC6" w:rsidR="00163BC4" w:rsidRPr="00D941F4" w:rsidRDefault="00D941F4" w:rsidP="00441B6F">
      <w:pPr>
        <w:pStyle w:val="Author"/>
        <w:spacing w:line="240" w:lineRule="auto"/>
        <w:rPr>
          <w:rFonts w:ascii="Arial" w:hAnsi="Arial" w:cs="Arial"/>
          <w:bCs/>
          <w:iCs/>
          <w:kern w:val="28"/>
          <w:sz w:val="36"/>
        </w:rPr>
      </w:pPr>
      <w:r w:rsidRPr="00D941F4">
        <w:rPr>
          <w:rFonts w:ascii="Arial" w:hAnsi="Arial" w:cs="Arial"/>
          <w:bCs/>
          <w:iCs/>
          <w:kern w:val="28"/>
          <w:sz w:val="36"/>
        </w:rPr>
        <w:t xml:space="preserve">Technical </w:t>
      </w:r>
      <w:r>
        <w:rPr>
          <w:rFonts w:ascii="Arial" w:hAnsi="Arial" w:cs="Arial"/>
          <w:bCs/>
          <w:iCs/>
          <w:kern w:val="28"/>
          <w:sz w:val="36"/>
        </w:rPr>
        <w:t>a</w:t>
      </w:r>
      <w:r w:rsidRPr="00D941F4">
        <w:rPr>
          <w:rFonts w:ascii="Arial" w:hAnsi="Arial" w:cs="Arial"/>
          <w:bCs/>
          <w:iCs/>
          <w:kern w:val="28"/>
          <w:sz w:val="36"/>
        </w:rPr>
        <w:t xml:space="preserve">nd Soft Skills Preparedness </w:t>
      </w:r>
      <w:r>
        <w:rPr>
          <w:rFonts w:ascii="Arial" w:hAnsi="Arial" w:cs="Arial"/>
          <w:bCs/>
          <w:iCs/>
          <w:kern w:val="28"/>
          <w:sz w:val="36"/>
        </w:rPr>
        <w:t>o</w:t>
      </w:r>
      <w:r w:rsidRPr="00D941F4">
        <w:rPr>
          <w:rFonts w:ascii="Arial" w:hAnsi="Arial" w:cs="Arial"/>
          <w:bCs/>
          <w:iCs/>
          <w:kern w:val="28"/>
          <w:sz w:val="36"/>
        </w:rPr>
        <w:t xml:space="preserve">f Electrical Technology Students </w:t>
      </w:r>
      <w:r>
        <w:rPr>
          <w:rFonts w:ascii="Arial" w:hAnsi="Arial" w:cs="Arial"/>
          <w:bCs/>
          <w:iCs/>
          <w:kern w:val="28"/>
          <w:sz w:val="36"/>
        </w:rPr>
        <w:t>f</w:t>
      </w:r>
      <w:r w:rsidRPr="00D941F4">
        <w:rPr>
          <w:rFonts w:ascii="Arial" w:hAnsi="Arial" w:cs="Arial"/>
          <w:bCs/>
          <w:iCs/>
          <w:kern w:val="28"/>
          <w:sz w:val="36"/>
        </w:rPr>
        <w:t>or Industry Immersion</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000000" w:rsidP="00441B6F">
      <w:pPr>
        <w:pStyle w:val="Copyright"/>
        <w:spacing w:after="0" w:line="240" w:lineRule="auto"/>
        <w:jc w:val="both"/>
        <w:rPr>
          <w:rFonts w:ascii="Arial" w:hAnsi="Arial" w:cs="Arial"/>
        </w:rPr>
        <w:sectPr w:rsidR="00B01FCD" w:rsidRPr="00FB3A86" w:rsidSect="00A652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19CC221" w14:textId="649E5F65"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198B9BA8" w:rsidR="00505F06" w:rsidRPr="00BA1B01" w:rsidRDefault="00303CBD" w:rsidP="006140AF">
            <w:pPr>
              <w:pStyle w:val="Body"/>
              <w:spacing w:after="0"/>
              <w:rPr>
                <w:rFonts w:ascii="Arial" w:eastAsia="Calibri" w:hAnsi="Arial" w:cs="Arial"/>
                <w:szCs w:val="22"/>
              </w:rPr>
            </w:pPr>
            <w:r w:rsidRPr="00303CBD">
              <w:rPr>
                <w:rFonts w:ascii="Arial" w:eastAsia="Calibri" w:hAnsi="Arial" w:cs="Arial"/>
                <w:szCs w:val="22"/>
              </w:rPr>
              <w:t xml:space="preserve">This study aimed to examine the technical and soft skills preparedness of Bachelor of Science in Industrial Technology students majoring in Electrical Technology for their upcoming industry immersion. Using a descriptive research design, the study purposively sampled 43 second-year students from a university in Northern Philippines offering technical courses. Data </w:t>
            </w:r>
            <w:r w:rsidRPr="00303CBD">
              <w:rPr>
                <w:rFonts w:ascii="Arial" w:eastAsia="Calibri" w:hAnsi="Arial" w:cs="Arial"/>
                <w:szCs w:val="22"/>
              </w:rPr>
              <w:t>was</w:t>
            </w:r>
            <w:r w:rsidRPr="00303CBD">
              <w:rPr>
                <w:rFonts w:ascii="Arial" w:eastAsia="Calibri" w:hAnsi="Arial" w:cs="Arial"/>
                <w:szCs w:val="22"/>
              </w:rPr>
              <w:t xml:space="preserve"> collected through a validated survey questionnaire assessing students’ competencies in technical domains—tools and equipment handling, electrical installation, technical knowledge, safety compliance, troubleshooting—and soft skills including communication, teamwork, time management, problem-solving, and professionalism, rated on a 4-point Likert scale. Results revealed that students exhibited a very high level of preparedness overall, with the highest mean scores in electrical installation (3.70) and tools handling (3.68) among technical skills, and professionalism (3.66) and teamwork (3.61) among soft skills, while lower preparedness was noted in troubleshooting (3.19) and communication (3.12). Findings suggest that the program’s outcomes-based and experiential learning strategies effectively integrate theoretical knowledge with hands-on practice, fostering industry-ready graduates. Nevertheless, targeted improvements in technical documentation, complex troubleshooting, communication, and problem-solving skills are recommended to enhance adaptability and workplace effectiveness. The results have practical implications for curriculum reform, highlighting the need for scenario-based exercises, documentation-intensive activities, and advanced troubleshooting modules, as well as strengthened industry partnerships for mentorship and authentic project experiences. By addressing these gaps, technical education programs can better equip students with both the technical and interpersonal competencies essential for professional success, promoting employability, confidence, and adaptability in dynamic industrial environments.</w:t>
            </w:r>
          </w:p>
        </w:tc>
      </w:tr>
    </w:tbl>
    <w:p w14:paraId="6559E3BE" w14:textId="77777777" w:rsidR="00636EB2" w:rsidRDefault="00636EB2" w:rsidP="00441B6F">
      <w:pPr>
        <w:pStyle w:val="Body"/>
        <w:spacing w:after="0"/>
        <w:rPr>
          <w:rFonts w:ascii="Arial" w:hAnsi="Arial" w:cs="Arial"/>
          <w:i/>
        </w:rPr>
      </w:pPr>
    </w:p>
    <w:p w14:paraId="1D1F3FCC" w14:textId="3B497C2E" w:rsidR="0024282C" w:rsidRDefault="00A24E7E" w:rsidP="00441B6F">
      <w:pPr>
        <w:pStyle w:val="Body"/>
        <w:spacing w:after="0"/>
        <w:rPr>
          <w:rFonts w:ascii="Arial" w:hAnsi="Arial" w:cs="Arial"/>
          <w:i/>
          <w:sz w:val="18"/>
        </w:rPr>
      </w:pPr>
      <w:r>
        <w:rPr>
          <w:rFonts w:ascii="Arial" w:hAnsi="Arial" w:cs="Arial"/>
          <w:i/>
        </w:rPr>
        <w:t xml:space="preserve">Keywords: </w:t>
      </w:r>
      <w:r w:rsidR="006140AF" w:rsidRPr="006140AF">
        <w:rPr>
          <w:rFonts w:ascii="Arial" w:hAnsi="Arial" w:cs="Arial"/>
          <w:i/>
        </w:rPr>
        <w:t>Electrical technology, Industrial technology, Industry immersion, Soft skills, Technical skills</w:t>
      </w:r>
    </w:p>
    <w:p w14:paraId="52DF2596" w14:textId="77777777" w:rsidR="00505F06" w:rsidRPr="00A24E7E" w:rsidRDefault="00505F06" w:rsidP="00441B6F">
      <w:pPr>
        <w:pStyle w:val="Body"/>
        <w:spacing w:after="0"/>
        <w:rPr>
          <w:rFonts w:ascii="Arial" w:hAnsi="Arial" w:cs="Arial"/>
          <w:i/>
        </w:rPr>
      </w:pPr>
    </w:p>
    <w:p w14:paraId="55B1D956" w14:textId="10DE88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6385D0F4" w14:textId="77777777" w:rsidR="00D941F4" w:rsidRPr="00D941F4" w:rsidRDefault="00D941F4" w:rsidP="00D941F4">
      <w:pPr>
        <w:pStyle w:val="Body"/>
        <w:rPr>
          <w:rFonts w:ascii="Arial" w:hAnsi="Arial" w:cs="Arial"/>
        </w:rPr>
      </w:pPr>
      <w:r w:rsidRPr="00D941F4">
        <w:rPr>
          <w:rFonts w:ascii="Arial" w:hAnsi="Arial" w:cs="Arial"/>
        </w:rPr>
        <w:t>In today’s competitive job market, the success of graduates in technical and vocational fields depends not only on their mastery of specialized knowledge but on their ability to demonstrate essential soft skills such as communication, teamwork, adaptability, and problem-solving. The integration of technical and interpersonal competencies is vital for workplace effectiveness, particularly in fields like Electrical Technology, where both practical and collaborative skills are required for safety, efficiency, and productivity (Mariano &amp; Tantoco, 2023).</w:t>
      </w:r>
    </w:p>
    <w:p w14:paraId="1FAE177B" w14:textId="76DAFCC4" w:rsidR="00D941F4" w:rsidRPr="00D941F4" w:rsidRDefault="00D941F4" w:rsidP="00D941F4">
      <w:pPr>
        <w:pStyle w:val="Body"/>
        <w:rPr>
          <w:rFonts w:ascii="Arial" w:hAnsi="Arial" w:cs="Arial"/>
        </w:rPr>
      </w:pPr>
      <w:r w:rsidRPr="00D941F4">
        <w:rPr>
          <w:rFonts w:ascii="Arial" w:hAnsi="Arial" w:cs="Arial"/>
        </w:rPr>
        <w:lastRenderedPageBreak/>
        <w:t>Electrical Technology programs are designed to provide students with competencies in electrical system installation, maintenance, and troubleshooting. However, research suggests that while students often perform well in technical aspects, many encounter challenges in developing the interpersonal and professional skills necessary for effective collaboration in real-world settings (</w:t>
      </w:r>
      <w:proofErr w:type="spellStart"/>
      <w:r w:rsidRPr="00D941F4">
        <w:rPr>
          <w:rFonts w:ascii="Arial" w:hAnsi="Arial" w:cs="Arial"/>
        </w:rPr>
        <w:t>Suarta</w:t>
      </w:r>
      <w:proofErr w:type="spellEnd"/>
      <w:r w:rsidRPr="00D941F4">
        <w:rPr>
          <w:rFonts w:ascii="Arial" w:hAnsi="Arial" w:cs="Arial"/>
        </w:rPr>
        <w:t xml:space="preserve"> et al., 2017). </w:t>
      </w:r>
      <w:r w:rsidR="00142836" w:rsidRPr="00142836">
        <w:rPr>
          <w:rFonts w:ascii="Arial" w:hAnsi="Arial" w:cs="Arial"/>
        </w:rPr>
        <w:t>Employers consistently prioritize soft skills such as interpersonal communication, analytical and critical thinking, problem-solving, flexibility, and responsibility as essential qualities in their workforce (Poláková et al., 2023)</w:t>
      </w:r>
      <w:r w:rsidRPr="00D941F4">
        <w:rPr>
          <w:rFonts w:ascii="Arial" w:hAnsi="Arial" w:cs="Arial"/>
        </w:rPr>
        <w:t>.</w:t>
      </w:r>
    </w:p>
    <w:p w14:paraId="74C7974E" w14:textId="1103F2C1" w:rsidR="00D941F4" w:rsidRPr="00D941F4" w:rsidRDefault="00D941F4" w:rsidP="00D941F4">
      <w:pPr>
        <w:pStyle w:val="Body"/>
        <w:rPr>
          <w:rFonts w:ascii="Arial" w:hAnsi="Arial" w:cs="Arial"/>
        </w:rPr>
      </w:pPr>
      <w:r w:rsidRPr="00D941F4">
        <w:rPr>
          <w:rFonts w:ascii="Arial" w:hAnsi="Arial" w:cs="Arial"/>
        </w:rPr>
        <w:t xml:space="preserve">Industry immersion, also referred to as on-the-job training (OJT) or practicum, serves as a vital link between academic preparation and professional employment. </w:t>
      </w:r>
      <w:r w:rsidR="00020E84" w:rsidRPr="00020E84">
        <w:rPr>
          <w:rFonts w:ascii="Arial" w:hAnsi="Arial" w:cs="Arial"/>
        </w:rPr>
        <w:t>It allows students to apply their classroom knowledge in authentic industrial environments, experience actual work conditions, and cultivate professional ethics and discipline (Kolb, 2015). Such experiential learning enhances students' employability by helping them develop not only technical competence but also self-confidence, problem-solving ability, and teamwork skills (Motta &amp; Galina, 2022)</w:t>
      </w:r>
      <w:r w:rsidRPr="00D941F4">
        <w:rPr>
          <w:rFonts w:ascii="Arial" w:hAnsi="Arial" w:cs="Arial"/>
        </w:rPr>
        <w:t>.</w:t>
      </w:r>
    </w:p>
    <w:p w14:paraId="2804926F" w14:textId="77777777" w:rsidR="00D941F4" w:rsidRPr="00D941F4" w:rsidRDefault="00D941F4" w:rsidP="00D941F4">
      <w:pPr>
        <w:pStyle w:val="Body"/>
        <w:rPr>
          <w:rFonts w:ascii="Arial" w:hAnsi="Arial" w:cs="Arial"/>
        </w:rPr>
      </w:pPr>
      <w:r w:rsidRPr="00D941F4">
        <w:rPr>
          <w:rFonts w:ascii="Arial" w:hAnsi="Arial" w:cs="Arial"/>
        </w:rPr>
        <w:t xml:space="preserve">In the Philippine setting, ensuring that students are adequately prepared for employment remains a critical concern among higher education institutions. Research reveals that although students often display strong technical proficiency and work habits, many still have gaps in communication, technology literacy, and interpersonal skills competencies that employers increasingly demand in today’s globalized labor market (Alinea, Garcia, Lagado, &amp; </w:t>
      </w:r>
      <w:proofErr w:type="spellStart"/>
      <w:r w:rsidRPr="00D941F4">
        <w:rPr>
          <w:rFonts w:ascii="Arial" w:hAnsi="Arial" w:cs="Arial"/>
        </w:rPr>
        <w:t>Noblefranca</w:t>
      </w:r>
      <w:proofErr w:type="spellEnd"/>
      <w:r w:rsidRPr="00D941F4">
        <w:rPr>
          <w:rFonts w:ascii="Arial" w:hAnsi="Arial" w:cs="Arial"/>
        </w:rPr>
        <w:t>, 2024). This underscores the importance of evaluating students’ readiness prior to their industry immersion to ensure that they possess both the technical and non-technical competencies necessary to succeed in professional environments.</w:t>
      </w:r>
    </w:p>
    <w:p w14:paraId="53BC3B9D" w14:textId="55F884C2" w:rsidR="00B01FCD" w:rsidRDefault="00D941F4" w:rsidP="00D941F4">
      <w:pPr>
        <w:pStyle w:val="Body"/>
        <w:spacing w:after="0"/>
        <w:rPr>
          <w:rFonts w:ascii="Arial" w:hAnsi="Arial" w:cs="Arial"/>
        </w:rPr>
      </w:pPr>
      <w:r w:rsidRPr="00D941F4">
        <w:rPr>
          <w:rFonts w:ascii="Arial" w:hAnsi="Arial" w:cs="Arial"/>
        </w:rPr>
        <w:t>Therefore, this study aimed at looking into the technical and soft skills preparedness of Electrical Technology students for industry immersion. The results of this research provide insights for improving curriculum design and teaching strategies, helping educational institutions produce graduates who are technically skilled, professionally competent, and ready to integrate into the workforce successfully</w:t>
      </w:r>
      <w:r>
        <w:rPr>
          <w:rFonts w:ascii="Arial" w:hAnsi="Arial" w:cs="Arial"/>
        </w:rPr>
        <w:t>.</w:t>
      </w:r>
    </w:p>
    <w:p w14:paraId="6FD09961" w14:textId="77777777" w:rsidR="00A626E8" w:rsidRDefault="00A626E8" w:rsidP="00D941F4">
      <w:pPr>
        <w:pStyle w:val="Body"/>
        <w:spacing w:after="0"/>
        <w:rPr>
          <w:rFonts w:ascii="Arial" w:hAnsi="Arial" w:cs="Arial"/>
        </w:rPr>
      </w:pPr>
    </w:p>
    <w:p w14:paraId="7747D8DD" w14:textId="77777777" w:rsidR="00790ADA" w:rsidRPr="00FB3A86" w:rsidRDefault="00790ADA" w:rsidP="00441B6F">
      <w:pPr>
        <w:pStyle w:val="Body"/>
        <w:spacing w:after="0"/>
        <w:rPr>
          <w:rFonts w:ascii="Arial" w:hAnsi="Arial" w:cs="Arial"/>
        </w:rPr>
      </w:pPr>
    </w:p>
    <w:p w14:paraId="1A578688" w14:textId="0096D13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1FAA85FC" w14:textId="77777777" w:rsidR="00D941F4" w:rsidRPr="00D941F4" w:rsidRDefault="00D941F4" w:rsidP="00D941F4">
      <w:pPr>
        <w:pStyle w:val="Body"/>
        <w:rPr>
          <w:rFonts w:ascii="Arial" w:hAnsi="Arial" w:cs="Arial"/>
        </w:rPr>
      </w:pPr>
      <w:r w:rsidRPr="00D941F4">
        <w:rPr>
          <w:rFonts w:ascii="Arial" w:hAnsi="Arial" w:cs="Arial"/>
        </w:rPr>
        <w:t>This study used a descriptive research design to describe and analyze the preparedness of students along technical and soft skill domains. This design was appropriate since it focuses on quantifying opinions and behaviors and allows for the identification of patterns within a defined population (Creswell &amp; Creswell, 2018).</w:t>
      </w:r>
    </w:p>
    <w:p w14:paraId="6BE2C5B0" w14:textId="48E1A3BA" w:rsidR="00D941F4" w:rsidRPr="00D941F4" w:rsidRDefault="00D941F4" w:rsidP="00D941F4">
      <w:pPr>
        <w:pStyle w:val="Body"/>
        <w:rPr>
          <w:rFonts w:ascii="Arial" w:hAnsi="Arial" w:cs="Arial"/>
        </w:rPr>
      </w:pPr>
      <w:r w:rsidRPr="00D941F4">
        <w:rPr>
          <w:rFonts w:ascii="Arial" w:hAnsi="Arial" w:cs="Arial"/>
        </w:rPr>
        <w:t xml:space="preserve">The respondents were 43 second-year students enrolled in the Bachelor Science in Industrial Technology program from </w:t>
      </w:r>
      <w:r w:rsidR="009D09B2">
        <w:rPr>
          <w:rFonts w:ascii="Arial" w:hAnsi="Arial" w:cs="Arial"/>
        </w:rPr>
        <w:t>a</w:t>
      </w:r>
      <w:r w:rsidRPr="00D941F4">
        <w:rPr>
          <w:rFonts w:ascii="Arial" w:hAnsi="Arial" w:cs="Arial"/>
        </w:rPr>
        <w:t xml:space="preserve"> university offering technical courses in northern Philippines. These students have already completed laboratory-based technical courses and are set for their industry immersion after a year as defined by their curriculum.</w:t>
      </w:r>
    </w:p>
    <w:p w14:paraId="75C6E7E2" w14:textId="77777777" w:rsidR="00D941F4" w:rsidRPr="00D941F4" w:rsidRDefault="00D941F4" w:rsidP="00D941F4">
      <w:pPr>
        <w:pStyle w:val="Body"/>
        <w:rPr>
          <w:rFonts w:ascii="Arial" w:hAnsi="Arial" w:cs="Arial"/>
        </w:rPr>
      </w:pPr>
      <w:r w:rsidRPr="00D941F4">
        <w:rPr>
          <w:rFonts w:ascii="Arial" w:hAnsi="Arial" w:cs="Arial"/>
        </w:rPr>
        <w:t>Purposive sampling technique was used to ensure that participants had prior exposure to electrical laboratory tasks such as circuit installation, wiring, troubleshooting, and tool maintenance. This approach was deemed suitable because it allowed the inclusion of respondents who were most knowledgeable and relevant to the study’s objectives (</w:t>
      </w:r>
      <w:proofErr w:type="spellStart"/>
      <w:r w:rsidRPr="00D941F4">
        <w:rPr>
          <w:rFonts w:ascii="Arial" w:hAnsi="Arial" w:cs="Arial"/>
        </w:rPr>
        <w:t>Etikan</w:t>
      </w:r>
      <w:proofErr w:type="spellEnd"/>
      <w:r w:rsidRPr="00D941F4">
        <w:rPr>
          <w:rFonts w:ascii="Arial" w:hAnsi="Arial" w:cs="Arial"/>
        </w:rPr>
        <w:t xml:space="preserve"> &amp; Bala, 2017).</w:t>
      </w:r>
    </w:p>
    <w:p w14:paraId="6ABAC3C2" w14:textId="77777777" w:rsidR="00D941F4" w:rsidRPr="00D941F4" w:rsidRDefault="00D941F4" w:rsidP="00D941F4">
      <w:pPr>
        <w:pStyle w:val="Body"/>
        <w:rPr>
          <w:rFonts w:ascii="Arial" w:hAnsi="Arial" w:cs="Arial"/>
        </w:rPr>
      </w:pPr>
      <w:r w:rsidRPr="00D941F4">
        <w:rPr>
          <w:rFonts w:ascii="Arial" w:hAnsi="Arial" w:cs="Arial"/>
        </w:rPr>
        <w:t>All respondents participated voluntarily. They were briefed about the study’s purpose, assured of confidentiality, and informed that their participation would not affect their academic standing. Ethical guidelines in research, including informed consent and data protection, were strictly followed (Bryman, 2016).</w:t>
      </w:r>
    </w:p>
    <w:p w14:paraId="2847E48F" w14:textId="44A7BD1E" w:rsidR="00502516" w:rsidRDefault="00D941F4" w:rsidP="00D941F4">
      <w:pPr>
        <w:pStyle w:val="Body"/>
        <w:spacing w:after="0"/>
        <w:rPr>
          <w:rFonts w:ascii="Arial" w:hAnsi="Arial" w:cs="Arial"/>
        </w:rPr>
      </w:pPr>
      <w:r w:rsidRPr="00D941F4">
        <w:rPr>
          <w:rFonts w:ascii="Arial" w:hAnsi="Arial" w:cs="Arial"/>
        </w:rPr>
        <w:t>The main instrument used was the Survey Questionnaire on the Technical and Soft Skills Preparedness of Electrical Technology Students for Industry Immersion, developed by the researcher and validated by experts in industrial and technical education. The tool consisted of two main parts. The first part is Technical Skills Preparedness, focusing on equipment handling, installation, safety, documentation, and troubleshooting and the second part is the Soft Skills Preparedness, focusing on communication, teamwork, time management, problem-solving, and professionalism. Each item was rated on a 4-point Likert scale (4–Very High Preparedness, 3–High Preparedness, 2–Moderate Preparedness, and 1–Low Preparedness</w:t>
      </w:r>
      <w:r w:rsidR="001A300D">
        <w:rPr>
          <w:rFonts w:ascii="Arial" w:hAnsi="Arial" w:cs="Arial"/>
        </w:rPr>
        <w:t>)</w:t>
      </w:r>
      <w:r w:rsidR="00502516" w:rsidRPr="00502516">
        <w:rPr>
          <w:rFonts w:ascii="Arial" w:hAnsi="Arial" w:cs="Arial"/>
        </w:rPr>
        <w:t>.</w:t>
      </w:r>
    </w:p>
    <w:p w14:paraId="69181664" w14:textId="77777777" w:rsidR="002E0D56" w:rsidRDefault="002E0D56" w:rsidP="00441B6F">
      <w:pPr>
        <w:pStyle w:val="Body"/>
        <w:spacing w:after="0"/>
        <w:rPr>
          <w:rFonts w:ascii="Arial" w:hAnsi="Arial" w:cs="Arial"/>
        </w:rPr>
      </w:pPr>
    </w:p>
    <w:p w14:paraId="0F8408A9" w14:textId="2DDEF469" w:rsidR="001A300D" w:rsidRDefault="001A300D" w:rsidP="001A300D">
      <w:pPr>
        <w:pStyle w:val="Body"/>
        <w:rPr>
          <w:rFonts w:ascii="Arial" w:hAnsi="Arial" w:cs="Arial"/>
        </w:rPr>
      </w:pPr>
      <w:r w:rsidRPr="001A300D">
        <w:rPr>
          <w:rFonts w:ascii="Arial" w:hAnsi="Arial" w:cs="Arial"/>
        </w:rPr>
        <w:t>To interpret the results, the following range of means were used:</w:t>
      </w:r>
    </w:p>
    <w:tbl>
      <w:tblPr>
        <w:tblW w:w="0" w:type="auto"/>
        <w:jc w:val="center"/>
        <w:tblCellMar>
          <w:top w:w="15" w:type="dxa"/>
          <w:left w:w="15" w:type="dxa"/>
          <w:bottom w:w="15" w:type="dxa"/>
          <w:right w:w="15" w:type="dxa"/>
        </w:tblCellMar>
        <w:tblLook w:val="04A0" w:firstRow="1" w:lastRow="0" w:firstColumn="1" w:lastColumn="0" w:noHBand="0" w:noVBand="1"/>
      </w:tblPr>
      <w:tblGrid>
        <w:gridCol w:w="1750"/>
        <w:gridCol w:w="3028"/>
      </w:tblGrid>
      <w:tr w:rsidR="001A300D" w:rsidRPr="001A300D" w14:paraId="14A9B8F7" w14:textId="77777777">
        <w:trPr>
          <w:trHeight w:val="263"/>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73A3568E"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b/>
                <w:bCs/>
                <w:i/>
                <w:iCs/>
                <w:color w:val="000000"/>
                <w:lang w:val="en-PH" w:eastAsia="en-PH"/>
              </w:rPr>
              <w:t>Range of Means</w:t>
            </w:r>
          </w:p>
        </w:tc>
        <w:tc>
          <w:tcPr>
            <w:tcW w:w="0" w:type="auto"/>
            <w:tcBorders>
              <w:top w:val="single" w:sz="4" w:space="0" w:color="000000"/>
              <w:bottom w:val="single" w:sz="4" w:space="0" w:color="000000"/>
            </w:tcBorders>
            <w:tcMar>
              <w:top w:w="0" w:type="dxa"/>
              <w:left w:w="108" w:type="dxa"/>
              <w:bottom w:w="0" w:type="dxa"/>
              <w:right w:w="108" w:type="dxa"/>
            </w:tcMar>
            <w:hideMark/>
          </w:tcPr>
          <w:p w14:paraId="5C3C698A"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b/>
                <w:bCs/>
                <w:i/>
                <w:iCs/>
                <w:color w:val="000000"/>
                <w:lang w:val="en-PH" w:eastAsia="en-PH"/>
              </w:rPr>
              <w:t>Descriptive Interpretation (DI)</w:t>
            </w:r>
          </w:p>
        </w:tc>
      </w:tr>
      <w:tr w:rsidR="001A300D" w:rsidRPr="001A300D" w14:paraId="198D44E9" w14:textId="77777777">
        <w:trPr>
          <w:trHeight w:val="248"/>
          <w:jc w:val="center"/>
        </w:trPr>
        <w:tc>
          <w:tcPr>
            <w:tcW w:w="0" w:type="auto"/>
            <w:tcBorders>
              <w:top w:val="single" w:sz="4" w:space="0" w:color="000000"/>
            </w:tcBorders>
            <w:tcMar>
              <w:top w:w="0" w:type="dxa"/>
              <w:left w:w="108" w:type="dxa"/>
              <w:bottom w:w="0" w:type="dxa"/>
              <w:right w:w="108" w:type="dxa"/>
            </w:tcMar>
            <w:hideMark/>
          </w:tcPr>
          <w:p w14:paraId="4E298970"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3.26-4.00</w:t>
            </w:r>
          </w:p>
        </w:tc>
        <w:tc>
          <w:tcPr>
            <w:tcW w:w="0" w:type="auto"/>
            <w:tcBorders>
              <w:top w:val="single" w:sz="4" w:space="0" w:color="000000"/>
            </w:tcBorders>
            <w:tcMar>
              <w:top w:w="0" w:type="dxa"/>
              <w:left w:w="108" w:type="dxa"/>
              <w:bottom w:w="0" w:type="dxa"/>
              <w:right w:w="108" w:type="dxa"/>
            </w:tcMar>
            <w:hideMark/>
          </w:tcPr>
          <w:p w14:paraId="2A8A5FE3" w14:textId="344E5E54"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eastAsia="en-PH"/>
              </w:rPr>
              <w:t>Very High Preparedness</w:t>
            </w:r>
          </w:p>
        </w:tc>
      </w:tr>
      <w:tr w:rsidR="001A300D" w:rsidRPr="001A300D" w14:paraId="43445546" w14:textId="77777777">
        <w:trPr>
          <w:trHeight w:val="263"/>
          <w:jc w:val="center"/>
        </w:trPr>
        <w:tc>
          <w:tcPr>
            <w:tcW w:w="0" w:type="auto"/>
            <w:tcMar>
              <w:top w:w="0" w:type="dxa"/>
              <w:left w:w="108" w:type="dxa"/>
              <w:bottom w:w="0" w:type="dxa"/>
              <w:right w:w="108" w:type="dxa"/>
            </w:tcMar>
            <w:hideMark/>
          </w:tcPr>
          <w:p w14:paraId="5B995005"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2.51-3.25</w:t>
            </w:r>
          </w:p>
        </w:tc>
        <w:tc>
          <w:tcPr>
            <w:tcW w:w="0" w:type="auto"/>
            <w:tcMar>
              <w:top w:w="0" w:type="dxa"/>
              <w:left w:w="108" w:type="dxa"/>
              <w:bottom w:w="0" w:type="dxa"/>
              <w:right w:w="108" w:type="dxa"/>
            </w:tcMar>
            <w:hideMark/>
          </w:tcPr>
          <w:p w14:paraId="239FC48F" w14:textId="385722E0" w:rsidR="001A300D" w:rsidRPr="001A300D" w:rsidRDefault="001A300D" w:rsidP="001A300D">
            <w:pPr>
              <w:jc w:val="both"/>
              <w:rPr>
                <w:rFonts w:ascii="Times New Roman" w:hAnsi="Times New Roman"/>
                <w:sz w:val="24"/>
                <w:szCs w:val="24"/>
                <w:lang w:val="en-PH" w:eastAsia="en-PH"/>
              </w:rPr>
            </w:pPr>
            <w:r w:rsidRPr="00D941F4">
              <w:rPr>
                <w:rFonts w:ascii="Arial" w:hAnsi="Arial" w:cs="Arial"/>
              </w:rPr>
              <w:t>High Preparedness</w:t>
            </w:r>
          </w:p>
        </w:tc>
      </w:tr>
      <w:tr w:rsidR="001A300D" w:rsidRPr="001A300D" w14:paraId="077E6E54" w14:textId="77777777">
        <w:trPr>
          <w:trHeight w:val="248"/>
          <w:jc w:val="center"/>
        </w:trPr>
        <w:tc>
          <w:tcPr>
            <w:tcW w:w="0" w:type="auto"/>
            <w:tcMar>
              <w:top w:w="0" w:type="dxa"/>
              <w:left w:w="108" w:type="dxa"/>
              <w:bottom w:w="0" w:type="dxa"/>
              <w:right w:w="108" w:type="dxa"/>
            </w:tcMar>
            <w:hideMark/>
          </w:tcPr>
          <w:p w14:paraId="2F884888"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1.76-2.50</w:t>
            </w:r>
          </w:p>
        </w:tc>
        <w:tc>
          <w:tcPr>
            <w:tcW w:w="0" w:type="auto"/>
            <w:tcMar>
              <w:top w:w="0" w:type="dxa"/>
              <w:left w:w="108" w:type="dxa"/>
              <w:bottom w:w="0" w:type="dxa"/>
              <w:right w:w="108" w:type="dxa"/>
            </w:tcMar>
            <w:hideMark/>
          </w:tcPr>
          <w:p w14:paraId="1A5344AD" w14:textId="3266195C" w:rsidR="001A300D" w:rsidRPr="001A300D" w:rsidRDefault="001A300D" w:rsidP="001A300D">
            <w:pPr>
              <w:jc w:val="both"/>
              <w:rPr>
                <w:rFonts w:ascii="Times New Roman" w:hAnsi="Times New Roman"/>
                <w:sz w:val="24"/>
                <w:szCs w:val="24"/>
                <w:lang w:val="en-PH" w:eastAsia="en-PH"/>
              </w:rPr>
            </w:pPr>
            <w:r w:rsidRPr="00D941F4">
              <w:rPr>
                <w:rFonts w:ascii="Arial" w:hAnsi="Arial" w:cs="Arial"/>
              </w:rPr>
              <w:t>Moderate Preparedness</w:t>
            </w:r>
          </w:p>
        </w:tc>
      </w:tr>
      <w:tr w:rsidR="001A300D" w:rsidRPr="001A300D" w14:paraId="0A5F6F96" w14:textId="77777777">
        <w:trPr>
          <w:trHeight w:val="248"/>
          <w:jc w:val="center"/>
        </w:trPr>
        <w:tc>
          <w:tcPr>
            <w:tcW w:w="0" w:type="auto"/>
            <w:tcBorders>
              <w:bottom w:val="single" w:sz="4" w:space="0" w:color="000000"/>
            </w:tcBorders>
            <w:tcMar>
              <w:top w:w="0" w:type="dxa"/>
              <w:left w:w="108" w:type="dxa"/>
              <w:bottom w:w="0" w:type="dxa"/>
              <w:right w:w="108" w:type="dxa"/>
            </w:tcMar>
            <w:hideMark/>
          </w:tcPr>
          <w:p w14:paraId="185B38F3"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1.00-1.75</w:t>
            </w:r>
          </w:p>
        </w:tc>
        <w:tc>
          <w:tcPr>
            <w:tcW w:w="0" w:type="auto"/>
            <w:tcBorders>
              <w:bottom w:val="single" w:sz="4" w:space="0" w:color="000000"/>
            </w:tcBorders>
            <w:tcMar>
              <w:top w:w="0" w:type="dxa"/>
              <w:left w:w="108" w:type="dxa"/>
              <w:bottom w:w="0" w:type="dxa"/>
              <w:right w:w="108" w:type="dxa"/>
            </w:tcMar>
            <w:hideMark/>
          </w:tcPr>
          <w:p w14:paraId="7EA49119" w14:textId="0F240BBD" w:rsidR="001A300D" w:rsidRPr="001A300D" w:rsidRDefault="001A300D" w:rsidP="001A300D">
            <w:pPr>
              <w:jc w:val="both"/>
              <w:rPr>
                <w:rFonts w:ascii="Times New Roman" w:hAnsi="Times New Roman"/>
                <w:sz w:val="24"/>
                <w:szCs w:val="24"/>
                <w:lang w:val="en-PH" w:eastAsia="en-PH"/>
              </w:rPr>
            </w:pPr>
            <w:r w:rsidRPr="00D941F4">
              <w:rPr>
                <w:rFonts w:ascii="Arial" w:hAnsi="Arial" w:cs="Arial"/>
              </w:rPr>
              <w:t>Low Preparedness</w:t>
            </w:r>
          </w:p>
        </w:tc>
      </w:tr>
    </w:tbl>
    <w:p w14:paraId="5FD2C867" w14:textId="77777777" w:rsidR="001A300D" w:rsidRDefault="001A300D" w:rsidP="00441B6F">
      <w:pPr>
        <w:pStyle w:val="Body"/>
        <w:spacing w:after="0"/>
        <w:rPr>
          <w:rFonts w:ascii="Arial" w:hAnsi="Arial" w:cs="Arial"/>
        </w:rPr>
      </w:pPr>
    </w:p>
    <w:p w14:paraId="05A40CBD" w14:textId="77777777" w:rsidR="00790ADA" w:rsidRPr="00FB3A86" w:rsidRDefault="00790ADA"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4A5AE" w14:textId="77777777" w:rsidR="00790ADA" w:rsidRPr="00FB3A86" w:rsidRDefault="00790ADA" w:rsidP="00441B6F">
      <w:pPr>
        <w:pStyle w:val="Head1"/>
        <w:spacing w:after="0"/>
        <w:jc w:val="both"/>
        <w:rPr>
          <w:rFonts w:ascii="Arial" w:hAnsi="Arial" w:cs="Arial"/>
        </w:rPr>
      </w:pPr>
    </w:p>
    <w:p w14:paraId="005F1CA5" w14:textId="1F3E400F" w:rsidR="009D09B2" w:rsidRPr="009D09B2" w:rsidRDefault="009D09B2" w:rsidP="00A626E8">
      <w:pPr>
        <w:pStyle w:val="Body"/>
        <w:rPr>
          <w:rFonts w:ascii="Arial" w:hAnsi="Arial" w:cs="Arial"/>
          <w:b/>
          <w:bCs/>
          <w:sz w:val="22"/>
          <w:szCs w:val="22"/>
        </w:rPr>
      </w:pPr>
      <w:r>
        <w:rPr>
          <w:rFonts w:ascii="Arial" w:hAnsi="Arial" w:cs="Arial"/>
          <w:b/>
          <w:bCs/>
          <w:sz w:val="22"/>
          <w:szCs w:val="22"/>
        </w:rPr>
        <w:t xml:space="preserve">3.1 </w:t>
      </w:r>
      <w:r w:rsidRPr="009D09B2">
        <w:rPr>
          <w:rFonts w:ascii="Arial" w:hAnsi="Arial" w:cs="Arial"/>
          <w:b/>
          <w:bCs/>
          <w:sz w:val="22"/>
          <w:szCs w:val="22"/>
        </w:rPr>
        <w:t>RESULTS</w:t>
      </w:r>
    </w:p>
    <w:p w14:paraId="4B8B359B" w14:textId="1497031D" w:rsidR="00A626E8" w:rsidRDefault="00A626E8" w:rsidP="00A626E8">
      <w:pPr>
        <w:pStyle w:val="Body"/>
        <w:rPr>
          <w:rFonts w:ascii="Arial" w:hAnsi="Arial" w:cs="Arial"/>
        </w:rPr>
      </w:pPr>
      <w:r w:rsidRPr="00A626E8">
        <w:rPr>
          <w:rFonts w:ascii="Arial" w:hAnsi="Arial" w:cs="Arial"/>
        </w:rPr>
        <w:t>This section presents and interprets the results of the study on the technical and soft skills preparedness of Bachelor of Science in Industrial Technology (</w:t>
      </w:r>
      <w:proofErr w:type="spellStart"/>
      <w:r w:rsidRPr="00A626E8">
        <w:rPr>
          <w:rFonts w:ascii="Arial" w:hAnsi="Arial" w:cs="Arial"/>
        </w:rPr>
        <w:t>BSInTech</w:t>
      </w:r>
      <w:proofErr w:type="spellEnd"/>
      <w:r w:rsidRPr="00A626E8">
        <w:rPr>
          <w:rFonts w:ascii="Arial" w:hAnsi="Arial" w:cs="Arial"/>
        </w:rPr>
        <w:t xml:space="preserve">) students </w:t>
      </w:r>
      <w:proofErr w:type="gramStart"/>
      <w:r w:rsidRPr="00A626E8">
        <w:rPr>
          <w:rFonts w:ascii="Arial" w:hAnsi="Arial" w:cs="Arial"/>
        </w:rPr>
        <w:t>major</w:t>
      </w:r>
      <w:proofErr w:type="gramEnd"/>
      <w:r w:rsidRPr="00A626E8">
        <w:rPr>
          <w:rFonts w:ascii="Arial" w:hAnsi="Arial" w:cs="Arial"/>
        </w:rPr>
        <w:t xml:space="preserve"> in Electrical Technology. The purpose of this discussion is to provide a clear understanding of how prepared the students are for their upcoming industry immersion, based on their self-assessment of technical and interpersonal competencies. The results also reflect how MMSU’s curriculum and training strategies contribute to equipping future electrical technologists with the skills demanded by industries.</w:t>
      </w:r>
    </w:p>
    <w:p w14:paraId="7F570A1E" w14:textId="177393BA" w:rsidR="009D09B2" w:rsidRPr="009D09B2" w:rsidRDefault="009D09B2" w:rsidP="00A626E8">
      <w:pPr>
        <w:pStyle w:val="Body"/>
        <w:rPr>
          <w:rFonts w:ascii="Arial" w:hAnsi="Arial" w:cs="Arial"/>
          <w:b/>
          <w:bCs/>
        </w:rPr>
      </w:pPr>
      <w:r w:rsidRPr="009D09B2">
        <w:rPr>
          <w:rFonts w:ascii="Arial" w:hAnsi="Arial" w:cs="Arial"/>
          <w:b/>
          <w:bCs/>
        </w:rPr>
        <w:t>Technical Skills Preparedness</w:t>
      </w:r>
    </w:p>
    <w:p w14:paraId="728E42D9" w14:textId="54548EC0" w:rsidR="009D09B2" w:rsidRPr="009D09B2" w:rsidRDefault="009D09B2" w:rsidP="009D09B2">
      <w:pPr>
        <w:pStyle w:val="Body"/>
        <w:rPr>
          <w:rFonts w:ascii="Arial" w:hAnsi="Arial" w:cs="Arial"/>
        </w:rPr>
      </w:pPr>
      <w:r w:rsidRPr="009D09B2">
        <w:rPr>
          <w:rFonts w:ascii="Arial" w:hAnsi="Arial" w:cs="Arial"/>
        </w:rPr>
        <w:t xml:space="preserve">Table 1 presents the technical skills preparedness of </w:t>
      </w:r>
      <w:proofErr w:type="spellStart"/>
      <w:r w:rsidRPr="009D09B2">
        <w:rPr>
          <w:rFonts w:ascii="Arial" w:hAnsi="Arial" w:cs="Arial"/>
        </w:rPr>
        <w:t>BSInTech</w:t>
      </w:r>
      <w:proofErr w:type="spellEnd"/>
      <w:r w:rsidRPr="009D09B2">
        <w:rPr>
          <w:rFonts w:ascii="Arial" w:hAnsi="Arial" w:cs="Arial"/>
        </w:rPr>
        <w:t>–Electrical Technology students. The results revealed an overall very high level of preparedness (WM = 3.54). Among the five dimensions, students rated themselves highest in electrical installation skills (WM = 3.70) and electrical tools and equipment handling (WM = 3.68). These findings indicate strong competence in carrying out hands-on electrical tasks and using tools safely and efficiently.</w:t>
      </w:r>
    </w:p>
    <w:p w14:paraId="56A78148" w14:textId="77777777" w:rsidR="009D09B2" w:rsidRPr="009D09B2" w:rsidRDefault="009D09B2" w:rsidP="009D09B2">
      <w:pPr>
        <w:pStyle w:val="Body"/>
        <w:rPr>
          <w:rFonts w:ascii="Arial" w:hAnsi="Arial" w:cs="Arial"/>
        </w:rPr>
      </w:pPr>
      <w:r w:rsidRPr="009D09B2">
        <w:rPr>
          <w:rFonts w:ascii="Arial" w:hAnsi="Arial" w:cs="Arial"/>
        </w:rPr>
        <w:t>Technical knowledge and documentation also obtained a very high preparedness rating (WM = 3.53), suggesting that students generally understand electrical principles and procedures. However, responses show that some students are less confident in preparing written outputs such as reports and technical documents.</w:t>
      </w:r>
    </w:p>
    <w:p w14:paraId="73178A22" w14:textId="77777777" w:rsidR="009D09B2" w:rsidRPr="009D09B2" w:rsidRDefault="009D09B2" w:rsidP="009D09B2">
      <w:pPr>
        <w:pStyle w:val="Body"/>
        <w:rPr>
          <w:rFonts w:ascii="Arial" w:hAnsi="Arial" w:cs="Arial"/>
        </w:rPr>
      </w:pPr>
    </w:p>
    <w:p w14:paraId="2D2966CF" w14:textId="691B3887" w:rsidR="009D09B2" w:rsidRDefault="009D09B2" w:rsidP="009D09B2">
      <w:pPr>
        <w:pStyle w:val="Body"/>
        <w:rPr>
          <w:rFonts w:ascii="Arial" w:hAnsi="Arial" w:cs="Arial"/>
        </w:rPr>
      </w:pPr>
      <w:r w:rsidRPr="009D09B2">
        <w:rPr>
          <w:rFonts w:ascii="Arial" w:hAnsi="Arial" w:cs="Arial"/>
        </w:rPr>
        <w:t>The lowest mean score was observed in troubleshooting and repair (WM = 3.19), interpreted as high preparedness. This shows that although students can perform basic troubleshooting, they may require additional exposure to more complex diagnostic and repair tasks.</w:t>
      </w:r>
    </w:p>
    <w:p w14:paraId="73AD434F" w14:textId="6EDCF17E" w:rsidR="00A626E8" w:rsidRPr="00A626E8" w:rsidRDefault="00A626E8" w:rsidP="00A626E8">
      <w:pPr>
        <w:pStyle w:val="Body"/>
        <w:rPr>
          <w:rFonts w:ascii="Arial" w:hAnsi="Arial" w:cs="Arial"/>
        </w:rPr>
      </w:pPr>
      <w:r w:rsidRPr="00A626E8">
        <w:rPr>
          <w:rFonts w:ascii="Arial" w:hAnsi="Arial" w:cs="Arial"/>
        </w:rPr>
        <w:t>Table 1. Technical Skills Preparedness of Electrical Technology Students</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710"/>
        <w:gridCol w:w="2520"/>
      </w:tblGrid>
      <w:tr w:rsidR="00A626E8" w:rsidRPr="00A626E8" w14:paraId="7D5D08D8" w14:textId="77777777" w:rsidTr="009D09B2">
        <w:trPr>
          <w:trHeight w:val="332"/>
        </w:trPr>
        <w:tc>
          <w:tcPr>
            <w:tcW w:w="3960" w:type="dxa"/>
            <w:tcBorders>
              <w:top w:val="single" w:sz="4" w:space="0" w:color="auto"/>
              <w:bottom w:val="single" w:sz="4" w:space="0" w:color="auto"/>
            </w:tcBorders>
            <w:vAlign w:val="center"/>
          </w:tcPr>
          <w:p w14:paraId="6D8B1386"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Dimension</w:t>
            </w:r>
          </w:p>
        </w:tc>
        <w:tc>
          <w:tcPr>
            <w:tcW w:w="1710" w:type="dxa"/>
            <w:tcBorders>
              <w:top w:val="single" w:sz="4" w:space="0" w:color="auto"/>
              <w:bottom w:val="single" w:sz="4" w:space="0" w:color="auto"/>
            </w:tcBorders>
            <w:vAlign w:val="center"/>
          </w:tcPr>
          <w:p w14:paraId="0B79003B"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Weighted Mean</w:t>
            </w:r>
          </w:p>
        </w:tc>
        <w:tc>
          <w:tcPr>
            <w:tcW w:w="2520" w:type="dxa"/>
            <w:tcBorders>
              <w:top w:val="single" w:sz="4" w:space="0" w:color="auto"/>
              <w:bottom w:val="single" w:sz="4" w:space="0" w:color="auto"/>
            </w:tcBorders>
            <w:vAlign w:val="center"/>
          </w:tcPr>
          <w:p w14:paraId="3C0A9759"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Interpretation</w:t>
            </w:r>
          </w:p>
        </w:tc>
      </w:tr>
      <w:tr w:rsidR="00A626E8" w:rsidRPr="00A626E8" w14:paraId="251856F2" w14:textId="77777777" w:rsidTr="009D09B2">
        <w:tc>
          <w:tcPr>
            <w:tcW w:w="3960" w:type="dxa"/>
            <w:tcBorders>
              <w:top w:val="single" w:sz="4" w:space="0" w:color="auto"/>
            </w:tcBorders>
          </w:tcPr>
          <w:p w14:paraId="75294CAA" w14:textId="77777777" w:rsidR="00A626E8" w:rsidRPr="00A626E8" w:rsidRDefault="00A626E8" w:rsidP="00A626E8">
            <w:pPr>
              <w:rPr>
                <w:rFonts w:ascii="Arial" w:hAnsi="Arial" w:cs="Arial"/>
                <w:sz w:val="20"/>
                <w:szCs w:val="20"/>
              </w:rPr>
            </w:pPr>
            <w:r w:rsidRPr="00A626E8">
              <w:rPr>
                <w:rFonts w:ascii="Arial" w:hAnsi="Arial" w:cs="Arial"/>
                <w:sz w:val="20"/>
                <w:szCs w:val="20"/>
              </w:rPr>
              <w:t>1. Electrical Tools &amp; Equipment Handling</w:t>
            </w:r>
          </w:p>
        </w:tc>
        <w:tc>
          <w:tcPr>
            <w:tcW w:w="1710" w:type="dxa"/>
            <w:tcBorders>
              <w:top w:val="single" w:sz="4" w:space="0" w:color="auto"/>
            </w:tcBorders>
          </w:tcPr>
          <w:p w14:paraId="4C6EFBE2"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3.68</w:t>
            </w:r>
          </w:p>
        </w:tc>
        <w:tc>
          <w:tcPr>
            <w:tcW w:w="2520" w:type="dxa"/>
            <w:tcBorders>
              <w:top w:val="single" w:sz="4" w:space="0" w:color="auto"/>
            </w:tcBorders>
          </w:tcPr>
          <w:p w14:paraId="58C1FD1E"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4D831A6D" w14:textId="77777777" w:rsidTr="009D09B2">
        <w:tc>
          <w:tcPr>
            <w:tcW w:w="3960" w:type="dxa"/>
          </w:tcPr>
          <w:p w14:paraId="31CC3CBC" w14:textId="77777777" w:rsidR="00A626E8" w:rsidRPr="00A626E8" w:rsidRDefault="00A626E8" w:rsidP="00A626E8">
            <w:pPr>
              <w:rPr>
                <w:rFonts w:ascii="Arial" w:hAnsi="Arial" w:cs="Arial"/>
                <w:sz w:val="20"/>
                <w:szCs w:val="20"/>
              </w:rPr>
            </w:pPr>
            <w:r w:rsidRPr="00A626E8">
              <w:rPr>
                <w:rFonts w:ascii="Arial" w:hAnsi="Arial" w:cs="Arial"/>
                <w:sz w:val="20"/>
                <w:szCs w:val="20"/>
              </w:rPr>
              <w:t>2. Electrical Installation Skills</w:t>
            </w:r>
          </w:p>
        </w:tc>
        <w:tc>
          <w:tcPr>
            <w:tcW w:w="1710" w:type="dxa"/>
          </w:tcPr>
          <w:p w14:paraId="0342C254"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3.70</w:t>
            </w:r>
          </w:p>
        </w:tc>
        <w:tc>
          <w:tcPr>
            <w:tcW w:w="2520" w:type="dxa"/>
          </w:tcPr>
          <w:p w14:paraId="3325D5AD"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5AAECB52" w14:textId="77777777" w:rsidTr="009D09B2">
        <w:tc>
          <w:tcPr>
            <w:tcW w:w="3960" w:type="dxa"/>
          </w:tcPr>
          <w:p w14:paraId="3999AA81" w14:textId="77777777" w:rsidR="00A626E8" w:rsidRPr="00A626E8" w:rsidRDefault="00A626E8" w:rsidP="00A626E8">
            <w:pPr>
              <w:rPr>
                <w:rFonts w:ascii="Arial" w:hAnsi="Arial" w:cs="Arial"/>
                <w:sz w:val="20"/>
                <w:szCs w:val="20"/>
              </w:rPr>
            </w:pPr>
            <w:r w:rsidRPr="00A626E8">
              <w:rPr>
                <w:rFonts w:ascii="Arial" w:hAnsi="Arial" w:cs="Arial"/>
                <w:sz w:val="20"/>
                <w:szCs w:val="20"/>
              </w:rPr>
              <w:t>3. Technical Knowledge &amp; Documentation</w:t>
            </w:r>
          </w:p>
        </w:tc>
        <w:tc>
          <w:tcPr>
            <w:tcW w:w="1710" w:type="dxa"/>
          </w:tcPr>
          <w:p w14:paraId="572EE7B6"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3.53</w:t>
            </w:r>
          </w:p>
        </w:tc>
        <w:tc>
          <w:tcPr>
            <w:tcW w:w="2520" w:type="dxa"/>
          </w:tcPr>
          <w:p w14:paraId="3D7C0A95"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1EC79729" w14:textId="77777777" w:rsidTr="009D09B2">
        <w:tc>
          <w:tcPr>
            <w:tcW w:w="3960" w:type="dxa"/>
          </w:tcPr>
          <w:p w14:paraId="7EBAF6C8" w14:textId="77777777" w:rsidR="00A626E8" w:rsidRPr="00A626E8" w:rsidRDefault="00A626E8" w:rsidP="00A626E8">
            <w:pPr>
              <w:rPr>
                <w:rFonts w:ascii="Arial" w:hAnsi="Arial" w:cs="Arial"/>
                <w:sz w:val="20"/>
                <w:szCs w:val="20"/>
              </w:rPr>
            </w:pPr>
            <w:r w:rsidRPr="00A626E8">
              <w:rPr>
                <w:rFonts w:ascii="Arial" w:hAnsi="Arial" w:cs="Arial"/>
                <w:sz w:val="20"/>
                <w:szCs w:val="20"/>
              </w:rPr>
              <w:t>4. Safety Awareness &amp; Compliance</w:t>
            </w:r>
          </w:p>
        </w:tc>
        <w:tc>
          <w:tcPr>
            <w:tcW w:w="1710" w:type="dxa"/>
          </w:tcPr>
          <w:p w14:paraId="659A495F"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3.58</w:t>
            </w:r>
          </w:p>
        </w:tc>
        <w:tc>
          <w:tcPr>
            <w:tcW w:w="2520" w:type="dxa"/>
          </w:tcPr>
          <w:p w14:paraId="6AFD9EF2"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332C0B51" w14:textId="77777777" w:rsidTr="009D09B2">
        <w:tc>
          <w:tcPr>
            <w:tcW w:w="3960" w:type="dxa"/>
            <w:tcBorders>
              <w:bottom w:val="nil"/>
            </w:tcBorders>
          </w:tcPr>
          <w:p w14:paraId="69FED370" w14:textId="77777777" w:rsidR="00A626E8" w:rsidRPr="00A626E8" w:rsidRDefault="00A626E8" w:rsidP="00A626E8">
            <w:pPr>
              <w:rPr>
                <w:rFonts w:ascii="Arial" w:hAnsi="Arial" w:cs="Arial"/>
                <w:sz w:val="20"/>
                <w:szCs w:val="20"/>
              </w:rPr>
            </w:pPr>
            <w:r w:rsidRPr="00A626E8">
              <w:rPr>
                <w:rFonts w:ascii="Arial" w:hAnsi="Arial" w:cs="Arial"/>
                <w:sz w:val="20"/>
                <w:szCs w:val="20"/>
              </w:rPr>
              <w:t>5. Troubleshooting &amp; Repair</w:t>
            </w:r>
          </w:p>
        </w:tc>
        <w:tc>
          <w:tcPr>
            <w:tcW w:w="1710" w:type="dxa"/>
            <w:tcBorders>
              <w:bottom w:val="nil"/>
            </w:tcBorders>
          </w:tcPr>
          <w:p w14:paraId="70025DD4"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3.19</w:t>
            </w:r>
          </w:p>
        </w:tc>
        <w:tc>
          <w:tcPr>
            <w:tcW w:w="2520" w:type="dxa"/>
            <w:tcBorders>
              <w:bottom w:val="nil"/>
            </w:tcBorders>
          </w:tcPr>
          <w:p w14:paraId="25D68EAB"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High Preparedness</w:t>
            </w:r>
          </w:p>
        </w:tc>
      </w:tr>
      <w:tr w:rsidR="00A626E8" w:rsidRPr="00A626E8" w14:paraId="108527A9" w14:textId="77777777" w:rsidTr="009D09B2">
        <w:tc>
          <w:tcPr>
            <w:tcW w:w="3960" w:type="dxa"/>
            <w:tcBorders>
              <w:top w:val="nil"/>
              <w:bottom w:val="single" w:sz="4" w:space="0" w:color="auto"/>
            </w:tcBorders>
          </w:tcPr>
          <w:p w14:paraId="3BBAEA0F"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Overall Technical Skills</w:t>
            </w:r>
          </w:p>
        </w:tc>
        <w:tc>
          <w:tcPr>
            <w:tcW w:w="1710" w:type="dxa"/>
            <w:tcBorders>
              <w:top w:val="nil"/>
              <w:bottom w:val="single" w:sz="4" w:space="0" w:color="auto"/>
            </w:tcBorders>
          </w:tcPr>
          <w:p w14:paraId="0CB20DCE"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3.54</w:t>
            </w:r>
          </w:p>
        </w:tc>
        <w:tc>
          <w:tcPr>
            <w:tcW w:w="2520" w:type="dxa"/>
            <w:tcBorders>
              <w:top w:val="nil"/>
              <w:bottom w:val="single" w:sz="4" w:space="0" w:color="auto"/>
            </w:tcBorders>
          </w:tcPr>
          <w:p w14:paraId="25C84ED6"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Very High Preparedness</w:t>
            </w:r>
          </w:p>
        </w:tc>
      </w:tr>
    </w:tbl>
    <w:p w14:paraId="1B2028F8" w14:textId="77777777" w:rsidR="00A626E8" w:rsidRPr="00A626E8" w:rsidRDefault="00A626E8" w:rsidP="00A626E8">
      <w:pPr>
        <w:pStyle w:val="Body"/>
        <w:spacing w:after="0"/>
        <w:rPr>
          <w:rFonts w:ascii="Arial" w:hAnsi="Arial" w:cs="Arial"/>
        </w:rPr>
      </w:pPr>
    </w:p>
    <w:p w14:paraId="7DB19416" w14:textId="3B8EAC03" w:rsidR="00A626E8" w:rsidRPr="009D09B2" w:rsidRDefault="009D09B2" w:rsidP="00A626E8">
      <w:pPr>
        <w:pStyle w:val="Body"/>
        <w:rPr>
          <w:rFonts w:ascii="Arial" w:hAnsi="Arial" w:cs="Arial"/>
          <w:b/>
          <w:bCs/>
        </w:rPr>
      </w:pPr>
      <w:r w:rsidRPr="009D09B2">
        <w:rPr>
          <w:rFonts w:ascii="Arial" w:hAnsi="Arial" w:cs="Arial"/>
          <w:b/>
          <w:bCs/>
        </w:rPr>
        <w:t>Soft Skills Preparedness</w:t>
      </w:r>
    </w:p>
    <w:p w14:paraId="66B68EDF" w14:textId="3B2521FE" w:rsidR="009D09B2" w:rsidRPr="009D09B2" w:rsidRDefault="009D09B2" w:rsidP="009D09B2">
      <w:pPr>
        <w:pStyle w:val="Body"/>
        <w:rPr>
          <w:rFonts w:ascii="Arial" w:hAnsi="Arial" w:cs="Arial"/>
        </w:rPr>
      </w:pPr>
      <w:r w:rsidRPr="009D09B2">
        <w:rPr>
          <w:rFonts w:ascii="Arial" w:hAnsi="Arial" w:cs="Arial"/>
        </w:rPr>
        <w:t xml:space="preserve">Table 2 illustrates that students possess </w:t>
      </w:r>
      <w:proofErr w:type="gramStart"/>
      <w:r w:rsidRPr="009D09B2">
        <w:rPr>
          <w:rFonts w:ascii="Arial" w:hAnsi="Arial" w:cs="Arial"/>
        </w:rPr>
        <w:t>a very</w:t>
      </w:r>
      <w:proofErr w:type="gramEnd"/>
      <w:r w:rsidRPr="009D09B2">
        <w:rPr>
          <w:rFonts w:ascii="Arial" w:hAnsi="Arial" w:cs="Arial"/>
        </w:rPr>
        <w:t xml:space="preserve"> high overall soft skills preparedness (WM = 3.44). The highest-rated dimensions include professionalism and work ethics (WM = 3.66), teamwork and collaboration (WM = 3.61), and time management and responsibility (WM = 3.58). These results demonstrate the students’ readiness to work effectively with teams, fulfill responsibilities, and observe appropriate conduct during their industry immersion.</w:t>
      </w:r>
    </w:p>
    <w:p w14:paraId="6C3476FE" w14:textId="0493F4DB" w:rsidR="009D09B2" w:rsidRDefault="009D09B2" w:rsidP="009D09B2">
      <w:pPr>
        <w:pStyle w:val="Body"/>
        <w:rPr>
          <w:rFonts w:ascii="Arial" w:hAnsi="Arial" w:cs="Arial"/>
        </w:rPr>
      </w:pPr>
      <w:r w:rsidRPr="009D09B2">
        <w:rPr>
          <w:rFonts w:ascii="Arial" w:hAnsi="Arial" w:cs="Arial"/>
        </w:rPr>
        <w:t>Meanwhile, communication skills (WM = 3.12) and problem-solving and critical thinking (WM = 3.21) received slightly lower ratings, indicating high preparedness but also highlighting areas where improvement is still needed. These skills are essential for articulating ideas, making informed decisions, and responding effectively to workplace challenges.</w:t>
      </w:r>
    </w:p>
    <w:p w14:paraId="208B125F" w14:textId="7E24FE15" w:rsidR="00A626E8" w:rsidRPr="00A626E8" w:rsidRDefault="00A626E8" w:rsidP="00A626E8">
      <w:pPr>
        <w:pStyle w:val="Body"/>
        <w:rPr>
          <w:rFonts w:ascii="Arial" w:hAnsi="Arial" w:cs="Arial"/>
        </w:rPr>
      </w:pPr>
      <w:r w:rsidRPr="00A626E8">
        <w:rPr>
          <w:rFonts w:ascii="Arial" w:hAnsi="Arial" w:cs="Arial"/>
        </w:rPr>
        <w:t>Table 2. Soft Skills Preparedness of Electrical Technology Students</w:t>
      </w:r>
    </w:p>
    <w:tbl>
      <w:tblPr>
        <w:tblStyle w:val="TableGrid2"/>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702"/>
        <w:gridCol w:w="2708"/>
      </w:tblGrid>
      <w:tr w:rsidR="00A626E8" w:rsidRPr="00A626E8" w14:paraId="292E6C74" w14:textId="77777777" w:rsidTr="009D09B2">
        <w:trPr>
          <w:trHeight w:val="332"/>
        </w:trPr>
        <w:tc>
          <w:tcPr>
            <w:tcW w:w="3780" w:type="dxa"/>
            <w:tcBorders>
              <w:top w:val="single" w:sz="4" w:space="0" w:color="auto"/>
              <w:bottom w:val="single" w:sz="4" w:space="0" w:color="auto"/>
            </w:tcBorders>
            <w:vAlign w:val="center"/>
          </w:tcPr>
          <w:p w14:paraId="5E0B7198"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Dimension</w:t>
            </w:r>
          </w:p>
        </w:tc>
        <w:tc>
          <w:tcPr>
            <w:tcW w:w="1702" w:type="dxa"/>
            <w:tcBorders>
              <w:top w:val="single" w:sz="4" w:space="0" w:color="auto"/>
              <w:bottom w:val="single" w:sz="4" w:space="0" w:color="auto"/>
            </w:tcBorders>
            <w:vAlign w:val="center"/>
          </w:tcPr>
          <w:p w14:paraId="7811CFC6"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Weighted Mean</w:t>
            </w:r>
          </w:p>
        </w:tc>
        <w:tc>
          <w:tcPr>
            <w:tcW w:w="2708" w:type="dxa"/>
            <w:tcBorders>
              <w:top w:val="single" w:sz="4" w:space="0" w:color="auto"/>
              <w:bottom w:val="single" w:sz="4" w:space="0" w:color="auto"/>
            </w:tcBorders>
            <w:vAlign w:val="center"/>
          </w:tcPr>
          <w:p w14:paraId="5E5CCCEC"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Interpretation</w:t>
            </w:r>
          </w:p>
        </w:tc>
      </w:tr>
      <w:tr w:rsidR="00A626E8" w:rsidRPr="00A626E8" w14:paraId="7F40DD15" w14:textId="77777777" w:rsidTr="009D09B2">
        <w:tc>
          <w:tcPr>
            <w:tcW w:w="3780" w:type="dxa"/>
            <w:tcBorders>
              <w:top w:val="single" w:sz="4" w:space="0" w:color="auto"/>
            </w:tcBorders>
          </w:tcPr>
          <w:p w14:paraId="75035523" w14:textId="77777777" w:rsidR="00A626E8" w:rsidRPr="00A626E8" w:rsidRDefault="00A626E8" w:rsidP="00A626E8">
            <w:pPr>
              <w:rPr>
                <w:rFonts w:ascii="Arial" w:hAnsi="Arial" w:cs="Arial"/>
                <w:sz w:val="20"/>
                <w:szCs w:val="20"/>
              </w:rPr>
            </w:pPr>
            <w:r w:rsidRPr="00A626E8">
              <w:rPr>
                <w:rFonts w:ascii="Arial" w:hAnsi="Arial" w:cs="Arial"/>
                <w:sz w:val="20"/>
                <w:szCs w:val="20"/>
              </w:rPr>
              <w:t>1. Communication Skills</w:t>
            </w:r>
          </w:p>
        </w:tc>
        <w:tc>
          <w:tcPr>
            <w:tcW w:w="1702" w:type="dxa"/>
            <w:tcBorders>
              <w:top w:val="single" w:sz="4" w:space="0" w:color="auto"/>
            </w:tcBorders>
          </w:tcPr>
          <w:p w14:paraId="1BE605FF"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3.12</w:t>
            </w:r>
          </w:p>
        </w:tc>
        <w:tc>
          <w:tcPr>
            <w:tcW w:w="2708" w:type="dxa"/>
            <w:tcBorders>
              <w:top w:val="single" w:sz="4" w:space="0" w:color="auto"/>
            </w:tcBorders>
          </w:tcPr>
          <w:p w14:paraId="6280B8DD"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High Preparedness</w:t>
            </w:r>
          </w:p>
        </w:tc>
      </w:tr>
      <w:tr w:rsidR="00A626E8" w:rsidRPr="00A626E8" w14:paraId="14F5ED6C" w14:textId="77777777" w:rsidTr="009D09B2">
        <w:tc>
          <w:tcPr>
            <w:tcW w:w="3780" w:type="dxa"/>
          </w:tcPr>
          <w:p w14:paraId="766E76EC" w14:textId="77777777" w:rsidR="00A626E8" w:rsidRPr="00A626E8" w:rsidRDefault="00A626E8" w:rsidP="00A626E8">
            <w:pPr>
              <w:rPr>
                <w:rFonts w:ascii="Arial" w:hAnsi="Arial" w:cs="Arial"/>
                <w:sz w:val="20"/>
                <w:szCs w:val="20"/>
              </w:rPr>
            </w:pPr>
            <w:r w:rsidRPr="00A626E8">
              <w:rPr>
                <w:rFonts w:ascii="Arial" w:hAnsi="Arial" w:cs="Arial"/>
                <w:sz w:val="20"/>
                <w:szCs w:val="20"/>
              </w:rPr>
              <w:t>2. Teamwork &amp; Collaboration</w:t>
            </w:r>
          </w:p>
        </w:tc>
        <w:tc>
          <w:tcPr>
            <w:tcW w:w="1702" w:type="dxa"/>
          </w:tcPr>
          <w:p w14:paraId="06D5252A"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3.61</w:t>
            </w:r>
          </w:p>
        </w:tc>
        <w:tc>
          <w:tcPr>
            <w:tcW w:w="2708" w:type="dxa"/>
          </w:tcPr>
          <w:p w14:paraId="39FF5F40"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1ACAF6A3" w14:textId="77777777" w:rsidTr="009D09B2">
        <w:tc>
          <w:tcPr>
            <w:tcW w:w="3780" w:type="dxa"/>
          </w:tcPr>
          <w:p w14:paraId="39A2138A" w14:textId="77777777" w:rsidR="00A626E8" w:rsidRPr="00A626E8" w:rsidRDefault="00A626E8" w:rsidP="00A626E8">
            <w:pPr>
              <w:rPr>
                <w:rFonts w:ascii="Arial" w:hAnsi="Arial" w:cs="Arial"/>
                <w:sz w:val="20"/>
                <w:szCs w:val="20"/>
              </w:rPr>
            </w:pPr>
            <w:r w:rsidRPr="00A626E8">
              <w:rPr>
                <w:rFonts w:ascii="Arial" w:hAnsi="Arial" w:cs="Arial"/>
                <w:sz w:val="20"/>
                <w:szCs w:val="20"/>
              </w:rPr>
              <w:t>3. Time Management &amp; Responsibility</w:t>
            </w:r>
          </w:p>
        </w:tc>
        <w:tc>
          <w:tcPr>
            <w:tcW w:w="1702" w:type="dxa"/>
          </w:tcPr>
          <w:p w14:paraId="19D45DAB"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3.58</w:t>
            </w:r>
          </w:p>
        </w:tc>
        <w:tc>
          <w:tcPr>
            <w:tcW w:w="2708" w:type="dxa"/>
          </w:tcPr>
          <w:p w14:paraId="031A1602"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0DD3A731" w14:textId="77777777" w:rsidTr="009D09B2">
        <w:tc>
          <w:tcPr>
            <w:tcW w:w="3780" w:type="dxa"/>
          </w:tcPr>
          <w:p w14:paraId="77648FA0" w14:textId="77777777" w:rsidR="00A626E8" w:rsidRPr="00A626E8" w:rsidRDefault="00A626E8" w:rsidP="00A626E8">
            <w:pPr>
              <w:rPr>
                <w:rFonts w:ascii="Arial" w:hAnsi="Arial" w:cs="Arial"/>
                <w:sz w:val="20"/>
                <w:szCs w:val="20"/>
              </w:rPr>
            </w:pPr>
            <w:r w:rsidRPr="00A626E8">
              <w:rPr>
                <w:rFonts w:ascii="Arial" w:hAnsi="Arial" w:cs="Arial"/>
                <w:sz w:val="20"/>
                <w:szCs w:val="20"/>
              </w:rPr>
              <w:t>4. Problem-Solving &amp; Critical Thinking</w:t>
            </w:r>
          </w:p>
        </w:tc>
        <w:tc>
          <w:tcPr>
            <w:tcW w:w="1702" w:type="dxa"/>
          </w:tcPr>
          <w:p w14:paraId="67E6D7BF"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3.21</w:t>
            </w:r>
          </w:p>
        </w:tc>
        <w:tc>
          <w:tcPr>
            <w:tcW w:w="2708" w:type="dxa"/>
          </w:tcPr>
          <w:p w14:paraId="1DEFA683"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High Preparedness</w:t>
            </w:r>
          </w:p>
        </w:tc>
      </w:tr>
      <w:tr w:rsidR="00A626E8" w:rsidRPr="00A626E8" w14:paraId="7FE68BDE" w14:textId="77777777" w:rsidTr="009D09B2">
        <w:tc>
          <w:tcPr>
            <w:tcW w:w="3780" w:type="dxa"/>
            <w:tcBorders>
              <w:bottom w:val="nil"/>
            </w:tcBorders>
          </w:tcPr>
          <w:p w14:paraId="0BC1ADBD" w14:textId="77777777" w:rsidR="00A626E8" w:rsidRPr="00A626E8" w:rsidRDefault="00A626E8" w:rsidP="00A626E8">
            <w:pPr>
              <w:rPr>
                <w:rFonts w:ascii="Arial" w:hAnsi="Arial" w:cs="Arial"/>
                <w:sz w:val="20"/>
                <w:szCs w:val="20"/>
              </w:rPr>
            </w:pPr>
            <w:r w:rsidRPr="00A626E8">
              <w:rPr>
                <w:rFonts w:ascii="Arial" w:hAnsi="Arial" w:cs="Arial"/>
                <w:sz w:val="20"/>
                <w:szCs w:val="20"/>
              </w:rPr>
              <w:t>5. Professionalism &amp; Work Ethics</w:t>
            </w:r>
          </w:p>
        </w:tc>
        <w:tc>
          <w:tcPr>
            <w:tcW w:w="1702" w:type="dxa"/>
            <w:tcBorders>
              <w:bottom w:val="nil"/>
            </w:tcBorders>
          </w:tcPr>
          <w:p w14:paraId="2032E236"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3.66</w:t>
            </w:r>
          </w:p>
        </w:tc>
        <w:tc>
          <w:tcPr>
            <w:tcW w:w="2708" w:type="dxa"/>
            <w:tcBorders>
              <w:bottom w:val="nil"/>
            </w:tcBorders>
          </w:tcPr>
          <w:p w14:paraId="5B1CEE15" w14:textId="77777777" w:rsidR="00A626E8" w:rsidRPr="00A626E8" w:rsidRDefault="00A626E8" w:rsidP="00A626E8">
            <w:pPr>
              <w:jc w:val="center"/>
              <w:rPr>
                <w:rFonts w:ascii="Arial" w:hAnsi="Arial" w:cs="Arial"/>
                <w:sz w:val="20"/>
                <w:szCs w:val="20"/>
              </w:rPr>
            </w:pPr>
            <w:r w:rsidRPr="00A626E8">
              <w:rPr>
                <w:rFonts w:ascii="Arial" w:hAnsi="Arial" w:cs="Arial"/>
                <w:sz w:val="20"/>
                <w:szCs w:val="20"/>
              </w:rPr>
              <w:t>Very High Preparedness</w:t>
            </w:r>
          </w:p>
        </w:tc>
      </w:tr>
      <w:tr w:rsidR="00A626E8" w:rsidRPr="00A626E8" w14:paraId="1BDF72E4" w14:textId="77777777" w:rsidTr="009D09B2">
        <w:tc>
          <w:tcPr>
            <w:tcW w:w="3780" w:type="dxa"/>
            <w:tcBorders>
              <w:top w:val="nil"/>
              <w:bottom w:val="single" w:sz="4" w:space="0" w:color="auto"/>
            </w:tcBorders>
          </w:tcPr>
          <w:p w14:paraId="4A90C799"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Overall Soft Skills</w:t>
            </w:r>
          </w:p>
        </w:tc>
        <w:tc>
          <w:tcPr>
            <w:tcW w:w="1702" w:type="dxa"/>
            <w:tcBorders>
              <w:top w:val="nil"/>
              <w:bottom w:val="single" w:sz="4" w:space="0" w:color="auto"/>
            </w:tcBorders>
          </w:tcPr>
          <w:p w14:paraId="2F460D7A"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3.44</w:t>
            </w:r>
          </w:p>
        </w:tc>
        <w:tc>
          <w:tcPr>
            <w:tcW w:w="2708" w:type="dxa"/>
            <w:tcBorders>
              <w:top w:val="nil"/>
              <w:bottom w:val="single" w:sz="4" w:space="0" w:color="auto"/>
            </w:tcBorders>
          </w:tcPr>
          <w:p w14:paraId="2D7FD371" w14:textId="77777777" w:rsidR="00A626E8" w:rsidRPr="00A626E8" w:rsidRDefault="00A626E8" w:rsidP="00A626E8">
            <w:pPr>
              <w:jc w:val="center"/>
              <w:rPr>
                <w:rFonts w:ascii="Arial" w:hAnsi="Arial" w:cs="Arial"/>
                <w:b/>
                <w:sz w:val="20"/>
                <w:szCs w:val="20"/>
              </w:rPr>
            </w:pPr>
            <w:r w:rsidRPr="00A626E8">
              <w:rPr>
                <w:rFonts w:ascii="Arial" w:hAnsi="Arial" w:cs="Arial"/>
                <w:b/>
                <w:sz w:val="20"/>
                <w:szCs w:val="20"/>
              </w:rPr>
              <w:t>Very High Preparedness</w:t>
            </w:r>
          </w:p>
        </w:tc>
      </w:tr>
    </w:tbl>
    <w:p w14:paraId="7BF3F80F" w14:textId="77777777" w:rsidR="00A626E8" w:rsidRPr="00A626E8" w:rsidRDefault="00A626E8" w:rsidP="00A626E8">
      <w:pPr>
        <w:pStyle w:val="Body"/>
        <w:rPr>
          <w:rFonts w:ascii="Arial" w:hAnsi="Arial" w:cs="Arial"/>
        </w:rPr>
      </w:pPr>
    </w:p>
    <w:p w14:paraId="0BC2163A" w14:textId="46D22FF4" w:rsidR="00A626E8" w:rsidRPr="009D09B2" w:rsidRDefault="009D09B2" w:rsidP="00A626E8">
      <w:pPr>
        <w:pStyle w:val="Body"/>
        <w:rPr>
          <w:rFonts w:ascii="Arial" w:hAnsi="Arial" w:cs="Arial"/>
          <w:b/>
          <w:bCs/>
        </w:rPr>
      </w:pPr>
      <w:r w:rsidRPr="009D09B2">
        <w:rPr>
          <w:rFonts w:ascii="Arial" w:hAnsi="Arial" w:cs="Arial"/>
          <w:b/>
          <w:bCs/>
        </w:rPr>
        <w:t>Overall Preparedness for Industry Immersion</w:t>
      </w:r>
    </w:p>
    <w:p w14:paraId="347B91A1" w14:textId="1266E5FF" w:rsidR="009D09B2" w:rsidRDefault="009D09B2" w:rsidP="00A626E8">
      <w:pPr>
        <w:pStyle w:val="Body"/>
        <w:rPr>
          <w:rFonts w:ascii="Arial" w:hAnsi="Arial" w:cs="Arial"/>
        </w:rPr>
      </w:pPr>
      <w:r w:rsidRPr="009D09B2">
        <w:rPr>
          <w:rFonts w:ascii="Arial" w:hAnsi="Arial" w:cs="Arial"/>
        </w:rPr>
        <w:t xml:space="preserve">Table 3 shows that students demonstrated a very high level of preparedness in both technical skills (WM = 3.60) and soft skills (WM = 3.55). The overall mean of 3.58 confirms that the </w:t>
      </w:r>
      <w:proofErr w:type="spellStart"/>
      <w:r w:rsidRPr="009D09B2">
        <w:rPr>
          <w:rFonts w:ascii="Arial" w:hAnsi="Arial" w:cs="Arial"/>
        </w:rPr>
        <w:t>BSInTech</w:t>
      </w:r>
      <w:proofErr w:type="spellEnd"/>
      <w:r w:rsidRPr="009D09B2">
        <w:rPr>
          <w:rFonts w:ascii="Arial" w:hAnsi="Arial" w:cs="Arial"/>
        </w:rPr>
        <w:t>–Electrical Technology program equips learners with competencies aligned with industry expectations. This suggests that the curriculum and training modalities effectively support the development of both practical and interpersonal skills needed for industry immersion.</w:t>
      </w:r>
    </w:p>
    <w:p w14:paraId="77B8B14A" w14:textId="77777777" w:rsidR="009D09B2" w:rsidRDefault="009D09B2" w:rsidP="00A626E8">
      <w:pPr>
        <w:pStyle w:val="Body"/>
        <w:rPr>
          <w:rFonts w:ascii="Arial" w:hAnsi="Arial" w:cs="Arial"/>
        </w:rPr>
      </w:pPr>
    </w:p>
    <w:p w14:paraId="6FE4B1FF" w14:textId="77777777" w:rsidR="009D09B2" w:rsidRDefault="009D09B2" w:rsidP="00A626E8">
      <w:pPr>
        <w:pStyle w:val="Body"/>
        <w:rPr>
          <w:rFonts w:ascii="Arial" w:hAnsi="Arial" w:cs="Arial"/>
        </w:rPr>
      </w:pPr>
    </w:p>
    <w:p w14:paraId="0E970414" w14:textId="037663F0" w:rsidR="00A626E8" w:rsidRPr="00A626E8" w:rsidRDefault="00A626E8" w:rsidP="00A626E8">
      <w:pPr>
        <w:pStyle w:val="Body"/>
        <w:rPr>
          <w:rFonts w:ascii="Arial" w:hAnsi="Arial" w:cs="Arial"/>
        </w:rPr>
      </w:pPr>
      <w:r w:rsidRPr="00A626E8">
        <w:rPr>
          <w:rFonts w:ascii="Arial" w:hAnsi="Arial" w:cs="Arial"/>
        </w:rPr>
        <w:t>Table 3. Overall Preparedness for Industry Immersion of Electrical Technology Students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178"/>
        <w:gridCol w:w="2682"/>
      </w:tblGrid>
      <w:tr w:rsidR="00A626E8" w14:paraId="13EB0C95" w14:textId="77777777" w:rsidTr="009D09B2">
        <w:trPr>
          <w:trHeight w:val="341"/>
        </w:trPr>
        <w:tc>
          <w:tcPr>
            <w:tcW w:w="3330" w:type="dxa"/>
            <w:tcBorders>
              <w:top w:val="single" w:sz="4" w:space="0" w:color="auto"/>
              <w:bottom w:val="single" w:sz="4" w:space="0" w:color="auto"/>
            </w:tcBorders>
            <w:vAlign w:val="center"/>
          </w:tcPr>
          <w:p w14:paraId="5FFE2905" w14:textId="3F68BC8D" w:rsidR="00A626E8" w:rsidRPr="00A626E8" w:rsidRDefault="00A626E8" w:rsidP="00A626E8">
            <w:pPr>
              <w:pStyle w:val="Body"/>
              <w:spacing w:after="0"/>
              <w:jc w:val="center"/>
              <w:rPr>
                <w:rFonts w:ascii="Arial" w:hAnsi="Arial" w:cs="Arial"/>
                <w:b/>
                <w:bCs/>
              </w:rPr>
            </w:pPr>
            <w:r w:rsidRPr="00A626E8">
              <w:rPr>
                <w:b/>
                <w:bCs/>
              </w:rPr>
              <w:t>Category</w:t>
            </w:r>
          </w:p>
        </w:tc>
        <w:tc>
          <w:tcPr>
            <w:tcW w:w="2178" w:type="dxa"/>
            <w:tcBorders>
              <w:top w:val="single" w:sz="4" w:space="0" w:color="auto"/>
              <w:bottom w:val="single" w:sz="4" w:space="0" w:color="auto"/>
            </w:tcBorders>
            <w:vAlign w:val="center"/>
          </w:tcPr>
          <w:p w14:paraId="34788447" w14:textId="30164E55" w:rsidR="00A626E8" w:rsidRPr="00A626E8" w:rsidRDefault="00A626E8" w:rsidP="00A626E8">
            <w:pPr>
              <w:pStyle w:val="Body"/>
              <w:spacing w:after="0"/>
              <w:jc w:val="center"/>
              <w:rPr>
                <w:rFonts w:ascii="Arial" w:hAnsi="Arial" w:cs="Arial"/>
                <w:b/>
                <w:bCs/>
              </w:rPr>
            </w:pPr>
            <w:r w:rsidRPr="00A626E8">
              <w:rPr>
                <w:b/>
                <w:bCs/>
              </w:rPr>
              <w:t>Mean</w:t>
            </w:r>
          </w:p>
        </w:tc>
        <w:tc>
          <w:tcPr>
            <w:tcW w:w="2682" w:type="dxa"/>
            <w:tcBorders>
              <w:top w:val="single" w:sz="4" w:space="0" w:color="auto"/>
              <w:bottom w:val="single" w:sz="4" w:space="0" w:color="auto"/>
            </w:tcBorders>
            <w:vAlign w:val="center"/>
          </w:tcPr>
          <w:p w14:paraId="0E775B02" w14:textId="62C7D5F0" w:rsidR="00A626E8" w:rsidRPr="00A626E8" w:rsidRDefault="00A626E8" w:rsidP="00A626E8">
            <w:pPr>
              <w:pStyle w:val="Body"/>
              <w:spacing w:after="0"/>
              <w:jc w:val="center"/>
              <w:rPr>
                <w:rFonts w:ascii="Arial" w:hAnsi="Arial" w:cs="Arial"/>
                <w:b/>
                <w:bCs/>
              </w:rPr>
            </w:pPr>
            <w:r w:rsidRPr="00A626E8">
              <w:rPr>
                <w:b/>
                <w:bCs/>
              </w:rPr>
              <w:t>Interpretation</w:t>
            </w:r>
          </w:p>
        </w:tc>
      </w:tr>
      <w:tr w:rsidR="00A626E8" w14:paraId="6EDC323C" w14:textId="77777777" w:rsidTr="009D09B2">
        <w:tc>
          <w:tcPr>
            <w:tcW w:w="3330" w:type="dxa"/>
            <w:tcBorders>
              <w:top w:val="single" w:sz="4" w:space="0" w:color="auto"/>
            </w:tcBorders>
          </w:tcPr>
          <w:p w14:paraId="3B4E7417" w14:textId="276747D5" w:rsidR="00A626E8" w:rsidRDefault="00A626E8" w:rsidP="00A626E8">
            <w:pPr>
              <w:pStyle w:val="Body"/>
              <w:spacing w:after="0"/>
              <w:rPr>
                <w:rFonts w:ascii="Arial" w:hAnsi="Arial" w:cs="Arial"/>
              </w:rPr>
            </w:pPr>
            <w:r w:rsidRPr="009C1B4D">
              <w:t>Technical Skills Preparedness</w:t>
            </w:r>
          </w:p>
        </w:tc>
        <w:tc>
          <w:tcPr>
            <w:tcW w:w="2178" w:type="dxa"/>
            <w:tcBorders>
              <w:top w:val="single" w:sz="4" w:space="0" w:color="auto"/>
            </w:tcBorders>
          </w:tcPr>
          <w:p w14:paraId="4BC86687" w14:textId="403B8295" w:rsidR="00A626E8" w:rsidRDefault="00A626E8" w:rsidP="00A626E8">
            <w:pPr>
              <w:pStyle w:val="Body"/>
              <w:spacing w:after="0"/>
              <w:jc w:val="center"/>
              <w:rPr>
                <w:rFonts w:ascii="Arial" w:hAnsi="Arial" w:cs="Arial"/>
              </w:rPr>
            </w:pPr>
            <w:r w:rsidRPr="009C1B4D">
              <w:t>3.60</w:t>
            </w:r>
          </w:p>
        </w:tc>
        <w:tc>
          <w:tcPr>
            <w:tcW w:w="2682" w:type="dxa"/>
            <w:tcBorders>
              <w:top w:val="single" w:sz="4" w:space="0" w:color="auto"/>
            </w:tcBorders>
          </w:tcPr>
          <w:p w14:paraId="62123084" w14:textId="460D5D8E" w:rsidR="00A626E8" w:rsidRDefault="00A626E8" w:rsidP="00A626E8">
            <w:pPr>
              <w:pStyle w:val="Body"/>
              <w:spacing w:after="0"/>
              <w:jc w:val="center"/>
              <w:rPr>
                <w:rFonts w:ascii="Arial" w:hAnsi="Arial" w:cs="Arial"/>
              </w:rPr>
            </w:pPr>
            <w:r w:rsidRPr="009C1B4D">
              <w:t>Very High Preparedness</w:t>
            </w:r>
          </w:p>
        </w:tc>
      </w:tr>
      <w:tr w:rsidR="00A626E8" w14:paraId="785A3317" w14:textId="77777777" w:rsidTr="009D09B2">
        <w:tc>
          <w:tcPr>
            <w:tcW w:w="3330" w:type="dxa"/>
          </w:tcPr>
          <w:p w14:paraId="1080126C" w14:textId="09CAD8BF" w:rsidR="00A626E8" w:rsidRDefault="00A626E8" w:rsidP="00A626E8">
            <w:pPr>
              <w:pStyle w:val="Body"/>
              <w:spacing w:after="0"/>
              <w:rPr>
                <w:rFonts w:ascii="Arial" w:hAnsi="Arial" w:cs="Arial"/>
              </w:rPr>
            </w:pPr>
            <w:r w:rsidRPr="009C1B4D">
              <w:t>Soft Skills Preparedness</w:t>
            </w:r>
          </w:p>
        </w:tc>
        <w:tc>
          <w:tcPr>
            <w:tcW w:w="2178" w:type="dxa"/>
          </w:tcPr>
          <w:p w14:paraId="1C4F7EFF" w14:textId="45E9C7CA" w:rsidR="00A626E8" w:rsidRDefault="00A626E8" w:rsidP="00A626E8">
            <w:pPr>
              <w:pStyle w:val="Body"/>
              <w:spacing w:after="0"/>
              <w:jc w:val="center"/>
              <w:rPr>
                <w:rFonts w:ascii="Arial" w:hAnsi="Arial" w:cs="Arial"/>
              </w:rPr>
            </w:pPr>
            <w:r w:rsidRPr="009C1B4D">
              <w:t>3.55</w:t>
            </w:r>
          </w:p>
        </w:tc>
        <w:tc>
          <w:tcPr>
            <w:tcW w:w="2682" w:type="dxa"/>
          </w:tcPr>
          <w:p w14:paraId="30C7B43C" w14:textId="34A27743" w:rsidR="00A626E8" w:rsidRDefault="00A626E8" w:rsidP="00A626E8">
            <w:pPr>
              <w:pStyle w:val="Body"/>
              <w:spacing w:after="0"/>
              <w:jc w:val="center"/>
              <w:rPr>
                <w:rFonts w:ascii="Arial" w:hAnsi="Arial" w:cs="Arial"/>
              </w:rPr>
            </w:pPr>
            <w:r w:rsidRPr="009C1B4D">
              <w:t>Very High Preparedness</w:t>
            </w:r>
          </w:p>
        </w:tc>
      </w:tr>
      <w:tr w:rsidR="00A626E8" w14:paraId="4A3DABB5" w14:textId="77777777" w:rsidTr="009D09B2">
        <w:tc>
          <w:tcPr>
            <w:tcW w:w="3330" w:type="dxa"/>
            <w:tcBorders>
              <w:bottom w:val="single" w:sz="4" w:space="0" w:color="auto"/>
            </w:tcBorders>
          </w:tcPr>
          <w:p w14:paraId="3766FCA1" w14:textId="57C607E0" w:rsidR="00A626E8" w:rsidRDefault="00A626E8" w:rsidP="00A626E8">
            <w:pPr>
              <w:pStyle w:val="Body"/>
              <w:spacing w:after="0"/>
              <w:jc w:val="center"/>
              <w:rPr>
                <w:rFonts w:ascii="Arial" w:hAnsi="Arial" w:cs="Arial"/>
              </w:rPr>
            </w:pPr>
            <w:r w:rsidRPr="009C1B4D">
              <w:t>Overall Mean</w:t>
            </w:r>
          </w:p>
        </w:tc>
        <w:tc>
          <w:tcPr>
            <w:tcW w:w="2178" w:type="dxa"/>
            <w:tcBorders>
              <w:bottom w:val="single" w:sz="4" w:space="0" w:color="auto"/>
            </w:tcBorders>
          </w:tcPr>
          <w:p w14:paraId="04F68F53" w14:textId="6329019A" w:rsidR="00A626E8" w:rsidRDefault="00A626E8" w:rsidP="00A626E8">
            <w:pPr>
              <w:pStyle w:val="Body"/>
              <w:spacing w:after="0"/>
              <w:jc w:val="center"/>
              <w:rPr>
                <w:rFonts w:ascii="Arial" w:hAnsi="Arial" w:cs="Arial"/>
              </w:rPr>
            </w:pPr>
            <w:r w:rsidRPr="009C1B4D">
              <w:t>3.58</w:t>
            </w:r>
          </w:p>
        </w:tc>
        <w:tc>
          <w:tcPr>
            <w:tcW w:w="2682" w:type="dxa"/>
            <w:tcBorders>
              <w:bottom w:val="single" w:sz="4" w:space="0" w:color="auto"/>
            </w:tcBorders>
          </w:tcPr>
          <w:p w14:paraId="01E506AC" w14:textId="372F59FF" w:rsidR="00A626E8" w:rsidRDefault="00A626E8" w:rsidP="00A626E8">
            <w:pPr>
              <w:pStyle w:val="Body"/>
              <w:spacing w:after="0"/>
              <w:jc w:val="center"/>
              <w:rPr>
                <w:rFonts w:ascii="Arial" w:hAnsi="Arial" w:cs="Arial"/>
              </w:rPr>
            </w:pPr>
            <w:r w:rsidRPr="009C1B4D">
              <w:t>Very High Preparedness</w:t>
            </w:r>
          </w:p>
        </w:tc>
      </w:tr>
    </w:tbl>
    <w:p w14:paraId="354B69AF" w14:textId="77777777" w:rsidR="00A626E8" w:rsidRPr="00A626E8" w:rsidRDefault="00A626E8" w:rsidP="00A626E8">
      <w:pPr>
        <w:pStyle w:val="Body"/>
        <w:spacing w:after="0"/>
        <w:rPr>
          <w:rFonts w:ascii="Arial" w:hAnsi="Arial" w:cs="Arial"/>
          <w:sz w:val="28"/>
          <w:szCs w:val="28"/>
        </w:rPr>
      </w:pPr>
    </w:p>
    <w:p w14:paraId="3E824C6E" w14:textId="10D928C9" w:rsidR="00A626E8" w:rsidRPr="00A626E8" w:rsidRDefault="00A626E8" w:rsidP="00A626E8">
      <w:pPr>
        <w:pStyle w:val="Body"/>
        <w:rPr>
          <w:rFonts w:ascii="Arial" w:hAnsi="Arial" w:cs="Arial"/>
        </w:rPr>
      </w:pPr>
      <w:r w:rsidRPr="00A626E8">
        <w:rPr>
          <w:rFonts w:ascii="Arial" w:hAnsi="Arial" w:cs="Arial"/>
        </w:rPr>
        <w:t>Overall, the findings revealed that the respondents exhibited a very high level of preparedness in both technical and soft skills. This indicates that the Electrical Technology program successfully integrates theoretical instruction with applied training, ensuring that students are work-ready upon entering their industry placements. The program’s emphasis on outcomes-based and experiential learning allows students to translate academic knowledge into practical skills, which strengthens their adaptability and confidence in professional environments (</w:t>
      </w:r>
      <w:proofErr w:type="spellStart"/>
      <w:r w:rsidR="00020E84" w:rsidRPr="00020E84">
        <w:rPr>
          <w:rFonts w:ascii="Arial" w:hAnsi="Arial" w:cs="Arial"/>
        </w:rPr>
        <w:t>Atitsogbe</w:t>
      </w:r>
      <w:proofErr w:type="spellEnd"/>
      <w:r w:rsidR="00020E84" w:rsidRPr="00020E84">
        <w:rPr>
          <w:rFonts w:ascii="Arial" w:hAnsi="Arial" w:cs="Arial"/>
        </w:rPr>
        <w:t xml:space="preserve"> et al., 2019</w:t>
      </w:r>
      <w:r w:rsidRPr="00A626E8">
        <w:rPr>
          <w:rFonts w:ascii="Arial" w:hAnsi="Arial" w:cs="Arial"/>
        </w:rPr>
        <w:t xml:space="preserve">; </w:t>
      </w:r>
      <w:r w:rsidR="00020E84" w:rsidRPr="00020E84">
        <w:rPr>
          <w:rFonts w:ascii="Arial" w:hAnsi="Arial" w:cs="Arial"/>
        </w:rPr>
        <w:t>Motta &amp; Galina, 2022</w:t>
      </w:r>
      <w:r w:rsidRPr="00A626E8">
        <w:rPr>
          <w:rFonts w:ascii="Arial" w:hAnsi="Arial" w:cs="Arial"/>
        </w:rPr>
        <w:t>).</w:t>
      </w:r>
    </w:p>
    <w:p w14:paraId="5DD141ED" w14:textId="32803E92" w:rsidR="00A626E8" w:rsidRPr="009D09B2" w:rsidRDefault="009D09B2" w:rsidP="009D09B2">
      <w:pPr>
        <w:pStyle w:val="Body"/>
        <w:rPr>
          <w:rFonts w:ascii="Arial" w:hAnsi="Arial" w:cs="Arial"/>
          <w:b/>
          <w:bCs/>
          <w:sz w:val="22"/>
          <w:szCs w:val="22"/>
        </w:rPr>
      </w:pPr>
      <w:r w:rsidRPr="009D09B2">
        <w:rPr>
          <w:rFonts w:ascii="Arial" w:hAnsi="Arial" w:cs="Arial"/>
          <w:b/>
          <w:bCs/>
          <w:sz w:val="22"/>
          <w:szCs w:val="22"/>
        </w:rPr>
        <w:t>3.2 DISCUSSION</w:t>
      </w:r>
    </w:p>
    <w:p w14:paraId="4D38C4FF" w14:textId="035398D2" w:rsidR="009D09B2" w:rsidRPr="009D09B2" w:rsidRDefault="009D09B2" w:rsidP="009D09B2">
      <w:pPr>
        <w:pStyle w:val="Body"/>
        <w:rPr>
          <w:rFonts w:ascii="Arial" w:hAnsi="Arial" w:cs="Arial"/>
        </w:rPr>
      </w:pPr>
      <w:r w:rsidRPr="009D09B2">
        <w:rPr>
          <w:rFonts w:ascii="Arial" w:hAnsi="Arial" w:cs="Arial"/>
        </w:rPr>
        <w:t xml:space="preserve">The findings of this study affirm that </w:t>
      </w:r>
      <w:proofErr w:type="spellStart"/>
      <w:r w:rsidRPr="009D09B2">
        <w:rPr>
          <w:rFonts w:ascii="Arial" w:hAnsi="Arial" w:cs="Arial"/>
        </w:rPr>
        <w:t>BSInTech</w:t>
      </w:r>
      <w:proofErr w:type="spellEnd"/>
      <w:r w:rsidRPr="009D09B2">
        <w:rPr>
          <w:rFonts w:ascii="Arial" w:hAnsi="Arial" w:cs="Arial"/>
        </w:rPr>
        <w:t>–Electrical Technology students are generally well-prepared for industry immersion. Their strong performance in electrical installation, tools handling, and safety compliance indicates that hands-on laboratory experiences and competency-based activities in the program are effective. The high ratings across these areas reflect the program’s emphasis on practical learning and skill demonstration, which are essential for technical roles in the electrical sector.</w:t>
      </w:r>
    </w:p>
    <w:p w14:paraId="596E35AD" w14:textId="2F9BB3F5" w:rsidR="009D09B2" w:rsidRPr="009D09B2" w:rsidRDefault="009D09B2" w:rsidP="009D09B2">
      <w:pPr>
        <w:pStyle w:val="Body"/>
        <w:rPr>
          <w:rFonts w:ascii="Arial" w:hAnsi="Arial" w:cs="Arial"/>
        </w:rPr>
      </w:pPr>
      <w:r w:rsidRPr="009D09B2">
        <w:rPr>
          <w:rFonts w:ascii="Arial" w:hAnsi="Arial" w:cs="Arial"/>
        </w:rPr>
        <w:t>Despite the overall strong technical foundation, the relatively lower rating in troubleshooting and repair suggests a need for more exposure to real-world electrical system failures and diagnostic challenges. Troubleshooting requires not only technical knowledge but also analytical reasoning and adaptation to unpredictable scenarios, which may not always be replicated in classroom settings. Strengthening laboratory simulations, supervised industry-based tasks, and complex troubleshooting modules may address this gap.</w:t>
      </w:r>
    </w:p>
    <w:p w14:paraId="5DD8C81A" w14:textId="2F5D769A" w:rsidR="009D09B2" w:rsidRPr="009D09B2" w:rsidRDefault="009D09B2" w:rsidP="009D09B2">
      <w:pPr>
        <w:pStyle w:val="Body"/>
        <w:rPr>
          <w:rFonts w:ascii="Arial" w:hAnsi="Arial" w:cs="Arial"/>
        </w:rPr>
      </w:pPr>
      <w:r w:rsidRPr="009D09B2">
        <w:rPr>
          <w:rFonts w:ascii="Arial" w:hAnsi="Arial" w:cs="Arial"/>
        </w:rPr>
        <w:t>The findings also highlight an important concern in technical knowledge and documentation. While students understand concepts, their confidence in preparing reports and technical documents appears limited. Literature consistently points out that documentation and technical writing are often underemphasized in technology and engineering curricula, despite being essential to successful communication in the workplace (Markel &amp; Selber, 2021). Poor documentation can lead to inefficiencies, miscommunication, and loss of organizational knowledge (</w:t>
      </w:r>
      <w:proofErr w:type="spellStart"/>
      <w:r w:rsidRPr="009D09B2">
        <w:rPr>
          <w:rFonts w:ascii="Arial" w:hAnsi="Arial" w:cs="Arial"/>
        </w:rPr>
        <w:t>Blicq</w:t>
      </w:r>
      <w:proofErr w:type="spellEnd"/>
      <w:r w:rsidRPr="009D09B2">
        <w:rPr>
          <w:rFonts w:ascii="Arial" w:hAnsi="Arial" w:cs="Arial"/>
        </w:rPr>
        <w:t xml:space="preserve"> &amp; Moretto, 2019). Thus, integrating more structured writing tasks, peer feedback activities, and documentation-focused project simulations may improve students’ proficiency and confidence in this area.</w:t>
      </w:r>
    </w:p>
    <w:p w14:paraId="618C145C" w14:textId="391A6976" w:rsidR="009D09B2" w:rsidRPr="009D09B2" w:rsidRDefault="009D09B2" w:rsidP="009D09B2">
      <w:pPr>
        <w:pStyle w:val="Body"/>
        <w:rPr>
          <w:rFonts w:ascii="Arial" w:hAnsi="Arial" w:cs="Arial"/>
        </w:rPr>
      </w:pPr>
      <w:r w:rsidRPr="009D09B2">
        <w:rPr>
          <w:rFonts w:ascii="Arial" w:hAnsi="Arial" w:cs="Arial"/>
        </w:rPr>
        <w:t>In terms of soft skills, the results show that teamwork, professionalism, and responsibility are well-developed among students. This indicates that collaborative activities, classroom group work, and the program’s emphasis on discipline and accountability effectively cultivate positive work behavior.</w:t>
      </w:r>
    </w:p>
    <w:p w14:paraId="57CC6EF5" w14:textId="27581C76" w:rsidR="009D09B2" w:rsidRPr="009D09B2" w:rsidRDefault="009D09B2" w:rsidP="009D09B2">
      <w:pPr>
        <w:pStyle w:val="Body"/>
        <w:rPr>
          <w:rFonts w:ascii="Arial" w:hAnsi="Arial" w:cs="Arial"/>
        </w:rPr>
      </w:pPr>
      <w:r w:rsidRPr="009D09B2">
        <w:rPr>
          <w:rFonts w:ascii="Arial" w:hAnsi="Arial" w:cs="Arial"/>
        </w:rPr>
        <w:t>However, communication skills and problem-solving under pressure received lower ratings. These results align with previous research suggest that many technology students often face challenges in articulating technical ideas and applying critical thinking in stressful situations (Chan &amp; Chui, 2021; Lau, 2017). To strengthen these skills, teaching strategies such as case analysis, group presentations, scenario-based discussions, and simulations of workplace challenges can be used. Regular feedback and reflective exercises are also beneficial, as they help students identify weaknesses and track their personal growth (Murphy et al., 2020).</w:t>
      </w:r>
    </w:p>
    <w:p w14:paraId="46525DA0" w14:textId="4D6D8C4B" w:rsidR="009D09B2" w:rsidRPr="009D09B2" w:rsidRDefault="009D09B2" w:rsidP="009D09B2">
      <w:pPr>
        <w:pStyle w:val="Body"/>
        <w:rPr>
          <w:rFonts w:ascii="Arial" w:hAnsi="Arial" w:cs="Arial"/>
        </w:rPr>
      </w:pPr>
      <w:r w:rsidRPr="009D09B2">
        <w:rPr>
          <w:rFonts w:ascii="Arial" w:hAnsi="Arial" w:cs="Arial"/>
        </w:rPr>
        <w:t xml:space="preserve">Overall, the very high preparedness score across both domains demonstrates the effectiveness of MMSU’s outcomes-based and experiential learning approach. Consistent with the observations of </w:t>
      </w:r>
      <w:proofErr w:type="spellStart"/>
      <w:r w:rsidR="00020E84" w:rsidRPr="00020E84">
        <w:rPr>
          <w:rFonts w:ascii="Arial" w:hAnsi="Arial" w:cs="Arial"/>
        </w:rPr>
        <w:t>Atitsogbe</w:t>
      </w:r>
      <w:proofErr w:type="spellEnd"/>
      <w:r w:rsidR="00020E84" w:rsidRPr="00020E84">
        <w:rPr>
          <w:rFonts w:ascii="Arial" w:hAnsi="Arial" w:cs="Arial"/>
        </w:rPr>
        <w:t xml:space="preserve"> et al.</w:t>
      </w:r>
      <w:r w:rsidR="00020E84">
        <w:rPr>
          <w:rFonts w:ascii="Arial" w:hAnsi="Arial" w:cs="Arial"/>
        </w:rPr>
        <w:t xml:space="preserve"> (</w:t>
      </w:r>
      <w:r w:rsidR="00020E84" w:rsidRPr="00020E84">
        <w:rPr>
          <w:rFonts w:ascii="Arial" w:hAnsi="Arial" w:cs="Arial"/>
        </w:rPr>
        <w:t>2019</w:t>
      </w:r>
      <w:r w:rsidRPr="009D09B2">
        <w:rPr>
          <w:rFonts w:ascii="Arial" w:hAnsi="Arial" w:cs="Arial"/>
        </w:rPr>
        <w:t xml:space="preserve">) and </w:t>
      </w:r>
      <w:r w:rsidR="00020E84" w:rsidRPr="00020E84">
        <w:rPr>
          <w:rFonts w:ascii="Arial" w:hAnsi="Arial" w:cs="Arial"/>
        </w:rPr>
        <w:t>Motta &amp; Galina</w:t>
      </w:r>
      <w:r w:rsidR="00020E84">
        <w:rPr>
          <w:rFonts w:ascii="Arial" w:hAnsi="Arial" w:cs="Arial"/>
        </w:rPr>
        <w:t xml:space="preserve"> (</w:t>
      </w:r>
      <w:r w:rsidR="00020E84" w:rsidRPr="00020E84">
        <w:rPr>
          <w:rFonts w:ascii="Arial" w:hAnsi="Arial" w:cs="Arial"/>
        </w:rPr>
        <w:t>2022</w:t>
      </w:r>
      <w:r w:rsidRPr="009D09B2">
        <w:rPr>
          <w:rFonts w:ascii="Arial" w:hAnsi="Arial" w:cs="Arial"/>
        </w:rPr>
        <w:t>)</w:t>
      </w:r>
      <w:r w:rsidR="00020E84">
        <w:rPr>
          <w:rFonts w:ascii="Arial" w:hAnsi="Arial" w:cs="Arial"/>
        </w:rPr>
        <w:t xml:space="preserve"> </w:t>
      </w:r>
      <w:r w:rsidRPr="009D09B2">
        <w:rPr>
          <w:rFonts w:ascii="Arial" w:hAnsi="Arial" w:cs="Arial"/>
        </w:rPr>
        <w:t>programs that integrate hands-on experiences and real-world tasks significantly enhance student readiness for industry.</w:t>
      </w:r>
    </w:p>
    <w:p w14:paraId="64F57F08" w14:textId="54BC21FC" w:rsidR="00790ADA" w:rsidRDefault="009D09B2" w:rsidP="00632502">
      <w:pPr>
        <w:pStyle w:val="Body"/>
        <w:rPr>
          <w:rFonts w:ascii="Arial" w:hAnsi="Arial" w:cs="Arial"/>
        </w:rPr>
      </w:pPr>
      <w:r w:rsidRPr="009D09B2">
        <w:rPr>
          <w:rFonts w:ascii="Arial" w:hAnsi="Arial" w:cs="Arial"/>
        </w:rPr>
        <w:t>Nevertheless, continuous curriculum enhancement remains necessary. Strengthening technical documentation, advanced troubleshooting, and communication-oriented activities will help produce electrical technologists who are not only competent in the field but also capable of addressing complex workplace demands. These targeted improvements will further equip students to become competitive, adaptable, and industry-ready professionals.</w:t>
      </w:r>
    </w:p>
    <w:p w14:paraId="2F9BA4F3" w14:textId="77777777" w:rsidR="00A626E8" w:rsidRPr="00FB3A86" w:rsidRDefault="00A626E8" w:rsidP="00441B6F">
      <w:pPr>
        <w:pStyle w:val="Body"/>
        <w:spacing w:after="0"/>
        <w:rPr>
          <w:rFonts w:ascii="Arial" w:hAnsi="Arial" w:cs="Arial"/>
        </w:rPr>
      </w:pPr>
    </w:p>
    <w:p w14:paraId="391733F1" w14:textId="7B3CB44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632502" w:rsidRPr="00632502">
        <w:t xml:space="preserve"> </w:t>
      </w:r>
      <w:r w:rsidR="00632502" w:rsidRPr="00632502">
        <w:rPr>
          <w:rFonts w:ascii="Arial" w:hAnsi="Arial" w:cs="Arial"/>
        </w:rPr>
        <w:t>AND RECOMMENDATIONS</w:t>
      </w:r>
    </w:p>
    <w:p w14:paraId="4A307CD1" w14:textId="77777777" w:rsidR="00790ADA" w:rsidRPr="00FB3A86" w:rsidRDefault="00790ADA" w:rsidP="00441B6F">
      <w:pPr>
        <w:pStyle w:val="ConcHead"/>
        <w:spacing w:after="0"/>
        <w:jc w:val="both"/>
        <w:rPr>
          <w:rFonts w:ascii="Arial" w:hAnsi="Arial" w:cs="Arial"/>
        </w:rPr>
      </w:pPr>
    </w:p>
    <w:p w14:paraId="6098B7DC" w14:textId="36695B6E" w:rsidR="00632502" w:rsidRPr="00632502" w:rsidRDefault="00632502" w:rsidP="00632502">
      <w:pPr>
        <w:pStyle w:val="Body"/>
        <w:rPr>
          <w:rFonts w:ascii="Arial" w:hAnsi="Arial" w:cs="Arial"/>
        </w:rPr>
      </w:pPr>
      <w:r w:rsidRPr="00632502">
        <w:rPr>
          <w:rFonts w:ascii="Arial" w:hAnsi="Arial" w:cs="Arial"/>
        </w:rPr>
        <w:t>The findings of this study indicate that Bachelor of Science in Industrial Technology students majoring in Electrical Technology at MMSU exhibit a very high level of preparedness for industry immersion, both in technical and soft skills. Their strongest competencies include electrical installation, handling of tools and equipment, teamwork, professionalism, and time management, highlighting the program’s effectiveness in cultivating skills essential for real-world performance. These results affirm that the integration of outcomes-based and experiential learning strategies has successfully bridged theoretical instruction with practical application, producing graduates who are industry-ready.</w:t>
      </w:r>
    </w:p>
    <w:p w14:paraId="6D1EA9BA" w14:textId="4055CB69" w:rsidR="00632502" w:rsidRPr="00632502" w:rsidRDefault="00632502" w:rsidP="00632502">
      <w:pPr>
        <w:pStyle w:val="Body"/>
        <w:rPr>
          <w:rFonts w:ascii="Arial" w:hAnsi="Arial" w:cs="Arial"/>
        </w:rPr>
      </w:pPr>
      <w:r w:rsidRPr="00632502">
        <w:rPr>
          <w:rFonts w:ascii="Arial" w:hAnsi="Arial" w:cs="Arial"/>
        </w:rPr>
        <w:t>Despite these strengths, areas for further development remain, particularly in technical documentation, communication skills, problem-solving, and complex troubleshooting. Mastery in these domains is critical for sustaining workplace effectiveness, promoting safety, and enhancing collaborative performance. Addressing these gaps through targeted problem-based learning, documentation-intensive exercises, scenario-based simulations, and authentic project assignments can further refine students’ technical competence, interpersonal skills, and adaptability in dynamic industrial environments.</w:t>
      </w:r>
    </w:p>
    <w:p w14:paraId="6E1552C8" w14:textId="02E54E1A" w:rsidR="00632502" w:rsidRPr="00632502" w:rsidRDefault="00632502" w:rsidP="00632502">
      <w:pPr>
        <w:pStyle w:val="Body"/>
        <w:rPr>
          <w:rFonts w:ascii="Arial" w:hAnsi="Arial" w:cs="Arial"/>
        </w:rPr>
      </w:pPr>
      <w:r w:rsidRPr="00632502">
        <w:rPr>
          <w:rFonts w:ascii="Arial" w:hAnsi="Arial" w:cs="Arial"/>
        </w:rPr>
        <w:t>To strengthen preparedness, curriculum enhancements are recommended, including the integration of advanced troubleshooting modules, technical documentation workshops, and communication-focused activities within existing courses. Additionally, industry partnerships should be intensified to provide mentorship, hands-on projects, and real-world problem-solving experiences during immersion programs. Continuous assessment of both technical and soft skills prior to and during industry immersion is necessary to ensure alignment with evolving industry standards. Faculty development is also critical; instructors should be encouraged to participate in training programs that support the integration of transversal skills, employability competencies, and experiential learning strategies into technical subjects.</w:t>
      </w:r>
    </w:p>
    <w:p w14:paraId="413136B7" w14:textId="31F1E555" w:rsidR="00B01FCD" w:rsidRDefault="00632502" w:rsidP="00632502">
      <w:pPr>
        <w:pStyle w:val="Body"/>
        <w:spacing w:after="0"/>
        <w:rPr>
          <w:rFonts w:ascii="Arial" w:hAnsi="Arial" w:cs="Arial"/>
        </w:rPr>
      </w:pPr>
      <w:r w:rsidRPr="00632502">
        <w:rPr>
          <w:rFonts w:ascii="Arial" w:hAnsi="Arial" w:cs="Arial"/>
        </w:rPr>
        <w:t>Future research may explore longitudinal tracking of graduates’ performance in industry settings to assess the long-term impact of curriculum interventions. Comparative studies across technical specializations can also identify best practices for enhancing employability and work-readiness in industrial technology programs. In conclusion, the Electrical Technology program demonstrates strong effectiveness in producing competent, professional, and industry-ready graduates. By strategically addressing identified gaps and implementing continuous curriculum improvements, MMSU can ensure that future graduates not only meet but exceed the expectations of a rapidly evolving global workforce.</w:t>
      </w:r>
    </w:p>
    <w:p w14:paraId="24567885" w14:textId="77777777" w:rsidR="00303CBD" w:rsidRDefault="00303CBD" w:rsidP="00632502">
      <w:pPr>
        <w:pStyle w:val="Body"/>
        <w:spacing w:after="0"/>
        <w:rPr>
          <w:rFonts w:ascii="Arial" w:hAnsi="Arial" w:cs="Arial"/>
        </w:rPr>
      </w:pPr>
    </w:p>
    <w:p w14:paraId="388E6E29" w14:textId="77777777" w:rsidR="00303CBD" w:rsidRPr="00303CBD" w:rsidRDefault="00303CBD" w:rsidP="00303CBD">
      <w:pPr>
        <w:pStyle w:val="font-claude-response-body"/>
        <w:jc w:val="both"/>
        <w:rPr>
          <w:rFonts w:ascii="Arial" w:hAnsi="Arial" w:cs="Arial"/>
          <w:sz w:val="20"/>
          <w:szCs w:val="20"/>
        </w:rPr>
      </w:pPr>
      <w:r w:rsidRPr="00303CBD">
        <w:rPr>
          <w:rStyle w:val="Strong"/>
          <w:rFonts w:ascii="Arial" w:hAnsi="Arial" w:cs="Arial"/>
          <w:sz w:val="20"/>
          <w:szCs w:val="20"/>
        </w:rPr>
        <w:t>ACKNOWLEDGEMENT</w:t>
      </w:r>
    </w:p>
    <w:p w14:paraId="4B24F33C" w14:textId="77777777" w:rsidR="00303CBD" w:rsidRPr="00303CBD" w:rsidRDefault="00303CBD" w:rsidP="00303CBD">
      <w:pPr>
        <w:pStyle w:val="font-claude-response-body"/>
        <w:jc w:val="both"/>
        <w:rPr>
          <w:rFonts w:ascii="Arial" w:hAnsi="Arial" w:cs="Arial"/>
          <w:sz w:val="20"/>
          <w:szCs w:val="20"/>
        </w:rPr>
      </w:pPr>
      <w:r w:rsidRPr="00303CBD">
        <w:rPr>
          <w:rFonts w:ascii="Arial" w:hAnsi="Arial" w:cs="Arial"/>
          <w:sz w:val="20"/>
          <w:szCs w:val="20"/>
        </w:rPr>
        <w:t xml:space="preserve">The researchers would like to express their sincere gratitude to the female students of the BS </w:t>
      </w:r>
      <w:proofErr w:type="spellStart"/>
      <w:r w:rsidRPr="00303CBD">
        <w:rPr>
          <w:rFonts w:ascii="Arial" w:hAnsi="Arial" w:cs="Arial"/>
          <w:sz w:val="20"/>
          <w:szCs w:val="20"/>
        </w:rPr>
        <w:t>InTech</w:t>
      </w:r>
      <w:proofErr w:type="spellEnd"/>
      <w:r w:rsidRPr="00303CBD">
        <w:rPr>
          <w:rFonts w:ascii="Arial" w:hAnsi="Arial" w:cs="Arial"/>
          <w:sz w:val="20"/>
          <w:szCs w:val="20"/>
        </w:rPr>
        <w:t xml:space="preserve"> - Electrical Technology program who generously shared their experiences, insights, and perspectives for this study. Special thanks are extended to the faculty and administrative staff of the University that allowed us to conduct the study at their institution and for their support and assistance during data collection. The guidance of mentors and colleagues who provided valuable feedback throughout the research process is also deeply appreciated. Finally, the researchers acknowledge the encouragement of family and friends, whose support made this study possible.</w:t>
      </w:r>
    </w:p>
    <w:p w14:paraId="6394248E" w14:textId="77777777" w:rsidR="00303CBD" w:rsidRPr="00303CBD" w:rsidRDefault="00303CBD" w:rsidP="00303CBD">
      <w:pPr>
        <w:pStyle w:val="font-claude-response-body"/>
        <w:jc w:val="both"/>
        <w:rPr>
          <w:rFonts w:ascii="Arial" w:hAnsi="Arial" w:cs="Arial"/>
          <w:sz w:val="20"/>
          <w:szCs w:val="20"/>
        </w:rPr>
      </w:pPr>
      <w:r w:rsidRPr="00303CBD">
        <w:rPr>
          <w:rStyle w:val="Strong"/>
          <w:rFonts w:ascii="Arial" w:hAnsi="Arial" w:cs="Arial"/>
          <w:sz w:val="20"/>
          <w:szCs w:val="20"/>
        </w:rPr>
        <w:t>COMPETING INTEREST</w:t>
      </w:r>
    </w:p>
    <w:p w14:paraId="6F6A6E59" w14:textId="4796BC92" w:rsidR="00A6525E" w:rsidRPr="00303CBD" w:rsidRDefault="00303CBD" w:rsidP="00303CBD">
      <w:pPr>
        <w:pStyle w:val="font-claude-response-body"/>
        <w:jc w:val="both"/>
        <w:rPr>
          <w:rFonts w:ascii="Arial" w:hAnsi="Arial" w:cs="Arial"/>
          <w:sz w:val="20"/>
          <w:szCs w:val="20"/>
        </w:rPr>
      </w:pPr>
      <w:r w:rsidRPr="00303CBD">
        <w:rPr>
          <w:rFonts w:ascii="Arial" w:hAnsi="Arial" w:cs="Arial"/>
          <w:sz w:val="20"/>
          <w:szCs w:val="20"/>
        </w:rPr>
        <w:t>Authors have declared that no competing interests exist.</w:t>
      </w:r>
    </w:p>
    <w:p w14:paraId="10E0D985" w14:textId="4375F23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35836A36" w:rsidR="001A29D8" w:rsidRDefault="00150DE9" w:rsidP="00441B6F">
      <w:pPr>
        <w:pStyle w:val="ReferHead"/>
        <w:spacing w:after="0"/>
        <w:jc w:val="both"/>
        <w:rPr>
          <w:rFonts w:ascii="Arial" w:hAnsi="Arial" w:cs="Arial"/>
          <w:b w:val="0"/>
          <w:caps w:val="0"/>
          <w:sz w:val="20"/>
        </w:rPr>
      </w:pPr>
      <w:r w:rsidRPr="00150DE9">
        <w:rPr>
          <w:rFonts w:ascii="Arial" w:hAnsi="Arial" w:cs="Arial"/>
          <w:b w:val="0"/>
          <w:caps w:val="0"/>
          <w:sz w:val="20"/>
        </w:rPr>
        <w:t>All authors declare that written informed consent was obtained from all respondents prior to their participation in the study. Participation was voluntary, and respondents were assured of the confidentiality and anonymity of their responses.</w:t>
      </w:r>
    </w:p>
    <w:p w14:paraId="67A297D1" w14:textId="77777777" w:rsidR="00303CBD" w:rsidRPr="00303CBD" w:rsidRDefault="00303CBD" w:rsidP="00303CBD">
      <w:pPr>
        <w:pStyle w:val="font-claude-response-body"/>
        <w:jc w:val="both"/>
        <w:rPr>
          <w:rFonts w:ascii="Arial" w:hAnsi="Arial" w:cs="Arial"/>
          <w:sz w:val="20"/>
          <w:szCs w:val="20"/>
        </w:rPr>
      </w:pPr>
      <w:r w:rsidRPr="00303CBD">
        <w:rPr>
          <w:rStyle w:val="Strong"/>
          <w:rFonts w:ascii="Arial" w:hAnsi="Arial" w:cs="Arial"/>
          <w:sz w:val="20"/>
          <w:szCs w:val="20"/>
        </w:rPr>
        <w:t>AUTHORS' CONTRIBUTIONS</w:t>
      </w:r>
    </w:p>
    <w:p w14:paraId="1E353AF7" w14:textId="281216A0" w:rsidR="005C784C" w:rsidRPr="00303CBD" w:rsidRDefault="00303CBD" w:rsidP="00303CBD">
      <w:pPr>
        <w:pStyle w:val="font-claude-response-body"/>
        <w:jc w:val="both"/>
        <w:rPr>
          <w:rFonts w:ascii="Arial" w:hAnsi="Arial" w:cs="Arial"/>
          <w:sz w:val="20"/>
          <w:szCs w:val="20"/>
        </w:rPr>
      </w:pPr>
      <w:r>
        <w:rPr>
          <w:rFonts w:ascii="Arial" w:hAnsi="Arial" w:cs="Arial"/>
          <w:sz w:val="20"/>
          <w:szCs w:val="20"/>
        </w:rPr>
        <w:t>DLDG</w:t>
      </w:r>
      <w:r w:rsidRPr="00303CBD">
        <w:rPr>
          <w:rFonts w:ascii="Arial" w:hAnsi="Arial" w:cs="Arial"/>
          <w:sz w:val="20"/>
          <w:szCs w:val="20"/>
        </w:rPr>
        <w:t xml:space="preserve"> designed the study, developed the research protocol, conducted the statistical analyses, wrote the initial draft of the manuscript, and oversaw the overall management of the study. JKMR conducted the literature searches, assisted in data collection, and contributed to the analysis and interpretation of the data. All authors reviewed, provided feedback on, and approved the final manuscript.</w:t>
      </w:r>
    </w:p>
    <w:p w14:paraId="7B23D99D" w14:textId="65E038A5"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25182C29" w:rsidR="005C784C" w:rsidRDefault="00150DE9" w:rsidP="00441B6F">
      <w:pPr>
        <w:pStyle w:val="ReferHead"/>
        <w:spacing w:after="0"/>
        <w:jc w:val="both"/>
        <w:rPr>
          <w:rFonts w:ascii="Arial" w:hAnsi="Arial" w:cs="Arial"/>
          <w:b w:val="0"/>
          <w:caps w:val="0"/>
          <w:sz w:val="20"/>
        </w:rPr>
      </w:pPr>
      <w:r w:rsidRPr="00150DE9">
        <w:rPr>
          <w:rFonts w:ascii="Arial" w:hAnsi="Arial" w:cs="Arial"/>
          <w:b w:val="0"/>
          <w:caps w:val="0"/>
          <w:sz w:val="20"/>
        </w:rPr>
        <w:t>The authors declare that ethical clearance for this study was secured from a credible Philippine Higher Education Institution (HEI) prior to data collection. All procedures performed in this study involving human participants were conducted in accordance with the ethical standards of the institutional and national research committee and with the 1964 Declaration of Helsinki and its later amendments or comparable ethical standards. Furthermore, written informed consent was obtained from all respondents before their participation in the study.</w:t>
      </w:r>
    </w:p>
    <w:p w14:paraId="29E90A62" w14:textId="77777777" w:rsidR="00303CBD" w:rsidRDefault="00303CBD" w:rsidP="00441B6F">
      <w:pPr>
        <w:pStyle w:val="ReferHead"/>
        <w:spacing w:after="0"/>
        <w:jc w:val="both"/>
        <w:rPr>
          <w:rFonts w:ascii="Arial" w:hAnsi="Arial" w:cs="Arial"/>
          <w:b w:val="0"/>
          <w:caps w:val="0"/>
          <w:sz w:val="20"/>
        </w:rPr>
      </w:pPr>
    </w:p>
    <w:p w14:paraId="4D028696" w14:textId="77777777" w:rsidR="00303CBD" w:rsidRPr="0071049F" w:rsidRDefault="00303CBD" w:rsidP="00303CBD">
      <w:pPr>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71049F">
        <w:rPr>
          <w:rFonts w:ascii="Arial" w:eastAsia="Calibri" w:hAnsi="Arial" w:cs="Arial"/>
          <w:b/>
          <w:bCs/>
          <w:kern w:val="2"/>
          <w:sz w:val="22"/>
          <w:szCs w:val="22"/>
        </w:rPr>
        <w:t>DISCLAIMER (ARTIFICIAL INTELLIGENCE)</w:t>
      </w:r>
    </w:p>
    <w:p w14:paraId="74F209AC" w14:textId="77777777" w:rsidR="00303CBD" w:rsidRPr="0071049F" w:rsidRDefault="00303CBD" w:rsidP="00303CBD">
      <w:pPr>
        <w:rPr>
          <w:rFonts w:ascii="Arial" w:eastAsia="Calibri" w:hAnsi="Arial" w:cs="Arial"/>
          <w:kern w:val="2"/>
          <w:sz w:val="22"/>
          <w:szCs w:val="22"/>
        </w:rPr>
      </w:pPr>
    </w:p>
    <w:p w14:paraId="0469FBE1" w14:textId="77777777" w:rsidR="00303CBD" w:rsidRPr="0071049F" w:rsidRDefault="00303CBD" w:rsidP="00303CBD">
      <w:pPr>
        <w:rPr>
          <w:rFonts w:ascii="Arial" w:eastAsia="Calibri" w:hAnsi="Arial" w:cs="Arial"/>
          <w:kern w:val="2"/>
        </w:rPr>
      </w:pPr>
      <w:r w:rsidRPr="0071049F">
        <w:rPr>
          <w:rFonts w:ascii="Arial" w:eastAsia="Calibri" w:hAnsi="Arial" w:cs="Arial"/>
          <w:kern w:val="2"/>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F0ABE5" w14:textId="77777777" w:rsidR="00303CBD" w:rsidRPr="0071049F" w:rsidRDefault="00303CBD" w:rsidP="00303CBD">
      <w:pPr>
        <w:rPr>
          <w:rFonts w:ascii="Arial" w:eastAsia="Calibri" w:hAnsi="Arial" w:cs="Arial"/>
          <w:kern w:val="2"/>
        </w:rPr>
      </w:pPr>
      <w:r w:rsidRPr="0071049F">
        <w:rPr>
          <w:rFonts w:ascii="Arial" w:eastAsia="Calibri" w:hAnsi="Arial" w:cs="Arial"/>
          <w:kern w:val="2"/>
        </w:rPr>
        <w:t>Details of the AI usage are given below:</w:t>
      </w:r>
    </w:p>
    <w:bookmarkEnd w:id="0"/>
    <w:bookmarkEnd w:id="1"/>
    <w:bookmarkEnd w:id="2"/>
    <w:bookmarkEnd w:id="3"/>
    <w:p w14:paraId="5BFF6321" w14:textId="77777777" w:rsidR="00303CBD" w:rsidRPr="0071049F" w:rsidRDefault="00303CBD" w:rsidP="00303CBD">
      <w:pPr>
        <w:pStyle w:val="ReferHead"/>
        <w:numPr>
          <w:ilvl w:val="0"/>
          <w:numId w:val="31"/>
        </w:numPr>
        <w:spacing w:after="0"/>
        <w:jc w:val="both"/>
        <w:rPr>
          <w:rFonts w:ascii="Arial" w:eastAsia="Calibri" w:hAnsi="Arial" w:cs="Arial"/>
          <w:b w:val="0"/>
          <w:caps w:val="0"/>
          <w:kern w:val="2"/>
          <w:sz w:val="20"/>
        </w:rPr>
      </w:pPr>
      <w:r w:rsidRPr="0071049F">
        <w:rPr>
          <w:rFonts w:ascii="Arial" w:eastAsia="Calibri" w:hAnsi="Arial" w:cs="Arial"/>
          <w:b w:val="0"/>
          <w:caps w:val="0"/>
          <w:kern w:val="2"/>
          <w:sz w:val="20"/>
        </w:rPr>
        <w:t>Version: GPT-5 Mini</w:t>
      </w:r>
    </w:p>
    <w:p w14:paraId="3F850D35" w14:textId="77777777" w:rsidR="00303CBD" w:rsidRPr="00303CBD" w:rsidRDefault="00303CBD" w:rsidP="00303CBD">
      <w:pPr>
        <w:pStyle w:val="ReferHead"/>
        <w:numPr>
          <w:ilvl w:val="0"/>
          <w:numId w:val="31"/>
        </w:numPr>
        <w:spacing w:after="0"/>
        <w:jc w:val="both"/>
        <w:rPr>
          <w:rFonts w:ascii="Arial" w:eastAsia="Calibri" w:hAnsi="Arial" w:cs="Arial"/>
          <w:b w:val="0"/>
          <w:caps w:val="0"/>
          <w:kern w:val="2"/>
          <w:sz w:val="20"/>
        </w:rPr>
      </w:pPr>
      <w:r w:rsidRPr="00303CBD">
        <w:rPr>
          <w:rFonts w:ascii="Arial" w:eastAsia="Calibri" w:hAnsi="Arial" w:cs="Arial"/>
          <w:b w:val="0"/>
          <w:caps w:val="0"/>
          <w:kern w:val="2"/>
          <w:sz w:val="20"/>
        </w:rPr>
        <w:t>Purpose: Used as an English language and grammar critic to improve clarity, coherence, and readability of the manuscript.</w:t>
      </w:r>
    </w:p>
    <w:p w14:paraId="72DE1618" w14:textId="6E587840" w:rsidR="00303CBD" w:rsidRPr="00303CBD" w:rsidRDefault="00303CBD" w:rsidP="00303CBD">
      <w:pPr>
        <w:pStyle w:val="ReferHead"/>
        <w:numPr>
          <w:ilvl w:val="0"/>
          <w:numId w:val="31"/>
        </w:numPr>
        <w:spacing w:after="0"/>
        <w:jc w:val="both"/>
        <w:rPr>
          <w:rFonts w:ascii="Arial" w:eastAsia="Calibri" w:hAnsi="Arial" w:cs="Arial"/>
          <w:b w:val="0"/>
          <w:caps w:val="0"/>
          <w:kern w:val="2"/>
          <w:sz w:val="20"/>
        </w:rPr>
      </w:pPr>
      <w:r w:rsidRPr="00303CBD">
        <w:rPr>
          <w:rFonts w:ascii="Arial" w:eastAsia="Calibri" w:hAnsi="Arial" w:cs="Arial"/>
          <w:b w:val="0"/>
          <w:caps w:val="0"/>
          <w:kern w:val="2"/>
          <w:sz w:val="20"/>
        </w:rPr>
        <w:t xml:space="preserve">Prompt Used: The AI was prompted to review and enhance written sections of the manuscript, including grammar, style, sentence structure, and professional tone, without altering the scientific </w:t>
      </w:r>
      <w:proofErr w:type="gramStart"/>
      <w:r w:rsidRPr="00303CBD">
        <w:rPr>
          <w:rFonts w:ascii="Arial" w:eastAsia="Calibri" w:hAnsi="Arial" w:cs="Arial"/>
          <w:b w:val="0"/>
          <w:caps w:val="0"/>
          <w:kern w:val="2"/>
          <w:sz w:val="20"/>
        </w:rPr>
        <w:t>content..</w:t>
      </w:r>
      <w:proofErr w:type="gramEnd"/>
    </w:p>
    <w:p w14:paraId="0745C848" w14:textId="77777777" w:rsidR="00150DE9" w:rsidRDefault="00150DE9"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Pr="00FB3A86" w:rsidRDefault="00790ADA" w:rsidP="00441B6F">
      <w:pPr>
        <w:pStyle w:val="ReferHead"/>
        <w:spacing w:after="0"/>
        <w:jc w:val="both"/>
        <w:rPr>
          <w:rFonts w:ascii="Arial" w:hAnsi="Arial" w:cs="Arial"/>
        </w:rPr>
      </w:pPr>
    </w:p>
    <w:p w14:paraId="58B26C10" w14:textId="7363C1B9" w:rsidR="00150DE9" w:rsidRDefault="00150DE9" w:rsidP="00150DE9">
      <w:pPr>
        <w:pStyle w:val="Body"/>
        <w:ind w:left="720" w:hanging="720"/>
      </w:pPr>
      <w:r>
        <w:t xml:space="preserve">Alinea, J.M., Garcia, C., Lagado, S., &amp; Shiela Mae </w:t>
      </w:r>
      <w:proofErr w:type="spellStart"/>
      <w:r>
        <w:t>Noblefranca</w:t>
      </w:r>
      <w:proofErr w:type="spellEnd"/>
      <w:r>
        <w:t xml:space="preserve">. (2024). Employability Skills of Senior High School Tech-Voc Students: A Measure of Industry Preparedness. Interdisciplinary Research Review, 19(4). </w:t>
      </w:r>
      <w:hyperlink r:id="rId14" w:history="1">
        <w:r w:rsidRPr="00BF088A">
          <w:rPr>
            <w:rStyle w:val="Hyperlink"/>
          </w:rPr>
          <w:t>https://ph02.tci-thaijo.org/index.php/jtir/article/view/250933</w:t>
        </w:r>
      </w:hyperlink>
    </w:p>
    <w:p w14:paraId="145410BC" w14:textId="77777777" w:rsidR="00150DE9" w:rsidRDefault="00150DE9" w:rsidP="00150DE9">
      <w:pPr>
        <w:pStyle w:val="Body"/>
        <w:ind w:left="720" w:hanging="720"/>
      </w:pPr>
      <w:r>
        <w:t>Anderson, P. V. (2017). Technical Communication: A Reader-Centered Approach (9th ed.). Cengage Learning.</w:t>
      </w:r>
    </w:p>
    <w:p w14:paraId="47DB64CC" w14:textId="1C5EEB1F" w:rsidR="00020E84" w:rsidRPr="00020E84" w:rsidRDefault="00020E84" w:rsidP="00020E84">
      <w:pPr>
        <w:pStyle w:val="NormalWeb"/>
        <w:spacing w:before="0" w:beforeAutospacing="0" w:after="240" w:afterAutospacing="0"/>
        <w:ind w:left="720" w:hanging="720"/>
        <w:jc w:val="both"/>
        <w:rPr>
          <w:rFonts w:ascii="Arial" w:hAnsi="Arial" w:cs="Arial"/>
          <w:sz w:val="20"/>
          <w:szCs w:val="20"/>
        </w:rPr>
      </w:pPr>
      <w:proofErr w:type="spellStart"/>
      <w:r w:rsidRPr="00020E84">
        <w:rPr>
          <w:rFonts w:ascii="Arial" w:hAnsi="Arial" w:cs="Arial"/>
          <w:sz w:val="20"/>
          <w:szCs w:val="20"/>
        </w:rPr>
        <w:t>Atitsogbe</w:t>
      </w:r>
      <w:proofErr w:type="spellEnd"/>
      <w:r w:rsidRPr="00020E84">
        <w:rPr>
          <w:rFonts w:ascii="Arial" w:hAnsi="Arial" w:cs="Arial"/>
          <w:sz w:val="20"/>
          <w:szCs w:val="20"/>
        </w:rPr>
        <w:t xml:space="preserve">, K. A., Mama, N. P., Sovet, L., Pari, P., &amp; Rossier, J. (2019). Perceived employability and entrepreneurial intentions across university students and job seekers in Togo: the effect of Career Adaptability and Self-Efficacy. </w:t>
      </w:r>
      <w:r w:rsidRPr="00020E84">
        <w:rPr>
          <w:rFonts w:ascii="Arial" w:hAnsi="Arial" w:cs="Arial"/>
          <w:i/>
          <w:iCs/>
          <w:sz w:val="20"/>
          <w:szCs w:val="20"/>
        </w:rPr>
        <w:t>Frontiers in Psychology</w:t>
      </w:r>
      <w:r w:rsidRPr="00020E84">
        <w:rPr>
          <w:rFonts w:ascii="Arial" w:hAnsi="Arial" w:cs="Arial"/>
          <w:sz w:val="20"/>
          <w:szCs w:val="20"/>
        </w:rPr>
        <w:t xml:space="preserve">, </w:t>
      </w:r>
      <w:r w:rsidRPr="00020E84">
        <w:rPr>
          <w:rFonts w:ascii="Arial" w:hAnsi="Arial" w:cs="Arial"/>
          <w:i/>
          <w:iCs/>
          <w:sz w:val="20"/>
          <w:szCs w:val="20"/>
        </w:rPr>
        <w:t>10</w:t>
      </w:r>
      <w:r w:rsidRPr="00020E84">
        <w:rPr>
          <w:rFonts w:ascii="Arial" w:hAnsi="Arial" w:cs="Arial"/>
          <w:sz w:val="20"/>
          <w:szCs w:val="20"/>
        </w:rPr>
        <w:t xml:space="preserve">, 180. </w:t>
      </w:r>
      <w:hyperlink r:id="rId15" w:history="1">
        <w:r w:rsidRPr="00A37671">
          <w:rPr>
            <w:rStyle w:val="Hyperlink"/>
            <w:rFonts w:ascii="Arial" w:hAnsi="Arial" w:cs="Arial"/>
            <w:sz w:val="20"/>
            <w:szCs w:val="20"/>
          </w:rPr>
          <w:t>https://doi.org/10.3389/fpsyg.2019.00180</w:t>
        </w:r>
      </w:hyperlink>
      <w:r>
        <w:rPr>
          <w:rStyle w:val="url"/>
          <w:rFonts w:ascii="Arial" w:hAnsi="Arial" w:cs="Arial"/>
          <w:sz w:val="20"/>
          <w:szCs w:val="20"/>
        </w:rPr>
        <w:t xml:space="preserve"> </w:t>
      </w:r>
    </w:p>
    <w:p w14:paraId="46EB6FBE" w14:textId="768E302F" w:rsidR="00150DE9" w:rsidRDefault="00150DE9" w:rsidP="00150DE9">
      <w:pPr>
        <w:pStyle w:val="Body"/>
        <w:ind w:left="720" w:hanging="720"/>
      </w:pPr>
      <w:proofErr w:type="spellStart"/>
      <w:r>
        <w:t>Blicq</w:t>
      </w:r>
      <w:proofErr w:type="spellEnd"/>
      <w:r>
        <w:t>, R., &amp; Moretto, P. (2019). Technically-</w:t>
      </w:r>
      <w:proofErr w:type="gramStart"/>
      <w:r>
        <w:t>Write!:</w:t>
      </w:r>
      <w:proofErr w:type="gramEnd"/>
      <w:r>
        <w:t xml:space="preserve"> Communicating in a Technological Era (8th ed.). Pearson Education.</w:t>
      </w:r>
    </w:p>
    <w:p w14:paraId="0FC1D293" w14:textId="5F266B57" w:rsidR="00150DE9" w:rsidRDefault="00150DE9" w:rsidP="00150DE9">
      <w:pPr>
        <w:pStyle w:val="Body"/>
        <w:ind w:left="720" w:hanging="720"/>
      </w:pPr>
      <w:r>
        <w:t xml:space="preserve">Bryman, A. (2016). Social Research Methods (5th ed.). Oxford University Press. </w:t>
      </w:r>
      <w:hyperlink r:id="rId16" w:history="1">
        <w:r w:rsidRPr="00BF088A">
          <w:rPr>
            <w:rStyle w:val="Hyperlink"/>
          </w:rPr>
          <w:t>https://ktpu.kpi.ua/wp-content/uploads/2014/02/social-research-methods-alan-bryman.pdf</w:t>
        </w:r>
      </w:hyperlink>
    </w:p>
    <w:p w14:paraId="0BFC87DC" w14:textId="77923040" w:rsidR="00150DE9" w:rsidRDefault="00150DE9" w:rsidP="00150DE9">
      <w:pPr>
        <w:pStyle w:val="Body"/>
        <w:ind w:left="720" w:hanging="720"/>
      </w:pPr>
      <w:r>
        <w:t xml:space="preserve">Chan, C., &amp; Chui, H. S. (2021). Enhancing communication competence through experiential learning in higher education. Journal of Education and Learning, 10(2), 45–57. </w:t>
      </w:r>
      <w:hyperlink r:id="rId17" w:history="1">
        <w:r w:rsidRPr="00BF088A">
          <w:rPr>
            <w:rStyle w:val="Hyperlink"/>
          </w:rPr>
          <w:t>https://doi.org/10.5539/jel.v10n2p45</w:t>
        </w:r>
      </w:hyperlink>
    </w:p>
    <w:p w14:paraId="74693ABB" w14:textId="77777777" w:rsidR="00150DE9" w:rsidRDefault="00150DE9" w:rsidP="00150DE9">
      <w:pPr>
        <w:pStyle w:val="Body"/>
        <w:ind w:left="720" w:hanging="720"/>
      </w:pPr>
      <w:r>
        <w:t>Creswell, J. W., &amp; Creswell, J. D. (2018). Research design: Qualitative, quantitative, and mixed methods approaches (5th ed.). SAGE Publications.</w:t>
      </w:r>
    </w:p>
    <w:p w14:paraId="4F0E1D61" w14:textId="59CEC328" w:rsidR="00150DE9" w:rsidRDefault="00150DE9" w:rsidP="00150DE9">
      <w:pPr>
        <w:pStyle w:val="Body"/>
        <w:ind w:left="720" w:hanging="720"/>
      </w:pPr>
      <w:proofErr w:type="spellStart"/>
      <w:r>
        <w:t>Etikan</w:t>
      </w:r>
      <w:proofErr w:type="spellEnd"/>
      <w:r>
        <w:t xml:space="preserve">, I., &amp; Bala, K. (2017). Sampling and sampling methods. Biometrics &amp; Biostatistics International Journal, 5(6), 215–217. </w:t>
      </w:r>
      <w:hyperlink r:id="rId18" w:history="1">
        <w:r w:rsidRPr="00BF088A">
          <w:rPr>
            <w:rStyle w:val="Hyperlink"/>
          </w:rPr>
          <w:t>https://doi.org/10.15406/bbij.2017.05.00149</w:t>
        </w:r>
      </w:hyperlink>
    </w:p>
    <w:p w14:paraId="5C5A9B2B" w14:textId="77777777" w:rsidR="00150DE9" w:rsidRDefault="00150DE9" w:rsidP="00150DE9">
      <w:pPr>
        <w:pStyle w:val="Body"/>
        <w:ind w:left="720" w:hanging="720"/>
      </w:pPr>
      <w:r>
        <w:t>Kolb, D. A. (2015). Experiential learning: Experience as the source of learning and development (2nd ed.). Pearson Education.</w:t>
      </w:r>
    </w:p>
    <w:p w14:paraId="6B4D123D" w14:textId="77777777" w:rsidR="00150DE9" w:rsidRDefault="00150DE9" w:rsidP="00150DE9">
      <w:pPr>
        <w:pStyle w:val="Body"/>
        <w:ind w:left="720" w:hanging="720"/>
      </w:pPr>
      <w:r>
        <w:t>Lau, J. Y. F. (2017). Critical Thinking: An Introduction and Guide for Students. Routledge.</w:t>
      </w:r>
    </w:p>
    <w:p w14:paraId="4D02160E" w14:textId="62CBBBB8" w:rsidR="00150DE9" w:rsidRDefault="00150DE9" w:rsidP="00150DE9">
      <w:pPr>
        <w:pStyle w:val="Body"/>
        <w:ind w:left="720" w:hanging="720"/>
      </w:pPr>
      <w:r>
        <w:t xml:space="preserve">Mariano, R. P., &amp; Tantoco, L. F. (2023). Assessment of Employability Skills of Technical-Vocational Education and Training (TVET) Graduates: Basis for an Enhancement Program. International Journal of Multidisciplinary: Applied Business and Education Research, 4(5), 1734–1747. </w:t>
      </w:r>
      <w:hyperlink r:id="rId19" w:history="1">
        <w:r w:rsidRPr="00BF088A">
          <w:rPr>
            <w:rStyle w:val="Hyperlink"/>
          </w:rPr>
          <w:t>https://doi.org/10.11594/ijmaber.04.05.34</w:t>
        </w:r>
      </w:hyperlink>
    </w:p>
    <w:p w14:paraId="750CDF0C" w14:textId="77777777" w:rsidR="00150DE9" w:rsidRDefault="00150DE9" w:rsidP="00150DE9">
      <w:pPr>
        <w:pStyle w:val="Body"/>
        <w:ind w:left="720" w:hanging="720"/>
      </w:pPr>
      <w:r>
        <w:t>Markel, M., &amp; Selber, S. A. (2021). Technical Communication (13th ed.). Bedford/St. Martin’s.</w:t>
      </w:r>
    </w:p>
    <w:p w14:paraId="3ED4831B" w14:textId="4001089F" w:rsidR="00020E84" w:rsidRPr="00020E84" w:rsidRDefault="00020E84" w:rsidP="00020E84">
      <w:pPr>
        <w:pStyle w:val="NormalWeb"/>
        <w:spacing w:before="0" w:beforeAutospacing="0" w:after="240" w:afterAutospacing="0"/>
        <w:ind w:left="720" w:hanging="720"/>
        <w:jc w:val="both"/>
        <w:rPr>
          <w:rFonts w:ascii="Arial" w:hAnsi="Arial" w:cs="Arial"/>
          <w:sz w:val="20"/>
          <w:szCs w:val="20"/>
        </w:rPr>
      </w:pPr>
      <w:r w:rsidRPr="00020E84">
        <w:rPr>
          <w:rFonts w:ascii="Arial" w:hAnsi="Arial" w:cs="Arial"/>
          <w:sz w:val="20"/>
          <w:szCs w:val="20"/>
        </w:rPr>
        <w:t xml:space="preserve">Motta, V. F., &amp; Galina, S. V. R. (2022). Experiential learning in entrepreneurship education: A systematic literature review. </w:t>
      </w:r>
      <w:r w:rsidRPr="00020E84">
        <w:rPr>
          <w:rFonts w:ascii="Arial" w:hAnsi="Arial" w:cs="Arial"/>
          <w:i/>
          <w:iCs/>
          <w:sz w:val="20"/>
          <w:szCs w:val="20"/>
        </w:rPr>
        <w:t>Teaching and Teacher Education</w:t>
      </w:r>
      <w:r w:rsidRPr="00020E84">
        <w:rPr>
          <w:rFonts w:ascii="Arial" w:hAnsi="Arial" w:cs="Arial"/>
          <w:sz w:val="20"/>
          <w:szCs w:val="20"/>
        </w:rPr>
        <w:t xml:space="preserve">, </w:t>
      </w:r>
      <w:r w:rsidRPr="00020E84">
        <w:rPr>
          <w:rFonts w:ascii="Arial" w:hAnsi="Arial" w:cs="Arial"/>
          <w:i/>
          <w:iCs/>
          <w:sz w:val="20"/>
          <w:szCs w:val="20"/>
        </w:rPr>
        <w:t>121</w:t>
      </w:r>
      <w:r w:rsidRPr="00020E84">
        <w:rPr>
          <w:rFonts w:ascii="Arial" w:hAnsi="Arial" w:cs="Arial"/>
          <w:sz w:val="20"/>
          <w:szCs w:val="20"/>
        </w:rPr>
        <w:t xml:space="preserve">, 103919. </w:t>
      </w:r>
      <w:r w:rsidRPr="00020E84">
        <w:rPr>
          <w:rStyle w:val="url"/>
          <w:rFonts w:ascii="Arial" w:hAnsi="Arial" w:cs="Arial"/>
          <w:sz w:val="20"/>
          <w:szCs w:val="20"/>
        </w:rPr>
        <w:t>https://doi.org/10.1016/j.tate.2022.103919</w:t>
      </w:r>
    </w:p>
    <w:p w14:paraId="705EE069" w14:textId="081593D2" w:rsidR="00150DE9" w:rsidRDefault="00150DE9" w:rsidP="00150DE9">
      <w:pPr>
        <w:pStyle w:val="Body"/>
        <w:ind w:left="720" w:hanging="720"/>
      </w:pPr>
      <w:r>
        <w:t xml:space="preserve">Murphy, L., Thomas, L., &amp; Jones, R. (2020). Developing problem-solving and communication skills through project-based learning in higher education. Teaching in Higher Education, 25(6), 708–724. </w:t>
      </w:r>
      <w:hyperlink r:id="rId20" w:history="1">
        <w:r w:rsidRPr="00BF088A">
          <w:rPr>
            <w:rStyle w:val="Hyperlink"/>
          </w:rPr>
          <w:t>https://doi.org/10.1080/13562517.2019.1696305</w:t>
        </w:r>
      </w:hyperlink>
    </w:p>
    <w:p w14:paraId="4321E222" w14:textId="77777777" w:rsidR="00142836" w:rsidRPr="00142836" w:rsidRDefault="00142836" w:rsidP="00142836">
      <w:pPr>
        <w:pStyle w:val="NormalWeb"/>
        <w:spacing w:before="0" w:beforeAutospacing="0" w:after="240" w:afterAutospacing="0"/>
        <w:ind w:left="720" w:hanging="720"/>
        <w:jc w:val="both"/>
        <w:rPr>
          <w:rFonts w:ascii="Arial" w:hAnsi="Arial" w:cs="Arial"/>
          <w:sz w:val="20"/>
          <w:szCs w:val="20"/>
        </w:rPr>
      </w:pPr>
      <w:r w:rsidRPr="00142836">
        <w:rPr>
          <w:rFonts w:ascii="Arial" w:hAnsi="Arial" w:cs="Arial"/>
          <w:sz w:val="20"/>
          <w:szCs w:val="20"/>
        </w:rPr>
        <w:t xml:space="preserve">Poláková, M., </w:t>
      </w:r>
      <w:proofErr w:type="spellStart"/>
      <w:r w:rsidRPr="00142836">
        <w:rPr>
          <w:rFonts w:ascii="Arial" w:hAnsi="Arial" w:cs="Arial"/>
          <w:sz w:val="20"/>
          <w:szCs w:val="20"/>
        </w:rPr>
        <w:t>Suleimanová</w:t>
      </w:r>
      <w:proofErr w:type="spellEnd"/>
      <w:r w:rsidRPr="00142836">
        <w:rPr>
          <w:rFonts w:ascii="Arial" w:hAnsi="Arial" w:cs="Arial"/>
          <w:sz w:val="20"/>
          <w:szCs w:val="20"/>
        </w:rPr>
        <w:t xml:space="preserve">, J. H., </w:t>
      </w:r>
      <w:proofErr w:type="spellStart"/>
      <w:r w:rsidRPr="00142836">
        <w:rPr>
          <w:rFonts w:ascii="Arial" w:hAnsi="Arial" w:cs="Arial"/>
          <w:sz w:val="20"/>
          <w:szCs w:val="20"/>
        </w:rPr>
        <w:t>Madzík</w:t>
      </w:r>
      <w:proofErr w:type="spellEnd"/>
      <w:r w:rsidRPr="00142836">
        <w:rPr>
          <w:rFonts w:ascii="Arial" w:hAnsi="Arial" w:cs="Arial"/>
          <w:sz w:val="20"/>
          <w:szCs w:val="20"/>
        </w:rPr>
        <w:t xml:space="preserve">, P., </w:t>
      </w:r>
      <w:proofErr w:type="spellStart"/>
      <w:r w:rsidRPr="00142836">
        <w:rPr>
          <w:rFonts w:ascii="Arial" w:hAnsi="Arial" w:cs="Arial"/>
          <w:sz w:val="20"/>
          <w:szCs w:val="20"/>
        </w:rPr>
        <w:t>Copuš</w:t>
      </w:r>
      <w:proofErr w:type="spellEnd"/>
      <w:r w:rsidRPr="00142836">
        <w:rPr>
          <w:rFonts w:ascii="Arial" w:hAnsi="Arial" w:cs="Arial"/>
          <w:sz w:val="20"/>
          <w:szCs w:val="20"/>
        </w:rPr>
        <w:t xml:space="preserve">, L., </w:t>
      </w:r>
      <w:proofErr w:type="spellStart"/>
      <w:r w:rsidRPr="00142836">
        <w:rPr>
          <w:rFonts w:ascii="Arial" w:hAnsi="Arial" w:cs="Arial"/>
          <w:sz w:val="20"/>
          <w:szCs w:val="20"/>
        </w:rPr>
        <w:t>Molnárová</w:t>
      </w:r>
      <w:proofErr w:type="spellEnd"/>
      <w:r w:rsidRPr="00142836">
        <w:rPr>
          <w:rFonts w:ascii="Arial" w:hAnsi="Arial" w:cs="Arial"/>
          <w:sz w:val="20"/>
          <w:szCs w:val="20"/>
        </w:rPr>
        <w:t xml:space="preserve">, I., &amp; </w:t>
      </w:r>
      <w:proofErr w:type="spellStart"/>
      <w:r w:rsidRPr="00142836">
        <w:rPr>
          <w:rFonts w:ascii="Arial" w:hAnsi="Arial" w:cs="Arial"/>
          <w:sz w:val="20"/>
          <w:szCs w:val="20"/>
        </w:rPr>
        <w:t>Polednová</w:t>
      </w:r>
      <w:proofErr w:type="spellEnd"/>
      <w:r w:rsidRPr="00142836">
        <w:rPr>
          <w:rFonts w:ascii="Arial" w:hAnsi="Arial" w:cs="Arial"/>
          <w:sz w:val="20"/>
          <w:szCs w:val="20"/>
        </w:rPr>
        <w:t xml:space="preserve">, J. (2023). Soft skills and their importance in the </w:t>
      </w:r>
      <w:proofErr w:type="spellStart"/>
      <w:r w:rsidRPr="00142836">
        <w:rPr>
          <w:rFonts w:ascii="Arial" w:hAnsi="Arial" w:cs="Arial"/>
          <w:sz w:val="20"/>
          <w:szCs w:val="20"/>
        </w:rPr>
        <w:t>labour</w:t>
      </w:r>
      <w:proofErr w:type="spellEnd"/>
      <w:r w:rsidRPr="00142836">
        <w:rPr>
          <w:rFonts w:ascii="Arial" w:hAnsi="Arial" w:cs="Arial"/>
          <w:sz w:val="20"/>
          <w:szCs w:val="20"/>
        </w:rPr>
        <w:t xml:space="preserve"> market under the conditions of Industry 5.0. </w:t>
      </w:r>
      <w:proofErr w:type="spellStart"/>
      <w:r w:rsidRPr="00142836">
        <w:rPr>
          <w:rFonts w:ascii="Arial" w:hAnsi="Arial" w:cs="Arial"/>
          <w:i/>
          <w:iCs/>
          <w:sz w:val="20"/>
          <w:szCs w:val="20"/>
        </w:rPr>
        <w:t>Heliyon</w:t>
      </w:r>
      <w:proofErr w:type="spellEnd"/>
      <w:r w:rsidRPr="00142836">
        <w:rPr>
          <w:rFonts w:ascii="Arial" w:hAnsi="Arial" w:cs="Arial"/>
          <w:sz w:val="20"/>
          <w:szCs w:val="20"/>
        </w:rPr>
        <w:t xml:space="preserve">, </w:t>
      </w:r>
      <w:r w:rsidRPr="00142836">
        <w:rPr>
          <w:rFonts w:ascii="Arial" w:hAnsi="Arial" w:cs="Arial"/>
          <w:i/>
          <w:iCs/>
          <w:sz w:val="20"/>
          <w:szCs w:val="20"/>
        </w:rPr>
        <w:t>9</w:t>
      </w:r>
      <w:r w:rsidRPr="00142836">
        <w:rPr>
          <w:rFonts w:ascii="Arial" w:hAnsi="Arial" w:cs="Arial"/>
          <w:sz w:val="20"/>
          <w:szCs w:val="20"/>
        </w:rPr>
        <w:t xml:space="preserve">(8), e18670. </w:t>
      </w:r>
      <w:r w:rsidRPr="00142836">
        <w:rPr>
          <w:rStyle w:val="url"/>
          <w:rFonts w:ascii="Arial" w:hAnsi="Arial" w:cs="Arial"/>
          <w:sz w:val="20"/>
          <w:szCs w:val="20"/>
        </w:rPr>
        <w:t>https://doi.org/10.1016/j.heliyon.2023.e18670</w:t>
      </w:r>
    </w:p>
    <w:p w14:paraId="1CCEA66B" w14:textId="6DB1DDC8" w:rsidR="00150DE9" w:rsidRDefault="00150DE9" w:rsidP="00150DE9">
      <w:pPr>
        <w:pStyle w:val="Body"/>
        <w:ind w:left="720" w:hanging="720"/>
      </w:pPr>
      <w:r>
        <w:t xml:space="preserve">Society for Technical Communication. (2023). The importance of documentation in modern organizations. Retrieved from </w:t>
      </w:r>
      <w:hyperlink r:id="rId21" w:history="1">
        <w:r w:rsidRPr="00BF088A">
          <w:rPr>
            <w:rStyle w:val="Hyperlink"/>
          </w:rPr>
          <w:t>https://www.stc.org</w:t>
        </w:r>
      </w:hyperlink>
    </w:p>
    <w:p w14:paraId="7946AE8B" w14:textId="0CD92BCB" w:rsidR="00150DE9" w:rsidRDefault="00150DE9" w:rsidP="00150DE9">
      <w:pPr>
        <w:pStyle w:val="Body"/>
        <w:ind w:left="720" w:hanging="720"/>
      </w:pPr>
      <w:proofErr w:type="spellStart"/>
      <w:r>
        <w:t>Suarta</w:t>
      </w:r>
      <w:proofErr w:type="spellEnd"/>
      <w:r>
        <w:t xml:space="preserve">, I. M., </w:t>
      </w:r>
      <w:proofErr w:type="spellStart"/>
      <w:r>
        <w:t>Suwintana</w:t>
      </w:r>
      <w:proofErr w:type="spellEnd"/>
      <w:r>
        <w:t xml:space="preserve">, I. K., Sudhana, I. F. P., &amp; </w:t>
      </w:r>
      <w:proofErr w:type="spellStart"/>
      <w:r>
        <w:t>Hariyanti</w:t>
      </w:r>
      <w:proofErr w:type="spellEnd"/>
      <w:r>
        <w:t>, N. K. D. (2017). Employability skills required by the 21st-century workplace: A literature review of labor market demand. Advances in Social Science, Education and Humanities Research, 102, 337–342. https://doi.org/10.2991/ictvt-17.2017.58</w:t>
      </w:r>
    </w:p>
    <w:p w14:paraId="46A259DA" w14:textId="77777777" w:rsidR="00790ADA" w:rsidRPr="00FB3A86" w:rsidRDefault="00790ADA" w:rsidP="00441B6F">
      <w:pPr>
        <w:pStyle w:val="Body"/>
        <w:spacing w:after="0"/>
        <w:rPr>
          <w:rFonts w:ascii="Arial" w:hAnsi="Arial" w:cs="Arial"/>
        </w:rPr>
      </w:pPr>
    </w:p>
    <w:p w14:paraId="5D5DDF21" w14:textId="51C6AA3A" w:rsidR="004D4277" w:rsidRPr="00FB3A86" w:rsidRDefault="004D4277" w:rsidP="00441B6F">
      <w:pPr>
        <w:pStyle w:val="Appendix"/>
        <w:spacing w:after="0"/>
        <w:jc w:val="both"/>
        <w:rPr>
          <w:rFonts w:ascii="Arial" w:hAnsi="Arial" w:cs="Arial"/>
          <w:b w:val="0"/>
        </w:rPr>
        <w:sectPr w:rsidR="004D4277" w:rsidRPr="00FB3A86" w:rsidSect="00A6525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A652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54FC" w14:textId="77777777" w:rsidR="00A70C69" w:rsidRDefault="00A70C69" w:rsidP="00C37E61">
      <w:r>
        <w:separator/>
      </w:r>
    </w:p>
  </w:endnote>
  <w:endnote w:type="continuationSeparator" w:id="0">
    <w:p w14:paraId="5E454B7D" w14:textId="77777777" w:rsidR="00A70C69" w:rsidRDefault="00A70C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F3CF" w14:textId="77777777" w:rsidR="00A6525E" w:rsidRDefault="00A6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AF66" w14:textId="77777777" w:rsidR="00A6525E" w:rsidRDefault="00A6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D1B" w14:textId="7BA20470" w:rsidR="00754C9A" w:rsidRPr="00A6525E" w:rsidRDefault="00754C9A" w:rsidP="00A65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27E7" w14:textId="77777777" w:rsidR="00A70C69" w:rsidRDefault="00A70C69" w:rsidP="00C37E61">
      <w:r>
        <w:separator/>
      </w:r>
    </w:p>
  </w:footnote>
  <w:footnote w:type="continuationSeparator" w:id="0">
    <w:p w14:paraId="2F88C258" w14:textId="77777777" w:rsidR="00A70C69" w:rsidRDefault="00A70C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27F" w14:textId="1FC77A77" w:rsidR="00A6525E" w:rsidRDefault="00000000">
    <w:pPr>
      <w:pStyle w:val="Header"/>
    </w:pPr>
    <w:r>
      <w:rPr>
        <w:noProof/>
      </w:rPr>
      <w:pict w14:anchorId="7524C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B77E" w14:textId="178A5CF3" w:rsidR="00A6525E" w:rsidRDefault="00000000">
    <w:pPr>
      <w:pStyle w:val="Header"/>
    </w:pPr>
    <w:r>
      <w:rPr>
        <w:noProof/>
      </w:rPr>
      <w:pict w14:anchorId="7993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FA1" w14:textId="512E128B" w:rsidR="00296529" w:rsidRPr="00296529" w:rsidRDefault="00000000" w:rsidP="00296529">
    <w:pPr>
      <w:ind w:left="2160"/>
      <w:jc w:val="center"/>
      <w:rPr>
        <w:rFonts w:ascii="Times New Roman" w:eastAsia="Calibri" w:hAnsi="Times New Roman"/>
        <w:i/>
        <w:sz w:val="18"/>
        <w:szCs w:val="22"/>
      </w:rPr>
    </w:pPr>
    <w:r>
      <w:rPr>
        <w:noProof/>
      </w:rPr>
      <w:pict w14:anchorId="321B0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9A7" w14:textId="18F19077" w:rsidR="00A6525E" w:rsidRDefault="00000000">
    <w:pPr>
      <w:pStyle w:val="Header"/>
    </w:pPr>
    <w:r>
      <w:rPr>
        <w:noProof/>
      </w:rPr>
      <w:pict w14:anchorId="4EE74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80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7AC" w14:textId="5797F515" w:rsidR="00A6525E" w:rsidRDefault="00000000">
    <w:pPr>
      <w:pStyle w:val="Header"/>
    </w:pPr>
    <w:r>
      <w:rPr>
        <w:noProof/>
      </w:rPr>
      <w:pict w14:anchorId="53AE0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80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D5C8" w14:textId="0BAD255C" w:rsidR="00A6525E" w:rsidRDefault="00000000">
    <w:pPr>
      <w:pStyle w:val="Header"/>
    </w:pPr>
    <w:r>
      <w:rPr>
        <w:noProof/>
      </w:rPr>
      <w:pict w14:anchorId="6799A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4254D0"/>
    <w:multiLevelType w:val="hybridMultilevel"/>
    <w:tmpl w:val="E0F2408C"/>
    <w:lvl w:ilvl="0" w:tplc="ED7AFD54">
      <w:start w:val="1"/>
      <w:numFmt w:val="decimal"/>
      <w:lvlText w:val="%1. "/>
      <w:lvlJc w:val="left"/>
      <w:pPr>
        <w:ind w:left="720" w:hanging="360"/>
      </w:pPr>
      <w:rPr>
        <w:rFonts w:ascii="Helvetica" w:hAnsi="Helvetica" w:hint="default"/>
        <w:b w:val="0"/>
        <w:i w:val="0"/>
        <w:sz w:val="20"/>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32490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3289808">
    <w:abstractNumId w:val="15"/>
  </w:num>
  <w:num w:numId="3" w16cid:durableId="1431050720">
    <w:abstractNumId w:val="24"/>
  </w:num>
  <w:num w:numId="4" w16cid:durableId="15731558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6684617">
    <w:abstractNumId w:val="7"/>
  </w:num>
  <w:num w:numId="6" w16cid:durableId="703798550">
    <w:abstractNumId w:val="6"/>
  </w:num>
  <w:num w:numId="7" w16cid:durableId="1274556619">
    <w:abstractNumId w:val="1"/>
  </w:num>
  <w:num w:numId="8" w16cid:durableId="1393967359">
    <w:abstractNumId w:val="12"/>
  </w:num>
  <w:num w:numId="9" w16cid:durableId="1932003608">
    <w:abstractNumId w:val="26"/>
  </w:num>
  <w:num w:numId="10" w16cid:durableId="333578547">
    <w:abstractNumId w:val="2"/>
  </w:num>
  <w:num w:numId="11" w16cid:durableId="379331523">
    <w:abstractNumId w:val="19"/>
  </w:num>
  <w:num w:numId="12" w16cid:durableId="258608629">
    <w:abstractNumId w:val="3"/>
  </w:num>
  <w:num w:numId="13" w16cid:durableId="427315401">
    <w:abstractNumId w:val="17"/>
  </w:num>
  <w:num w:numId="14" w16cid:durableId="568229028">
    <w:abstractNumId w:val="8"/>
  </w:num>
  <w:num w:numId="15" w16cid:durableId="653411121">
    <w:abstractNumId w:val="22"/>
  </w:num>
  <w:num w:numId="16" w16cid:durableId="962734777">
    <w:abstractNumId w:val="5"/>
  </w:num>
  <w:num w:numId="17" w16cid:durableId="1192719438">
    <w:abstractNumId w:val="23"/>
  </w:num>
  <w:num w:numId="18" w16cid:durableId="1110974225">
    <w:abstractNumId w:val="14"/>
  </w:num>
  <w:num w:numId="19" w16cid:durableId="2084987737">
    <w:abstractNumId w:val="29"/>
  </w:num>
  <w:num w:numId="20" w16cid:durableId="816385412">
    <w:abstractNumId w:val="11"/>
  </w:num>
  <w:num w:numId="21" w16cid:durableId="896741998">
    <w:abstractNumId w:val="9"/>
  </w:num>
  <w:num w:numId="22" w16cid:durableId="1454518593">
    <w:abstractNumId w:val="13"/>
  </w:num>
  <w:num w:numId="23" w16cid:durableId="46538644">
    <w:abstractNumId w:val="20"/>
  </w:num>
  <w:num w:numId="24" w16cid:durableId="262760258">
    <w:abstractNumId w:val="27"/>
  </w:num>
  <w:num w:numId="25" w16cid:durableId="1593203332">
    <w:abstractNumId w:val="4"/>
  </w:num>
  <w:num w:numId="26" w16cid:durableId="1516262574">
    <w:abstractNumId w:val="16"/>
  </w:num>
  <w:num w:numId="27" w16cid:durableId="1701272751">
    <w:abstractNumId w:val="21"/>
  </w:num>
  <w:num w:numId="28" w16cid:durableId="1383600094">
    <w:abstractNumId w:val="28"/>
  </w:num>
  <w:num w:numId="29" w16cid:durableId="2068449038">
    <w:abstractNumId w:val="25"/>
  </w:num>
  <w:num w:numId="30" w16cid:durableId="920406777">
    <w:abstractNumId w:val="10"/>
  </w:num>
  <w:num w:numId="31" w16cid:durableId="2015107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E84"/>
    <w:rsid w:val="00030174"/>
    <w:rsid w:val="0004579C"/>
    <w:rsid w:val="000A47FA"/>
    <w:rsid w:val="000A65D3"/>
    <w:rsid w:val="000B1E33"/>
    <w:rsid w:val="000C5FEE"/>
    <w:rsid w:val="000D689F"/>
    <w:rsid w:val="000E7B7B"/>
    <w:rsid w:val="000E7D62"/>
    <w:rsid w:val="000F2ECA"/>
    <w:rsid w:val="00103357"/>
    <w:rsid w:val="00123C9F"/>
    <w:rsid w:val="00126190"/>
    <w:rsid w:val="00130F17"/>
    <w:rsid w:val="001320BF"/>
    <w:rsid w:val="00142836"/>
    <w:rsid w:val="00150DE9"/>
    <w:rsid w:val="00163BC4"/>
    <w:rsid w:val="00191062"/>
    <w:rsid w:val="00192B72"/>
    <w:rsid w:val="0019749F"/>
    <w:rsid w:val="001A29D8"/>
    <w:rsid w:val="001A300D"/>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CBD"/>
    <w:rsid w:val="00315186"/>
    <w:rsid w:val="0033343E"/>
    <w:rsid w:val="003512C2"/>
    <w:rsid w:val="00371FB6"/>
    <w:rsid w:val="003763C1"/>
    <w:rsid w:val="00376BBE"/>
    <w:rsid w:val="0039224F"/>
    <w:rsid w:val="003A28E9"/>
    <w:rsid w:val="003A43A4"/>
    <w:rsid w:val="003A7E18"/>
    <w:rsid w:val="003C4C86"/>
    <w:rsid w:val="003C6258"/>
    <w:rsid w:val="003E2904"/>
    <w:rsid w:val="00401927"/>
    <w:rsid w:val="0041027F"/>
    <w:rsid w:val="00412475"/>
    <w:rsid w:val="00423789"/>
    <w:rsid w:val="004363D8"/>
    <w:rsid w:val="00440F43"/>
    <w:rsid w:val="00441B6F"/>
    <w:rsid w:val="00446221"/>
    <w:rsid w:val="00450E62"/>
    <w:rsid w:val="004539DB"/>
    <w:rsid w:val="00454048"/>
    <w:rsid w:val="00471A80"/>
    <w:rsid w:val="00485435"/>
    <w:rsid w:val="004D305E"/>
    <w:rsid w:val="004D4277"/>
    <w:rsid w:val="00502516"/>
    <w:rsid w:val="00505F06"/>
    <w:rsid w:val="00506828"/>
    <w:rsid w:val="0053056E"/>
    <w:rsid w:val="00554FDA"/>
    <w:rsid w:val="005B6A65"/>
    <w:rsid w:val="005C784C"/>
    <w:rsid w:val="005D17F6"/>
    <w:rsid w:val="005E5539"/>
    <w:rsid w:val="00602BF5"/>
    <w:rsid w:val="006140AF"/>
    <w:rsid w:val="00617FDD"/>
    <w:rsid w:val="0063250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26E"/>
    <w:rsid w:val="0070082C"/>
    <w:rsid w:val="007369E6"/>
    <w:rsid w:val="00746E59"/>
    <w:rsid w:val="00754C9A"/>
    <w:rsid w:val="0075599A"/>
    <w:rsid w:val="00761D52"/>
    <w:rsid w:val="0077749E"/>
    <w:rsid w:val="00790ADA"/>
    <w:rsid w:val="007D2288"/>
    <w:rsid w:val="007E088F"/>
    <w:rsid w:val="007E0F93"/>
    <w:rsid w:val="007F467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42D9"/>
    <w:rsid w:val="00915CA6"/>
    <w:rsid w:val="00927834"/>
    <w:rsid w:val="009500A6"/>
    <w:rsid w:val="00957C18"/>
    <w:rsid w:val="009659BA"/>
    <w:rsid w:val="00983040"/>
    <w:rsid w:val="009960A7"/>
    <w:rsid w:val="009B3FB9"/>
    <w:rsid w:val="009C2465"/>
    <w:rsid w:val="009D09B2"/>
    <w:rsid w:val="009D35A0"/>
    <w:rsid w:val="009D477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6E8"/>
    <w:rsid w:val="00A6525E"/>
    <w:rsid w:val="00A70C69"/>
    <w:rsid w:val="00A825D5"/>
    <w:rsid w:val="00A94063"/>
    <w:rsid w:val="00AA6219"/>
    <w:rsid w:val="00AA74E0"/>
    <w:rsid w:val="00AB703F"/>
    <w:rsid w:val="00AC6BB8"/>
    <w:rsid w:val="00AE008F"/>
    <w:rsid w:val="00AE3499"/>
    <w:rsid w:val="00AF1C96"/>
    <w:rsid w:val="00AF1F16"/>
    <w:rsid w:val="00B01FCD"/>
    <w:rsid w:val="00B1776C"/>
    <w:rsid w:val="00B52583"/>
    <w:rsid w:val="00B52896"/>
    <w:rsid w:val="00B63F4A"/>
    <w:rsid w:val="00B95236"/>
    <w:rsid w:val="00B96BD9"/>
    <w:rsid w:val="00BA1B01"/>
    <w:rsid w:val="00BA2641"/>
    <w:rsid w:val="00BB37AA"/>
    <w:rsid w:val="00BB58AD"/>
    <w:rsid w:val="00BC53A0"/>
    <w:rsid w:val="00BE62AD"/>
    <w:rsid w:val="00BF121F"/>
    <w:rsid w:val="00BF1F80"/>
    <w:rsid w:val="00C166EF"/>
    <w:rsid w:val="00C17EB0"/>
    <w:rsid w:val="00C27F5F"/>
    <w:rsid w:val="00C30A0F"/>
    <w:rsid w:val="00C37E61"/>
    <w:rsid w:val="00C43CED"/>
    <w:rsid w:val="00C70F1B"/>
    <w:rsid w:val="00C71A47"/>
    <w:rsid w:val="00C7464C"/>
    <w:rsid w:val="00C85588"/>
    <w:rsid w:val="00CD6755"/>
    <w:rsid w:val="00CD6856"/>
    <w:rsid w:val="00CE0089"/>
    <w:rsid w:val="00CE793C"/>
    <w:rsid w:val="00CF193C"/>
    <w:rsid w:val="00D173F1"/>
    <w:rsid w:val="00D74CB0"/>
    <w:rsid w:val="00D8295D"/>
    <w:rsid w:val="00D941F4"/>
    <w:rsid w:val="00D96C2C"/>
    <w:rsid w:val="00DC2A65"/>
    <w:rsid w:val="00DE15F0"/>
    <w:rsid w:val="00DE5663"/>
    <w:rsid w:val="00DE6E57"/>
    <w:rsid w:val="00DE78AA"/>
    <w:rsid w:val="00E053D0"/>
    <w:rsid w:val="00E15994"/>
    <w:rsid w:val="00E159F7"/>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0551"/>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A626E8"/>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26E8"/>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26E8"/>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2836"/>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142836"/>
  </w:style>
  <w:style w:type="paragraph" w:customStyle="1" w:styleId="font-claude-response-body">
    <w:name w:val="font-claude-response-body"/>
    <w:basedOn w:val="Normal"/>
    <w:rsid w:val="00303CBD"/>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303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406/bbij.2017.05.001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c.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539/jel.v10n2p4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ktpu.kpi.ua/wp-content/uploads/2014/02/social-research-methods-alan-bryman.pdf" TargetMode="External"/><Relationship Id="rId20" Type="http://schemas.openxmlformats.org/officeDocument/2006/relationships/hyperlink" Target="https://doi.org/10.1080/13562517.2019.1696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389/fpsyg.2019.00180"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594/ijmaber.04.05.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h02.tci-thaijo.org/index.php/jtir/article/view/250933"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89C6-C13B-452F-ABFC-71DF84E4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110</TotalTime>
  <Pages>9</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21</cp:revision>
  <cp:lastPrinted>1999-07-06T11:00:00Z</cp:lastPrinted>
  <dcterms:created xsi:type="dcterms:W3CDTF">2014-10-25T14:34:00Z</dcterms:created>
  <dcterms:modified xsi:type="dcterms:W3CDTF">2025-11-23T07:34:00Z</dcterms:modified>
</cp:coreProperties>
</file>