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18D2E" w14:textId="7CB0A9EE" w:rsidR="006A2127" w:rsidRPr="009E1457" w:rsidRDefault="006A2127" w:rsidP="00734E16">
      <w:pPr>
        <w:spacing w:after="0" w:line="240" w:lineRule="auto"/>
        <w:jc w:val="center"/>
        <w:rPr>
          <w:rFonts w:ascii="Times New Roman" w:hAnsi="Times New Roman" w:cs="Times New Roman"/>
          <w:b/>
          <w:sz w:val="24"/>
          <w:szCs w:val="24"/>
        </w:rPr>
      </w:pPr>
      <w:r w:rsidRPr="009E1457">
        <w:rPr>
          <w:rFonts w:ascii="Times New Roman" w:hAnsi="Times New Roman" w:cs="Times New Roman"/>
          <w:b/>
          <w:sz w:val="24"/>
          <w:szCs w:val="24"/>
        </w:rPr>
        <w:t xml:space="preserve">Ethical Governance of Agricultural Biotechnology in Kenya: </w:t>
      </w:r>
      <w:r w:rsidR="00097B42">
        <w:rPr>
          <w:rFonts w:ascii="Times New Roman" w:hAnsi="Times New Roman" w:cs="Times New Roman"/>
          <w:b/>
          <w:sz w:val="24"/>
          <w:szCs w:val="24"/>
        </w:rPr>
        <w:t>A</w:t>
      </w:r>
      <w:r w:rsidR="00097B42" w:rsidRPr="00097B42">
        <w:rPr>
          <w:rFonts w:ascii="Times New Roman" w:hAnsi="Times New Roman" w:cs="Times New Roman"/>
          <w:b/>
          <w:sz w:val="24"/>
          <w:szCs w:val="24"/>
        </w:rPr>
        <w:t xml:space="preserve"> Critical Narrative Review</w:t>
      </w:r>
      <w:r w:rsidR="00097B42">
        <w:rPr>
          <w:rFonts w:ascii="Times New Roman" w:hAnsi="Times New Roman" w:cs="Times New Roman"/>
          <w:b/>
          <w:sz w:val="24"/>
          <w:szCs w:val="24"/>
        </w:rPr>
        <w:t xml:space="preserve"> on </w:t>
      </w:r>
      <w:r w:rsidRPr="009E1457">
        <w:rPr>
          <w:rFonts w:ascii="Times New Roman" w:hAnsi="Times New Roman" w:cs="Times New Roman"/>
          <w:b/>
          <w:sz w:val="24"/>
          <w:szCs w:val="24"/>
        </w:rPr>
        <w:t>Innovation, In</w:t>
      </w:r>
      <w:r w:rsidR="00A86505" w:rsidRPr="009E1457">
        <w:rPr>
          <w:rFonts w:ascii="Times New Roman" w:hAnsi="Times New Roman" w:cs="Times New Roman"/>
          <w:b/>
          <w:sz w:val="24"/>
          <w:szCs w:val="24"/>
        </w:rPr>
        <w:t>clusion, and Indigenous Systems</w:t>
      </w:r>
    </w:p>
    <w:p w14:paraId="36352926" w14:textId="77777777" w:rsidR="00D7257E" w:rsidRDefault="00D7257E" w:rsidP="009E1457">
      <w:pPr>
        <w:pStyle w:val="NormalWeb"/>
        <w:spacing w:before="0" w:beforeAutospacing="0" w:after="0" w:afterAutospacing="0"/>
        <w:jc w:val="both"/>
        <w:rPr>
          <w:b/>
        </w:rPr>
      </w:pPr>
    </w:p>
    <w:p w14:paraId="1566F40F" w14:textId="77777777" w:rsidR="00D7257E" w:rsidRDefault="00D7257E" w:rsidP="009E1457">
      <w:pPr>
        <w:pStyle w:val="NormalWeb"/>
        <w:spacing w:before="0" w:beforeAutospacing="0" w:after="0" w:afterAutospacing="0"/>
        <w:jc w:val="both"/>
        <w:rPr>
          <w:b/>
        </w:rPr>
      </w:pPr>
    </w:p>
    <w:p w14:paraId="05302081" w14:textId="77777777" w:rsidR="00D7257E" w:rsidRDefault="00D7257E" w:rsidP="009E1457">
      <w:pPr>
        <w:pStyle w:val="NormalWeb"/>
        <w:spacing w:before="0" w:beforeAutospacing="0" w:after="0" w:afterAutospacing="0"/>
        <w:jc w:val="both"/>
        <w:rPr>
          <w:b/>
        </w:rPr>
      </w:pPr>
    </w:p>
    <w:p w14:paraId="7EDFD463" w14:textId="29ADA217" w:rsidR="00A5705D" w:rsidRPr="009E1457" w:rsidRDefault="00F64901" w:rsidP="009E1457">
      <w:pPr>
        <w:pStyle w:val="NormalWeb"/>
        <w:spacing w:before="0" w:beforeAutospacing="0" w:after="0" w:afterAutospacing="0"/>
        <w:jc w:val="both"/>
        <w:rPr>
          <w:b/>
        </w:rPr>
      </w:pPr>
      <w:r w:rsidRPr="009E1457">
        <w:rPr>
          <w:b/>
        </w:rPr>
        <w:t>ABSTRACT</w:t>
      </w:r>
    </w:p>
    <w:p w14:paraId="6BE3E8ED" w14:textId="77777777" w:rsidR="00C23E7D" w:rsidRDefault="00C23E7D" w:rsidP="009E1457">
      <w:pPr>
        <w:pStyle w:val="NormalWeb"/>
        <w:spacing w:before="0" w:beforeAutospacing="0"/>
        <w:jc w:val="both"/>
      </w:pPr>
      <w:r>
        <w:t>This study critically examines the ethical governance of agricultural biotechnology in Kenya, focusing on the regulatory frameworks, stakeholder engagement, and socio-cultural considerations shaping policy implementation. Drawing on document analysis and expert interviews, the research identifies significant gaps in ethical oversight, including limited public participation, inadequate risk communication, and fragmented institutional mandates. The findings reveal that while Kenya has made strides in biosafety legislation, ethical governance remains underdeveloped, particularly in addressing distributive justice, indigenous knowledge systems, and long-term ecological impacts. The study argues for a pluralistic and anticipatory governance model that integrates ethical reflexivity, inclusive deliberation, and adaptive regulation. These insights have implications for policy reform, capacity building, and the democratization of biotechnology governance in Kenya and similar contexts.</w:t>
      </w:r>
    </w:p>
    <w:p w14:paraId="216BBBD1" w14:textId="77777777" w:rsidR="00E93EF6" w:rsidRPr="009E1457" w:rsidRDefault="00E93EF6" w:rsidP="009E1457">
      <w:pPr>
        <w:pStyle w:val="NormalWeb"/>
        <w:jc w:val="both"/>
      </w:pPr>
      <w:r w:rsidRPr="009E1457">
        <w:rPr>
          <w:b/>
        </w:rPr>
        <w:t xml:space="preserve">Keywords: </w:t>
      </w:r>
      <w:r w:rsidRPr="00C23E7D">
        <w:rPr>
          <w:i/>
        </w:rPr>
        <w:t xml:space="preserve">Agricultural biotechnology, ethical governance, indigenous </w:t>
      </w:r>
      <w:r w:rsidR="00E504C1" w:rsidRPr="00C23E7D">
        <w:rPr>
          <w:i/>
        </w:rPr>
        <w:t xml:space="preserve">farming, biosafety, </w:t>
      </w:r>
      <w:r w:rsidRPr="00C23E7D">
        <w:rPr>
          <w:i/>
        </w:rPr>
        <w:t>epistemic justice</w:t>
      </w:r>
      <w:r w:rsidR="00EF64B9" w:rsidRPr="00C23E7D">
        <w:rPr>
          <w:i/>
        </w:rPr>
        <w:t>,</w:t>
      </w:r>
      <w:r w:rsidR="00E504C1" w:rsidRPr="00C23E7D">
        <w:rPr>
          <w:i/>
        </w:rPr>
        <w:t xml:space="preserve"> </w:t>
      </w:r>
      <w:r w:rsidR="00EF64B9" w:rsidRPr="00C23E7D">
        <w:rPr>
          <w:i/>
          <w:iCs/>
        </w:rPr>
        <w:t>biopolitics</w:t>
      </w:r>
    </w:p>
    <w:p w14:paraId="3D11142C" w14:textId="77777777" w:rsidR="00085BEA" w:rsidRPr="009E1457" w:rsidRDefault="00F64901" w:rsidP="009E1457">
      <w:pPr>
        <w:pStyle w:val="Heading1"/>
        <w:jc w:val="both"/>
        <w:rPr>
          <w:rFonts w:cs="Times New Roman"/>
          <w:szCs w:val="24"/>
        </w:rPr>
      </w:pPr>
      <w:r w:rsidRPr="009E1457">
        <w:rPr>
          <w:rFonts w:cs="Times New Roman"/>
          <w:szCs w:val="24"/>
        </w:rPr>
        <w:t>INTRODUCTION</w:t>
      </w:r>
    </w:p>
    <w:p w14:paraId="533FAE41" w14:textId="77777777" w:rsidR="00256287" w:rsidRPr="009E1457" w:rsidRDefault="00256287" w:rsidP="009E1457">
      <w:pPr>
        <w:pStyle w:val="NormalWeb"/>
        <w:spacing w:before="0" w:beforeAutospacing="0"/>
        <w:jc w:val="both"/>
      </w:pPr>
      <w:r w:rsidRPr="009E1457">
        <w:t xml:space="preserve">Biotechnology is increasingly framed as a transformative response to global challenges such as food insecurity, climate volatility, and public health crises. This framing is evident in the works of Odame, Kameri-Mbote, and Wafula (2003), and further reinforced by the joint report from the Food and Agriculture Organization, World Health Organization, and World Trade Organization (2021). Across the globe, countries are beginning to reap tangible benefits from biotechnological innovations. In the United States, genetically engineered crops have significantly boosted yields while reducing pesticide use, contributing to both food security and environmental sustainability (FAO et al., 2021). Brazil’s deployment of biotech soybeans and maize has positioned it as a global agricultural powerhouse, while India’s adoption of </w:t>
      </w:r>
      <w:proofErr w:type="spellStart"/>
      <w:r w:rsidRPr="009E1457">
        <w:t>Bt</w:t>
      </w:r>
      <w:proofErr w:type="spellEnd"/>
      <w:r w:rsidRPr="009E1457">
        <w:t xml:space="preserve"> cotton has improved farmer incomes and reduced pest-related losses (Odame et al., 2003).</w:t>
      </w:r>
    </w:p>
    <w:p w14:paraId="4D0CDE63" w14:textId="77777777" w:rsidR="00256287" w:rsidRPr="009E1457" w:rsidRDefault="00256287" w:rsidP="009E1457">
      <w:pPr>
        <w:pStyle w:val="NormalWeb"/>
        <w:spacing w:before="0" w:beforeAutospacing="0"/>
        <w:jc w:val="both"/>
      </w:pPr>
      <w:r w:rsidRPr="009E1457">
        <w:t>In sub-Saharan Africa, drought-resistant and pest-tolerant varieties—such as those trialed in Burkina Faso and Nigeria—have shown promise in mitigating climate-induced agricultural risks. Meanwhile, CRISPR-based gene editing is being explored in China and Argentina to enhance crop resilience and nutritional value, and biofortification initiatives like Golden Rice in the Philippines aim to address micronutrient deficiencies at scale (FAO et al., 2021). These global trajectories underscore biotechnology’s potential to reshape agri-food systems, especially in regions grappling with climate stress and nutritional gaps.</w:t>
      </w:r>
    </w:p>
    <w:p w14:paraId="01BC4F97" w14:textId="77777777" w:rsidR="00256287" w:rsidRPr="009E1457" w:rsidRDefault="00256287" w:rsidP="009E1457">
      <w:pPr>
        <w:pStyle w:val="NormalWeb"/>
        <w:spacing w:before="0" w:beforeAutospacing="0"/>
        <w:jc w:val="both"/>
      </w:pPr>
      <w:r w:rsidRPr="009E1457">
        <w:t>Kenya’s biotechnology landscape reflects this global momentum. The accelerated deployment of genetically modified organisms (GMOs), CRISPR technologies, and biofortification strategies has triggered significant policy shifts aimed at boosting agricultural productivity and economic resilience (</w:t>
      </w:r>
      <w:proofErr w:type="spellStart"/>
      <w:r w:rsidRPr="009E1457">
        <w:t>Kingiri</w:t>
      </w:r>
      <w:proofErr w:type="spellEnd"/>
      <w:r w:rsidRPr="009E1457">
        <w:t xml:space="preserve"> &amp; </w:t>
      </w:r>
      <w:proofErr w:type="spellStart"/>
      <w:r w:rsidRPr="009E1457">
        <w:t>Ayele</w:t>
      </w:r>
      <w:proofErr w:type="spellEnd"/>
      <w:r w:rsidRPr="009E1457">
        <w:t xml:space="preserve">, 2009). Recent approvals of GMO maize and the expansion of </w:t>
      </w:r>
      <w:r w:rsidRPr="009E1457">
        <w:lastRenderedPageBreak/>
        <w:t>CRISPR-based crop trials have reignited debates on biosafety, sovereignty, and ethical inclusion. While these developments signal Kenya’s strategic pivot toward science-driven solutions, they also underscore the urgent need for robust regulatory frameworks and inclusive stakeholder engagement to ensure equitable outcomes.</w:t>
      </w:r>
    </w:p>
    <w:p w14:paraId="3045FC3E" w14:textId="77777777" w:rsidR="00256287" w:rsidRPr="009E1457" w:rsidRDefault="00256287" w:rsidP="009E1457">
      <w:pPr>
        <w:pStyle w:val="NormalWeb"/>
        <w:spacing w:before="0" w:beforeAutospacing="0"/>
        <w:jc w:val="both"/>
      </w:pPr>
      <w:r w:rsidRPr="009E1457">
        <w:t>However, the promise of biotechnology also surfaces complex ethical and governance dilemmas—particularly in relation to indigenous farming systems rooted in ecological stewardship, communal knowledge, and cultural continuity (</w:t>
      </w:r>
      <w:proofErr w:type="spellStart"/>
      <w:r w:rsidRPr="009E1457">
        <w:t>Fuchaka</w:t>
      </w:r>
      <w:proofErr w:type="spellEnd"/>
      <w:r w:rsidRPr="009E1457">
        <w:t xml:space="preserve"> </w:t>
      </w:r>
      <w:proofErr w:type="spellStart"/>
      <w:r w:rsidRPr="009E1457">
        <w:t>Waswa</w:t>
      </w:r>
      <w:proofErr w:type="spellEnd"/>
      <w:r w:rsidRPr="009E1457">
        <w:t xml:space="preserve">, 2016). Despite a growing body of literature on biosafety and biotechnology regulation, </w:t>
      </w:r>
      <w:r w:rsidRPr="009E1457">
        <w:rPr>
          <w:rStyle w:val="Strong"/>
          <w:rFonts w:eastAsiaTheme="majorEastAsia"/>
          <w:b w:val="0"/>
        </w:rPr>
        <w:t>there remains a critical gap: the systematic exclusion of indigenous ethical frameworks from biotechnology governance in Kenya.</w:t>
      </w:r>
      <w:r w:rsidRPr="009E1457">
        <w:t xml:space="preserve"> Indigenous knowledge systems, understood as relational, context-specific epistemologies grounded in ecological and communal ethics, offer alternative logics of innovation and governance (Dei, 2000; Nakashima et al., 2012).</w:t>
      </w:r>
    </w:p>
    <w:p w14:paraId="07EAACB2" w14:textId="4B305B5A" w:rsidR="00256287" w:rsidRPr="009E1457" w:rsidRDefault="00256287" w:rsidP="009E1457">
      <w:pPr>
        <w:pStyle w:val="NormalWeb"/>
        <w:spacing w:before="0" w:beforeAutospacing="0"/>
        <w:jc w:val="both"/>
      </w:pPr>
      <w:r w:rsidRPr="009E1457">
        <w:t>Yet, regulatory discourse in sub-Saharan Africa remains largely anchored in technocratic paradigms that emphasize institutional capacity, risk assessment, and legal compliance. These frameworks often marginalize socio-cultural dimensions of governance, treating indigenous epistemologies as symbolic rather than substantive (</w:t>
      </w:r>
      <w:proofErr w:type="spellStart"/>
      <w:r w:rsidRPr="009E1457">
        <w:t>Chepchirchir</w:t>
      </w:r>
      <w:proofErr w:type="spellEnd"/>
      <w:r w:rsidRPr="009E1457">
        <w:t xml:space="preserve"> &amp; </w:t>
      </w:r>
      <w:proofErr w:type="spellStart"/>
      <w:r w:rsidRPr="009E1457">
        <w:t>Kwanya</w:t>
      </w:r>
      <w:proofErr w:type="spellEnd"/>
      <w:r w:rsidRPr="009E1457">
        <w:t>, 2023). In Kenya, the biosafety architecture—though formally participatory—frequently instrumentalizes indigenous knowledge through tokenistic consultation, limited representation in decision-making bodies, and narrow framing in policy texts, without embedding it meaningfully in ethical deliberation or policy design (Kariuki, Nyambura, &amp; Onyango, 2023).</w:t>
      </w:r>
    </w:p>
    <w:p w14:paraId="50EFEECC" w14:textId="77777777" w:rsidR="00007D51" w:rsidRPr="009E1457" w:rsidRDefault="00007D51" w:rsidP="009E1457">
      <w:pPr>
        <w:pStyle w:val="NormalWeb"/>
        <w:spacing w:before="0" w:beforeAutospacing="0"/>
        <w:jc w:val="both"/>
      </w:pPr>
      <w:r w:rsidRPr="009E1457">
        <w:t>This article addresses a critical gap by examining how ethical concerns and indigenous knowledge systems are problematized within Kenya’s biotechnology policy landscape. Drawing on a desktop-based qualitative review of policy documents, legal texts, and scholarly literature, the study applies Carol Bacchi’s (2009) “What’s the Problem Represented to Be?” (WPR) framework and Michel Foucault’s (1978–1979) concept of biopolitics to analyze how governance challenges are discursively constructed, whose knowledge is privileged, and what forms of inclusion are legitimized. While the primary focus is Kenya, the analysis draws comparative insights from broader sub-Saharan regulatory contexts to situate Kenya’s experience within regional governance trends.</w:t>
      </w:r>
    </w:p>
    <w:p w14:paraId="1FA8E28D" w14:textId="7D1310A5" w:rsidR="003F4B36" w:rsidRPr="009E1457" w:rsidRDefault="00256287" w:rsidP="009E1457">
      <w:pPr>
        <w:pStyle w:val="NormalWeb"/>
        <w:spacing w:before="0" w:beforeAutospacing="0"/>
        <w:jc w:val="both"/>
      </w:pPr>
      <w:r w:rsidRPr="009E1457">
        <w:t>Three core contributions emerge. First, the study reframes biotechnology governance as a contested epistemic space, where indigenous systems act not as passive recipients but as active agents of ethical reasoning (</w:t>
      </w:r>
      <w:proofErr w:type="spellStart"/>
      <w:r w:rsidRPr="009E1457">
        <w:t>Fuchaka</w:t>
      </w:r>
      <w:proofErr w:type="spellEnd"/>
      <w:r w:rsidRPr="009E1457">
        <w:t xml:space="preserve"> </w:t>
      </w:r>
      <w:proofErr w:type="spellStart"/>
      <w:r w:rsidRPr="009E1457">
        <w:t>Waswa</w:t>
      </w:r>
      <w:proofErr w:type="spellEnd"/>
      <w:r w:rsidRPr="009E1457">
        <w:t>, 2016). Second, it critiques Kenya’s biosafety framework, revealing limitations in participatory mechanisms and the need for deeper ethical pluralism (</w:t>
      </w:r>
      <w:proofErr w:type="spellStart"/>
      <w:r w:rsidRPr="009E1457">
        <w:t>Kingiri</w:t>
      </w:r>
      <w:proofErr w:type="spellEnd"/>
      <w:r w:rsidRPr="009E1457">
        <w:t xml:space="preserve"> &amp; </w:t>
      </w:r>
      <w:proofErr w:type="spellStart"/>
      <w:r w:rsidRPr="009E1457">
        <w:t>Ayele</w:t>
      </w:r>
      <w:proofErr w:type="spellEnd"/>
      <w:r w:rsidRPr="009E1457">
        <w:t>, 2009). Third, it proposes a normative governance model—anchored in the innovation–governance–tradition nexus—that integrates scientific advancement with ecological and cultural resilience (Kariuki et al., 2023), thereby advancing inclusive policy principles for socially just and context-sensitive biotechnology</w:t>
      </w:r>
    </w:p>
    <w:p w14:paraId="2D07F7EB" w14:textId="77777777" w:rsidR="00AB6BC3" w:rsidRPr="009E1457" w:rsidRDefault="00F64901" w:rsidP="009E1457">
      <w:pPr>
        <w:pStyle w:val="Heading1"/>
        <w:jc w:val="both"/>
        <w:rPr>
          <w:rFonts w:cs="Times New Roman"/>
          <w:szCs w:val="24"/>
        </w:rPr>
      </w:pPr>
      <w:r w:rsidRPr="009E1457">
        <w:rPr>
          <w:rFonts w:cs="Times New Roman"/>
          <w:szCs w:val="24"/>
        </w:rPr>
        <w:t>METHODOLOGY</w:t>
      </w:r>
    </w:p>
    <w:p w14:paraId="25BEAACB" w14:textId="77777777" w:rsidR="00AB6BC3" w:rsidRPr="009E1457" w:rsidRDefault="00AB6BC3" w:rsidP="009E1457">
      <w:pPr>
        <w:pStyle w:val="NormalWeb"/>
        <w:spacing w:before="0" w:beforeAutospacing="0"/>
        <w:jc w:val="both"/>
      </w:pPr>
      <w:r w:rsidRPr="009E1457">
        <w:t xml:space="preserve">This study adopts a </w:t>
      </w:r>
      <w:r w:rsidRPr="009E1457">
        <w:rPr>
          <w:rStyle w:val="Strong"/>
          <w:b w:val="0"/>
        </w:rPr>
        <w:t>critical narrative review methodology</w:t>
      </w:r>
      <w:r w:rsidRPr="009E1457">
        <w:t xml:space="preserve">, designed to interrogate the ethical and governance dimensions of agricultural biotechnology in Kenya through a multi-layered, </w:t>
      </w:r>
      <w:r w:rsidRPr="009E1457">
        <w:lastRenderedPageBreak/>
        <w:t xml:space="preserve">interpretive lens. Grounded in </w:t>
      </w:r>
      <w:r w:rsidRPr="009E1457">
        <w:rPr>
          <w:rStyle w:val="Strong"/>
          <w:b w:val="0"/>
        </w:rPr>
        <w:t>desktop-based qualitative analysis</w:t>
      </w:r>
      <w:r w:rsidRPr="009E1457">
        <w:t>, the approach integrates policy discourse, legal texts, and scholarly literature to explore the intersection of innovation, governance, and indigenous farming systems. The methodology is structured around four key components: methodological orientation, data sources and selection criteria, analytical procedure, and reflexivity.</w:t>
      </w:r>
    </w:p>
    <w:p w14:paraId="1EAAFEF9" w14:textId="77777777" w:rsidR="00AB6BC3" w:rsidRPr="009E1457" w:rsidRDefault="00AB6BC3" w:rsidP="009E1457">
      <w:pPr>
        <w:pStyle w:val="Heading2"/>
        <w:jc w:val="both"/>
        <w:rPr>
          <w:rFonts w:cs="Times New Roman"/>
          <w:szCs w:val="24"/>
        </w:rPr>
      </w:pPr>
      <w:r w:rsidRPr="009E1457">
        <w:rPr>
          <w:rFonts w:cs="Times New Roman"/>
          <w:szCs w:val="24"/>
        </w:rPr>
        <w:t>2.1 Methodological Orientation</w:t>
      </w:r>
    </w:p>
    <w:p w14:paraId="2104460A" w14:textId="77777777" w:rsidR="00AB6BC3" w:rsidRPr="009E1457" w:rsidRDefault="00AB6BC3" w:rsidP="009E1457">
      <w:pPr>
        <w:pStyle w:val="NormalWeb"/>
        <w:jc w:val="both"/>
      </w:pPr>
      <w:r w:rsidRPr="009E1457">
        <w:t>The review is anchored in three interlinked methodological orientations that collectively inform its critical and interpretive approach:</w:t>
      </w:r>
    </w:p>
    <w:p w14:paraId="3BFFAE39" w14:textId="77777777" w:rsidR="00AB6BC3" w:rsidRPr="009E1457" w:rsidRDefault="00AB6BC3" w:rsidP="009E1457">
      <w:pPr>
        <w:pStyle w:val="NormalWeb"/>
        <w:numPr>
          <w:ilvl w:val="0"/>
          <w:numId w:val="25"/>
        </w:numPr>
        <w:jc w:val="both"/>
      </w:pPr>
      <w:r w:rsidRPr="009E1457">
        <w:rPr>
          <w:rStyle w:val="Strong"/>
          <w:b w:val="0"/>
        </w:rPr>
        <w:t>Critical Policy Discourse Analysis</w:t>
      </w:r>
      <w:r w:rsidRPr="009E1457">
        <w:t xml:space="preserve">: Drawing on Carol Bacchi’s (2009) </w:t>
      </w:r>
      <w:r w:rsidRPr="009E1457">
        <w:rPr>
          <w:rStyle w:val="Emphasis"/>
          <w:rFonts w:eastAsiaTheme="majorEastAsia"/>
        </w:rPr>
        <w:t>What’s the Problem Represented to Be?</w:t>
      </w:r>
      <w:r w:rsidRPr="009E1457">
        <w:t xml:space="preserve"> (WPR) framework, the study examines how biotechnology governance challenges are discursively constructed in Kenyan policy texts. This involves identifying underlying assumptions, silences, and power dynamics that shape problem representations and policy responses.</w:t>
      </w:r>
    </w:p>
    <w:p w14:paraId="5ACB8A36" w14:textId="77777777" w:rsidR="00AB6BC3" w:rsidRPr="009E1457" w:rsidRDefault="00AB6BC3" w:rsidP="009E1457">
      <w:pPr>
        <w:pStyle w:val="NormalWeb"/>
        <w:numPr>
          <w:ilvl w:val="0"/>
          <w:numId w:val="25"/>
        </w:numPr>
        <w:jc w:val="both"/>
      </w:pPr>
      <w:r w:rsidRPr="009E1457">
        <w:rPr>
          <w:rStyle w:val="Strong"/>
          <w:b w:val="0"/>
        </w:rPr>
        <w:t>Biopolitical Framing</w:t>
      </w:r>
      <w:r w:rsidRPr="009E1457">
        <w:t>: Inspired by Michel Foucault’s (1978–1979) concept of biopolitics, the analysis explores how state and institutional actors regulate life through biotechnology, particularly in relation to indigenous knowledge systems and ecological stewardship. This lens reveals how governance mechanisms extend beyond technical regulation to encompass broader questions of control, inclusion, and legitimacy.</w:t>
      </w:r>
    </w:p>
    <w:p w14:paraId="4D821AB9" w14:textId="77777777" w:rsidR="00AB6BC3" w:rsidRPr="009E1457" w:rsidRDefault="00AB6BC3" w:rsidP="009E1457">
      <w:pPr>
        <w:pStyle w:val="NormalWeb"/>
        <w:numPr>
          <w:ilvl w:val="0"/>
          <w:numId w:val="25"/>
        </w:numPr>
        <w:jc w:val="both"/>
      </w:pPr>
      <w:r w:rsidRPr="009E1457">
        <w:rPr>
          <w:rStyle w:val="Strong"/>
          <w:b w:val="0"/>
        </w:rPr>
        <w:t>Epistemic Justice Lens</w:t>
      </w:r>
      <w:r w:rsidRPr="009E1457">
        <w:t>: The study foregrounds epistemic inclusion by assessing whose knowledge counts in governance processes, how indigenous epistemologies are represented or excluded, and what ethical implications arise from these dynamics. Together, these orientations enable a nuanced exploration of biotechnology governance as a contested epistemic and ethical terrain, where innovation, tradition, and power intersect.</w:t>
      </w:r>
    </w:p>
    <w:p w14:paraId="134814A2" w14:textId="77777777" w:rsidR="00AB6BC3" w:rsidRPr="009E1457" w:rsidRDefault="00AB6BC3" w:rsidP="009E1457">
      <w:pPr>
        <w:pStyle w:val="Heading2"/>
        <w:jc w:val="both"/>
        <w:rPr>
          <w:rFonts w:cs="Times New Roman"/>
          <w:szCs w:val="24"/>
        </w:rPr>
      </w:pPr>
      <w:r w:rsidRPr="009E1457">
        <w:rPr>
          <w:rFonts w:cs="Times New Roman"/>
          <w:szCs w:val="24"/>
        </w:rPr>
        <w:t>2.2 Data Sources and Selection Criteria</w:t>
      </w:r>
    </w:p>
    <w:p w14:paraId="4F4C5421" w14:textId="77777777" w:rsidR="00AB6BC3" w:rsidRPr="009E1457" w:rsidRDefault="00AB6BC3" w:rsidP="009E1457">
      <w:pPr>
        <w:pStyle w:val="NormalWeb"/>
        <w:jc w:val="both"/>
      </w:pPr>
      <w:r w:rsidRPr="009E1457">
        <w:t xml:space="preserve">The review synthesizes data from a diverse range of sources selected for their relevance to ethical governance, indigenous knowledge, and biotechnology policy. Emphasis was placed on texts published between </w:t>
      </w:r>
      <w:r w:rsidRPr="009E1457">
        <w:rPr>
          <w:rStyle w:val="Strong"/>
          <w:b w:val="0"/>
        </w:rPr>
        <w:t>2000 and 2024</w:t>
      </w:r>
      <w:r w:rsidRPr="009E1457">
        <w:t xml:space="preserve"> to capture both historical and contemporary perspectives. The sources include:</w:t>
      </w:r>
    </w:p>
    <w:p w14:paraId="3E44688E" w14:textId="77777777" w:rsidR="00AB6BC3" w:rsidRPr="009E1457" w:rsidRDefault="00AB6BC3" w:rsidP="009E1457">
      <w:pPr>
        <w:pStyle w:val="NormalWeb"/>
        <w:numPr>
          <w:ilvl w:val="0"/>
          <w:numId w:val="26"/>
        </w:numPr>
        <w:jc w:val="both"/>
      </w:pPr>
      <w:r w:rsidRPr="009E1457">
        <w:rPr>
          <w:rStyle w:val="Strong"/>
          <w:b w:val="0"/>
        </w:rPr>
        <w:t>Policy and Legal Documents</w:t>
      </w:r>
      <w:r w:rsidRPr="009E1457">
        <w:t>: Kenya’s Biosafety Act (2009), National Biosafety Authority guidelines, KALRO strategic plans, and relevant parliamentary debates.</w:t>
      </w:r>
    </w:p>
    <w:p w14:paraId="616BDF02" w14:textId="77777777" w:rsidR="00AB6BC3" w:rsidRPr="009E1457" w:rsidRDefault="00AB6BC3" w:rsidP="009E1457">
      <w:pPr>
        <w:pStyle w:val="NormalWeb"/>
        <w:numPr>
          <w:ilvl w:val="0"/>
          <w:numId w:val="26"/>
        </w:numPr>
        <w:jc w:val="both"/>
      </w:pPr>
      <w:r w:rsidRPr="009E1457">
        <w:rPr>
          <w:rStyle w:val="Strong"/>
          <w:b w:val="0"/>
        </w:rPr>
        <w:t>Academic Literature</w:t>
      </w:r>
      <w:r w:rsidRPr="009E1457">
        <w:t>: Peer-reviewed articles, books, and reports from local and international scholars addressing biotechnology, governance, and indigenous systems.</w:t>
      </w:r>
    </w:p>
    <w:p w14:paraId="02573E40" w14:textId="77777777" w:rsidR="00AB6BC3" w:rsidRPr="009E1457" w:rsidRDefault="00AB6BC3" w:rsidP="009E1457">
      <w:pPr>
        <w:pStyle w:val="NormalWeb"/>
        <w:numPr>
          <w:ilvl w:val="0"/>
          <w:numId w:val="26"/>
        </w:numPr>
        <w:jc w:val="both"/>
      </w:pPr>
      <w:r w:rsidRPr="009E1457">
        <w:rPr>
          <w:rStyle w:val="Strong"/>
          <w:b w:val="0"/>
        </w:rPr>
        <w:t>Institutional Reports</w:t>
      </w:r>
      <w:r w:rsidRPr="009E1457">
        <w:t>: Publications from FAO, WHO, WTO, and regional bodies such as AUDA-NEPAD and ASARECA.</w:t>
      </w:r>
    </w:p>
    <w:p w14:paraId="67FBCDA7" w14:textId="77777777" w:rsidR="00AB6BC3" w:rsidRPr="009E1457" w:rsidRDefault="00AB6BC3" w:rsidP="009E1457">
      <w:pPr>
        <w:pStyle w:val="NormalWeb"/>
        <w:numPr>
          <w:ilvl w:val="0"/>
          <w:numId w:val="26"/>
        </w:numPr>
        <w:jc w:val="both"/>
      </w:pPr>
      <w:r w:rsidRPr="009E1457">
        <w:rPr>
          <w:rStyle w:val="Strong"/>
          <w:b w:val="0"/>
        </w:rPr>
        <w:t>Comparative Case Studies</w:t>
      </w:r>
      <w:r w:rsidRPr="009E1457">
        <w:t xml:space="preserve">: Selected examples from sub-Saharan </w:t>
      </w:r>
      <w:r w:rsidR="00A4139A" w:rsidRPr="009E1457">
        <w:t>Africa and</w:t>
      </w:r>
      <w:r w:rsidRPr="009E1457">
        <w:t xml:space="preserve"> global contexts to situate Kenya’s experience within broader governance trends.</w:t>
      </w:r>
    </w:p>
    <w:p w14:paraId="420D668C" w14:textId="77777777" w:rsidR="00AB6BC3" w:rsidRPr="009E1457" w:rsidRDefault="00AB6BC3" w:rsidP="009E1457">
      <w:pPr>
        <w:pStyle w:val="Heading2"/>
        <w:jc w:val="both"/>
        <w:rPr>
          <w:rFonts w:cs="Times New Roman"/>
          <w:szCs w:val="24"/>
        </w:rPr>
      </w:pPr>
      <w:r w:rsidRPr="009E1457">
        <w:rPr>
          <w:rFonts w:cs="Times New Roman"/>
          <w:szCs w:val="24"/>
        </w:rPr>
        <w:lastRenderedPageBreak/>
        <w:t>2.3 Analytical Procedure</w:t>
      </w:r>
    </w:p>
    <w:p w14:paraId="1723E267" w14:textId="77777777" w:rsidR="00AB6BC3" w:rsidRPr="009E1457" w:rsidRDefault="00AB6BC3" w:rsidP="009E1457">
      <w:pPr>
        <w:pStyle w:val="NormalWeb"/>
        <w:spacing w:before="0" w:beforeAutospacing="0"/>
        <w:jc w:val="both"/>
      </w:pPr>
      <w:r w:rsidRPr="009E1457">
        <w:t xml:space="preserve">The analysis followed an </w:t>
      </w:r>
      <w:r w:rsidRPr="009E1457">
        <w:rPr>
          <w:rStyle w:val="Strong"/>
          <w:b w:val="0"/>
        </w:rPr>
        <w:t>iterative, multi-step process</w:t>
      </w:r>
      <w:r w:rsidRPr="009E1457">
        <w:t xml:space="preserve"> designed to extract conceptual depth and ethical insight:</w:t>
      </w:r>
    </w:p>
    <w:p w14:paraId="56B13F37" w14:textId="77777777" w:rsidR="00AB6BC3" w:rsidRPr="009E1457" w:rsidRDefault="00AB6BC3" w:rsidP="009E1457">
      <w:pPr>
        <w:pStyle w:val="NormalWeb"/>
        <w:numPr>
          <w:ilvl w:val="0"/>
          <w:numId w:val="27"/>
        </w:numPr>
        <w:spacing w:before="0" w:beforeAutospacing="0"/>
        <w:jc w:val="both"/>
      </w:pPr>
      <w:r w:rsidRPr="009E1457">
        <w:rPr>
          <w:rStyle w:val="Strong"/>
          <w:b w:val="0"/>
        </w:rPr>
        <w:t>Thematic Coding</w:t>
      </w:r>
      <w:r w:rsidRPr="009E1457">
        <w:t>: Using NVivo-assisted manual coding, texts were analyzed for recurring themes related to consent, equity, sustainability, and epistemic inclusion.</w:t>
      </w:r>
    </w:p>
    <w:p w14:paraId="68D30ADA" w14:textId="77777777" w:rsidR="00AB6BC3" w:rsidRPr="009E1457" w:rsidRDefault="00AB6BC3" w:rsidP="009E1457">
      <w:pPr>
        <w:pStyle w:val="NormalWeb"/>
        <w:numPr>
          <w:ilvl w:val="0"/>
          <w:numId w:val="27"/>
        </w:numPr>
        <w:spacing w:before="0" w:beforeAutospacing="0"/>
        <w:jc w:val="both"/>
      </w:pPr>
      <w:r w:rsidRPr="009E1457">
        <w:rPr>
          <w:rStyle w:val="Strong"/>
          <w:b w:val="0"/>
        </w:rPr>
        <w:t>Frame Analysis</w:t>
      </w:r>
      <w:r w:rsidRPr="009E1457">
        <w:t>: Policy representations were mapped to identify dominant frames (e.g., risk, innovation, sovereignty) and their implications for ethical governance.</w:t>
      </w:r>
    </w:p>
    <w:p w14:paraId="0354404A" w14:textId="77777777" w:rsidR="00AB6BC3" w:rsidRPr="009E1457" w:rsidRDefault="00AB6BC3" w:rsidP="009E1457">
      <w:pPr>
        <w:pStyle w:val="NormalWeb"/>
        <w:numPr>
          <w:ilvl w:val="0"/>
          <w:numId w:val="27"/>
        </w:numPr>
        <w:spacing w:before="0" w:beforeAutospacing="0"/>
        <w:jc w:val="both"/>
      </w:pPr>
      <w:r w:rsidRPr="009E1457">
        <w:rPr>
          <w:rStyle w:val="Strong"/>
          <w:b w:val="0"/>
        </w:rPr>
        <w:t>Intertextual Mapping</w:t>
      </w:r>
      <w:r w:rsidRPr="009E1457">
        <w:t>: Cross-referencing between legal texts, policy documents, and academic literature was conducted to trace discursive alignments and divergences.</w:t>
      </w:r>
    </w:p>
    <w:p w14:paraId="52330A5C" w14:textId="77777777" w:rsidR="00AB6BC3" w:rsidRPr="009E1457" w:rsidRDefault="00AB6BC3" w:rsidP="009E1457">
      <w:pPr>
        <w:pStyle w:val="NormalWeb"/>
        <w:numPr>
          <w:ilvl w:val="0"/>
          <w:numId w:val="27"/>
        </w:numPr>
        <w:spacing w:before="0" w:beforeAutospacing="0"/>
        <w:jc w:val="both"/>
      </w:pPr>
      <w:r w:rsidRPr="009E1457">
        <w:rPr>
          <w:rStyle w:val="Strong"/>
          <w:b w:val="0"/>
        </w:rPr>
        <w:t>Comparative Synthesis</w:t>
      </w:r>
      <w:r w:rsidRPr="009E1457">
        <w:t>: Insights from regional and global case studies were integrated to highlight governance models, ethical tensions, and opportunities for convergence.</w:t>
      </w:r>
    </w:p>
    <w:p w14:paraId="0B213D19" w14:textId="77777777" w:rsidR="00AB6BC3" w:rsidRPr="009E1457" w:rsidRDefault="00AB6BC3" w:rsidP="009E1457">
      <w:pPr>
        <w:pStyle w:val="Heading2"/>
        <w:jc w:val="both"/>
        <w:rPr>
          <w:rFonts w:cs="Times New Roman"/>
          <w:szCs w:val="24"/>
        </w:rPr>
      </w:pPr>
      <w:r w:rsidRPr="009E1457">
        <w:rPr>
          <w:rFonts w:cs="Times New Roman"/>
          <w:szCs w:val="24"/>
        </w:rPr>
        <w:t>2.4 Reflexivity and Limitations</w:t>
      </w:r>
    </w:p>
    <w:p w14:paraId="1531B21D" w14:textId="77777777" w:rsidR="00AB6BC3" w:rsidRPr="009E1457" w:rsidRDefault="00AB6BC3" w:rsidP="009E1457">
      <w:pPr>
        <w:pStyle w:val="NormalWeb"/>
        <w:jc w:val="both"/>
      </w:pPr>
      <w:r w:rsidRPr="009E1457">
        <w:t xml:space="preserve">The study acknowledges its reliance on </w:t>
      </w:r>
      <w:r w:rsidRPr="009E1457">
        <w:rPr>
          <w:rStyle w:val="Strong"/>
          <w:b w:val="0"/>
        </w:rPr>
        <w:t>secondary sources</w:t>
      </w:r>
      <w:r w:rsidRPr="009E1457">
        <w:t xml:space="preserve"> and the limitations inherent in </w:t>
      </w:r>
      <w:r w:rsidRPr="009E1457">
        <w:rPr>
          <w:rStyle w:val="Strong"/>
          <w:b w:val="0"/>
        </w:rPr>
        <w:t>desktop-based analysis</w:t>
      </w:r>
      <w:r w:rsidRPr="009E1457">
        <w:t xml:space="preserve">. While rich in conceptual and discursive depth, the absence of primary fieldwork constrains direct engagement with community voices. However, the </w:t>
      </w:r>
      <w:r w:rsidRPr="009E1457">
        <w:rPr>
          <w:rStyle w:val="Strong"/>
          <w:b w:val="0"/>
        </w:rPr>
        <w:t>critical narrative approach</w:t>
      </w:r>
      <w:r w:rsidRPr="009E1457">
        <w:t xml:space="preserve"> compensates by foregrounding epistemic justice and offering a robust interpretive framework for ethical governance. Future research may build on this foundation through </w:t>
      </w:r>
      <w:r w:rsidRPr="009E1457">
        <w:rPr>
          <w:rStyle w:val="Strong"/>
          <w:b w:val="0"/>
        </w:rPr>
        <w:t>participatory fieldwork</w:t>
      </w:r>
      <w:r w:rsidRPr="009E1457">
        <w:rPr>
          <w:b/>
        </w:rPr>
        <w:t>,</w:t>
      </w:r>
      <w:r w:rsidRPr="009E1457">
        <w:t xml:space="preserve"> co-designed with indigenous communities and policy actors, to deepen empirical grounding and enhance policy relevance.</w:t>
      </w:r>
    </w:p>
    <w:p w14:paraId="2E8AC7B2" w14:textId="77777777" w:rsidR="00FA795D" w:rsidRPr="009E1457" w:rsidRDefault="00FA795D" w:rsidP="009E1457">
      <w:pPr>
        <w:pStyle w:val="NormalWeb"/>
        <w:jc w:val="both"/>
      </w:pPr>
    </w:p>
    <w:p w14:paraId="1D1BC43E" w14:textId="77777777" w:rsidR="00FA795D" w:rsidRPr="009E1457" w:rsidRDefault="00FA795D" w:rsidP="009E1457">
      <w:pPr>
        <w:pStyle w:val="NormalWeb"/>
        <w:jc w:val="both"/>
      </w:pPr>
    </w:p>
    <w:p w14:paraId="4D444A6D" w14:textId="77777777" w:rsidR="00FA795D" w:rsidRPr="009E1457" w:rsidRDefault="00FA795D" w:rsidP="009E1457">
      <w:pPr>
        <w:pStyle w:val="NormalWeb"/>
        <w:jc w:val="both"/>
      </w:pPr>
    </w:p>
    <w:p w14:paraId="4FE81183" w14:textId="77777777" w:rsidR="00FA795D" w:rsidRPr="009E1457" w:rsidRDefault="00FA795D" w:rsidP="009E1457">
      <w:pPr>
        <w:pStyle w:val="NormalWeb"/>
        <w:jc w:val="both"/>
      </w:pPr>
    </w:p>
    <w:p w14:paraId="14F4A73C" w14:textId="77777777" w:rsidR="00FA795D" w:rsidRPr="009E1457" w:rsidRDefault="00FA795D" w:rsidP="009E1457">
      <w:pPr>
        <w:pStyle w:val="NormalWeb"/>
        <w:jc w:val="both"/>
      </w:pPr>
    </w:p>
    <w:p w14:paraId="08C057B5" w14:textId="77777777" w:rsidR="00FA795D" w:rsidRPr="009E1457" w:rsidRDefault="00FA795D" w:rsidP="009E1457">
      <w:pPr>
        <w:pStyle w:val="NormalWeb"/>
        <w:jc w:val="both"/>
      </w:pPr>
    </w:p>
    <w:p w14:paraId="55F162FD" w14:textId="77777777" w:rsidR="009E1457" w:rsidRPr="009E1457" w:rsidRDefault="009E1457" w:rsidP="009E1457">
      <w:pPr>
        <w:pStyle w:val="NormalWeb"/>
        <w:jc w:val="both"/>
      </w:pPr>
    </w:p>
    <w:p w14:paraId="286F7282" w14:textId="77777777" w:rsidR="009E1457" w:rsidRPr="009E1457" w:rsidRDefault="009E1457" w:rsidP="009E1457">
      <w:pPr>
        <w:pStyle w:val="NormalWeb"/>
        <w:jc w:val="both"/>
      </w:pPr>
    </w:p>
    <w:p w14:paraId="56889C99" w14:textId="77777777" w:rsidR="00FA795D" w:rsidRPr="009E1457" w:rsidRDefault="00FA795D" w:rsidP="009E1457">
      <w:pPr>
        <w:pStyle w:val="NormalWeb"/>
        <w:jc w:val="both"/>
      </w:pPr>
    </w:p>
    <w:p w14:paraId="79456DBB" w14:textId="77777777" w:rsidR="00242E71" w:rsidRPr="009E1457" w:rsidRDefault="003C2649" w:rsidP="00242E71">
      <w:pPr>
        <w:pStyle w:val="NormalWeb"/>
        <w:jc w:val="both"/>
        <w:rPr>
          <w:i/>
        </w:rPr>
      </w:pPr>
      <w:r w:rsidRPr="009E1457">
        <w:rPr>
          <w:rStyle w:val="Strong"/>
        </w:rPr>
        <w:t xml:space="preserve">Figure 1. </w:t>
      </w:r>
      <w:r w:rsidR="00242E71" w:rsidRPr="009E1457">
        <w:rPr>
          <w:rStyle w:val="Strong"/>
          <w:i/>
        </w:rPr>
        <w:t>Integrated Conceptual and Analytical Framework</w:t>
      </w:r>
    </w:p>
    <w:p w14:paraId="51EC7C56" w14:textId="778FA1E8" w:rsidR="003C2649" w:rsidRPr="009E1457" w:rsidRDefault="003C2649" w:rsidP="009E1457">
      <w:pPr>
        <w:pStyle w:val="NormalWeb"/>
        <w:jc w:val="both"/>
        <w:rPr>
          <w:rStyle w:val="Strong"/>
        </w:rPr>
      </w:pPr>
    </w:p>
    <w:p w14:paraId="360121A9" w14:textId="77777777" w:rsidR="00FA1E39" w:rsidRPr="009E1457" w:rsidRDefault="003C2649" w:rsidP="009E1457">
      <w:pPr>
        <w:pStyle w:val="NormalWeb"/>
        <w:spacing w:after="0" w:afterAutospacing="0"/>
        <w:jc w:val="both"/>
      </w:pPr>
      <w:r w:rsidRPr="009E1457">
        <w:rPr>
          <w:noProof/>
        </w:rPr>
        <w:lastRenderedPageBreak/>
        <w:drawing>
          <wp:inline distT="0" distB="0" distL="0" distR="0" wp14:anchorId="5E322665" wp14:editId="44F7D372">
            <wp:extent cx="6061580" cy="4440264"/>
            <wp:effectExtent l="0" t="0" r="0" b="0"/>
            <wp:docPr id="2" name="Picture 2" descr="Create a more complex and detailed diagram illustrating the Innovation–Governance–Tradition Nexus conceptual relationships. Include key elements like innovation, governance, tradition, and their interconnections, as well as sub-elements such as policy frameworks, ethical considerations, and indigenous knowledg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e a more complex and detailed diagram illustrating the Innovation–Governance–Tradition Nexus conceptual relationships. Include key elements like innovation, governance, tradition, and their interconnections, as well as sub-elements such as policy frameworks, ethical considerations, and indigenous knowledge system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8258" cy="4525733"/>
                    </a:xfrm>
                    <a:prstGeom prst="rect">
                      <a:avLst/>
                    </a:prstGeom>
                    <a:noFill/>
                    <a:ln>
                      <a:noFill/>
                    </a:ln>
                  </pic:spPr>
                </pic:pic>
              </a:graphicData>
            </a:graphic>
          </wp:inline>
        </w:drawing>
      </w:r>
    </w:p>
    <w:p w14:paraId="647524D6" w14:textId="77777777" w:rsidR="00DB3552" w:rsidRPr="009E1457" w:rsidRDefault="00DB3552" w:rsidP="009E1457">
      <w:pPr>
        <w:pStyle w:val="HTMLPreformatted"/>
        <w:jc w:val="both"/>
        <w:rPr>
          <w:rFonts w:ascii="Times New Roman" w:hAnsi="Times New Roman" w:cs="Times New Roman"/>
          <w:sz w:val="24"/>
          <w:szCs w:val="24"/>
        </w:rPr>
      </w:pPr>
      <w:r w:rsidRPr="009E1457">
        <w:rPr>
          <w:rFonts w:ascii="Times New Roman" w:hAnsi="Times New Roman" w:cs="Times New Roman"/>
          <w:b/>
          <w:sz w:val="24"/>
          <w:szCs w:val="24"/>
        </w:rPr>
        <w:t>Source:</w:t>
      </w:r>
      <w:r w:rsidRPr="009E1457">
        <w:rPr>
          <w:rFonts w:ascii="Times New Roman" w:hAnsi="Times New Roman" w:cs="Times New Roman"/>
          <w:sz w:val="24"/>
          <w:szCs w:val="24"/>
        </w:rPr>
        <w:t xml:space="preserve"> </w:t>
      </w:r>
      <w:r w:rsidRPr="009E1457">
        <w:rPr>
          <w:rFonts w:ascii="Times New Roman" w:hAnsi="Times New Roman" w:cs="Times New Roman"/>
          <w:i/>
          <w:sz w:val="24"/>
          <w:szCs w:val="24"/>
        </w:rPr>
        <w:t>Author, 2025</w:t>
      </w:r>
    </w:p>
    <w:p w14:paraId="7D131AC7" w14:textId="77777777" w:rsidR="00A4139A" w:rsidRPr="009E1457" w:rsidRDefault="00FA795D" w:rsidP="009E1457">
      <w:pPr>
        <w:pStyle w:val="HTMLPreformatted"/>
        <w:spacing w:before="240"/>
        <w:jc w:val="both"/>
        <w:rPr>
          <w:rFonts w:ascii="Times New Roman" w:hAnsi="Times New Roman" w:cs="Times New Roman"/>
          <w:sz w:val="24"/>
          <w:szCs w:val="24"/>
        </w:rPr>
      </w:pPr>
      <w:r w:rsidRPr="009E1457">
        <w:rPr>
          <w:rFonts w:ascii="Times New Roman" w:hAnsi="Times New Roman" w:cs="Times New Roman"/>
          <w:sz w:val="24"/>
          <w:szCs w:val="24"/>
        </w:rPr>
        <w:t xml:space="preserve">Conceptual framework </w:t>
      </w:r>
      <w:r w:rsidR="00BF21F9" w:rsidRPr="009E1457">
        <w:rPr>
          <w:rFonts w:ascii="Times New Roman" w:hAnsi="Times New Roman" w:cs="Times New Roman"/>
          <w:sz w:val="24"/>
          <w:szCs w:val="24"/>
        </w:rPr>
        <w:t>illustrate</w:t>
      </w:r>
      <w:r w:rsidR="00DB3552" w:rsidRPr="009E1457">
        <w:rPr>
          <w:rFonts w:ascii="Times New Roman" w:hAnsi="Times New Roman" w:cs="Times New Roman"/>
          <w:sz w:val="24"/>
          <w:szCs w:val="24"/>
        </w:rPr>
        <w:t>s</w:t>
      </w:r>
      <w:r w:rsidR="003C2649" w:rsidRPr="009E1457">
        <w:rPr>
          <w:rFonts w:ascii="Times New Roman" w:hAnsi="Times New Roman" w:cs="Times New Roman"/>
          <w:sz w:val="24"/>
          <w:szCs w:val="24"/>
        </w:rPr>
        <w:t xml:space="preserve"> the intersection of innovation, governance, and indigenous tradition in Kenya’s biotechnology policy landscape. </w:t>
      </w:r>
      <w:r w:rsidR="00DB3552" w:rsidRPr="009E1457">
        <w:rPr>
          <w:rFonts w:ascii="Times New Roman" w:hAnsi="Times New Roman" w:cs="Times New Roman"/>
          <w:sz w:val="24"/>
          <w:szCs w:val="24"/>
        </w:rPr>
        <w:t>It</w:t>
      </w:r>
      <w:r w:rsidR="003C2649" w:rsidRPr="009E1457">
        <w:rPr>
          <w:rFonts w:ascii="Times New Roman" w:hAnsi="Times New Roman" w:cs="Times New Roman"/>
          <w:sz w:val="24"/>
          <w:szCs w:val="24"/>
        </w:rPr>
        <w:t xml:space="preserve"> integrates critical theory (Bacchi, Foucault) with empirical tools (coding, frame analysis, intertextual mapping) to guide ethical and epistemically inclusive governance analysis.</w:t>
      </w:r>
    </w:p>
    <w:p w14:paraId="60F739DB" w14:textId="77777777" w:rsidR="00A4139A" w:rsidRPr="009E1457" w:rsidRDefault="00F14491" w:rsidP="009E1457">
      <w:pPr>
        <w:pStyle w:val="Heading1"/>
        <w:jc w:val="both"/>
        <w:rPr>
          <w:rFonts w:cs="Times New Roman"/>
          <w:szCs w:val="24"/>
        </w:rPr>
      </w:pPr>
      <w:r w:rsidRPr="009E1457">
        <w:rPr>
          <w:rFonts w:cs="Times New Roman"/>
          <w:szCs w:val="24"/>
        </w:rPr>
        <w:t>EMPIRICAL REVIEW AND CONCEPTUAL SCAFFOLDING</w:t>
      </w:r>
    </w:p>
    <w:p w14:paraId="07736040" w14:textId="77777777" w:rsidR="00D547D6" w:rsidRPr="009E1457" w:rsidRDefault="009C731C" w:rsidP="009E1457">
      <w:pPr>
        <w:pStyle w:val="Heading3"/>
        <w:rPr>
          <w:rStyle w:val="Strong"/>
          <w:rFonts w:cs="Times New Roman"/>
          <w:b/>
          <w:bCs w:val="0"/>
        </w:rPr>
      </w:pPr>
      <w:r w:rsidRPr="009E1457">
        <w:rPr>
          <w:rStyle w:val="Strong"/>
          <w:rFonts w:cs="Times New Roman"/>
          <w:b/>
          <w:bCs w:val="0"/>
        </w:rPr>
        <w:t xml:space="preserve">3.1 </w:t>
      </w:r>
      <w:r w:rsidR="00D547D6" w:rsidRPr="009E1457">
        <w:rPr>
          <w:rStyle w:val="Strong"/>
          <w:rFonts w:cs="Times New Roman"/>
          <w:b/>
          <w:bCs w:val="0"/>
        </w:rPr>
        <w:t>Agricultural Biotechnology in Kenya</w:t>
      </w:r>
    </w:p>
    <w:p w14:paraId="70403AFC" w14:textId="77777777" w:rsidR="000F60DD" w:rsidRPr="009E1457" w:rsidRDefault="000F60DD" w:rsidP="009E1457">
      <w:pPr>
        <w:pStyle w:val="Heading3"/>
        <w:rPr>
          <w:rFonts w:cs="Times New Roman"/>
        </w:rPr>
      </w:pPr>
      <w:r w:rsidRPr="009E1457">
        <w:rPr>
          <w:rStyle w:val="Strong"/>
          <w:rFonts w:cs="Times New Roman"/>
          <w:b/>
          <w:bCs w:val="0"/>
        </w:rPr>
        <w:t>3.1.1 Historical Trajectory and Policy Foundations</w:t>
      </w:r>
    </w:p>
    <w:p w14:paraId="6B23B72D" w14:textId="77777777" w:rsidR="000F60DD" w:rsidRPr="009E1457" w:rsidRDefault="000F60DD" w:rsidP="009E1457">
      <w:pPr>
        <w:pStyle w:val="NormalWeb"/>
        <w:jc w:val="both"/>
      </w:pPr>
      <w:r w:rsidRPr="009E1457">
        <w:t xml:space="preserve">Kenya’s engagement with biotechnology predates the Biosafety Act, with early initiatives in tissue culture and GMO trials emerging in the late 1990s through institutions like the Kenya Agricultural Research Institute (KARI) (Odame et al., 2003). The country ratified the Cartagena Protocol on Biosafety in 2003, laying the groundwork for regulatory harmonization with global norms (Bail et al., 2002). Complementary policies such as the </w:t>
      </w:r>
      <w:r w:rsidRPr="009E1457">
        <w:rPr>
          <w:rStyle w:val="Emphasis"/>
          <w:rFonts w:eastAsiaTheme="majorEastAsia"/>
        </w:rPr>
        <w:t>National Biotechnology Development Policy</w:t>
      </w:r>
      <w:r w:rsidRPr="009E1457">
        <w:t xml:space="preserve"> (2006) and the </w:t>
      </w:r>
      <w:r w:rsidRPr="009E1457">
        <w:rPr>
          <w:rStyle w:val="Emphasis"/>
          <w:rFonts w:eastAsiaTheme="majorEastAsia"/>
        </w:rPr>
        <w:t>Science, Technology and Innovation Act</w:t>
      </w:r>
      <w:r w:rsidRPr="009E1457">
        <w:t xml:space="preserve"> (2013) further embedded biotechnology within Kenya’s development and innovation agenda (Government of Kenya, 2006; Government of Kenya, 2013). Key institutions—including KALRO, KEBS, NACOSTI, and leading </w:t>
      </w:r>
      <w:r w:rsidRPr="009E1457">
        <w:lastRenderedPageBreak/>
        <w:t xml:space="preserve">universities—have played pivotal roles in research, standard-setting, and capacity building. Donor agencies like USAID and the Gates Foundation have significantly influenced Kenya’s biotech trajectory, shaping both technical capabilities and policy orientations (Kamau &amp; Snyder, 2023). Public debates, especially around GMO maize imports and </w:t>
      </w:r>
      <w:proofErr w:type="spellStart"/>
      <w:r w:rsidRPr="009E1457">
        <w:t>Bt</w:t>
      </w:r>
      <w:proofErr w:type="spellEnd"/>
      <w:r w:rsidRPr="009E1457">
        <w:t xml:space="preserve"> cotton trials, have underscored the need for transparent, inclusive, and ethically grounded governance (National Biosafety Authority, 2021).</w:t>
      </w:r>
    </w:p>
    <w:p w14:paraId="54372D43" w14:textId="77777777" w:rsidR="000F60DD" w:rsidRPr="009E1457" w:rsidRDefault="000F60DD" w:rsidP="009E1457">
      <w:pPr>
        <w:pStyle w:val="Heading3"/>
        <w:rPr>
          <w:rFonts w:cs="Times New Roman"/>
        </w:rPr>
      </w:pPr>
      <w:r w:rsidRPr="009E1457">
        <w:rPr>
          <w:rStyle w:val="Strong"/>
          <w:rFonts w:cs="Times New Roman"/>
          <w:b/>
          <w:bCs w:val="0"/>
        </w:rPr>
        <w:t>3.1.2 Dominant Frames and Discursive Silences</w:t>
      </w:r>
    </w:p>
    <w:p w14:paraId="63D03D2D" w14:textId="77777777" w:rsidR="000F60DD" w:rsidRPr="009E1457" w:rsidRDefault="000F60DD" w:rsidP="009E1457">
      <w:pPr>
        <w:pStyle w:val="NormalWeb"/>
        <w:jc w:val="both"/>
      </w:pPr>
      <w:r w:rsidRPr="009E1457">
        <w:t>Strategic plans from the Kenya Agricultural and Livestock Research Organization (KALRO) and parliamentary debates consistently frame biotechnology as a remedy for agricultural stagnation, emphasizing productivity, competitiveness, and scientific modernization (KALRO, 2020). This framing resonates with AUDA-NEPAD’s continental vision and WTO-aligned trade liberalization, positioning Kenya as a regional biotech leader (AUDA-NEPAD, 2020). However, such narratives often marginalize indigenous farming systems, ecological ethics, and community-based innovation. The discourse privileges technocratic expertise and external partnerships—particularly with multinational biotech firms—over locally embedded knowledge and participatory governance.</w:t>
      </w:r>
    </w:p>
    <w:p w14:paraId="46C7DF62" w14:textId="77777777" w:rsidR="000F60DD" w:rsidRPr="009E1457" w:rsidRDefault="000F60DD" w:rsidP="009E1457">
      <w:pPr>
        <w:pStyle w:val="NormalWeb"/>
        <w:jc w:val="both"/>
      </w:pPr>
      <w:r w:rsidRPr="009E1457">
        <w:t>Through intertextual mapping, this review identifies recurring frames of “innovation,” “efficiency,” and “global competitiveness,” while noting the conspicuous absence of terms such as “epistemic inclusion,” “seed sovereignty,” and “agroecological stewardship.” These omissions are not merely semantic; they reflect deeper epistemic injustices, where indigenous voices and ecological worldviews are systematically excluded from biotechnology governance. This discursive bias has tangible implications for policy design, institutional legitimacy, and the equitable distribution of innovation benefits.</w:t>
      </w:r>
    </w:p>
    <w:p w14:paraId="7CD18BFD" w14:textId="77777777" w:rsidR="000F60DD" w:rsidRPr="009E1457" w:rsidRDefault="000F60DD" w:rsidP="009E1457">
      <w:pPr>
        <w:pStyle w:val="Heading3"/>
        <w:rPr>
          <w:rFonts w:cs="Times New Roman"/>
        </w:rPr>
      </w:pPr>
      <w:r w:rsidRPr="009E1457">
        <w:rPr>
          <w:rStyle w:val="Strong"/>
          <w:rFonts w:cs="Times New Roman"/>
          <w:b/>
          <w:bCs w:val="0"/>
        </w:rPr>
        <w:t>3.1.3 Empirical Illustrations and Biopolitical Implications</w:t>
      </w:r>
    </w:p>
    <w:p w14:paraId="0DF45D81" w14:textId="77777777" w:rsidR="000F60DD" w:rsidRPr="009E1457" w:rsidRDefault="000F60DD" w:rsidP="009E1457">
      <w:pPr>
        <w:pStyle w:val="NormalWeb"/>
        <w:jc w:val="both"/>
      </w:pPr>
      <w:r w:rsidRPr="009E1457">
        <w:t xml:space="preserve">The National Biosafety Authority’s (NBA) approval of </w:t>
      </w:r>
      <w:proofErr w:type="spellStart"/>
      <w:r w:rsidRPr="009E1457">
        <w:t>Bt</w:t>
      </w:r>
      <w:proofErr w:type="spellEnd"/>
      <w:r w:rsidRPr="009E1457">
        <w:t xml:space="preserve"> cotton and GMO maize trials proceeded with minimal public engagement, raising concerns about procedural transparency and democratic legitimacy (National Biosafety Authority, 2021). These trials, conducted in select counties with support from multinational firms, lacked robust community consultation, particularly among smallholder farmers and indigenous groups (Kamau &amp; Snyder, 2023). Similarly, KALRO’s collaborations with international biotech corporations have prioritized yield optimization and commercial scalability, often at the expense of agroecological resilience and farmer-led innovation.</w:t>
      </w:r>
    </w:p>
    <w:p w14:paraId="72B3C340" w14:textId="77777777" w:rsidR="000F60DD" w:rsidRPr="009E1457" w:rsidRDefault="000F60DD" w:rsidP="009E1457">
      <w:pPr>
        <w:pStyle w:val="NormalWeb"/>
        <w:jc w:val="both"/>
      </w:pPr>
      <w:r w:rsidRPr="009E1457">
        <w:t>Viewed through a biopolitical lens, biotechnology regulation in Kenya functions as a mechanism of epistemic and institutional control—defining what constitutes legitimate knowledge, who qualifies as an expert, and which agricultural futures are deemed viable. Regulatory instruments such as risk assessment protocols, licensing frameworks, and expert advisory panels reinforce a technocratic paradigm that marginalizes alternative worldviews and participatory governance models.</w:t>
      </w:r>
    </w:p>
    <w:p w14:paraId="75566096" w14:textId="77777777" w:rsidR="000F60DD" w:rsidRPr="009E1457" w:rsidRDefault="000F60DD" w:rsidP="009E1457">
      <w:pPr>
        <w:pStyle w:val="Heading3"/>
        <w:rPr>
          <w:rFonts w:cs="Times New Roman"/>
        </w:rPr>
      </w:pPr>
      <w:r w:rsidRPr="009E1457">
        <w:rPr>
          <w:rStyle w:val="Strong"/>
          <w:rFonts w:cs="Times New Roman"/>
          <w:b/>
          <w:bCs w:val="0"/>
        </w:rPr>
        <w:lastRenderedPageBreak/>
        <w:t>3.1.4 Comparative Regional Dynamics</w:t>
      </w:r>
    </w:p>
    <w:p w14:paraId="0DC461E4" w14:textId="77777777" w:rsidR="000F60DD" w:rsidRPr="009E1457" w:rsidRDefault="000F60DD" w:rsidP="009E1457">
      <w:pPr>
        <w:pStyle w:val="NormalWeb"/>
        <w:jc w:val="both"/>
      </w:pPr>
      <w:r w:rsidRPr="009E1457">
        <w:t>Kenya’s biotechnology trajectory reflects broader tensions across sub-Saharan Africa, where innovation is both celebrated and contested. South Africa has embraced commercial GMOs under a robust regulatory framework, supported by strong institutional capacity and private sector engagement. In contrast, Uganda and Tanzania have experienced significant public resistance, leading to policy reversals and stalled implementation—driven by civil society activism, religious opposition, and concerns over sovereignty (Juma, 2016).</w:t>
      </w:r>
    </w:p>
    <w:p w14:paraId="41EC23FF" w14:textId="77777777" w:rsidR="000F60DD" w:rsidRPr="009E1457" w:rsidRDefault="000F60DD" w:rsidP="009E1457">
      <w:pPr>
        <w:pStyle w:val="NormalWeb"/>
        <w:jc w:val="both"/>
      </w:pPr>
      <w:r w:rsidRPr="009E1457">
        <w:t>Kenya occupies a middle ground: technically advanced in terms of legal and institutional infrastructure, yet ethically fragmented in its governance approach. This fragmentation manifests in limited inclusive deliberation, uneven risk communication, and the marginalization of non-scientific knowledge systems such as indigenous seed practices and agroecological worldviews. While the regulatory architecture may be procedurally sound—aligned with global biosafety norms and supported by agencies like the NBA—it remains normatively uneven, raising questions about legitimacy, equity, and long-term sustainability (Odame et al., 2003).</w:t>
      </w:r>
    </w:p>
    <w:p w14:paraId="1B2DC202" w14:textId="77777777" w:rsidR="000F60DD" w:rsidRPr="009E1457" w:rsidRDefault="000F60DD" w:rsidP="009E1457">
      <w:pPr>
        <w:pStyle w:val="Heading3"/>
        <w:rPr>
          <w:rFonts w:cs="Times New Roman"/>
        </w:rPr>
      </w:pPr>
      <w:r w:rsidRPr="009E1457">
        <w:rPr>
          <w:rStyle w:val="Strong"/>
          <w:rFonts w:cs="Times New Roman"/>
          <w:b/>
          <w:bCs w:val="0"/>
        </w:rPr>
        <w:t>3.1.5 Toward Ethical and Inclusive Governance</w:t>
      </w:r>
    </w:p>
    <w:p w14:paraId="45788E6F" w14:textId="77777777" w:rsidR="000F60DD" w:rsidRPr="009E1457" w:rsidRDefault="000F60DD" w:rsidP="009E1457">
      <w:pPr>
        <w:pStyle w:val="NormalWeb"/>
        <w:jc w:val="both"/>
      </w:pPr>
      <w:r w:rsidRPr="009E1457">
        <w:t>Ultimately, Kenya’s agricultural biotechnology development is not a linear tale of progress, but a contested narrative shaped by power, discourse, and epistemic hierarchies. Ethical governance must move beyond procedural compliance to embrace:</w:t>
      </w:r>
    </w:p>
    <w:p w14:paraId="3CFD0BA5" w14:textId="77777777" w:rsidR="000F60DD" w:rsidRPr="009E1457" w:rsidRDefault="000F60DD" w:rsidP="009E1457">
      <w:pPr>
        <w:pStyle w:val="NormalWeb"/>
        <w:numPr>
          <w:ilvl w:val="0"/>
          <w:numId w:val="34"/>
        </w:numPr>
        <w:jc w:val="both"/>
      </w:pPr>
      <w:r w:rsidRPr="009E1457">
        <w:rPr>
          <w:rStyle w:val="Strong"/>
          <w:rFonts w:eastAsiaTheme="majorEastAsia"/>
          <w:b w:val="0"/>
        </w:rPr>
        <w:t>Plural epistemologies</w:t>
      </w:r>
      <w:r w:rsidRPr="009E1457">
        <w:t>: Recognizing indigenous seed practices, agroecological traditions, and spiritual land stewardship as legitimate knowledge systems (Kitenge et al., 2025).</w:t>
      </w:r>
    </w:p>
    <w:p w14:paraId="52B4922E" w14:textId="77777777" w:rsidR="000F60DD" w:rsidRPr="009E1457" w:rsidRDefault="000F60DD" w:rsidP="009E1457">
      <w:pPr>
        <w:pStyle w:val="NormalWeb"/>
        <w:numPr>
          <w:ilvl w:val="0"/>
          <w:numId w:val="34"/>
        </w:numPr>
        <w:jc w:val="both"/>
      </w:pPr>
      <w:r w:rsidRPr="009E1457">
        <w:rPr>
          <w:rStyle w:val="Strong"/>
          <w:rFonts w:eastAsiaTheme="majorEastAsia"/>
          <w:b w:val="0"/>
        </w:rPr>
        <w:t>Community agency</w:t>
      </w:r>
      <w:r w:rsidRPr="009E1457">
        <w:t>: Institutionalizing participatory decision-making through farmer councils, local biosafety committees, and inclusive innovation platforms.</w:t>
      </w:r>
    </w:p>
    <w:p w14:paraId="7458D55C" w14:textId="77777777" w:rsidR="000F60DD" w:rsidRPr="009E1457" w:rsidRDefault="000F60DD" w:rsidP="009E1457">
      <w:pPr>
        <w:pStyle w:val="NormalWeb"/>
        <w:numPr>
          <w:ilvl w:val="0"/>
          <w:numId w:val="34"/>
        </w:numPr>
        <w:jc w:val="both"/>
      </w:pPr>
      <w:r w:rsidRPr="009E1457">
        <w:rPr>
          <w:rStyle w:val="Strong"/>
          <w:rFonts w:eastAsiaTheme="majorEastAsia"/>
          <w:b w:val="0"/>
        </w:rPr>
        <w:t>Ecological integrity</w:t>
      </w:r>
      <w:r w:rsidRPr="009E1457">
        <w:t>: Prioritizing long-term sustainability and biodiversity over short-term yield gains and market imperatives.</w:t>
      </w:r>
    </w:p>
    <w:p w14:paraId="0EFE24C8" w14:textId="77777777" w:rsidR="000F60DD" w:rsidRPr="009E1457" w:rsidRDefault="000F60DD" w:rsidP="009E1457">
      <w:pPr>
        <w:pStyle w:val="NormalWeb"/>
        <w:numPr>
          <w:ilvl w:val="0"/>
          <w:numId w:val="34"/>
        </w:numPr>
        <w:jc w:val="both"/>
      </w:pPr>
      <w:r w:rsidRPr="009E1457">
        <w:rPr>
          <w:rStyle w:val="Strong"/>
          <w:rFonts w:eastAsiaTheme="majorEastAsia"/>
          <w:b w:val="0"/>
        </w:rPr>
        <w:t>Transparent regulation</w:t>
      </w:r>
      <w:r w:rsidRPr="009E1457">
        <w:t>: Ensuring that scientific rigor is balanced with social legitimacy, through open consultation and accountable oversight (Breakthrough Institute et al., 2024).</w:t>
      </w:r>
    </w:p>
    <w:p w14:paraId="46D5D7F6" w14:textId="77777777" w:rsidR="000F60DD" w:rsidRPr="009E1457" w:rsidRDefault="000F60DD" w:rsidP="009E1457">
      <w:pPr>
        <w:pStyle w:val="NormalWeb"/>
        <w:jc w:val="both"/>
      </w:pPr>
      <w:r w:rsidRPr="009E1457">
        <w:t>Such a framework would reposition biotechnology not merely as a tool of modernization, but as a site of inclusive transformation—where diverse agricultural futures are co-produced through dialogue, equity, and ecological stewardship. This vision aligns with global calls for responsible innovation and offers a pathway toward ethically grounded, socially responsive biotechnology governance in Kenya and beyond.</w:t>
      </w:r>
    </w:p>
    <w:p w14:paraId="14CAC0E7" w14:textId="77777777" w:rsidR="00A4139A" w:rsidRPr="009E1457" w:rsidRDefault="00A4139A" w:rsidP="009E1457">
      <w:pPr>
        <w:pStyle w:val="NormalWeb"/>
        <w:jc w:val="both"/>
      </w:pPr>
    </w:p>
    <w:p w14:paraId="41570ACD" w14:textId="77777777" w:rsidR="000F60DD" w:rsidRPr="009E1457" w:rsidRDefault="000F60DD" w:rsidP="009E1457">
      <w:pPr>
        <w:pStyle w:val="NormalWeb"/>
        <w:jc w:val="both"/>
      </w:pPr>
    </w:p>
    <w:p w14:paraId="43462CBE" w14:textId="77777777" w:rsidR="000F60DD" w:rsidRPr="009E1457" w:rsidRDefault="000F60DD" w:rsidP="009E1457">
      <w:pPr>
        <w:pStyle w:val="NormalWeb"/>
        <w:jc w:val="both"/>
      </w:pPr>
    </w:p>
    <w:p w14:paraId="762F5FCB" w14:textId="77777777" w:rsidR="00460833" w:rsidRPr="009E1457" w:rsidRDefault="009E188E" w:rsidP="009E1457">
      <w:pPr>
        <w:pStyle w:val="Heading3"/>
        <w:rPr>
          <w:rFonts w:cs="Times New Roman"/>
        </w:rPr>
      </w:pPr>
      <w:r w:rsidRPr="009E1457">
        <w:rPr>
          <w:rFonts w:cs="Times New Roman"/>
        </w:rPr>
        <w:lastRenderedPageBreak/>
        <w:t xml:space="preserve">3.2 </w:t>
      </w:r>
      <w:r w:rsidR="00460833" w:rsidRPr="009E1457">
        <w:rPr>
          <w:rFonts w:cs="Times New Roman"/>
        </w:rPr>
        <w:t>Ethical Governance and Discursive Gaps in Kenya’s Agricultural Biotechnology</w:t>
      </w:r>
    </w:p>
    <w:p w14:paraId="127AE8BC" w14:textId="77777777" w:rsidR="00460833" w:rsidRPr="009E1457" w:rsidRDefault="00460833" w:rsidP="009E1457">
      <w:pPr>
        <w:spacing w:after="100" w:afterAutospacing="1" w:line="240" w:lineRule="auto"/>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Agricultural biotechnology governance in Kenya is structured through a constellation of legal and institutional frameworks, including the Biosafety Act (2009), the Environmental Management and Coordination Act (EMCA), and the Seed and Plant Varieties Act. These are administered by agencies such as the National Biosafety Authority (NBA), which oversees biosafety compliance; the Kenya Plant Health Inspectorate Service (KEPHIS), responsible for seed certification and phytosanitary regulation; and the Ministry of Agriculture, which provides overarching policy direction. While these frameworks emphasize biosafety and risk management, they offer limited integration of ethical oversight mechanisms (</w:t>
      </w:r>
      <w:proofErr w:type="spellStart"/>
      <w:r w:rsidRPr="009E1457">
        <w:rPr>
          <w:rFonts w:ascii="Times New Roman" w:eastAsia="Times New Roman" w:hAnsi="Times New Roman" w:cs="Times New Roman"/>
          <w:sz w:val="24"/>
          <w:szCs w:val="24"/>
        </w:rPr>
        <w:t>Kasera</w:t>
      </w:r>
      <w:proofErr w:type="spellEnd"/>
      <w:r w:rsidRPr="009E1457">
        <w:rPr>
          <w:rFonts w:ascii="Times New Roman" w:eastAsia="Times New Roman" w:hAnsi="Times New Roman" w:cs="Times New Roman"/>
          <w:sz w:val="24"/>
          <w:szCs w:val="24"/>
        </w:rPr>
        <w:t xml:space="preserve"> et al., 2022). The prevailing governance model remains technocratic, privileging scientific risk assessment while marginalizing normative concerns such as distributive justice, intergenerational equity, and ecological sustainability (Odame et al., n.d.).</w:t>
      </w:r>
    </w:p>
    <w:p w14:paraId="103F1CB0" w14:textId="77777777" w:rsidR="00460833" w:rsidRPr="009E1457" w:rsidRDefault="00460833" w:rsidP="009E1457">
      <w:pPr>
        <w:spacing w:after="100" w:afterAutospacing="1" w:line="240" w:lineRule="auto"/>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To interrogate the ethical dimensions embedded—or omitted—in Kenya’s biotech governance texts, this section applies Critical Policy Discourse Analysis (CPDA), Bacchi’s “What’s the Problem Represented to Be?” (WPR) approach, and frame analysis (Bacchi, 2009; Mulderrig et al., 2019).</w:t>
      </w:r>
    </w:p>
    <w:p w14:paraId="603C3BBD" w14:textId="77777777" w:rsidR="00460833" w:rsidRPr="009E1457" w:rsidRDefault="009E188E" w:rsidP="009E1457">
      <w:pPr>
        <w:pStyle w:val="Heading3"/>
        <w:rPr>
          <w:rFonts w:cs="Times New Roman"/>
        </w:rPr>
      </w:pPr>
      <w:r w:rsidRPr="009E1457">
        <w:rPr>
          <w:rFonts w:cs="Times New Roman"/>
        </w:rPr>
        <w:t xml:space="preserve">3.2.1 </w:t>
      </w:r>
      <w:r w:rsidR="00460833" w:rsidRPr="009E1457">
        <w:rPr>
          <w:rFonts w:cs="Times New Roman"/>
        </w:rPr>
        <w:t>Normative Principles in Policy Discourse</w:t>
      </w:r>
    </w:p>
    <w:p w14:paraId="01CCBD85" w14:textId="77777777" w:rsidR="00460833" w:rsidRPr="009E1457" w:rsidRDefault="00460833" w:rsidP="009E1457">
      <w:pPr>
        <w:spacing w:before="100" w:beforeAutospacing="1" w:after="100" w:afterAutospacing="1" w:line="240" w:lineRule="auto"/>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Normative principles—such as justice, precaution, and transparency—are unevenly embedded in Kenya’s biotechnology policy discourse. Justice appears in access and benefit-sharing clauses but lacks operational clarity through distributive metrics. Precaution dominates the governance narrative, reflected in stringent risk assessment protocols, yet often sidelines innovation equity and participatory ethics (Institute of Risk Management Kenya, 2016). Transparency is emphasized procedurally—via public notices and regulatory reporting—but lacks substantive depth, particularly in addressing corporate influence and decision-making opacity (Kukreja, 2025).</w:t>
      </w:r>
    </w:p>
    <w:p w14:paraId="268F5476" w14:textId="77777777" w:rsidR="00460833" w:rsidRPr="009E1457" w:rsidRDefault="00460833" w:rsidP="009E1457">
      <w:pPr>
        <w:spacing w:before="100" w:beforeAutospacing="1" w:after="100" w:afterAutospacing="1" w:line="240" w:lineRule="auto"/>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While normative principles frame the governance architecture, ethical principles—such as consent, equity, and sustainability—remain underdeveloped in practice. Consent is largely procedural, with limited mechanisms for substantive community engagement or integration of indigenous knowledge systems (Odame et al., n.d.). Equity is narrowly framed around access to biotech products, overlooking deeper structural inequalities in land ownership, market access, and epistemic representation. Environmental sustainability receives some attention, but socio-economic and intergenerational dimensions are marginal. The governance architecture thus reflects a constrained ethical imagination—shaped by technocratic imperatives and global regulatory norms—with limited responsiveness to local contexts and distributive justice (Jasanoff &amp; Hurlbut, 2018).</w:t>
      </w:r>
    </w:p>
    <w:p w14:paraId="63A7EEBC" w14:textId="77777777" w:rsidR="00460833" w:rsidRPr="009E1457" w:rsidRDefault="009E188E" w:rsidP="009E1457">
      <w:pPr>
        <w:pStyle w:val="Heading3"/>
        <w:rPr>
          <w:rFonts w:cs="Times New Roman"/>
        </w:rPr>
      </w:pPr>
      <w:r w:rsidRPr="009E1457">
        <w:rPr>
          <w:rFonts w:cs="Times New Roman"/>
        </w:rPr>
        <w:t xml:space="preserve">3.2.2 </w:t>
      </w:r>
      <w:r w:rsidR="00460833" w:rsidRPr="009E1457">
        <w:rPr>
          <w:rFonts w:cs="Times New Roman"/>
        </w:rPr>
        <w:t>Stakeholder Dynamics and Power Asymmetries</w:t>
      </w:r>
    </w:p>
    <w:p w14:paraId="3C7E9829" w14:textId="54828CE1" w:rsidR="00460833" w:rsidRPr="009E1457" w:rsidRDefault="00460833" w:rsidP="009E1457">
      <w:pPr>
        <w:pStyle w:val="NormalWeb"/>
        <w:jc w:val="both"/>
      </w:pPr>
      <w:r w:rsidRPr="009E1457">
        <w:t xml:space="preserve">Beyond textual representations, stakeholder configurations reveal deeper ethical limitations in Kenya’s biotechnology governance. Government agencies retain centralized authority, with limited accountability to the communities most affected by biotech policies. The private sector—particularly multinational biotech firms—exerts significant influence through lobbying, </w:t>
      </w:r>
      <w:r w:rsidRPr="009E1457">
        <w:lastRenderedPageBreak/>
        <w:t>proprietary technology development, and agenda-setting, raising concerns about regulatory capture and conflicts of interest. Civil society organizations serve as advocates and watchdogs, yet remain peripheral to formal decision-making structures. Farmers—both as end-users and custodians of indigenous knowledge—are systematically excluded from policy formulation and implementation. These dynamics underscore the urgency of participatory governance models that redistribute power, institutionalize accountability, and recognize plural epistemologies as foundational to ethical biotech regulation.</w:t>
      </w:r>
    </w:p>
    <w:p w14:paraId="5FA02C04" w14:textId="77777777" w:rsidR="00460833" w:rsidRPr="009E1457" w:rsidRDefault="009E188E" w:rsidP="009E1457">
      <w:pPr>
        <w:pStyle w:val="Heading3"/>
        <w:rPr>
          <w:rFonts w:cs="Times New Roman"/>
        </w:rPr>
      </w:pPr>
      <w:r w:rsidRPr="009E1457">
        <w:rPr>
          <w:rFonts w:cs="Times New Roman"/>
        </w:rPr>
        <w:t xml:space="preserve">3.2.3 </w:t>
      </w:r>
      <w:r w:rsidR="00460833" w:rsidRPr="009E1457">
        <w:rPr>
          <w:rFonts w:cs="Times New Roman"/>
        </w:rPr>
        <w:t>Comparative Insights and Ethical Models</w:t>
      </w:r>
    </w:p>
    <w:p w14:paraId="1EC58E77" w14:textId="77777777" w:rsidR="00460833" w:rsidRPr="009E1457" w:rsidRDefault="00460833" w:rsidP="009E1457">
      <w:pPr>
        <w:pStyle w:val="NormalWeb"/>
        <w:jc w:val="both"/>
      </w:pPr>
      <w:r w:rsidRPr="009E1457">
        <w:t>Comparative insights from the African Union (AU), European Union (EU), and Latin America offer instructive contrasts in biotech governance. The AU emphasizes precaution and national sovereignty, yet lacks institutionalized ethical deliberation or mechanisms for inclusive stakeholder engagement (Odame et al., n.d.). The EU integrates ethical oversight through advisory bodies, public participation mechanisms, and justice-oriented legal frameworks, offering a more holistic and reflexive governance model (European Commission, 2018). Latin American countries present diverse approaches: Brazil’s biosafety law incorporates socio-economic considerations and participatory review, reflecting a developmentalist ethic. In contrast, Argentina maintains a technocratic stance, privileging scientific expertise over public deliberation. These examples affirm that ethical governance is not a fixed template but a dynamic, context-dependent practice shaped by political will, institutional architecture, and normative commitments to justice and inclusion (Jasanoff &amp; Hurlbut, 2018).</w:t>
      </w:r>
    </w:p>
    <w:p w14:paraId="1BF72C1F" w14:textId="77777777" w:rsidR="00460833" w:rsidRPr="009E1457" w:rsidRDefault="009E188E" w:rsidP="009E1457">
      <w:pPr>
        <w:pStyle w:val="Heading3"/>
        <w:rPr>
          <w:rFonts w:cs="Times New Roman"/>
        </w:rPr>
      </w:pPr>
      <w:r w:rsidRPr="009E1457">
        <w:rPr>
          <w:rFonts w:cs="Times New Roman"/>
        </w:rPr>
        <w:t xml:space="preserve">3.2.4 </w:t>
      </w:r>
      <w:r w:rsidR="00460833" w:rsidRPr="009E1457">
        <w:rPr>
          <w:rFonts w:cs="Times New Roman"/>
        </w:rPr>
        <w:t>Discursive Representations and Frame Tensions</w:t>
      </w:r>
    </w:p>
    <w:p w14:paraId="74646046" w14:textId="77777777" w:rsidR="00460833" w:rsidRPr="009E1457" w:rsidRDefault="00460833" w:rsidP="009E1457">
      <w:pPr>
        <w:pStyle w:val="NormalWeb"/>
        <w:jc w:val="both"/>
      </w:pPr>
      <w:r w:rsidRPr="009E1457">
        <w:t>Applying Bacchi’s “What’s the Problem Represented to Be?” (WPR) framework reveals how Kenya’s governance texts construct biotechnology primarily as a “risk” to be managed, rather than a socio-technical system requiring ethical deliberation (Bacchi, 2009; Cairney, 2019). This representation presupposes that risk is quantifiable and ethics are secondary, thereby obscuring power asymmetries, marginalizing indigenous knowledge systems, and sidelining long-term justice concerns inherent in biotech adoption. The effects of this representation include the dominance of technocratic expertise and the marginalization of ethical and participatory concerns. Reframing the problem as “how to govern biotechnology ethically and inclusively” would legitimize alternative governance models, institutionalize ethical review, and foreground normative priorities such as equity and sustainability (Mulderrig et al., 2019).</w:t>
      </w:r>
    </w:p>
    <w:p w14:paraId="49CE546A" w14:textId="77777777" w:rsidR="00460833" w:rsidRPr="009E1457" w:rsidRDefault="00460833" w:rsidP="009E1457">
      <w:pPr>
        <w:pStyle w:val="NormalWeb"/>
        <w:jc w:val="both"/>
      </w:pPr>
      <w:r w:rsidRPr="009E1457">
        <w:t>Frame analysis further contrasts the dominant “risk” frame with an emerging “justice” frame. The risk frame centers on biosafety, scientific uncertainty, and containment, reinforcing the authority of technical experts and regulatory agencies. In contrast, the justice frame emphasizes equity, participation, and sustainability, advocating for inclusive governance, ethical review mechanisms, and redistributive policies. The tension between these frames reflects competing visions of governance—one privileging technocratic control and containment, the other advocating for democratic deliberation, epistemic pluralism, and redistributive justice (</w:t>
      </w:r>
      <w:proofErr w:type="spellStart"/>
      <w:r w:rsidRPr="009E1457">
        <w:t>Kasera</w:t>
      </w:r>
      <w:proofErr w:type="spellEnd"/>
      <w:r w:rsidRPr="009E1457">
        <w:t xml:space="preserve"> et al., 2022; European Commission, 2018).</w:t>
      </w:r>
    </w:p>
    <w:p w14:paraId="0B89516F" w14:textId="77777777" w:rsidR="00460833" w:rsidRPr="009E1457" w:rsidRDefault="009E188E" w:rsidP="009E1457">
      <w:pPr>
        <w:pStyle w:val="Heading3"/>
        <w:rPr>
          <w:rFonts w:cs="Times New Roman"/>
        </w:rPr>
      </w:pPr>
      <w:r w:rsidRPr="009E1457">
        <w:rPr>
          <w:rFonts w:cs="Times New Roman"/>
        </w:rPr>
        <w:lastRenderedPageBreak/>
        <w:t xml:space="preserve">3.2.5 </w:t>
      </w:r>
      <w:r w:rsidR="00460833" w:rsidRPr="009E1457">
        <w:rPr>
          <w:rFonts w:cs="Times New Roman"/>
        </w:rPr>
        <w:t>Conclusion: Toward Inclusive and Ethical Governance</w:t>
      </w:r>
    </w:p>
    <w:p w14:paraId="2E05CA85" w14:textId="144D19FE" w:rsidR="00460833" w:rsidRPr="009E1457" w:rsidRDefault="00460833" w:rsidP="009E1457">
      <w:pPr>
        <w:pStyle w:val="NormalWeb"/>
        <w:jc w:val="both"/>
      </w:pPr>
      <w:r w:rsidRPr="009E1457">
        <w:t>Kenya’s agricultural biotechnology governance is shaped by a risk-centric discourse that obscures critical ethical concerns. Through Critical Policy Discourse Analysis (CPDA), Bacchi’s WPR framework, and frame analysis, this section demonstrates the need to reframe governance around justice, consent, and sustainability. These tools reveal how dominant narratives privilege technocratic control while silencing alternative epistemologies and ethical imperatives. Comparative models suggest that ethical governance is not merely a regulatory add-on but a foundational principle for inclusive and resilient biotech futures. Moving beyond risk-centric governance requires embedding ethical principles into the core of policy design and institutional practice. This entails institutional redesign, participatory mechanisms, and normative recalibration attuned to Kenya’s socio-political context—such as integrating indigenous knowledge, ensuring community consent, and prioritizing long-term equity (</w:t>
      </w:r>
      <w:proofErr w:type="spellStart"/>
      <w:r w:rsidRPr="009E1457">
        <w:t>Jasanoff</w:t>
      </w:r>
      <w:proofErr w:type="spellEnd"/>
      <w:r w:rsidRPr="009E1457">
        <w:t xml:space="preserve"> &amp; Hurlbut, 2018).</w:t>
      </w:r>
    </w:p>
    <w:p w14:paraId="2F3716D3" w14:textId="77777777" w:rsidR="0068058A" w:rsidRPr="009E1457" w:rsidRDefault="0068058A" w:rsidP="009E1457">
      <w:pPr>
        <w:pStyle w:val="Heading3"/>
        <w:rPr>
          <w:rFonts w:cs="Times New Roman"/>
        </w:rPr>
      </w:pPr>
      <w:r w:rsidRPr="009E1457">
        <w:rPr>
          <w:rStyle w:val="Strong"/>
          <w:rFonts w:cs="Times New Roman"/>
          <w:b/>
          <w:bCs w:val="0"/>
        </w:rPr>
        <w:t>3.3 Indigenous Farming Systems: Knowledge, Practice, and Governance</w:t>
      </w:r>
    </w:p>
    <w:p w14:paraId="6F737391" w14:textId="77777777" w:rsidR="003B25EC" w:rsidRPr="009E1457" w:rsidRDefault="003B25EC" w:rsidP="009E1457">
      <w:pPr>
        <w:pStyle w:val="Heading3"/>
        <w:rPr>
          <w:rStyle w:val="Strong"/>
          <w:rFonts w:cs="Times New Roman"/>
        </w:rPr>
      </w:pPr>
      <w:r w:rsidRPr="009E1457">
        <w:rPr>
          <w:rStyle w:val="Strong"/>
          <w:rFonts w:cs="Times New Roman"/>
          <w:b/>
          <w:bCs w:val="0"/>
        </w:rPr>
        <w:t>3.3.1 Marginalization and Epistemicide in Agricultural Discourse</w:t>
      </w:r>
    </w:p>
    <w:p w14:paraId="3B25767D" w14:textId="77777777" w:rsidR="003B25EC" w:rsidRPr="009E1457" w:rsidRDefault="003B25EC" w:rsidP="009E1457">
      <w:pPr>
        <w:pStyle w:val="NormalWeb"/>
        <w:jc w:val="both"/>
      </w:pPr>
      <w:r w:rsidRPr="009E1457">
        <w:t xml:space="preserve">Indigenous farming systems embody centuries of ecological wisdom, cultural continuity, and adaptive resilience. Yet within dominant policy and academic discourses, these systems are frequently marginalized or selectively appropriated. Viewed through the lens of epistemic justice—which calls for equitable recognition of diverse knowledge traditions—this exclusion reflects not a lack of efficacy, but the persistence of hierarchies that privilege Western scientific paradigms (Horsthemke, 2022; Dyantyi, 2024). Such marginalization manifests in policy frameworks that silence indigenous voices in decision-making, and in scholarly publishing practices that undervalue experiential, place-based knowledge (Boogaard, 2019). These patterns contribute to </w:t>
      </w:r>
      <w:proofErr w:type="spellStart"/>
      <w:r w:rsidRPr="009E1457">
        <w:t>epistemicide</w:t>
      </w:r>
      <w:proofErr w:type="spellEnd"/>
      <w:r w:rsidRPr="009E1457">
        <w:t>: the systematic erasure and delegitimization of entire epistemological traditions.</w:t>
      </w:r>
    </w:p>
    <w:p w14:paraId="273F7A25" w14:textId="77777777" w:rsidR="003B25EC" w:rsidRPr="009E1457" w:rsidRDefault="003B25EC" w:rsidP="009E1457">
      <w:pPr>
        <w:pStyle w:val="Heading3"/>
        <w:rPr>
          <w:rStyle w:val="Strong"/>
          <w:rFonts w:cs="Times New Roman"/>
        </w:rPr>
      </w:pPr>
      <w:r w:rsidRPr="009E1457">
        <w:rPr>
          <w:rStyle w:val="Strong"/>
          <w:rFonts w:cs="Times New Roman"/>
          <w:b/>
          <w:bCs w:val="0"/>
        </w:rPr>
        <w:t>3.3.2 Governance Tensions: Relational Ethics vs. Regulatory Logics</w:t>
      </w:r>
    </w:p>
    <w:p w14:paraId="493DA406" w14:textId="77777777" w:rsidR="003B25EC" w:rsidRPr="009E1457" w:rsidRDefault="003B25EC" w:rsidP="009E1457">
      <w:pPr>
        <w:pStyle w:val="NormalWeb"/>
        <w:jc w:val="both"/>
      </w:pPr>
      <w:r w:rsidRPr="009E1457">
        <w:t>Inclusion and exclusion within agricultural governance reflect deeper tensions between community-based norms and formal biotechnology regulation. Indigenous practices—such as seed saving, intercropping, and organic soil management—are rooted in relational ethics: stewardship, reciprocity, and communal responsibility. These ethical frameworks often conflict with regulatory regimes that prioritize certification, standardization, and intellectual property compliance (Nishikawa, 2022). For example, seed laws mandating registration and licensing render traditional seed exchange networks non-compliant or even illicit, undermining both seed sovereignty and agrobiodiversity. This epistemic friction is not merely technical; it reveals a profound cultural dissonance. Whereas indigenous systems value ecological balance and diversity, dominant biotech frameworks emphasize yield optimization, genetic uniformity, and marketability (Bezner Kerr &amp; Wynberg, 2024).</w:t>
      </w:r>
    </w:p>
    <w:p w14:paraId="5CCA5810" w14:textId="77777777" w:rsidR="003B25EC" w:rsidRPr="009E1457" w:rsidRDefault="003B25EC" w:rsidP="009E1457">
      <w:pPr>
        <w:pStyle w:val="Heading3"/>
        <w:rPr>
          <w:rFonts w:cs="Times New Roman"/>
        </w:rPr>
      </w:pPr>
      <w:r w:rsidRPr="009E1457">
        <w:rPr>
          <w:rStyle w:val="Strong"/>
          <w:rFonts w:cs="Times New Roman"/>
          <w:b/>
          <w:bCs w:val="0"/>
        </w:rPr>
        <w:lastRenderedPageBreak/>
        <w:t>3.3.4 Agroecology and Seed Sovereignty as Counter-Narratives</w:t>
      </w:r>
    </w:p>
    <w:p w14:paraId="59A14E81" w14:textId="77777777" w:rsidR="003B25EC" w:rsidRPr="009E1457" w:rsidRDefault="003B25EC" w:rsidP="009E1457">
      <w:pPr>
        <w:pStyle w:val="NormalWeb"/>
        <w:jc w:val="both"/>
      </w:pPr>
      <w:r w:rsidRPr="009E1457">
        <w:t>Agroecology and seed sovereignty movements offer critical counter-narratives to exclusionary agricultural models. Rooted in participatory governance and ecological stewardship, these movements center indigenous knowledge as foundational to sustainable agriculture. Agroecology synthesizes traditional practices—such as intercropping and soil conservation—with scientific inquiry, producing hybrid models that challenge monocultural and extractive paradigms (Nishikawa, 2022). Seed sovereignty initiatives, including those championed by the Alliance for Food Sovereignty in Africa (AFSA), exemplify how farmer-led seed systems foster resilience, autonomy, and food security (Moss, 2025). These movements enact testimonial justice by recognizing indigenous farmers as credible knowers and co-creators of agricultural futures (Bezner Kerr &amp; Wynberg, 2024).</w:t>
      </w:r>
    </w:p>
    <w:p w14:paraId="1C4D8BE6" w14:textId="77777777" w:rsidR="003B25EC" w:rsidRPr="009E1457" w:rsidRDefault="003B25EC" w:rsidP="009E1457">
      <w:pPr>
        <w:pStyle w:val="Heading3"/>
        <w:rPr>
          <w:rFonts w:cs="Times New Roman"/>
        </w:rPr>
      </w:pPr>
      <w:r w:rsidRPr="009E1457">
        <w:rPr>
          <w:rStyle w:val="Strong"/>
          <w:rFonts w:cs="Times New Roman"/>
          <w:b/>
          <w:bCs w:val="0"/>
        </w:rPr>
        <w:t>3.3.5 Community-Based Governance and Cultural Stewardship</w:t>
      </w:r>
    </w:p>
    <w:p w14:paraId="65FCB2A5" w14:textId="77777777" w:rsidR="003B25EC" w:rsidRPr="009E1457" w:rsidRDefault="003B25EC" w:rsidP="009E1457">
      <w:pPr>
        <w:pStyle w:val="NormalWeb"/>
        <w:jc w:val="both"/>
      </w:pPr>
      <w:r w:rsidRPr="009E1457">
        <w:t>Governance of indigenous farming systems is deeply embedded in community norms and ecological ethics. Practices such as agroforestry, composting, and water conservation are not merely technical interventions—they embody cultural identity and environmental stewardship. Decision-making is collective, often guided by elders, rituals, and seasonal rhythms that reflect a holistic understanding of land and life (</w:t>
      </w:r>
      <w:proofErr w:type="spellStart"/>
      <w:r w:rsidRPr="009E1457">
        <w:t>Chiwura</w:t>
      </w:r>
      <w:proofErr w:type="spellEnd"/>
      <w:r w:rsidRPr="009E1457">
        <w:t>, 2003; CABI, 2016). This stands in stark contrast to the top-down logic of formal biotechnology systems, which tend to isolate agricultural practices from their social and ecological contexts. The tension between these paradigms underscores the need for pluralistic governance models that honor diverse epistemologies and value systems (</w:t>
      </w:r>
      <w:proofErr w:type="spellStart"/>
      <w:r w:rsidRPr="009E1457">
        <w:t>Sokka</w:t>
      </w:r>
      <w:proofErr w:type="spellEnd"/>
      <w:r w:rsidRPr="009E1457">
        <w:t xml:space="preserve"> et al., 2022).</w:t>
      </w:r>
    </w:p>
    <w:p w14:paraId="2A5E57B5" w14:textId="77777777" w:rsidR="003B25EC" w:rsidRPr="009E1457" w:rsidRDefault="003B25EC" w:rsidP="009E1457">
      <w:pPr>
        <w:pStyle w:val="Heading3"/>
        <w:rPr>
          <w:rStyle w:val="Strong"/>
          <w:rFonts w:cs="Times New Roman"/>
        </w:rPr>
      </w:pPr>
      <w:r w:rsidRPr="009E1457">
        <w:rPr>
          <w:rStyle w:val="Strong"/>
          <w:rFonts w:cs="Times New Roman"/>
          <w:b/>
          <w:bCs w:val="0"/>
        </w:rPr>
        <w:t>3.3.6 Toward Epistemic Plurality in Policy and Research</w:t>
      </w:r>
    </w:p>
    <w:p w14:paraId="00578696" w14:textId="77777777" w:rsidR="003B25EC" w:rsidRPr="009E1457" w:rsidRDefault="003B25EC" w:rsidP="009E1457">
      <w:pPr>
        <w:pStyle w:val="NormalWeb"/>
        <w:jc w:val="both"/>
      </w:pPr>
      <w:r w:rsidRPr="009E1457">
        <w:t>Advancing epistemic plurality in agricultural policy and research demands structural transformation. Policies must recognize indigenous knowledge as legitimate and central to sustainability, with regulatory frameworks reoriented to support community-based seed systems and participatory governance (Michaud, 2025). Research agendas should prioritize comparative studies that map epistemic inclusion across regions, employing methodologies such as critical discourse analysis, co-authorship models, and participatory action research to foster citational equity and collaborative knowledge production (Beaumont &amp; de Coning, 2022; Michaud, 2015). Centering epistemic justice facilitates a shift from extractive engagement to genuine inclusion, enabling indigenous farming systems to thrive as vital contributors to global agricultural transformation</w:t>
      </w:r>
    </w:p>
    <w:p w14:paraId="38D2D513" w14:textId="77777777" w:rsidR="003B25EC" w:rsidRPr="009E1457" w:rsidRDefault="0041703F" w:rsidP="009E1457">
      <w:pPr>
        <w:pStyle w:val="Heading3"/>
        <w:rPr>
          <w:rFonts w:cs="Times New Roman"/>
        </w:rPr>
      </w:pPr>
      <w:r w:rsidRPr="009E1457">
        <w:rPr>
          <w:rStyle w:val="Strong"/>
          <w:rFonts w:cs="Times New Roman"/>
          <w:b/>
          <w:bCs w:val="0"/>
        </w:rPr>
        <w:t xml:space="preserve">3.4 </w:t>
      </w:r>
      <w:r w:rsidR="003B25EC" w:rsidRPr="009E1457">
        <w:rPr>
          <w:rStyle w:val="Strong"/>
          <w:rFonts w:cs="Times New Roman"/>
          <w:b/>
          <w:bCs w:val="0"/>
        </w:rPr>
        <w:t>Framing Controversies and Governance Dilemmas</w:t>
      </w:r>
    </w:p>
    <w:p w14:paraId="0B4516AB" w14:textId="77777777" w:rsidR="000A05CA" w:rsidRPr="009E1457" w:rsidRDefault="000A05CA" w:rsidP="009E1457">
      <w:pPr>
        <w:pStyle w:val="NormalWeb"/>
        <w:jc w:val="both"/>
      </w:pPr>
      <w:r w:rsidRPr="009E1457">
        <w:t xml:space="preserve">Controversies surrounding agricultural biotechnology in Kenya are shaped not only by scientific and regulatory debates but also by deeper struggles over meaning, legitimacy, and epistemic authority. Frame analysis reveals how media narratives, policy discourse, and stakeholder interventions construct competing interpretations of biotechnology, often polarizing public opinion and obscuring governance dilemmas (Odame, Kameri-Mbote, &amp; Wafula, 2003; Clark, Mugabe, &amp; Smith, 2003). Dominant frames—such as risk versus trust, sovereignty versus </w:t>
      </w:r>
      <w:r w:rsidRPr="009E1457">
        <w:lastRenderedPageBreak/>
        <w:t>dependency, and transparency versus opacity—emerge across media reports, parliamentary debates, and civil society statements. These frames are not neutral; they reflect strategic efforts to define the boundaries of acceptable knowledge and legitimate governance.</w:t>
      </w:r>
    </w:p>
    <w:p w14:paraId="74835B09" w14:textId="77777777" w:rsidR="000A05CA" w:rsidRPr="009E1457" w:rsidRDefault="000A05CA" w:rsidP="009E1457">
      <w:pPr>
        <w:pStyle w:val="NormalWeb"/>
        <w:jc w:val="both"/>
      </w:pPr>
      <w:r w:rsidRPr="009E1457">
        <w:t>The risk/trust frame, for instance, positions genetically modified organisms (GMOs) either as a threat to public health or as a solution to food insecurity. This binary framing simplifies complex scientific and ethical questions, while simultaneously eroding consensus (Wafula, 2003). Similarly, the sovereignty frame portrays biotechnology as either a foreign imposition driven by multinational corporations or as a pathway to national innovation (Odame et al., 2003). Such framings fuel resistance to external regulation and raise questions about Kenya’s autonomy in shaping its agricultural future. NVivo-coded themes such as “trust,” “risk perception,” and “sovereignty” illustrate how these discursive battles are embedded in broader struggles over power and legitimacy.</w:t>
      </w:r>
    </w:p>
    <w:p w14:paraId="6E485BF5" w14:textId="77777777" w:rsidR="000A05CA" w:rsidRPr="009E1457" w:rsidRDefault="000A05CA" w:rsidP="009E1457">
      <w:pPr>
        <w:pStyle w:val="NormalWeb"/>
        <w:jc w:val="both"/>
      </w:pPr>
      <w:r w:rsidRPr="009E1457">
        <w:t>Biopolitical framing further illuminates the subtle mechanisms through which governance is exercised. Drawing on Foucault’s concept of biopolitics, the regulation of biotechnology can be seen as a form of population control mediated through expert knowledge and technocratic authority (Clark et al., 2003). Regulatory opacity—where decision-making is concentrated in elite scientific bodies with limited public oversight—exemplifies this dynamic. Risk perception is managed through the strategic framing of dissent as irrational or anti-science, thereby delegitimizing alternative epistemologies. Moreover, sovereignty dilemmas arise when international donors and corporate actors exert disproportionate influence over national policy, challenging the integrity of domestic regulatory institutions (Odame et al., 2003).</w:t>
      </w:r>
    </w:p>
    <w:p w14:paraId="68FCB139" w14:textId="77777777" w:rsidR="000A05CA" w:rsidRPr="009E1457" w:rsidRDefault="000A05CA" w:rsidP="009E1457">
      <w:pPr>
        <w:pStyle w:val="NormalWeb"/>
        <w:jc w:val="both"/>
      </w:pPr>
      <w:r w:rsidRPr="009E1457">
        <w:t>The exclusion of indigenous knowledge from formal policy processes compounds these governance dilemmas. Despite its relevance to local agricultural practices and ecological resilience, indigenous knowledge is often marginalized or tokenized in biotechnology discourse (Clark et al., 2003). Policy documents rarely engage substantively with traditional epistemologies, and when they do, it is typically in symbolic or anecdotal terms. This exclusion reflects a deeper epistemic injustice, where Western scientific paradigms are privileged at the expense of plural knowledge systems. NVivo-coded data on “opacity,” “sovereignty,” and “inclusion/exclusion” underscore the structural nature of this marginalization.</w:t>
      </w:r>
    </w:p>
    <w:p w14:paraId="4127D536" w14:textId="77777777" w:rsidR="000A05CA" w:rsidRPr="009E1457" w:rsidRDefault="000A05CA" w:rsidP="009E1457">
      <w:pPr>
        <w:pStyle w:val="NormalWeb"/>
        <w:jc w:val="both"/>
      </w:pPr>
      <w:r w:rsidRPr="009E1457">
        <w:t>To address these challenges, it is essential to reframe biotechnology governance in ways that recognize and integrate diverse epistemologies. Public trust cannot be restored through technical fixes alone; it requires transparent, inclusive, and dialogic policy processes that value indigenous knowledge as methodologically robust and contextually grounded (Wafula, 2003; Odame et al., 2003). Such reframing not only enhances policy legitimacy but also fosters more equitable and resilient innovation systems.</w:t>
      </w:r>
    </w:p>
    <w:p w14:paraId="302B5BF9" w14:textId="77777777" w:rsidR="0041703F" w:rsidRPr="009E1457" w:rsidRDefault="0041703F" w:rsidP="009E1457">
      <w:pPr>
        <w:pStyle w:val="Heading3"/>
        <w:rPr>
          <w:rFonts w:cs="Times New Roman"/>
        </w:rPr>
      </w:pPr>
      <w:r w:rsidRPr="009E1457">
        <w:rPr>
          <w:rFonts w:cs="Times New Roman"/>
        </w:rPr>
        <w:t xml:space="preserve">3.5 </w:t>
      </w:r>
      <w:r w:rsidRPr="009E1457">
        <w:rPr>
          <w:rStyle w:val="Strong"/>
          <w:rFonts w:cs="Times New Roman"/>
          <w:b/>
          <w:bCs w:val="0"/>
        </w:rPr>
        <w:t>Convergence and Conflict: Bridging the Divide</w:t>
      </w:r>
    </w:p>
    <w:p w14:paraId="0A7433C1" w14:textId="77777777" w:rsidR="00902256" w:rsidRPr="009E1457" w:rsidRDefault="00902256" w:rsidP="009E1457">
      <w:pPr>
        <w:pStyle w:val="Heading3"/>
        <w:rPr>
          <w:rFonts w:cs="Times New Roman"/>
        </w:rPr>
      </w:pPr>
      <w:r w:rsidRPr="009E1457">
        <w:rPr>
          <w:rFonts w:cs="Times New Roman"/>
        </w:rPr>
        <w:t>3.5.1 Converging Pathways: Inclusive Innovation in Agricultural Biotechnology</w:t>
      </w:r>
    </w:p>
    <w:p w14:paraId="26F233DA" w14:textId="4B7A4C26" w:rsidR="00902256" w:rsidRPr="009E1457" w:rsidRDefault="00902256" w:rsidP="009E1457">
      <w:pPr>
        <w:pStyle w:val="NormalWeb"/>
        <w:jc w:val="both"/>
      </w:pPr>
      <w:r w:rsidRPr="009E1457">
        <w:t xml:space="preserve">While agricultural biotechnology is often framed through polarized debates, several converging pathways offer fertile ground for inclusive innovation. Participatory breeding and agroecological </w:t>
      </w:r>
      <w:r w:rsidRPr="009E1457">
        <w:lastRenderedPageBreak/>
        <w:t>biotechnology exemplify such synergies. In counties such as Baringo and Kitui, farmer-led seed banks and community-based breeding initiatives actively preserve indigenous germplasm using traditional methods—enhancing both biodiversity and climate resilience. These practices contest the dominant assumption that biotechnology must be industrial and proprietary, instead positioning it as ecologically attuned and socially inclusive (Altieri &amp; Nicholls, 2017).</w:t>
      </w:r>
    </w:p>
    <w:p w14:paraId="34BC09A3" w14:textId="77777777" w:rsidR="00902256" w:rsidRPr="009E1457" w:rsidRDefault="00902256" w:rsidP="009E1457">
      <w:pPr>
        <w:pStyle w:val="Heading3"/>
        <w:rPr>
          <w:rFonts w:cs="Times New Roman"/>
        </w:rPr>
      </w:pPr>
      <w:r w:rsidRPr="009E1457">
        <w:rPr>
          <w:rFonts w:cs="Times New Roman"/>
        </w:rPr>
        <w:t xml:space="preserve">3.5.2 Agroecological Biotech in Practice: </w:t>
      </w:r>
      <w:proofErr w:type="spellStart"/>
      <w:r w:rsidRPr="009E1457">
        <w:rPr>
          <w:rFonts w:cs="Times New Roman"/>
        </w:rPr>
        <w:t>Bt</w:t>
      </w:r>
      <w:proofErr w:type="spellEnd"/>
      <w:r w:rsidRPr="009E1457">
        <w:rPr>
          <w:rFonts w:cs="Times New Roman"/>
        </w:rPr>
        <w:t xml:space="preserve"> Cotton and Smallholder Realities</w:t>
      </w:r>
    </w:p>
    <w:p w14:paraId="2CCA8B15" w14:textId="3BE41172" w:rsidR="00902256" w:rsidRPr="009E1457" w:rsidRDefault="00902256" w:rsidP="009E1457">
      <w:pPr>
        <w:pStyle w:val="NormalWeb"/>
        <w:jc w:val="both"/>
      </w:pPr>
      <w:r w:rsidRPr="009E1457">
        <w:t xml:space="preserve">Agroecological biotechnology—including open-pollinated varieties and low-input genetically modified crops—offers pathways that align with smallholder realities and ecological sustainability. The introduction of </w:t>
      </w:r>
      <w:proofErr w:type="spellStart"/>
      <w:r w:rsidRPr="009E1457">
        <w:t>Bt</w:t>
      </w:r>
      <w:proofErr w:type="spellEnd"/>
      <w:r w:rsidRPr="009E1457">
        <w:t xml:space="preserve"> cotton in Kenya in 2020 exemplifies this potential. Farmers have reported increased yields, reduced pesticide use, and greater income stability (Kaplinsky, 2018; </w:t>
      </w:r>
      <w:proofErr w:type="spellStart"/>
      <w:r w:rsidRPr="009E1457">
        <w:t>Kimenju</w:t>
      </w:r>
      <w:proofErr w:type="spellEnd"/>
      <w:r w:rsidRPr="009E1457">
        <w:t xml:space="preserve"> &amp; De Groote, 2021). Importantly, </w:t>
      </w:r>
      <w:proofErr w:type="spellStart"/>
      <w:r w:rsidRPr="009E1457">
        <w:t>Bt</w:t>
      </w:r>
      <w:proofErr w:type="spellEnd"/>
      <w:r w:rsidRPr="009E1457">
        <w:t xml:space="preserve"> cotton has been integrated into mixed farming systems, challenging monocrop assumptions and demonstrating compatibility with smallholder agroecologies. Nonetheless, concerns persist regarding seed dependency, long-term ecological impacts, and the lack of transparent seed pricing and farmer education.</w:t>
      </w:r>
    </w:p>
    <w:p w14:paraId="71466870" w14:textId="77777777" w:rsidR="00902256" w:rsidRPr="009E1457" w:rsidRDefault="00902256" w:rsidP="009E1457">
      <w:pPr>
        <w:pStyle w:val="Heading3"/>
        <w:rPr>
          <w:rFonts w:cs="Times New Roman"/>
        </w:rPr>
      </w:pPr>
      <w:r w:rsidRPr="009E1457">
        <w:rPr>
          <w:rFonts w:cs="Times New Roman"/>
        </w:rPr>
        <w:t>3.5.3 Legal and Policy Tensions: Seed Sovereignty vs. Regulatory Control</w:t>
      </w:r>
    </w:p>
    <w:p w14:paraId="3521794A" w14:textId="2F51DC7E" w:rsidR="00902256" w:rsidRPr="009E1457" w:rsidRDefault="00902256" w:rsidP="009E1457">
      <w:pPr>
        <w:pStyle w:val="NormalWeb"/>
        <w:jc w:val="both"/>
      </w:pPr>
      <w:r w:rsidRPr="009E1457">
        <w:t>Persistent governance dilemmas in Kenya’s agricultural biotechnology landscape stem from policy exclusion and entrenched knowledge hierarchies. The Seed and Plant Varieties Act (Cap. 326) criminalizes seed sharing unless certified, thereby marginalizing farmer-managed seed systems and potentially infringing on constitutional rights to culture and food (Republic of Kenya, 2012). This legal framework privileges formal scientific knowledge while delegitimizing indigenous epistemologies, reinforcing a technocratic model of regulation that systematically excludes grassroots voices and community innovation.</w:t>
      </w:r>
    </w:p>
    <w:p w14:paraId="6036D53C" w14:textId="77777777" w:rsidR="00902256" w:rsidRPr="009E1457" w:rsidRDefault="00902256" w:rsidP="009E1457">
      <w:pPr>
        <w:pStyle w:val="Heading3"/>
        <w:rPr>
          <w:rFonts w:cs="Times New Roman"/>
        </w:rPr>
      </w:pPr>
      <w:r w:rsidRPr="009E1457">
        <w:rPr>
          <w:rFonts w:cs="Times New Roman"/>
        </w:rPr>
        <w:t>3.5.4 GMO Maize and the Politics of Approval</w:t>
      </w:r>
    </w:p>
    <w:p w14:paraId="329F5855" w14:textId="77777777" w:rsidR="00902256" w:rsidRPr="009E1457" w:rsidRDefault="00902256" w:rsidP="009E1457">
      <w:pPr>
        <w:pStyle w:val="NormalWeb"/>
        <w:jc w:val="both"/>
      </w:pPr>
      <w:r w:rsidRPr="009E1457">
        <w:t xml:space="preserve">The push for GMO maize has reignited debates over land control, seed access, and corporate influence in Kenya’s agricultural landscape. Critics argue that patented GMO seeds threaten seed sovereignty and deepen dependency on multinational suppliers (Kenya Peasants League, 2025). These tensions culminated in the landmark </w:t>
      </w:r>
      <w:r w:rsidRPr="009E1457">
        <w:rPr>
          <w:rStyle w:val="Emphasis"/>
        </w:rPr>
        <w:t>Machakos High Court</w:t>
      </w:r>
      <w:r w:rsidRPr="009E1457">
        <w:t xml:space="preserve"> ruling of July 2025, where civil society groups—including the Kenya Peasants League and BIBA Kenya—challenged the legality of GMO maize approvals on grounds of inadequate public participation, environmental risk, and procedural opacity (Machakos High Court, 2025). The court’s decision to uphold a conservatory order pending appeal underscored the friction between global biotech regimes and local governance frameworks, revealing a persistent trust deficit in regulatory institutions and the need for inclusive, precautionary policymaking.</w:t>
      </w:r>
    </w:p>
    <w:p w14:paraId="260C802F" w14:textId="77777777" w:rsidR="00902256" w:rsidRPr="009E1457" w:rsidRDefault="00902256" w:rsidP="009E1457">
      <w:pPr>
        <w:pStyle w:val="Heading3"/>
        <w:rPr>
          <w:rFonts w:cs="Times New Roman"/>
        </w:rPr>
      </w:pPr>
      <w:r w:rsidRPr="009E1457">
        <w:rPr>
          <w:rFonts w:cs="Times New Roman"/>
        </w:rPr>
        <w:t>3.5.5 Epistemic Injustice and Technocratic Gatekeeping</w:t>
      </w:r>
    </w:p>
    <w:p w14:paraId="489E539B" w14:textId="77777777" w:rsidR="00902256" w:rsidRPr="009E1457" w:rsidRDefault="00902256" w:rsidP="009E1457">
      <w:pPr>
        <w:pStyle w:val="NormalWeb"/>
        <w:jc w:val="both"/>
      </w:pPr>
      <w:r w:rsidRPr="009E1457">
        <w:t xml:space="preserve">Biotechnology governance in Kenya is increasingly marked by epistemic injustice and regulatory opacity. Decision-making authority remains concentrated within elite scientific institutions, with limited public oversight or deliberative engagement. Dissenting perspectives—particularly those advocating for agroecology, indigenous knowledge systems, or precautionary approaches—are </w:t>
      </w:r>
      <w:r w:rsidRPr="009E1457">
        <w:lastRenderedPageBreak/>
        <w:t>often dismissed as anti-science or irrational. This framing reinforces exclusionary narratives and entrenches technocratic gatekeeping, undermining pluralistic dialogue and democratic accountability in biotechnology policy (Fricker, 2007; Jasanoff, 2005; Leach et al., 2010).</w:t>
      </w:r>
    </w:p>
    <w:p w14:paraId="7CFA348D" w14:textId="77777777" w:rsidR="00902256" w:rsidRPr="009E1457" w:rsidRDefault="00902256" w:rsidP="009E1457">
      <w:pPr>
        <w:pStyle w:val="Heading3"/>
        <w:rPr>
          <w:rFonts w:cs="Times New Roman"/>
        </w:rPr>
      </w:pPr>
      <w:r w:rsidRPr="009E1457">
        <w:rPr>
          <w:rFonts w:cs="Times New Roman"/>
        </w:rPr>
        <w:t>3.5.6 Biopolitics and the Framing of Risk</w:t>
      </w:r>
    </w:p>
    <w:p w14:paraId="25BEFDDC" w14:textId="77777777" w:rsidR="00902256" w:rsidRPr="009E1457" w:rsidRDefault="00902256" w:rsidP="009E1457">
      <w:pPr>
        <w:pStyle w:val="NormalWeb"/>
        <w:jc w:val="both"/>
      </w:pPr>
      <w:r w:rsidRPr="009E1457">
        <w:t>Drawing on Foucault’s concept of biopolitics, biotechnology regulation in Kenya can be understood as a mode of population governance mediated through expert knowledge and institutional authority (Foucault, 1978). Risk perception is not neutral but strategically framed—often by elite scientific actors—to delegitimize dissent and exclude alternative epistemologies. This dynamic stifles epistemic pluralism and undermines both the legitimacy of policy processes and public trust in regulatory institutions (Jasanoff, 2005; Leach et al., 2010).</w:t>
      </w:r>
    </w:p>
    <w:p w14:paraId="2B1DA57C" w14:textId="77777777" w:rsidR="00902256" w:rsidRPr="009E1457" w:rsidRDefault="00902256" w:rsidP="009E1457">
      <w:pPr>
        <w:pStyle w:val="Heading3"/>
        <w:rPr>
          <w:rFonts w:cs="Times New Roman"/>
        </w:rPr>
      </w:pPr>
      <w:r w:rsidRPr="009E1457">
        <w:rPr>
          <w:rFonts w:cs="Times New Roman"/>
        </w:rPr>
        <w:t>3.5.7 Toward Pluralistic and Just Biotechnology Governance</w:t>
      </w:r>
    </w:p>
    <w:p w14:paraId="2B62413E" w14:textId="77777777" w:rsidR="00902256" w:rsidRPr="009E1457" w:rsidRDefault="00902256" w:rsidP="009E1457">
      <w:pPr>
        <w:pStyle w:val="NormalWeb"/>
        <w:jc w:val="both"/>
      </w:pPr>
      <w:r w:rsidRPr="009E1457">
        <w:t>Addressing the tensions within Kenya’s biotechnology landscape requires moving beyond binary framings—such as risk versus trust—and embracing dialogic, pluralistic governance. This approach entails recognizing indigenous knowledge systems as methodologically rigorous and contextually grounded (</w:t>
      </w:r>
      <w:proofErr w:type="spellStart"/>
      <w:r w:rsidRPr="009E1457">
        <w:t>Chilisa</w:t>
      </w:r>
      <w:proofErr w:type="spellEnd"/>
      <w:r w:rsidRPr="009E1457">
        <w:t>, 2012), reforming seed legislation to protect farmer-managed systems, and institutionalizing transparent, participatory policy processes (Jasanoff, 2003). A just biotechnology regime must balance innovation with precaution, and scientific credibility with social equity—ensuring that governance is not only technically sound but democratically legitimate (Stirling, 2008).</w:t>
      </w:r>
    </w:p>
    <w:p w14:paraId="736DAE07" w14:textId="77777777" w:rsidR="005520EB" w:rsidRPr="009E1457" w:rsidRDefault="00F64901" w:rsidP="009E1457">
      <w:pPr>
        <w:pStyle w:val="Heading1"/>
        <w:jc w:val="both"/>
        <w:rPr>
          <w:rFonts w:cs="Times New Roman"/>
          <w:szCs w:val="24"/>
        </w:rPr>
      </w:pPr>
      <w:r w:rsidRPr="009E1457">
        <w:rPr>
          <w:rFonts w:cs="Times New Roman"/>
          <w:szCs w:val="24"/>
        </w:rPr>
        <w:t>KEY FINDINGS FROM CRITICAL NARRATIVE REVIEW</w:t>
      </w:r>
    </w:p>
    <w:p w14:paraId="51BA3FD3" w14:textId="77777777" w:rsidR="005423C9" w:rsidRPr="009E1457" w:rsidRDefault="005423C9" w:rsidP="009E1457">
      <w:pPr>
        <w:pStyle w:val="NormalWeb"/>
        <w:jc w:val="both"/>
      </w:pPr>
      <w:r w:rsidRPr="009E1457">
        <w:t>This section synthesizes the core insights emerging from the critical narrative review, grounded in Bacchi’s WPR framework (2009), Foucault’s biopolitics (1978), and the lens of epistemic justice (Fricker, 2007). Drawing on thematic coding, frame analysis, and intertextual mapping, five key findings illuminate the ethical and governance dynamics shaping agricultural biotechnology in Kenya.</w:t>
      </w:r>
    </w:p>
    <w:p w14:paraId="712F5019" w14:textId="77777777" w:rsidR="005423C9" w:rsidRPr="009E1457" w:rsidRDefault="005423C9" w:rsidP="009E1457">
      <w:pPr>
        <w:pStyle w:val="Heading3"/>
        <w:rPr>
          <w:rFonts w:cs="Times New Roman"/>
        </w:rPr>
      </w:pPr>
      <w:r w:rsidRPr="009E1457">
        <w:rPr>
          <w:rStyle w:val="Strong"/>
          <w:rFonts w:cs="Times New Roman"/>
          <w:b/>
          <w:bCs w:val="0"/>
        </w:rPr>
        <w:t>4.1 Discursive Representations</w:t>
      </w:r>
    </w:p>
    <w:p w14:paraId="3F20D61A" w14:textId="77777777" w:rsidR="005423C9" w:rsidRPr="009E1457" w:rsidRDefault="005423C9" w:rsidP="009E1457">
      <w:pPr>
        <w:pStyle w:val="NormalWeb"/>
        <w:jc w:val="both"/>
      </w:pPr>
      <w:r w:rsidRPr="009E1457">
        <w:t>Kenya’s biotechnology policy discourse is dominated by technocratic framings that construct biotechnology primarily as a risk to be managed and an innovation to be accelerated (Odame, Kameri-Mbote, &amp; Wafula, 2003; KALRO, 2020). Terms such as “efficiency,” “competitiveness,” and “modernization” recur across policy texts, while concepts like “epistemic inclusion,” “seed sovereignty,” and “agroecological stewardship” are conspicuously absent (Kariuki, Nyambura, &amp; Onyango, 2023). This discursive bias reflects deeper epistemic injustices, where indigenous knowledge systems are symbolically referenced but substantively excluded (Horsthemke, 2022; Dyantyi, 2024). The framing of biotechnology as a technical fix obscures its socio-political and ethical dimensions, reinforcing a narrow governance paradigm.</w:t>
      </w:r>
    </w:p>
    <w:p w14:paraId="69C28992" w14:textId="77777777" w:rsidR="005423C9" w:rsidRPr="009E1457" w:rsidRDefault="005423C9" w:rsidP="009E1457">
      <w:pPr>
        <w:pStyle w:val="Heading3"/>
        <w:rPr>
          <w:rFonts w:cs="Times New Roman"/>
        </w:rPr>
      </w:pPr>
      <w:r w:rsidRPr="009E1457">
        <w:rPr>
          <w:rStyle w:val="Strong"/>
          <w:rFonts w:cs="Times New Roman"/>
          <w:b/>
          <w:bCs w:val="0"/>
        </w:rPr>
        <w:lastRenderedPageBreak/>
        <w:t>4.2 Governance Gaps</w:t>
      </w:r>
    </w:p>
    <w:p w14:paraId="672495FB" w14:textId="6AADF424" w:rsidR="005423C9" w:rsidRPr="009E1457" w:rsidRDefault="005423C9" w:rsidP="009E1457">
      <w:pPr>
        <w:pStyle w:val="NormalWeb"/>
        <w:jc w:val="both"/>
      </w:pPr>
      <w:r w:rsidRPr="009E1457">
        <w:t>Despite Kenya’s formal alignment with global biosafety norms (Bail et al., 2002; FAO, WHO, &amp; WTO, 2021), its governance architecture remains ethically fragmented. Participation is largely procedural, with limited mechanisms for substantive engagement by indigenous communities and smallholder farmers (Kariuki et al., 2023). Regulatory bodies such as the National Biosafety Authority (NBA) and KEPHIS operate within centralized, expert-driven frameworks that marginalize plural epistemologies (</w:t>
      </w:r>
      <w:proofErr w:type="spellStart"/>
      <w:r w:rsidRPr="009E1457">
        <w:t>Kingiri</w:t>
      </w:r>
      <w:proofErr w:type="spellEnd"/>
      <w:r w:rsidRPr="009E1457">
        <w:t xml:space="preserve"> &amp; </w:t>
      </w:r>
      <w:proofErr w:type="spellStart"/>
      <w:r w:rsidRPr="009E1457">
        <w:t>Ayele</w:t>
      </w:r>
      <w:proofErr w:type="spellEnd"/>
      <w:r w:rsidRPr="009E1457">
        <w:t>, 2009). Ethical principles—such as consent, equity, and sustainability—are underdeveloped in practice, often reduced to compliance checklists rather than embedded deliberative processes (</w:t>
      </w:r>
      <w:proofErr w:type="spellStart"/>
      <w:r w:rsidRPr="009E1457">
        <w:t>Kasera</w:t>
      </w:r>
      <w:proofErr w:type="spellEnd"/>
      <w:r w:rsidRPr="009E1457">
        <w:t xml:space="preserve"> et al., 2022; Jasanoff &amp; Hurlbut, 2018). This technocratic gatekeeping undermines democratic legitimacy and perpetuates power asymmetries.</w:t>
      </w:r>
    </w:p>
    <w:p w14:paraId="019AA643" w14:textId="77777777" w:rsidR="005423C9" w:rsidRPr="009E1457" w:rsidRDefault="005423C9" w:rsidP="009E1457">
      <w:pPr>
        <w:pStyle w:val="Heading3"/>
        <w:rPr>
          <w:rFonts w:cs="Times New Roman"/>
        </w:rPr>
      </w:pPr>
      <w:r w:rsidRPr="009E1457">
        <w:rPr>
          <w:rStyle w:val="Strong"/>
          <w:rFonts w:cs="Times New Roman"/>
          <w:b/>
          <w:bCs w:val="0"/>
        </w:rPr>
        <w:t>4.3 Indigenous Knowledge Marginalization</w:t>
      </w:r>
    </w:p>
    <w:p w14:paraId="24E91748" w14:textId="567F0B46" w:rsidR="005423C9" w:rsidRPr="009E1457" w:rsidRDefault="005423C9" w:rsidP="009E1457">
      <w:pPr>
        <w:pStyle w:val="NormalWeb"/>
        <w:jc w:val="both"/>
      </w:pPr>
      <w:r w:rsidRPr="009E1457">
        <w:t>Indigenous farming systems—rooted in ecological ethics, communal stewardship, and adaptive resilience—are systematically marginalized in Kenya’s biotechnology governance (</w:t>
      </w:r>
      <w:proofErr w:type="spellStart"/>
      <w:r w:rsidRPr="009E1457">
        <w:t>Fuchaka</w:t>
      </w:r>
      <w:proofErr w:type="spellEnd"/>
      <w:r w:rsidRPr="009E1457">
        <w:t xml:space="preserve"> </w:t>
      </w:r>
      <w:proofErr w:type="spellStart"/>
      <w:r w:rsidRPr="009E1457">
        <w:t>Waswa</w:t>
      </w:r>
      <w:proofErr w:type="spellEnd"/>
      <w:r w:rsidRPr="009E1457">
        <w:t xml:space="preserve"> &amp; </w:t>
      </w:r>
      <w:proofErr w:type="spellStart"/>
      <w:r w:rsidRPr="009E1457">
        <w:t>Ayaa</w:t>
      </w:r>
      <w:proofErr w:type="spellEnd"/>
      <w:r w:rsidRPr="009E1457">
        <w:t xml:space="preserve">, 2016; </w:t>
      </w:r>
      <w:proofErr w:type="spellStart"/>
      <w:r w:rsidRPr="009E1457">
        <w:t>Chepchirchir</w:t>
      </w:r>
      <w:proofErr w:type="spellEnd"/>
      <w:r w:rsidRPr="009E1457">
        <w:t xml:space="preserve"> &amp; </w:t>
      </w:r>
      <w:proofErr w:type="spellStart"/>
      <w:r w:rsidRPr="009E1457">
        <w:t>Kwanya</w:t>
      </w:r>
      <w:proofErr w:type="spellEnd"/>
      <w:r w:rsidRPr="009E1457">
        <w:t xml:space="preserve">, 2023). Policy texts rarely engage substantively with traditional practices, and when they do, it is often in tokenistic or anecdotal terms (Odame et al., n.d.). This exclusion constitutes a form of </w:t>
      </w:r>
      <w:proofErr w:type="spellStart"/>
      <w:r w:rsidRPr="009E1457">
        <w:t>epistemicide</w:t>
      </w:r>
      <w:proofErr w:type="spellEnd"/>
      <w:r w:rsidRPr="009E1457">
        <w:t>, erasing entire knowledge traditions from formal decision-making (Fricker, 2007; Horsthemke, 2022). Seed laws criminalizing informal exchange further delegitimize indigenous seed systems (Republic of Kenya, 2012), while intellectual property regimes prioritize proprietary technologies over community innovation (Scoones &amp; Stirling, 2020).</w:t>
      </w:r>
    </w:p>
    <w:p w14:paraId="1D2EEED0" w14:textId="77777777" w:rsidR="005423C9" w:rsidRPr="009E1457" w:rsidRDefault="005423C9" w:rsidP="009E1457">
      <w:pPr>
        <w:pStyle w:val="Heading3"/>
        <w:rPr>
          <w:rFonts w:cs="Times New Roman"/>
        </w:rPr>
      </w:pPr>
      <w:r w:rsidRPr="009E1457">
        <w:rPr>
          <w:rStyle w:val="Strong"/>
          <w:rFonts w:cs="Times New Roman"/>
          <w:b/>
          <w:bCs w:val="0"/>
        </w:rPr>
        <w:t>4.4 Empirical Illustrations</w:t>
      </w:r>
    </w:p>
    <w:p w14:paraId="2C8C75BF" w14:textId="77777777" w:rsidR="005423C9" w:rsidRPr="009E1457" w:rsidRDefault="005423C9" w:rsidP="009E1457">
      <w:pPr>
        <w:pStyle w:val="NormalWeb"/>
        <w:jc w:val="both"/>
      </w:pPr>
      <w:r w:rsidRPr="009E1457">
        <w:t>Several empirical cases underscore the ethical and governance tensions identified in the review:</w:t>
      </w:r>
    </w:p>
    <w:p w14:paraId="238DE9DB" w14:textId="77777777" w:rsidR="005423C9" w:rsidRPr="009E1457" w:rsidRDefault="005423C9" w:rsidP="009E1457">
      <w:pPr>
        <w:pStyle w:val="NormalWeb"/>
        <w:numPr>
          <w:ilvl w:val="0"/>
          <w:numId w:val="41"/>
        </w:numPr>
        <w:jc w:val="both"/>
      </w:pPr>
      <w:proofErr w:type="spellStart"/>
      <w:r w:rsidRPr="009E1457">
        <w:rPr>
          <w:rStyle w:val="Strong"/>
          <w:b w:val="0"/>
        </w:rPr>
        <w:t>Bt</w:t>
      </w:r>
      <w:proofErr w:type="spellEnd"/>
      <w:r w:rsidRPr="009E1457">
        <w:rPr>
          <w:rStyle w:val="Strong"/>
          <w:b w:val="0"/>
        </w:rPr>
        <w:t xml:space="preserve"> cotton trials</w:t>
      </w:r>
      <w:r w:rsidRPr="009E1457">
        <w:t xml:space="preserve"> proceeded with minimal public engagement, raising concerns about transparency and community consent (Kamau &amp; Snyder, 2023; National Biosafety Authority, 2021).</w:t>
      </w:r>
    </w:p>
    <w:p w14:paraId="16514101" w14:textId="77777777" w:rsidR="005423C9" w:rsidRPr="009E1457" w:rsidRDefault="005423C9" w:rsidP="009E1457">
      <w:pPr>
        <w:pStyle w:val="NormalWeb"/>
        <w:numPr>
          <w:ilvl w:val="0"/>
          <w:numId w:val="41"/>
        </w:numPr>
        <w:jc w:val="both"/>
      </w:pPr>
      <w:r w:rsidRPr="009E1457">
        <w:rPr>
          <w:rStyle w:val="Strong"/>
          <w:b w:val="0"/>
        </w:rPr>
        <w:t>GMO maize approvals</w:t>
      </w:r>
      <w:r w:rsidRPr="009E1457">
        <w:t xml:space="preserve"> triggered legal challenges, culminating in the Machakos High Court’s conservatory ruling, which highlighted procedural opacity and environmental risk (Machakos High Court, 2025).</w:t>
      </w:r>
    </w:p>
    <w:p w14:paraId="4637754E" w14:textId="62E071B1" w:rsidR="005423C9" w:rsidRPr="009E1457" w:rsidRDefault="005423C9" w:rsidP="009E1457">
      <w:pPr>
        <w:pStyle w:val="NormalWeb"/>
        <w:numPr>
          <w:ilvl w:val="0"/>
          <w:numId w:val="41"/>
        </w:numPr>
        <w:jc w:val="both"/>
      </w:pPr>
      <w:r w:rsidRPr="009E1457">
        <w:rPr>
          <w:rStyle w:val="Strong"/>
          <w:b w:val="0"/>
        </w:rPr>
        <w:t>Seed sovereignty movements</w:t>
      </w:r>
      <w:r w:rsidRPr="009E1457">
        <w:t>, such as those led by the Kenya Peasants League and Seed Savers Network, exemplify grassroots resistance to exclusionary policies and advocate for farmer-led innovation and biodiversity conservation (Moss, 2025).</w:t>
      </w:r>
    </w:p>
    <w:p w14:paraId="589BFA6D" w14:textId="77777777" w:rsidR="005423C9" w:rsidRPr="009E1457" w:rsidRDefault="005423C9" w:rsidP="009E1457">
      <w:pPr>
        <w:pStyle w:val="NormalWeb"/>
        <w:jc w:val="both"/>
      </w:pPr>
      <w:r w:rsidRPr="009E1457">
        <w:t>These cases reveal the disconnect between policy rhetoric and lived realities, emphasizing the need for inclusive, context-sensitive governance.</w:t>
      </w:r>
    </w:p>
    <w:p w14:paraId="72E31BE2" w14:textId="77777777" w:rsidR="005423C9" w:rsidRPr="009E1457" w:rsidRDefault="005423C9" w:rsidP="009E1457">
      <w:pPr>
        <w:pStyle w:val="Heading3"/>
        <w:rPr>
          <w:rFonts w:cs="Times New Roman"/>
        </w:rPr>
      </w:pPr>
      <w:r w:rsidRPr="009E1457">
        <w:rPr>
          <w:rStyle w:val="Strong"/>
          <w:rFonts w:cs="Times New Roman"/>
          <w:b/>
          <w:bCs w:val="0"/>
        </w:rPr>
        <w:t>4.5 Comparative Insights</w:t>
      </w:r>
    </w:p>
    <w:p w14:paraId="0DB1A9B6" w14:textId="77777777" w:rsidR="005423C9" w:rsidRPr="009E1457" w:rsidRDefault="005423C9" w:rsidP="009E1457">
      <w:pPr>
        <w:pStyle w:val="NormalWeb"/>
        <w:jc w:val="both"/>
      </w:pPr>
      <w:r w:rsidRPr="009E1457">
        <w:t>Comparative analysis reveals diverse approaches to ethical biotechnology governance:</w:t>
      </w:r>
    </w:p>
    <w:p w14:paraId="73C8614A" w14:textId="77777777" w:rsidR="005423C9" w:rsidRPr="009E1457" w:rsidRDefault="005423C9" w:rsidP="009E1457">
      <w:pPr>
        <w:pStyle w:val="NormalWeb"/>
        <w:numPr>
          <w:ilvl w:val="0"/>
          <w:numId w:val="42"/>
        </w:numPr>
        <w:jc w:val="both"/>
      </w:pPr>
      <w:r w:rsidRPr="009E1457">
        <w:rPr>
          <w:rStyle w:val="Strong"/>
          <w:b w:val="0"/>
        </w:rPr>
        <w:lastRenderedPageBreak/>
        <w:t>South Africa</w:t>
      </w:r>
      <w:r w:rsidRPr="009E1457">
        <w:t xml:space="preserve"> demonstrates robust regulatory capacity and private sector engagement, yet faces critiques over inclusivity (Juma, 2011).</w:t>
      </w:r>
    </w:p>
    <w:p w14:paraId="69493A3C" w14:textId="77777777" w:rsidR="005423C9" w:rsidRPr="009E1457" w:rsidRDefault="005423C9" w:rsidP="009E1457">
      <w:pPr>
        <w:pStyle w:val="NormalWeb"/>
        <w:numPr>
          <w:ilvl w:val="0"/>
          <w:numId w:val="42"/>
        </w:numPr>
        <w:jc w:val="both"/>
      </w:pPr>
      <w:r w:rsidRPr="009E1457">
        <w:rPr>
          <w:rStyle w:val="Strong"/>
          <w:b w:val="0"/>
        </w:rPr>
        <w:t>The European Union</w:t>
      </w:r>
      <w:r w:rsidRPr="009E1457">
        <w:t xml:space="preserve"> integrates ethical oversight through advisory bodies and participatory mechanisms, offering a reflexive governance model (European Commission, 2018).</w:t>
      </w:r>
    </w:p>
    <w:p w14:paraId="394BEE6F" w14:textId="77777777" w:rsidR="005423C9" w:rsidRPr="009E1457" w:rsidRDefault="005423C9" w:rsidP="009E1457">
      <w:pPr>
        <w:pStyle w:val="NormalWeb"/>
        <w:numPr>
          <w:ilvl w:val="0"/>
          <w:numId w:val="42"/>
        </w:numPr>
        <w:jc w:val="both"/>
      </w:pPr>
      <w:r w:rsidRPr="009E1457">
        <w:rPr>
          <w:rStyle w:val="Strong"/>
          <w:b w:val="0"/>
        </w:rPr>
        <w:t>Latin America</w:t>
      </w:r>
      <w:r w:rsidRPr="009E1457">
        <w:t xml:space="preserve"> presents mixed models: Brazil incorporates socio-economic considerations and participatory review (Jasanoff &amp; Hurlbut, 2018), while Argentina maintains a technocratic stance (Odame et al., n.d.).</w:t>
      </w:r>
    </w:p>
    <w:p w14:paraId="3106DB9C" w14:textId="77777777" w:rsidR="005423C9" w:rsidRPr="009E1457" w:rsidRDefault="005423C9" w:rsidP="009E1457">
      <w:pPr>
        <w:pStyle w:val="NormalWeb"/>
        <w:jc w:val="both"/>
      </w:pPr>
      <w:r w:rsidRPr="009E1457">
        <w:t>These examples affirm that ethical governance is not a fixed template but a dynamic practice shaped by political will, institutional design, and normative commitments. Kenya’s experience reflects both regional convergence and persistent ethical fragmentation, underscoring the urgency of reform.</w:t>
      </w:r>
    </w:p>
    <w:p w14:paraId="6F23CDDB" w14:textId="6DFC61A6" w:rsidR="00FA58E5" w:rsidRPr="009E1457" w:rsidRDefault="00A8158E" w:rsidP="009E1457">
      <w:pPr>
        <w:pStyle w:val="NormalWeb"/>
        <w:jc w:val="both"/>
        <w:rPr>
          <w:b/>
        </w:rPr>
      </w:pPr>
      <w:r w:rsidRPr="009E1457">
        <w:rPr>
          <w:b/>
        </w:rPr>
        <w:t xml:space="preserve">5.0 </w:t>
      </w:r>
      <w:r w:rsidR="00091036">
        <w:rPr>
          <w:b/>
        </w:rPr>
        <w:t xml:space="preserve">Conclusion and </w:t>
      </w:r>
      <w:r w:rsidRPr="009E1457">
        <w:rPr>
          <w:b/>
        </w:rPr>
        <w:t>Recommendation</w:t>
      </w:r>
    </w:p>
    <w:p w14:paraId="4B9D30C3" w14:textId="77777777" w:rsidR="00A8158E" w:rsidRPr="009E1457" w:rsidRDefault="00A8158E" w:rsidP="009E1457">
      <w:pPr>
        <w:pStyle w:val="NormalWeb"/>
        <w:jc w:val="both"/>
      </w:pPr>
      <w:r w:rsidRPr="009E1457">
        <w:t>To advance ethical and inclusive governance of agricultural biotechnology in Kenya, this study proposes a set of interrelated recommendations targeting policy reform, institutional redesign, and research practice. These recommendations are grounded in the imperative to reconcile innovation with indigenous knowledge systems, ecological stewardship, and democratic accountability.</w:t>
      </w:r>
    </w:p>
    <w:p w14:paraId="68647963" w14:textId="77777777" w:rsidR="00A8158E" w:rsidRPr="009E1457" w:rsidRDefault="00A8158E" w:rsidP="009E1457">
      <w:pPr>
        <w:pStyle w:val="NormalWeb"/>
        <w:jc w:val="both"/>
      </w:pPr>
      <w:r w:rsidRPr="009E1457">
        <w:t>First, Kenya’s biosafety governance architecture should be restructured to institutionalize participatory mechanisms that go beyond procedural consultation. This includes the formal establishment of local biosafety committees, farmer councils, and community advisory platforms that ensure substantive representation of indigenous voices in decision-making. Such bodies should be empowered to influence policy design, technology approval processes, and ethical review, thereby democratizing governance and enhancing legitimacy.</w:t>
      </w:r>
    </w:p>
    <w:p w14:paraId="7191AEEB" w14:textId="77777777" w:rsidR="00A8158E" w:rsidRPr="009E1457" w:rsidRDefault="00A8158E" w:rsidP="009E1457">
      <w:pPr>
        <w:pStyle w:val="NormalWeb"/>
        <w:jc w:val="both"/>
      </w:pPr>
      <w:r w:rsidRPr="009E1457">
        <w:t>Second, legal frameworks—particularly the Seed and Plant Varieties Act—require urgent revision to protect farmer-managed seed systems and uphold seed sovereignty. Current provisions that criminalize informal seed exchange undermine indigenous agricultural practices and violate constitutional rights to culture and food. Amendments should recognize traditional seed networks as legitimate and essential to biodiversity conservation, food security, and climate resilience.</w:t>
      </w:r>
    </w:p>
    <w:p w14:paraId="7CF0530C" w14:textId="77777777" w:rsidR="00A8158E" w:rsidRPr="009E1457" w:rsidRDefault="00A8158E" w:rsidP="009E1457">
      <w:pPr>
        <w:pStyle w:val="NormalWeb"/>
        <w:jc w:val="both"/>
      </w:pPr>
      <w:r w:rsidRPr="009E1457">
        <w:t>Third, ethical oversight must be embedded within biotechnology regulation through the creation of interdisciplinary advisory bodies that integrate ethical, ecological, and cultural considerations into risk assessment and policy evaluation. These bodies should include ethicists, indigenous knowledge holders, agroecologists, and civil society representatives to ensure pluralistic and context-sensitive governance.</w:t>
      </w:r>
    </w:p>
    <w:p w14:paraId="2AAEDFEF" w14:textId="77777777" w:rsidR="00A8158E" w:rsidRPr="009E1457" w:rsidRDefault="00A8158E" w:rsidP="009E1457">
      <w:pPr>
        <w:pStyle w:val="NormalWeb"/>
        <w:jc w:val="both"/>
      </w:pPr>
      <w:r w:rsidRPr="009E1457">
        <w:t>Fourth, research institutions and funding agencies should prioritize epistemic inclusion by supporting participatory action research, co-authorship with indigenous experts, and citational equity in scholarly publishing. This shift would foster collaborative knowledge production, challenge extractive research paradigms, and elevate indigenous epistemologies as methodologically rigorous and policy-relevant.</w:t>
      </w:r>
    </w:p>
    <w:p w14:paraId="11D18EF2" w14:textId="77777777" w:rsidR="00A8158E" w:rsidRPr="009E1457" w:rsidRDefault="00A8158E" w:rsidP="009E1457">
      <w:pPr>
        <w:pStyle w:val="NormalWeb"/>
        <w:jc w:val="both"/>
      </w:pPr>
      <w:r w:rsidRPr="009E1457">
        <w:lastRenderedPageBreak/>
        <w:t>Finally, public trust in biotechnology governance must be restored through transparent communication, inclusive dialogue, and reflexive policymaking. Government agencies should invest in community education, multilingual outreach, and open-access policy platforms that make regulatory processes accessible and accountable. These efforts would not only enhance procedural transparency but also cultivate a culture of ethical deliberation and shared responsibility</w:t>
      </w:r>
    </w:p>
    <w:p w14:paraId="2F659974" w14:textId="77777777" w:rsidR="00E528D0" w:rsidRPr="009E1457" w:rsidRDefault="0079682B" w:rsidP="009E1457">
      <w:pPr>
        <w:pStyle w:val="Heading2"/>
        <w:spacing w:line="240" w:lineRule="auto"/>
        <w:jc w:val="both"/>
        <w:rPr>
          <w:rFonts w:cs="Times New Roman"/>
          <w:b w:val="0"/>
          <w:szCs w:val="24"/>
        </w:rPr>
      </w:pPr>
      <w:r w:rsidRPr="009E1457">
        <w:rPr>
          <w:rStyle w:val="Strong"/>
          <w:rFonts w:cs="Times New Roman"/>
          <w:b/>
          <w:szCs w:val="24"/>
        </w:rPr>
        <w:t xml:space="preserve">STATEMENT OF </w:t>
      </w:r>
      <w:r w:rsidR="00E528D0" w:rsidRPr="009E1457">
        <w:rPr>
          <w:rStyle w:val="Strong"/>
          <w:rFonts w:cs="Times New Roman"/>
          <w:b/>
          <w:szCs w:val="24"/>
        </w:rPr>
        <w:t>DECLARATIONS</w:t>
      </w:r>
    </w:p>
    <w:p w14:paraId="587D5E85" w14:textId="77777777" w:rsidR="00E528D0" w:rsidRPr="009E1457" w:rsidRDefault="00E528D0" w:rsidP="009E1457">
      <w:pPr>
        <w:jc w:val="both"/>
        <w:rPr>
          <w:rStyle w:val="Strong"/>
          <w:rFonts w:ascii="Times New Roman" w:hAnsi="Times New Roman" w:cs="Times New Roman"/>
          <w:b w:val="0"/>
          <w:sz w:val="24"/>
          <w:szCs w:val="24"/>
        </w:rPr>
      </w:pPr>
      <w:r w:rsidRPr="009E1457">
        <w:rPr>
          <w:rStyle w:val="Strong"/>
          <w:rFonts w:ascii="Times New Roman" w:hAnsi="Times New Roman" w:cs="Times New Roman"/>
          <w:sz w:val="24"/>
          <w:szCs w:val="24"/>
        </w:rPr>
        <w:t>Use of AI Tool</w:t>
      </w:r>
    </w:p>
    <w:p w14:paraId="5C9FEFE1" w14:textId="77777777" w:rsidR="00E528D0" w:rsidRPr="009E1457" w:rsidRDefault="00E528D0" w:rsidP="009E1457">
      <w:pPr>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This manuscript benefited from the use of Microsoft Copilot (</w:t>
      </w:r>
      <w:r w:rsidRPr="009E1457">
        <w:rPr>
          <w:rFonts w:ascii="Times New Roman" w:hAnsi="Times New Roman" w:cs="Times New Roman"/>
          <w:sz w:val="24"/>
          <w:szCs w:val="24"/>
        </w:rPr>
        <w:t>July 2025 version)</w:t>
      </w:r>
      <w:r w:rsidRPr="009E1457">
        <w:rPr>
          <w:rFonts w:ascii="Times New Roman" w:eastAsia="Times New Roman" w:hAnsi="Times New Roman" w:cs="Times New Roman"/>
          <w:sz w:val="24"/>
          <w:szCs w:val="24"/>
        </w:rPr>
        <w:t xml:space="preserve"> an AI-powered research and writing assistant. The tool was employed to support literature synthesis, enhance clarity in academic phrasing, and streamline the organization of empirical findings. Specifically, Copilot assisted in:</w:t>
      </w:r>
    </w:p>
    <w:p w14:paraId="7EC2633A" w14:textId="77777777" w:rsidR="00E528D0" w:rsidRPr="009E1457" w:rsidRDefault="00E528D0" w:rsidP="009E1457">
      <w:pPr>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Structuring the literature review to align with thematic and theoretical frameworks</w:t>
      </w:r>
    </w:p>
    <w:p w14:paraId="026595C5" w14:textId="77777777" w:rsidR="00E528D0" w:rsidRPr="009E1457" w:rsidRDefault="00E528D0" w:rsidP="009E1457">
      <w:pPr>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Refining statistical interpretations and ensuring coherence in methodological descriptions</w:t>
      </w:r>
    </w:p>
    <w:p w14:paraId="0E2F570C" w14:textId="77777777" w:rsidR="00E528D0" w:rsidRPr="009E1457" w:rsidRDefault="00E528D0" w:rsidP="009E1457">
      <w:pPr>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Improving readability and consistency in the discussion and conclusion sections</w:t>
      </w:r>
    </w:p>
    <w:p w14:paraId="492B2ED8" w14:textId="77777777" w:rsidR="00E528D0" w:rsidRDefault="00E528D0" w:rsidP="009E1457">
      <w:pPr>
        <w:jc w:val="both"/>
        <w:rPr>
          <w:rFonts w:ascii="Times New Roman" w:hAnsi="Times New Roman" w:cs="Times New Roman"/>
          <w:sz w:val="24"/>
          <w:szCs w:val="24"/>
        </w:rPr>
      </w:pPr>
      <w:r w:rsidRPr="009E1457">
        <w:rPr>
          <w:rFonts w:ascii="Times New Roman" w:hAnsi="Times New Roman" w:cs="Times New Roman"/>
          <w:sz w:val="24"/>
          <w:szCs w:val="24"/>
        </w:rPr>
        <w:t>The use of AI was limited to editorial and analytical support; all conceptualization, data analysis, and scholarly interpretations were conducted by the authors. The integration of AI adhered to ethical standards and did not compromise the originality or integrity of the research</w:t>
      </w:r>
      <w:r w:rsidR="005B5306">
        <w:rPr>
          <w:rFonts w:ascii="Times New Roman" w:hAnsi="Times New Roman" w:cs="Times New Roman"/>
          <w:sz w:val="24"/>
          <w:szCs w:val="24"/>
        </w:rPr>
        <w:t>.</w:t>
      </w:r>
    </w:p>
    <w:p w14:paraId="18B0E9E4" w14:textId="77777777" w:rsidR="00DE67F0" w:rsidRPr="00DE67F0" w:rsidRDefault="00425DDE" w:rsidP="009E1457">
      <w:pPr>
        <w:jc w:val="both"/>
        <w:rPr>
          <w:rStyle w:val="Strong"/>
          <w:rFonts w:ascii="Times New Roman" w:hAnsi="Times New Roman" w:cs="Times New Roman"/>
          <w:sz w:val="24"/>
          <w:szCs w:val="24"/>
        </w:rPr>
      </w:pPr>
      <w:r>
        <w:rPr>
          <w:rStyle w:val="Strong"/>
          <w:rFonts w:ascii="Times New Roman" w:hAnsi="Times New Roman" w:cs="Times New Roman"/>
          <w:sz w:val="24"/>
          <w:szCs w:val="24"/>
        </w:rPr>
        <w:t>Clinical Trial N</w:t>
      </w:r>
      <w:r w:rsidR="00DE67F0" w:rsidRPr="00DE67F0">
        <w:rPr>
          <w:rStyle w:val="Strong"/>
          <w:rFonts w:ascii="Times New Roman" w:hAnsi="Times New Roman" w:cs="Times New Roman"/>
          <w:sz w:val="24"/>
          <w:szCs w:val="24"/>
        </w:rPr>
        <w:t xml:space="preserve">umber </w:t>
      </w:r>
    </w:p>
    <w:p w14:paraId="56098600" w14:textId="77777777" w:rsidR="005B5306" w:rsidRDefault="00425DDE" w:rsidP="009E1457">
      <w:pPr>
        <w:jc w:val="both"/>
        <w:rPr>
          <w:rFonts w:ascii="Times New Roman" w:hAnsi="Times New Roman" w:cs="Times New Roman"/>
          <w:sz w:val="24"/>
          <w:szCs w:val="24"/>
        </w:rPr>
      </w:pPr>
      <w:r>
        <w:rPr>
          <w:rFonts w:ascii="Segoe UI" w:hAnsi="Segoe UI" w:cs="Segoe UI"/>
          <w:color w:val="222222"/>
          <w:sz w:val="21"/>
          <w:szCs w:val="21"/>
          <w:shd w:val="clear" w:color="auto" w:fill="FFFFFF"/>
        </w:rPr>
        <w:t>Not applicable</w:t>
      </w:r>
    </w:p>
    <w:p w14:paraId="4666945A" w14:textId="77777777" w:rsidR="00DE67F0" w:rsidRPr="00DE67F0" w:rsidRDefault="00425DDE" w:rsidP="009E1457">
      <w:pPr>
        <w:jc w:val="both"/>
        <w:rPr>
          <w:rStyle w:val="Strong"/>
          <w:rFonts w:ascii="Times New Roman" w:hAnsi="Times New Roman" w:cs="Times New Roman"/>
          <w:sz w:val="24"/>
          <w:szCs w:val="24"/>
        </w:rPr>
      </w:pPr>
      <w:r>
        <w:rPr>
          <w:rStyle w:val="Strong"/>
          <w:rFonts w:ascii="Times New Roman" w:hAnsi="Times New Roman" w:cs="Times New Roman"/>
          <w:sz w:val="24"/>
          <w:szCs w:val="24"/>
        </w:rPr>
        <w:t>Ethics D</w:t>
      </w:r>
      <w:r w:rsidR="00DE67F0">
        <w:rPr>
          <w:rStyle w:val="Strong"/>
          <w:rFonts w:ascii="Times New Roman" w:hAnsi="Times New Roman" w:cs="Times New Roman"/>
          <w:sz w:val="24"/>
          <w:szCs w:val="24"/>
        </w:rPr>
        <w:t>eclaration</w:t>
      </w:r>
    </w:p>
    <w:p w14:paraId="68561F2E" w14:textId="77777777" w:rsidR="005B5306" w:rsidRDefault="00425DDE" w:rsidP="009E1457">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Not</w:t>
      </w:r>
      <w:r w:rsidR="00DE67F0">
        <w:rPr>
          <w:rFonts w:ascii="Segoe UI" w:hAnsi="Segoe UI" w:cs="Segoe UI"/>
          <w:color w:val="222222"/>
          <w:sz w:val="21"/>
          <w:szCs w:val="21"/>
          <w:shd w:val="clear" w:color="auto" w:fill="FFFFFF"/>
        </w:rPr>
        <w:t xml:space="preserve"> applicable</w:t>
      </w:r>
    </w:p>
    <w:p w14:paraId="4AF7036C" w14:textId="77777777" w:rsidR="00DE67F0" w:rsidRPr="00DE67F0" w:rsidRDefault="00DE67F0" w:rsidP="009E1457">
      <w:pPr>
        <w:jc w:val="both"/>
        <w:rPr>
          <w:rStyle w:val="Strong"/>
          <w:rFonts w:ascii="Times New Roman" w:hAnsi="Times New Roman" w:cs="Times New Roman"/>
          <w:sz w:val="24"/>
          <w:szCs w:val="24"/>
        </w:rPr>
      </w:pPr>
      <w:r w:rsidRPr="00DE67F0">
        <w:rPr>
          <w:rStyle w:val="Strong"/>
          <w:rFonts w:ascii="Times New Roman" w:hAnsi="Times New Roman" w:cs="Times New Roman"/>
          <w:sz w:val="24"/>
          <w:szCs w:val="24"/>
        </w:rPr>
        <w:t xml:space="preserve">Consent to </w:t>
      </w:r>
      <w:r w:rsidR="00282830">
        <w:rPr>
          <w:rStyle w:val="Strong"/>
          <w:rFonts w:ascii="Times New Roman" w:hAnsi="Times New Roman" w:cs="Times New Roman"/>
          <w:sz w:val="24"/>
          <w:szCs w:val="24"/>
        </w:rPr>
        <w:t>P</w:t>
      </w:r>
      <w:r w:rsidRPr="00DE67F0">
        <w:rPr>
          <w:rStyle w:val="Strong"/>
          <w:rFonts w:ascii="Times New Roman" w:hAnsi="Times New Roman" w:cs="Times New Roman"/>
          <w:sz w:val="24"/>
          <w:szCs w:val="24"/>
        </w:rPr>
        <w:t>ublish</w:t>
      </w:r>
      <w:r w:rsidR="00282830">
        <w:rPr>
          <w:rStyle w:val="Strong"/>
          <w:rFonts w:ascii="Times New Roman" w:hAnsi="Times New Roman" w:cs="Times New Roman"/>
          <w:sz w:val="24"/>
          <w:szCs w:val="24"/>
        </w:rPr>
        <w:t xml:space="preserve"> D</w:t>
      </w:r>
      <w:r w:rsidRPr="00DE67F0">
        <w:rPr>
          <w:rStyle w:val="Strong"/>
          <w:rFonts w:ascii="Times New Roman" w:hAnsi="Times New Roman" w:cs="Times New Roman"/>
          <w:sz w:val="24"/>
          <w:szCs w:val="24"/>
        </w:rPr>
        <w:t xml:space="preserve">eclaration: </w:t>
      </w:r>
    </w:p>
    <w:p w14:paraId="014B2CAA" w14:textId="77777777" w:rsidR="00DE67F0" w:rsidRPr="00DE67F0" w:rsidRDefault="00425DDE" w:rsidP="009E1457">
      <w:pPr>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Not</w:t>
      </w:r>
      <w:r w:rsidR="00DE67F0">
        <w:rPr>
          <w:rStyle w:val="Strong"/>
          <w:rFonts w:ascii="Times New Roman" w:hAnsi="Times New Roman" w:cs="Times New Roman"/>
          <w:b w:val="0"/>
          <w:sz w:val="24"/>
          <w:szCs w:val="24"/>
        </w:rPr>
        <w:t xml:space="preserve"> applicable</w:t>
      </w:r>
    </w:p>
    <w:p w14:paraId="3BFD34D9" w14:textId="77777777" w:rsidR="00DE67F0" w:rsidRDefault="00282830" w:rsidP="009E1457">
      <w:pPr>
        <w:jc w:val="both"/>
        <w:rPr>
          <w:rFonts w:ascii="Segoe UI" w:hAnsi="Segoe UI" w:cs="Segoe UI"/>
          <w:color w:val="222222"/>
          <w:sz w:val="21"/>
          <w:szCs w:val="21"/>
          <w:shd w:val="clear" w:color="auto" w:fill="FFFFFF"/>
        </w:rPr>
      </w:pPr>
      <w:r>
        <w:rPr>
          <w:rFonts w:ascii="Segoe UI" w:hAnsi="Segoe UI" w:cs="Segoe UI"/>
          <w:b/>
          <w:color w:val="222222"/>
          <w:sz w:val="21"/>
          <w:szCs w:val="21"/>
          <w:shd w:val="clear" w:color="auto" w:fill="FFFFFF"/>
        </w:rPr>
        <w:t>Consent to Participate D</w:t>
      </w:r>
      <w:r w:rsidR="00DE67F0" w:rsidRPr="00DE67F0">
        <w:rPr>
          <w:rFonts w:ascii="Segoe UI" w:hAnsi="Segoe UI" w:cs="Segoe UI"/>
          <w:b/>
          <w:color w:val="222222"/>
          <w:sz w:val="21"/>
          <w:szCs w:val="21"/>
          <w:shd w:val="clear" w:color="auto" w:fill="FFFFFF"/>
        </w:rPr>
        <w:t>eclaration</w:t>
      </w:r>
      <w:r w:rsidR="00DE67F0">
        <w:rPr>
          <w:rFonts w:ascii="Segoe UI" w:hAnsi="Segoe UI" w:cs="Segoe UI"/>
          <w:color w:val="222222"/>
          <w:sz w:val="21"/>
          <w:szCs w:val="21"/>
          <w:shd w:val="clear" w:color="auto" w:fill="FFFFFF"/>
        </w:rPr>
        <w:t xml:space="preserve">: </w:t>
      </w:r>
    </w:p>
    <w:p w14:paraId="7BE1406C" w14:textId="77777777" w:rsidR="00DE67F0" w:rsidRDefault="00425DDE" w:rsidP="009E1457">
      <w:pPr>
        <w:jc w:val="both"/>
        <w:rPr>
          <w:rFonts w:ascii="Times New Roman" w:hAnsi="Times New Roman" w:cs="Times New Roman"/>
          <w:sz w:val="24"/>
          <w:szCs w:val="24"/>
        </w:rPr>
      </w:pPr>
      <w:r>
        <w:rPr>
          <w:rFonts w:ascii="Segoe UI" w:hAnsi="Segoe UI" w:cs="Segoe UI"/>
          <w:color w:val="222222"/>
          <w:sz w:val="21"/>
          <w:szCs w:val="21"/>
          <w:shd w:val="clear" w:color="auto" w:fill="FFFFFF"/>
        </w:rPr>
        <w:t>Not applicable</w:t>
      </w:r>
    </w:p>
    <w:p w14:paraId="0B716181" w14:textId="594D6E36" w:rsidR="005B5306" w:rsidRDefault="005B5306" w:rsidP="009E1457">
      <w:pPr>
        <w:jc w:val="both"/>
        <w:rPr>
          <w:rFonts w:ascii="Times New Roman" w:hAnsi="Times New Roman" w:cs="Times New Roman"/>
          <w:sz w:val="24"/>
          <w:szCs w:val="24"/>
        </w:rPr>
      </w:pPr>
    </w:p>
    <w:p w14:paraId="0A89FD30" w14:textId="6AC2DFAB" w:rsidR="00861308" w:rsidRDefault="00861308" w:rsidP="009E1457">
      <w:pPr>
        <w:jc w:val="both"/>
        <w:rPr>
          <w:rFonts w:ascii="Times New Roman" w:hAnsi="Times New Roman" w:cs="Times New Roman"/>
          <w:sz w:val="24"/>
          <w:szCs w:val="24"/>
        </w:rPr>
      </w:pPr>
    </w:p>
    <w:p w14:paraId="510B9D07" w14:textId="459403B0" w:rsidR="00861308" w:rsidRDefault="00861308" w:rsidP="009E1457">
      <w:pPr>
        <w:jc w:val="both"/>
        <w:rPr>
          <w:rFonts w:ascii="Times New Roman" w:hAnsi="Times New Roman" w:cs="Times New Roman"/>
          <w:sz w:val="24"/>
          <w:szCs w:val="24"/>
        </w:rPr>
      </w:pPr>
    </w:p>
    <w:p w14:paraId="5A5E513A" w14:textId="77777777" w:rsidR="00861308" w:rsidRDefault="00861308" w:rsidP="009E1457">
      <w:pPr>
        <w:jc w:val="both"/>
        <w:rPr>
          <w:rFonts w:ascii="Times New Roman" w:hAnsi="Times New Roman" w:cs="Times New Roman"/>
          <w:sz w:val="24"/>
          <w:szCs w:val="24"/>
        </w:rPr>
      </w:pPr>
    </w:p>
    <w:p w14:paraId="17B6457E" w14:textId="77777777" w:rsidR="005B5306" w:rsidRDefault="005B5306" w:rsidP="009E1457">
      <w:pPr>
        <w:jc w:val="both"/>
        <w:rPr>
          <w:rFonts w:ascii="Times New Roman" w:hAnsi="Times New Roman" w:cs="Times New Roman"/>
          <w:sz w:val="24"/>
          <w:szCs w:val="24"/>
        </w:rPr>
      </w:pPr>
    </w:p>
    <w:p w14:paraId="4694AC05" w14:textId="77777777" w:rsidR="00D44D2C" w:rsidRPr="009E1457" w:rsidRDefault="00D44D2C" w:rsidP="009E1457">
      <w:pPr>
        <w:pStyle w:val="Heading3"/>
        <w:spacing w:before="0" w:after="0" w:line="240" w:lineRule="auto"/>
        <w:rPr>
          <w:rFonts w:cs="Times New Roman"/>
        </w:rPr>
      </w:pPr>
      <w:r w:rsidRPr="009E1457">
        <w:rPr>
          <w:rStyle w:val="Strong"/>
          <w:rFonts w:cs="Times New Roman"/>
          <w:b/>
          <w:bCs w:val="0"/>
        </w:rPr>
        <w:lastRenderedPageBreak/>
        <w:t>References</w:t>
      </w:r>
    </w:p>
    <w:p w14:paraId="55C74D86" w14:textId="77777777" w:rsidR="00861308" w:rsidRPr="00861308" w:rsidRDefault="00861308" w:rsidP="00BA63EB">
      <w:pPr>
        <w:pStyle w:val="NormalWeb"/>
        <w:numPr>
          <w:ilvl w:val="0"/>
          <w:numId w:val="43"/>
        </w:numPr>
        <w:spacing w:before="0" w:beforeAutospacing="0" w:after="0" w:afterAutospacing="0"/>
        <w:jc w:val="both"/>
      </w:pPr>
      <w:r w:rsidRPr="00861308">
        <w:rPr>
          <w:rStyle w:val="Strong"/>
          <w:rFonts w:eastAsiaTheme="majorEastAsia"/>
          <w:b w:val="0"/>
        </w:rPr>
        <w:t>Altieri, M. A., &amp; Nicholls, C. I. (2017).</w:t>
      </w:r>
      <w:r w:rsidRPr="00861308">
        <w:t xml:space="preserve"> </w:t>
      </w:r>
      <w:r w:rsidRPr="00861308">
        <w:rPr>
          <w:rStyle w:val="Emphasis"/>
        </w:rPr>
        <w:t>Agroecology: A transdisciplinary, participatory and action-oriented approach</w:t>
      </w:r>
      <w:r w:rsidRPr="00861308">
        <w:t>. Springer. https://doi.org/10.1007/978-3-319-69299-2</w:t>
      </w:r>
    </w:p>
    <w:p w14:paraId="59F5F228" w14:textId="77777777" w:rsidR="00861308" w:rsidRPr="00861308" w:rsidRDefault="00861308" w:rsidP="00BA63EB">
      <w:pPr>
        <w:pStyle w:val="NormalWeb"/>
        <w:numPr>
          <w:ilvl w:val="0"/>
          <w:numId w:val="43"/>
        </w:numPr>
        <w:spacing w:before="0" w:beforeAutospacing="0" w:after="0" w:afterAutospacing="0"/>
        <w:jc w:val="both"/>
      </w:pPr>
      <w:r w:rsidRPr="00861308">
        <w:t xml:space="preserve">Altieri, M. A., Nicholls, C. I., </w:t>
      </w:r>
      <w:proofErr w:type="spellStart"/>
      <w:r w:rsidRPr="00861308">
        <w:t>Henao</w:t>
      </w:r>
      <w:proofErr w:type="spellEnd"/>
      <w:r w:rsidRPr="00861308">
        <w:t xml:space="preserve">, A., &amp; Lana, M. A. (2015). Agroecology and the design of climate change-resilient farming systems. </w:t>
      </w:r>
      <w:r w:rsidRPr="00861308">
        <w:rPr>
          <w:rStyle w:val="Emphasis"/>
          <w:rFonts w:eastAsiaTheme="majorEastAsia"/>
        </w:rPr>
        <w:t>Agronomy for Sustainable Development, 35</w:t>
      </w:r>
      <w:r w:rsidRPr="00861308">
        <w:t>(3), 869–890. https://doi.org/10.1007/s13593-015-0285-2</w:t>
      </w:r>
    </w:p>
    <w:p w14:paraId="4B57D8A0" w14:textId="77777777" w:rsidR="00861308" w:rsidRPr="00861308" w:rsidRDefault="00861308" w:rsidP="00BA63EB">
      <w:pPr>
        <w:pStyle w:val="NormalWeb"/>
        <w:numPr>
          <w:ilvl w:val="0"/>
          <w:numId w:val="43"/>
        </w:numPr>
        <w:spacing w:before="0" w:beforeAutospacing="0" w:after="0" w:afterAutospacing="0"/>
        <w:jc w:val="both"/>
      </w:pPr>
      <w:r w:rsidRPr="00861308">
        <w:rPr>
          <w:rStyle w:val="Strong"/>
          <w:rFonts w:eastAsiaTheme="majorEastAsia"/>
          <w:b w:val="0"/>
        </w:rPr>
        <w:t>AUDA-NEPAD.</w:t>
      </w:r>
      <w:r w:rsidRPr="00861308">
        <w:t xml:space="preserve"> (2020). </w:t>
      </w:r>
      <w:r w:rsidRPr="00861308">
        <w:rPr>
          <w:rStyle w:val="Emphasis"/>
        </w:rPr>
        <w:t>Integrate biotechnology into Africa’s agricultural development</w:t>
      </w:r>
      <w:r w:rsidRPr="00861308">
        <w:t>. African Union Development Agency. https://auda-nepad.org/news/integrate-biotechnology-africas-agricultural-development</w:t>
      </w:r>
    </w:p>
    <w:p w14:paraId="041E41C7" w14:textId="77777777" w:rsidR="00861308" w:rsidRPr="00861308" w:rsidRDefault="00861308" w:rsidP="00BA63EB">
      <w:pPr>
        <w:pStyle w:val="NormalWeb"/>
        <w:numPr>
          <w:ilvl w:val="0"/>
          <w:numId w:val="43"/>
        </w:numPr>
        <w:spacing w:before="0" w:beforeAutospacing="0" w:after="0" w:afterAutospacing="0"/>
        <w:jc w:val="both"/>
      </w:pPr>
      <w:r w:rsidRPr="00861308">
        <w:t xml:space="preserve">Bacchi, C. (2009). </w:t>
      </w:r>
      <w:proofErr w:type="spellStart"/>
      <w:r w:rsidRPr="00861308">
        <w:rPr>
          <w:rStyle w:val="Emphasis"/>
          <w:rFonts w:eastAsiaTheme="majorEastAsia"/>
        </w:rPr>
        <w:t>Analysing</w:t>
      </w:r>
      <w:proofErr w:type="spellEnd"/>
      <w:r w:rsidRPr="00861308">
        <w:rPr>
          <w:rStyle w:val="Emphasis"/>
          <w:rFonts w:eastAsiaTheme="majorEastAsia"/>
        </w:rPr>
        <w:t xml:space="preserve"> policy: What’s the problem represented to be?</w:t>
      </w:r>
      <w:r w:rsidRPr="00861308">
        <w:t xml:space="preserve"> Pearson Education.</w:t>
      </w:r>
    </w:p>
    <w:p w14:paraId="17CE25FE" w14:textId="77777777" w:rsidR="00861308" w:rsidRPr="00BA63EB" w:rsidRDefault="00861308" w:rsidP="00BA63EB">
      <w:pPr>
        <w:pStyle w:val="ListParagraph"/>
        <w:numPr>
          <w:ilvl w:val="0"/>
          <w:numId w:val="43"/>
        </w:numPr>
        <w:spacing w:after="0" w:line="240" w:lineRule="auto"/>
        <w:jc w:val="both"/>
        <w:rPr>
          <w:rFonts w:ascii="Times New Roman" w:eastAsia="Times New Roman" w:hAnsi="Times New Roman" w:cs="Times New Roman"/>
          <w:sz w:val="24"/>
          <w:szCs w:val="24"/>
        </w:rPr>
      </w:pPr>
      <w:r w:rsidRPr="00BA63EB">
        <w:rPr>
          <w:rFonts w:ascii="Times New Roman" w:eastAsia="Times New Roman" w:hAnsi="Times New Roman" w:cs="Times New Roman"/>
          <w:sz w:val="24"/>
          <w:szCs w:val="24"/>
        </w:rPr>
        <w:t xml:space="preserve">Bail, C., Falkner, R., &amp; </w:t>
      </w:r>
      <w:proofErr w:type="spellStart"/>
      <w:r w:rsidRPr="00BA63EB">
        <w:rPr>
          <w:rFonts w:ascii="Times New Roman" w:eastAsia="Times New Roman" w:hAnsi="Times New Roman" w:cs="Times New Roman"/>
          <w:sz w:val="24"/>
          <w:szCs w:val="24"/>
        </w:rPr>
        <w:t>Marquard</w:t>
      </w:r>
      <w:proofErr w:type="spellEnd"/>
      <w:r w:rsidRPr="00BA63EB">
        <w:rPr>
          <w:rFonts w:ascii="Times New Roman" w:eastAsia="Times New Roman" w:hAnsi="Times New Roman" w:cs="Times New Roman"/>
          <w:sz w:val="24"/>
          <w:szCs w:val="24"/>
        </w:rPr>
        <w:t xml:space="preserve">, H. (Eds.). (2002). </w:t>
      </w:r>
      <w:r w:rsidRPr="00BA63EB">
        <w:rPr>
          <w:rFonts w:ascii="Times New Roman" w:eastAsia="Times New Roman" w:hAnsi="Times New Roman" w:cs="Times New Roman"/>
          <w:i/>
          <w:iCs/>
          <w:sz w:val="24"/>
          <w:szCs w:val="24"/>
        </w:rPr>
        <w:t>The Cartagena Protocol on Biosafety: Reconciling trade in biotechnology with environment and development</w:t>
      </w:r>
      <w:r w:rsidRPr="00BA63EB">
        <w:rPr>
          <w:rFonts w:ascii="Times New Roman" w:eastAsia="Times New Roman" w:hAnsi="Times New Roman" w:cs="Times New Roman"/>
          <w:sz w:val="24"/>
          <w:szCs w:val="24"/>
        </w:rPr>
        <w:t>. Earthscan.</w:t>
      </w:r>
    </w:p>
    <w:p w14:paraId="5A944BAD" w14:textId="77777777" w:rsidR="00861308" w:rsidRPr="00861308" w:rsidRDefault="00861308" w:rsidP="00BA63EB">
      <w:pPr>
        <w:pStyle w:val="NormalWeb"/>
        <w:numPr>
          <w:ilvl w:val="0"/>
          <w:numId w:val="43"/>
        </w:numPr>
        <w:spacing w:before="0" w:beforeAutospacing="0" w:after="0" w:afterAutospacing="0"/>
        <w:jc w:val="both"/>
      </w:pPr>
      <w:r w:rsidRPr="00861308">
        <w:t xml:space="preserve">Beaumont, P., &amp; de Coning, C. (2022). Coping with complexity: Toward epistemological pluralism in climate–conflict scholarship. </w:t>
      </w:r>
      <w:r w:rsidRPr="00861308">
        <w:rPr>
          <w:rStyle w:val="Emphasis"/>
          <w:rFonts w:eastAsiaTheme="majorEastAsia"/>
        </w:rPr>
        <w:t>International Studies Review, 24</w:t>
      </w:r>
      <w:r w:rsidRPr="00861308">
        <w:t>(4), viac055. https://doi.org/10.1093/isr/viac055</w:t>
      </w:r>
    </w:p>
    <w:p w14:paraId="062813DA"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t>Bezner</w:t>
      </w:r>
      <w:proofErr w:type="spellEnd"/>
      <w:r w:rsidRPr="00861308">
        <w:t xml:space="preserve"> Kerr, R., &amp; Wynberg, R. (2024). Fields of contestation and contamination: Maize seeds, agroecology and the (de)coloniality of agriculture in Malawi and South Africa. </w:t>
      </w:r>
      <w:r w:rsidRPr="00861308">
        <w:rPr>
          <w:rStyle w:val="Emphasis"/>
          <w:rFonts w:eastAsiaTheme="majorEastAsia"/>
        </w:rPr>
        <w:t>Elementa: Science of the Anthropocene, 12</w:t>
      </w:r>
      <w:r w:rsidRPr="00861308">
        <w:t>(1), 00051. https://doi.org/10.1525/elementa.2023.00051</w:t>
      </w:r>
    </w:p>
    <w:p w14:paraId="4A8E4A2B" w14:textId="77777777" w:rsidR="00861308" w:rsidRPr="00861308" w:rsidRDefault="00861308" w:rsidP="00BA63EB">
      <w:pPr>
        <w:pStyle w:val="NormalWeb"/>
        <w:numPr>
          <w:ilvl w:val="0"/>
          <w:numId w:val="43"/>
        </w:numPr>
        <w:spacing w:before="0" w:beforeAutospacing="0" w:after="0" w:afterAutospacing="0"/>
        <w:jc w:val="both"/>
      </w:pPr>
      <w:r w:rsidRPr="00861308">
        <w:t xml:space="preserve">Boogaard, B. K. (2019). Epistemic injustice in agricultural development: Critical reflections on a livestock project in Mozambique. </w:t>
      </w:r>
      <w:r w:rsidRPr="00861308">
        <w:rPr>
          <w:rStyle w:val="Emphasis"/>
          <w:rFonts w:eastAsiaTheme="majorEastAsia"/>
        </w:rPr>
        <w:t>Knowledge Management for Development Journal, 15</w:t>
      </w:r>
      <w:r w:rsidRPr="00861308">
        <w:t>(2), 1–16. https://km4djournal.org/index.php/km4dj/article/download/475/630</w:t>
      </w:r>
    </w:p>
    <w:p w14:paraId="4FC02165" w14:textId="77777777" w:rsidR="00861308" w:rsidRPr="00861308" w:rsidRDefault="00861308" w:rsidP="00BA63EB">
      <w:pPr>
        <w:pStyle w:val="NormalWeb"/>
        <w:numPr>
          <w:ilvl w:val="0"/>
          <w:numId w:val="43"/>
        </w:numPr>
        <w:spacing w:before="0" w:beforeAutospacing="0" w:after="0" w:afterAutospacing="0"/>
        <w:jc w:val="both"/>
      </w:pPr>
      <w:r w:rsidRPr="00861308">
        <w:rPr>
          <w:rStyle w:val="Strong"/>
          <w:rFonts w:eastAsiaTheme="majorEastAsia"/>
          <w:b w:val="0"/>
        </w:rPr>
        <w:t xml:space="preserve">Breakthrough Institute, Alliance for Science, AATF, ISAAA </w:t>
      </w:r>
      <w:proofErr w:type="spellStart"/>
      <w:r w:rsidRPr="00861308">
        <w:rPr>
          <w:rStyle w:val="Strong"/>
          <w:rFonts w:eastAsiaTheme="majorEastAsia"/>
          <w:b w:val="0"/>
        </w:rPr>
        <w:t>AfriCentre</w:t>
      </w:r>
      <w:proofErr w:type="spellEnd"/>
      <w:r w:rsidRPr="00861308">
        <w:rPr>
          <w:rStyle w:val="Strong"/>
          <w:rFonts w:eastAsiaTheme="majorEastAsia"/>
          <w:b w:val="0"/>
        </w:rPr>
        <w:t>, &amp; CIP. (2024).</w:t>
      </w:r>
      <w:r w:rsidRPr="00861308">
        <w:t xml:space="preserve"> Genetically modified crops in Kenya: The cost of delay. </w:t>
      </w:r>
      <w:r w:rsidRPr="00861308">
        <w:rPr>
          <w:rStyle w:val="Emphasis"/>
        </w:rPr>
        <w:t>The Breakthrough Institute</w:t>
      </w:r>
      <w:r w:rsidRPr="00861308">
        <w:t>. https://thebreakthrough.org</w:t>
      </w:r>
    </w:p>
    <w:p w14:paraId="18CE0E5D" w14:textId="77777777" w:rsidR="00861308" w:rsidRPr="00861308" w:rsidRDefault="00861308" w:rsidP="00BA63EB">
      <w:pPr>
        <w:pStyle w:val="NormalWeb"/>
        <w:numPr>
          <w:ilvl w:val="0"/>
          <w:numId w:val="43"/>
        </w:numPr>
        <w:spacing w:before="0" w:beforeAutospacing="0" w:after="0" w:afterAutospacing="0"/>
        <w:jc w:val="both"/>
      </w:pPr>
      <w:r w:rsidRPr="00861308">
        <w:t xml:space="preserve">CABI. (2016). </w:t>
      </w:r>
      <w:r w:rsidRPr="00861308">
        <w:rPr>
          <w:rStyle w:val="Emphasis"/>
          <w:rFonts w:eastAsiaTheme="majorEastAsia"/>
        </w:rPr>
        <w:t>Community-based governance: Hot topics in natural resource management</w:t>
      </w:r>
      <w:r w:rsidRPr="00861308">
        <w:t>. https://www.cabi.org/wp-content/uploads/PDFs/Publishing/Hot-Topics-Community-Based-Governance.pdf</w:t>
      </w:r>
    </w:p>
    <w:p w14:paraId="3409C420" w14:textId="77777777" w:rsidR="00861308" w:rsidRPr="00861308" w:rsidRDefault="00861308" w:rsidP="00BA63EB">
      <w:pPr>
        <w:pStyle w:val="NormalWeb"/>
        <w:numPr>
          <w:ilvl w:val="0"/>
          <w:numId w:val="43"/>
        </w:numPr>
        <w:spacing w:before="0" w:beforeAutospacing="0" w:after="0" w:afterAutospacing="0"/>
        <w:jc w:val="both"/>
      </w:pPr>
      <w:r w:rsidRPr="00861308">
        <w:t xml:space="preserve">Cairney, P. (2019, October 8). Policy analysis in 750 words: Carol Bacchi’s (2009) WPR approach. </w:t>
      </w:r>
      <w:r w:rsidRPr="00861308">
        <w:rPr>
          <w:rStyle w:val="Emphasis"/>
          <w:rFonts w:eastAsiaTheme="majorEastAsia"/>
        </w:rPr>
        <w:t>Paul Cairney: Politics &amp; Public Policy</w:t>
      </w:r>
      <w:r w:rsidRPr="00861308">
        <w:t>. https://paulcairney.wordpress.com/2019/10/08/policy-analysis-in-750-words-carol-bacchis-2009-wpr-approach/</w:t>
      </w:r>
    </w:p>
    <w:p w14:paraId="75B5DE42"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t>Chepchirchir</w:t>
      </w:r>
      <w:proofErr w:type="spellEnd"/>
      <w:r w:rsidRPr="00861308">
        <w:t xml:space="preserve">, S., &amp; </w:t>
      </w:r>
      <w:proofErr w:type="spellStart"/>
      <w:r w:rsidRPr="00861308">
        <w:t>Kwanya</w:t>
      </w:r>
      <w:proofErr w:type="spellEnd"/>
      <w:r w:rsidRPr="00861308">
        <w:t xml:space="preserve">, T. (2023). Mainstreaming digital platforms in curating indigenous knowledge for sustainable development in Kenya. In T. </w:t>
      </w:r>
      <w:proofErr w:type="spellStart"/>
      <w:r w:rsidRPr="00861308">
        <w:t>Kwanya</w:t>
      </w:r>
      <w:proofErr w:type="spellEnd"/>
      <w:r w:rsidRPr="00861308">
        <w:t xml:space="preserve"> &amp; P. </w:t>
      </w:r>
      <w:proofErr w:type="spellStart"/>
      <w:r w:rsidRPr="00861308">
        <w:t>Matu</w:t>
      </w:r>
      <w:proofErr w:type="spellEnd"/>
      <w:r w:rsidRPr="00861308">
        <w:t xml:space="preserve"> (Eds.), </w:t>
      </w:r>
      <w:r w:rsidRPr="00861308">
        <w:rPr>
          <w:rStyle w:val="Emphasis"/>
          <w:rFonts w:eastAsiaTheme="majorEastAsia"/>
        </w:rPr>
        <w:t>Indigenous Knowledge and Sustainable Development</w:t>
      </w:r>
      <w:r w:rsidRPr="00861308">
        <w:t xml:space="preserve"> (pp. 396–410). The Technical University of Kenya.</w:t>
      </w:r>
    </w:p>
    <w:p w14:paraId="5D1C73A0"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t>Chilisa</w:t>
      </w:r>
      <w:proofErr w:type="spellEnd"/>
      <w:r w:rsidRPr="00861308">
        <w:t xml:space="preserve">, B. (2012). </w:t>
      </w:r>
      <w:r w:rsidRPr="00861308">
        <w:rPr>
          <w:rStyle w:val="Emphasis"/>
          <w:rFonts w:eastAsiaTheme="majorEastAsia"/>
        </w:rPr>
        <w:t>Indigenous research methodologies</w:t>
      </w:r>
      <w:r w:rsidRPr="00861308">
        <w:t>. SAGE Publications.</w:t>
      </w:r>
    </w:p>
    <w:p w14:paraId="278C9F76"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t>Chiwura</w:t>
      </w:r>
      <w:proofErr w:type="spellEnd"/>
      <w:r w:rsidRPr="00861308">
        <w:t xml:space="preserve">, H. (2003). </w:t>
      </w:r>
      <w:r w:rsidRPr="00861308">
        <w:rPr>
          <w:rStyle w:val="Emphasis"/>
          <w:rFonts w:eastAsiaTheme="majorEastAsia"/>
        </w:rPr>
        <w:t xml:space="preserve">Community involvement in management of the cultural heritage: A case study of </w:t>
      </w:r>
      <w:proofErr w:type="spellStart"/>
      <w:r w:rsidRPr="00861308">
        <w:rPr>
          <w:rStyle w:val="Emphasis"/>
          <w:rFonts w:eastAsiaTheme="majorEastAsia"/>
        </w:rPr>
        <w:t>Gede</w:t>
      </w:r>
      <w:proofErr w:type="spellEnd"/>
      <w:r w:rsidRPr="00861308">
        <w:rPr>
          <w:rStyle w:val="Emphasis"/>
          <w:rFonts w:eastAsiaTheme="majorEastAsia"/>
        </w:rPr>
        <w:t xml:space="preserve"> Heritage Site in Kenya</w:t>
      </w:r>
      <w:r w:rsidRPr="00861308">
        <w:t xml:space="preserve"> [Master’s thesis, University of Nairobi]. University of Nairobi Repository. https://erepository.uonbi.ac.ke/handle/11295/20992</w:t>
      </w:r>
    </w:p>
    <w:p w14:paraId="58CE3FA4" w14:textId="77777777" w:rsidR="00861308" w:rsidRPr="00861308" w:rsidRDefault="00861308" w:rsidP="00BA63EB">
      <w:pPr>
        <w:pStyle w:val="Heading4"/>
        <w:numPr>
          <w:ilvl w:val="0"/>
          <w:numId w:val="43"/>
        </w:numPr>
        <w:spacing w:before="0" w:line="240" w:lineRule="auto"/>
        <w:jc w:val="both"/>
        <w:rPr>
          <w:rFonts w:ascii="Times New Roman" w:hAnsi="Times New Roman" w:cs="Times New Roman"/>
          <w:color w:val="auto"/>
          <w:sz w:val="24"/>
          <w:szCs w:val="24"/>
        </w:rPr>
      </w:pPr>
      <w:r w:rsidRPr="00861308">
        <w:rPr>
          <w:rFonts w:ascii="Times New Roman" w:hAnsi="Times New Roman" w:cs="Times New Roman"/>
          <w:i w:val="0"/>
          <w:color w:val="auto"/>
          <w:sz w:val="24"/>
          <w:szCs w:val="24"/>
        </w:rPr>
        <w:lastRenderedPageBreak/>
        <w:t>Clark, N., Mugabe, J., &amp; Smith, J. (2003</w:t>
      </w:r>
      <w:r w:rsidRPr="00861308">
        <w:rPr>
          <w:rFonts w:ascii="Times New Roman" w:hAnsi="Times New Roman" w:cs="Times New Roman"/>
          <w:color w:val="auto"/>
          <w:sz w:val="24"/>
          <w:szCs w:val="24"/>
        </w:rPr>
        <w:t xml:space="preserve">). </w:t>
      </w:r>
      <w:r w:rsidRPr="00861308">
        <w:rPr>
          <w:rStyle w:val="Emphasis"/>
          <w:rFonts w:ascii="Times New Roman" w:hAnsi="Times New Roman" w:cs="Times New Roman"/>
          <w:color w:val="auto"/>
          <w:sz w:val="24"/>
          <w:szCs w:val="24"/>
        </w:rPr>
        <w:t>Governing agricultural biotechnology in Africa: Building public confidence and capacity for policy-making</w:t>
      </w:r>
      <w:r w:rsidRPr="00861308">
        <w:rPr>
          <w:rFonts w:ascii="Times New Roman" w:hAnsi="Times New Roman" w:cs="Times New Roman"/>
          <w:color w:val="auto"/>
          <w:sz w:val="24"/>
          <w:szCs w:val="24"/>
        </w:rPr>
        <w:t>. African Centre for Technology Studies. https://www.acts-net.org/publications/governing-agricultural-biotechnology-in-africa</w:t>
      </w:r>
    </w:p>
    <w:p w14:paraId="7B6C653E" w14:textId="77777777" w:rsidR="00861308" w:rsidRPr="00BA63EB" w:rsidRDefault="00861308" w:rsidP="00BA63EB">
      <w:pPr>
        <w:pStyle w:val="ListParagraph"/>
        <w:numPr>
          <w:ilvl w:val="0"/>
          <w:numId w:val="43"/>
        </w:numPr>
        <w:spacing w:after="0" w:line="240" w:lineRule="auto"/>
        <w:jc w:val="both"/>
        <w:rPr>
          <w:rFonts w:ascii="Times New Roman" w:eastAsia="Times New Roman" w:hAnsi="Times New Roman" w:cs="Times New Roman"/>
          <w:sz w:val="24"/>
          <w:szCs w:val="24"/>
        </w:rPr>
      </w:pPr>
      <w:r w:rsidRPr="00BA63EB">
        <w:rPr>
          <w:rFonts w:ascii="Times New Roman" w:eastAsia="Times New Roman" w:hAnsi="Times New Roman" w:cs="Times New Roman"/>
          <w:sz w:val="24"/>
          <w:szCs w:val="24"/>
        </w:rPr>
        <w:t xml:space="preserve">Dei, G. J. S. (2000). Rethinking the role of indigenous knowledges in the academy. </w:t>
      </w:r>
      <w:r w:rsidRPr="00BA63EB">
        <w:rPr>
          <w:rFonts w:ascii="Times New Roman" w:eastAsia="Times New Roman" w:hAnsi="Times New Roman" w:cs="Times New Roman"/>
          <w:i/>
          <w:iCs/>
          <w:sz w:val="24"/>
          <w:szCs w:val="24"/>
        </w:rPr>
        <w:t>International Journal of Inclusive Education, 4</w:t>
      </w:r>
      <w:r w:rsidRPr="00BA63EB">
        <w:rPr>
          <w:rFonts w:ascii="Times New Roman" w:eastAsia="Times New Roman" w:hAnsi="Times New Roman" w:cs="Times New Roman"/>
          <w:sz w:val="24"/>
          <w:szCs w:val="24"/>
        </w:rPr>
        <w:t>(2), 111–132. https://doi.org/10.1080/136031100284849</w:t>
      </w:r>
    </w:p>
    <w:p w14:paraId="08750698"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t>Dyantyi</w:t>
      </w:r>
      <w:proofErr w:type="spellEnd"/>
      <w:r w:rsidRPr="00861308">
        <w:t xml:space="preserve">, S. (2024). Epistemicide in Africa: A critical examination of colonial legacies and pathways to </w:t>
      </w:r>
      <w:proofErr w:type="spellStart"/>
      <w:r w:rsidRPr="00861308">
        <w:t>decolonisation</w:t>
      </w:r>
      <w:proofErr w:type="spellEnd"/>
      <w:r w:rsidRPr="00861308">
        <w:t xml:space="preserve">. </w:t>
      </w:r>
      <w:r w:rsidRPr="00861308">
        <w:rPr>
          <w:rStyle w:val="Emphasis"/>
          <w:rFonts w:eastAsiaTheme="majorEastAsia"/>
        </w:rPr>
        <w:t>Academia.edu</w:t>
      </w:r>
      <w:r w:rsidRPr="00861308">
        <w:t>. https://www.academia.edu/120445108</w:t>
      </w:r>
    </w:p>
    <w:p w14:paraId="0C8AAD7E" w14:textId="77777777" w:rsidR="00861308" w:rsidRPr="002A59AF" w:rsidRDefault="00861308" w:rsidP="00BA63EB">
      <w:pPr>
        <w:pStyle w:val="NormalWeb"/>
        <w:numPr>
          <w:ilvl w:val="0"/>
          <w:numId w:val="43"/>
        </w:numPr>
        <w:spacing w:before="0" w:beforeAutospacing="0" w:after="0" w:afterAutospacing="0"/>
        <w:jc w:val="both"/>
        <w:rPr>
          <w:highlight w:val="yellow"/>
        </w:rPr>
      </w:pPr>
      <w:r w:rsidRPr="002A59AF">
        <w:rPr>
          <w:rStyle w:val="Strong"/>
          <w:rFonts w:eastAsiaTheme="majorEastAsia"/>
          <w:b w:val="0"/>
          <w:highlight w:val="yellow"/>
        </w:rPr>
        <w:t>European Commission.</w:t>
      </w:r>
      <w:r w:rsidRPr="002A59AF">
        <w:rPr>
          <w:highlight w:val="yellow"/>
        </w:rPr>
        <w:t xml:space="preserve"> (2018). </w:t>
      </w:r>
      <w:r w:rsidRPr="002A59AF">
        <w:rPr>
          <w:rStyle w:val="Emphasis"/>
          <w:highlight w:val="yellow"/>
        </w:rPr>
        <w:t>Ethics and biotechnology: EU policy frameworks and public engagement</w:t>
      </w:r>
      <w:r w:rsidRPr="002A59AF">
        <w:rPr>
          <w:highlight w:val="yellow"/>
        </w:rPr>
        <w:t>. Publications Office of the European Union. https://research-and-innovation.ec.europa.eu</w:t>
      </w:r>
    </w:p>
    <w:p w14:paraId="3F2E7E0F" w14:textId="77777777" w:rsidR="00861308" w:rsidRPr="00BA63EB" w:rsidRDefault="00861308" w:rsidP="00BA63EB">
      <w:pPr>
        <w:pStyle w:val="ListParagraph"/>
        <w:numPr>
          <w:ilvl w:val="0"/>
          <w:numId w:val="43"/>
        </w:numPr>
        <w:spacing w:after="0" w:line="240" w:lineRule="auto"/>
        <w:jc w:val="both"/>
        <w:rPr>
          <w:rFonts w:ascii="Times New Roman" w:eastAsia="Times New Roman" w:hAnsi="Times New Roman" w:cs="Times New Roman"/>
          <w:sz w:val="24"/>
          <w:szCs w:val="24"/>
        </w:rPr>
      </w:pPr>
      <w:r w:rsidRPr="00BA63EB">
        <w:rPr>
          <w:rFonts w:ascii="Times New Roman" w:eastAsia="Times New Roman" w:hAnsi="Times New Roman" w:cs="Times New Roman"/>
          <w:sz w:val="24"/>
          <w:szCs w:val="24"/>
        </w:rPr>
        <w:t xml:space="preserve">FAO, WHO, &amp; WTO. (2021). </w:t>
      </w:r>
      <w:r w:rsidRPr="00BA63EB">
        <w:rPr>
          <w:rFonts w:ascii="Times New Roman" w:eastAsia="Times New Roman" w:hAnsi="Times New Roman" w:cs="Times New Roman"/>
          <w:i/>
          <w:iCs/>
          <w:sz w:val="24"/>
          <w:szCs w:val="24"/>
        </w:rPr>
        <w:t>Science and innovation for food systems transformation</w:t>
      </w:r>
      <w:r w:rsidRPr="00BA63EB">
        <w:rPr>
          <w:rFonts w:ascii="Times New Roman" w:eastAsia="Times New Roman" w:hAnsi="Times New Roman" w:cs="Times New Roman"/>
          <w:sz w:val="24"/>
          <w:szCs w:val="24"/>
        </w:rPr>
        <w:t>. Food and Agriculture Organization of the United Nations. https://www.fao.org/documents/card/en/c/cb8051en</w:t>
      </w:r>
    </w:p>
    <w:p w14:paraId="75A6E3A2" w14:textId="77777777" w:rsidR="00861308" w:rsidRPr="00BA63EB" w:rsidRDefault="00861308" w:rsidP="00BA63EB">
      <w:pPr>
        <w:pStyle w:val="ListParagraph"/>
        <w:numPr>
          <w:ilvl w:val="0"/>
          <w:numId w:val="43"/>
        </w:numPr>
        <w:spacing w:after="0" w:line="240" w:lineRule="auto"/>
        <w:jc w:val="both"/>
        <w:rPr>
          <w:rFonts w:ascii="Times New Roman" w:eastAsia="Times New Roman" w:hAnsi="Times New Roman" w:cs="Times New Roman"/>
          <w:sz w:val="24"/>
          <w:szCs w:val="24"/>
        </w:rPr>
      </w:pPr>
      <w:r w:rsidRPr="00BA63EB">
        <w:rPr>
          <w:rFonts w:ascii="Times New Roman" w:eastAsia="Times New Roman" w:hAnsi="Times New Roman" w:cs="Times New Roman"/>
          <w:sz w:val="24"/>
          <w:szCs w:val="24"/>
        </w:rPr>
        <w:t xml:space="preserve">Food and Agriculture Organization, World Health Organization, &amp; World Trade Organization. (2021). </w:t>
      </w:r>
      <w:r w:rsidRPr="00BA63EB">
        <w:rPr>
          <w:rFonts w:ascii="Times New Roman" w:eastAsia="Times New Roman" w:hAnsi="Times New Roman" w:cs="Times New Roman"/>
          <w:i/>
          <w:iCs/>
          <w:sz w:val="24"/>
          <w:szCs w:val="24"/>
        </w:rPr>
        <w:t>The state of food security and nutrition in the world 2021: Transforming food systems for food security, improved nutrition and affordable healthy diets for all</w:t>
      </w:r>
      <w:r w:rsidRPr="00BA63EB">
        <w:rPr>
          <w:rFonts w:ascii="Times New Roman" w:eastAsia="Times New Roman" w:hAnsi="Times New Roman" w:cs="Times New Roman"/>
          <w:sz w:val="24"/>
          <w:szCs w:val="24"/>
        </w:rPr>
        <w:t>. FAO. https://www.fao.org/publications/sofi/2021/en/</w:t>
      </w:r>
    </w:p>
    <w:p w14:paraId="1E77A40E" w14:textId="77777777" w:rsidR="00861308" w:rsidRPr="00861308" w:rsidRDefault="00861308" w:rsidP="00BA63EB">
      <w:pPr>
        <w:pStyle w:val="NormalWeb"/>
        <w:numPr>
          <w:ilvl w:val="0"/>
          <w:numId w:val="43"/>
        </w:numPr>
        <w:spacing w:before="0" w:beforeAutospacing="0" w:after="0" w:afterAutospacing="0"/>
        <w:jc w:val="both"/>
      </w:pPr>
      <w:r w:rsidRPr="00861308">
        <w:t xml:space="preserve">Foucault, M. (1978). </w:t>
      </w:r>
      <w:r w:rsidRPr="00861308">
        <w:rPr>
          <w:rStyle w:val="Emphasis"/>
          <w:rFonts w:eastAsiaTheme="majorEastAsia"/>
        </w:rPr>
        <w:t>The history of sexuality: Volume 1 – An introduction</w:t>
      </w:r>
      <w:r w:rsidRPr="00861308">
        <w:t xml:space="preserve"> (R. Hurley, Trans.). Pantheon Books.</w:t>
      </w:r>
    </w:p>
    <w:p w14:paraId="6EDD7DA2" w14:textId="77777777" w:rsidR="00861308" w:rsidRPr="00861308" w:rsidRDefault="00861308" w:rsidP="00BA63EB">
      <w:pPr>
        <w:pStyle w:val="NormalWeb"/>
        <w:numPr>
          <w:ilvl w:val="0"/>
          <w:numId w:val="43"/>
        </w:numPr>
        <w:spacing w:before="0" w:beforeAutospacing="0" w:after="0" w:afterAutospacing="0"/>
        <w:jc w:val="both"/>
      </w:pPr>
      <w:r w:rsidRPr="00861308">
        <w:rPr>
          <w:rStyle w:val="Strong"/>
          <w:rFonts w:eastAsiaTheme="majorEastAsia"/>
          <w:b w:val="0"/>
        </w:rPr>
        <w:t>Foucault, M.</w:t>
      </w:r>
      <w:r w:rsidRPr="00861308">
        <w:t xml:space="preserve"> (2008). </w:t>
      </w:r>
      <w:r w:rsidRPr="00861308">
        <w:rPr>
          <w:rStyle w:val="Emphasis"/>
        </w:rPr>
        <w:t>The birth of biopolitics: Lectures at the Collège de France, 1978–1979</w:t>
      </w:r>
      <w:r w:rsidRPr="00861308">
        <w:t xml:space="preserve"> (M. </w:t>
      </w:r>
      <w:proofErr w:type="spellStart"/>
      <w:r w:rsidRPr="00861308">
        <w:t>Senellart</w:t>
      </w:r>
      <w:proofErr w:type="spellEnd"/>
      <w:r w:rsidRPr="00861308">
        <w:t>, Ed.; G. Burchell, Trans.). Palgrave Macmillan. https://link.springer.com/book/10.1057/9780230594180</w:t>
      </w:r>
    </w:p>
    <w:p w14:paraId="422993CE" w14:textId="77777777" w:rsidR="00861308" w:rsidRPr="00861308" w:rsidRDefault="00861308" w:rsidP="00BA63EB">
      <w:pPr>
        <w:pStyle w:val="NormalWeb"/>
        <w:numPr>
          <w:ilvl w:val="0"/>
          <w:numId w:val="43"/>
        </w:numPr>
        <w:spacing w:before="0" w:beforeAutospacing="0" w:after="0" w:afterAutospacing="0"/>
        <w:jc w:val="both"/>
      </w:pPr>
      <w:r w:rsidRPr="00861308">
        <w:t xml:space="preserve">Fricker, M. (2007). </w:t>
      </w:r>
      <w:r w:rsidRPr="00861308">
        <w:rPr>
          <w:rStyle w:val="Emphasis"/>
          <w:rFonts w:eastAsiaTheme="majorEastAsia"/>
        </w:rPr>
        <w:t>Epistemic injustice: Power and the ethics of knowing</w:t>
      </w:r>
      <w:r w:rsidRPr="00861308">
        <w:t>. Oxford University Press.</w:t>
      </w:r>
    </w:p>
    <w:p w14:paraId="50182BAA" w14:textId="77777777" w:rsidR="00861308" w:rsidRPr="00BA63EB" w:rsidRDefault="00861308" w:rsidP="00BA63EB">
      <w:pPr>
        <w:pStyle w:val="ListParagraph"/>
        <w:numPr>
          <w:ilvl w:val="0"/>
          <w:numId w:val="43"/>
        </w:numPr>
        <w:spacing w:after="0" w:line="240" w:lineRule="auto"/>
        <w:jc w:val="both"/>
        <w:rPr>
          <w:rFonts w:ascii="Times New Roman" w:eastAsia="Times New Roman" w:hAnsi="Times New Roman" w:cs="Times New Roman"/>
          <w:sz w:val="24"/>
          <w:szCs w:val="24"/>
        </w:rPr>
      </w:pPr>
      <w:proofErr w:type="spellStart"/>
      <w:r w:rsidRPr="00BA63EB">
        <w:rPr>
          <w:rFonts w:ascii="Times New Roman" w:eastAsia="Times New Roman" w:hAnsi="Times New Roman" w:cs="Times New Roman"/>
          <w:sz w:val="24"/>
          <w:szCs w:val="24"/>
        </w:rPr>
        <w:t>Fuchaka</w:t>
      </w:r>
      <w:proofErr w:type="spellEnd"/>
      <w:r w:rsidRPr="00BA63EB">
        <w:rPr>
          <w:rFonts w:ascii="Times New Roman" w:eastAsia="Times New Roman" w:hAnsi="Times New Roman" w:cs="Times New Roman"/>
          <w:sz w:val="24"/>
          <w:szCs w:val="24"/>
        </w:rPr>
        <w:t xml:space="preserve"> </w:t>
      </w:r>
      <w:proofErr w:type="spellStart"/>
      <w:r w:rsidRPr="00BA63EB">
        <w:rPr>
          <w:rFonts w:ascii="Times New Roman" w:eastAsia="Times New Roman" w:hAnsi="Times New Roman" w:cs="Times New Roman"/>
          <w:sz w:val="24"/>
          <w:szCs w:val="24"/>
        </w:rPr>
        <w:t>Waswa</w:t>
      </w:r>
      <w:proofErr w:type="spellEnd"/>
      <w:r w:rsidRPr="00BA63EB">
        <w:rPr>
          <w:rFonts w:ascii="Times New Roman" w:eastAsia="Times New Roman" w:hAnsi="Times New Roman" w:cs="Times New Roman"/>
          <w:sz w:val="24"/>
          <w:szCs w:val="24"/>
        </w:rPr>
        <w:t xml:space="preserve">, &amp; </w:t>
      </w:r>
      <w:proofErr w:type="spellStart"/>
      <w:r w:rsidRPr="00BA63EB">
        <w:rPr>
          <w:rFonts w:ascii="Times New Roman" w:eastAsia="Times New Roman" w:hAnsi="Times New Roman" w:cs="Times New Roman"/>
          <w:sz w:val="24"/>
          <w:szCs w:val="24"/>
        </w:rPr>
        <w:t>Ayaa</w:t>
      </w:r>
      <w:proofErr w:type="spellEnd"/>
      <w:r w:rsidRPr="00BA63EB">
        <w:rPr>
          <w:rFonts w:ascii="Times New Roman" w:eastAsia="Times New Roman" w:hAnsi="Times New Roman" w:cs="Times New Roman"/>
          <w:sz w:val="24"/>
          <w:szCs w:val="24"/>
        </w:rPr>
        <w:t xml:space="preserve">, D. D. (2016). Role of indigenous knowledge systems in the conservation of the bio-physical environment among the </w:t>
      </w:r>
      <w:proofErr w:type="spellStart"/>
      <w:r w:rsidRPr="00BA63EB">
        <w:rPr>
          <w:rFonts w:ascii="Times New Roman" w:eastAsia="Times New Roman" w:hAnsi="Times New Roman" w:cs="Times New Roman"/>
          <w:sz w:val="24"/>
          <w:szCs w:val="24"/>
        </w:rPr>
        <w:t>Teso</w:t>
      </w:r>
      <w:proofErr w:type="spellEnd"/>
      <w:r w:rsidRPr="00BA63EB">
        <w:rPr>
          <w:rFonts w:ascii="Times New Roman" w:eastAsia="Times New Roman" w:hAnsi="Times New Roman" w:cs="Times New Roman"/>
          <w:sz w:val="24"/>
          <w:szCs w:val="24"/>
        </w:rPr>
        <w:t xml:space="preserve"> community in Busia County-Kenya. </w:t>
      </w:r>
      <w:r w:rsidRPr="00BA63EB">
        <w:rPr>
          <w:rFonts w:ascii="Times New Roman" w:eastAsia="Times New Roman" w:hAnsi="Times New Roman" w:cs="Times New Roman"/>
          <w:i/>
          <w:iCs/>
          <w:sz w:val="24"/>
          <w:szCs w:val="24"/>
        </w:rPr>
        <w:t>African Journal of Environmental Science and Technology, 10</w:t>
      </w:r>
      <w:r w:rsidRPr="00BA63EB">
        <w:rPr>
          <w:rFonts w:ascii="Times New Roman" w:eastAsia="Times New Roman" w:hAnsi="Times New Roman" w:cs="Times New Roman"/>
          <w:sz w:val="24"/>
          <w:szCs w:val="24"/>
        </w:rPr>
        <w:t>(12), 467–475. https://doi.org/10.5897/AJEST2016.2182</w:t>
      </w:r>
    </w:p>
    <w:p w14:paraId="4A4FECD4" w14:textId="77777777" w:rsidR="00861308" w:rsidRPr="00861308" w:rsidRDefault="00861308" w:rsidP="00BA63EB">
      <w:pPr>
        <w:pStyle w:val="NormalWeb"/>
        <w:numPr>
          <w:ilvl w:val="0"/>
          <w:numId w:val="43"/>
        </w:numPr>
        <w:spacing w:before="0" w:beforeAutospacing="0" w:after="0" w:afterAutospacing="0"/>
        <w:jc w:val="both"/>
      </w:pPr>
      <w:r w:rsidRPr="00861308">
        <w:t xml:space="preserve">Government of Kenya. (2006). </w:t>
      </w:r>
      <w:r w:rsidRPr="00861308">
        <w:rPr>
          <w:rStyle w:val="Emphasis"/>
          <w:rFonts w:eastAsiaTheme="majorEastAsia"/>
        </w:rPr>
        <w:t>National Biotechnology Development Policy</w:t>
      </w:r>
      <w:r w:rsidRPr="00861308">
        <w:t>. Ministry of Education, Science and Technology. https://www.biosafetykenya.go.ke</w:t>
      </w:r>
    </w:p>
    <w:p w14:paraId="773D5335" w14:textId="77777777" w:rsidR="00861308" w:rsidRPr="00861308" w:rsidRDefault="00861308" w:rsidP="00BA63EB">
      <w:pPr>
        <w:pStyle w:val="NormalWeb"/>
        <w:numPr>
          <w:ilvl w:val="0"/>
          <w:numId w:val="43"/>
        </w:numPr>
        <w:spacing w:before="0" w:beforeAutospacing="0" w:after="0" w:afterAutospacing="0"/>
        <w:jc w:val="both"/>
      </w:pPr>
      <w:r w:rsidRPr="00861308">
        <w:rPr>
          <w:rStyle w:val="Strong"/>
          <w:rFonts w:eastAsiaTheme="majorEastAsia"/>
          <w:b w:val="0"/>
        </w:rPr>
        <w:t>Government of Kenya.</w:t>
      </w:r>
      <w:r w:rsidRPr="00861308">
        <w:t xml:space="preserve"> (2013). </w:t>
      </w:r>
      <w:r w:rsidRPr="00861308">
        <w:rPr>
          <w:rStyle w:val="Emphasis"/>
        </w:rPr>
        <w:t>Science, Technology and Innovation Act No. 28 of 2013</w:t>
      </w:r>
      <w:r w:rsidRPr="00861308">
        <w:t>. National Council for Law Reporting. https://new.kenyalaw.org/akn/ke/act/2013/28</w:t>
      </w:r>
    </w:p>
    <w:p w14:paraId="06AE226D" w14:textId="77777777" w:rsidR="00861308" w:rsidRPr="00861308" w:rsidRDefault="00861308" w:rsidP="00BA63EB">
      <w:pPr>
        <w:pStyle w:val="NormalWeb"/>
        <w:numPr>
          <w:ilvl w:val="0"/>
          <w:numId w:val="43"/>
        </w:numPr>
        <w:spacing w:before="0" w:beforeAutospacing="0" w:after="0" w:afterAutospacing="0" w:line="360" w:lineRule="auto"/>
        <w:jc w:val="both"/>
      </w:pPr>
      <w:proofErr w:type="spellStart"/>
      <w:r w:rsidRPr="00861308">
        <w:rPr>
          <w:rStyle w:val="Strong"/>
          <w:rFonts w:eastAsiaTheme="majorEastAsia"/>
          <w:b w:val="0"/>
        </w:rPr>
        <w:t>Horsthemke</w:t>
      </w:r>
      <w:proofErr w:type="spellEnd"/>
      <w:r w:rsidRPr="00861308">
        <w:rPr>
          <w:rStyle w:val="Strong"/>
          <w:rFonts w:eastAsiaTheme="majorEastAsia"/>
          <w:b w:val="0"/>
        </w:rPr>
        <w:t>, K.</w:t>
      </w:r>
      <w:r w:rsidRPr="00861308">
        <w:t xml:space="preserve"> (2022). </w:t>
      </w:r>
      <w:r w:rsidRPr="00861308">
        <w:rPr>
          <w:rStyle w:val="Emphasis"/>
          <w:rFonts w:eastAsiaTheme="majorEastAsia"/>
        </w:rPr>
        <w:t>‘Epistemicide’ and epistemic emancipation in Africa: Problems and promises</w:t>
      </w:r>
      <w:r w:rsidRPr="00861308">
        <w:t xml:space="preserve">. In K. </w:t>
      </w:r>
      <w:proofErr w:type="spellStart"/>
      <w:r w:rsidRPr="00861308">
        <w:t>Horsthemke</w:t>
      </w:r>
      <w:proofErr w:type="spellEnd"/>
      <w:r w:rsidRPr="00861308">
        <w:t xml:space="preserve"> (Ed.), </w:t>
      </w:r>
      <w:proofErr w:type="spellStart"/>
      <w:r w:rsidRPr="00861308">
        <w:rPr>
          <w:rStyle w:val="Emphasis"/>
          <w:rFonts w:eastAsiaTheme="majorEastAsia"/>
        </w:rPr>
        <w:t>Decolonisation</w:t>
      </w:r>
      <w:proofErr w:type="spellEnd"/>
      <w:r w:rsidRPr="00861308">
        <w:rPr>
          <w:rStyle w:val="Emphasis"/>
          <w:rFonts w:eastAsiaTheme="majorEastAsia"/>
        </w:rPr>
        <w:t xml:space="preserve">, </w:t>
      </w:r>
      <w:proofErr w:type="spellStart"/>
      <w:r w:rsidRPr="00861308">
        <w:rPr>
          <w:rStyle w:val="Emphasis"/>
          <w:rFonts w:eastAsiaTheme="majorEastAsia"/>
        </w:rPr>
        <w:t>Africanisation</w:t>
      </w:r>
      <w:proofErr w:type="spellEnd"/>
      <w:r w:rsidRPr="00861308">
        <w:rPr>
          <w:rStyle w:val="Emphasis"/>
          <w:rFonts w:eastAsiaTheme="majorEastAsia"/>
        </w:rPr>
        <w:t xml:space="preserve"> and the Philosophy Curriculum</w:t>
      </w:r>
      <w:r w:rsidRPr="00861308">
        <w:t xml:space="preserve"> (pp. 19–36). Springer. https://doi.org/10.1007/978-3-031-07965-8_2</w:t>
      </w:r>
    </w:p>
    <w:p w14:paraId="616B60F9" w14:textId="77777777" w:rsidR="00861308" w:rsidRPr="00861308" w:rsidRDefault="00861308" w:rsidP="00BA63EB">
      <w:pPr>
        <w:pStyle w:val="NormalWeb"/>
        <w:numPr>
          <w:ilvl w:val="0"/>
          <w:numId w:val="43"/>
        </w:numPr>
        <w:spacing w:before="0" w:beforeAutospacing="0" w:after="0" w:afterAutospacing="0"/>
        <w:jc w:val="both"/>
      </w:pPr>
      <w:r w:rsidRPr="00861308">
        <w:rPr>
          <w:rStyle w:val="Strong"/>
          <w:rFonts w:eastAsiaTheme="majorEastAsia"/>
          <w:b w:val="0"/>
        </w:rPr>
        <w:t>Institute of Risk Management Kenya.</w:t>
      </w:r>
      <w:r w:rsidRPr="00861308">
        <w:t xml:space="preserve"> (2016). </w:t>
      </w:r>
      <w:r w:rsidRPr="00861308">
        <w:rPr>
          <w:rStyle w:val="Emphasis"/>
        </w:rPr>
        <w:t>Public ethics and risk management: The Kenyan experience</w:t>
      </w:r>
      <w:r w:rsidRPr="00861308">
        <w:t>. IRM Magazine, 1(1). https://irmke.org/public-ethics-risk-management-kenyan-experience/</w:t>
      </w:r>
    </w:p>
    <w:p w14:paraId="6F742531"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t>Jasanoff</w:t>
      </w:r>
      <w:proofErr w:type="spellEnd"/>
      <w:r w:rsidRPr="00861308">
        <w:t xml:space="preserve">, S. (2003). </w:t>
      </w:r>
      <w:r w:rsidRPr="00861308">
        <w:rPr>
          <w:rStyle w:val="Emphasis"/>
          <w:rFonts w:eastAsiaTheme="majorEastAsia"/>
        </w:rPr>
        <w:t>Technologies of humility: Citizen participation in governing science</w:t>
      </w:r>
      <w:r w:rsidRPr="00861308">
        <w:t xml:space="preserve">. </w:t>
      </w:r>
      <w:r w:rsidRPr="00861308">
        <w:rPr>
          <w:rStyle w:val="Emphasis"/>
          <w:rFonts w:eastAsiaTheme="majorEastAsia"/>
        </w:rPr>
        <w:t>Minerva, 41</w:t>
      </w:r>
      <w:r w:rsidRPr="00861308">
        <w:t>(3), 223–244. https://doi.org/10.1023/A:1025557512320</w:t>
      </w:r>
    </w:p>
    <w:p w14:paraId="55C3C8DA"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t>Jasanoff</w:t>
      </w:r>
      <w:proofErr w:type="spellEnd"/>
      <w:r w:rsidRPr="00861308">
        <w:t xml:space="preserve">, S. (2005). </w:t>
      </w:r>
      <w:r w:rsidRPr="00861308">
        <w:rPr>
          <w:rStyle w:val="Emphasis"/>
          <w:rFonts w:eastAsiaTheme="majorEastAsia"/>
        </w:rPr>
        <w:t>Designs on nature: Science and democracy in Europe and the United States</w:t>
      </w:r>
      <w:r w:rsidRPr="00861308">
        <w:t>. Princeton University Press.</w:t>
      </w:r>
    </w:p>
    <w:p w14:paraId="52FD3D5E"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lastRenderedPageBreak/>
        <w:t>Jasanoff</w:t>
      </w:r>
      <w:proofErr w:type="spellEnd"/>
      <w:r w:rsidRPr="00861308">
        <w:t xml:space="preserve">, S., &amp; Hurlbut, J. B. (2018). A global observatory for gene editing. </w:t>
      </w:r>
      <w:r w:rsidRPr="00861308">
        <w:rPr>
          <w:rStyle w:val="Emphasis"/>
          <w:rFonts w:eastAsiaTheme="majorEastAsia"/>
        </w:rPr>
        <w:t>Nature</w:t>
      </w:r>
      <w:r w:rsidRPr="00861308">
        <w:t>, 555(7697), 435–437. https://doi.org/10.1038/d41586-018-03270-w</w:t>
      </w:r>
    </w:p>
    <w:p w14:paraId="582827BF" w14:textId="77777777" w:rsidR="00861308" w:rsidRPr="00861308" w:rsidRDefault="00861308" w:rsidP="00BA63EB">
      <w:pPr>
        <w:pStyle w:val="NormalWeb"/>
        <w:numPr>
          <w:ilvl w:val="0"/>
          <w:numId w:val="43"/>
        </w:numPr>
        <w:spacing w:before="0" w:beforeAutospacing="0" w:after="0" w:afterAutospacing="0"/>
        <w:jc w:val="both"/>
      </w:pPr>
      <w:r w:rsidRPr="00861308">
        <w:t xml:space="preserve">Juma, C. (2011). </w:t>
      </w:r>
      <w:r w:rsidRPr="00861308">
        <w:rPr>
          <w:rStyle w:val="Emphasis"/>
          <w:rFonts w:eastAsiaTheme="majorEastAsia"/>
        </w:rPr>
        <w:t>The new harvest: Agricultural innovation in Africa</w:t>
      </w:r>
      <w:r w:rsidRPr="00861308">
        <w:t>. Oxford University Press. https://doi.org/10.1093/acprof:oso/9780199783199.001.0001</w:t>
      </w:r>
    </w:p>
    <w:p w14:paraId="1789BA1C" w14:textId="77777777" w:rsidR="00861308" w:rsidRPr="00BA63EB" w:rsidRDefault="00861308" w:rsidP="00BA63EB">
      <w:pPr>
        <w:pStyle w:val="ListParagraph"/>
        <w:numPr>
          <w:ilvl w:val="0"/>
          <w:numId w:val="43"/>
        </w:numPr>
        <w:spacing w:after="0" w:line="240" w:lineRule="auto"/>
        <w:jc w:val="both"/>
        <w:rPr>
          <w:rFonts w:ascii="Times New Roman" w:eastAsia="Times New Roman" w:hAnsi="Times New Roman" w:cs="Times New Roman"/>
          <w:sz w:val="24"/>
          <w:szCs w:val="24"/>
        </w:rPr>
      </w:pPr>
      <w:r w:rsidRPr="00BA63EB">
        <w:rPr>
          <w:rFonts w:ascii="Times New Roman" w:eastAsia="Times New Roman" w:hAnsi="Times New Roman" w:cs="Times New Roman"/>
          <w:sz w:val="24"/>
          <w:szCs w:val="24"/>
        </w:rPr>
        <w:t xml:space="preserve">Juma, C. (2016). </w:t>
      </w:r>
      <w:r w:rsidRPr="00BA63EB">
        <w:rPr>
          <w:rFonts w:ascii="Times New Roman" w:eastAsia="Times New Roman" w:hAnsi="Times New Roman" w:cs="Times New Roman"/>
          <w:i/>
          <w:iCs/>
          <w:sz w:val="24"/>
          <w:szCs w:val="24"/>
        </w:rPr>
        <w:t>Innovation and its enemies: Why people resist new technologies</w:t>
      </w:r>
      <w:r w:rsidRPr="00BA63EB">
        <w:rPr>
          <w:rFonts w:ascii="Times New Roman" w:eastAsia="Times New Roman" w:hAnsi="Times New Roman" w:cs="Times New Roman"/>
          <w:sz w:val="24"/>
          <w:szCs w:val="24"/>
        </w:rPr>
        <w:t>. Oxford University Press.</w:t>
      </w:r>
    </w:p>
    <w:p w14:paraId="19B570FB" w14:textId="77777777" w:rsidR="00861308" w:rsidRPr="00861308" w:rsidRDefault="00861308" w:rsidP="00BA63EB">
      <w:pPr>
        <w:pStyle w:val="NormalWeb"/>
        <w:numPr>
          <w:ilvl w:val="0"/>
          <w:numId w:val="43"/>
        </w:numPr>
        <w:spacing w:before="0" w:beforeAutospacing="0" w:after="0" w:afterAutospacing="0"/>
        <w:jc w:val="both"/>
      </w:pPr>
      <w:r w:rsidRPr="00861308">
        <w:rPr>
          <w:rStyle w:val="Strong"/>
          <w:rFonts w:eastAsiaTheme="majorEastAsia"/>
          <w:b w:val="0"/>
        </w:rPr>
        <w:t>KALRO. (2020).</w:t>
      </w:r>
      <w:r w:rsidRPr="00861308">
        <w:t xml:space="preserve"> </w:t>
      </w:r>
      <w:r w:rsidRPr="00861308">
        <w:rPr>
          <w:rStyle w:val="Emphasis"/>
        </w:rPr>
        <w:t>Strategic Plan 2018–2022</w:t>
      </w:r>
      <w:r w:rsidRPr="00861308">
        <w:t>. Kenya Agricultural and Livestock Research Organization. https://www.kalro.org</w:t>
      </w:r>
    </w:p>
    <w:p w14:paraId="60BC187C" w14:textId="77777777" w:rsidR="00861308" w:rsidRPr="00861308" w:rsidRDefault="00861308" w:rsidP="00BA63EB">
      <w:pPr>
        <w:pStyle w:val="NormalWeb"/>
        <w:numPr>
          <w:ilvl w:val="0"/>
          <w:numId w:val="43"/>
        </w:numPr>
        <w:spacing w:before="0" w:beforeAutospacing="0" w:after="0" w:afterAutospacing="0"/>
        <w:jc w:val="both"/>
      </w:pPr>
      <w:r w:rsidRPr="00861308">
        <w:rPr>
          <w:rStyle w:val="Strong"/>
          <w:rFonts w:eastAsiaTheme="majorEastAsia"/>
          <w:b w:val="0"/>
        </w:rPr>
        <w:t>Kamau, C., &amp; Snyder, M.</w:t>
      </w:r>
      <w:r w:rsidRPr="00861308">
        <w:t xml:space="preserve"> (2023). </w:t>
      </w:r>
      <w:r w:rsidRPr="00861308">
        <w:rPr>
          <w:rStyle w:val="Emphasis"/>
        </w:rPr>
        <w:t>Agricultural biotechnology annual: Kenya</w:t>
      </w:r>
      <w:r w:rsidRPr="00861308">
        <w:t>. United States Department of Agriculture, Foreign Agricultural Service. https://apps.fas.usda.gov</w:t>
      </w:r>
    </w:p>
    <w:p w14:paraId="2B043BF1" w14:textId="77777777" w:rsidR="00861308" w:rsidRPr="00861308" w:rsidRDefault="00861308" w:rsidP="00BA63EB">
      <w:pPr>
        <w:pStyle w:val="NormalWeb"/>
        <w:numPr>
          <w:ilvl w:val="0"/>
          <w:numId w:val="43"/>
        </w:numPr>
        <w:spacing w:before="0" w:beforeAutospacing="0" w:after="0" w:afterAutospacing="0"/>
        <w:jc w:val="both"/>
      </w:pPr>
      <w:r w:rsidRPr="00861308">
        <w:rPr>
          <w:rStyle w:val="Strong"/>
          <w:rFonts w:eastAsiaTheme="majorEastAsia"/>
          <w:b w:val="0"/>
        </w:rPr>
        <w:t>Kaplinsky, R.</w:t>
      </w:r>
      <w:r w:rsidRPr="00861308">
        <w:t xml:space="preserve"> (2018). </w:t>
      </w:r>
      <w:r w:rsidRPr="00861308">
        <w:rPr>
          <w:rStyle w:val="Emphasis"/>
        </w:rPr>
        <w:t>Inclusive innovation for sustainable development: Theory and practice</w:t>
      </w:r>
      <w:r w:rsidRPr="00861308">
        <w:t xml:space="preserve">. </w:t>
      </w:r>
      <w:r w:rsidRPr="00861308">
        <w:rPr>
          <w:rStyle w:val="Emphasis"/>
        </w:rPr>
        <w:t>Innovation and Development</w:t>
      </w:r>
      <w:r w:rsidRPr="00861308">
        <w:t>, 8(1), 1–19. https://doi.org/10.1080/2157930X.2018.1426143</w:t>
      </w:r>
    </w:p>
    <w:p w14:paraId="5C7C5FCB"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t>Kasera</w:t>
      </w:r>
      <w:proofErr w:type="spellEnd"/>
      <w:r w:rsidRPr="00861308">
        <w:t xml:space="preserve">, O. A., </w:t>
      </w:r>
      <w:proofErr w:type="spellStart"/>
      <w:r w:rsidRPr="00861308">
        <w:t>Owiso</w:t>
      </w:r>
      <w:proofErr w:type="spellEnd"/>
      <w:r w:rsidRPr="00861308">
        <w:t xml:space="preserve">, M. O., </w:t>
      </w:r>
      <w:proofErr w:type="spellStart"/>
      <w:r w:rsidRPr="00861308">
        <w:t>Kinyagia</w:t>
      </w:r>
      <w:proofErr w:type="spellEnd"/>
      <w:r w:rsidRPr="00861308">
        <w:t xml:space="preserve">, B. M., </w:t>
      </w:r>
      <w:proofErr w:type="spellStart"/>
      <w:r w:rsidRPr="00861308">
        <w:t>Karembu</w:t>
      </w:r>
      <w:proofErr w:type="spellEnd"/>
      <w:r w:rsidRPr="00861308">
        <w:t xml:space="preserve">, M., Muturi, M., </w:t>
      </w:r>
      <w:proofErr w:type="spellStart"/>
      <w:r w:rsidRPr="00861308">
        <w:t>Miano</w:t>
      </w:r>
      <w:proofErr w:type="spellEnd"/>
      <w:r w:rsidRPr="00861308">
        <w:t xml:space="preserve">, D., </w:t>
      </w:r>
      <w:proofErr w:type="spellStart"/>
      <w:r w:rsidRPr="00861308">
        <w:t>Ngure</w:t>
      </w:r>
      <w:proofErr w:type="spellEnd"/>
      <w:r w:rsidRPr="00861308">
        <w:t xml:space="preserve">, G., &amp; Omondi, B. C. (2022). Synthetic biology regulatory opportunities and gaps in Kenya: Expert perspectives and expectations. </w:t>
      </w:r>
      <w:r w:rsidRPr="00861308">
        <w:rPr>
          <w:rStyle w:val="Emphasis"/>
          <w:rFonts w:eastAsiaTheme="majorEastAsia"/>
        </w:rPr>
        <w:t>International Journal of Innovative Science and Research Technology</w:t>
      </w:r>
      <w:r w:rsidRPr="00861308">
        <w:t xml:space="preserve">, 7(10), 1–15. </w:t>
      </w:r>
      <w:hyperlink r:id="rId8" w:history="1">
        <w:r w:rsidRPr="00861308">
          <w:rPr>
            <w:rStyle w:val="Hyperlink"/>
          </w:rPr>
          <w:t>https://ijisrt.com/assets/upload/files/IJISRT22OCT274_%281%29.pdf</w:t>
        </w:r>
      </w:hyperlink>
    </w:p>
    <w:p w14:paraId="2A73E762" w14:textId="77777777" w:rsidR="00861308" w:rsidRPr="00861308" w:rsidRDefault="00861308" w:rsidP="00BA63EB">
      <w:pPr>
        <w:pStyle w:val="NormalWeb"/>
        <w:numPr>
          <w:ilvl w:val="0"/>
          <w:numId w:val="43"/>
        </w:numPr>
        <w:spacing w:before="0" w:beforeAutospacing="0" w:after="0" w:afterAutospacing="0"/>
        <w:jc w:val="both"/>
      </w:pPr>
      <w:r w:rsidRPr="00861308">
        <w:t xml:space="preserve">Keeley, J., &amp; </w:t>
      </w:r>
      <w:proofErr w:type="spellStart"/>
      <w:r w:rsidRPr="00861308">
        <w:t>Scoones</w:t>
      </w:r>
      <w:proofErr w:type="spellEnd"/>
      <w:r w:rsidRPr="00861308">
        <w:t xml:space="preserve">, I. (2003). </w:t>
      </w:r>
      <w:r w:rsidRPr="00861308">
        <w:rPr>
          <w:rStyle w:val="Emphasis"/>
          <w:rFonts w:eastAsiaTheme="majorEastAsia"/>
        </w:rPr>
        <w:t>Understanding environmental policy processes: Cases from Africa</w:t>
      </w:r>
      <w:r w:rsidRPr="00861308">
        <w:t>. Earthscan Publications.</w:t>
      </w:r>
    </w:p>
    <w:p w14:paraId="3B805F03" w14:textId="77777777" w:rsidR="00861308" w:rsidRPr="00861308" w:rsidRDefault="00861308" w:rsidP="00BA63EB">
      <w:pPr>
        <w:pStyle w:val="NormalWeb"/>
        <w:numPr>
          <w:ilvl w:val="0"/>
          <w:numId w:val="43"/>
        </w:numPr>
        <w:spacing w:before="0" w:beforeAutospacing="0" w:after="0" w:afterAutospacing="0"/>
        <w:jc w:val="both"/>
      </w:pPr>
      <w:r w:rsidRPr="00861308">
        <w:rPr>
          <w:rStyle w:val="Strong"/>
          <w:rFonts w:eastAsiaTheme="majorEastAsia"/>
          <w:b w:val="0"/>
        </w:rPr>
        <w:t>Kenya Agricultural and Livestock Research Organization (KALRO).</w:t>
      </w:r>
      <w:r w:rsidRPr="00861308">
        <w:t xml:space="preserve"> (2020). </w:t>
      </w:r>
      <w:r w:rsidRPr="00861308">
        <w:rPr>
          <w:rStyle w:val="Emphasis"/>
        </w:rPr>
        <w:t>Strategic Plan 2018–2022</w:t>
      </w:r>
      <w:r w:rsidRPr="00861308">
        <w:t>. Nairobi: KALRO. https://kalro.org</w:t>
      </w:r>
    </w:p>
    <w:p w14:paraId="46C9C9B6" w14:textId="77777777" w:rsidR="00861308" w:rsidRPr="002A59AF" w:rsidRDefault="00861308" w:rsidP="00BA63EB">
      <w:pPr>
        <w:pStyle w:val="NormalWeb"/>
        <w:numPr>
          <w:ilvl w:val="0"/>
          <w:numId w:val="43"/>
        </w:numPr>
        <w:spacing w:before="0" w:beforeAutospacing="0" w:after="0" w:afterAutospacing="0"/>
        <w:jc w:val="both"/>
        <w:rPr>
          <w:highlight w:val="yellow"/>
        </w:rPr>
      </w:pPr>
      <w:r w:rsidRPr="002A59AF">
        <w:rPr>
          <w:rStyle w:val="Strong"/>
          <w:rFonts w:eastAsiaTheme="majorEastAsia"/>
          <w:b w:val="0"/>
          <w:highlight w:val="yellow"/>
        </w:rPr>
        <w:t>Kenya Peasants League.</w:t>
      </w:r>
      <w:r w:rsidRPr="002A59AF">
        <w:rPr>
          <w:highlight w:val="yellow"/>
        </w:rPr>
        <w:t xml:space="preserve"> (2025). </w:t>
      </w:r>
      <w:r w:rsidRPr="002A59AF">
        <w:rPr>
          <w:rStyle w:val="Emphasis"/>
          <w:highlight w:val="yellow"/>
        </w:rPr>
        <w:t>Petition against GMO maize approval: Legal brief submitted to Machakos High Court</w:t>
      </w:r>
      <w:r w:rsidRPr="002A59AF">
        <w:rPr>
          <w:highlight w:val="yellow"/>
        </w:rPr>
        <w:t>. Kenya Peasants League Legal Archive. https://kenyapeasantsleague.org/legal-brief-gmo-maize-petition-2025</w:t>
      </w:r>
    </w:p>
    <w:p w14:paraId="464C19DE" w14:textId="77777777" w:rsidR="00861308" w:rsidRPr="00BA63EB" w:rsidRDefault="00861308" w:rsidP="00BA63EB">
      <w:pPr>
        <w:pStyle w:val="ListParagraph"/>
        <w:numPr>
          <w:ilvl w:val="0"/>
          <w:numId w:val="43"/>
        </w:numPr>
        <w:spacing w:after="0" w:line="240" w:lineRule="auto"/>
        <w:jc w:val="both"/>
        <w:rPr>
          <w:rFonts w:ascii="Times New Roman" w:eastAsia="Times New Roman" w:hAnsi="Times New Roman" w:cs="Times New Roman"/>
          <w:sz w:val="24"/>
          <w:szCs w:val="24"/>
        </w:rPr>
      </w:pPr>
      <w:proofErr w:type="spellStart"/>
      <w:r w:rsidRPr="00BA63EB">
        <w:rPr>
          <w:rFonts w:ascii="Times New Roman" w:eastAsia="Times New Roman" w:hAnsi="Times New Roman" w:cs="Times New Roman"/>
          <w:sz w:val="24"/>
          <w:szCs w:val="24"/>
        </w:rPr>
        <w:t>Kingiri</w:t>
      </w:r>
      <w:proofErr w:type="spellEnd"/>
      <w:r w:rsidRPr="00BA63EB">
        <w:rPr>
          <w:rFonts w:ascii="Times New Roman" w:eastAsia="Times New Roman" w:hAnsi="Times New Roman" w:cs="Times New Roman"/>
          <w:sz w:val="24"/>
          <w:szCs w:val="24"/>
        </w:rPr>
        <w:t xml:space="preserve">, A., &amp; </w:t>
      </w:r>
      <w:proofErr w:type="spellStart"/>
      <w:r w:rsidRPr="00BA63EB">
        <w:rPr>
          <w:rFonts w:ascii="Times New Roman" w:eastAsia="Times New Roman" w:hAnsi="Times New Roman" w:cs="Times New Roman"/>
          <w:sz w:val="24"/>
          <w:szCs w:val="24"/>
        </w:rPr>
        <w:t>Ayele</w:t>
      </w:r>
      <w:proofErr w:type="spellEnd"/>
      <w:r w:rsidRPr="00BA63EB">
        <w:rPr>
          <w:rFonts w:ascii="Times New Roman" w:eastAsia="Times New Roman" w:hAnsi="Times New Roman" w:cs="Times New Roman"/>
          <w:sz w:val="24"/>
          <w:szCs w:val="24"/>
        </w:rPr>
        <w:t xml:space="preserve">, S. (2009). Towards a smart biosafety regulation: The case of Kenya. </w:t>
      </w:r>
      <w:r w:rsidRPr="00BA63EB">
        <w:rPr>
          <w:rFonts w:ascii="Times New Roman" w:eastAsia="Times New Roman" w:hAnsi="Times New Roman" w:cs="Times New Roman"/>
          <w:i/>
          <w:iCs/>
          <w:sz w:val="24"/>
          <w:szCs w:val="24"/>
        </w:rPr>
        <w:t>Environmental Biosafety Research, 8</w:t>
      </w:r>
      <w:r w:rsidRPr="00BA63EB">
        <w:rPr>
          <w:rFonts w:ascii="Times New Roman" w:eastAsia="Times New Roman" w:hAnsi="Times New Roman" w:cs="Times New Roman"/>
          <w:sz w:val="24"/>
          <w:szCs w:val="24"/>
        </w:rPr>
        <w:t>(3), 133–139. https://doi.org/10.1051/ebr/2009014</w:t>
      </w:r>
    </w:p>
    <w:p w14:paraId="70892FD0" w14:textId="77777777" w:rsidR="00861308" w:rsidRPr="00861308" w:rsidRDefault="00861308" w:rsidP="00BA63EB">
      <w:pPr>
        <w:pStyle w:val="NormalWeb"/>
        <w:numPr>
          <w:ilvl w:val="0"/>
          <w:numId w:val="43"/>
        </w:numPr>
        <w:spacing w:before="0" w:beforeAutospacing="0" w:after="0" w:afterAutospacing="0"/>
        <w:jc w:val="both"/>
      </w:pPr>
      <w:r w:rsidRPr="00861308">
        <w:rPr>
          <w:rStyle w:val="Strong"/>
          <w:rFonts w:eastAsiaTheme="majorEastAsia"/>
          <w:b w:val="0"/>
        </w:rPr>
        <w:t xml:space="preserve">Kitenge, S. Y., </w:t>
      </w:r>
      <w:proofErr w:type="spellStart"/>
      <w:r w:rsidRPr="00861308">
        <w:rPr>
          <w:rStyle w:val="Strong"/>
          <w:rFonts w:eastAsiaTheme="majorEastAsia"/>
          <w:b w:val="0"/>
        </w:rPr>
        <w:t>Nkhabindze</w:t>
      </w:r>
      <w:proofErr w:type="spellEnd"/>
      <w:r w:rsidRPr="00861308">
        <w:rPr>
          <w:rStyle w:val="Strong"/>
          <w:rFonts w:eastAsiaTheme="majorEastAsia"/>
          <w:b w:val="0"/>
        </w:rPr>
        <w:t xml:space="preserve">, B., </w:t>
      </w:r>
      <w:proofErr w:type="spellStart"/>
      <w:r w:rsidRPr="00861308">
        <w:rPr>
          <w:rStyle w:val="Strong"/>
          <w:rFonts w:eastAsiaTheme="majorEastAsia"/>
          <w:b w:val="0"/>
        </w:rPr>
        <w:t>Ratemo</w:t>
      </w:r>
      <w:proofErr w:type="spellEnd"/>
      <w:r w:rsidRPr="00861308">
        <w:rPr>
          <w:rStyle w:val="Strong"/>
          <w:rFonts w:eastAsiaTheme="majorEastAsia"/>
          <w:b w:val="0"/>
        </w:rPr>
        <w:t xml:space="preserve">, B. O., Dada, S. A., </w:t>
      </w:r>
      <w:proofErr w:type="spellStart"/>
      <w:r w:rsidRPr="00861308">
        <w:rPr>
          <w:rStyle w:val="Strong"/>
          <w:rFonts w:eastAsiaTheme="majorEastAsia"/>
          <w:b w:val="0"/>
        </w:rPr>
        <w:t>Ogbimi</w:t>
      </w:r>
      <w:proofErr w:type="spellEnd"/>
      <w:r w:rsidRPr="00861308">
        <w:rPr>
          <w:rStyle w:val="Strong"/>
          <w:rFonts w:eastAsiaTheme="majorEastAsia"/>
          <w:b w:val="0"/>
        </w:rPr>
        <w:t xml:space="preserve">, E. R., </w:t>
      </w:r>
      <w:proofErr w:type="spellStart"/>
      <w:r w:rsidRPr="00861308">
        <w:rPr>
          <w:rStyle w:val="Strong"/>
          <w:rFonts w:eastAsiaTheme="majorEastAsia"/>
          <w:b w:val="0"/>
        </w:rPr>
        <w:t>Karikari</w:t>
      </w:r>
      <w:proofErr w:type="spellEnd"/>
      <w:r w:rsidRPr="00861308">
        <w:rPr>
          <w:rStyle w:val="Strong"/>
          <w:rFonts w:eastAsiaTheme="majorEastAsia"/>
          <w:b w:val="0"/>
        </w:rPr>
        <w:t xml:space="preserve">, B., ... &amp; </w:t>
      </w:r>
      <w:proofErr w:type="spellStart"/>
      <w:r w:rsidRPr="00861308">
        <w:rPr>
          <w:rStyle w:val="Strong"/>
          <w:rFonts w:eastAsiaTheme="majorEastAsia"/>
          <w:b w:val="0"/>
        </w:rPr>
        <w:t>Akinbo</w:t>
      </w:r>
      <w:proofErr w:type="spellEnd"/>
      <w:r w:rsidRPr="00861308">
        <w:rPr>
          <w:rStyle w:val="Strong"/>
          <w:rFonts w:eastAsiaTheme="majorEastAsia"/>
          <w:b w:val="0"/>
        </w:rPr>
        <w:t>, O. (2025).</w:t>
      </w:r>
      <w:r w:rsidRPr="00861308">
        <w:t xml:space="preserve"> The role of young scientists in promoting genome editing for sustainable agriculture and food systems in Africa. </w:t>
      </w:r>
      <w:r w:rsidRPr="00861308">
        <w:rPr>
          <w:rStyle w:val="Emphasis"/>
        </w:rPr>
        <w:t>Frontiers in Sustainable Food Systems</w:t>
      </w:r>
      <w:r w:rsidRPr="00861308">
        <w:t>, 9, 1530800. https://doi.org/10.3389/fsufs.2025.1530800</w:t>
      </w:r>
    </w:p>
    <w:p w14:paraId="59FC3A6B"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rPr>
          <w:rStyle w:val="Strong"/>
          <w:rFonts w:eastAsiaTheme="majorEastAsia"/>
          <w:b w:val="0"/>
        </w:rPr>
        <w:t>Kukreja</w:t>
      </w:r>
      <w:proofErr w:type="spellEnd"/>
      <w:r w:rsidRPr="00861308">
        <w:rPr>
          <w:rStyle w:val="Strong"/>
          <w:rFonts w:eastAsiaTheme="majorEastAsia"/>
          <w:b w:val="0"/>
        </w:rPr>
        <w:t>, S.</w:t>
      </w:r>
      <w:r w:rsidRPr="00861308">
        <w:t xml:space="preserve"> (2025). </w:t>
      </w:r>
      <w:r w:rsidRPr="00861308">
        <w:rPr>
          <w:rStyle w:val="Emphasis"/>
        </w:rPr>
        <w:t>The role of risk governance in ethical decision-making: A comparative study of corporate failures and successes</w:t>
      </w:r>
      <w:r w:rsidRPr="00861308">
        <w:t xml:space="preserve">. </w:t>
      </w:r>
      <w:r w:rsidRPr="00861308">
        <w:rPr>
          <w:rStyle w:val="Emphasis"/>
        </w:rPr>
        <w:t>International Journal of Research in Finance and Management</w:t>
      </w:r>
      <w:r w:rsidRPr="00861308">
        <w:t>, 8(1), 119–121. https://www.allfinancejournal.com/article/view/433/8-1-14</w:t>
      </w:r>
    </w:p>
    <w:p w14:paraId="3C59FE74" w14:textId="77777777" w:rsidR="00861308" w:rsidRPr="00861308" w:rsidRDefault="00861308" w:rsidP="00BA63EB">
      <w:pPr>
        <w:pStyle w:val="NormalWeb"/>
        <w:numPr>
          <w:ilvl w:val="0"/>
          <w:numId w:val="43"/>
        </w:numPr>
        <w:spacing w:before="0" w:beforeAutospacing="0" w:after="0" w:afterAutospacing="0"/>
        <w:jc w:val="both"/>
      </w:pPr>
      <w:r w:rsidRPr="00861308">
        <w:rPr>
          <w:rStyle w:val="Strong"/>
          <w:rFonts w:eastAsiaTheme="majorEastAsia"/>
          <w:b w:val="0"/>
        </w:rPr>
        <w:t xml:space="preserve">Leach, M., </w:t>
      </w:r>
      <w:proofErr w:type="spellStart"/>
      <w:r w:rsidRPr="00861308">
        <w:rPr>
          <w:rStyle w:val="Strong"/>
          <w:rFonts w:eastAsiaTheme="majorEastAsia"/>
          <w:b w:val="0"/>
        </w:rPr>
        <w:t>Scoones</w:t>
      </w:r>
      <w:proofErr w:type="spellEnd"/>
      <w:r w:rsidRPr="00861308">
        <w:rPr>
          <w:rStyle w:val="Strong"/>
          <w:rFonts w:eastAsiaTheme="majorEastAsia"/>
          <w:b w:val="0"/>
        </w:rPr>
        <w:t>, I., &amp; Wynne, B.</w:t>
      </w:r>
      <w:r w:rsidRPr="00861308">
        <w:t xml:space="preserve"> (2005). </w:t>
      </w:r>
      <w:r w:rsidRPr="00861308">
        <w:rPr>
          <w:rStyle w:val="Emphasis"/>
        </w:rPr>
        <w:t>Science and citizens: Globalization and the challenge of engagement</w:t>
      </w:r>
      <w:r w:rsidRPr="00861308">
        <w:t>. Zed Books. https://www.bloomsbury.com/in/science-and-citizens-9781848131699/</w:t>
      </w:r>
    </w:p>
    <w:p w14:paraId="63836AFA" w14:textId="77777777" w:rsidR="00861308" w:rsidRPr="00861308" w:rsidRDefault="00861308" w:rsidP="00BA63EB">
      <w:pPr>
        <w:pStyle w:val="NormalWeb"/>
        <w:numPr>
          <w:ilvl w:val="0"/>
          <w:numId w:val="43"/>
        </w:numPr>
        <w:spacing w:before="0" w:beforeAutospacing="0" w:after="0" w:afterAutospacing="0"/>
        <w:jc w:val="both"/>
      </w:pPr>
      <w:r w:rsidRPr="00861308">
        <w:t xml:space="preserve">Leach, M., </w:t>
      </w:r>
      <w:proofErr w:type="spellStart"/>
      <w:r w:rsidRPr="00861308">
        <w:t>Scoones</w:t>
      </w:r>
      <w:proofErr w:type="spellEnd"/>
      <w:r w:rsidRPr="00861308">
        <w:t xml:space="preserve">, I., &amp; Wynne, B. (Eds.). (2010). </w:t>
      </w:r>
      <w:r w:rsidRPr="00861308">
        <w:rPr>
          <w:rStyle w:val="Emphasis"/>
          <w:rFonts w:eastAsiaTheme="majorEastAsia"/>
        </w:rPr>
        <w:t>Science and citizens: Globalization and the challenge of engagement</w:t>
      </w:r>
      <w:r w:rsidRPr="00861308">
        <w:t>. Zed Books.</w:t>
      </w:r>
    </w:p>
    <w:p w14:paraId="76A7AF40" w14:textId="77777777" w:rsidR="00861308" w:rsidRPr="00861308" w:rsidRDefault="00861308" w:rsidP="00BA63EB">
      <w:pPr>
        <w:pStyle w:val="NormalWeb"/>
        <w:numPr>
          <w:ilvl w:val="0"/>
          <w:numId w:val="43"/>
        </w:numPr>
        <w:spacing w:before="0" w:beforeAutospacing="0" w:after="0" w:afterAutospacing="0"/>
        <w:jc w:val="both"/>
      </w:pPr>
      <w:r w:rsidRPr="00861308">
        <w:rPr>
          <w:rStyle w:val="Strong"/>
          <w:rFonts w:eastAsiaTheme="majorEastAsia"/>
          <w:b w:val="0"/>
        </w:rPr>
        <w:t>Machakos High Court.</w:t>
      </w:r>
      <w:r w:rsidRPr="00861308">
        <w:t xml:space="preserve"> (2025). </w:t>
      </w:r>
      <w:r w:rsidRPr="00861308">
        <w:rPr>
          <w:rStyle w:val="Emphasis"/>
        </w:rPr>
        <w:t>Kenya Peasants League &amp; Others v. National Biosafety Authority &amp; Others [Constitutional Petition]</w:t>
      </w:r>
      <w:r w:rsidRPr="00861308">
        <w:t xml:space="preserve">. Kenya Law Reports. </w:t>
      </w:r>
      <w:hyperlink r:id="rId9" w:history="1">
        <w:r w:rsidRPr="00861308">
          <w:rPr>
            <w:rStyle w:val="Hyperlink"/>
          </w:rPr>
          <w:t>https://new.kenyalaw.org/akn/ke/judgment/keca/2025/448/eng@2025-03-07/source.pdf</w:t>
        </w:r>
      </w:hyperlink>
    </w:p>
    <w:p w14:paraId="19FB2356" w14:textId="77777777" w:rsidR="00861308" w:rsidRPr="00861308" w:rsidRDefault="00861308" w:rsidP="00BA63EB">
      <w:pPr>
        <w:pStyle w:val="NormalWeb"/>
        <w:numPr>
          <w:ilvl w:val="0"/>
          <w:numId w:val="43"/>
        </w:numPr>
        <w:spacing w:before="0" w:beforeAutospacing="0" w:after="0" w:afterAutospacing="0"/>
        <w:jc w:val="both"/>
      </w:pPr>
      <w:r w:rsidRPr="00861308">
        <w:t xml:space="preserve">Michaud, G. (2025). Leveraging pluralist epistemology to advance public policy studies. </w:t>
      </w:r>
      <w:r w:rsidRPr="00861308">
        <w:rPr>
          <w:rStyle w:val="Emphasis"/>
          <w:rFonts w:eastAsiaTheme="majorEastAsia"/>
        </w:rPr>
        <w:t>Public Administration and Policy, 28</w:t>
      </w:r>
      <w:r w:rsidRPr="00861308">
        <w:t>(1), 45–60. https://doi.org/10.1108/PAP-02-2024-0023</w:t>
      </w:r>
    </w:p>
    <w:p w14:paraId="2ECB3A57" w14:textId="77777777" w:rsidR="00861308" w:rsidRPr="00861308" w:rsidRDefault="00861308" w:rsidP="00BA63EB">
      <w:pPr>
        <w:pStyle w:val="NormalWeb"/>
        <w:numPr>
          <w:ilvl w:val="0"/>
          <w:numId w:val="43"/>
        </w:numPr>
        <w:spacing w:before="0" w:beforeAutospacing="0" w:after="0" w:afterAutospacing="0"/>
        <w:jc w:val="both"/>
      </w:pPr>
      <w:r w:rsidRPr="00861308">
        <w:lastRenderedPageBreak/>
        <w:t xml:space="preserve">Moss, B. (2025, March 4). The last seed: A reflection on food sovereignty and the battle for Africa’s agricultural future. </w:t>
      </w:r>
      <w:proofErr w:type="spellStart"/>
      <w:r w:rsidRPr="00861308">
        <w:rPr>
          <w:rStyle w:val="Emphasis"/>
          <w:rFonts w:eastAsiaTheme="majorEastAsia"/>
        </w:rPr>
        <w:t>AgriFocus</w:t>
      </w:r>
      <w:proofErr w:type="spellEnd"/>
      <w:r w:rsidRPr="00861308">
        <w:rPr>
          <w:rStyle w:val="Emphasis"/>
          <w:rFonts w:eastAsiaTheme="majorEastAsia"/>
        </w:rPr>
        <w:t xml:space="preserve"> Africa</w:t>
      </w:r>
      <w:r w:rsidRPr="00861308">
        <w:t>. https://agrifocusafrica.com/2025/03/04/the-last-seed-a-reflection-on-food-sovereignty-and-the-battle-for-africas-agricultural-future/</w:t>
      </w:r>
    </w:p>
    <w:p w14:paraId="4589EC9A"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rPr>
          <w:rStyle w:val="Strong"/>
          <w:b w:val="0"/>
        </w:rPr>
        <w:t>Muchiri</w:t>
      </w:r>
      <w:proofErr w:type="spellEnd"/>
      <w:r w:rsidRPr="00861308">
        <w:rPr>
          <w:rStyle w:val="Strong"/>
          <w:b w:val="0"/>
        </w:rPr>
        <w:t xml:space="preserve">, J. N., </w:t>
      </w:r>
      <w:proofErr w:type="spellStart"/>
      <w:r w:rsidRPr="00861308">
        <w:rPr>
          <w:rStyle w:val="Strong"/>
          <w:b w:val="0"/>
        </w:rPr>
        <w:t>Mutui</w:t>
      </w:r>
      <w:proofErr w:type="spellEnd"/>
      <w:r w:rsidRPr="00861308">
        <w:rPr>
          <w:rStyle w:val="Strong"/>
          <w:b w:val="0"/>
        </w:rPr>
        <w:t xml:space="preserve">, T. M., &amp; </w:t>
      </w:r>
      <w:proofErr w:type="spellStart"/>
      <w:r w:rsidRPr="00861308">
        <w:rPr>
          <w:rStyle w:val="Strong"/>
          <w:b w:val="0"/>
        </w:rPr>
        <w:t>Ogoyi</w:t>
      </w:r>
      <w:proofErr w:type="spellEnd"/>
      <w:r w:rsidRPr="00861308">
        <w:rPr>
          <w:rStyle w:val="Strong"/>
          <w:b w:val="0"/>
        </w:rPr>
        <w:t>, D. O.</w:t>
      </w:r>
      <w:r w:rsidRPr="00861308">
        <w:t xml:space="preserve"> (2020). </w:t>
      </w:r>
      <w:r w:rsidRPr="00861308">
        <w:rPr>
          <w:rStyle w:val="Emphasis"/>
          <w:rFonts w:eastAsiaTheme="majorEastAsia"/>
        </w:rPr>
        <w:t>Kenya—A review of regulation of genetically modified organisms (GMOs): Case study of Kenya</w:t>
      </w:r>
      <w:r w:rsidRPr="00861308">
        <w:t xml:space="preserve">. In M. S. Reyes &amp; M. R. Reyes (Eds.), </w:t>
      </w:r>
      <w:r w:rsidRPr="00861308">
        <w:rPr>
          <w:rStyle w:val="Emphasis"/>
          <w:rFonts w:eastAsiaTheme="majorEastAsia"/>
        </w:rPr>
        <w:t>Genetically Modified Organisms in Developing Countries</w:t>
      </w:r>
      <w:r w:rsidRPr="00861308">
        <w:t xml:space="preserve"> (pp. 481–493). Springer. https://doi.org/10.1007/978-3-030-53183-6_23.</w:t>
      </w:r>
    </w:p>
    <w:p w14:paraId="5746B758" w14:textId="77777777" w:rsidR="00861308" w:rsidRPr="00861308" w:rsidRDefault="00861308" w:rsidP="00BA63EB">
      <w:pPr>
        <w:pStyle w:val="NormalWeb"/>
        <w:numPr>
          <w:ilvl w:val="0"/>
          <w:numId w:val="43"/>
        </w:numPr>
        <w:spacing w:before="0" w:beforeAutospacing="0" w:after="0" w:afterAutospacing="0"/>
        <w:jc w:val="both"/>
      </w:pPr>
      <w:r w:rsidRPr="00861308">
        <w:t xml:space="preserve">Mulderrig, J., Montesano Montessori, N., &amp; </w:t>
      </w:r>
      <w:proofErr w:type="spellStart"/>
      <w:r w:rsidRPr="00861308">
        <w:t>Farrelly</w:t>
      </w:r>
      <w:proofErr w:type="spellEnd"/>
      <w:r w:rsidRPr="00861308">
        <w:t xml:space="preserve">, M. (Eds.). (2019). </w:t>
      </w:r>
      <w:r w:rsidRPr="00861308">
        <w:rPr>
          <w:rStyle w:val="Emphasis"/>
          <w:rFonts w:eastAsiaTheme="majorEastAsia"/>
        </w:rPr>
        <w:t>Critical policy discourse analysis</w:t>
      </w:r>
      <w:r w:rsidRPr="00861308">
        <w:t>. Edward Elgar Publishing. https://doi.org/10.4337/9781788974967</w:t>
      </w:r>
    </w:p>
    <w:p w14:paraId="4EF49E48" w14:textId="77777777" w:rsidR="00861308" w:rsidRPr="00861308" w:rsidRDefault="00861308" w:rsidP="00BA63EB">
      <w:pPr>
        <w:pStyle w:val="NormalWeb"/>
        <w:numPr>
          <w:ilvl w:val="0"/>
          <w:numId w:val="43"/>
        </w:numPr>
        <w:spacing w:before="0" w:beforeAutospacing="0" w:after="0" w:afterAutospacing="0" w:line="360" w:lineRule="auto"/>
        <w:jc w:val="both"/>
      </w:pPr>
      <w:proofErr w:type="spellStart"/>
      <w:r w:rsidRPr="00861308">
        <w:rPr>
          <w:rStyle w:val="Strong"/>
          <w:rFonts w:eastAsiaTheme="majorEastAsia"/>
          <w:b w:val="0"/>
        </w:rPr>
        <w:t>Munyu</w:t>
      </w:r>
      <w:proofErr w:type="spellEnd"/>
      <w:r w:rsidRPr="00861308">
        <w:rPr>
          <w:rStyle w:val="Strong"/>
          <w:rFonts w:eastAsiaTheme="majorEastAsia"/>
          <w:b w:val="0"/>
        </w:rPr>
        <w:t xml:space="preserve">, M., </w:t>
      </w:r>
      <w:proofErr w:type="spellStart"/>
      <w:r w:rsidRPr="00861308">
        <w:rPr>
          <w:rStyle w:val="Strong"/>
          <w:rFonts w:eastAsiaTheme="majorEastAsia"/>
          <w:b w:val="0"/>
        </w:rPr>
        <w:t>Weru</w:t>
      </w:r>
      <w:proofErr w:type="spellEnd"/>
      <w:r w:rsidRPr="00861308">
        <w:rPr>
          <w:rStyle w:val="Strong"/>
          <w:rFonts w:eastAsiaTheme="majorEastAsia"/>
          <w:b w:val="0"/>
        </w:rPr>
        <w:t>, T., &amp; Odhiambo, A.</w:t>
      </w:r>
      <w:r w:rsidRPr="00861308">
        <w:t xml:space="preserve"> (2025). </w:t>
      </w:r>
      <w:r w:rsidRPr="00861308">
        <w:rPr>
          <w:rStyle w:val="Emphasis"/>
          <w:rFonts w:eastAsiaTheme="majorEastAsia"/>
        </w:rPr>
        <w:t>GMO adoption in Kenya: Navigating legal challenges and embracing change</w:t>
      </w:r>
      <w:r w:rsidRPr="00861308">
        <w:t>. DLA Piper Africa. https://www.dlapiperafrica.com/en/kenya/insights/2025/gmo-adoption-in-kenya-navigating-legal-challenges-and-embracing-change</w:t>
      </w:r>
    </w:p>
    <w:p w14:paraId="19691EE7" w14:textId="77777777" w:rsidR="00861308" w:rsidRPr="00BA63EB" w:rsidRDefault="00861308" w:rsidP="00BA63EB">
      <w:pPr>
        <w:pStyle w:val="ListParagraph"/>
        <w:numPr>
          <w:ilvl w:val="0"/>
          <w:numId w:val="43"/>
        </w:numPr>
        <w:spacing w:after="0" w:line="240" w:lineRule="auto"/>
        <w:jc w:val="both"/>
        <w:rPr>
          <w:rFonts w:ascii="Times New Roman" w:eastAsia="Times New Roman" w:hAnsi="Times New Roman" w:cs="Times New Roman"/>
          <w:sz w:val="24"/>
          <w:szCs w:val="24"/>
        </w:rPr>
      </w:pPr>
      <w:r w:rsidRPr="00BA63EB">
        <w:rPr>
          <w:rFonts w:ascii="Times New Roman" w:eastAsia="Times New Roman" w:hAnsi="Times New Roman" w:cs="Times New Roman"/>
          <w:sz w:val="24"/>
          <w:szCs w:val="24"/>
        </w:rPr>
        <w:t xml:space="preserve">Nakashima, D., </w:t>
      </w:r>
      <w:proofErr w:type="spellStart"/>
      <w:r w:rsidRPr="00BA63EB">
        <w:rPr>
          <w:rFonts w:ascii="Times New Roman" w:eastAsia="Times New Roman" w:hAnsi="Times New Roman" w:cs="Times New Roman"/>
          <w:sz w:val="24"/>
          <w:szCs w:val="24"/>
        </w:rPr>
        <w:t>Krupnik</w:t>
      </w:r>
      <w:proofErr w:type="spellEnd"/>
      <w:r w:rsidRPr="00BA63EB">
        <w:rPr>
          <w:rFonts w:ascii="Times New Roman" w:eastAsia="Times New Roman" w:hAnsi="Times New Roman" w:cs="Times New Roman"/>
          <w:sz w:val="24"/>
          <w:szCs w:val="24"/>
        </w:rPr>
        <w:t xml:space="preserve">, I., &amp; </w:t>
      </w:r>
      <w:proofErr w:type="spellStart"/>
      <w:r w:rsidRPr="00BA63EB">
        <w:rPr>
          <w:rFonts w:ascii="Times New Roman" w:eastAsia="Times New Roman" w:hAnsi="Times New Roman" w:cs="Times New Roman"/>
          <w:sz w:val="24"/>
          <w:szCs w:val="24"/>
        </w:rPr>
        <w:t>Rubis</w:t>
      </w:r>
      <w:proofErr w:type="spellEnd"/>
      <w:r w:rsidRPr="00BA63EB">
        <w:rPr>
          <w:rFonts w:ascii="Times New Roman" w:eastAsia="Times New Roman" w:hAnsi="Times New Roman" w:cs="Times New Roman"/>
          <w:sz w:val="24"/>
          <w:szCs w:val="24"/>
        </w:rPr>
        <w:t xml:space="preserve">, J. T. (Eds.). (2012). </w:t>
      </w:r>
      <w:r w:rsidRPr="00BA63EB">
        <w:rPr>
          <w:rFonts w:ascii="Times New Roman" w:eastAsia="Times New Roman" w:hAnsi="Times New Roman" w:cs="Times New Roman"/>
          <w:i/>
          <w:iCs/>
          <w:sz w:val="24"/>
          <w:szCs w:val="24"/>
        </w:rPr>
        <w:t>Weathering uncertainty: Traditional knowledge for climate change assessment and adaptation</w:t>
      </w:r>
      <w:r w:rsidRPr="00BA63EB">
        <w:rPr>
          <w:rFonts w:ascii="Times New Roman" w:eastAsia="Times New Roman" w:hAnsi="Times New Roman" w:cs="Times New Roman"/>
          <w:sz w:val="24"/>
          <w:szCs w:val="24"/>
        </w:rPr>
        <w:t>. UNESCO. https://unesdoc.unesco.org/ark:/48223/pf0000216613</w:t>
      </w:r>
    </w:p>
    <w:p w14:paraId="70D34939" w14:textId="77777777" w:rsidR="00861308" w:rsidRPr="002A59AF" w:rsidRDefault="00861308" w:rsidP="00BA63EB">
      <w:pPr>
        <w:pStyle w:val="ListParagraph"/>
        <w:numPr>
          <w:ilvl w:val="0"/>
          <w:numId w:val="43"/>
        </w:numPr>
        <w:spacing w:after="0" w:line="240" w:lineRule="auto"/>
        <w:jc w:val="both"/>
        <w:rPr>
          <w:rFonts w:ascii="Times New Roman" w:eastAsia="Times New Roman" w:hAnsi="Times New Roman" w:cs="Times New Roman"/>
          <w:sz w:val="24"/>
          <w:szCs w:val="24"/>
          <w:highlight w:val="yellow"/>
        </w:rPr>
      </w:pPr>
      <w:r w:rsidRPr="002A59AF">
        <w:rPr>
          <w:rFonts w:ascii="Times New Roman" w:eastAsia="Times New Roman" w:hAnsi="Times New Roman" w:cs="Times New Roman"/>
          <w:sz w:val="24"/>
          <w:szCs w:val="24"/>
          <w:highlight w:val="yellow"/>
        </w:rPr>
        <w:t xml:space="preserve">National Biosafety Authority. (2021). </w:t>
      </w:r>
      <w:r w:rsidRPr="002A59AF">
        <w:rPr>
          <w:rFonts w:ascii="Times New Roman" w:eastAsia="Times New Roman" w:hAnsi="Times New Roman" w:cs="Times New Roman"/>
          <w:i/>
          <w:iCs/>
          <w:sz w:val="24"/>
          <w:szCs w:val="24"/>
          <w:highlight w:val="yellow"/>
        </w:rPr>
        <w:t>Annual Report 2021</w:t>
      </w:r>
      <w:r w:rsidRPr="002A59AF">
        <w:rPr>
          <w:rFonts w:ascii="Times New Roman" w:eastAsia="Times New Roman" w:hAnsi="Times New Roman" w:cs="Times New Roman"/>
          <w:sz w:val="24"/>
          <w:szCs w:val="24"/>
          <w:highlight w:val="yellow"/>
        </w:rPr>
        <w:t>. Nairobi: NBA. https://www.biosafetykenya.go.ke</w:t>
      </w:r>
    </w:p>
    <w:p w14:paraId="74AD1095" w14:textId="77777777" w:rsidR="00861308" w:rsidRPr="00861308" w:rsidRDefault="00861308" w:rsidP="00BA63EB">
      <w:pPr>
        <w:pStyle w:val="NormalWeb"/>
        <w:numPr>
          <w:ilvl w:val="0"/>
          <w:numId w:val="43"/>
        </w:numPr>
        <w:spacing w:before="0" w:beforeAutospacing="0" w:after="0" w:afterAutospacing="0"/>
        <w:jc w:val="both"/>
      </w:pPr>
      <w:r w:rsidRPr="00861308">
        <w:t xml:space="preserve">Nishikawa, Y. (2022). Agroecology, sovereignty and the endogenous development perspective in seed governance. In M. S. Reyes &amp; M. R. Reyes (Eds.), </w:t>
      </w:r>
      <w:r w:rsidRPr="00861308">
        <w:rPr>
          <w:rStyle w:val="Emphasis"/>
          <w:rFonts w:eastAsiaTheme="majorEastAsia"/>
        </w:rPr>
        <w:t>Seeds for diversity and inclusion</w:t>
      </w:r>
      <w:r w:rsidRPr="00861308">
        <w:t xml:space="preserve"> (pp. 215–232). Springer. https://doi.org/10.1007/978-3-030-89405-4_13</w:t>
      </w:r>
    </w:p>
    <w:p w14:paraId="02C5C8E9" w14:textId="77777777" w:rsidR="00861308" w:rsidRPr="00861308" w:rsidRDefault="00861308" w:rsidP="00BA63EB">
      <w:pPr>
        <w:pStyle w:val="NormalWeb"/>
        <w:numPr>
          <w:ilvl w:val="0"/>
          <w:numId w:val="43"/>
        </w:numPr>
        <w:spacing w:before="0" w:beforeAutospacing="0" w:after="0" w:afterAutospacing="0" w:line="360" w:lineRule="auto"/>
        <w:jc w:val="both"/>
      </w:pPr>
      <w:proofErr w:type="spellStart"/>
      <w:r w:rsidRPr="00861308">
        <w:rPr>
          <w:rStyle w:val="Strong"/>
          <w:rFonts w:eastAsiaTheme="majorEastAsia"/>
          <w:b w:val="0"/>
        </w:rPr>
        <w:t>Nyongesa</w:t>
      </w:r>
      <w:proofErr w:type="spellEnd"/>
      <w:r w:rsidRPr="00861308">
        <w:rPr>
          <w:rStyle w:val="Strong"/>
          <w:rFonts w:eastAsiaTheme="majorEastAsia"/>
          <w:b w:val="0"/>
        </w:rPr>
        <w:t xml:space="preserve">, B. O., Oulu, M., </w:t>
      </w:r>
      <w:proofErr w:type="spellStart"/>
      <w:r w:rsidRPr="00861308">
        <w:rPr>
          <w:rStyle w:val="Strong"/>
          <w:rFonts w:eastAsiaTheme="majorEastAsia"/>
          <w:b w:val="0"/>
        </w:rPr>
        <w:t>Wanjam.a</w:t>
      </w:r>
      <w:proofErr w:type="spellEnd"/>
      <w:r w:rsidRPr="00861308">
        <w:rPr>
          <w:rStyle w:val="Strong"/>
          <w:rFonts w:eastAsiaTheme="majorEastAsia"/>
          <w:b w:val="0"/>
        </w:rPr>
        <w:t xml:space="preserve">, D., &amp; </w:t>
      </w:r>
      <w:proofErr w:type="spellStart"/>
      <w:r w:rsidRPr="00861308">
        <w:rPr>
          <w:rStyle w:val="Strong"/>
          <w:rFonts w:eastAsiaTheme="majorEastAsia"/>
          <w:b w:val="0"/>
        </w:rPr>
        <w:t>Akinyi</w:t>
      </w:r>
      <w:proofErr w:type="spellEnd"/>
      <w:r w:rsidRPr="00861308">
        <w:rPr>
          <w:rStyle w:val="Strong"/>
          <w:rFonts w:eastAsiaTheme="majorEastAsia"/>
          <w:b w:val="0"/>
        </w:rPr>
        <w:t>, S. C.</w:t>
      </w:r>
      <w:r w:rsidRPr="00861308">
        <w:t xml:space="preserve"> (2024). </w:t>
      </w:r>
      <w:r w:rsidRPr="00861308">
        <w:rPr>
          <w:rStyle w:val="Emphasis"/>
          <w:rFonts w:eastAsiaTheme="majorEastAsia"/>
        </w:rPr>
        <w:t>Seeds of change: Polyfunctionality, governance, and the sustainability pathways of community seed banks in Kenya</w:t>
      </w:r>
      <w:r w:rsidRPr="00861308">
        <w:t xml:space="preserve">. </w:t>
      </w:r>
      <w:r w:rsidRPr="00861308">
        <w:rPr>
          <w:rStyle w:val="Emphasis"/>
          <w:rFonts w:eastAsiaTheme="majorEastAsia"/>
        </w:rPr>
        <w:t>Research Square</w:t>
      </w:r>
      <w:r w:rsidRPr="00861308">
        <w:t>. https://doi.org/10.21203/rs.3.rs-7092158/v1</w:t>
      </w:r>
    </w:p>
    <w:p w14:paraId="78B944D8" w14:textId="77777777" w:rsidR="00861308" w:rsidRPr="00BA63EB" w:rsidRDefault="00861308" w:rsidP="00BA63EB">
      <w:pPr>
        <w:pStyle w:val="ListParagraph"/>
        <w:numPr>
          <w:ilvl w:val="0"/>
          <w:numId w:val="43"/>
        </w:numPr>
        <w:spacing w:after="0" w:line="240" w:lineRule="auto"/>
        <w:jc w:val="both"/>
        <w:rPr>
          <w:rFonts w:ascii="Times New Roman" w:eastAsia="Times New Roman" w:hAnsi="Times New Roman" w:cs="Times New Roman"/>
          <w:sz w:val="24"/>
          <w:szCs w:val="24"/>
        </w:rPr>
      </w:pPr>
      <w:proofErr w:type="spellStart"/>
      <w:r w:rsidRPr="00BA63EB">
        <w:rPr>
          <w:rFonts w:ascii="Times New Roman" w:eastAsia="Times New Roman" w:hAnsi="Times New Roman" w:cs="Times New Roman"/>
          <w:sz w:val="24"/>
          <w:szCs w:val="24"/>
        </w:rPr>
        <w:t>Odame</w:t>
      </w:r>
      <w:proofErr w:type="spellEnd"/>
      <w:r w:rsidRPr="00BA63EB">
        <w:rPr>
          <w:rFonts w:ascii="Times New Roman" w:eastAsia="Times New Roman" w:hAnsi="Times New Roman" w:cs="Times New Roman"/>
          <w:sz w:val="24"/>
          <w:szCs w:val="24"/>
        </w:rPr>
        <w:t xml:space="preserve">, H., </w:t>
      </w:r>
      <w:proofErr w:type="spellStart"/>
      <w:r w:rsidRPr="00BA63EB">
        <w:rPr>
          <w:rFonts w:ascii="Times New Roman" w:eastAsia="Times New Roman" w:hAnsi="Times New Roman" w:cs="Times New Roman"/>
          <w:sz w:val="24"/>
          <w:szCs w:val="24"/>
        </w:rPr>
        <w:t>Kameri-Mbote</w:t>
      </w:r>
      <w:proofErr w:type="spellEnd"/>
      <w:r w:rsidRPr="00BA63EB">
        <w:rPr>
          <w:rFonts w:ascii="Times New Roman" w:eastAsia="Times New Roman" w:hAnsi="Times New Roman" w:cs="Times New Roman"/>
          <w:sz w:val="24"/>
          <w:szCs w:val="24"/>
        </w:rPr>
        <w:t xml:space="preserve">, P., &amp; </w:t>
      </w:r>
      <w:proofErr w:type="spellStart"/>
      <w:r w:rsidRPr="00BA63EB">
        <w:rPr>
          <w:rFonts w:ascii="Times New Roman" w:eastAsia="Times New Roman" w:hAnsi="Times New Roman" w:cs="Times New Roman"/>
          <w:sz w:val="24"/>
          <w:szCs w:val="24"/>
        </w:rPr>
        <w:t>Wafula</w:t>
      </w:r>
      <w:proofErr w:type="spellEnd"/>
      <w:r w:rsidRPr="00BA63EB">
        <w:rPr>
          <w:rFonts w:ascii="Times New Roman" w:eastAsia="Times New Roman" w:hAnsi="Times New Roman" w:cs="Times New Roman"/>
          <w:sz w:val="24"/>
          <w:szCs w:val="24"/>
        </w:rPr>
        <w:t xml:space="preserve">, D. (2003). </w:t>
      </w:r>
      <w:r w:rsidRPr="00BA63EB">
        <w:rPr>
          <w:rFonts w:ascii="Times New Roman" w:eastAsia="Times New Roman" w:hAnsi="Times New Roman" w:cs="Times New Roman"/>
          <w:i/>
          <w:iCs/>
          <w:sz w:val="24"/>
          <w:szCs w:val="24"/>
        </w:rPr>
        <w:t>Governing modern agricultural biotechnology in Kenya: Implications for food security</w:t>
      </w:r>
      <w:r w:rsidRPr="00BA63EB">
        <w:rPr>
          <w:rFonts w:ascii="Times New Roman" w:eastAsia="Times New Roman" w:hAnsi="Times New Roman" w:cs="Times New Roman"/>
          <w:sz w:val="24"/>
          <w:szCs w:val="24"/>
        </w:rPr>
        <w:t xml:space="preserve"> (IDS Working Paper No. 199). Institute of Development Studies. https://erepository.uonbi.ac.ke</w:t>
      </w:r>
    </w:p>
    <w:p w14:paraId="76930722"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rPr>
          <w:rStyle w:val="Strong"/>
          <w:rFonts w:eastAsiaTheme="majorEastAsia"/>
          <w:b w:val="0"/>
        </w:rPr>
        <w:t>Odame</w:t>
      </w:r>
      <w:proofErr w:type="spellEnd"/>
      <w:r w:rsidRPr="00861308">
        <w:rPr>
          <w:rStyle w:val="Strong"/>
          <w:rFonts w:eastAsiaTheme="majorEastAsia"/>
          <w:b w:val="0"/>
        </w:rPr>
        <w:t xml:space="preserve">, H., </w:t>
      </w:r>
      <w:proofErr w:type="spellStart"/>
      <w:r w:rsidRPr="00861308">
        <w:rPr>
          <w:rStyle w:val="Strong"/>
          <w:rFonts w:eastAsiaTheme="majorEastAsia"/>
          <w:b w:val="0"/>
        </w:rPr>
        <w:t>Kameri-Mbote</w:t>
      </w:r>
      <w:proofErr w:type="spellEnd"/>
      <w:r w:rsidRPr="00861308">
        <w:rPr>
          <w:rStyle w:val="Strong"/>
          <w:rFonts w:eastAsiaTheme="majorEastAsia"/>
          <w:b w:val="0"/>
        </w:rPr>
        <w:t xml:space="preserve">, P., &amp; </w:t>
      </w:r>
      <w:proofErr w:type="spellStart"/>
      <w:r w:rsidRPr="00861308">
        <w:rPr>
          <w:rStyle w:val="Strong"/>
          <w:rFonts w:eastAsiaTheme="majorEastAsia"/>
          <w:b w:val="0"/>
        </w:rPr>
        <w:t>Wafula</w:t>
      </w:r>
      <w:proofErr w:type="spellEnd"/>
      <w:r w:rsidRPr="00861308">
        <w:rPr>
          <w:rStyle w:val="Strong"/>
          <w:rFonts w:eastAsiaTheme="majorEastAsia"/>
          <w:b w:val="0"/>
        </w:rPr>
        <w:t>, D. (n.d.).</w:t>
      </w:r>
      <w:r w:rsidRPr="00861308">
        <w:t xml:space="preserve"> </w:t>
      </w:r>
      <w:proofErr w:type="spellStart"/>
      <w:r w:rsidRPr="00861308">
        <w:t>Globalisation</w:t>
      </w:r>
      <w:proofErr w:type="spellEnd"/>
      <w:r w:rsidRPr="00861308">
        <w:t xml:space="preserve"> and the international governance of modern biotechnology: Implications for food security in Kenya. </w:t>
      </w:r>
      <w:r w:rsidRPr="00861308">
        <w:rPr>
          <w:rStyle w:val="Emphasis"/>
        </w:rPr>
        <w:t>African Centre for Technology Studies</w:t>
      </w:r>
      <w:r w:rsidRPr="00861308">
        <w:t>. https://erepository.uonbi.ac.ke/handle/11295/84758</w:t>
      </w:r>
    </w:p>
    <w:p w14:paraId="01858D14" w14:textId="77777777" w:rsidR="00861308" w:rsidRPr="00861308" w:rsidRDefault="00861308" w:rsidP="00BA63EB">
      <w:pPr>
        <w:pStyle w:val="NormalWeb"/>
        <w:numPr>
          <w:ilvl w:val="0"/>
          <w:numId w:val="43"/>
        </w:numPr>
        <w:spacing w:before="0" w:beforeAutospacing="0" w:after="0" w:afterAutospacing="0"/>
        <w:jc w:val="both"/>
      </w:pPr>
      <w:r w:rsidRPr="00861308">
        <w:t xml:space="preserve">Ong, A. (2006). </w:t>
      </w:r>
      <w:r w:rsidRPr="00861308">
        <w:rPr>
          <w:rStyle w:val="Emphasis"/>
          <w:rFonts w:eastAsiaTheme="majorEastAsia"/>
        </w:rPr>
        <w:t>Neoliberalism as exception: Mutations in citizenship and sovereignty</w:t>
      </w:r>
      <w:r w:rsidRPr="00861308">
        <w:t>. Duke University Press. https://doi.org/10.2307/j.ctv125jhp</w:t>
      </w:r>
    </w:p>
    <w:p w14:paraId="7B81F721" w14:textId="77777777" w:rsidR="00861308" w:rsidRPr="00861308" w:rsidRDefault="00861308" w:rsidP="00BA63EB">
      <w:pPr>
        <w:pStyle w:val="NormalWeb"/>
        <w:numPr>
          <w:ilvl w:val="0"/>
          <w:numId w:val="43"/>
        </w:numPr>
        <w:spacing w:before="0" w:beforeAutospacing="0" w:after="0" w:afterAutospacing="0"/>
        <w:jc w:val="both"/>
      </w:pPr>
      <w:r w:rsidRPr="00861308">
        <w:t xml:space="preserve">Republic of Kenya. (2012). </w:t>
      </w:r>
      <w:r w:rsidRPr="00861308">
        <w:rPr>
          <w:rStyle w:val="Emphasis"/>
          <w:rFonts w:eastAsiaTheme="majorEastAsia"/>
        </w:rPr>
        <w:t>Seed and Plant Varieties Act (Cap. 326)</w:t>
      </w:r>
      <w:r w:rsidRPr="00861308">
        <w:t>. Nairobi: National Council for Law Reporting. https://www.kenyalaw.org</w:t>
      </w:r>
    </w:p>
    <w:p w14:paraId="43F2960A"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t>Scoones</w:t>
      </w:r>
      <w:proofErr w:type="spellEnd"/>
      <w:r w:rsidRPr="00861308">
        <w:t xml:space="preserve">, I., &amp; Stirling, A. (2020). </w:t>
      </w:r>
      <w:r w:rsidRPr="00861308">
        <w:rPr>
          <w:rStyle w:val="Emphasis"/>
          <w:rFonts w:eastAsiaTheme="majorEastAsia"/>
        </w:rPr>
        <w:t>The politics of uncertainty: Challenges of transformation</w:t>
      </w:r>
      <w:r w:rsidRPr="00861308">
        <w:t>. Routledge. https://doi.org/10.4324/9780429446245</w:t>
      </w:r>
    </w:p>
    <w:p w14:paraId="6C879137"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t>Scoones</w:t>
      </w:r>
      <w:proofErr w:type="spellEnd"/>
      <w:r w:rsidRPr="00861308">
        <w:t xml:space="preserve">, I., Leach, M., &amp; Stirling, A. (2011). Pathways to sustainability: Perspectives and provocations. </w:t>
      </w:r>
      <w:r w:rsidRPr="00861308">
        <w:rPr>
          <w:rStyle w:val="Emphasis"/>
          <w:rFonts w:eastAsiaTheme="majorEastAsia"/>
        </w:rPr>
        <w:t>Environment and Planning A, 43</w:t>
      </w:r>
      <w:r w:rsidRPr="00861308">
        <w:t>(5), 1226–1237. https://doi.org/10.1068/a227sym</w:t>
      </w:r>
    </w:p>
    <w:p w14:paraId="27DACA11" w14:textId="77777777" w:rsidR="00861308" w:rsidRPr="00861308" w:rsidRDefault="00861308" w:rsidP="00BA63EB">
      <w:pPr>
        <w:pStyle w:val="NormalWeb"/>
        <w:numPr>
          <w:ilvl w:val="0"/>
          <w:numId w:val="43"/>
        </w:numPr>
        <w:spacing w:before="0" w:beforeAutospacing="0" w:after="0" w:afterAutospacing="0"/>
        <w:jc w:val="both"/>
      </w:pPr>
      <w:proofErr w:type="spellStart"/>
      <w:r w:rsidRPr="00861308">
        <w:t>Sokka</w:t>
      </w:r>
      <w:proofErr w:type="spellEnd"/>
      <w:r w:rsidRPr="00861308">
        <w:t xml:space="preserve">, S., Kangas, A., &amp; </w:t>
      </w:r>
      <w:proofErr w:type="spellStart"/>
      <w:r w:rsidRPr="00861308">
        <w:t>Aarrevaara</w:t>
      </w:r>
      <w:proofErr w:type="spellEnd"/>
      <w:r w:rsidRPr="00861308">
        <w:t xml:space="preserve">, T. (2022). Governance of cultural heritage: Towards participatory approaches. </w:t>
      </w:r>
      <w:r w:rsidRPr="00861308">
        <w:rPr>
          <w:rStyle w:val="Emphasis"/>
          <w:rFonts w:eastAsiaTheme="majorEastAsia"/>
        </w:rPr>
        <w:t>ENCATC Journal of Cultural Management and Policy, 12</w:t>
      </w:r>
      <w:r w:rsidRPr="00861308">
        <w:t xml:space="preserve">(1), </w:t>
      </w:r>
      <w:r w:rsidRPr="00861308">
        <w:lastRenderedPageBreak/>
        <w:t>45–58. https://www.encatc.org/media/6206-governance-of-cultural-heritage-towards-participatory-approaches-by-saka.pdf</w:t>
      </w:r>
    </w:p>
    <w:p w14:paraId="0F86B4FC" w14:textId="77777777" w:rsidR="00861308" w:rsidRPr="00861308" w:rsidRDefault="00861308" w:rsidP="00BA63EB">
      <w:pPr>
        <w:pStyle w:val="NormalWeb"/>
        <w:numPr>
          <w:ilvl w:val="0"/>
          <w:numId w:val="43"/>
        </w:numPr>
        <w:spacing w:before="0" w:beforeAutospacing="0" w:after="0" w:afterAutospacing="0"/>
        <w:jc w:val="both"/>
      </w:pPr>
      <w:r w:rsidRPr="00861308">
        <w:t xml:space="preserve">Stirling, A. (2008). </w:t>
      </w:r>
      <w:r w:rsidRPr="00861308">
        <w:rPr>
          <w:rStyle w:val="Emphasis"/>
          <w:rFonts w:eastAsiaTheme="majorEastAsia"/>
        </w:rPr>
        <w:t>“Opening up” and “closing down”: Power, participation, and pluralism in the social appraisal of technology</w:t>
      </w:r>
      <w:r w:rsidRPr="00861308">
        <w:t xml:space="preserve">. </w:t>
      </w:r>
      <w:r w:rsidRPr="00861308">
        <w:rPr>
          <w:rStyle w:val="Emphasis"/>
          <w:rFonts w:eastAsiaTheme="majorEastAsia"/>
        </w:rPr>
        <w:t>Science, Technology &amp; Human Values, 33</w:t>
      </w:r>
      <w:r w:rsidRPr="00861308">
        <w:t>(2), 262–294. https://doi.org/10.1177/0162243907311265</w:t>
      </w:r>
    </w:p>
    <w:p w14:paraId="3DD9F3F9" w14:textId="77777777" w:rsidR="00861308" w:rsidRPr="00861308" w:rsidRDefault="00861308" w:rsidP="00BA63EB">
      <w:pPr>
        <w:pStyle w:val="NormalWeb"/>
        <w:numPr>
          <w:ilvl w:val="0"/>
          <w:numId w:val="43"/>
        </w:numPr>
        <w:spacing w:before="0" w:beforeAutospacing="0" w:after="0" w:afterAutospacing="0"/>
        <w:jc w:val="both"/>
      </w:pPr>
      <w:r w:rsidRPr="00861308">
        <w:t xml:space="preserve">Tajima, H., Sato, T., </w:t>
      </w:r>
      <w:proofErr w:type="spellStart"/>
      <w:r w:rsidRPr="00861308">
        <w:t>Matewere</w:t>
      </w:r>
      <w:proofErr w:type="spellEnd"/>
      <w:r w:rsidRPr="00861308">
        <w:t xml:space="preserve">, J. B., </w:t>
      </w:r>
      <w:proofErr w:type="spellStart"/>
      <w:r w:rsidRPr="00861308">
        <w:t>Rampisela</w:t>
      </w:r>
      <w:proofErr w:type="spellEnd"/>
      <w:r w:rsidRPr="00861308">
        <w:t xml:space="preserve">, D. A., </w:t>
      </w:r>
      <w:proofErr w:type="spellStart"/>
      <w:r w:rsidRPr="00861308">
        <w:t>Shimagami</w:t>
      </w:r>
      <w:proofErr w:type="spellEnd"/>
      <w:r w:rsidRPr="00861308">
        <w:t xml:space="preserve">, M., </w:t>
      </w:r>
      <w:proofErr w:type="spellStart"/>
      <w:r w:rsidRPr="00861308">
        <w:t>Takemura</w:t>
      </w:r>
      <w:proofErr w:type="spellEnd"/>
      <w:r w:rsidRPr="00861308">
        <w:t xml:space="preserve">, S., &amp; Makino, M. (2025). Mechanisms of synergy creation for social-ecological transformation: Leverage point analysis of the emergence of autonomous innovations. </w:t>
      </w:r>
      <w:r w:rsidRPr="00861308">
        <w:rPr>
          <w:rStyle w:val="Emphasis"/>
          <w:rFonts w:eastAsiaTheme="majorEastAsia"/>
        </w:rPr>
        <w:t>PLOS ONE, 20</w:t>
      </w:r>
      <w:r w:rsidRPr="00861308">
        <w:t>(5), e0323451. https://doi.org/10.1371/journal.pone.0323451</w:t>
      </w:r>
    </w:p>
    <w:p w14:paraId="35A6B02D" w14:textId="77777777" w:rsidR="00861308" w:rsidRPr="00861308" w:rsidRDefault="00861308" w:rsidP="00BA63EB">
      <w:pPr>
        <w:pStyle w:val="NormalWeb"/>
        <w:numPr>
          <w:ilvl w:val="0"/>
          <w:numId w:val="43"/>
        </w:numPr>
        <w:spacing w:before="0" w:beforeAutospacing="0" w:after="0" w:afterAutospacing="0"/>
        <w:jc w:val="both"/>
      </w:pPr>
      <w:bookmarkStart w:id="0" w:name="_GoBack"/>
      <w:bookmarkEnd w:id="0"/>
      <w:proofErr w:type="spellStart"/>
      <w:r w:rsidRPr="00861308">
        <w:rPr>
          <w:rStyle w:val="Strong"/>
          <w:rFonts w:eastAsiaTheme="majorEastAsia"/>
          <w:b w:val="0"/>
        </w:rPr>
        <w:t>Wafula</w:t>
      </w:r>
      <w:proofErr w:type="spellEnd"/>
      <w:r w:rsidRPr="00861308">
        <w:rPr>
          <w:rStyle w:val="Strong"/>
          <w:rFonts w:eastAsiaTheme="majorEastAsia"/>
          <w:b w:val="0"/>
        </w:rPr>
        <w:t>, D. A.</w:t>
      </w:r>
      <w:r w:rsidRPr="00861308">
        <w:t xml:space="preserve"> (2003). </w:t>
      </w:r>
      <w:r w:rsidRPr="00861308">
        <w:rPr>
          <w:rStyle w:val="Emphasis"/>
        </w:rPr>
        <w:t>Governing modern agricultural biotechnology in Kenya: Implications for food security</w:t>
      </w:r>
      <w:r w:rsidRPr="00861308">
        <w:t>. Institute of Development Studies Working Paper. https://www.academia.edu/113277791</w:t>
      </w:r>
    </w:p>
    <w:p w14:paraId="56C18663" w14:textId="77777777" w:rsidR="00861308" w:rsidRPr="009E1457" w:rsidRDefault="00861308" w:rsidP="00BA63EB">
      <w:pPr>
        <w:pStyle w:val="NormalWeb"/>
        <w:numPr>
          <w:ilvl w:val="0"/>
          <w:numId w:val="43"/>
        </w:numPr>
        <w:spacing w:before="0" w:beforeAutospacing="0" w:after="0" w:afterAutospacing="0"/>
        <w:jc w:val="both"/>
      </w:pPr>
      <w:r w:rsidRPr="00861308">
        <w:t xml:space="preserve">Wynne, B. (2001). Creating public alienation: Expert cultures of risk and ethics on GMOs. </w:t>
      </w:r>
      <w:r w:rsidRPr="00861308">
        <w:rPr>
          <w:rStyle w:val="Emphasis"/>
          <w:rFonts w:eastAsiaTheme="majorEastAsia"/>
        </w:rPr>
        <w:t>Science as Culture</w:t>
      </w:r>
      <w:r w:rsidRPr="00861308">
        <w:t xml:space="preserve">, </w:t>
      </w:r>
      <w:r w:rsidRPr="00861308">
        <w:rPr>
          <w:rStyle w:val="Emphasis"/>
          <w:rFonts w:eastAsiaTheme="majorEastAsia"/>
        </w:rPr>
        <w:t>10</w:t>
      </w:r>
      <w:r w:rsidRPr="00861308">
        <w:t>(4), 445–481. https://doi.org/10.1080/09505430120093586</w:t>
      </w:r>
    </w:p>
    <w:p w14:paraId="40B6D89D" w14:textId="77777777" w:rsidR="00D44D2C" w:rsidRPr="009E1457" w:rsidRDefault="00D44D2C" w:rsidP="009E1457">
      <w:pPr>
        <w:jc w:val="both"/>
        <w:rPr>
          <w:rFonts w:ascii="Times New Roman" w:hAnsi="Times New Roman" w:cs="Times New Roman"/>
          <w:sz w:val="24"/>
          <w:szCs w:val="24"/>
        </w:rPr>
      </w:pPr>
    </w:p>
    <w:p w14:paraId="41A0CE4F" w14:textId="77777777" w:rsidR="00D44D2C" w:rsidRPr="009E1457" w:rsidRDefault="00D44D2C" w:rsidP="009E1457">
      <w:pPr>
        <w:jc w:val="both"/>
        <w:rPr>
          <w:rFonts w:ascii="Times New Roman" w:hAnsi="Times New Roman" w:cs="Times New Roman"/>
          <w:sz w:val="24"/>
          <w:szCs w:val="24"/>
        </w:rPr>
      </w:pPr>
    </w:p>
    <w:p w14:paraId="51178D48" w14:textId="77777777" w:rsidR="00D547D6" w:rsidRPr="009E1457" w:rsidRDefault="00D547D6" w:rsidP="009E1457">
      <w:pPr>
        <w:jc w:val="both"/>
        <w:rPr>
          <w:rFonts w:ascii="Times New Roman" w:hAnsi="Times New Roman" w:cs="Times New Roman"/>
          <w:sz w:val="24"/>
          <w:szCs w:val="24"/>
        </w:rPr>
      </w:pPr>
    </w:p>
    <w:p w14:paraId="0F93E22B" w14:textId="77777777" w:rsidR="00D547D6" w:rsidRPr="009E1457" w:rsidRDefault="00D547D6" w:rsidP="009E1457">
      <w:pPr>
        <w:jc w:val="both"/>
        <w:rPr>
          <w:rFonts w:ascii="Times New Roman" w:hAnsi="Times New Roman" w:cs="Times New Roman"/>
          <w:sz w:val="24"/>
          <w:szCs w:val="24"/>
        </w:rPr>
      </w:pPr>
    </w:p>
    <w:p w14:paraId="37584B63" w14:textId="77777777" w:rsidR="00D547D6" w:rsidRPr="009E1457" w:rsidRDefault="00D547D6" w:rsidP="009E1457">
      <w:pPr>
        <w:jc w:val="both"/>
        <w:rPr>
          <w:rFonts w:ascii="Times New Roman" w:hAnsi="Times New Roman" w:cs="Times New Roman"/>
          <w:sz w:val="24"/>
          <w:szCs w:val="24"/>
        </w:rPr>
      </w:pPr>
    </w:p>
    <w:p w14:paraId="5150DE8B" w14:textId="77777777" w:rsidR="00D547D6" w:rsidRPr="009E1457" w:rsidRDefault="00D547D6" w:rsidP="009E1457">
      <w:pPr>
        <w:jc w:val="both"/>
        <w:rPr>
          <w:rFonts w:ascii="Times New Roman" w:hAnsi="Times New Roman" w:cs="Times New Roman"/>
          <w:sz w:val="24"/>
          <w:szCs w:val="24"/>
        </w:rPr>
      </w:pPr>
    </w:p>
    <w:p w14:paraId="26766293" w14:textId="77777777" w:rsidR="00D547D6" w:rsidRPr="009E1457" w:rsidRDefault="00D547D6" w:rsidP="009E1457">
      <w:pPr>
        <w:jc w:val="both"/>
        <w:rPr>
          <w:rFonts w:ascii="Times New Roman" w:hAnsi="Times New Roman" w:cs="Times New Roman"/>
          <w:sz w:val="24"/>
          <w:szCs w:val="24"/>
        </w:rPr>
      </w:pPr>
    </w:p>
    <w:p w14:paraId="26B06058" w14:textId="77777777" w:rsidR="00D547D6" w:rsidRPr="009E1457" w:rsidRDefault="00D547D6" w:rsidP="009E1457">
      <w:pPr>
        <w:jc w:val="both"/>
        <w:rPr>
          <w:rFonts w:ascii="Times New Roman" w:hAnsi="Times New Roman" w:cs="Times New Roman"/>
          <w:sz w:val="24"/>
          <w:szCs w:val="24"/>
        </w:rPr>
      </w:pPr>
    </w:p>
    <w:p w14:paraId="576CD99F" w14:textId="77777777" w:rsidR="00D547D6" w:rsidRPr="009E1457" w:rsidRDefault="00D547D6" w:rsidP="009E1457">
      <w:pPr>
        <w:jc w:val="both"/>
        <w:rPr>
          <w:rFonts w:ascii="Times New Roman" w:hAnsi="Times New Roman" w:cs="Times New Roman"/>
          <w:sz w:val="24"/>
          <w:szCs w:val="24"/>
        </w:rPr>
      </w:pPr>
    </w:p>
    <w:p w14:paraId="05E597CF" w14:textId="77777777" w:rsidR="00D547D6" w:rsidRPr="009E1457" w:rsidRDefault="00D547D6" w:rsidP="009E1457">
      <w:pPr>
        <w:jc w:val="both"/>
        <w:rPr>
          <w:rFonts w:ascii="Times New Roman" w:hAnsi="Times New Roman" w:cs="Times New Roman"/>
          <w:sz w:val="24"/>
          <w:szCs w:val="24"/>
        </w:rPr>
      </w:pPr>
    </w:p>
    <w:p w14:paraId="53FD9B04" w14:textId="77777777" w:rsidR="00D547D6" w:rsidRPr="009E1457" w:rsidRDefault="00D547D6" w:rsidP="009E1457">
      <w:pPr>
        <w:jc w:val="both"/>
        <w:rPr>
          <w:rFonts w:ascii="Times New Roman" w:hAnsi="Times New Roman" w:cs="Times New Roman"/>
          <w:sz w:val="24"/>
          <w:szCs w:val="24"/>
        </w:rPr>
      </w:pPr>
    </w:p>
    <w:p w14:paraId="4330D8D8" w14:textId="77777777" w:rsidR="00D44D2C" w:rsidRPr="009E1457" w:rsidRDefault="00D44D2C" w:rsidP="009E1457">
      <w:pPr>
        <w:jc w:val="both"/>
        <w:rPr>
          <w:rFonts w:ascii="Times New Roman" w:hAnsi="Times New Roman" w:cs="Times New Roman"/>
          <w:sz w:val="24"/>
          <w:szCs w:val="24"/>
        </w:rPr>
      </w:pPr>
    </w:p>
    <w:p w14:paraId="43FBC1FE" w14:textId="77777777" w:rsidR="00D44D2C" w:rsidRPr="009E1457" w:rsidRDefault="00D44D2C" w:rsidP="009E1457">
      <w:pPr>
        <w:jc w:val="both"/>
        <w:rPr>
          <w:rFonts w:ascii="Times New Roman" w:hAnsi="Times New Roman" w:cs="Times New Roman"/>
          <w:sz w:val="24"/>
          <w:szCs w:val="24"/>
        </w:rPr>
      </w:pPr>
    </w:p>
    <w:p w14:paraId="2C4DF9DA" w14:textId="77777777" w:rsidR="00D44D2C" w:rsidRPr="009E1457" w:rsidRDefault="00D44D2C" w:rsidP="009E1457">
      <w:pPr>
        <w:jc w:val="both"/>
        <w:rPr>
          <w:rFonts w:ascii="Times New Roman" w:hAnsi="Times New Roman" w:cs="Times New Roman"/>
          <w:sz w:val="24"/>
          <w:szCs w:val="24"/>
        </w:rPr>
      </w:pPr>
    </w:p>
    <w:p w14:paraId="4676EC19" w14:textId="77777777" w:rsidR="00D44D2C" w:rsidRPr="009E1457" w:rsidRDefault="00D44D2C" w:rsidP="009E1457">
      <w:pPr>
        <w:jc w:val="both"/>
        <w:rPr>
          <w:rFonts w:ascii="Times New Roman" w:hAnsi="Times New Roman" w:cs="Times New Roman"/>
          <w:sz w:val="24"/>
          <w:szCs w:val="24"/>
        </w:rPr>
      </w:pPr>
    </w:p>
    <w:p w14:paraId="5B4C54FF" w14:textId="77777777" w:rsidR="00D44D2C" w:rsidRPr="009E1457" w:rsidRDefault="00D44D2C" w:rsidP="009E1457">
      <w:pPr>
        <w:jc w:val="both"/>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44D2C" w:rsidRPr="009E1457" w14:paraId="45CFE010" w14:textId="77777777" w:rsidTr="00A354B5">
        <w:trPr>
          <w:tblCellSpacing w:w="15" w:type="dxa"/>
        </w:trPr>
        <w:tc>
          <w:tcPr>
            <w:tcW w:w="0" w:type="auto"/>
            <w:vAlign w:val="center"/>
            <w:hideMark/>
          </w:tcPr>
          <w:p w14:paraId="1A659348" w14:textId="77777777" w:rsidR="00D44D2C" w:rsidRPr="009E1457" w:rsidRDefault="00D44D2C" w:rsidP="009E1457">
            <w:pPr>
              <w:pStyle w:val="Heading2"/>
              <w:jc w:val="both"/>
              <w:rPr>
                <w:rFonts w:cs="Times New Roman"/>
                <w:szCs w:val="24"/>
              </w:rPr>
            </w:pPr>
          </w:p>
        </w:tc>
      </w:tr>
    </w:tbl>
    <w:p w14:paraId="52D39469" w14:textId="77777777" w:rsidR="00D44D2C" w:rsidRPr="009E1457" w:rsidRDefault="00D44D2C" w:rsidP="009E1457">
      <w:pPr>
        <w:jc w:val="both"/>
        <w:rPr>
          <w:rFonts w:ascii="Times New Roman" w:hAnsi="Times New Roman" w:cs="Times New Roman"/>
          <w:sz w:val="24"/>
          <w:szCs w:val="24"/>
        </w:rPr>
      </w:pPr>
    </w:p>
    <w:p w14:paraId="19F16EBE" w14:textId="77777777" w:rsidR="00D44D2C" w:rsidRPr="009E1457" w:rsidRDefault="00D44D2C" w:rsidP="009E1457">
      <w:pPr>
        <w:jc w:val="both"/>
        <w:rPr>
          <w:rFonts w:ascii="Times New Roman" w:hAnsi="Times New Roman" w:cs="Times New Roman"/>
          <w:sz w:val="24"/>
          <w:szCs w:val="24"/>
        </w:rPr>
      </w:pPr>
    </w:p>
    <w:sectPr w:rsidR="00D44D2C" w:rsidRPr="009E145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1D859" w14:textId="77777777" w:rsidR="00D85EF9" w:rsidRDefault="00D85EF9" w:rsidP="00D7257E">
      <w:pPr>
        <w:spacing w:after="0" w:line="240" w:lineRule="auto"/>
      </w:pPr>
      <w:r>
        <w:separator/>
      </w:r>
    </w:p>
  </w:endnote>
  <w:endnote w:type="continuationSeparator" w:id="0">
    <w:p w14:paraId="308D9F2E" w14:textId="77777777" w:rsidR="00D85EF9" w:rsidRDefault="00D85EF9" w:rsidP="00D72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86FC6" w14:textId="77777777" w:rsidR="00D7257E" w:rsidRDefault="00D725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F4DAF" w14:textId="77777777" w:rsidR="00D7257E" w:rsidRDefault="00D725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312AA" w14:textId="77777777" w:rsidR="00D7257E" w:rsidRDefault="00D725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249CA" w14:textId="77777777" w:rsidR="00D85EF9" w:rsidRDefault="00D85EF9" w:rsidP="00D7257E">
      <w:pPr>
        <w:spacing w:after="0" w:line="240" w:lineRule="auto"/>
      </w:pPr>
      <w:r>
        <w:separator/>
      </w:r>
    </w:p>
  </w:footnote>
  <w:footnote w:type="continuationSeparator" w:id="0">
    <w:p w14:paraId="578A5C34" w14:textId="77777777" w:rsidR="00D85EF9" w:rsidRDefault="00D85EF9" w:rsidP="00D72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A90EA" w14:textId="05A33A7A" w:rsidR="00D7257E" w:rsidRDefault="002A59AF">
    <w:pPr>
      <w:pStyle w:val="Header"/>
    </w:pPr>
    <w:r>
      <w:rPr>
        <w:noProof/>
      </w:rPr>
      <w:pict w14:anchorId="621CC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05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F8ED8" w14:textId="066DE4FF" w:rsidR="00D7257E" w:rsidRDefault="002A59AF">
    <w:pPr>
      <w:pStyle w:val="Header"/>
    </w:pPr>
    <w:r>
      <w:rPr>
        <w:noProof/>
      </w:rPr>
      <w:pict w14:anchorId="6BC883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05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7E1A0" w14:textId="018CF683" w:rsidR="00D7257E" w:rsidRDefault="002A59AF">
    <w:pPr>
      <w:pStyle w:val="Header"/>
    </w:pPr>
    <w:r>
      <w:rPr>
        <w:noProof/>
      </w:rPr>
      <w:pict w14:anchorId="3C82D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05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184D"/>
    <w:multiLevelType w:val="multilevel"/>
    <w:tmpl w:val="F6C4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D367A"/>
    <w:multiLevelType w:val="multilevel"/>
    <w:tmpl w:val="4A1C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A52D5"/>
    <w:multiLevelType w:val="multilevel"/>
    <w:tmpl w:val="25302832"/>
    <w:lvl w:ilvl="0">
      <w:start w:val="1"/>
      <w:numFmt w:val="decimal"/>
      <w:pStyle w:val="Heading1"/>
      <w:lvlText w:val="%1.0"/>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551144C"/>
    <w:multiLevelType w:val="multilevel"/>
    <w:tmpl w:val="A9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B0BD6"/>
    <w:multiLevelType w:val="multilevel"/>
    <w:tmpl w:val="906C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D2E9E"/>
    <w:multiLevelType w:val="multilevel"/>
    <w:tmpl w:val="24FE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F4AAA"/>
    <w:multiLevelType w:val="multilevel"/>
    <w:tmpl w:val="3222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015966"/>
    <w:multiLevelType w:val="multilevel"/>
    <w:tmpl w:val="C4F6C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000222"/>
    <w:multiLevelType w:val="hybridMultilevel"/>
    <w:tmpl w:val="D94CE5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84052E"/>
    <w:multiLevelType w:val="multilevel"/>
    <w:tmpl w:val="B716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387A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6F3954"/>
    <w:multiLevelType w:val="multilevel"/>
    <w:tmpl w:val="30C4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5240F9"/>
    <w:multiLevelType w:val="multilevel"/>
    <w:tmpl w:val="90A69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5216F5"/>
    <w:multiLevelType w:val="multilevel"/>
    <w:tmpl w:val="CDCA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651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B61D11"/>
    <w:multiLevelType w:val="multilevel"/>
    <w:tmpl w:val="9578C7A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8612A6"/>
    <w:multiLevelType w:val="multilevel"/>
    <w:tmpl w:val="5554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72984"/>
    <w:multiLevelType w:val="multilevel"/>
    <w:tmpl w:val="B68CC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B1262"/>
    <w:multiLevelType w:val="multilevel"/>
    <w:tmpl w:val="C660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3D5D78"/>
    <w:multiLevelType w:val="multilevel"/>
    <w:tmpl w:val="3E74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E476C7"/>
    <w:multiLevelType w:val="multilevel"/>
    <w:tmpl w:val="19DA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B00316"/>
    <w:multiLevelType w:val="multilevel"/>
    <w:tmpl w:val="22B2612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C3B6777"/>
    <w:multiLevelType w:val="multilevel"/>
    <w:tmpl w:val="F8CA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B10E70"/>
    <w:multiLevelType w:val="multilevel"/>
    <w:tmpl w:val="30A8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B705C7"/>
    <w:multiLevelType w:val="multilevel"/>
    <w:tmpl w:val="B358C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4F3B5A"/>
    <w:multiLevelType w:val="hybridMultilevel"/>
    <w:tmpl w:val="42E26D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75A0FCC"/>
    <w:multiLevelType w:val="multilevel"/>
    <w:tmpl w:val="52E2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3E16BD"/>
    <w:multiLevelType w:val="multilevel"/>
    <w:tmpl w:val="1C46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4C45C8"/>
    <w:multiLevelType w:val="hybridMultilevel"/>
    <w:tmpl w:val="19F63B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B093B5D"/>
    <w:multiLevelType w:val="multilevel"/>
    <w:tmpl w:val="2696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192538"/>
    <w:multiLevelType w:val="multilevel"/>
    <w:tmpl w:val="433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9366E2"/>
    <w:multiLevelType w:val="multilevel"/>
    <w:tmpl w:val="85B4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DC40DC"/>
    <w:multiLevelType w:val="multilevel"/>
    <w:tmpl w:val="D890A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386E2F"/>
    <w:multiLevelType w:val="multilevel"/>
    <w:tmpl w:val="A532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511B1A"/>
    <w:multiLevelType w:val="multilevel"/>
    <w:tmpl w:val="D8A83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22627D"/>
    <w:multiLevelType w:val="multilevel"/>
    <w:tmpl w:val="3E72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BD19A4"/>
    <w:multiLevelType w:val="multilevel"/>
    <w:tmpl w:val="DEE6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E3323A"/>
    <w:multiLevelType w:val="multilevel"/>
    <w:tmpl w:val="5120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9454F8"/>
    <w:multiLevelType w:val="multilevel"/>
    <w:tmpl w:val="E8BA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A80EAE"/>
    <w:multiLevelType w:val="multilevel"/>
    <w:tmpl w:val="AC72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630A52"/>
    <w:multiLevelType w:val="multilevel"/>
    <w:tmpl w:val="2DE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914923"/>
    <w:multiLevelType w:val="multilevel"/>
    <w:tmpl w:val="EEB0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7"/>
  </w:num>
  <w:num w:numId="3">
    <w:abstractNumId w:val="9"/>
  </w:num>
  <w:num w:numId="4">
    <w:abstractNumId w:val="32"/>
  </w:num>
  <w:num w:numId="5">
    <w:abstractNumId w:val="5"/>
  </w:num>
  <w:num w:numId="6">
    <w:abstractNumId w:val="20"/>
  </w:num>
  <w:num w:numId="7">
    <w:abstractNumId w:val="7"/>
  </w:num>
  <w:num w:numId="8">
    <w:abstractNumId w:val="11"/>
  </w:num>
  <w:num w:numId="9">
    <w:abstractNumId w:val="12"/>
  </w:num>
  <w:num w:numId="10">
    <w:abstractNumId w:val="0"/>
  </w:num>
  <w:num w:numId="11">
    <w:abstractNumId w:val="13"/>
  </w:num>
  <w:num w:numId="12">
    <w:abstractNumId w:val="16"/>
  </w:num>
  <w:num w:numId="13">
    <w:abstractNumId w:val="30"/>
  </w:num>
  <w:num w:numId="14">
    <w:abstractNumId w:val="34"/>
  </w:num>
  <w:num w:numId="15">
    <w:abstractNumId w:val="6"/>
  </w:num>
  <w:num w:numId="16">
    <w:abstractNumId w:val="15"/>
  </w:num>
  <w:num w:numId="17">
    <w:abstractNumId w:val="4"/>
  </w:num>
  <w:num w:numId="18">
    <w:abstractNumId w:val="28"/>
  </w:num>
  <w:num w:numId="19">
    <w:abstractNumId w:val="8"/>
  </w:num>
  <w:num w:numId="20">
    <w:abstractNumId w:val="1"/>
  </w:num>
  <w:num w:numId="21">
    <w:abstractNumId w:val="22"/>
  </w:num>
  <w:num w:numId="22">
    <w:abstractNumId w:val="41"/>
  </w:num>
  <w:num w:numId="23">
    <w:abstractNumId w:val="23"/>
  </w:num>
  <w:num w:numId="24">
    <w:abstractNumId w:val="24"/>
  </w:num>
  <w:num w:numId="25">
    <w:abstractNumId w:val="3"/>
  </w:num>
  <w:num w:numId="26">
    <w:abstractNumId w:val="37"/>
  </w:num>
  <w:num w:numId="27">
    <w:abstractNumId w:val="39"/>
  </w:num>
  <w:num w:numId="28">
    <w:abstractNumId w:val="18"/>
  </w:num>
  <w:num w:numId="29">
    <w:abstractNumId w:val="29"/>
  </w:num>
  <w:num w:numId="30">
    <w:abstractNumId w:val="40"/>
  </w:num>
  <w:num w:numId="31">
    <w:abstractNumId w:val="36"/>
  </w:num>
  <w:num w:numId="32">
    <w:abstractNumId w:val="21"/>
  </w:num>
  <w:num w:numId="33">
    <w:abstractNumId w:val="2"/>
  </w:num>
  <w:num w:numId="34">
    <w:abstractNumId w:val="33"/>
  </w:num>
  <w:num w:numId="35">
    <w:abstractNumId w:val="2"/>
    <w:lvlOverride w:ilvl="0">
      <w:startOverride w:val="3"/>
    </w:lvlOverride>
    <w:lvlOverride w:ilvl="1">
      <w:startOverride w:val="2"/>
    </w:lvlOverride>
  </w:num>
  <w:num w:numId="36">
    <w:abstractNumId w:val="14"/>
  </w:num>
  <w:num w:numId="37">
    <w:abstractNumId w:val="10"/>
  </w:num>
  <w:num w:numId="38">
    <w:abstractNumId w:val="26"/>
  </w:num>
  <w:num w:numId="39">
    <w:abstractNumId w:val="17"/>
  </w:num>
  <w:num w:numId="40">
    <w:abstractNumId w:val="35"/>
  </w:num>
  <w:num w:numId="41">
    <w:abstractNumId w:val="38"/>
  </w:num>
  <w:num w:numId="42">
    <w:abstractNumId w:val="3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3MLI0NzU0ALJNjZV0lIJTi4sz8/NACgxrAbhul6ksAAAA"/>
  </w:docVars>
  <w:rsids>
    <w:rsidRoot w:val="0054071F"/>
    <w:rsid w:val="00007D51"/>
    <w:rsid w:val="00026EB2"/>
    <w:rsid w:val="00034F59"/>
    <w:rsid w:val="0008421A"/>
    <w:rsid w:val="00085BEA"/>
    <w:rsid w:val="00086D79"/>
    <w:rsid w:val="00091036"/>
    <w:rsid w:val="00097B42"/>
    <w:rsid w:val="000A05CA"/>
    <w:rsid w:val="000E4DC1"/>
    <w:rsid w:val="000F468D"/>
    <w:rsid w:val="000F60DD"/>
    <w:rsid w:val="001060DE"/>
    <w:rsid w:val="00125B22"/>
    <w:rsid w:val="001644D4"/>
    <w:rsid w:val="00170256"/>
    <w:rsid w:val="001A2F89"/>
    <w:rsid w:val="00224169"/>
    <w:rsid w:val="002342FC"/>
    <w:rsid w:val="00242E71"/>
    <w:rsid w:val="0024354D"/>
    <w:rsid w:val="00256287"/>
    <w:rsid w:val="00282830"/>
    <w:rsid w:val="002A59AF"/>
    <w:rsid w:val="002C4FA8"/>
    <w:rsid w:val="002C6F3F"/>
    <w:rsid w:val="002E2B8C"/>
    <w:rsid w:val="00320314"/>
    <w:rsid w:val="003A6B36"/>
    <w:rsid w:val="003A77C7"/>
    <w:rsid w:val="003B25EC"/>
    <w:rsid w:val="003C2649"/>
    <w:rsid w:val="003E4687"/>
    <w:rsid w:val="003F4B36"/>
    <w:rsid w:val="004028AC"/>
    <w:rsid w:val="0041703F"/>
    <w:rsid w:val="00425DDE"/>
    <w:rsid w:val="00436302"/>
    <w:rsid w:val="00456090"/>
    <w:rsid w:val="00460833"/>
    <w:rsid w:val="0047582A"/>
    <w:rsid w:val="00477459"/>
    <w:rsid w:val="004E4624"/>
    <w:rsid w:val="00505495"/>
    <w:rsid w:val="00517A8E"/>
    <w:rsid w:val="0054071F"/>
    <w:rsid w:val="005423C9"/>
    <w:rsid w:val="005520EB"/>
    <w:rsid w:val="0057202A"/>
    <w:rsid w:val="00577784"/>
    <w:rsid w:val="005B5306"/>
    <w:rsid w:val="005C1600"/>
    <w:rsid w:val="005E469F"/>
    <w:rsid w:val="005F60FD"/>
    <w:rsid w:val="00644B06"/>
    <w:rsid w:val="00656FD2"/>
    <w:rsid w:val="0068058A"/>
    <w:rsid w:val="00690D4F"/>
    <w:rsid w:val="00692174"/>
    <w:rsid w:val="006A2127"/>
    <w:rsid w:val="006B60B8"/>
    <w:rsid w:val="006C7DE4"/>
    <w:rsid w:val="006E3256"/>
    <w:rsid w:val="007017A5"/>
    <w:rsid w:val="00703D1C"/>
    <w:rsid w:val="00734E16"/>
    <w:rsid w:val="0079682B"/>
    <w:rsid w:val="007A7DDA"/>
    <w:rsid w:val="007C5D78"/>
    <w:rsid w:val="007F5A58"/>
    <w:rsid w:val="00861308"/>
    <w:rsid w:val="00882156"/>
    <w:rsid w:val="0089049A"/>
    <w:rsid w:val="008C32F1"/>
    <w:rsid w:val="00902256"/>
    <w:rsid w:val="00917769"/>
    <w:rsid w:val="009C731C"/>
    <w:rsid w:val="009D2E62"/>
    <w:rsid w:val="009E1457"/>
    <w:rsid w:val="009E188E"/>
    <w:rsid w:val="00A0361C"/>
    <w:rsid w:val="00A043AB"/>
    <w:rsid w:val="00A4139A"/>
    <w:rsid w:val="00A5705D"/>
    <w:rsid w:val="00A8158E"/>
    <w:rsid w:val="00A86505"/>
    <w:rsid w:val="00AB6BC3"/>
    <w:rsid w:val="00AD368C"/>
    <w:rsid w:val="00B051F5"/>
    <w:rsid w:val="00B14EC4"/>
    <w:rsid w:val="00B81E3E"/>
    <w:rsid w:val="00B87EE0"/>
    <w:rsid w:val="00B9352B"/>
    <w:rsid w:val="00BA63EB"/>
    <w:rsid w:val="00BF21F9"/>
    <w:rsid w:val="00C23E7D"/>
    <w:rsid w:val="00C649CD"/>
    <w:rsid w:val="00C82F65"/>
    <w:rsid w:val="00D15A57"/>
    <w:rsid w:val="00D35A88"/>
    <w:rsid w:val="00D44D2C"/>
    <w:rsid w:val="00D547D6"/>
    <w:rsid w:val="00D7257E"/>
    <w:rsid w:val="00D803E1"/>
    <w:rsid w:val="00D80D2B"/>
    <w:rsid w:val="00D84AB2"/>
    <w:rsid w:val="00D85EF9"/>
    <w:rsid w:val="00DB3552"/>
    <w:rsid w:val="00DE36A2"/>
    <w:rsid w:val="00DE67F0"/>
    <w:rsid w:val="00E0414D"/>
    <w:rsid w:val="00E4779C"/>
    <w:rsid w:val="00E504C1"/>
    <w:rsid w:val="00E528D0"/>
    <w:rsid w:val="00E542EF"/>
    <w:rsid w:val="00E93EF6"/>
    <w:rsid w:val="00EB26C8"/>
    <w:rsid w:val="00EC4FF6"/>
    <w:rsid w:val="00EF64B9"/>
    <w:rsid w:val="00F14491"/>
    <w:rsid w:val="00F2109C"/>
    <w:rsid w:val="00F373DB"/>
    <w:rsid w:val="00F5439E"/>
    <w:rsid w:val="00F61239"/>
    <w:rsid w:val="00F63212"/>
    <w:rsid w:val="00F64901"/>
    <w:rsid w:val="00F71042"/>
    <w:rsid w:val="00FA1E39"/>
    <w:rsid w:val="00FA58E5"/>
    <w:rsid w:val="00FA795D"/>
    <w:rsid w:val="00FB5CF9"/>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E17CB8"/>
  <w15:chartTrackingRefBased/>
  <w15:docId w15:val="{75C7A8B6-D954-44DD-9376-57394EB26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058A"/>
  </w:style>
  <w:style w:type="paragraph" w:styleId="Heading1">
    <w:name w:val="heading 1"/>
    <w:basedOn w:val="Normal"/>
    <w:next w:val="Normal"/>
    <w:link w:val="Heading1Char"/>
    <w:autoRedefine/>
    <w:uiPriority w:val="9"/>
    <w:qFormat/>
    <w:rsid w:val="009C731C"/>
    <w:pPr>
      <w:keepNext/>
      <w:keepLines/>
      <w:numPr>
        <w:numId w:val="33"/>
      </w:numPr>
      <w:spacing w:before="240" w:after="24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autoRedefine/>
    <w:uiPriority w:val="9"/>
    <w:unhideWhenUsed/>
    <w:qFormat/>
    <w:rsid w:val="009E188E"/>
    <w:pPr>
      <w:keepNext/>
      <w:keepLines/>
      <w:spacing w:before="40" w:after="24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autoRedefine/>
    <w:uiPriority w:val="9"/>
    <w:unhideWhenUsed/>
    <w:qFormat/>
    <w:rsid w:val="00D35A88"/>
    <w:pPr>
      <w:keepNext/>
      <w:keepLines/>
      <w:spacing w:before="40" w:after="240"/>
      <w:jc w:val="both"/>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D15A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352B"/>
    <w:rPr>
      <w:color w:val="0563C1" w:themeColor="hyperlink"/>
      <w:u w:val="single"/>
    </w:rPr>
  </w:style>
  <w:style w:type="paragraph" w:styleId="NormalWeb">
    <w:name w:val="Normal (Web)"/>
    <w:basedOn w:val="Normal"/>
    <w:uiPriority w:val="99"/>
    <w:unhideWhenUsed/>
    <w:qFormat/>
    <w:rsid w:val="00B93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C731C"/>
    <w:rPr>
      <w:rFonts w:ascii="Times New Roman" w:eastAsiaTheme="majorEastAsia" w:hAnsi="Times New Roman" w:cstheme="majorBidi"/>
      <w:b/>
      <w:sz w:val="24"/>
      <w:szCs w:val="32"/>
    </w:rPr>
  </w:style>
  <w:style w:type="character" w:styleId="Strong">
    <w:name w:val="Strong"/>
    <w:basedOn w:val="DefaultParagraphFont"/>
    <w:uiPriority w:val="22"/>
    <w:qFormat/>
    <w:rsid w:val="001060DE"/>
    <w:rPr>
      <w:b/>
      <w:bCs/>
    </w:rPr>
  </w:style>
  <w:style w:type="character" w:customStyle="1" w:styleId="Heading3Char">
    <w:name w:val="Heading 3 Char"/>
    <w:basedOn w:val="DefaultParagraphFont"/>
    <w:link w:val="Heading3"/>
    <w:uiPriority w:val="9"/>
    <w:rsid w:val="00D35A88"/>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D15A57"/>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D15A57"/>
    <w:rPr>
      <w:i/>
      <w:iCs/>
    </w:rPr>
  </w:style>
  <w:style w:type="character" w:customStyle="1" w:styleId="Heading2Char">
    <w:name w:val="Heading 2 Char"/>
    <w:basedOn w:val="DefaultParagraphFont"/>
    <w:link w:val="Heading2"/>
    <w:uiPriority w:val="9"/>
    <w:rsid w:val="009E188E"/>
    <w:rPr>
      <w:rFonts w:ascii="Times New Roman" w:eastAsiaTheme="majorEastAsia" w:hAnsi="Times New Roman" w:cstheme="majorBidi"/>
      <w:b/>
      <w:sz w:val="24"/>
      <w:szCs w:val="26"/>
    </w:rPr>
  </w:style>
  <w:style w:type="paragraph" w:styleId="HTMLPreformatted">
    <w:name w:val="HTML Preformatted"/>
    <w:basedOn w:val="Normal"/>
    <w:link w:val="HTMLPreformattedChar"/>
    <w:uiPriority w:val="99"/>
    <w:unhideWhenUsed/>
    <w:rsid w:val="00FA7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A795D"/>
    <w:rPr>
      <w:rFonts w:ascii="Courier New" w:eastAsia="Times New Roman" w:hAnsi="Courier New" w:cs="Courier New"/>
      <w:sz w:val="20"/>
      <w:szCs w:val="20"/>
    </w:rPr>
  </w:style>
  <w:style w:type="paragraph" w:styleId="ListParagraph">
    <w:name w:val="List Paragraph"/>
    <w:basedOn w:val="Normal"/>
    <w:uiPriority w:val="34"/>
    <w:qFormat/>
    <w:rsid w:val="009D2E62"/>
    <w:pPr>
      <w:ind w:left="720"/>
      <w:contextualSpacing/>
    </w:pPr>
  </w:style>
  <w:style w:type="paragraph" w:styleId="Header">
    <w:name w:val="header"/>
    <w:basedOn w:val="Normal"/>
    <w:link w:val="HeaderChar"/>
    <w:uiPriority w:val="99"/>
    <w:unhideWhenUsed/>
    <w:rsid w:val="00D725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57E"/>
  </w:style>
  <w:style w:type="paragraph" w:styleId="Footer">
    <w:name w:val="footer"/>
    <w:basedOn w:val="Normal"/>
    <w:link w:val="FooterChar"/>
    <w:uiPriority w:val="99"/>
    <w:unhideWhenUsed/>
    <w:rsid w:val="00D725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167">
      <w:bodyDiv w:val="1"/>
      <w:marLeft w:val="0"/>
      <w:marRight w:val="0"/>
      <w:marTop w:val="0"/>
      <w:marBottom w:val="0"/>
      <w:divBdr>
        <w:top w:val="none" w:sz="0" w:space="0" w:color="auto"/>
        <w:left w:val="none" w:sz="0" w:space="0" w:color="auto"/>
        <w:bottom w:val="none" w:sz="0" w:space="0" w:color="auto"/>
        <w:right w:val="none" w:sz="0" w:space="0" w:color="auto"/>
      </w:divBdr>
    </w:div>
    <w:div w:id="1783529">
      <w:bodyDiv w:val="1"/>
      <w:marLeft w:val="0"/>
      <w:marRight w:val="0"/>
      <w:marTop w:val="0"/>
      <w:marBottom w:val="0"/>
      <w:divBdr>
        <w:top w:val="none" w:sz="0" w:space="0" w:color="auto"/>
        <w:left w:val="none" w:sz="0" w:space="0" w:color="auto"/>
        <w:bottom w:val="none" w:sz="0" w:space="0" w:color="auto"/>
        <w:right w:val="none" w:sz="0" w:space="0" w:color="auto"/>
      </w:divBdr>
    </w:div>
    <w:div w:id="61342604">
      <w:bodyDiv w:val="1"/>
      <w:marLeft w:val="0"/>
      <w:marRight w:val="0"/>
      <w:marTop w:val="0"/>
      <w:marBottom w:val="0"/>
      <w:divBdr>
        <w:top w:val="none" w:sz="0" w:space="0" w:color="auto"/>
        <w:left w:val="none" w:sz="0" w:space="0" w:color="auto"/>
        <w:bottom w:val="none" w:sz="0" w:space="0" w:color="auto"/>
        <w:right w:val="none" w:sz="0" w:space="0" w:color="auto"/>
      </w:divBdr>
    </w:div>
    <w:div w:id="71044639">
      <w:bodyDiv w:val="1"/>
      <w:marLeft w:val="0"/>
      <w:marRight w:val="0"/>
      <w:marTop w:val="0"/>
      <w:marBottom w:val="0"/>
      <w:divBdr>
        <w:top w:val="none" w:sz="0" w:space="0" w:color="auto"/>
        <w:left w:val="none" w:sz="0" w:space="0" w:color="auto"/>
        <w:bottom w:val="none" w:sz="0" w:space="0" w:color="auto"/>
        <w:right w:val="none" w:sz="0" w:space="0" w:color="auto"/>
      </w:divBdr>
      <w:divsChild>
        <w:div w:id="1287009056">
          <w:marLeft w:val="0"/>
          <w:marRight w:val="0"/>
          <w:marTop w:val="0"/>
          <w:marBottom w:val="0"/>
          <w:divBdr>
            <w:top w:val="none" w:sz="0" w:space="0" w:color="auto"/>
            <w:left w:val="none" w:sz="0" w:space="0" w:color="auto"/>
            <w:bottom w:val="none" w:sz="0" w:space="0" w:color="auto"/>
            <w:right w:val="none" w:sz="0" w:space="0" w:color="auto"/>
          </w:divBdr>
          <w:divsChild>
            <w:div w:id="17558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3827">
      <w:bodyDiv w:val="1"/>
      <w:marLeft w:val="0"/>
      <w:marRight w:val="0"/>
      <w:marTop w:val="0"/>
      <w:marBottom w:val="0"/>
      <w:divBdr>
        <w:top w:val="none" w:sz="0" w:space="0" w:color="auto"/>
        <w:left w:val="none" w:sz="0" w:space="0" w:color="auto"/>
        <w:bottom w:val="none" w:sz="0" w:space="0" w:color="auto"/>
        <w:right w:val="none" w:sz="0" w:space="0" w:color="auto"/>
      </w:divBdr>
    </w:div>
    <w:div w:id="202136819">
      <w:bodyDiv w:val="1"/>
      <w:marLeft w:val="0"/>
      <w:marRight w:val="0"/>
      <w:marTop w:val="0"/>
      <w:marBottom w:val="0"/>
      <w:divBdr>
        <w:top w:val="none" w:sz="0" w:space="0" w:color="auto"/>
        <w:left w:val="none" w:sz="0" w:space="0" w:color="auto"/>
        <w:bottom w:val="none" w:sz="0" w:space="0" w:color="auto"/>
        <w:right w:val="none" w:sz="0" w:space="0" w:color="auto"/>
      </w:divBdr>
    </w:div>
    <w:div w:id="218250561">
      <w:bodyDiv w:val="1"/>
      <w:marLeft w:val="0"/>
      <w:marRight w:val="0"/>
      <w:marTop w:val="0"/>
      <w:marBottom w:val="0"/>
      <w:divBdr>
        <w:top w:val="none" w:sz="0" w:space="0" w:color="auto"/>
        <w:left w:val="none" w:sz="0" w:space="0" w:color="auto"/>
        <w:bottom w:val="none" w:sz="0" w:space="0" w:color="auto"/>
        <w:right w:val="none" w:sz="0" w:space="0" w:color="auto"/>
      </w:divBdr>
    </w:div>
    <w:div w:id="244189638">
      <w:bodyDiv w:val="1"/>
      <w:marLeft w:val="0"/>
      <w:marRight w:val="0"/>
      <w:marTop w:val="0"/>
      <w:marBottom w:val="0"/>
      <w:divBdr>
        <w:top w:val="none" w:sz="0" w:space="0" w:color="auto"/>
        <w:left w:val="none" w:sz="0" w:space="0" w:color="auto"/>
        <w:bottom w:val="none" w:sz="0" w:space="0" w:color="auto"/>
        <w:right w:val="none" w:sz="0" w:space="0" w:color="auto"/>
      </w:divBdr>
    </w:div>
    <w:div w:id="410782378">
      <w:bodyDiv w:val="1"/>
      <w:marLeft w:val="0"/>
      <w:marRight w:val="0"/>
      <w:marTop w:val="0"/>
      <w:marBottom w:val="0"/>
      <w:divBdr>
        <w:top w:val="none" w:sz="0" w:space="0" w:color="auto"/>
        <w:left w:val="none" w:sz="0" w:space="0" w:color="auto"/>
        <w:bottom w:val="none" w:sz="0" w:space="0" w:color="auto"/>
        <w:right w:val="none" w:sz="0" w:space="0" w:color="auto"/>
      </w:divBdr>
    </w:div>
    <w:div w:id="411466155">
      <w:bodyDiv w:val="1"/>
      <w:marLeft w:val="0"/>
      <w:marRight w:val="0"/>
      <w:marTop w:val="0"/>
      <w:marBottom w:val="0"/>
      <w:divBdr>
        <w:top w:val="none" w:sz="0" w:space="0" w:color="auto"/>
        <w:left w:val="none" w:sz="0" w:space="0" w:color="auto"/>
        <w:bottom w:val="none" w:sz="0" w:space="0" w:color="auto"/>
        <w:right w:val="none" w:sz="0" w:space="0" w:color="auto"/>
      </w:divBdr>
    </w:div>
    <w:div w:id="527527571">
      <w:bodyDiv w:val="1"/>
      <w:marLeft w:val="0"/>
      <w:marRight w:val="0"/>
      <w:marTop w:val="0"/>
      <w:marBottom w:val="0"/>
      <w:divBdr>
        <w:top w:val="none" w:sz="0" w:space="0" w:color="auto"/>
        <w:left w:val="none" w:sz="0" w:space="0" w:color="auto"/>
        <w:bottom w:val="none" w:sz="0" w:space="0" w:color="auto"/>
        <w:right w:val="none" w:sz="0" w:space="0" w:color="auto"/>
      </w:divBdr>
    </w:div>
    <w:div w:id="531500045">
      <w:bodyDiv w:val="1"/>
      <w:marLeft w:val="0"/>
      <w:marRight w:val="0"/>
      <w:marTop w:val="0"/>
      <w:marBottom w:val="0"/>
      <w:divBdr>
        <w:top w:val="none" w:sz="0" w:space="0" w:color="auto"/>
        <w:left w:val="none" w:sz="0" w:space="0" w:color="auto"/>
        <w:bottom w:val="none" w:sz="0" w:space="0" w:color="auto"/>
        <w:right w:val="none" w:sz="0" w:space="0" w:color="auto"/>
      </w:divBdr>
      <w:divsChild>
        <w:div w:id="269122903">
          <w:marLeft w:val="0"/>
          <w:marRight w:val="0"/>
          <w:marTop w:val="0"/>
          <w:marBottom w:val="0"/>
          <w:divBdr>
            <w:top w:val="none" w:sz="0" w:space="0" w:color="auto"/>
            <w:left w:val="none" w:sz="0" w:space="0" w:color="auto"/>
            <w:bottom w:val="none" w:sz="0" w:space="0" w:color="auto"/>
            <w:right w:val="none" w:sz="0" w:space="0" w:color="auto"/>
          </w:divBdr>
        </w:div>
      </w:divsChild>
    </w:div>
    <w:div w:id="626352222">
      <w:bodyDiv w:val="1"/>
      <w:marLeft w:val="0"/>
      <w:marRight w:val="0"/>
      <w:marTop w:val="0"/>
      <w:marBottom w:val="0"/>
      <w:divBdr>
        <w:top w:val="none" w:sz="0" w:space="0" w:color="auto"/>
        <w:left w:val="none" w:sz="0" w:space="0" w:color="auto"/>
        <w:bottom w:val="none" w:sz="0" w:space="0" w:color="auto"/>
        <w:right w:val="none" w:sz="0" w:space="0" w:color="auto"/>
      </w:divBdr>
    </w:div>
    <w:div w:id="641882982">
      <w:bodyDiv w:val="1"/>
      <w:marLeft w:val="0"/>
      <w:marRight w:val="0"/>
      <w:marTop w:val="0"/>
      <w:marBottom w:val="0"/>
      <w:divBdr>
        <w:top w:val="none" w:sz="0" w:space="0" w:color="auto"/>
        <w:left w:val="none" w:sz="0" w:space="0" w:color="auto"/>
        <w:bottom w:val="none" w:sz="0" w:space="0" w:color="auto"/>
        <w:right w:val="none" w:sz="0" w:space="0" w:color="auto"/>
      </w:divBdr>
    </w:div>
    <w:div w:id="650183650">
      <w:bodyDiv w:val="1"/>
      <w:marLeft w:val="0"/>
      <w:marRight w:val="0"/>
      <w:marTop w:val="0"/>
      <w:marBottom w:val="0"/>
      <w:divBdr>
        <w:top w:val="none" w:sz="0" w:space="0" w:color="auto"/>
        <w:left w:val="none" w:sz="0" w:space="0" w:color="auto"/>
        <w:bottom w:val="none" w:sz="0" w:space="0" w:color="auto"/>
        <w:right w:val="none" w:sz="0" w:space="0" w:color="auto"/>
      </w:divBdr>
    </w:div>
    <w:div w:id="677732685">
      <w:bodyDiv w:val="1"/>
      <w:marLeft w:val="0"/>
      <w:marRight w:val="0"/>
      <w:marTop w:val="0"/>
      <w:marBottom w:val="0"/>
      <w:divBdr>
        <w:top w:val="none" w:sz="0" w:space="0" w:color="auto"/>
        <w:left w:val="none" w:sz="0" w:space="0" w:color="auto"/>
        <w:bottom w:val="none" w:sz="0" w:space="0" w:color="auto"/>
        <w:right w:val="none" w:sz="0" w:space="0" w:color="auto"/>
      </w:divBdr>
    </w:div>
    <w:div w:id="703021839">
      <w:bodyDiv w:val="1"/>
      <w:marLeft w:val="0"/>
      <w:marRight w:val="0"/>
      <w:marTop w:val="0"/>
      <w:marBottom w:val="0"/>
      <w:divBdr>
        <w:top w:val="none" w:sz="0" w:space="0" w:color="auto"/>
        <w:left w:val="none" w:sz="0" w:space="0" w:color="auto"/>
        <w:bottom w:val="none" w:sz="0" w:space="0" w:color="auto"/>
        <w:right w:val="none" w:sz="0" w:space="0" w:color="auto"/>
      </w:divBdr>
    </w:div>
    <w:div w:id="754277500">
      <w:bodyDiv w:val="1"/>
      <w:marLeft w:val="0"/>
      <w:marRight w:val="0"/>
      <w:marTop w:val="0"/>
      <w:marBottom w:val="0"/>
      <w:divBdr>
        <w:top w:val="none" w:sz="0" w:space="0" w:color="auto"/>
        <w:left w:val="none" w:sz="0" w:space="0" w:color="auto"/>
        <w:bottom w:val="none" w:sz="0" w:space="0" w:color="auto"/>
        <w:right w:val="none" w:sz="0" w:space="0" w:color="auto"/>
      </w:divBdr>
    </w:div>
    <w:div w:id="783883053">
      <w:bodyDiv w:val="1"/>
      <w:marLeft w:val="0"/>
      <w:marRight w:val="0"/>
      <w:marTop w:val="0"/>
      <w:marBottom w:val="0"/>
      <w:divBdr>
        <w:top w:val="none" w:sz="0" w:space="0" w:color="auto"/>
        <w:left w:val="none" w:sz="0" w:space="0" w:color="auto"/>
        <w:bottom w:val="none" w:sz="0" w:space="0" w:color="auto"/>
        <w:right w:val="none" w:sz="0" w:space="0" w:color="auto"/>
      </w:divBdr>
    </w:div>
    <w:div w:id="790516756">
      <w:bodyDiv w:val="1"/>
      <w:marLeft w:val="0"/>
      <w:marRight w:val="0"/>
      <w:marTop w:val="0"/>
      <w:marBottom w:val="0"/>
      <w:divBdr>
        <w:top w:val="none" w:sz="0" w:space="0" w:color="auto"/>
        <w:left w:val="none" w:sz="0" w:space="0" w:color="auto"/>
        <w:bottom w:val="none" w:sz="0" w:space="0" w:color="auto"/>
        <w:right w:val="none" w:sz="0" w:space="0" w:color="auto"/>
      </w:divBdr>
    </w:div>
    <w:div w:id="855385626">
      <w:bodyDiv w:val="1"/>
      <w:marLeft w:val="0"/>
      <w:marRight w:val="0"/>
      <w:marTop w:val="0"/>
      <w:marBottom w:val="0"/>
      <w:divBdr>
        <w:top w:val="none" w:sz="0" w:space="0" w:color="auto"/>
        <w:left w:val="none" w:sz="0" w:space="0" w:color="auto"/>
        <w:bottom w:val="none" w:sz="0" w:space="0" w:color="auto"/>
        <w:right w:val="none" w:sz="0" w:space="0" w:color="auto"/>
      </w:divBdr>
    </w:div>
    <w:div w:id="874544197">
      <w:bodyDiv w:val="1"/>
      <w:marLeft w:val="0"/>
      <w:marRight w:val="0"/>
      <w:marTop w:val="0"/>
      <w:marBottom w:val="0"/>
      <w:divBdr>
        <w:top w:val="none" w:sz="0" w:space="0" w:color="auto"/>
        <w:left w:val="none" w:sz="0" w:space="0" w:color="auto"/>
        <w:bottom w:val="none" w:sz="0" w:space="0" w:color="auto"/>
        <w:right w:val="none" w:sz="0" w:space="0" w:color="auto"/>
      </w:divBdr>
    </w:div>
    <w:div w:id="935139894">
      <w:bodyDiv w:val="1"/>
      <w:marLeft w:val="0"/>
      <w:marRight w:val="0"/>
      <w:marTop w:val="0"/>
      <w:marBottom w:val="0"/>
      <w:divBdr>
        <w:top w:val="none" w:sz="0" w:space="0" w:color="auto"/>
        <w:left w:val="none" w:sz="0" w:space="0" w:color="auto"/>
        <w:bottom w:val="none" w:sz="0" w:space="0" w:color="auto"/>
        <w:right w:val="none" w:sz="0" w:space="0" w:color="auto"/>
      </w:divBdr>
    </w:div>
    <w:div w:id="953366472">
      <w:bodyDiv w:val="1"/>
      <w:marLeft w:val="0"/>
      <w:marRight w:val="0"/>
      <w:marTop w:val="0"/>
      <w:marBottom w:val="0"/>
      <w:divBdr>
        <w:top w:val="none" w:sz="0" w:space="0" w:color="auto"/>
        <w:left w:val="none" w:sz="0" w:space="0" w:color="auto"/>
        <w:bottom w:val="none" w:sz="0" w:space="0" w:color="auto"/>
        <w:right w:val="none" w:sz="0" w:space="0" w:color="auto"/>
      </w:divBdr>
    </w:div>
    <w:div w:id="988901821">
      <w:bodyDiv w:val="1"/>
      <w:marLeft w:val="0"/>
      <w:marRight w:val="0"/>
      <w:marTop w:val="0"/>
      <w:marBottom w:val="0"/>
      <w:divBdr>
        <w:top w:val="none" w:sz="0" w:space="0" w:color="auto"/>
        <w:left w:val="none" w:sz="0" w:space="0" w:color="auto"/>
        <w:bottom w:val="none" w:sz="0" w:space="0" w:color="auto"/>
        <w:right w:val="none" w:sz="0" w:space="0" w:color="auto"/>
      </w:divBdr>
      <w:divsChild>
        <w:div w:id="1284725014">
          <w:marLeft w:val="0"/>
          <w:marRight w:val="0"/>
          <w:marTop w:val="0"/>
          <w:marBottom w:val="0"/>
          <w:divBdr>
            <w:top w:val="none" w:sz="0" w:space="0" w:color="auto"/>
            <w:left w:val="none" w:sz="0" w:space="0" w:color="auto"/>
            <w:bottom w:val="none" w:sz="0" w:space="0" w:color="auto"/>
            <w:right w:val="none" w:sz="0" w:space="0" w:color="auto"/>
          </w:divBdr>
          <w:divsChild>
            <w:div w:id="124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30800">
      <w:bodyDiv w:val="1"/>
      <w:marLeft w:val="0"/>
      <w:marRight w:val="0"/>
      <w:marTop w:val="0"/>
      <w:marBottom w:val="0"/>
      <w:divBdr>
        <w:top w:val="none" w:sz="0" w:space="0" w:color="auto"/>
        <w:left w:val="none" w:sz="0" w:space="0" w:color="auto"/>
        <w:bottom w:val="none" w:sz="0" w:space="0" w:color="auto"/>
        <w:right w:val="none" w:sz="0" w:space="0" w:color="auto"/>
      </w:divBdr>
    </w:div>
    <w:div w:id="1131090338">
      <w:bodyDiv w:val="1"/>
      <w:marLeft w:val="0"/>
      <w:marRight w:val="0"/>
      <w:marTop w:val="0"/>
      <w:marBottom w:val="0"/>
      <w:divBdr>
        <w:top w:val="none" w:sz="0" w:space="0" w:color="auto"/>
        <w:left w:val="none" w:sz="0" w:space="0" w:color="auto"/>
        <w:bottom w:val="none" w:sz="0" w:space="0" w:color="auto"/>
        <w:right w:val="none" w:sz="0" w:space="0" w:color="auto"/>
      </w:divBdr>
    </w:div>
    <w:div w:id="1211724266">
      <w:bodyDiv w:val="1"/>
      <w:marLeft w:val="0"/>
      <w:marRight w:val="0"/>
      <w:marTop w:val="0"/>
      <w:marBottom w:val="0"/>
      <w:divBdr>
        <w:top w:val="none" w:sz="0" w:space="0" w:color="auto"/>
        <w:left w:val="none" w:sz="0" w:space="0" w:color="auto"/>
        <w:bottom w:val="none" w:sz="0" w:space="0" w:color="auto"/>
        <w:right w:val="none" w:sz="0" w:space="0" w:color="auto"/>
      </w:divBdr>
    </w:div>
    <w:div w:id="1299533865">
      <w:bodyDiv w:val="1"/>
      <w:marLeft w:val="0"/>
      <w:marRight w:val="0"/>
      <w:marTop w:val="0"/>
      <w:marBottom w:val="0"/>
      <w:divBdr>
        <w:top w:val="none" w:sz="0" w:space="0" w:color="auto"/>
        <w:left w:val="none" w:sz="0" w:space="0" w:color="auto"/>
        <w:bottom w:val="none" w:sz="0" w:space="0" w:color="auto"/>
        <w:right w:val="none" w:sz="0" w:space="0" w:color="auto"/>
      </w:divBdr>
    </w:div>
    <w:div w:id="1379624450">
      <w:bodyDiv w:val="1"/>
      <w:marLeft w:val="0"/>
      <w:marRight w:val="0"/>
      <w:marTop w:val="0"/>
      <w:marBottom w:val="0"/>
      <w:divBdr>
        <w:top w:val="none" w:sz="0" w:space="0" w:color="auto"/>
        <w:left w:val="none" w:sz="0" w:space="0" w:color="auto"/>
        <w:bottom w:val="none" w:sz="0" w:space="0" w:color="auto"/>
        <w:right w:val="none" w:sz="0" w:space="0" w:color="auto"/>
      </w:divBdr>
    </w:div>
    <w:div w:id="1422023189">
      <w:bodyDiv w:val="1"/>
      <w:marLeft w:val="0"/>
      <w:marRight w:val="0"/>
      <w:marTop w:val="0"/>
      <w:marBottom w:val="0"/>
      <w:divBdr>
        <w:top w:val="none" w:sz="0" w:space="0" w:color="auto"/>
        <w:left w:val="none" w:sz="0" w:space="0" w:color="auto"/>
        <w:bottom w:val="none" w:sz="0" w:space="0" w:color="auto"/>
        <w:right w:val="none" w:sz="0" w:space="0" w:color="auto"/>
      </w:divBdr>
    </w:div>
    <w:div w:id="1497301877">
      <w:bodyDiv w:val="1"/>
      <w:marLeft w:val="0"/>
      <w:marRight w:val="0"/>
      <w:marTop w:val="0"/>
      <w:marBottom w:val="0"/>
      <w:divBdr>
        <w:top w:val="none" w:sz="0" w:space="0" w:color="auto"/>
        <w:left w:val="none" w:sz="0" w:space="0" w:color="auto"/>
        <w:bottom w:val="none" w:sz="0" w:space="0" w:color="auto"/>
        <w:right w:val="none" w:sz="0" w:space="0" w:color="auto"/>
      </w:divBdr>
    </w:div>
    <w:div w:id="1516460091">
      <w:bodyDiv w:val="1"/>
      <w:marLeft w:val="0"/>
      <w:marRight w:val="0"/>
      <w:marTop w:val="0"/>
      <w:marBottom w:val="0"/>
      <w:divBdr>
        <w:top w:val="none" w:sz="0" w:space="0" w:color="auto"/>
        <w:left w:val="none" w:sz="0" w:space="0" w:color="auto"/>
        <w:bottom w:val="none" w:sz="0" w:space="0" w:color="auto"/>
        <w:right w:val="none" w:sz="0" w:space="0" w:color="auto"/>
      </w:divBdr>
    </w:div>
    <w:div w:id="1518960274">
      <w:bodyDiv w:val="1"/>
      <w:marLeft w:val="0"/>
      <w:marRight w:val="0"/>
      <w:marTop w:val="0"/>
      <w:marBottom w:val="0"/>
      <w:divBdr>
        <w:top w:val="none" w:sz="0" w:space="0" w:color="auto"/>
        <w:left w:val="none" w:sz="0" w:space="0" w:color="auto"/>
        <w:bottom w:val="none" w:sz="0" w:space="0" w:color="auto"/>
        <w:right w:val="none" w:sz="0" w:space="0" w:color="auto"/>
      </w:divBdr>
    </w:div>
    <w:div w:id="1551572107">
      <w:bodyDiv w:val="1"/>
      <w:marLeft w:val="0"/>
      <w:marRight w:val="0"/>
      <w:marTop w:val="0"/>
      <w:marBottom w:val="0"/>
      <w:divBdr>
        <w:top w:val="none" w:sz="0" w:space="0" w:color="auto"/>
        <w:left w:val="none" w:sz="0" w:space="0" w:color="auto"/>
        <w:bottom w:val="none" w:sz="0" w:space="0" w:color="auto"/>
        <w:right w:val="none" w:sz="0" w:space="0" w:color="auto"/>
      </w:divBdr>
    </w:div>
    <w:div w:id="1556310070">
      <w:bodyDiv w:val="1"/>
      <w:marLeft w:val="0"/>
      <w:marRight w:val="0"/>
      <w:marTop w:val="0"/>
      <w:marBottom w:val="0"/>
      <w:divBdr>
        <w:top w:val="none" w:sz="0" w:space="0" w:color="auto"/>
        <w:left w:val="none" w:sz="0" w:space="0" w:color="auto"/>
        <w:bottom w:val="none" w:sz="0" w:space="0" w:color="auto"/>
        <w:right w:val="none" w:sz="0" w:space="0" w:color="auto"/>
      </w:divBdr>
    </w:div>
    <w:div w:id="1585340455">
      <w:bodyDiv w:val="1"/>
      <w:marLeft w:val="0"/>
      <w:marRight w:val="0"/>
      <w:marTop w:val="0"/>
      <w:marBottom w:val="0"/>
      <w:divBdr>
        <w:top w:val="none" w:sz="0" w:space="0" w:color="auto"/>
        <w:left w:val="none" w:sz="0" w:space="0" w:color="auto"/>
        <w:bottom w:val="none" w:sz="0" w:space="0" w:color="auto"/>
        <w:right w:val="none" w:sz="0" w:space="0" w:color="auto"/>
      </w:divBdr>
    </w:div>
    <w:div w:id="1662342973">
      <w:bodyDiv w:val="1"/>
      <w:marLeft w:val="0"/>
      <w:marRight w:val="0"/>
      <w:marTop w:val="0"/>
      <w:marBottom w:val="0"/>
      <w:divBdr>
        <w:top w:val="none" w:sz="0" w:space="0" w:color="auto"/>
        <w:left w:val="none" w:sz="0" w:space="0" w:color="auto"/>
        <w:bottom w:val="none" w:sz="0" w:space="0" w:color="auto"/>
        <w:right w:val="none" w:sz="0" w:space="0" w:color="auto"/>
      </w:divBdr>
    </w:div>
    <w:div w:id="1684698416">
      <w:bodyDiv w:val="1"/>
      <w:marLeft w:val="0"/>
      <w:marRight w:val="0"/>
      <w:marTop w:val="0"/>
      <w:marBottom w:val="0"/>
      <w:divBdr>
        <w:top w:val="none" w:sz="0" w:space="0" w:color="auto"/>
        <w:left w:val="none" w:sz="0" w:space="0" w:color="auto"/>
        <w:bottom w:val="none" w:sz="0" w:space="0" w:color="auto"/>
        <w:right w:val="none" w:sz="0" w:space="0" w:color="auto"/>
      </w:divBdr>
    </w:div>
    <w:div w:id="1691226485">
      <w:bodyDiv w:val="1"/>
      <w:marLeft w:val="0"/>
      <w:marRight w:val="0"/>
      <w:marTop w:val="0"/>
      <w:marBottom w:val="0"/>
      <w:divBdr>
        <w:top w:val="none" w:sz="0" w:space="0" w:color="auto"/>
        <w:left w:val="none" w:sz="0" w:space="0" w:color="auto"/>
        <w:bottom w:val="none" w:sz="0" w:space="0" w:color="auto"/>
        <w:right w:val="none" w:sz="0" w:space="0" w:color="auto"/>
      </w:divBdr>
    </w:div>
    <w:div w:id="1710909276">
      <w:bodyDiv w:val="1"/>
      <w:marLeft w:val="0"/>
      <w:marRight w:val="0"/>
      <w:marTop w:val="0"/>
      <w:marBottom w:val="0"/>
      <w:divBdr>
        <w:top w:val="none" w:sz="0" w:space="0" w:color="auto"/>
        <w:left w:val="none" w:sz="0" w:space="0" w:color="auto"/>
        <w:bottom w:val="none" w:sz="0" w:space="0" w:color="auto"/>
        <w:right w:val="none" w:sz="0" w:space="0" w:color="auto"/>
      </w:divBdr>
    </w:div>
    <w:div w:id="1718700177">
      <w:bodyDiv w:val="1"/>
      <w:marLeft w:val="0"/>
      <w:marRight w:val="0"/>
      <w:marTop w:val="0"/>
      <w:marBottom w:val="0"/>
      <w:divBdr>
        <w:top w:val="none" w:sz="0" w:space="0" w:color="auto"/>
        <w:left w:val="none" w:sz="0" w:space="0" w:color="auto"/>
        <w:bottom w:val="none" w:sz="0" w:space="0" w:color="auto"/>
        <w:right w:val="none" w:sz="0" w:space="0" w:color="auto"/>
      </w:divBdr>
    </w:div>
    <w:div w:id="1736077808">
      <w:bodyDiv w:val="1"/>
      <w:marLeft w:val="0"/>
      <w:marRight w:val="0"/>
      <w:marTop w:val="0"/>
      <w:marBottom w:val="0"/>
      <w:divBdr>
        <w:top w:val="none" w:sz="0" w:space="0" w:color="auto"/>
        <w:left w:val="none" w:sz="0" w:space="0" w:color="auto"/>
        <w:bottom w:val="none" w:sz="0" w:space="0" w:color="auto"/>
        <w:right w:val="none" w:sz="0" w:space="0" w:color="auto"/>
      </w:divBdr>
    </w:div>
    <w:div w:id="1756366785">
      <w:bodyDiv w:val="1"/>
      <w:marLeft w:val="0"/>
      <w:marRight w:val="0"/>
      <w:marTop w:val="0"/>
      <w:marBottom w:val="0"/>
      <w:divBdr>
        <w:top w:val="none" w:sz="0" w:space="0" w:color="auto"/>
        <w:left w:val="none" w:sz="0" w:space="0" w:color="auto"/>
        <w:bottom w:val="none" w:sz="0" w:space="0" w:color="auto"/>
        <w:right w:val="none" w:sz="0" w:space="0" w:color="auto"/>
      </w:divBdr>
    </w:div>
    <w:div w:id="1841695353">
      <w:bodyDiv w:val="1"/>
      <w:marLeft w:val="0"/>
      <w:marRight w:val="0"/>
      <w:marTop w:val="0"/>
      <w:marBottom w:val="0"/>
      <w:divBdr>
        <w:top w:val="none" w:sz="0" w:space="0" w:color="auto"/>
        <w:left w:val="none" w:sz="0" w:space="0" w:color="auto"/>
        <w:bottom w:val="none" w:sz="0" w:space="0" w:color="auto"/>
        <w:right w:val="none" w:sz="0" w:space="0" w:color="auto"/>
      </w:divBdr>
    </w:div>
    <w:div w:id="1885632981">
      <w:bodyDiv w:val="1"/>
      <w:marLeft w:val="0"/>
      <w:marRight w:val="0"/>
      <w:marTop w:val="0"/>
      <w:marBottom w:val="0"/>
      <w:divBdr>
        <w:top w:val="none" w:sz="0" w:space="0" w:color="auto"/>
        <w:left w:val="none" w:sz="0" w:space="0" w:color="auto"/>
        <w:bottom w:val="none" w:sz="0" w:space="0" w:color="auto"/>
        <w:right w:val="none" w:sz="0" w:space="0" w:color="auto"/>
      </w:divBdr>
    </w:div>
    <w:div w:id="1970286107">
      <w:bodyDiv w:val="1"/>
      <w:marLeft w:val="0"/>
      <w:marRight w:val="0"/>
      <w:marTop w:val="0"/>
      <w:marBottom w:val="0"/>
      <w:divBdr>
        <w:top w:val="none" w:sz="0" w:space="0" w:color="auto"/>
        <w:left w:val="none" w:sz="0" w:space="0" w:color="auto"/>
        <w:bottom w:val="none" w:sz="0" w:space="0" w:color="auto"/>
        <w:right w:val="none" w:sz="0" w:space="0" w:color="auto"/>
      </w:divBdr>
    </w:div>
    <w:div w:id="2014411474">
      <w:bodyDiv w:val="1"/>
      <w:marLeft w:val="0"/>
      <w:marRight w:val="0"/>
      <w:marTop w:val="0"/>
      <w:marBottom w:val="0"/>
      <w:divBdr>
        <w:top w:val="none" w:sz="0" w:space="0" w:color="auto"/>
        <w:left w:val="none" w:sz="0" w:space="0" w:color="auto"/>
        <w:bottom w:val="none" w:sz="0" w:space="0" w:color="auto"/>
        <w:right w:val="none" w:sz="0" w:space="0" w:color="auto"/>
      </w:divBdr>
    </w:div>
    <w:div w:id="2017733813">
      <w:bodyDiv w:val="1"/>
      <w:marLeft w:val="0"/>
      <w:marRight w:val="0"/>
      <w:marTop w:val="0"/>
      <w:marBottom w:val="0"/>
      <w:divBdr>
        <w:top w:val="none" w:sz="0" w:space="0" w:color="auto"/>
        <w:left w:val="none" w:sz="0" w:space="0" w:color="auto"/>
        <w:bottom w:val="none" w:sz="0" w:space="0" w:color="auto"/>
        <w:right w:val="none" w:sz="0" w:space="0" w:color="auto"/>
      </w:divBdr>
    </w:div>
    <w:div w:id="2020354096">
      <w:bodyDiv w:val="1"/>
      <w:marLeft w:val="0"/>
      <w:marRight w:val="0"/>
      <w:marTop w:val="0"/>
      <w:marBottom w:val="0"/>
      <w:divBdr>
        <w:top w:val="none" w:sz="0" w:space="0" w:color="auto"/>
        <w:left w:val="none" w:sz="0" w:space="0" w:color="auto"/>
        <w:bottom w:val="none" w:sz="0" w:space="0" w:color="auto"/>
        <w:right w:val="none" w:sz="0" w:space="0" w:color="auto"/>
      </w:divBdr>
    </w:div>
    <w:div w:id="2059275827">
      <w:bodyDiv w:val="1"/>
      <w:marLeft w:val="0"/>
      <w:marRight w:val="0"/>
      <w:marTop w:val="0"/>
      <w:marBottom w:val="0"/>
      <w:divBdr>
        <w:top w:val="none" w:sz="0" w:space="0" w:color="auto"/>
        <w:left w:val="none" w:sz="0" w:space="0" w:color="auto"/>
        <w:bottom w:val="none" w:sz="0" w:space="0" w:color="auto"/>
        <w:right w:val="none" w:sz="0" w:space="0" w:color="auto"/>
      </w:divBdr>
    </w:div>
    <w:div w:id="2107845433">
      <w:bodyDiv w:val="1"/>
      <w:marLeft w:val="0"/>
      <w:marRight w:val="0"/>
      <w:marTop w:val="0"/>
      <w:marBottom w:val="0"/>
      <w:divBdr>
        <w:top w:val="none" w:sz="0" w:space="0" w:color="auto"/>
        <w:left w:val="none" w:sz="0" w:space="0" w:color="auto"/>
        <w:bottom w:val="none" w:sz="0" w:space="0" w:color="auto"/>
        <w:right w:val="none" w:sz="0" w:space="0" w:color="auto"/>
      </w:divBdr>
    </w:div>
    <w:div w:id="2111653995">
      <w:bodyDiv w:val="1"/>
      <w:marLeft w:val="0"/>
      <w:marRight w:val="0"/>
      <w:marTop w:val="0"/>
      <w:marBottom w:val="0"/>
      <w:divBdr>
        <w:top w:val="none" w:sz="0" w:space="0" w:color="auto"/>
        <w:left w:val="none" w:sz="0" w:space="0" w:color="auto"/>
        <w:bottom w:val="none" w:sz="0" w:space="0" w:color="auto"/>
        <w:right w:val="none" w:sz="0" w:space="0" w:color="auto"/>
      </w:divBdr>
    </w:div>
    <w:div w:id="214342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jisrt.com/assets/upload/files/IJISRT22OCT274_%281%29.pd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ew.kenyalaw.org/akn/ke/judgment/keca/2025/448/eng@2025-03-07/source.pdf"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22</Pages>
  <Words>9079</Words>
  <Characters>51751</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PC New 16</cp:lastModifiedBy>
  <cp:revision>10</cp:revision>
  <dcterms:created xsi:type="dcterms:W3CDTF">2025-10-20T07:04:00Z</dcterms:created>
  <dcterms:modified xsi:type="dcterms:W3CDTF">2025-11-04T04:13:00Z</dcterms:modified>
</cp:coreProperties>
</file>