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DA86A" w14:textId="77777777" w:rsidR="00357C9F" w:rsidRPr="00357C9F" w:rsidRDefault="00357C9F" w:rsidP="00357C9F">
      <w:pPr>
        <w:pStyle w:val="Heading1"/>
        <w:jc w:val="both"/>
        <w:rPr>
          <w:sz w:val="24"/>
          <w:szCs w:val="24"/>
        </w:rPr>
      </w:pPr>
    </w:p>
    <w:p w14:paraId="7752E589" w14:textId="113D75FF" w:rsidR="00357C9F" w:rsidRPr="00357C9F" w:rsidRDefault="00357C9F" w:rsidP="00357C9F">
      <w:pPr>
        <w:pStyle w:val="Heading1"/>
        <w:ind w:left="5760"/>
        <w:jc w:val="both"/>
        <w:rPr>
          <w:sz w:val="24"/>
          <w:szCs w:val="24"/>
        </w:rPr>
      </w:pPr>
      <w:r w:rsidRPr="00357C9F">
        <w:rPr>
          <w:sz w:val="24"/>
          <w:szCs w:val="24"/>
        </w:rPr>
        <w:t xml:space="preserve">      </w:t>
      </w:r>
    </w:p>
    <w:p w14:paraId="423CC2DD" w14:textId="77777777" w:rsidR="00357C9F" w:rsidRPr="00357C9F" w:rsidRDefault="00357C9F" w:rsidP="00357C9F">
      <w:pPr>
        <w:pStyle w:val="Heading1"/>
        <w:jc w:val="both"/>
        <w:rPr>
          <w:sz w:val="24"/>
          <w:szCs w:val="24"/>
        </w:rPr>
      </w:pPr>
      <w:r w:rsidRPr="00357C9F">
        <w:rPr>
          <w:sz w:val="24"/>
          <w:szCs w:val="24"/>
        </w:rPr>
        <w:t xml:space="preserve">Hydrogeochemical Characterisation and Water Quality Assessment of Streams Impacted by Agricultural Runoff in </w:t>
      </w:r>
      <w:proofErr w:type="spellStart"/>
      <w:r w:rsidRPr="00357C9F">
        <w:rPr>
          <w:sz w:val="24"/>
          <w:szCs w:val="24"/>
        </w:rPr>
        <w:t>Uyo</w:t>
      </w:r>
      <w:proofErr w:type="spellEnd"/>
      <w:r w:rsidRPr="00357C9F">
        <w:rPr>
          <w:sz w:val="24"/>
          <w:szCs w:val="24"/>
        </w:rPr>
        <w:t xml:space="preserve">, </w:t>
      </w:r>
      <w:proofErr w:type="spellStart"/>
      <w:r w:rsidRPr="00357C9F">
        <w:rPr>
          <w:sz w:val="24"/>
          <w:szCs w:val="24"/>
        </w:rPr>
        <w:t>Akwa</w:t>
      </w:r>
      <w:proofErr w:type="spellEnd"/>
      <w:r w:rsidRPr="00357C9F">
        <w:rPr>
          <w:sz w:val="24"/>
          <w:szCs w:val="24"/>
        </w:rPr>
        <w:t xml:space="preserve"> Ibom State, Nigeria</w:t>
      </w:r>
    </w:p>
    <w:p w14:paraId="300C6922" w14:textId="77777777" w:rsidR="00357C9F" w:rsidRPr="00357C9F" w:rsidRDefault="00357C9F" w:rsidP="00357C9F">
      <w:pPr>
        <w:pStyle w:val="Heading1"/>
        <w:jc w:val="both"/>
        <w:rPr>
          <w:rStyle w:val="Strong"/>
          <w:b/>
          <w:bCs/>
          <w:sz w:val="24"/>
          <w:szCs w:val="24"/>
        </w:rPr>
      </w:pPr>
    </w:p>
    <w:p w14:paraId="672A16D0" w14:textId="77777777" w:rsidR="00357C9F" w:rsidRPr="00357C9F" w:rsidRDefault="00357C9F" w:rsidP="00357C9F">
      <w:pPr>
        <w:pStyle w:val="Heading1"/>
        <w:jc w:val="both"/>
        <w:rPr>
          <w:sz w:val="24"/>
          <w:szCs w:val="24"/>
        </w:rPr>
      </w:pPr>
      <w:r w:rsidRPr="00357C9F">
        <w:rPr>
          <w:rStyle w:val="Strong"/>
          <w:sz w:val="24"/>
          <w:szCs w:val="24"/>
        </w:rPr>
        <w:t>Abstract</w:t>
      </w:r>
    </w:p>
    <w:p w14:paraId="54BA251E" w14:textId="77777777" w:rsidR="00357C9F" w:rsidRPr="00357C9F" w:rsidRDefault="00357C9F" w:rsidP="00357C9F">
      <w:pPr>
        <w:pStyle w:val="NormalWeb"/>
        <w:jc w:val="both"/>
      </w:pPr>
      <w:r w:rsidRPr="00357C9F">
        <w:t xml:space="preserve">Agricultural runoff is a major global non-point source of water contamination, contributing substantially to nutrient enrichment, heavy metal loading, and hydrogeochemical alteration in freshwater systems, particularly in humid tropical regions. This study assessed the influence of agricultural activities on the water quality of three streams (S1–S3) within the </w:t>
      </w:r>
      <w:proofErr w:type="spellStart"/>
      <w:r w:rsidRPr="00357C9F">
        <w:t>Uyo</w:t>
      </w:r>
      <w:proofErr w:type="spellEnd"/>
      <w:r w:rsidRPr="00357C9F">
        <w:t xml:space="preserve"> Agricultural Zone of </w:t>
      </w:r>
      <w:proofErr w:type="spellStart"/>
      <w:r w:rsidRPr="00357C9F">
        <w:t>Akwa</w:t>
      </w:r>
      <w:proofErr w:type="spellEnd"/>
      <w:r w:rsidRPr="00357C9F">
        <w:t xml:space="preserve"> Ibom State, Nigeria. A total of 36 water samples were collected across wet and dry seasons from March 2024 to February 2025. </w:t>
      </w:r>
      <w:proofErr w:type="spellStart"/>
      <w:r w:rsidRPr="00357C9F">
        <w:t>Hydrochemical</w:t>
      </w:r>
      <w:proofErr w:type="spellEnd"/>
      <w:r w:rsidRPr="00357C9F">
        <w:t xml:space="preserve"> parameters (pH, Dissolved Oxygen, Turbidity, and Total Dissolved Solids), nutrients (NO₃⁻, PO₄³⁻, NH₄⁺), and heavy metals (Pb, Cd, Hg, As, Cr) were analysed using standard field measurements and FLAME AAS (Flame Atomic Absorption Spectrophotometry). Concentrations of NO₃⁻ (12–18 mg/L), PO₄³⁻ (2.5–3.8 mg/L), and NH₄⁺ (1.8–2.5 mg/L) showed clear spatial variation, with consistently higher values at S2, which is closest to major farmlands. Lead levels exceeded WHO limits at S1 and S2, while Cd, Hg, As, and Cr remained within permissible thresholds. Slightly acidic pH (6.5–6.9), moderate Dissolved Oxygen (4.8–5.2 mg/L), elevated Turbidity (10–15 NTU), and increased TDS (430–500 mg/L) indicated the influence of sediment wash-off and agrochemical inputs. Seasonal comparisons revealed increases in NO₃⁻ and Pb during the wet season, reflecting rainfall-driven mobilisation of contaminants. The results show that agricultural runoff significantly affects the hydrogeochemical characteristics and water quality of streams in </w:t>
      </w:r>
      <w:proofErr w:type="spellStart"/>
      <w:r w:rsidRPr="00357C9F">
        <w:t>Uyo</w:t>
      </w:r>
      <w:proofErr w:type="spellEnd"/>
      <w:r w:rsidRPr="00357C9F">
        <w:t>, stressing the need for improved land-use practices, erosion control, and watershed-protection strategies.</w:t>
      </w:r>
    </w:p>
    <w:p w14:paraId="042EDDE6" w14:textId="77777777" w:rsidR="00357C9F" w:rsidRPr="00357C9F" w:rsidRDefault="00357C9F" w:rsidP="00357C9F">
      <w:pPr>
        <w:pStyle w:val="NormalWeb"/>
        <w:jc w:val="both"/>
      </w:pPr>
      <w:r w:rsidRPr="00357C9F">
        <w:rPr>
          <w:rStyle w:val="Strong"/>
          <w:i/>
          <w:iCs/>
        </w:rPr>
        <w:t>Keywords:</w:t>
      </w:r>
      <w:r w:rsidRPr="00357C9F">
        <w:t xml:space="preserve"> agricultural runoff, heavy metals, </w:t>
      </w:r>
      <w:proofErr w:type="spellStart"/>
      <w:r w:rsidRPr="00357C9F">
        <w:t>hydrogeochemistry</w:t>
      </w:r>
      <w:proofErr w:type="spellEnd"/>
      <w:r w:rsidRPr="00357C9F">
        <w:t>, water quality, seasonal variation</w:t>
      </w:r>
    </w:p>
    <w:p w14:paraId="1503668C" w14:textId="77777777" w:rsidR="00357C9F" w:rsidRPr="00357C9F" w:rsidRDefault="00357C9F" w:rsidP="00357C9F">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pPr>
      <w:r w:rsidRPr="00357C9F">
        <w:rPr>
          <w:rFonts w:ascii="Times New Roman" w:eastAsia="Times New Roman" w:hAnsi="Times New Roman" w:cs="Times New Roman"/>
          <w:b/>
          <w:bCs/>
          <w:kern w:val="36"/>
          <w:sz w:val="24"/>
          <w:szCs w:val="24"/>
          <w:lang w:eastAsia="en-GB"/>
        </w:rPr>
        <w:t xml:space="preserve">1.0 Introduction </w:t>
      </w:r>
    </w:p>
    <w:p w14:paraId="3E81BFDB" w14:textId="62A996F0"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Agricultural runoff is widely recognised as one of the most pervasive non-point sources of water contamination, releasing excessive nutrients, suspended sediments, pesticides, hydrocarbons, and trace metals into freshwater systems. These inputs alter hydrogeochemical processes, degrade aquatic ecosystems, and elevate risks to human and environmental health (</w:t>
      </w:r>
      <w:proofErr w:type="spellStart"/>
      <w:r w:rsidRPr="00357C9F">
        <w:rPr>
          <w:rFonts w:ascii="Times New Roman" w:eastAsia="Times New Roman" w:hAnsi="Times New Roman" w:cs="Times New Roman"/>
          <w:sz w:val="24"/>
          <w:szCs w:val="24"/>
          <w:lang w:eastAsia="en-GB"/>
        </w:rPr>
        <w:t>Ekwere</w:t>
      </w:r>
      <w:proofErr w:type="spellEnd"/>
      <w:r w:rsidRPr="00357C9F">
        <w:rPr>
          <w:rFonts w:ascii="Times New Roman" w:eastAsia="Times New Roman" w:hAnsi="Times New Roman" w:cs="Times New Roman"/>
          <w:sz w:val="24"/>
          <w:szCs w:val="24"/>
          <w:lang w:eastAsia="en-GB"/>
        </w:rPr>
        <w:t xml:space="preserve"> et al., 2025). Globally, the intensification of agriculture—particularly fertiliser application and pesticide use—has accelerated nutrient enrichment and contaminant delivery to streams, wetlands, and riverine environments</w:t>
      </w:r>
      <w:r w:rsidR="00D20814">
        <w:rPr>
          <w:rFonts w:ascii="Times New Roman" w:eastAsia="Times New Roman" w:hAnsi="Times New Roman" w:cs="Times New Roman"/>
          <w:sz w:val="24"/>
          <w:szCs w:val="24"/>
          <w:lang w:eastAsia="en-GB"/>
        </w:rPr>
        <w:t xml:space="preserve"> (</w:t>
      </w:r>
      <w:proofErr w:type="spellStart"/>
      <w:r w:rsidR="00D20814">
        <w:rPr>
          <w:rFonts w:ascii="Times New Roman" w:eastAsia="Times New Roman" w:hAnsi="Times New Roman" w:cs="Times New Roman"/>
          <w:sz w:val="24"/>
          <w:szCs w:val="24"/>
          <w:lang w:eastAsia="en-GB"/>
        </w:rPr>
        <w:t>Ekesiobi</w:t>
      </w:r>
      <w:proofErr w:type="spellEnd"/>
      <w:r w:rsidR="00D20814">
        <w:rPr>
          <w:rFonts w:ascii="Times New Roman" w:eastAsia="Times New Roman" w:hAnsi="Times New Roman" w:cs="Times New Roman"/>
          <w:sz w:val="24"/>
          <w:szCs w:val="24"/>
          <w:lang w:eastAsia="en-GB"/>
        </w:rPr>
        <w:t xml:space="preserve"> et al., 2025)</w:t>
      </w:r>
      <w:r w:rsidRPr="00357C9F">
        <w:rPr>
          <w:rFonts w:ascii="Times New Roman" w:eastAsia="Times New Roman" w:hAnsi="Times New Roman" w:cs="Times New Roman"/>
          <w:sz w:val="24"/>
          <w:szCs w:val="24"/>
          <w:lang w:eastAsia="en-GB"/>
        </w:rPr>
        <w:t>. The situation is more pronounced in developing regions, where rapid agricultural expansion often occurs without adequate environmental controls, thereby increasing the vulnerability of surface waters to anthropogenic pressures (</w:t>
      </w:r>
      <w:proofErr w:type="spellStart"/>
      <w:r w:rsidRPr="00357C9F">
        <w:rPr>
          <w:rFonts w:ascii="Times New Roman" w:eastAsia="Times New Roman" w:hAnsi="Times New Roman" w:cs="Times New Roman"/>
          <w:sz w:val="24"/>
          <w:szCs w:val="24"/>
          <w:lang w:eastAsia="en-GB"/>
        </w:rPr>
        <w:t>Anarado</w:t>
      </w:r>
      <w:proofErr w:type="spellEnd"/>
      <w:r w:rsidRPr="00357C9F">
        <w:rPr>
          <w:rFonts w:ascii="Times New Roman" w:eastAsia="Times New Roman" w:hAnsi="Times New Roman" w:cs="Times New Roman"/>
          <w:sz w:val="24"/>
          <w:szCs w:val="24"/>
          <w:lang w:eastAsia="en-GB"/>
        </w:rPr>
        <w:t xml:space="preserve"> et al., 2023).</w:t>
      </w:r>
    </w:p>
    <w:p w14:paraId="12AA1AD7" w14:textId="04807C7F"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 xml:space="preserve">Runoff generated from fertilised farmland is a major transport pathway for nitrates, phosphates, ammonium, and agrochemical residues. These nutrient-rich discharges stimulate excessive primary productivity, oxygen depletion, and ecosystem imbalance, contributing to </w:t>
      </w:r>
      <w:r w:rsidRPr="00357C9F">
        <w:rPr>
          <w:rFonts w:ascii="Times New Roman" w:eastAsia="Times New Roman" w:hAnsi="Times New Roman" w:cs="Times New Roman"/>
          <w:sz w:val="24"/>
          <w:szCs w:val="24"/>
          <w:lang w:eastAsia="en-GB"/>
        </w:rPr>
        <w:lastRenderedPageBreak/>
        <w:t>eutrophication and long-term ecological degradation (</w:t>
      </w:r>
      <w:proofErr w:type="spellStart"/>
      <w:r w:rsidR="00D20814">
        <w:rPr>
          <w:rFonts w:ascii="Times New Roman" w:eastAsia="Times New Roman" w:hAnsi="Times New Roman" w:cs="Times New Roman"/>
          <w:sz w:val="24"/>
          <w:szCs w:val="24"/>
          <w:lang w:eastAsia="en-GB"/>
        </w:rPr>
        <w:t>Ogbaji</w:t>
      </w:r>
      <w:proofErr w:type="spellEnd"/>
      <w:r w:rsidRPr="00357C9F">
        <w:rPr>
          <w:rFonts w:ascii="Times New Roman" w:eastAsia="Times New Roman" w:hAnsi="Times New Roman" w:cs="Times New Roman"/>
          <w:sz w:val="24"/>
          <w:szCs w:val="24"/>
          <w:lang w:eastAsia="en-GB"/>
        </w:rPr>
        <w:t xml:space="preserve"> et al., 2025). In addition to nutrients, agricultural landscapes frequently serve as secondary reservoirs for heavy metals such as Pb, Cd, As, and Hg, introduced through contaminated soils, irrigation return flows, atmospheric deposition, and agrochemical formulations. These metals are of global toxicological concern because they are persistent, </w:t>
      </w:r>
      <w:proofErr w:type="spellStart"/>
      <w:r w:rsidRPr="00357C9F">
        <w:rPr>
          <w:rFonts w:ascii="Times New Roman" w:eastAsia="Times New Roman" w:hAnsi="Times New Roman" w:cs="Times New Roman"/>
          <w:sz w:val="24"/>
          <w:szCs w:val="24"/>
          <w:lang w:eastAsia="en-GB"/>
        </w:rPr>
        <w:t>bioaccumulative</w:t>
      </w:r>
      <w:proofErr w:type="spellEnd"/>
      <w:r w:rsidRPr="00357C9F">
        <w:rPr>
          <w:rFonts w:ascii="Times New Roman" w:eastAsia="Times New Roman" w:hAnsi="Times New Roman" w:cs="Times New Roman"/>
          <w:sz w:val="24"/>
          <w:szCs w:val="24"/>
          <w:lang w:eastAsia="en-GB"/>
        </w:rPr>
        <w:t>, and capable of magnifying through aquatic food webs (Stewart et al., 2000</w:t>
      </w:r>
      <w:r w:rsidR="00D20814">
        <w:rPr>
          <w:rFonts w:ascii="Times New Roman" w:eastAsia="Times New Roman" w:hAnsi="Times New Roman" w:cs="Times New Roman"/>
          <w:sz w:val="24"/>
          <w:szCs w:val="24"/>
          <w:lang w:eastAsia="en-GB"/>
        </w:rPr>
        <w:t xml:space="preserve">; </w:t>
      </w:r>
      <w:proofErr w:type="spellStart"/>
      <w:r w:rsidR="00D20814">
        <w:rPr>
          <w:rFonts w:ascii="Times New Roman" w:eastAsia="Times New Roman" w:hAnsi="Times New Roman" w:cs="Times New Roman"/>
          <w:sz w:val="24"/>
          <w:szCs w:val="24"/>
          <w:lang w:eastAsia="en-GB"/>
        </w:rPr>
        <w:t>Umueni</w:t>
      </w:r>
      <w:proofErr w:type="spellEnd"/>
      <w:r w:rsidR="00D20814">
        <w:rPr>
          <w:rFonts w:ascii="Times New Roman" w:eastAsia="Times New Roman" w:hAnsi="Times New Roman" w:cs="Times New Roman"/>
          <w:sz w:val="24"/>
          <w:szCs w:val="24"/>
          <w:lang w:eastAsia="en-GB"/>
        </w:rPr>
        <w:t xml:space="preserve"> et al., 2025</w:t>
      </w:r>
      <w:r w:rsidRPr="00357C9F">
        <w:rPr>
          <w:rFonts w:ascii="Times New Roman" w:eastAsia="Times New Roman" w:hAnsi="Times New Roman" w:cs="Times New Roman"/>
          <w:sz w:val="24"/>
          <w:szCs w:val="24"/>
          <w:lang w:eastAsia="en-GB"/>
        </w:rPr>
        <w:t>). Similar concerns extend to persistent organic pollutants (POPs), which undergo long-range atmospheric transport and accumulate in aquatic organisms (</w:t>
      </w:r>
      <w:proofErr w:type="spellStart"/>
      <w:r w:rsidRPr="00357C9F">
        <w:rPr>
          <w:rFonts w:ascii="Times New Roman" w:eastAsia="Times New Roman" w:hAnsi="Times New Roman" w:cs="Times New Roman"/>
          <w:sz w:val="24"/>
          <w:szCs w:val="24"/>
          <w:lang w:eastAsia="en-GB"/>
        </w:rPr>
        <w:t>Kallenborn</w:t>
      </w:r>
      <w:proofErr w:type="spellEnd"/>
      <w:r w:rsidRPr="00357C9F">
        <w:rPr>
          <w:rFonts w:ascii="Times New Roman" w:eastAsia="Times New Roman" w:hAnsi="Times New Roman" w:cs="Times New Roman"/>
          <w:sz w:val="24"/>
          <w:szCs w:val="24"/>
          <w:lang w:eastAsia="en-GB"/>
        </w:rPr>
        <w:t xml:space="preserve"> et al., 2015; </w:t>
      </w:r>
      <w:proofErr w:type="spellStart"/>
      <w:r w:rsidRPr="00357C9F">
        <w:rPr>
          <w:rFonts w:ascii="Times New Roman" w:eastAsia="Times New Roman" w:hAnsi="Times New Roman" w:cs="Times New Roman"/>
          <w:sz w:val="24"/>
          <w:szCs w:val="24"/>
          <w:lang w:eastAsia="en-GB"/>
        </w:rPr>
        <w:t>Wania</w:t>
      </w:r>
      <w:proofErr w:type="spellEnd"/>
      <w:r w:rsidRPr="00357C9F">
        <w:rPr>
          <w:rFonts w:ascii="Times New Roman" w:eastAsia="Times New Roman" w:hAnsi="Times New Roman" w:cs="Times New Roman"/>
          <w:sz w:val="24"/>
          <w:szCs w:val="24"/>
          <w:lang w:eastAsia="en-GB"/>
        </w:rPr>
        <w:t xml:space="preserve"> et al., 2006).</w:t>
      </w:r>
    </w:p>
    <w:p w14:paraId="22D45B43"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In Nigeria, particularly within the Niger Delta and other agricultural belts, recent assessments have documented increasing nutrient loads, heavy metals, hydrocarbons, and pesticide residues in surface waters influenced by farming and mixed land-use activities (</w:t>
      </w:r>
      <w:proofErr w:type="spellStart"/>
      <w:r w:rsidRPr="00357C9F">
        <w:rPr>
          <w:rFonts w:ascii="Times New Roman" w:eastAsia="Times New Roman" w:hAnsi="Times New Roman" w:cs="Times New Roman"/>
          <w:sz w:val="24"/>
          <w:szCs w:val="24"/>
          <w:lang w:eastAsia="en-GB"/>
        </w:rPr>
        <w:t>Aghanwa</w:t>
      </w:r>
      <w:proofErr w:type="spellEnd"/>
      <w:r w:rsidRPr="00357C9F">
        <w:rPr>
          <w:rFonts w:ascii="Times New Roman" w:eastAsia="Times New Roman" w:hAnsi="Times New Roman" w:cs="Times New Roman"/>
          <w:sz w:val="24"/>
          <w:szCs w:val="24"/>
          <w:lang w:eastAsia="en-GB"/>
        </w:rPr>
        <w:t xml:space="preserve"> et al., 2025; Ekpe et al., 2025; </w:t>
      </w:r>
      <w:proofErr w:type="spellStart"/>
      <w:r w:rsidRPr="00357C9F">
        <w:rPr>
          <w:rFonts w:ascii="Times New Roman" w:eastAsia="Times New Roman" w:hAnsi="Times New Roman" w:cs="Times New Roman"/>
          <w:sz w:val="24"/>
          <w:szCs w:val="24"/>
          <w:lang w:eastAsia="en-GB"/>
        </w:rPr>
        <w:t>Umueni</w:t>
      </w:r>
      <w:proofErr w:type="spellEnd"/>
      <w:r w:rsidRPr="00357C9F">
        <w:rPr>
          <w:rFonts w:ascii="Times New Roman" w:eastAsia="Times New Roman" w:hAnsi="Times New Roman" w:cs="Times New Roman"/>
          <w:sz w:val="24"/>
          <w:szCs w:val="24"/>
          <w:lang w:eastAsia="en-GB"/>
        </w:rPr>
        <w:t xml:space="preserve"> et al., 2025). These contaminants have been detected not only in water but also in sediments and aquatic biota, highlighting the risks of bioaccumulation and potential food-chain transfer (</w:t>
      </w:r>
      <w:proofErr w:type="spellStart"/>
      <w:r w:rsidRPr="00357C9F">
        <w:rPr>
          <w:rFonts w:ascii="Times New Roman" w:eastAsia="Times New Roman" w:hAnsi="Times New Roman" w:cs="Times New Roman"/>
          <w:sz w:val="24"/>
          <w:szCs w:val="24"/>
          <w:lang w:eastAsia="en-GB"/>
        </w:rPr>
        <w:t>Eyenubo</w:t>
      </w:r>
      <w:proofErr w:type="spellEnd"/>
      <w:r w:rsidRPr="00357C9F">
        <w:rPr>
          <w:rFonts w:ascii="Times New Roman" w:eastAsia="Times New Roman" w:hAnsi="Times New Roman" w:cs="Times New Roman"/>
          <w:sz w:val="24"/>
          <w:szCs w:val="24"/>
          <w:lang w:eastAsia="en-GB"/>
        </w:rPr>
        <w:t xml:space="preserve"> et al., 2024; Ernesto et al., 2021; </w:t>
      </w:r>
      <w:proofErr w:type="spellStart"/>
      <w:r w:rsidRPr="00357C9F">
        <w:rPr>
          <w:rFonts w:ascii="Times New Roman" w:eastAsia="Times New Roman" w:hAnsi="Times New Roman" w:cs="Times New Roman"/>
          <w:sz w:val="24"/>
          <w:szCs w:val="24"/>
          <w:lang w:eastAsia="en-GB"/>
        </w:rPr>
        <w:t>Okpoji</w:t>
      </w:r>
      <w:proofErr w:type="spellEnd"/>
      <w:r w:rsidRPr="00357C9F">
        <w:rPr>
          <w:rFonts w:ascii="Times New Roman" w:eastAsia="Times New Roman" w:hAnsi="Times New Roman" w:cs="Times New Roman"/>
          <w:sz w:val="24"/>
          <w:szCs w:val="24"/>
          <w:lang w:eastAsia="en-GB"/>
        </w:rPr>
        <w:t xml:space="preserve"> et al., 2025; </w:t>
      </w:r>
      <w:proofErr w:type="spellStart"/>
      <w:r w:rsidRPr="00357C9F">
        <w:rPr>
          <w:rFonts w:ascii="Times New Roman" w:eastAsia="Times New Roman" w:hAnsi="Times New Roman" w:cs="Times New Roman"/>
          <w:sz w:val="24"/>
          <w:szCs w:val="24"/>
          <w:lang w:eastAsia="en-GB"/>
        </w:rPr>
        <w:t>Onoja</w:t>
      </w:r>
      <w:proofErr w:type="spellEnd"/>
      <w:r w:rsidRPr="00357C9F">
        <w:rPr>
          <w:rFonts w:ascii="Times New Roman" w:eastAsia="Times New Roman" w:hAnsi="Times New Roman" w:cs="Times New Roman"/>
          <w:sz w:val="24"/>
          <w:szCs w:val="24"/>
          <w:lang w:eastAsia="en-GB"/>
        </w:rPr>
        <w:t xml:space="preserve"> et al., 2025). For instance, studies across Niger Delta water bodies show that even low-level, chronic contamination from metals and hydrocarbons can significantly impair aquatic ecosystems and pose health risks to dependent communities (</w:t>
      </w:r>
      <w:proofErr w:type="spellStart"/>
      <w:r w:rsidRPr="00357C9F">
        <w:rPr>
          <w:rFonts w:ascii="Times New Roman" w:eastAsia="Times New Roman" w:hAnsi="Times New Roman" w:cs="Times New Roman"/>
          <w:sz w:val="24"/>
          <w:szCs w:val="24"/>
          <w:lang w:eastAsia="en-GB"/>
        </w:rPr>
        <w:t>Ekwere</w:t>
      </w:r>
      <w:proofErr w:type="spellEnd"/>
      <w:r w:rsidRPr="00357C9F">
        <w:rPr>
          <w:rFonts w:ascii="Times New Roman" w:eastAsia="Times New Roman" w:hAnsi="Times New Roman" w:cs="Times New Roman"/>
          <w:sz w:val="24"/>
          <w:szCs w:val="24"/>
          <w:lang w:eastAsia="en-GB"/>
        </w:rPr>
        <w:t xml:space="preserve"> et al., 2025; John et al., 2025).</w:t>
      </w:r>
    </w:p>
    <w:p w14:paraId="47BDD2CF" w14:textId="75F4E5E8"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The complexity of water quality degradation in Nigerian agricultural environments is further compounded by interactions with other pollution sources, including oil exploration, artisanal refining, and gas flaring</w:t>
      </w:r>
      <w:r w:rsidR="00D20814">
        <w:rPr>
          <w:rFonts w:ascii="Times New Roman" w:eastAsia="Times New Roman" w:hAnsi="Times New Roman" w:cs="Times New Roman"/>
          <w:sz w:val="24"/>
          <w:szCs w:val="24"/>
          <w:lang w:eastAsia="en-GB"/>
        </w:rPr>
        <w:t xml:space="preserve"> (</w:t>
      </w:r>
      <w:proofErr w:type="spellStart"/>
      <w:r w:rsidR="00D20814">
        <w:rPr>
          <w:rFonts w:ascii="Times New Roman" w:eastAsia="Times New Roman" w:hAnsi="Times New Roman" w:cs="Times New Roman"/>
          <w:sz w:val="24"/>
          <w:szCs w:val="24"/>
          <w:lang w:eastAsia="en-GB"/>
        </w:rPr>
        <w:t>Okpoji</w:t>
      </w:r>
      <w:proofErr w:type="spellEnd"/>
      <w:r w:rsidR="00D20814">
        <w:rPr>
          <w:rFonts w:ascii="Times New Roman" w:eastAsia="Times New Roman" w:hAnsi="Times New Roman" w:cs="Times New Roman"/>
          <w:sz w:val="24"/>
          <w:szCs w:val="24"/>
          <w:lang w:eastAsia="en-GB"/>
        </w:rPr>
        <w:t xml:space="preserve"> et al., 2025</w:t>
      </w:r>
      <w:r w:rsidRPr="00357C9F">
        <w:rPr>
          <w:rFonts w:ascii="Times New Roman" w:eastAsia="Times New Roman" w:hAnsi="Times New Roman" w:cs="Times New Roman"/>
          <w:sz w:val="24"/>
          <w:szCs w:val="24"/>
          <w:lang w:eastAsia="en-GB"/>
        </w:rPr>
        <w:t>. Atmospheric deposition of soot, particulate-bound metals, and volatile Organic Compounds (VOCs) contributes additional chemical loads to surface waters, creating a multi-pollutant environment where agricultural contaminants interact with petroleum-derived pollutants (</w:t>
      </w:r>
      <w:proofErr w:type="spellStart"/>
      <w:r w:rsidRPr="00357C9F">
        <w:rPr>
          <w:rFonts w:ascii="Times New Roman" w:eastAsia="Times New Roman" w:hAnsi="Times New Roman" w:cs="Times New Roman"/>
          <w:sz w:val="24"/>
          <w:szCs w:val="24"/>
          <w:lang w:eastAsia="en-GB"/>
        </w:rPr>
        <w:t>Aghanwa</w:t>
      </w:r>
      <w:proofErr w:type="spellEnd"/>
      <w:r w:rsidRPr="00357C9F">
        <w:rPr>
          <w:rFonts w:ascii="Times New Roman" w:eastAsia="Times New Roman" w:hAnsi="Times New Roman" w:cs="Times New Roman"/>
          <w:sz w:val="24"/>
          <w:szCs w:val="24"/>
          <w:lang w:eastAsia="en-GB"/>
        </w:rPr>
        <w:t xml:space="preserve"> et al., 2025; </w:t>
      </w:r>
      <w:proofErr w:type="spellStart"/>
      <w:r w:rsidRPr="00357C9F">
        <w:rPr>
          <w:rFonts w:ascii="Times New Roman" w:eastAsia="Times New Roman" w:hAnsi="Times New Roman" w:cs="Times New Roman"/>
          <w:sz w:val="24"/>
          <w:szCs w:val="24"/>
          <w:lang w:eastAsia="en-GB"/>
        </w:rPr>
        <w:t>Okpoji</w:t>
      </w:r>
      <w:proofErr w:type="spellEnd"/>
      <w:r w:rsidRPr="00357C9F">
        <w:rPr>
          <w:rFonts w:ascii="Times New Roman" w:eastAsia="Times New Roman" w:hAnsi="Times New Roman" w:cs="Times New Roman"/>
          <w:sz w:val="24"/>
          <w:szCs w:val="24"/>
          <w:lang w:eastAsia="en-GB"/>
        </w:rPr>
        <w:t xml:space="preserve"> et al., 2025). These interactions influence hydrogeochemical properties such as pH, Dissolved Solids, Turbidity, and ionic balance, and are increasingly reported in rivers, estuaries, and streams across the region (Okagbare et al., 2025; </w:t>
      </w:r>
      <w:proofErr w:type="spellStart"/>
      <w:r w:rsidRPr="00357C9F">
        <w:rPr>
          <w:rFonts w:ascii="Times New Roman" w:eastAsia="Times New Roman" w:hAnsi="Times New Roman" w:cs="Times New Roman"/>
          <w:sz w:val="24"/>
          <w:szCs w:val="24"/>
          <w:lang w:eastAsia="en-GB"/>
        </w:rPr>
        <w:t>Okpoji</w:t>
      </w:r>
      <w:proofErr w:type="spellEnd"/>
      <w:r w:rsidRPr="00357C9F">
        <w:rPr>
          <w:rFonts w:ascii="Times New Roman" w:eastAsia="Times New Roman" w:hAnsi="Times New Roman" w:cs="Times New Roman"/>
          <w:sz w:val="24"/>
          <w:szCs w:val="24"/>
          <w:lang w:eastAsia="en-GB"/>
        </w:rPr>
        <w:t xml:space="preserve"> et al., 2025).</w:t>
      </w:r>
    </w:p>
    <w:p w14:paraId="584D3540"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Hydrogeochemical assessment provides an essential framework for understanding such complex interactions. Key parameters—pH, Dissolved Oxygen, Turbidity, and Total Dissolved Solids—offer insight into the combined effects of natural processes (e.g., mineral dissolution, soil–water interactions) and anthropogenic activities such as fertiliser application, land-use change, and contaminant loading (</w:t>
      </w:r>
      <w:proofErr w:type="spellStart"/>
      <w:r w:rsidRPr="00357C9F">
        <w:rPr>
          <w:rFonts w:ascii="Times New Roman" w:eastAsia="Times New Roman" w:hAnsi="Times New Roman" w:cs="Times New Roman"/>
          <w:sz w:val="24"/>
          <w:szCs w:val="24"/>
          <w:lang w:eastAsia="en-GB"/>
        </w:rPr>
        <w:t>Oghenekohwiroro</w:t>
      </w:r>
      <w:proofErr w:type="spellEnd"/>
      <w:r w:rsidRPr="00357C9F">
        <w:rPr>
          <w:rFonts w:ascii="Times New Roman" w:eastAsia="Times New Roman" w:hAnsi="Times New Roman" w:cs="Times New Roman"/>
          <w:sz w:val="24"/>
          <w:szCs w:val="24"/>
          <w:lang w:eastAsia="en-GB"/>
        </w:rPr>
        <w:t xml:space="preserve"> &amp; </w:t>
      </w:r>
      <w:proofErr w:type="spellStart"/>
      <w:r w:rsidRPr="00357C9F">
        <w:rPr>
          <w:rFonts w:ascii="Times New Roman" w:eastAsia="Times New Roman" w:hAnsi="Times New Roman" w:cs="Times New Roman"/>
          <w:sz w:val="24"/>
          <w:szCs w:val="24"/>
          <w:lang w:eastAsia="en-GB"/>
        </w:rPr>
        <w:t>Osaro</w:t>
      </w:r>
      <w:proofErr w:type="spellEnd"/>
      <w:r w:rsidRPr="00357C9F">
        <w:rPr>
          <w:rFonts w:ascii="Times New Roman" w:eastAsia="Times New Roman" w:hAnsi="Times New Roman" w:cs="Times New Roman"/>
          <w:sz w:val="24"/>
          <w:szCs w:val="24"/>
          <w:lang w:eastAsia="en-GB"/>
        </w:rPr>
        <w:t>, 2017). When measured alongside nutrient and metal concentrations, these indicators allow researchers to identify pollution sources, evaluate seasonal shifts, and assess ecological and public-health risks.</w:t>
      </w:r>
    </w:p>
    <w:p w14:paraId="2500C13A" w14:textId="77777777" w:rsidR="00357C9F" w:rsidRPr="00357C9F" w:rsidRDefault="00357C9F" w:rsidP="00357C9F">
      <w:pPr>
        <w:jc w:val="both"/>
        <w:rPr>
          <w:rFonts w:ascii="Times New Roman" w:hAnsi="Times New Roman" w:cs="Times New Roman"/>
          <w:sz w:val="24"/>
          <w:szCs w:val="24"/>
        </w:rPr>
      </w:pPr>
      <w:r w:rsidRPr="00357C9F">
        <w:rPr>
          <w:rFonts w:ascii="Times New Roman" w:hAnsi="Times New Roman" w:cs="Times New Roman"/>
          <w:sz w:val="24"/>
          <w:szCs w:val="24"/>
        </w:rPr>
        <w:t xml:space="preserve">Therefore, this study aims to evaluate the hydrogeochemical characteristics and water quality of streams impacted by agricultural runoff within the </w:t>
      </w:r>
      <w:proofErr w:type="spellStart"/>
      <w:r w:rsidRPr="00357C9F">
        <w:rPr>
          <w:rFonts w:ascii="Times New Roman" w:hAnsi="Times New Roman" w:cs="Times New Roman"/>
          <w:sz w:val="24"/>
          <w:szCs w:val="24"/>
        </w:rPr>
        <w:t>Uyo</w:t>
      </w:r>
      <w:proofErr w:type="spellEnd"/>
      <w:r w:rsidRPr="00357C9F">
        <w:rPr>
          <w:rFonts w:ascii="Times New Roman" w:hAnsi="Times New Roman" w:cs="Times New Roman"/>
          <w:sz w:val="24"/>
          <w:szCs w:val="24"/>
        </w:rPr>
        <w:t xml:space="preserve"> Agricultural Zone, </w:t>
      </w:r>
      <w:proofErr w:type="spellStart"/>
      <w:r w:rsidRPr="00357C9F">
        <w:rPr>
          <w:rFonts w:ascii="Times New Roman" w:hAnsi="Times New Roman" w:cs="Times New Roman"/>
          <w:sz w:val="24"/>
          <w:szCs w:val="24"/>
        </w:rPr>
        <w:t>Akwa</w:t>
      </w:r>
      <w:proofErr w:type="spellEnd"/>
      <w:r w:rsidRPr="00357C9F">
        <w:rPr>
          <w:rFonts w:ascii="Times New Roman" w:hAnsi="Times New Roman" w:cs="Times New Roman"/>
          <w:sz w:val="24"/>
          <w:szCs w:val="24"/>
        </w:rPr>
        <w:t xml:space="preserve"> Ibom State, Nigeria, by assessing nutrient levels, heavy‐metal concentrations, physicochemical parameters, and seasonal variations to determine the extent of anthropogenic influence and its implications for ecological and public health.</w:t>
      </w:r>
    </w:p>
    <w:p w14:paraId="290193E8"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3C93E9D9" w14:textId="77777777" w:rsidR="00357C9F" w:rsidRPr="00357C9F" w:rsidRDefault="00357C9F" w:rsidP="00357C9F">
      <w:pPr>
        <w:pStyle w:val="Heading1"/>
        <w:jc w:val="both"/>
        <w:rPr>
          <w:sz w:val="24"/>
          <w:szCs w:val="24"/>
        </w:rPr>
      </w:pPr>
      <w:r w:rsidRPr="00357C9F">
        <w:rPr>
          <w:rStyle w:val="Strong"/>
          <w:sz w:val="24"/>
          <w:szCs w:val="24"/>
        </w:rPr>
        <w:t>2.0 Materials and Methods</w:t>
      </w:r>
    </w:p>
    <w:p w14:paraId="117EF703" w14:textId="77777777" w:rsidR="00357C9F" w:rsidRPr="00357C9F" w:rsidRDefault="00357C9F" w:rsidP="00357C9F">
      <w:pPr>
        <w:pStyle w:val="Heading2"/>
        <w:jc w:val="both"/>
        <w:rPr>
          <w:rFonts w:ascii="Times New Roman" w:hAnsi="Times New Roman" w:cs="Times New Roman"/>
          <w:color w:val="auto"/>
          <w:sz w:val="24"/>
          <w:szCs w:val="24"/>
        </w:rPr>
      </w:pPr>
      <w:r w:rsidRPr="00357C9F">
        <w:rPr>
          <w:rStyle w:val="Strong"/>
          <w:rFonts w:ascii="Times New Roman" w:hAnsi="Times New Roman" w:cs="Times New Roman"/>
          <w:color w:val="auto"/>
          <w:sz w:val="24"/>
          <w:szCs w:val="24"/>
        </w:rPr>
        <w:lastRenderedPageBreak/>
        <w:t>2.1 Study Area</w:t>
      </w:r>
    </w:p>
    <w:p w14:paraId="4ED6E503"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 xml:space="preserve">This study was carried out in three streams—S1, S2, and S3—located within the </w:t>
      </w:r>
      <w:proofErr w:type="spellStart"/>
      <w:r w:rsidRPr="00357C9F">
        <w:rPr>
          <w:rFonts w:ascii="Times New Roman" w:eastAsia="Times New Roman" w:hAnsi="Times New Roman" w:cs="Times New Roman"/>
          <w:sz w:val="24"/>
          <w:szCs w:val="24"/>
          <w:lang w:eastAsia="en-GB"/>
        </w:rPr>
        <w:t>Uyo</w:t>
      </w:r>
      <w:proofErr w:type="spellEnd"/>
      <w:r w:rsidRPr="00357C9F">
        <w:rPr>
          <w:rFonts w:ascii="Times New Roman" w:eastAsia="Times New Roman" w:hAnsi="Times New Roman" w:cs="Times New Roman"/>
          <w:sz w:val="24"/>
          <w:szCs w:val="24"/>
          <w:lang w:eastAsia="en-GB"/>
        </w:rPr>
        <w:t xml:space="preserve"> Agricultural Zone in </w:t>
      </w:r>
      <w:proofErr w:type="spellStart"/>
      <w:r w:rsidRPr="00357C9F">
        <w:rPr>
          <w:rFonts w:ascii="Times New Roman" w:eastAsia="Times New Roman" w:hAnsi="Times New Roman" w:cs="Times New Roman"/>
          <w:sz w:val="24"/>
          <w:szCs w:val="24"/>
          <w:lang w:eastAsia="en-GB"/>
        </w:rPr>
        <w:t>Akwa</w:t>
      </w:r>
      <w:proofErr w:type="spellEnd"/>
      <w:r w:rsidRPr="00357C9F">
        <w:rPr>
          <w:rFonts w:ascii="Times New Roman" w:eastAsia="Times New Roman" w:hAnsi="Times New Roman" w:cs="Times New Roman"/>
          <w:sz w:val="24"/>
          <w:szCs w:val="24"/>
          <w:lang w:eastAsia="en-GB"/>
        </w:rPr>
        <w:t xml:space="preserve"> Ibom State, Nigeria, between coordinates 5°00′–5°05′ N and 7°55′–8°00′ E. These streams drain an agriculturally dominated watershed that spans the </w:t>
      </w:r>
      <w:proofErr w:type="spellStart"/>
      <w:r w:rsidRPr="00357C9F">
        <w:rPr>
          <w:rFonts w:ascii="Times New Roman" w:eastAsia="Times New Roman" w:hAnsi="Times New Roman" w:cs="Times New Roman"/>
          <w:sz w:val="24"/>
          <w:szCs w:val="24"/>
          <w:lang w:eastAsia="en-GB"/>
        </w:rPr>
        <w:t>Nsukara</w:t>
      </w:r>
      <w:proofErr w:type="spellEnd"/>
      <w:r w:rsidRPr="00357C9F">
        <w:rPr>
          <w:rFonts w:ascii="Times New Roman" w:eastAsia="Times New Roman" w:hAnsi="Times New Roman" w:cs="Times New Roman"/>
          <w:sz w:val="24"/>
          <w:szCs w:val="24"/>
          <w:lang w:eastAsia="en-GB"/>
        </w:rPr>
        <w:t xml:space="preserve">, </w:t>
      </w:r>
      <w:proofErr w:type="spellStart"/>
      <w:r w:rsidRPr="00357C9F">
        <w:rPr>
          <w:rFonts w:ascii="Times New Roman" w:eastAsia="Times New Roman" w:hAnsi="Times New Roman" w:cs="Times New Roman"/>
          <w:sz w:val="24"/>
          <w:szCs w:val="24"/>
          <w:lang w:eastAsia="en-GB"/>
        </w:rPr>
        <w:t>Nwaniba</w:t>
      </w:r>
      <w:proofErr w:type="spellEnd"/>
      <w:r w:rsidRPr="00357C9F">
        <w:rPr>
          <w:rFonts w:ascii="Times New Roman" w:eastAsia="Times New Roman" w:hAnsi="Times New Roman" w:cs="Times New Roman"/>
          <w:sz w:val="24"/>
          <w:szCs w:val="24"/>
          <w:lang w:eastAsia="en-GB"/>
        </w:rPr>
        <w:t xml:space="preserve">, and Use </w:t>
      </w:r>
      <w:proofErr w:type="spellStart"/>
      <w:r w:rsidRPr="00357C9F">
        <w:rPr>
          <w:rFonts w:ascii="Times New Roman" w:eastAsia="Times New Roman" w:hAnsi="Times New Roman" w:cs="Times New Roman"/>
          <w:sz w:val="24"/>
          <w:szCs w:val="24"/>
          <w:lang w:eastAsia="en-GB"/>
        </w:rPr>
        <w:t>Offot</w:t>
      </w:r>
      <w:proofErr w:type="spellEnd"/>
      <w:r w:rsidRPr="00357C9F">
        <w:rPr>
          <w:rFonts w:ascii="Times New Roman" w:eastAsia="Times New Roman" w:hAnsi="Times New Roman" w:cs="Times New Roman"/>
          <w:sz w:val="24"/>
          <w:szCs w:val="24"/>
          <w:lang w:eastAsia="en-GB"/>
        </w:rPr>
        <w:t xml:space="preserve"> communities. The area supports intensive mixed farming, including cassava, maize, vegetables, poultry, and piggery operations, all of which contribute to agrochemical inputs and nutrient wash-off into adjacent surface waters.</w:t>
      </w:r>
    </w:p>
    <w:p w14:paraId="251C8367"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The region lies in the humid tropical rainforest belt of southern Nigeria and experiences a bimodal climate, with a rainy season from March to October and a short dry season from November to February. Annual rainfall ranges from 2,200 to 2,800 mm, and peak precipitation enhances overland flow, soil erosion, and hydrological connectivity between farmlands and the streams. The streams serve local households for domestic use, livestock watering, and small-scale irrigation, making their water quality important for both ecological integrity and public health. As in many tropical agricultural regions globally, agricultural runoff constitutes a major non-point source of pollution, contributing nutrients, sediments, and heavy metals to downstream aquatic ecosystems.</w:t>
      </w:r>
    </w:p>
    <w:p w14:paraId="51E9BBB1"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hAnsi="Times New Roman" w:cs="Times New Roman"/>
          <w:noProof/>
          <w:sz w:val="24"/>
          <w:szCs w:val="24"/>
        </w:rPr>
        <w:lastRenderedPageBreak/>
        <w:drawing>
          <wp:inline distT="0" distB="0" distL="0" distR="0" wp14:anchorId="4BA524D5" wp14:editId="1982E4AF">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31510" cy="5731510"/>
                    </a:xfrm>
                    <a:prstGeom prst="rect">
                      <a:avLst/>
                    </a:prstGeom>
                    <a:noFill/>
                    <a:ln>
                      <a:noFill/>
                    </a:ln>
                  </pic:spPr>
                </pic:pic>
              </a:graphicData>
            </a:graphic>
          </wp:inline>
        </w:drawing>
      </w:r>
    </w:p>
    <w:p w14:paraId="0ED254C3" w14:textId="77777777" w:rsidR="00357C9F" w:rsidRPr="00357C9F" w:rsidRDefault="00357C9F" w:rsidP="00357C9F">
      <w:pPr>
        <w:pStyle w:val="NormalWeb"/>
        <w:jc w:val="both"/>
        <w:rPr>
          <w:b/>
          <w:bCs/>
        </w:rPr>
      </w:pPr>
      <w:r w:rsidRPr="00357C9F">
        <w:rPr>
          <w:b/>
          <w:bCs/>
        </w:rPr>
        <w:t xml:space="preserve">Fig. 1:  Map of the sampling location  </w:t>
      </w:r>
    </w:p>
    <w:p w14:paraId="360A800D" w14:textId="77777777" w:rsidR="00357C9F" w:rsidRPr="00357C9F" w:rsidRDefault="00357C9F" w:rsidP="00357C9F">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357C9F">
        <w:rPr>
          <w:rFonts w:ascii="Times New Roman" w:eastAsia="Times New Roman" w:hAnsi="Times New Roman" w:cs="Times New Roman"/>
          <w:b/>
          <w:bCs/>
          <w:sz w:val="24"/>
          <w:szCs w:val="24"/>
          <w:lang w:eastAsia="en-GB"/>
        </w:rPr>
        <w:t>2.2 Sampling Strategy</w:t>
      </w:r>
    </w:p>
    <w:p w14:paraId="4BDF49F0"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A purposive sampling approach was used to select the three streams based on their proximity to farmlands and visible evidence of surface runoff. Sampling was conducted over 12 months, from March 2024 to February 2025, covering both wet and dry seasons. A total of 36 water samples were collected (three sites × two seasons × six replicate samples). At each site, water samples were collected midstream at a depth of 20–30 cm using pre-cleaned 1-L polyethene bottles that were acid-soaked in nitric acid and rinsed with deionised water. Before final collection, each bottle was rinsed with stream water to minimise contamination. Samples for nutrient and physicochemical analyses were transported unacidified, while samples for heavy metal analysis were acidified immediately to pH &lt; 2 using ultrapure nitric acid.</w:t>
      </w:r>
    </w:p>
    <w:p w14:paraId="50246683" w14:textId="77777777" w:rsidR="00357C9F" w:rsidRPr="00357C9F" w:rsidRDefault="00357C9F" w:rsidP="00357C9F">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357C9F">
        <w:rPr>
          <w:rFonts w:ascii="Times New Roman" w:eastAsia="Times New Roman" w:hAnsi="Times New Roman" w:cs="Times New Roman"/>
          <w:b/>
          <w:bCs/>
          <w:sz w:val="24"/>
          <w:szCs w:val="24"/>
          <w:lang w:eastAsia="en-GB"/>
        </w:rPr>
        <w:t>2.3 Physicochemical Analysis</w:t>
      </w:r>
    </w:p>
    <w:p w14:paraId="1F7D7FC4"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lastRenderedPageBreak/>
        <w:t xml:space="preserve">In situ measurements of </w:t>
      </w:r>
      <w:proofErr w:type="spellStart"/>
      <w:r w:rsidRPr="00357C9F">
        <w:rPr>
          <w:rFonts w:ascii="Times New Roman" w:eastAsia="Times New Roman" w:hAnsi="Times New Roman" w:cs="Times New Roman"/>
          <w:sz w:val="24"/>
          <w:szCs w:val="24"/>
          <w:lang w:eastAsia="en-GB"/>
        </w:rPr>
        <w:t>hydrochemical</w:t>
      </w:r>
      <w:proofErr w:type="spellEnd"/>
      <w:r w:rsidRPr="00357C9F">
        <w:rPr>
          <w:rFonts w:ascii="Times New Roman" w:eastAsia="Times New Roman" w:hAnsi="Times New Roman" w:cs="Times New Roman"/>
          <w:sz w:val="24"/>
          <w:szCs w:val="24"/>
          <w:lang w:eastAsia="en-GB"/>
        </w:rPr>
        <w:t xml:space="preserve"> parameters were carried out at each sampling point using calibrated portable meters. pH was measured with a Hanna HI </w:t>
      </w:r>
      <w:proofErr w:type="gramStart"/>
      <w:r w:rsidRPr="00357C9F">
        <w:rPr>
          <w:rFonts w:ascii="Times New Roman" w:eastAsia="Times New Roman" w:hAnsi="Times New Roman" w:cs="Times New Roman"/>
          <w:sz w:val="24"/>
          <w:szCs w:val="24"/>
          <w:lang w:eastAsia="en-GB"/>
        </w:rPr>
        <w:t>9811 meter</w:t>
      </w:r>
      <w:proofErr w:type="gramEnd"/>
      <w:r w:rsidRPr="00357C9F">
        <w:rPr>
          <w:rFonts w:ascii="Times New Roman" w:eastAsia="Times New Roman" w:hAnsi="Times New Roman" w:cs="Times New Roman"/>
          <w:sz w:val="24"/>
          <w:szCs w:val="24"/>
          <w:lang w:eastAsia="en-GB"/>
        </w:rPr>
        <w:t xml:space="preserve">, dissolved oxygen (DO) with a YSI Pro20 DO meter, turbidity with a Hach 2100P turbidimeter, and total dissolved solids (TDS) with a </w:t>
      </w:r>
      <w:proofErr w:type="spellStart"/>
      <w:r w:rsidRPr="00357C9F">
        <w:rPr>
          <w:rFonts w:ascii="Times New Roman" w:eastAsia="Times New Roman" w:hAnsi="Times New Roman" w:cs="Times New Roman"/>
          <w:sz w:val="24"/>
          <w:szCs w:val="24"/>
          <w:lang w:eastAsia="en-GB"/>
        </w:rPr>
        <w:t>Jenway</w:t>
      </w:r>
      <w:proofErr w:type="spellEnd"/>
      <w:r w:rsidRPr="00357C9F">
        <w:rPr>
          <w:rFonts w:ascii="Times New Roman" w:eastAsia="Times New Roman" w:hAnsi="Times New Roman" w:cs="Times New Roman"/>
          <w:sz w:val="24"/>
          <w:szCs w:val="24"/>
          <w:lang w:eastAsia="en-GB"/>
        </w:rPr>
        <w:t xml:space="preserve"> 4510 meter. All instruments were calibrated daily following manufacturer specifications to ensure analytical accuracy and stability.</w:t>
      </w:r>
    </w:p>
    <w:p w14:paraId="2C9B4351" w14:textId="77777777" w:rsidR="00357C9F" w:rsidRPr="00357C9F" w:rsidRDefault="00357C9F" w:rsidP="00357C9F">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357C9F">
        <w:rPr>
          <w:rFonts w:ascii="Times New Roman" w:eastAsia="Times New Roman" w:hAnsi="Times New Roman" w:cs="Times New Roman"/>
          <w:b/>
          <w:bCs/>
          <w:sz w:val="24"/>
          <w:szCs w:val="24"/>
          <w:lang w:eastAsia="en-GB"/>
        </w:rPr>
        <w:t>2.4 Nutrient Determination</w:t>
      </w:r>
    </w:p>
    <w:p w14:paraId="5B724E58"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Nutrient concentrations, including nitrate (NO₃⁻), phosphate (PO₄³⁻), and ammonium (NH₄⁺), were determined following APHA (2017) standard spectrophotometric procedures. NO₃⁻ was quantified using the cadmium reduction method, PO₄³⁻ using the ascorbic acid method, and NH₄⁺ using the phenate method. Absorbance readings were taken with a UV–Visible spectrophotometer, and concentrations were calculated from calibration curves prepared from analytical-grade standards. All nutrient analyses were performed within 24 hours of sampling to prevent chemical changes.</w:t>
      </w:r>
    </w:p>
    <w:p w14:paraId="4B347097" w14:textId="77777777" w:rsidR="00357C9F" w:rsidRPr="00357C9F" w:rsidRDefault="00357C9F" w:rsidP="00357C9F">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357C9F">
        <w:rPr>
          <w:rFonts w:ascii="Times New Roman" w:eastAsia="Times New Roman" w:hAnsi="Times New Roman" w:cs="Times New Roman"/>
          <w:b/>
          <w:bCs/>
          <w:sz w:val="24"/>
          <w:szCs w:val="24"/>
          <w:lang w:eastAsia="en-GB"/>
        </w:rPr>
        <w:t>2.5 Heavy Metal Analysis</w:t>
      </w:r>
    </w:p>
    <w:p w14:paraId="35D03CE7"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 xml:space="preserve">Concentrations of Pb, Cd, Hg, As, and Cr were determined using FLAME AAS (Flame Atomic Absorption Spectrophotometry) with a PerkinElmer </w:t>
      </w:r>
      <w:proofErr w:type="spellStart"/>
      <w:r w:rsidRPr="00357C9F">
        <w:rPr>
          <w:rFonts w:ascii="Times New Roman" w:eastAsia="Times New Roman" w:hAnsi="Times New Roman" w:cs="Times New Roman"/>
          <w:sz w:val="24"/>
          <w:szCs w:val="24"/>
          <w:lang w:eastAsia="en-GB"/>
        </w:rPr>
        <w:t>AAnalyst</w:t>
      </w:r>
      <w:proofErr w:type="spellEnd"/>
      <w:r w:rsidRPr="00357C9F">
        <w:rPr>
          <w:rFonts w:ascii="Times New Roman" w:eastAsia="Times New Roman" w:hAnsi="Times New Roman" w:cs="Times New Roman"/>
          <w:sz w:val="24"/>
          <w:szCs w:val="24"/>
          <w:lang w:eastAsia="en-GB"/>
        </w:rPr>
        <w:t xml:space="preserve"> instrument. Before analysis, samples were digested with nitric acid on a hot plate at 80–90°C until the volume was reduced by approximately half. The digested samples were cooled, filtered, and diluted back to their original volume with deionised water. Calibration standards were prepared from certified metal-stock solutions, and analytical performance was monitored using blanks, duplicates, and spiked recoveries.</w:t>
      </w:r>
    </w:p>
    <w:p w14:paraId="10BD40EA" w14:textId="77777777" w:rsidR="00357C9F" w:rsidRPr="00357C9F" w:rsidRDefault="00357C9F" w:rsidP="00357C9F">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357C9F">
        <w:rPr>
          <w:rFonts w:ascii="Times New Roman" w:eastAsia="Times New Roman" w:hAnsi="Times New Roman" w:cs="Times New Roman"/>
          <w:b/>
          <w:bCs/>
          <w:sz w:val="24"/>
          <w:szCs w:val="24"/>
          <w:lang w:eastAsia="en-GB"/>
        </w:rPr>
        <w:t>2.6 Seasonal Variation Assessment</w:t>
      </w:r>
    </w:p>
    <w:p w14:paraId="47700010"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 xml:space="preserve">Seasonal influences on water quality were assessed by comparing wet-season and dry-season concentrations of nutrients, metals, and key </w:t>
      </w:r>
      <w:proofErr w:type="spellStart"/>
      <w:r w:rsidRPr="00357C9F">
        <w:rPr>
          <w:rFonts w:ascii="Times New Roman" w:eastAsia="Times New Roman" w:hAnsi="Times New Roman" w:cs="Times New Roman"/>
          <w:sz w:val="24"/>
          <w:szCs w:val="24"/>
          <w:lang w:eastAsia="en-GB"/>
        </w:rPr>
        <w:t>hydrochemical</w:t>
      </w:r>
      <w:proofErr w:type="spellEnd"/>
      <w:r w:rsidRPr="00357C9F">
        <w:rPr>
          <w:rFonts w:ascii="Times New Roman" w:eastAsia="Times New Roman" w:hAnsi="Times New Roman" w:cs="Times New Roman"/>
          <w:sz w:val="24"/>
          <w:szCs w:val="24"/>
          <w:lang w:eastAsia="en-GB"/>
        </w:rPr>
        <w:t xml:space="preserve"> indicators. This comparison provided insight into how rainfall intensity, runoff volume, and hydrological shifts influence the mobilisation and transport of contaminants.</w:t>
      </w:r>
    </w:p>
    <w:p w14:paraId="2EBF425A" w14:textId="77777777" w:rsidR="00357C9F" w:rsidRPr="00357C9F" w:rsidRDefault="00357C9F" w:rsidP="00357C9F">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357C9F">
        <w:rPr>
          <w:rFonts w:ascii="Times New Roman" w:eastAsia="Times New Roman" w:hAnsi="Times New Roman" w:cs="Times New Roman"/>
          <w:b/>
          <w:bCs/>
          <w:sz w:val="24"/>
          <w:szCs w:val="24"/>
          <w:lang w:eastAsia="en-GB"/>
        </w:rPr>
        <w:t>2.7 Quality Assurance and Quality Control</w:t>
      </w:r>
    </w:p>
    <w:p w14:paraId="7A6136AE"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Comprehensive quality assurance and quality control procedures were applied throughout the study. All bottles and glassware were soaked in 10% nitric acid for 24 hours, rinsed with deionised water, and air-dried before use. Field and laboratory blanks accompanied each analytical batch to detect potential contamination. Multi-point calibration curves with coefficients of determination (R²) above 0.995 were used for all analyses. Duplicate measurements were performed for at least 10% of samples, and spiked recoveries were maintained within 85–115%. Measured concentrations were compared with the WHO (2022) guideline limits to evaluate compliance and potential health risks.</w:t>
      </w:r>
    </w:p>
    <w:p w14:paraId="7E7BB60E" w14:textId="77777777" w:rsidR="00357C9F" w:rsidRPr="00357C9F" w:rsidRDefault="00357C9F" w:rsidP="00357C9F">
      <w:pPr>
        <w:jc w:val="both"/>
        <w:rPr>
          <w:rFonts w:ascii="Times New Roman" w:hAnsi="Times New Roman" w:cs="Times New Roman"/>
          <w:sz w:val="24"/>
          <w:szCs w:val="24"/>
        </w:rPr>
      </w:pPr>
    </w:p>
    <w:p w14:paraId="6B04393C" w14:textId="77777777" w:rsidR="00357C9F" w:rsidRPr="00357C9F" w:rsidRDefault="00357C9F" w:rsidP="00357C9F">
      <w:pPr>
        <w:pStyle w:val="Heading1"/>
        <w:jc w:val="both"/>
        <w:rPr>
          <w:sz w:val="24"/>
          <w:szCs w:val="24"/>
        </w:rPr>
      </w:pPr>
      <w:r w:rsidRPr="00357C9F">
        <w:rPr>
          <w:rStyle w:val="Strong"/>
          <w:sz w:val="24"/>
          <w:szCs w:val="24"/>
        </w:rPr>
        <w:t>3.0 Results</w:t>
      </w:r>
    </w:p>
    <w:p w14:paraId="1C14A045" w14:textId="77777777" w:rsidR="00357C9F" w:rsidRPr="00357C9F" w:rsidRDefault="00357C9F" w:rsidP="00357C9F">
      <w:pPr>
        <w:pStyle w:val="Heading2"/>
        <w:jc w:val="both"/>
        <w:rPr>
          <w:rFonts w:ascii="Times New Roman" w:hAnsi="Times New Roman" w:cs="Times New Roman"/>
          <w:color w:val="auto"/>
          <w:sz w:val="24"/>
          <w:szCs w:val="24"/>
        </w:rPr>
      </w:pPr>
      <w:r w:rsidRPr="00357C9F">
        <w:rPr>
          <w:rStyle w:val="Strong"/>
          <w:rFonts w:ascii="Times New Roman" w:hAnsi="Times New Roman" w:cs="Times New Roman"/>
          <w:color w:val="auto"/>
          <w:sz w:val="24"/>
          <w:szCs w:val="24"/>
        </w:rPr>
        <w:lastRenderedPageBreak/>
        <w:t>3.1 Nutrient Concentrations in the Streams</w:t>
      </w:r>
    </w:p>
    <w:p w14:paraId="5E553914" w14:textId="77777777" w:rsidR="00357C9F" w:rsidRPr="00357C9F" w:rsidRDefault="00357C9F" w:rsidP="00357C9F">
      <w:pPr>
        <w:pStyle w:val="NormalWeb"/>
        <w:jc w:val="both"/>
      </w:pPr>
      <w:r w:rsidRPr="00357C9F">
        <w:t>Nutrient levels varied across the three sampling locations, reflecting differing degrees of agricultural influence. Nitrate concentrations ranged from 12 to 18 mg/L, with the highest value recorded at Site S2 (18 mg/L), indicating stronger fertiliser input and runoff intensity. Phosphate followed a similar spatial trend, with values between 2.5 and 3.8 mg/L, again peaking at S2. Ammonium concentrations ranged from 1.8 to 2.5 mg/L and were lowest at Site S3. The S2 consistently exhibited the highest concentrations of all measured nutrients, while S3 recorded the lowest, suggesting dilution downstream and reduced exposure to direct runoff.</w:t>
      </w:r>
    </w:p>
    <w:p w14:paraId="067B8F15" w14:textId="77777777" w:rsidR="00357C9F" w:rsidRPr="00357C9F" w:rsidRDefault="00357C9F" w:rsidP="00357C9F">
      <w:pPr>
        <w:pStyle w:val="Heading3"/>
        <w:jc w:val="both"/>
        <w:rPr>
          <w:rFonts w:ascii="Times New Roman" w:hAnsi="Times New Roman" w:cs="Times New Roman"/>
          <w:b/>
          <w:bCs/>
          <w:color w:val="auto"/>
        </w:rPr>
      </w:pPr>
      <w:r w:rsidRPr="00357C9F">
        <w:rPr>
          <w:rFonts w:ascii="Times New Roman" w:hAnsi="Times New Roman" w:cs="Times New Roman"/>
          <w:b/>
          <w:bCs/>
          <w:color w:val="auto"/>
        </w:rPr>
        <w:t>Table 1: Nutrients in Streams (mg/L)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8"/>
        <w:gridCol w:w="1276"/>
        <w:gridCol w:w="1417"/>
        <w:gridCol w:w="1559"/>
        <w:gridCol w:w="1843"/>
      </w:tblGrid>
      <w:tr w:rsidR="00357C9F" w:rsidRPr="00357C9F" w14:paraId="496E9AE4" w14:textId="77777777" w:rsidTr="000C1472">
        <w:trPr>
          <w:tblHeader/>
          <w:tblCellSpacing w:w="15" w:type="dxa"/>
        </w:trPr>
        <w:tc>
          <w:tcPr>
            <w:tcW w:w="1373" w:type="dxa"/>
            <w:vAlign w:val="center"/>
          </w:tcPr>
          <w:p w14:paraId="4D2CD1CC"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Site</w:t>
            </w:r>
          </w:p>
        </w:tc>
        <w:tc>
          <w:tcPr>
            <w:tcW w:w="1246" w:type="dxa"/>
            <w:vAlign w:val="center"/>
          </w:tcPr>
          <w:p w14:paraId="4B796FA7"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Nitrate</w:t>
            </w:r>
          </w:p>
        </w:tc>
        <w:tc>
          <w:tcPr>
            <w:tcW w:w="1387" w:type="dxa"/>
            <w:vAlign w:val="center"/>
          </w:tcPr>
          <w:p w14:paraId="0CBD2CC4"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Phosphate</w:t>
            </w:r>
          </w:p>
        </w:tc>
        <w:tc>
          <w:tcPr>
            <w:tcW w:w="1529" w:type="dxa"/>
            <w:vAlign w:val="center"/>
          </w:tcPr>
          <w:p w14:paraId="506B1F89"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Ammonium</w:t>
            </w:r>
          </w:p>
        </w:tc>
        <w:tc>
          <w:tcPr>
            <w:tcW w:w="1798" w:type="dxa"/>
            <w:vAlign w:val="center"/>
          </w:tcPr>
          <w:p w14:paraId="38A5BDC9"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WHO Standard</w:t>
            </w:r>
          </w:p>
        </w:tc>
      </w:tr>
      <w:tr w:rsidR="00357C9F" w:rsidRPr="00357C9F" w14:paraId="6BE5C870" w14:textId="77777777" w:rsidTr="000C1472">
        <w:trPr>
          <w:tblCellSpacing w:w="15" w:type="dxa"/>
        </w:trPr>
        <w:tc>
          <w:tcPr>
            <w:tcW w:w="1373" w:type="dxa"/>
            <w:vAlign w:val="center"/>
          </w:tcPr>
          <w:p w14:paraId="3338F29F"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S1</w:t>
            </w:r>
          </w:p>
        </w:tc>
        <w:tc>
          <w:tcPr>
            <w:tcW w:w="1246" w:type="dxa"/>
            <w:vAlign w:val="center"/>
          </w:tcPr>
          <w:p w14:paraId="2AC096C7"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15</w:t>
            </w:r>
          </w:p>
        </w:tc>
        <w:tc>
          <w:tcPr>
            <w:tcW w:w="1387" w:type="dxa"/>
            <w:vAlign w:val="center"/>
          </w:tcPr>
          <w:p w14:paraId="3965220A"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3.2</w:t>
            </w:r>
          </w:p>
        </w:tc>
        <w:tc>
          <w:tcPr>
            <w:tcW w:w="1529" w:type="dxa"/>
            <w:vAlign w:val="center"/>
          </w:tcPr>
          <w:p w14:paraId="77D7B9FD"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2.0</w:t>
            </w:r>
          </w:p>
        </w:tc>
        <w:tc>
          <w:tcPr>
            <w:tcW w:w="1798" w:type="dxa"/>
            <w:vAlign w:val="center"/>
          </w:tcPr>
          <w:p w14:paraId="2A070F61"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NO₃: 50, PO₄: 5</w:t>
            </w:r>
          </w:p>
        </w:tc>
      </w:tr>
      <w:tr w:rsidR="00357C9F" w:rsidRPr="00357C9F" w14:paraId="776567DE" w14:textId="77777777" w:rsidTr="000C1472">
        <w:trPr>
          <w:tblCellSpacing w:w="15" w:type="dxa"/>
        </w:trPr>
        <w:tc>
          <w:tcPr>
            <w:tcW w:w="1373" w:type="dxa"/>
            <w:vAlign w:val="center"/>
          </w:tcPr>
          <w:p w14:paraId="6947667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S2</w:t>
            </w:r>
          </w:p>
        </w:tc>
        <w:tc>
          <w:tcPr>
            <w:tcW w:w="1246" w:type="dxa"/>
            <w:vAlign w:val="center"/>
          </w:tcPr>
          <w:p w14:paraId="73331E7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18</w:t>
            </w:r>
          </w:p>
        </w:tc>
        <w:tc>
          <w:tcPr>
            <w:tcW w:w="1387" w:type="dxa"/>
            <w:vAlign w:val="center"/>
          </w:tcPr>
          <w:p w14:paraId="0B250517"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3.8</w:t>
            </w:r>
          </w:p>
        </w:tc>
        <w:tc>
          <w:tcPr>
            <w:tcW w:w="1529" w:type="dxa"/>
            <w:vAlign w:val="center"/>
          </w:tcPr>
          <w:p w14:paraId="26410405"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2.5</w:t>
            </w:r>
          </w:p>
        </w:tc>
        <w:tc>
          <w:tcPr>
            <w:tcW w:w="1798" w:type="dxa"/>
            <w:vAlign w:val="center"/>
          </w:tcPr>
          <w:p w14:paraId="2744044B"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w:t>
            </w:r>
          </w:p>
        </w:tc>
      </w:tr>
      <w:tr w:rsidR="00357C9F" w:rsidRPr="00357C9F" w14:paraId="2814B4CD" w14:textId="77777777" w:rsidTr="000C1472">
        <w:trPr>
          <w:tblCellSpacing w:w="15" w:type="dxa"/>
        </w:trPr>
        <w:tc>
          <w:tcPr>
            <w:tcW w:w="1373" w:type="dxa"/>
            <w:vAlign w:val="center"/>
          </w:tcPr>
          <w:p w14:paraId="084E997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S3</w:t>
            </w:r>
          </w:p>
        </w:tc>
        <w:tc>
          <w:tcPr>
            <w:tcW w:w="1246" w:type="dxa"/>
            <w:vAlign w:val="center"/>
          </w:tcPr>
          <w:p w14:paraId="4A61968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12</w:t>
            </w:r>
          </w:p>
        </w:tc>
        <w:tc>
          <w:tcPr>
            <w:tcW w:w="1387" w:type="dxa"/>
            <w:vAlign w:val="center"/>
          </w:tcPr>
          <w:p w14:paraId="1CD8E3BB"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2.5</w:t>
            </w:r>
          </w:p>
        </w:tc>
        <w:tc>
          <w:tcPr>
            <w:tcW w:w="1529" w:type="dxa"/>
            <w:vAlign w:val="center"/>
          </w:tcPr>
          <w:p w14:paraId="47A54E3B"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1.8</w:t>
            </w:r>
          </w:p>
        </w:tc>
        <w:tc>
          <w:tcPr>
            <w:tcW w:w="1798" w:type="dxa"/>
            <w:vAlign w:val="center"/>
          </w:tcPr>
          <w:p w14:paraId="2BB70A5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w:t>
            </w:r>
          </w:p>
        </w:tc>
      </w:tr>
    </w:tbl>
    <w:p w14:paraId="3D68E65A" w14:textId="77777777" w:rsidR="00357C9F" w:rsidRPr="00357C9F" w:rsidRDefault="00357C9F" w:rsidP="00357C9F">
      <w:pPr>
        <w:jc w:val="both"/>
        <w:rPr>
          <w:rFonts w:ascii="Times New Roman" w:hAnsi="Times New Roman" w:cs="Times New Roman"/>
          <w:sz w:val="24"/>
          <w:szCs w:val="24"/>
        </w:rPr>
      </w:pPr>
    </w:p>
    <w:p w14:paraId="7C59E847" w14:textId="77777777" w:rsidR="00357C9F" w:rsidRPr="00357C9F" w:rsidRDefault="00357C9F" w:rsidP="00357C9F">
      <w:pPr>
        <w:jc w:val="both"/>
        <w:rPr>
          <w:rFonts w:ascii="Times New Roman" w:hAnsi="Times New Roman" w:cs="Times New Roman"/>
          <w:b/>
          <w:bCs/>
          <w:sz w:val="24"/>
          <w:szCs w:val="24"/>
        </w:rPr>
      </w:pPr>
      <w:r w:rsidRPr="00357C9F">
        <w:rPr>
          <w:rFonts w:ascii="Times New Roman" w:hAnsi="Times New Roman" w:cs="Times New Roman"/>
          <w:noProof/>
          <w:sz w:val="24"/>
          <w:szCs w:val="24"/>
        </w:rPr>
        <w:drawing>
          <wp:inline distT="0" distB="0" distL="0" distR="0" wp14:anchorId="4D8BD73A" wp14:editId="08CCBB1E">
            <wp:extent cx="5731510" cy="37141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731510" cy="3714115"/>
                    </a:xfrm>
                    <a:prstGeom prst="rect">
                      <a:avLst/>
                    </a:prstGeom>
                  </pic:spPr>
                </pic:pic>
              </a:graphicData>
            </a:graphic>
          </wp:inline>
        </w:drawing>
      </w:r>
      <w:r w:rsidRPr="00357C9F">
        <w:rPr>
          <w:rStyle w:val="Strong"/>
          <w:rFonts w:ascii="Times New Roman" w:hAnsi="Times New Roman" w:cs="Times New Roman"/>
          <w:sz w:val="24"/>
          <w:szCs w:val="24"/>
        </w:rPr>
        <w:t xml:space="preserve">Figure 2: </w:t>
      </w:r>
      <w:r w:rsidRPr="00357C9F">
        <w:rPr>
          <w:rFonts w:ascii="Times New Roman" w:hAnsi="Times New Roman" w:cs="Times New Roman"/>
          <w:b/>
          <w:bCs/>
          <w:sz w:val="24"/>
          <w:szCs w:val="24"/>
        </w:rPr>
        <w:t>Nutrient concentrations across sites S1, S2, and S3.</w:t>
      </w:r>
    </w:p>
    <w:p w14:paraId="2030E6FA" w14:textId="77777777" w:rsidR="00357C9F" w:rsidRPr="00357C9F" w:rsidRDefault="00357C9F" w:rsidP="00357C9F">
      <w:pPr>
        <w:pStyle w:val="Heading2"/>
        <w:jc w:val="both"/>
        <w:rPr>
          <w:rFonts w:ascii="Times New Roman" w:hAnsi="Times New Roman" w:cs="Times New Roman"/>
          <w:sz w:val="24"/>
          <w:szCs w:val="24"/>
        </w:rPr>
      </w:pPr>
    </w:p>
    <w:p w14:paraId="0F19CFFA" w14:textId="77777777" w:rsidR="00357C9F" w:rsidRPr="00357C9F" w:rsidRDefault="00357C9F" w:rsidP="00357C9F">
      <w:pPr>
        <w:pStyle w:val="Heading2"/>
        <w:jc w:val="both"/>
        <w:rPr>
          <w:rFonts w:ascii="Times New Roman" w:hAnsi="Times New Roman" w:cs="Times New Roman"/>
          <w:color w:val="auto"/>
          <w:sz w:val="24"/>
          <w:szCs w:val="24"/>
        </w:rPr>
      </w:pPr>
      <w:r w:rsidRPr="00357C9F">
        <w:rPr>
          <w:rStyle w:val="Strong"/>
          <w:rFonts w:ascii="Times New Roman" w:hAnsi="Times New Roman" w:cs="Times New Roman"/>
          <w:color w:val="auto"/>
          <w:sz w:val="24"/>
          <w:szCs w:val="24"/>
        </w:rPr>
        <w:t>3.2 Heavy-Metal Concentrations</w:t>
      </w:r>
    </w:p>
    <w:p w14:paraId="6C4C6469" w14:textId="77777777" w:rsidR="00357C9F" w:rsidRPr="00357C9F" w:rsidRDefault="00357C9F" w:rsidP="00357C9F">
      <w:pPr>
        <w:pStyle w:val="Heading3"/>
        <w:jc w:val="both"/>
        <w:rPr>
          <w:rFonts w:ascii="Times New Roman" w:hAnsi="Times New Roman" w:cs="Times New Roman"/>
          <w:color w:val="auto"/>
        </w:rPr>
      </w:pPr>
      <w:r w:rsidRPr="00357C9F">
        <w:rPr>
          <w:rFonts w:ascii="Times New Roman" w:hAnsi="Times New Roman" w:cs="Times New Roman"/>
          <w:color w:val="auto"/>
        </w:rPr>
        <w:t>Heavy metals were detected at all locations, with varying degrees of compliance with WHO standards. Lead concentrations (10–15 µg/L) exceeded permissible limits at Sites S1 (12 µg/L) and S2 (15 µg/L), indicating contamination likely associated with agrochemical residues or soil particles mobilised during runoff. Cadmium concentrations ranged between 1.5 and 2.0 µg/L and remained within acceptable limits. Mercury values (1.0–1.5 µg/L), arsenic values (8–11 µg/L), and chromium concentrations (12–18 µg/L) were also within WHO (2022) thresholds for drinking water.</w:t>
      </w:r>
    </w:p>
    <w:p w14:paraId="49B511FF" w14:textId="77777777" w:rsidR="00357C9F" w:rsidRPr="00357C9F" w:rsidRDefault="00357C9F" w:rsidP="00357C9F">
      <w:pPr>
        <w:pStyle w:val="Heading3"/>
        <w:jc w:val="both"/>
        <w:rPr>
          <w:rFonts w:ascii="Times New Roman" w:hAnsi="Times New Roman" w:cs="Times New Roman"/>
          <w:b/>
          <w:bCs/>
          <w:color w:val="auto"/>
        </w:rPr>
      </w:pPr>
    </w:p>
    <w:p w14:paraId="4280353C" w14:textId="77777777" w:rsidR="00357C9F" w:rsidRPr="00357C9F" w:rsidRDefault="00357C9F" w:rsidP="00357C9F">
      <w:pPr>
        <w:pStyle w:val="Heading3"/>
        <w:jc w:val="both"/>
        <w:rPr>
          <w:rFonts w:ascii="Times New Roman" w:hAnsi="Times New Roman" w:cs="Times New Roman"/>
          <w:b/>
          <w:bCs/>
          <w:color w:val="auto"/>
        </w:rPr>
      </w:pPr>
      <w:r w:rsidRPr="00357C9F">
        <w:rPr>
          <w:rFonts w:ascii="Times New Roman" w:hAnsi="Times New Roman" w:cs="Times New Roman"/>
          <w:b/>
          <w:bCs/>
          <w:color w:val="auto"/>
        </w:rPr>
        <w:t>Table 2: Heavy Metals concentrations (µg/L)</w:t>
      </w:r>
    </w:p>
    <w:tbl>
      <w:tblPr>
        <w:tblW w:w="9498" w:type="dxa"/>
        <w:tblCellSpacing w:w="15" w:type="dxa"/>
        <w:tblCellMar>
          <w:top w:w="15" w:type="dxa"/>
          <w:left w:w="15" w:type="dxa"/>
          <w:bottom w:w="15" w:type="dxa"/>
          <w:right w:w="15" w:type="dxa"/>
        </w:tblCellMar>
        <w:tblLook w:val="04A0" w:firstRow="1" w:lastRow="0" w:firstColumn="1" w:lastColumn="0" w:noHBand="0" w:noVBand="1"/>
      </w:tblPr>
      <w:tblGrid>
        <w:gridCol w:w="1134"/>
        <w:gridCol w:w="993"/>
        <w:gridCol w:w="992"/>
        <w:gridCol w:w="992"/>
        <w:gridCol w:w="567"/>
        <w:gridCol w:w="851"/>
        <w:gridCol w:w="3969"/>
      </w:tblGrid>
      <w:tr w:rsidR="00357C9F" w:rsidRPr="00357C9F" w14:paraId="220FA064" w14:textId="77777777" w:rsidTr="000C1472">
        <w:trPr>
          <w:tblHeader/>
          <w:tblCellSpacing w:w="15" w:type="dxa"/>
        </w:trPr>
        <w:tc>
          <w:tcPr>
            <w:tcW w:w="1089" w:type="dxa"/>
            <w:vAlign w:val="center"/>
          </w:tcPr>
          <w:p w14:paraId="4B871138"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Site</w:t>
            </w:r>
          </w:p>
        </w:tc>
        <w:tc>
          <w:tcPr>
            <w:tcW w:w="963" w:type="dxa"/>
            <w:vAlign w:val="center"/>
          </w:tcPr>
          <w:p w14:paraId="17AC63B1"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Pb</w:t>
            </w:r>
          </w:p>
        </w:tc>
        <w:tc>
          <w:tcPr>
            <w:tcW w:w="962" w:type="dxa"/>
            <w:vAlign w:val="center"/>
          </w:tcPr>
          <w:p w14:paraId="4B7948AE"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Cd</w:t>
            </w:r>
          </w:p>
        </w:tc>
        <w:tc>
          <w:tcPr>
            <w:tcW w:w="962" w:type="dxa"/>
            <w:vAlign w:val="center"/>
          </w:tcPr>
          <w:p w14:paraId="06E60AB7"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Hg</w:t>
            </w:r>
          </w:p>
        </w:tc>
        <w:tc>
          <w:tcPr>
            <w:tcW w:w="537" w:type="dxa"/>
            <w:vAlign w:val="center"/>
          </w:tcPr>
          <w:p w14:paraId="4235B73E"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As</w:t>
            </w:r>
          </w:p>
        </w:tc>
        <w:tc>
          <w:tcPr>
            <w:tcW w:w="821" w:type="dxa"/>
            <w:vAlign w:val="center"/>
          </w:tcPr>
          <w:p w14:paraId="21C3982C"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Cr</w:t>
            </w:r>
          </w:p>
        </w:tc>
        <w:tc>
          <w:tcPr>
            <w:tcW w:w="3924" w:type="dxa"/>
            <w:vAlign w:val="center"/>
          </w:tcPr>
          <w:p w14:paraId="67B190DF"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WHO Standard</w:t>
            </w:r>
          </w:p>
        </w:tc>
      </w:tr>
      <w:tr w:rsidR="00357C9F" w:rsidRPr="00357C9F" w14:paraId="4D1E6E43" w14:textId="77777777" w:rsidTr="000C1472">
        <w:trPr>
          <w:tblCellSpacing w:w="15" w:type="dxa"/>
        </w:trPr>
        <w:tc>
          <w:tcPr>
            <w:tcW w:w="1089" w:type="dxa"/>
            <w:vAlign w:val="center"/>
          </w:tcPr>
          <w:p w14:paraId="4C88ECF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S1</w:t>
            </w:r>
          </w:p>
        </w:tc>
        <w:tc>
          <w:tcPr>
            <w:tcW w:w="963" w:type="dxa"/>
            <w:vAlign w:val="center"/>
          </w:tcPr>
          <w:p w14:paraId="3BF7113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12</w:t>
            </w:r>
          </w:p>
        </w:tc>
        <w:tc>
          <w:tcPr>
            <w:tcW w:w="962" w:type="dxa"/>
            <w:vAlign w:val="center"/>
          </w:tcPr>
          <w:p w14:paraId="105BB316"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1.8</w:t>
            </w:r>
          </w:p>
        </w:tc>
        <w:tc>
          <w:tcPr>
            <w:tcW w:w="962" w:type="dxa"/>
            <w:vAlign w:val="center"/>
          </w:tcPr>
          <w:p w14:paraId="28F21980"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1.2</w:t>
            </w:r>
          </w:p>
        </w:tc>
        <w:tc>
          <w:tcPr>
            <w:tcW w:w="537" w:type="dxa"/>
            <w:vAlign w:val="center"/>
          </w:tcPr>
          <w:p w14:paraId="6AC91A6A"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9</w:t>
            </w:r>
          </w:p>
        </w:tc>
        <w:tc>
          <w:tcPr>
            <w:tcW w:w="821" w:type="dxa"/>
            <w:vAlign w:val="center"/>
          </w:tcPr>
          <w:p w14:paraId="40074952"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15</w:t>
            </w:r>
          </w:p>
        </w:tc>
        <w:tc>
          <w:tcPr>
            <w:tcW w:w="3924" w:type="dxa"/>
            <w:vAlign w:val="center"/>
          </w:tcPr>
          <w:p w14:paraId="7294AF85"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Pb 10, Cd 3, Hg 6, As 10, Cr 50</w:t>
            </w:r>
          </w:p>
        </w:tc>
      </w:tr>
      <w:tr w:rsidR="00357C9F" w:rsidRPr="00357C9F" w14:paraId="753CF03D" w14:textId="77777777" w:rsidTr="000C1472">
        <w:trPr>
          <w:tblCellSpacing w:w="15" w:type="dxa"/>
        </w:trPr>
        <w:tc>
          <w:tcPr>
            <w:tcW w:w="1089" w:type="dxa"/>
            <w:vAlign w:val="center"/>
          </w:tcPr>
          <w:p w14:paraId="2378DE60"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S2</w:t>
            </w:r>
          </w:p>
        </w:tc>
        <w:tc>
          <w:tcPr>
            <w:tcW w:w="963" w:type="dxa"/>
            <w:vAlign w:val="center"/>
          </w:tcPr>
          <w:p w14:paraId="6EF7E12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15</w:t>
            </w:r>
          </w:p>
        </w:tc>
        <w:tc>
          <w:tcPr>
            <w:tcW w:w="962" w:type="dxa"/>
            <w:vAlign w:val="center"/>
          </w:tcPr>
          <w:p w14:paraId="3684FADE"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2.0</w:t>
            </w:r>
          </w:p>
        </w:tc>
        <w:tc>
          <w:tcPr>
            <w:tcW w:w="962" w:type="dxa"/>
            <w:vAlign w:val="center"/>
          </w:tcPr>
          <w:p w14:paraId="2698F9EE"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1.5</w:t>
            </w:r>
          </w:p>
        </w:tc>
        <w:tc>
          <w:tcPr>
            <w:tcW w:w="537" w:type="dxa"/>
            <w:vAlign w:val="center"/>
          </w:tcPr>
          <w:p w14:paraId="55B8ECC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11</w:t>
            </w:r>
          </w:p>
        </w:tc>
        <w:tc>
          <w:tcPr>
            <w:tcW w:w="821" w:type="dxa"/>
            <w:vAlign w:val="center"/>
          </w:tcPr>
          <w:p w14:paraId="3260C63E"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18</w:t>
            </w:r>
          </w:p>
        </w:tc>
        <w:tc>
          <w:tcPr>
            <w:tcW w:w="3924" w:type="dxa"/>
            <w:vAlign w:val="center"/>
          </w:tcPr>
          <w:p w14:paraId="45A20F97"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w:t>
            </w:r>
          </w:p>
        </w:tc>
      </w:tr>
      <w:tr w:rsidR="00357C9F" w:rsidRPr="00357C9F" w14:paraId="70B5B096" w14:textId="77777777" w:rsidTr="000C1472">
        <w:trPr>
          <w:tblCellSpacing w:w="15" w:type="dxa"/>
        </w:trPr>
        <w:tc>
          <w:tcPr>
            <w:tcW w:w="1089" w:type="dxa"/>
            <w:vAlign w:val="center"/>
          </w:tcPr>
          <w:p w14:paraId="3DD952F0"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S3</w:t>
            </w:r>
          </w:p>
        </w:tc>
        <w:tc>
          <w:tcPr>
            <w:tcW w:w="963" w:type="dxa"/>
            <w:vAlign w:val="center"/>
          </w:tcPr>
          <w:p w14:paraId="554FA7EA"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10</w:t>
            </w:r>
          </w:p>
        </w:tc>
        <w:tc>
          <w:tcPr>
            <w:tcW w:w="962" w:type="dxa"/>
            <w:vAlign w:val="center"/>
          </w:tcPr>
          <w:p w14:paraId="6BE996F8"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1.5</w:t>
            </w:r>
          </w:p>
        </w:tc>
        <w:tc>
          <w:tcPr>
            <w:tcW w:w="962" w:type="dxa"/>
            <w:vAlign w:val="center"/>
          </w:tcPr>
          <w:p w14:paraId="7B519590"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1.0</w:t>
            </w:r>
          </w:p>
        </w:tc>
        <w:tc>
          <w:tcPr>
            <w:tcW w:w="537" w:type="dxa"/>
            <w:vAlign w:val="center"/>
          </w:tcPr>
          <w:p w14:paraId="03E39DB1"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8</w:t>
            </w:r>
          </w:p>
        </w:tc>
        <w:tc>
          <w:tcPr>
            <w:tcW w:w="821" w:type="dxa"/>
            <w:vAlign w:val="center"/>
          </w:tcPr>
          <w:p w14:paraId="4E2543D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12</w:t>
            </w:r>
          </w:p>
        </w:tc>
        <w:tc>
          <w:tcPr>
            <w:tcW w:w="3924" w:type="dxa"/>
            <w:vAlign w:val="center"/>
          </w:tcPr>
          <w:p w14:paraId="06A7DC28"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w:t>
            </w:r>
          </w:p>
        </w:tc>
      </w:tr>
    </w:tbl>
    <w:p w14:paraId="05446454" w14:textId="77777777" w:rsidR="00357C9F" w:rsidRPr="00357C9F" w:rsidRDefault="00357C9F" w:rsidP="00357C9F">
      <w:pPr>
        <w:jc w:val="both"/>
        <w:rPr>
          <w:rFonts w:ascii="Times New Roman" w:hAnsi="Times New Roman" w:cs="Times New Roman"/>
          <w:sz w:val="24"/>
          <w:szCs w:val="24"/>
        </w:rPr>
      </w:pPr>
    </w:p>
    <w:p w14:paraId="2BC9AB7B" w14:textId="77777777" w:rsidR="00357C9F" w:rsidRPr="00357C9F" w:rsidRDefault="00357C9F" w:rsidP="00357C9F">
      <w:pPr>
        <w:jc w:val="both"/>
        <w:rPr>
          <w:rFonts w:ascii="Times New Roman" w:hAnsi="Times New Roman" w:cs="Times New Roman"/>
          <w:sz w:val="24"/>
          <w:szCs w:val="24"/>
        </w:rPr>
      </w:pPr>
      <w:r w:rsidRPr="00357C9F">
        <w:rPr>
          <w:rFonts w:ascii="Times New Roman" w:hAnsi="Times New Roman" w:cs="Times New Roman"/>
          <w:noProof/>
          <w:sz w:val="24"/>
          <w:szCs w:val="24"/>
        </w:rPr>
        <w:drawing>
          <wp:inline distT="0" distB="0" distL="0" distR="0" wp14:anchorId="313328B8" wp14:editId="12ADE4E0">
            <wp:extent cx="5731510" cy="34391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5731510" cy="3439160"/>
                    </a:xfrm>
                    <a:prstGeom prst="rect">
                      <a:avLst/>
                    </a:prstGeom>
                  </pic:spPr>
                </pic:pic>
              </a:graphicData>
            </a:graphic>
          </wp:inline>
        </w:drawing>
      </w:r>
    </w:p>
    <w:p w14:paraId="72C453AA" w14:textId="77777777" w:rsidR="00357C9F" w:rsidRPr="00357C9F" w:rsidRDefault="00357C9F" w:rsidP="00357C9F">
      <w:pPr>
        <w:jc w:val="both"/>
        <w:rPr>
          <w:rFonts w:ascii="Times New Roman" w:hAnsi="Times New Roman" w:cs="Times New Roman"/>
          <w:sz w:val="24"/>
          <w:szCs w:val="24"/>
        </w:rPr>
      </w:pPr>
      <w:r w:rsidRPr="00357C9F">
        <w:rPr>
          <w:rStyle w:val="Strong"/>
          <w:rFonts w:ascii="Times New Roman" w:hAnsi="Times New Roman" w:cs="Times New Roman"/>
          <w:sz w:val="24"/>
          <w:szCs w:val="24"/>
        </w:rPr>
        <w:t xml:space="preserve">Figure 3: </w:t>
      </w:r>
      <w:r w:rsidRPr="00357C9F">
        <w:rPr>
          <w:rFonts w:ascii="Times New Roman" w:hAnsi="Times New Roman" w:cs="Times New Roman"/>
          <w:b/>
          <w:bCs/>
          <w:sz w:val="24"/>
          <w:szCs w:val="24"/>
        </w:rPr>
        <w:t>Metal concentrations across the sampling sites.</w:t>
      </w:r>
    </w:p>
    <w:p w14:paraId="70CA939F" w14:textId="77777777" w:rsidR="00357C9F" w:rsidRPr="00357C9F" w:rsidRDefault="00357C9F" w:rsidP="00357C9F">
      <w:pPr>
        <w:pStyle w:val="Heading2"/>
        <w:jc w:val="both"/>
        <w:rPr>
          <w:rStyle w:val="Strong"/>
          <w:rFonts w:ascii="Times New Roman" w:hAnsi="Times New Roman" w:cs="Times New Roman"/>
          <w:color w:val="auto"/>
          <w:sz w:val="24"/>
          <w:szCs w:val="24"/>
        </w:rPr>
      </w:pPr>
    </w:p>
    <w:p w14:paraId="268E2623" w14:textId="77777777" w:rsidR="00357C9F" w:rsidRPr="00357C9F" w:rsidRDefault="00357C9F" w:rsidP="00357C9F">
      <w:pPr>
        <w:pStyle w:val="Heading2"/>
        <w:jc w:val="both"/>
        <w:rPr>
          <w:rStyle w:val="Strong"/>
          <w:rFonts w:ascii="Times New Roman" w:hAnsi="Times New Roman" w:cs="Times New Roman"/>
          <w:color w:val="auto"/>
          <w:sz w:val="24"/>
          <w:szCs w:val="24"/>
        </w:rPr>
      </w:pPr>
    </w:p>
    <w:p w14:paraId="3659CB6E" w14:textId="77777777" w:rsidR="00357C9F" w:rsidRPr="00357C9F" w:rsidRDefault="00357C9F" w:rsidP="00357C9F">
      <w:pPr>
        <w:pStyle w:val="Heading2"/>
        <w:jc w:val="both"/>
        <w:rPr>
          <w:rFonts w:ascii="Times New Roman" w:hAnsi="Times New Roman" w:cs="Times New Roman"/>
          <w:color w:val="auto"/>
          <w:sz w:val="24"/>
          <w:szCs w:val="24"/>
        </w:rPr>
      </w:pPr>
      <w:r w:rsidRPr="00357C9F">
        <w:rPr>
          <w:rStyle w:val="Strong"/>
          <w:rFonts w:ascii="Times New Roman" w:hAnsi="Times New Roman" w:cs="Times New Roman"/>
          <w:color w:val="auto"/>
          <w:sz w:val="24"/>
          <w:szCs w:val="24"/>
        </w:rPr>
        <w:t>3.3 Physicochemical Water Quality</w:t>
      </w:r>
    </w:p>
    <w:p w14:paraId="2DDE1613" w14:textId="77777777" w:rsidR="00357C9F" w:rsidRPr="00357C9F" w:rsidRDefault="00357C9F" w:rsidP="00357C9F">
      <w:pPr>
        <w:pStyle w:val="Heading3"/>
        <w:jc w:val="both"/>
        <w:rPr>
          <w:rFonts w:ascii="Times New Roman" w:hAnsi="Times New Roman" w:cs="Times New Roman"/>
          <w:color w:val="auto"/>
        </w:rPr>
      </w:pPr>
      <w:r w:rsidRPr="00357C9F">
        <w:rPr>
          <w:rFonts w:ascii="Times New Roman" w:hAnsi="Times New Roman" w:cs="Times New Roman"/>
          <w:color w:val="auto"/>
        </w:rPr>
        <w:t>The physicochemical characteristics of the streams showed noticeable spatial differences. pH values ranged from 6.5 to 6.9, indicating slightly acidic conditions typical of regions influenced by organic matter decomposition and nutrient loading. Dissolved oxygen levels varied from 4.8 to 5.2 mg/L, with the lowest value recorded at S2, suggesting enhanced microbial activity and elevated organic content. Turbidity levels (10–15 NTU) exceeded natural background levels for undisturbed streams and were highest at S2, consistent with sediment wash-off during runoff. Total dissolved solids ranged from 430 to 500 mg/L, with S2 again showing the highest concentration.</w:t>
      </w:r>
    </w:p>
    <w:p w14:paraId="3C01ABF2" w14:textId="77777777" w:rsidR="00357C9F" w:rsidRPr="00357C9F" w:rsidRDefault="00357C9F" w:rsidP="00357C9F">
      <w:pPr>
        <w:pStyle w:val="Heading3"/>
        <w:jc w:val="both"/>
        <w:rPr>
          <w:rFonts w:ascii="Times New Roman" w:hAnsi="Times New Roman" w:cs="Times New Roman"/>
          <w:b/>
          <w:bCs/>
        </w:rPr>
      </w:pPr>
    </w:p>
    <w:p w14:paraId="272E42F9" w14:textId="77777777" w:rsidR="00357C9F" w:rsidRPr="00357C9F" w:rsidRDefault="00357C9F" w:rsidP="00357C9F">
      <w:pPr>
        <w:pStyle w:val="Heading3"/>
        <w:jc w:val="both"/>
        <w:rPr>
          <w:rFonts w:ascii="Times New Roman" w:hAnsi="Times New Roman" w:cs="Times New Roman"/>
          <w:b/>
          <w:bCs/>
          <w:color w:val="auto"/>
        </w:rPr>
      </w:pPr>
      <w:r w:rsidRPr="00357C9F">
        <w:rPr>
          <w:rFonts w:ascii="Times New Roman" w:hAnsi="Times New Roman" w:cs="Times New Roman"/>
          <w:b/>
          <w:bCs/>
          <w:color w:val="auto"/>
        </w:rPr>
        <w:t>Table 3: Water Quality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4"/>
        <w:gridCol w:w="993"/>
        <w:gridCol w:w="1417"/>
        <w:gridCol w:w="2079"/>
        <w:gridCol w:w="1748"/>
      </w:tblGrid>
      <w:tr w:rsidR="00357C9F" w:rsidRPr="00357C9F" w14:paraId="54B313FD" w14:textId="77777777" w:rsidTr="000C1472">
        <w:trPr>
          <w:tblHeader/>
          <w:tblCellSpacing w:w="15" w:type="dxa"/>
        </w:trPr>
        <w:tc>
          <w:tcPr>
            <w:tcW w:w="1089" w:type="dxa"/>
            <w:vAlign w:val="center"/>
          </w:tcPr>
          <w:p w14:paraId="34CC1F0D"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Site</w:t>
            </w:r>
          </w:p>
        </w:tc>
        <w:tc>
          <w:tcPr>
            <w:tcW w:w="963" w:type="dxa"/>
            <w:vAlign w:val="center"/>
          </w:tcPr>
          <w:p w14:paraId="15D01256"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pH</w:t>
            </w:r>
          </w:p>
        </w:tc>
        <w:tc>
          <w:tcPr>
            <w:tcW w:w="1387" w:type="dxa"/>
            <w:vAlign w:val="center"/>
          </w:tcPr>
          <w:p w14:paraId="6A5C3432"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DO (mg/L)</w:t>
            </w:r>
          </w:p>
        </w:tc>
        <w:tc>
          <w:tcPr>
            <w:tcW w:w="2049" w:type="dxa"/>
            <w:vAlign w:val="center"/>
          </w:tcPr>
          <w:p w14:paraId="6E4B62E3"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Turbidity (NTU)</w:t>
            </w:r>
          </w:p>
        </w:tc>
        <w:tc>
          <w:tcPr>
            <w:tcW w:w="1703" w:type="dxa"/>
            <w:vAlign w:val="center"/>
          </w:tcPr>
          <w:p w14:paraId="5D1DA0EA"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TDS (mg/L)</w:t>
            </w:r>
          </w:p>
        </w:tc>
      </w:tr>
      <w:tr w:rsidR="00357C9F" w:rsidRPr="00357C9F" w14:paraId="240C4A7C" w14:textId="77777777" w:rsidTr="000C1472">
        <w:trPr>
          <w:tblCellSpacing w:w="15" w:type="dxa"/>
        </w:trPr>
        <w:tc>
          <w:tcPr>
            <w:tcW w:w="1089" w:type="dxa"/>
            <w:vAlign w:val="center"/>
          </w:tcPr>
          <w:p w14:paraId="7512A8B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S1</w:t>
            </w:r>
          </w:p>
        </w:tc>
        <w:tc>
          <w:tcPr>
            <w:tcW w:w="963" w:type="dxa"/>
            <w:vAlign w:val="center"/>
          </w:tcPr>
          <w:p w14:paraId="67DFBCE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6.8</w:t>
            </w:r>
          </w:p>
        </w:tc>
        <w:tc>
          <w:tcPr>
            <w:tcW w:w="1387" w:type="dxa"/>
            <w:vAlign w:val="center"/>
          </w:tcPr>
          <w:p w14:paraId="0D5F32A7"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5.0</w:t>
            </w:r>
          </w:p>
        </w:tc>
        <w:tc>
          <w:tcPr>
            <w:tcW w:w="2049" w:type="dxa"/>
            <w:vAlign w:val="center"/>
          </w:tcPr>
          <w:p w14:paraId="1826FBC0"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12</w:t>
            </w:r>
          </w:p>
        </w:tc>
        <w:tc>
          <w:tcPr>
            <w:tcW w:w="1703" w:type="dxa"/>
            <w:vAlign w:val="center"/>
          </w:tcPr>
          <w:p w14:paraId="2A94A861"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450</w:t>
            </w:r>
          </w:p>
        </w:tc>
      </w:tr>
      <w:tr w:rsidR="00357C9F" w:rsidRPr="00357C9F" w14:paraId="352B3A03" w14:textId="77777777" w:rsidTr="000C1472">
        <w:trPr>
          <w:tblCellSpacing w:w="15" w:type="dxa"/>
        </w:trPr>
        <w:tc>
          <w:tcPr>
            <w:tcW w:w="1089" w:type="dxa"/>
            <w:vAlign w:val="center"/>
          </w:tcPr>
          <w:p w14:paraId="0692483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S2</w:t>
            </w:r>
          </w:p>
        </w:tc>
        <w:tc>
          <w:tcPr>
            <w:tcW w:w="963" w:type="dxa"/>
            <w:vAlign w:val="center"/>
          </w:tcPr>
          <w:p w14:paraId="34E87524"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6.5</w:t>
            </w:r>
          </w:p>
        </w:tc>
        <w:tc>
          <w:tcPr>
            <w:tcW w:w="1387" w:type="dxa"/>
            <w:vAlign w:val="center"/>
          </w:tcPr>
          <w:p w14:paraId="54E2AAC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4.8</w:t>
            </w:r>
          </w:p>
        </w:tc>
        <w:tc>
          <w:tcPr>
            <w:tcW w:w="2049" w:type="dxa"/>
            <w:vAlign w:val="center"/>
          </w:tcPr>
          <w:p w14:paraId="16BED084"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15</w:t>
            </w:r>
          </w:p>
        </w:tc>
        <w:tc>
          <w:tcPr>
            <w:tcW w:w="1703" w:type="dxa"/>
            <w:vAlign w:val="center"/>
          </w:tcPr>
          <w:p w14:paraId="31521638"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500</w:t>
            </w:r>
          </w:p>
        </w:tc>
      </w:tr>
      <w:tr w:rsidR="00357C9F" w:rsidRPr="00357C9F" w14:paraId="4503545B" w14:textId="77777777" w:rsidTr="000C1472">
        <w:trPr>
          <w:tblCellSpacing w:w="15" w:type="dxa"/>
        </w:trPr>
        <w:tc>
          <w:tcPr>
            <w:tcW w:w="1089" w:type="dxa"/>
            <w:vAlign w:val="center"/>
          </w:tcPr>
          <w:p w14:paraId="565D4C7F"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S3</w:t>
            </w:r>
          </w:p>
        </w:tc>
        <w:tc>
          <w:tcPr>
            <w:tcW w:w="963" w:type="dxa"/>
            <w:vAlign w:val="center"/>
          </w:tcPr>
          <w:p w14:paraId="544C81F2"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6.9</w:t>
            </w:r>
          </w:p>
        </w:tc>
        <w:tc>
          <w:tcPr>
            <w:tcW w:w="1387" w:type="dxa"/>
            <w:vAlign w:val="center"/>
          </w:tcPr>
          <w:p w14:paraId="16220AA4"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5.2</w:t>
            </w:r>
          </w:p>
        </w:tc>
        <w:tc>
          <w:tcPr>
            <w:tcW w:w="2049" w:type="dxa"/>
            <w:vAlign w:val="center"/>
          </w:tcPr>
          <w:p w14:paraId="32FEF45F"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10</w:t>
            </w:r>
          </w:p>
        </w:tc>
        <w:tc>
          <w:tcPr>
            <w:tcW w:w="1703" w:type="dxa"/>
            <w:vAlign w:val="center"/>
          </w:tcPr>
          <w:p w14:paraId="79F19C3A"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430</w:t>
            </w:r>
          </w:p>
        </w:tc>
      </w:tr>
    </w:tbl>
    <w:p w14:paraId="2BC8077E" w14:textId="77777777" w:rsidR="00357C9F" w:rsidRPr="00357C9F" w:rsidRDefault="00357C9F" w:rsidP="00357C9F">
      <w:pPr>
        <w:jc w:val="both"/>
        <w:rPr>
          <w:rFonts w:ascii="Times New Roman" w:hAnsi="Times New Roman" w:cs="Times New Roman"/>
          <w:b/>
          <w:bCs/>
          <w:sz w:val="24"/>
          <w:szCs w:val="24"/>
        </w:rPr>
      </w:pPr>
    </w:p>
    <w:p w14:paraId="33D43DD9" w14:textId="77777777" w:rsidR="00357C9F" w:rsidRPr="00357C9F" w:rsidRDefault="00357C9F" w:rsidP="00357C9F">
      <w:pPr>
        <w:pStyle w:val="Heading2"/>
        <w:jc w:val="both"/>
        <w:rPr>
          <w:rFonts w:ascii="Times New Roman" w:hAnsi="Times New Roman" w:cs="Times New Roman"/>
          <w:b/>
          <w:bCs/>
          <w:color w:val="auto"/>
          <w:sz w:val="24"/>
          <w:szCs w:val="24"/>
        </w:rPr>
      </w:pPr>
      <w:r w:rsidRPr="00357C9F">
        <w:rPr>
          <w:rStyle w:val="Strong"/>
          <w:rFonts w:ascii="Times New Roman" w:hAnsi="Times New Roman" w:cs="Times New Roman"/>
          <w:color w:val="auto"/>
          <w:sz w:val="24"/>
          <w:szCs w:val="24"/>
        </w:rPr>
        <w:t>3.4 Seasonal Variation in Water Quality</w:t>
      </w:r>
    </w:p>
    <w:p w14:paraId="705575D6" w14:textId="77777777" w:rsidR="00357C9F" w:rsidRPr="00357C9F" w:rsidRDefault="00357C9F" w:rsidP="00357C9F">
      <w:pPr>
        <w:pStyle w:val="NormalWeb"/>
        <w:jc w:val="both"/>
      </w:pPr>
      <w:r w:rsidRPr="00357C9F">
        <w:t>Seasonal comparisons revealed marked differences between wet and dry periods. Nitrate concentrations increased from 13 mg/L during the dry season to 17 mg/L in the wet season, reflecting rainfall-induced mobilisation of fertiliser residues. Lead concentrations also increased from 12 µg/L in the dry season to 14 µg/L in the wet season, while dissolved oxygen decreased from 5.2 mg/L to 4.9 mg/L due to increased organic matter input and reduced light penetration.</w:t>
      </w:r>
    </w:p>
    <w:p w14:paraId="199681F0" w14:textId="77777777" w:rsidR="00357C9F" w:rsidRPr="00357C9F" w:rsidRDefault="00357C9F" w:rsidP="00357C9F">
      <w:pPr>
        <w:pStyle w:val="NormalWeb"/>
        <w:jc w:val="both"/>
        <w:rPr>
          <w:b/>
          <w:bCs/>
        </w:rPr>
      </w:pPr>
      <w:r w:rsidRPr="00357C9F">
        <w:rPr>
          <w:b/>
          <w:bCs/>
        </w:rPr>
        <w:t>Table 4: Seasonal Variation (Nutrients and Metals)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2"/>
        <w:gridCol w:w="1772"/>
        <w:gridCol w:w="2835"/>
      </w:tblGrid>
      <w:tr w:rsidR="00357C9F" w:rsidRPr="00357C9F" w14:paraId="4002AB82" w14:textId="77777777" w:rsidTr="000C1472">
        <w:trPr>
          <w:tblHeader/>
          <w:tblCellSpacing w:w="15" w:type="dxa"/>
        </w:trPr>
        <w:tc>
          <w:tcPr>
            <w:tcW w:w="0" w:type="auto"/>
            <w:vAlign w:val="center"/>
          </w:tcPr>
          <w:p w14:paraId="3E039CF1"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Parameter</w:t>
            </w:r>
          </w:p>
        </w:tc>
        <w:tc>
          <w:tcPr>
            <w:tcW w:w="1742" w:type="dxa"/>
            <w:vAlign w:val="center"/>
          </w:tcPr>
          <w:p w14:paraId="2BA8B1B4"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Wet Season</w:t>
            </w:r>
          </w:p>
        </w:tc>
        <w:tc>
          <w:tcPr>
            <w:tcW w:w="2790" w:type="dxa"/>
            <w:vAlign w:val="center"/>
          </w:tcPr>
          <w:p w14:paraId="01B60C4E" w14:textId="77777777" w:rsidR="00357C9F" w:rsidRPr="00357C9F" w:rsidRDefault="00357C9F" w:rsidP="000C1472">
            <w:pPr>
              <w:jc w:val="both"/>
              <w:rPr>
                <w:rFonts w:ascii="Times New Roman" w:hAnsi="Times New Roman" w:cs="Times New Roman"/>
                <w:b/>
                <w:bCs/>
                <w:sz w:val="24"/>
                <w:szCs w:val="24"/>
              </w:rPr>
            </w:pPr>
            <w:r w:rsidRPr="00357C9F">
              <w:rPr>
                <w:rFonts w:ascii="Times New Roman" w:hAnsi="Times New Roman" w:cs="Times New Roman"/>
                <w:b/>
                <w:bCs/>
                <w:sz w:val="24"/>
                <w:szCs w:val="24"/>
              </w:rPr>
              <w:t>Dry Season</w:t>
            </w:r>
          </w:p>
        </w:tc>
      </w:tr>
      <w:tr w:rsidR="00357C9F" w:rsidRPr="00357C9F" w14:paraId="19EC96F3" w14:textId="77777777" w:rsidTr="000C1472">
        <w:trPr>
          <w:tblCellSpacing w:w="15" w:type="dxa"/>
        </w:trPr>
        <w:tc>
          <w:tcPr>
            <w:tcW w:w="0" w:type="auto"/>
            <w:vAlign w:val="center"/>
          </w:tcPr>
          <w:p w14:paraId="417A6349"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Nitrate (mg/L)</w:t>
            </w:r>
          </w:p>
        </w:tc>
        <w:tc>
          <w:tcPr>
            <w:tcW w:w="1742" w:type="dxa"/>
            <w:vAlign w:val="center"/>
          </w:tcPr>
          <w:p w14:paraId="0F3FB5D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17</w:t>
            </w:r>
          </w:p>
        </w:tc>
        <w:tc>
          <w:tcPr>
            <w:tcW w:w="2790" w:type="dxa"/>
            <w:vAlign w:val="center"/>
          </w:tcPr>
          <w:p w14:paraId="1A2F0C0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13</w:t>
            </w:r>
          </w:p>
        </w:tc>
      </w:tr>
      <w:tr w:rsidR="00357C9F" w:rsidRPr="00357C9F" w14:paraId="30781272" w14:textId="77777777" w:rsidTr="000C1472">
        <w:trPr>
          <w:tblCellSpacing w:w="15" w:type="dxa"/>
        </w:trPr>
        <w:tc>
          <w:tcPr>
            <w:tcW w:w="0" w:type="auto"/>
            <w:vAlign w:val="center"/>
          </w:tcPr>
          <w:p w14:paraId="2467A32C"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Pb (µg/L)</w:t>
            </w:r>
          </w:p>
        </w:tc>
        <w:tc>
          <w:tcPr>
            <w:tcW w:w="1742" w:type="dxa"/>
            <w:vAlign w:val="center"/>
          </w:tcPr>
          <w:p w14:paraId="36EB9FFC"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14</w:t>
            </w:r>
          </w:p>
        </w:tc>
        <w:tc>
          <w:tcPr>
            <w:tcW w:w="2790" w:type="dxa"/>
            <w:vAlign w:val="center"/>
          </w:tcPr>
          <w:p w14:paraId="08654797"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12</w:t>
            </w:r>
          </w:p>
        </w:tc>
      </w:tr>
      <w:tr w:rsidR="00357C9F" w:rsidRPr="00357C9F" w14:paraId="201062A1" w14:textId="77777777" w:rsidTr="000C1472">
        <w:trPr>
          <w:tblCellSpacing w:w="15" w:type="dxa"/>
        </w:trPr>
        <w:tc>
          <w:tcPr>
            <w:tcW w:w="0" w:type="auto"/>
            <w:vAlign w:val="center"/>
          </w:tcPr>
          <w:p w14:paraId="096867CC"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DO (mg/L)</w:t>
            </w:r>
          </w:p>
        </w:tc>
        <w:tc>
          <w:tcPr>
            <w:tcW w:w="1742" w:type="dxa"/>
            <w:vAlign w:val="center"/>
          </w:tcPr>
          <w:p w14:paraId="0562C26C"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4.9</w:t>
            </w:r>
          </w:p>
        </w:tc>
        <w:tc>
          <w:tcPr>
            <w:tcW w:w="2790" w:type="dxa"/>
            <w:vAlign w:val="center"/>
          </w:tcPr>
          <w:p w14:paraId="38C95D63" w14:textId="77777777" w:rsidR="00357C9F" w:rsidRPr="00357C9F" w:rsidRDefault="00357C9F" w:rsidP="000C1472">
            <w:pPr>
              <w:jc w:val="both"/>
              <w:rPr>
                <w:rFonts w:ascii="Times New Roman" w:hAnsi="Times New Roman" w:cs="Times New Roman"/>
                <w:sz w:val="24"/>
                <w:szCs w:val="24"/>
              </w:rPr>
            </w:pPr>
            <w:r w:rsidRPr="00357C9F">
              <w:rPr>
                <w:rFonts w:ascii="Times New Roman" w:hAnsi="Times New Roman" w:cs="Times New Roman"/>
                <w:sz w:val="24"/>
                <w:szCs w:val="24"/>
              </w:rPr>
              <w:t>5.2</w:t>
            </w:r>
          </w:p>
        </w:tc>
      </w:tr>
    </w:tbl>
    <w:p w14:paraId="2FA46ECA" w14:textId="77777777" w:rsidR="00357C9F" w:rsidRPr="00357C9F" w:rsidRDefault="00357C9F" w:rsidP="00357C9F">
      <w:pPr>
        <w:jc w:val="both"/>
        <w:rPr>
          <w:rFonts w:ascii="Times New Roman" w:hAnsi="Times New Roman" w:cs="Times New Roman"/>
          <w:sz w:val="24"/>
          <w:szCs w:val="24"/>
        </w:rPr>
      </w:pPr>
    </w:p>
    <w:p w14:paraId="523B0CFB" w14:textId="77777777" w:rsidR="00357C9F" w:rsidRPr="00357C9F" w:rsidRDefault="00357C9F" w:rsidP="00357C9F">
      <w:pPr>
        <w:jc w:val="both"/>
        <w:rPr>
          <w:rFonts w:ascii="Times New Roman" w:hAnsi="Times New Roman" w:cs="Times New Roman"/>
          <w:sz w:val="24"/>
          <w:szCs w:val="24"/>
        </w:rPr>
      </w:pPr>
      <w:r w:rsidRPr="00357C9F">
        <w:rPr>
          <w:rFonts w:ascii="Times New Roman" w:hAnsi="Times New Roman" w:cs="Times New Roman"/>
          <w:noProof/>
          <w:sz w:val="24"/>
          <w:szCs w:val="24"/>
        </w:rPr>
        <w:lastRenderedPageBreak/>
        <w:drawing>
          <wp:inline distT="0" distB="0" distL="0" distR="0" wp14:anchorId="34322A89" wp14:editId="0396965A">
            <wp:extent cx="5029200" cy="3015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29200" cy="3015615"/>
                    </a:xfrm>
                    <a:prstGeom prst="rect">
                      <a:avLst/>
                    </a:prstGeom>
                    <a:noFill/>
                    <a:ln>
                      <a:noFill/>
                    </a:ln>
                  </pic:spPr>
                </pic:pic>
              </a:graphicData>
            </a:graphic>
          </wp:inline>
        </w:drawing>
      </w:r>
    </w:p>
    <w:p w14:paraId="3E6DCB9B" w14:textId="77777777" w:rsidR="00357C9F" w:rsidRPr="00357C9F" w:rsidRDefault="00357C9F" w:rsidP="00357C9F">
      <w:pPr>
        <w:jc w:val="both"/>
        <w:rPr>
          <w:rFonts w:ascii="Times New Roman" w:hAnsi="Times New Roman" w:cs="Times New Roman"/>
          <w:b/>
          <w:bCs/>
          <w:sz w:val="24"/>
          <w:szCs w:val="24"/>
        </w:rPr>
      </w:pPr>
      <w:r w:rsidRPr="00357C9F">
        <w:rPr>
          <w:rFonts w:ascii="Times New Roman" w:hAnsi="Times New Roman" w:cs="Times New Roman"/>
          <w:b/>
          <w:bCs/>
          <w:sz w:val="24"/>
          <w:szCs w:val="24"/>
        </w:rPr>
        <w:t>Figure 4: Comparison of wet and dry season variations in nitrate, lead, and dissolved oxygen.</w:t>
      </w:r>
    </w:p>
    <w:p w14:paraId="1528CBA8" w14:textId="77777777" w:rsidR="00357C9F" w:rsidRPr="00357C9F" w:rsidRDefault="00357C9F" w:rsidP="00357C9F">
      <w:pPr>
        <w:pStyle w:val="Heading1"/>
        <w:jc w:val="both"/>
        <w:rPr>
          <w:sz w:val="24"/>
          <w:szCs w:val="24"/>
        </w:rPr>
      </w:pPr>
      <w:r w:rsidRPr="00357C9F">
        <w:rPr>
          <w:rStyle w:val="Strong"/>
          <w:sz w:val="24"/>
          <w:szCs w:val="24"/>
        </w:rPr>
        <w:t>4.0 Discussion</w:t>
      </w:r>
    </w:p>
    <w:p w14:paraId="5919B768" w14:textId="77777777" w:rsidR="00357C9F" w:rsidRPr="00357C9F" w:rsidRDefault="00357C9F" w:rsidP="00357C9F">
      <w:pPr>
        <w:pStyle w:val="NormalWeb"/>
        <w:jc w:val="both"/>
      </w:pPr>
      <w:r w:rsidRPr="00357C9F">
        <w:t>The results of this study demonstrate that streams receiving agricultural runoff exhibit measurable alterations in nutrient levels, heavy-metal concentrations, and hydrogeochemical characteristics. Nutrient enrichment was evident across all sampling locations, with Site S2 showing the highest concentrations of nitrate, phosphate, and ammonium as presented in Table 1. These patterns are typical of farmlands with intensive fertiliser application, where rainfall and irrigation activities facilitate the transport of nitrogen- and phosphorus-based agrochemicals into surface waters (</w:t>
      </w:r>
      <w:proofErr w:type="spellStart"/>
      <w:r w:rsidRPr="00357C9F">
        <w:t>Anarado</w:t>
      </w:r>
      <w:proofErr w:type="spellEnd"/>
      <w:r w:rsidRPr="00357C9F">
        <w:t xml:space="preserve"> et al., 2023). Similar observations have been reported in irrigation and agricultural catchments across Rivers State, where runoff mobilises both organic and inorganic nutrient fractions into adjoining streams (Ekpe et al., 2025). The elevated nutrient concentrations, although still below WHO (2022) limits, indicate progressive nutrient loading that can contribute to eutrophication and altered ecological structure if unmanaged.</w:t>
      </w:r>
    </w:p>
    <w:p w14:paraId="4A9E06A5" w14:textId="77777777" w:rsidR="00357C9F" w:rsidRPr="00357C9F" w:rsidRDefault="00357C9F" w:rsidP="00357C9F">
      <w:pPr>
        <w:pStyle w:val="NormalWeb"/>
        <w:jc w:val="both"/>
      </w:pPr>
      <w:r w:rsidRPr="00357C9F">
        <w:t>Heavy-metal concentrations further underscore the influence of anthropogenic inputs, particularly agricultural and mixed land-use activities. Table 2 shows that Pb levels exceeded the WHO (2022) permissible limits at Sites S1 and S2, suggesting contamination from fertiliser components, farm machinery emissions, or soil particles enriched with lead residues. This trend aligns with the documented metal burdens in surface waters of the Niger Delta, where agricultural runoff often coexists with atmospheric deposition from industrial activities such as gas flaring (</w:t>
      </w:r>
      <w:proofErr w:type="spellStart"/>
      <w:r w:rsidRPr="00357C9F">
        <w:t>Aghanwa</w:t>
      </w:r>
      <w:proofErr w:type="spellEnd"/>
      <w:r w:rsidRPr="00357C9F">
        <w:t xml:space="preserve"> et al., 2025). The presence of Cd, Hg, As, and Cr at all sites, even below guideline values, reflects chronic low-level contamination that can accumulate over time, posing long-term ecological risks. Several studies have demonstrated the </w:t>
      </w:r>
      <w:proofErr w:type="spellStart"/>
      <w:r w:rsidRPr="00357C9F">
        <w:t>bioaccumulative</w:t>
      </w:r>
      <w:proofErr w:type="spellEnd"/>
      <w:r w:rsidRPr="00357C9F">
        <w:t xml:space="preserve"> potential of trace metals in aquatic organisms, showing that even low concentrations in water bodies can result in significant tissue accumulation in fish and crustaceans (</w:t>
      </w:r>
      <w:proofErr w:type="spellStart"/>
      <w:r w:rsidRPr="00357C9F">
        <w:t>Eyenubo</w:t>
      </w:r>
      <w:proofErr w:type="spellEnd"/>
      <w:r w:rsidRPr="00357C9F">
        <w:t xml:space="preserve"> et al., 2024; </w:t>
      </w:r>
      <w:proofErr w:type="spellStart"/>
      <w:r w:rsidRPr="00357C9F">
        <w:t>Okpoji</w:t>
      </w:r>
      <w:proofErr w:type="spellEnd"/>
      <w:r w:rsidRPr="00357C9F">
        <w:t xml:space="preserve"> et al., 2025). Similar risks have been reported in international studies examining persistent contaminants such as PCBs and PBDEs in fish, where bioaccumulation patterns </w:t>
      </w:r>
      <w:r w:rsidRPr="00357C9F">
        <w:lastRenderedPageBreak/>
        <w:t>reflect prolonged exposure to low-level environmental contamination (Ernesto et al., 2021; Stewart et al., 2000).</w:t>
      </w:r>
    </w:p>
    <w:p w14:paraId="2B71B711" w14:textId="77777777" w:rsidR="00357C9F" w:rsidRPr="00357C9F" w:rsidRDefault="00357C9F" w:rsidP="00357C9F">
      <w:pPr>
        <w:pStyle w:val="NormalWeb"/>
        <w:jc w:val="both"/>
      </w:pPr>
      <w:proofErr w:type="spellStart"/>
      <w:r w:rsidRPr="00357C9F">
        <w:t>Hydrochemical</w:t>
      </w:r>
      <w:proofErr w:type="spellEnd"/>
      <w:r w:rsidRPr="00357C9F">
        <w:t xml:space="preserve"> indicators from Table 3 further highlight the impact of runoff on stream quality. Slightly acidic pH values (6.5–6.9) are consistent with waters influenced by organic acids, decomposing vegetation, and nutrient–metal interactions, which are common in agricultural and oil-impacted landscapes. Comparable </w:t>
      </w:r>
      <w:proofErr w:type="spellStart"/>
      <w:r w:rsidRPr="00357C9F">
        <w:t>hydrochemical</w:t>
      </w:r>
      <w:proofErr w:type="spellEnd"/>
      <w:r w:rsidRPr="00357C9F">
        <w:t xml:space="preserve"> conditions have been reported in Niger Delta water systems, where organic matter input and contaminant influx contribute to acidity and altered ionic composition (</w:t>
      </w:r>
      <w:proofErr w:type="spellStart"/>
      <w:r w:rsidRPr="00357C9F">
        <w:t>Okpoji</w:t>
      </w:r>
      <w:proofErr w:type="spellEnd"/>
      <w:r w:rsidRPr="00357C9F">
        <w:t xml:space="preserve"> et al., 2025; Okagbare et al., 2025). Dissolved oxygen levels were lowest at Site S2, indicating increased microbial activity and organic loading, likely associated with fertiliser-rich runoff and sediment influx. Turbidity and TDS were also highest at Site S2, pointing to soil erosion and particulate transport from farmlands. These findings are consistent with studies showing that agricultural runoff often carries sediments, metals, hydrocarbons, and agrochemical residues that influence water clarity, ionic strength, and overall </w:t>
      </w:r>
      <w:proofErr w:type="spellStart"/>
      <w:r w:rsidRPr="00357C9F">
        <w:t>hydrochemical</w:t>
      </w:r>
      <w:proofErr w:type="spellEnd"/>
      <w:r w:rsidRPr="00357C9F">
        <w:t xml:space="preserve"> stability (</w:t>
      </w:r>
      <w:proofErr w:type="spellStart"/>
      <w:r w:rsidRPr="00357C9F">
        <w:t>Umueni</w:t>
      </w:r>
      <w:proofErr w:type="spellEnd"/>
      <w:r w:rsidRPr="00357C9F">
        <w:t xml:space="preserve"> et al., 2025; </w:t>
      </w:r>
      <w:proofErr w:type="spellStart"/>
      <w:r w:rsidRPr="00357C9F">
        <w:t>Okpoji</w:t>
      </w:r>
      <w:proofErr w:type="spellEnd"/>
      <w:r w:rsidRPr="00357C9F">
        <w:t xml:space="preserve"> et al., 2025).</w:t>
      </w:r>
    </w:p>
    <w:p w14:paraId="4488D9D2" w14:textId="77777777" w:rsidR="00357C9F" w:rsidRPr="00357C9F" w:rsidRDefault="00357C9F" w:rsidP="00357C9F">
      <w:pPr>
        <w:pStyle w:val="NormalWeb"/>
        <w:jc w:val="both"/>
      </w:pPr>
      <w:r w:rsidRPr="00357C9F">
        <w:t>Seasonal variations presented in Table 4 further reinforce the role of rainfall in pollutant mobilisation. Nitrate and Pb concentrations were higher in the wet season, which aligns with the established hydrological pattern where rainfall accelerates the transport of soluble nutrients, soil particles, and metal-bound sediments into aquatic systems. This increased flushing effect has been widely documented in tropical agricultural regions and in polluted Niger Delta waterways where wet-season inflows elevate contaminant concentrations (</w:t>
      </w:r>
      <w:proofErr w:type="spellStart"/>
      <w:r w:rsidRPr="00357C9F">
        <w:t>Aghanwa</w:t>
      </w:r>
      <w:proofErr w:type="spellEnd"/>
      <w:r w:rsidRPr="00357C9F">
        <w:t xml:space="preserve"> et al., 2025; Ekpe et al., 2025). Lower dissolved oxygen in the wet season reflects higher organic input, increased turbidity, and reduced light penetration, all of which diminish aquatic oxygenation. Similar seasonal DO reductions have been reported in contaminated rivers of the Niger Delta, where hydrocarbon and nutrient influx compromise oxygen availability and alter community structure (</w:t>
      </w:r>
      <w:proofErr w:type="spellStart"/>
      <w:r w:rsidRPr="00357C9F">
        <w:t>Okpoji</w:t>
      </w:r>
      <w:proofErr w:type="spellEnd"/>
      <w:r w:rsidRPr="00357C9F">
        <w:t xml:space="preserve"> et al., 2025; </w:t>
      </w:r>
      <w:proofErr w:type="spellStart"/>
      <w:r w:rsidRPr="00357C9F">
        <w:t>Umueni</w:t>
      </w:r>
      <w:proofErr w:type="spellEnd"/>
      <w:r w:rsidRPr="00357C9F">
        <w:t xml:space="preserve"> et al., 2025).</w:t>
      </w:r>
    </w:p>
    <w:p w14:paraId="5119348A" w14:textId="77777777" w:rsidR="00357C9F" w:rsidRPr="00357C9F" w:rsidRDefault="00357C9F" w:rsidP="00357C9F">
      <w:pPr>
        <w:pStyle w:val="NormalWeb"/>
        <w:jc w:val="both"/>
      </w:pPr>
      <w:r w:rsidRPr="00357C9F">
        <w:t>Although this study focused on nutrients and metals, the trends observed mirror those associated with broader categories of persistent contaminants such as polycyclic aromatic hydrocarbons (PAHs) and PCBs, which are known to undergo long-range atmospheric deposition and accumulate in aquatic environments (</w:t>
      </w:r>
      <w:proofErr w:type="spellStart"/>
      <w:r w:rsidRPr="00357C9F">
        <w:t>Kallenborn</w:t>
      </w:r>
      <w:proofErr w:type="spellEnd"/>
      <w:r w:rsidRPr="00357C9F">
        <w:t xml:space="preserve"> et al., 2015; </w:t>
      </w:r>
      <w:proofErr w:type="spellStart"/>
      <w:r w:rsidRPr="00357C9F">
        <w:t>Wania</w:t>
      </w:r>
      <w:proofErr w:type="spellEnd"/>
      <w:r w:rsidRPr="00357C9F">
        <w:t xml:space="preserve"> et al., 2006). Agricultural watersheds in developing regions often experience overlapping pollution stressors, including pesticide residues, industrial emissions, and petroleum hydrocarbons, which complicate aquatic ecosystem responses (John et al., 2025). The contamination patterns observed in this study, particularly the detectable levels of multiple metals and the consistent nutrient presence, are characteristic of systems exposed to chronic, diffuse pollution sources (</w:t>
      </w:r>
      <w:proofErr w:type="spellStart"/>
      <w:r w:rsidRPr="00357C9F">
        <w:t>Anarado</w:t>
      </w:r>
      <w:proofErr w:type="spellEnd"/>
      <w:r w:rsidRPr="00357C9F">
        <w:t xml:space="preserve"> et al., 2023).</w:t>
      </w:r>
    </w:p>
    <w:p w14:paraId="4F017783" w14:textId="77777777" w:rsidR="00357C9F" w:rsidRPr="00357C9F" w:rsidRDefault="00357C9F" w:rsidP="00357C9F">
      <w:pPr>
        <w:pStyle w:val="NormalWeb"/>
        <w:jc w:val="both"/>
      </w:pPr>
      <w:r w:rsidRPr="00357C9F">
        <w:t>The hydrogeochemical and contaminant patterns documented reflect a multi-source pollution environment where agricultural runoff interacts with atmospheric deposition, catchment geology, and land-use pressures. Similar complexities have been highlighted in environmental assessments across the Niger Delta, where the interplay between agricultural, industrial, and domestic activities challenges remediation and management strategies (</w:t>
      </w:r>
      <w:proofErr w:type="spellStart"/>
      <w:r w:rsidRPr="00357C9F">
        <w:t>Okpoji</w:t>
      </w:r>
      <w:proofErr w:type="spellEnd"/>
      <w:r w:rsidRPr="00357C9F">
        <w:t xml:space="preserve"> et al., 2025). The presence of metals, elevated turbidity, and nutrient enrichment suggests that continued monitoring and integrated watershed management interventions are essential to prevent further degradation.</w:t>
      </w:r>
    </w:p>
    <w:p w14:paraId="0652AD37" w14:textId="77777777" w:rsidR="00357C9F" w:rsidRPr="008025EA" w:rsidRDefault="00357C9F" w:rsidP="00357C9F">
      <w:pPr>
        <w:pStyle w:val="Heading1"/>
        <w:jc w:val="both"/>
        <w:rPr>
          <w:b w:val="0"/>
          <w:sz w:val="24"/>
          <w:szCs w:val="24"/>
        </w:rPr>
      </w:pPr>
      <w:r w:rsidRPr="008025EA">
        <w:rPr>
          <w:rStyle w:val="Strong"/>
          <w:b/>
          <w:sz w:val="24"/>
          <w:szCs w:val="24"/>
        </w:rPr>
        <w:t>Conclusion</w:t>
      </w:r>
    </w:p>
    <w:p w14:paraId="2CCBDB8B"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lastRenderedPageBreak/>
        <w:t>This study demonstrates that agricultural runoff significantly influences the hydrogeochemical characteristics and overall water quality of streams within the study area. Nutrient enrichment was evident across all sampling locations, with Site S2 showing consistently higher concentrations of nitrate, phosphate, and ammonium due to its proximity to intensive farming operations and active runoff pathways. Although nutrient levels remained below WHO (2022) guideline values, their spatial and seasonal patterns suggest increasing nutrient loading that, if unmanaged, may predispose the streams to eutrophication and long-term ecological alteration.</w:t>
      </w:r>
    </w:p>
    <w:p w14:paraId="23B21EB1"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Heavy metals were present in all streams, with Pb concentrations exceeding WHO (2022) limits at Sites S1 and S2, indicating contamination linked to agrochemical residues, eroded soils, and atmospheric deposition. While Cd, Hg, As, and Cr remained within permissible limits, their persistent detection underscores the presence of chronic low-level metal pollution capable of accumulating in sediments and aquatic organisms over time.</w:t>
      </w:r>
    </w:p>
    <w:p w14:paraId="035032D0"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357C9F">
        <w:rPr>
          <w:rFonts w:ascii="Times New Roman" w:eastAsia="Times New Roman" w:hAnsi="Times New Roman" w:cs="Times New Roman"/>
          <w:sz w:val="24"/>
          <w:szCs w:val="24"/>
          <w:lang w:eastAsia="en-GB"/>
        </w:rPr>
        <w:t>Physicochemical indicators—including slightly acidic pH, moderate dissolved oxygen, elevated turbidity, and increased TDS—further reflect the influence of agricultural activities and sediment wash-off on stream-water chemistry. Seasonal variation highlighted the critical role of rainfall in mobilising nutrients, metals, and particulates, with wet-season conditions showing higher contaminant concentrations and reduced oxygen availability. Collectively, these findings reveal a system undergoing progressive degradation driven by diffuse agricultural pollution. Without intervention, continued nutrient and metal loading may compromise ecological integrity, reduce water quality, and pose health risks to communities dependent on these streams. Strengthening watershed management through improved fertiliser practices, erosion control, riparian buffer establishment, and regular water-quality monitoring is essential to safeguard both ecosystem function and public health in the region.</w:t>
      </w:r>
    </w:p>
    <w:p w14:paraId="36BA061E" w14:textId="77777777" w:rsidR="00357C9F" w:rsidRPr="008025EA" w:rsidRDefault="00357C9F" w:rsidP="00357C9F">
      <w:pPr>
        <w:rPr>
          <w:rFonts w:ascii="Times New Roman" w:hAnsi="Times New Roman" w:cs="Times New Roman"/>
          <w:b/>
          <w:kern w:val="2"/>
          <w:sz w:val="24"/>
          <w:szCs w:val="24"/>
          <w:highlight w:val="yellow"/>
          <w:lang w:eastAsia="en-GB"/>
        </w:rPr>
      </w:pPr>
      <w:r w:rsidRPr="008025EA">
        <w:rPr>
          <w:rFonts w:ascii="Times New Roman" w:hAnsi="Times New Roman" w:cs="Times New Roman"/>
          <w:b/>
          <w:kern w:val="2"/>
          <w:sz w:val="24"/>
          <w:szCs w:val="24"/>
          <w:highlight w:val="yellow"/>
        </w:rPr>
        <w:t>Disclaimer (Artificial intelligence)</w:t>
      </w:r>
    </w:p>
    <w:p w14:paraId="19897B5A" w14:textId="77777777" w:rsidR="00357C9F" w:rsidRPr="00357C9F" w:rsidRDefault="00357C9F" w:rsidP="00357C9F">
      <w:pPr>
        <w:rPr>
          <w:rFonts w:ascii="Times New Roman" w:hAnsi="Times New Roman" w:cs="Times New Roman"/>
          <w:kern w:val="2"/>
          <w:sz w:val="24"/>
          <w:szCs w:val="24"/>
          <w:highlight w:val="yellow"/>
        </w:rPr>
      </w:pPr>
      <w:r w:rsidRPr="00357C9F">
        <w:rPr>
          <w:rFonts w:ascii="Times New Roman" w:hAnsi="Times New Roman" w:cs="Times New Roman"/>
          <w:kern w:val="2"/>
          <w:sz w:val="24"/>
          <w:szCs w:val="24"/>
          <w:highlight w:val="yellow"/>
        </w:rPr>
        <w:t xml:space="preserve">Option 1: </w:t>
      </w:r>
    </w:p>
    <w:p w14:paraId="4A4DFCFE" w14:textId="77777777" w:rsidR="00357C9F" w:rsidRPr="00357C9F" w:rsidRDefault="00357C9F" w:rsidP="00357C9F">
      <w:pPr>
        <w:rPr>
          <w:rFonts w:ascii="Times New Roman" w:hAnsi="Times New Roman" w:cs="Times New Roman"/>
          <w:kern w:val="2"/>
          <w:sz w:val="24"/>
          <w:szCs w:val="24"/>
          <w:highlight w:val="yellow"/>
        </w:rPr>
      </w:pPr>
      <w:r w:rsidRPr="00357C9F">
        <w:rPr>
          <w:rFonts w:ascii="Times New Roman" w:hAnsi="Times New Roman" w:cs="Times New Roman"/>
          <w:kern w:val="2"/>
          <w:sz w:val="24"/>
          <w:szCs w:val="24"/>
          <w:highlight w:val="yellow"/>
        </w:rPr>
        <w:t>Author(s) hereby declare that NO generative AI technologies such as Large Language Models (</w:t>
      </w:r>
      <w:proofErr w:type="spellStart"/>
      <w:r w:rsidRPr="00357C9F">
        <w:rPr>
          <w:rFonts w:ascii="Times New Roman" w:hAnsi="Times New Roman" w:cs="Times New Roman"/>
          <w:kern w:val="2"/>
          <w:sz w:val="24"/>
          <w:szCs w:val="24"/>
          <w:highlight w:val="yellow"/>
        </w:rPr>
        <w:t>ChatGPT</w:t>
      </w:r>
      <w:proofErr w:type="spellEnd"/>
      <w:r w:rsidRPr="00357C9F">
        <w:rPr>
          <w:rFonts w:ascii="Times New Roman" w:hAnsi="Times New Roman" w:cs="Times New Roman"/>
          <w:kern w:val="2"/>
          <w:sz w:val="24"/>
          <w:szCs w:val="24"/>
          <w:highlight w:val="yellow"/>
        </w:rPr>
        <w:t xml:space="preserve">, COPILOT, etc.) and text-to-image generators have been used during the writing or editing of this manuscript. </w:t>
      </w:r>
    </w:p>
    <w:p w14:paraId="2CEF7930" w14:textId="77777777" w:rsidR="00357C9F" w:rsidRPr="00357C9F" w:rsidRDefault="00357C9F" w:rsidP="00357C9F">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7A08E2E7" w14:textId="77777777" w:rsidR="00357C9F" w:rsidRPr="00357C9F" w:rsidRDefault="00357C9F" w:rsidP="00357C9F">
      <w:pPr>
        <w:jc w:val="both"/>
        <w:rPr>
          <w:rFonts w:ascii="Times New Roman" w:hAnsi="Times New Roman" w:cs="Times New Roman"/>
          <w:b/>
          <w:bCs/>
          <w:sz w:val="24"/>
          <w:szCs w:val="24"/>
        </w:rPr>
      </w:pPr>
      <w:r w:rsidRPr="00357C9F">
        <w:rPr>
          <w:rFonts w:ascii="Times New Roman" w:hAnsi="Times New Roman" w:cs="Times New Roman"/>
          <w:b/>
          <w:bCs/>
          <w:sz w:val="24"/>
          <w:szCs w:val="24"/>
        </w:rPr>
        <w:t xml:space="preserve">References </w:t>
      </w:r>
    </w:p>
    <w:p w14:paraId="200B4E86" w14:textId="77777777" w:rsidR="00357C9F" w:rsidRPr="00357C9F" w:rsidRDefault="00357C9F" w:rsidP="00357C9F">
      <w:pPr>
        <w:pStyle w:val="NormalWeb"/>
        <w:ind w:left="720" w:hanging="720"/>
        <w:jc w:val="both"/>
      </w:pPr>
      <w:bookmarkStart w:id="0" w:name="_Hlk215200018"/>
      <w:proofErr w:type="spellStart"/>
      <w:r w:rsidRPr="00357C9F">
        <w:t>Aghanwa</w:t>
      </w:r>
      <w:proofErr w:type="spellEnd"/>
      <w:r w:rsidRPr="00357C9F">
        <w:t xml:space="preserve">, C. I., </w:t>
      </w:r>
      <w:proofErr w:type="spellStart"/>
      <w:r w:rsidRPr="00357C9F">
        <w:t>Umueni</w:t>
      </w:r>
      <w:proofErr w:type="spellEnd"/>
      <w:r w:rsidRPr="00357C9F">
        <w:t xml:space="preserve">, U. E., </w:t>
      </w:r>
      <w:proofErr w:type="spellStart"/>
      <w:r w:rsidRPr="00357C9F">
        <w:t>Etukudo</w:t>
      </w:r>
      <w:proofErr w:type="spellEnd"/>
      <w:r w:rsidRPr="00357C9F">
        <w:t xml:space="preserve">, N. J., </w:t>
      </w:r>
      <w:proofErr w:type="spellStart"/>
      <w:r w:rsidRPr="00357C9F">
        <w:t>Amachree</w:t>
      </w:r>
      <w:proofErr w:type="spellEnd"/>
      <w:r w:rsidRPr="00357C9F">
        <w:t xml:space="preserve">, J. B., </w:t>
      </w:r>
      <w:proofErr w:type="spellStart"/>
      <w:r w:rsidRPr="00357C9F">
        <w:t>Okpoji</w:t>
      </w:r>
      <w:proofErr w:type="spellEnd"/>
      <w:r w:rsidRPr="00357C9F">
        <w:t xml:space="preserve">, A. U., </w:t>
      </w:r>
      <w:proofErr w:type="spellStart"/>
      <w:r w:rsidRPr="00357C9F">
        <w:t>Ejeka</w:t>
      </w:r>
      <w:proofErr w:type="spellEnd"/>
      <w:r w:rsidRPr="00357C9F">
        <w:t xml:space="preserve">, C. J., &amp; </w:t>
      </w:r>
      <w:proofErr w:type="spellStart"/>
      <w:r w:rsidRPr="00357C9F">
        <w:t>Ekwere</w:t>
      </w:r>
      <w:proofErr w:type="spellEnd"/>
      <w:r w:rsidRPr="00357C9F">
        <w:t xml:space="preserve">, I. O. (2025). Atmospheric deposition of soot and heavy metals from gas flaring into surface waters of </w:t>
      </w:r>
      <w:proofErr w:type="spellStart"/>
      <w:r w:rsidRPr="00357C9F">
        <w:t>Ebocha</w:t>
      </w:r>
      <w:proofErr w:type="spellEnd"/>
      <w:r w:rsidRPr="00357C9F">
        <w:t xml:space="preserve">, Rivers State, Nigeria. </w:t>
      </w:r>
      <w:r w:rsidRPr="00357C9F">
        <w:rPr>
          <w:rStyle w:val="Emphasis"/>
          <w:rFonts w:eastAsiaTheme="majorEastAsia"/>
        </w:rPr>
        <w:t>Asian Journal of Environment &amp; Ecology, 24</w:t>
      </w:r>
      <w:r w:rsidRPr="00357C9F">
        <w:t>(11), 137–147.</w:t>
      </w:r>
    </w:p>
    <w:p w14:paraId="6CD02FB0" w14:textId="77777777" w:rsidR="00357C9F" w:rsidRPr="00357C9F" w:rsidRDefault="00357C9F" w:rsidP="00357C9F">
      <w:pPr>
        <w:pStyle w:val="NormalWeb"/>
        <w:ind w:left="720" w:hanging="720"/>
        <w:jc w:val="both"/>
      </w:pPr>
      <w:proofErr w:type="spellStart"/>
      <w:r w:rsidRPr="00357C9F">
        <w:t>Anarado</w:t>
      </w:r>
      <w:proofErr w:type="spellEnd"/>
      <w:r w:rsidRPr="00357C9F">
        <w:t xml:space="preserve">, C. J. O., </w:t>
      </w:r>
      <w:proofErr w:type="spellStart"/>
      <w:r w:rsidRPr="00357C9F">
        <w:t>Okpoji</w:t>
      </w:r>
      <w:proofErr w:type="spellEnd"/>
      <w:r w:rsidRPr="00357C9F">
        <w:t xml:space="preserve">, A. U., &amp; </w:t>
      </w:r>
      <w:proofErr w:type="spellStart"/>
      <w:r w:rsidRPr="00357C9F">
        <w:t>Anarado</w:t>
      </w:r>
      <w:proofErr w:type="spellEnd"/>
      <w:r w:rsidRPr="00357C9F">
        <w:t xml:space="preserve">, C. E. (2023). Bioaccumulation and health risk assessment of lead, cadmium, arsenic, and mercury in blue crabs found in creeks in Bayelsa State of the Niger Delta region of Nigeria. </w:t>
      </w:r>
      <w:r w:rsidRPr="00357C9F">
        <w:rPr>
          <w:i/>
          <w:iCs/>
        </w:rPr>
        <w:t>Asian Journal of Environmental &amp; Ecology, 21</w:t>
      </w:r>
      <w:r w:rsidRPr="00357C9F">
        <w:t>(4), 46–59.</w:t>
      </w:r>
    </w:p>
    <w:p w14:paraId="09C257F2" w14:textId="77777777" w:rsidR="00357C9F" w:rsidRPr="00357C9F" w:rsidRDefault="00357C9F" w:rsidP="00357C9F">
      <w:pPr>
        <w:pStyle w:val="NormalWeb"/>
        <w:ind w:left="720" w:hanging="720"/>
        <w:jc w:val="both"/>
      </w:pPr>
      <w:proofErr w:type="spellStart"/>
      <w:r w:rsidRPr="00357C9F">
        <w:t>Ekesiobi</w:t>
      </w:r>
      <w:proofErr w:type="spellEnd"/>
      <w:r w:rsidRPr="00357C9F">
        <w:t xml:space="preserve">, S. U., Ekpe, J. E., </w:t>
      </w:r>
      <w:proofErr w:type="spellStart"/>
      <w:r w:rsidRPr="00357C9F">
        <w:t>Okpoji</w:t>
      </w:r>
      <w:proofErr w:type="spellEnd"/>
      <w:r w:rsidRPr="00357C9F">
        <w:t xml:space="preserve">, A. U., Hassan, D. H., </w:t>
      </w:r>
      <w:proofErr w:type="spellStart"/>
      <w:r w:rsidRPr="00357C9F">
        <w:t>Ekwere</w:t>
      </w:r>
      <w:proofErr w:type="spellEnd"/>
      <w:r w:rsidRPr="00357C9F">
        <w:t xml:space="preserve">, I. O., </w:t>
      </w:r>
      <w:proofErr w:type="spellStart"/>
      <w:r w:rsidRPr="00357C9F">
        <w:t>Awortu</w:t>
      </w:r>
      <w:proofErr w:type="spellEnd"/>
      <w:r w:rsidRPr="00357C9F">
        <w:t xml:space="preserve">, R. C., </w:t>
      </w:r>
      <w:proofErr w:type="spellStart"/>
      <w:r w:rsidRPr="00357C9F">
        <w:t>Etesin</w:t>
      </w:r>
      <w:proofErr w:type="spellEnd"/>
      <w:r w:rsidRPr="00357C9F">
        <w:t xml:space="preserve">, M. U., </w:t>
      </w:r>
      <w:proofErr w:type="spellStart"/>
      <w:r w:rsidRPr="00357C9F">
        <w:t>Nwofia</w:t>
      </w:r>
      <w:proofErr w:type="spellEnd"/>
      <w:r w:rsidRPr="00357C9F">
        <w:t xml:space="preserve">, U., Okeke, C. F., &amp; Nwankwo, A. O. (2025). </w:t>
      </w:r>
      <w:proofErr w:type="spellStart"/>
      <w:r w:rsidRPr="00357C9F">
        <w:t>Hydrochemical</w:t>
      </w:r>
      <w:proofErr w:type="spellEnd"/>
      <w:r w:rsidRPr="00357C9F">
        <w:t xml:space="preserve"> </w:t>
      </w:r>
      <w:r w:rsidRPr="00357C9F">
        <w:lastRenderedPageBreak/>
        <w:t xml:space="preserve">characterisation and health-risk assessment of drinking water sources in Brass Island, Bayelsa State, Nigeria. </w:t>
      </w:r>
      <w:r w:rsidRPr="00357C9F">
        <w:rPr>
          <w:rStyle w:val="Emphasis"/>
        </w:rPr>
        <w:t>Asian Journal of Chemical Sciences, 15</w:t>
      </w:r>
      <w:r w:rsidRPr="00357C9F">
        <w:t xml:space="preserve">(6), 64–76. </w:t>
      </w:r>
      <w:hyperlink r:id="rId10" w:tgtFrame="_new" w:history="1">
        <w:r w:rsidRPr="00357C9F">
          <w:rPr>
            <w:rStyle w:val="Hyperlink"/>
            <w:rFonts w:eastAsiaTheme="majorEastAsia"/>
          </w:rPr>
          <w:t>https://doi.org/10.9734/ajocs/2025/v15i6406</w:t>
        </w:r>
      </w:hyperlink>
    </w:p>
    <w:p w14:paraId="7FB48CB1" w14:textId="77777777" w:rsidR="00357C9F" w:rsidRPr="00357C9F" w:rsidRDefault="00357C9F" w:rsidP="00357C9F">
      <w:pPr>
        <w:pStyle w:val="NormalWeb"/>
        <w:ind w:left="720" w:hanging="720"/>
        <w:jc w:val="both"/>
      </w:pPr>
      <w:r w:rsidRPr="00357C9F">
        <w:t xml:space="preserve">Ekpe, J. E., </w:t>
      </w:r>
      <w:proofErr w:type="spellStart"/>
      <w:r w:rsidRPr="00357C9F">
        <w:t>Okpoji</w:t>
      </w:r>
      <w:proofErr w:type="spellEnd"/>
      <w:r w:rsidRPr="00357C9F">
        <w:t xml:space="preserve">, A. U., </w:t>
      </w:r>
      <w:proofErr w:type="spellStart"/>
      <w:r w:rsidRPr="00357C9F">
        <w:t>Ekwere</w:t>
      </w:r>
      <w:proofErr w:type="spellEnd"/>
      <w:r w:rsidRPr="00357C9F">
        <w:t xml:space="preserve">, I. O., </w:t>
      </w:r>
      <w:proofErr w:type="spellStart"/>
      <w:r w:rsidRPr="00357C9F">
        <w:t>Anarada</w:t>
      </w:r>
      <w:proofErr w:type="spellEnd"/>
      <w:r w:rsidRPr="00357C9F">
        <w:t xml:space="preserve">, C. J., </w:t>
      </w:r>
      <w:proofErr w:type="spellStart"/>
      <w:r w:rsidRPr="00357C9F">
        <w:t>Ewuola</w:t>
      </w:r>
      <w:proofErr w:type="spellEnd"/>
      <w:r w:rsidRPr="00357C9F">
        <w:t xml:space="preserve">, A. A., </w:t>
      </w:r>
      <w:proofErr w:type="spellStart"/>
      <w:r w:rsidRPr="00357C9F">
        <w:t>Ufuoma</w:t>
      </w:r>
      <w:proofErr w:type="spellEnd"/>
      <w:r w:rsidRPr="00357C9F">
        <w:t xml:space="preserve">, V. O., </w:t>
      </w:r>
      <w:proofErr w:type="spellStart"/>
      <w:r w:rsidRPr="00357C9F">
        <w:t>Okpanachi</w:t>
      </w:r>
      <w:proofErr w:type="spellEnd"/>
      <w:r w:rsidRPr="00357C9F">
        <w:t xml:space="preserve">, C. B., Okonkwo, C. O., &amp; </w:t>
      </w:r>
      <w:proofErr w:type="spellStart"/>
      <w:r w:rsidRPr="00357C9F">
        <w:t>Obunezi</w:t>
      </w:r>
      <w:proofErr w:type="spellEnd"/>
      <w:r w:rsidRPr="00357C9F">
        <w:t xml:space="preserve">, O. A. (2025). </w:t>
      </w:r>
      <w:proofErr w:type="spellStart"/>
      <w:r w:rsidRPr="00357C9F">
        <w:t>Physico</w:t>
      </w:r>
      <w:proofErr w:type="spellEnd"/>
      <w:r w:rsidRPr="00357C9F">
        <w:t xml:space="preserve">-chemical transport of pesticides and nutrients in irrigation water and their fate in </w:t>
      </w:r>
      <w:proofErr w:type="spellStart"/>
      <w:r w:rsidRPr="00357C9F">
        <w:t>agro</w:t>
      </w:r>
      <w:proofErr w:type="spellEnd"/>
      <w:r w:rsidRPr="00357C9F">
        <w:t xml:space="preserve">-ecosystems of Rivers State, Nigeria. </w:t>
      </w:r>
      <w:proofErr w:type="spellStart"/>
      <w:r w:rsidRPr="00357C9F">
        <w:rPr>
          <w:rStyle w:val="Emphasis"/>
          <w:rFonts w:eastAsiaTheme="majorEastAsia"/>
        </w:rPr>
        <w:t>Palgo</w:t>
      </w:r>
      <w:proofErr w:type="spellEnd"/>
      <w:r w:rsidRPr="00357C9F">
        <w:rPr>
          <w:rStyle w:val="Emphasis"/>
          <w:rFonts w:eastAsiaTheme="majorEastAsia"/>
        </w:rPr>
        <w:t xml:space="preserve"> Journal of Agriculture, 9</w:t>
      </w:r>
      <w:r w:rsidRPr="00357C9F">
        <w:t xml:space="preserve">(2), 30–37. </w:t>
      </w:r>
      <w:hyperlink r:id="rId11" w:tgtFrame="_new" w:history="1">
        <w:r w:rsidRPr="00357C9F">
          <w:rPr>
            <w:rStyle w:val="Hyperlink"/>
            <w:rFonts w:eastAsiaTheme="majorEastAsia"/>
          </w:rPr>
          <w:t>https://doi.org/10.5281/zenodo.17148360</w:t>
        </w:r>
      </w:hyperlink>
    </w:p>
    <w:p w14:paraId="4C8661D4" w14:textId="77777777" w:rsidR="00357C9F" w:rsidRPr="00357C9F" w:rsidRDefault="00357C9F" w:rsidP="00357C9F">
      <w:pPr>
        <w:pStyle w:val="NormalWeb"/>
        <w:ind w:left="720" w:hanging="720"/>
        <w:jc w:val="both"/>
      </w:pPr>
      <w:proofErr w:type="spellStart"/>
      <w:r w:rsidRPr="00357C9F">
        <w:t>Ekwere</w:t>
      </w:r>
      <w:proofErr w:type="spellEnd"/>
      <w:r w:rsidRPr="00357C9F">
        <w:t xml:space="preserve">, I. O., </w:t>
      </w:r>
      <w:proofErr w:type="spellStart"/>
      <w:r w:rsidRPr="00357C9F">
        <w:t>Okpoji</w:t>
      </w:r>
      <w:proofErr w:type="spellEnd"/>
      <w:r w:rsidRPr="00357C9F">
        <w:t xml:space="preserve">, A. U., </w:t>
      </w:r>
      <w:proofErr w:type="spellStart"/>
      <w:r w:rsidRPr="00357C9F">
        <w:t>Igwegbe</w:t>
      </w:r>
      <w:proofErr w:type="spellEnd"/>
      <w:r w:rsidRPr="00357C9F">
        <w:t xml:space="preserve">, K. C., Okonkwo, C. O., </w:t>
      </w:r>
      <w:proofErr w:type="spellStart"/>
      <w:r w:rsidRPr="00357C9F">
        <w:t>Yekeen</w:t>
      </w:r>
      <w:proofErr w:type="spellEnd"/>
      <w:r w:rsidRPr="00357C9F">
        <w:t xml:space="preserve">, A. A., </w:t>
      </w:r>
      <w:proofErr w:type="spellStart"/>
      <w:r w:rsidRPr="00357C9F">
        <w:t>Obunezi</w:t>
      </w:r>
      <w:proofErr w:type="spellEnd"/>
      <w:r w:rsidRPr="00357C9F">
        <w:t xml:space="preserve">, O. C., </w:t>
      </w:r>
      <w:proofErr w:type="spellStart"/>
      <w:r w:rsidRPr="00357C9F">
        <w:t>Okpanachi</w:t>
      </w:r>
      <w:proofErr w:type="spellEnd"/>
      <w:r w:rsidRPr="00357C9F">
        <w:t xml:space="preserve">, C. B., </w:t>
      </w:r>
      <w:proofErr w:type="spellStart"/>
      <w:r w:rsidRPr="00357C9F">
        <w:t>Garuba</w:t>
      </w:r>
      <w:proofErr w:type="spellEnd"/>
      <w:r w:rsidRPr="00357C9F">
        <w:t xml:space="preserve">, M. H., </w:t>
      </w:r>
      <w:proofErr w:type="spellStart"/>
      <w:r w:rsidRPr="00357C9F">
        <w:t>Ogini</w:t>
      </w:r>
      <w:proofErr w:type="spellEnd"/>
      <w:r w:rsidRPr="00357C9F">
        <w:t xml:space="preserve">, O. R., &amp; </w:t>
      </w:r>
      <w:proofErr w:type="spellStart"/>
      <w:r w:rsidRPr="00357C9F">
        <w:t>Odibo</w:t>
      </w:r>
      <w:proofErr w:type="spellEnd"/>
      <w:r w:rsidRPr="00357C9F">
        <w:t>, U. E. (2025). Nutritional–Toxicological Trade-Off: Comparative study of polycyclic aromatic hydrocarbons in smoked and oven-dried Nile tilapia (</w:t>
      </w:r>
      <w:r w:rsidRPr="00357C9F">
        <w:rPr>
          <w:rStyle w:val="Emphasis"/>
          <w:rFonts w:eastAsiaTheme="majorEastAsia"/>
        </w:rPr>
        <w:t xml:space="preserve">Oreochromis </w:t>
      </w:r>
      <w:proofErr w:type="spellStart"/>
      <w:r w:rsidRPr="00357C9F">
        <w:rPr>
          <w:rStyle w:val="Emphasis"/>
          <w:rFonts w:eastAsiaTheme="majorEastAsia"/>
        </w:rPr>
        <w:t>niloticus</w:t>
      </w:r>
      <w:proofErr w:type="spellEnd"/>
      <w:r w:rsidRPr="00357C9F">
        <w:t xml:space="preserve">). </w:t>
      </w:r>
      <w:r w:rsidRPr="00357C9F">
        <w:rPr>
          <w:rStyle w:val="Emphasis"/>
          <w:rFonts w:eastAsiaTheme="majorEastAsia"/>
        </w:rPr>
        <w:t>Journal of Environment, Climate, and Ecology, 2</w:t>
      </w:r>
      <w:r w:rsidRPr="00357C9F">
        <w:t xml:space="preserve">(2), 90–97. </w:t>
      </w:r>
      <w:hyperlink r:id="rId12" w:tgtFrame="_new" w:history="1">
        <w:r w:rsidRPr="00357C9F">
          <w:rPr>
            <w:rStyle w:val="Hyperlink"/>
            <w:rFonts w:eastAsiaTheme="majorEastAsia"/>
          </w:rPr>
          <w:t>https://doi.org/10.69739/jece.v2i2.952</w:t>
        </w:r>
      </w:hyperlink>
    </w:p>
    <w:p w14:paraId="5A63E1D9" w14:textId="77777777" w:rsidR="00357C9F" w:rsidRPr="00357C9F" w:rsidRDefault="00357C9F" w:rsidP="00357C9F">
      <w:pPr>
        <w:pStyle w:val="NormalWeb"/>
        <w:ind w:left="720" w:hanging="720"/>
        <w:jc w:val="both"/>
      </w:pPr>
      <w:proofErr w:type="spellStart"/>
      <w:r w:rsidRPr="00357C9F">
        <w:t>Ekwere</w:t>
      </w:r>
      <w:proofErr w:type="spellEnd"/>
      <w:r w:rsidRPr="00357C9F">
        <w:t xml:space="preserve">, I. O., </w:t>
      </w:r>
      <w:proofErr w:type="spellStart"/>
      <w:r w:rsidRPr="00357C9F">
        <w:t>Okpoji</w:t>
      </w:r>
      <w:proofErr w:type="spellEnd"/>
      <w:r w:rsidRPr="00357C9F">
        <w:t xml:space="preserve">, A. U., </w:t>
      </w:r>
      <w:proofErr w:type="spellStart"/>
      <w:r w:rsidRPr="00357C9F">
        <w:t>Ufuoma</w:t>
      </w:r>
      <w:proofErr w:type="spellEnd"/>
      <w:r w:rsidRPr="00357C9F">
        <w:t xml:space="preserve">, V. O., Akinola, A. E., Raymond, C. A., Clement, R. O., </w:t>
      </w:r>
      <w:proofErr w:type="spellStart"/>
      <w:r w:rsidRPr="00357C9F">
        <w:t>Alaekwe</w:t>
      </w:r>
      <w:proofErr w:type="spellEnd"/>
      <w:r w:rsidRPr="00357C9F">
        <w:t xml:space="preserve">, I. O., </w:t>
      </w:r>
      <w:proofErr w:type="spellStart"/>
      <w:r w:rsidRPr="00357C9F">
        <w:t>Etesin</w:t>
      </w:r>
      <w:proofErr w:type="spellEnd"/>
      <w:r w:rsidRPr="00357C9F">
        <w:t xml:space="preserve">, M. O., &amp; </w:t>
      </w:r>
      <w:proofErr w:type="spellStart"/>
      <w:r w:rsidRPr="00357C9F">
        <w:t>Edodi</w:t>
      </w:r>
      <w:proofErr w:type="spellEnd"/>
      <w:r w:rsidRPr="00357C9F">
        <w:t>, I. O. (2025). Nutritional evaluation of Nile tilapia (</w:t>
      </w:r>
      <w:r w:rsidRPr="00357C9F">
        <w:rPr>
          <w:rStyle w:val="Emphasis"/>
          <w:rFonts w:eastAsiaTheme="majorEastAsia"/>
        </w:rPr>
        <w:t xml:space="preserve">Oreochromis </w:t>
      </w:r>
      <w:proofErr w:type="spellStart"/>
      <w:r w:rsidRPr="00357C9F">
        <w:rPr>
          <w:rStyle w:val="Emphasis"/>
          <w:rFonts w:eastAsiaTheme="majorEastAsia"/>
        </w:rPr>
        <w:t>niloticus</w:t>
      </w:r>
      <w:proofErr w:type="spellEnd"/>
      <w:r w:rsidRPr="00357C9F">
        <w:t xml:space="preserve">) processed by different drying methods in </w:t>
      </w:r>
      <w:proofErr w:type="spellStart"/>
      <w:r w:rsidRPr="00357C9F">
        <w:t>Akwa</w:t>
      </w:r>
      <w:proofErr w:type="spellEnd"/>
      <w:r w:rsidRPr="00357C9F">
        <w:t xml:space="preserve"> Ibom State, Nigeria. </w:t>
      </w:r>
      <w:r w:rsidRPr="00357C9F">
        <w:rPr>
          <w:rStyle w:val="Emphasis"/>
          <w:rFonts w:eastAsiaTheme="majorEastAsia"/>
        </w:rPr>
        <w:t>Journal of Sustainable Research and Development, 1</w:t>
      </w:r>
      <w:r w:rsidRPr="00357C9F">
        <w:t xml:space="preserve">(2), 11–17. </w:t>
      </w:r>
      <w:hyperlink r:id="rId13" w:tgtFrame="_new" w:history="1">
        <w:r w:rsidRPr="00357C9F">
          <w:rPr>
            <w:rStyle w:val="Hyperlink"/>
            <w:rFonts w:eastAsiaTheme="majorEastAsia"/>
          </w:rPr>
          <w:t>https://doi.org/10.69739/jsrd.v1i2.1033</w:t>
        </w:r>
      </w:hyperlink>
    </w:p>
    <w:p w14:paraId="44DC27E2" w14:textId="77777777" w:rsidR="00357C9F" w:rsidRPr="00357C9F" w:rsidRDefault="00357C9F" w:rsidP="00357C9F">
      <w:pPr>
        <w:pStyle w:val="NormalWeb"/>
        <w:ind w:left="720" w:hanging="720"/>
        <w:jc w:val="both"/>
      </w:pPr>
      <w:r w:rsidRPr="00357C9F">
        <w:t xml:space="preserve">Ernesto, O. Z. A. B., </w:t>
      </w:r>
      <w:proofErr w:type="spellStart"/>
      <w:r w:rsidRPr="00357C9F">
        <w:t>Dioselina</w:t>
      </w:r>
      <w:proofErr w:type="spellEnd"/>
      <w:r w:rsidRPr="00357C9F">
        <w:t xml:space="preserve">, O. F. H., Marina, R. R. O., Hector, M., &amp; Miguel. (2021). Bioaccumulation of PCBs and PBDEs in fish from a tropical Lake Chapala, Mexico. </w:t>
      </w:r>
      <w:r w:rsidRPr="00357C9F">
        <w:rPr>
          <w:rStyle w:val="Emphasis"/>
          <w:rFonts w:eastAsiaTheme="majorEastAsia"/>
        </w:rPr>
        <w:t>Toxics</w:t>
      </w:r>
      <w:r w:rsidRPr="00357C9F">
        <w:t>, 9(1). https://doi.org/10.3390/toxics9100241</w:t>
      </w:r>
    </w:p>
    <w:p w14:paraId="4CF2F213" w14:textId="77777777" w:rsidR="00357C9F" w:rsidRPr="00357C9F" w:rsidRDefault="00357C9F" w:rsidP="00357C9F">
      <w:pPr>
        <w:pStyle w:val="NormalWeb"/>
        <w:ind w:left="720" w:hanging="720"/>
        <w:jc w:val="both"/>
      </w:pPr>
      <w:proofErr w:type="spellStart"/>
      <w:r w:rsidRPr="00357C9F">
        <w:t>Eyenubo</w:t>
      </w:r>
      <w:proofErr w:type="spellEnd"/>
      <w:r w:rsidRPr="00357C9F">
        <w:t xml:space="preserve">, O. B., </w:t>
      </w:r>
      <w:proofErr w:type="spellStart"/>
      <w:r w:rsidRPr="00357C9F">
        <w:t>Peretomode</w:t>
      </w:r>
      <w:proofErr w:type="spellEnd"/>
      <w:r w:rsidRPr="00357C9F">
        <w:t xml:space="preserve">, V. O., </w:t>
      </w:r>
      <w:proofErr w:type="spellStart"/>
      <w:r w:rsidRPr="00357C9F">
        <w:t>Egharevba</w:t>
      </w:r>
      <w:proofErr w:type="spellEnd"/>
      <w:r w:rsidRPr="00357C9F">
        <w:t xml:space="preserve">, F., Osakwe, S. A., &amp; </w:t>
      </w:r>
      <w:proofErr w:type="spellStart"/>
      <w:r w:rsidRPr="00357C9F">
        <w:t>Avwioro</w:t>
      </w:r>
      <w:proofErr w:type="spellEnd"/>
      <w:r w:rsidRPr="00357C9F">
        <w:t xml:space="preserve">, O. G. (2024). Polychlorinated biphenyls (PCBs) in sediments and fish from dredged tributaries and creeks of River </w:t>
      </w:r>
      <w:proofErr w:type="spellStart"/>
      <w:r w:rsidRPr="00357C9F">
        <w:t>Ethiope</w:t>
      </w:r>
      <w:proofErr w:type="spellEnd"/>
      <w:r w:rsidRPr="00357C9F">
        <w:t xml:space="preserve">, South-South Nigeria: Sources, risk assessment and bioaccumulation. </w:t>
      </w:r>
      <w:r w:rsidRPr="00357C9F">
        <w:rPr>
          <w:rStyle w:val="Emphasis"/>
          <w:rFonts w:eastAsiaTheme="majorEastAsia"/>
        </w:rPr>
        <w:t>Journal of the Nigerian Society of Physical Science</w:t>
      </w:r>
      <w:r w:rsidRPr="00357C9F">
        <w:t>, 6, 1951.</w:t>
      </w:r>
    </w:p>
    <w:p w14:paraId="1F3DAF1A" w14:textId="77777777" w:rsidR="00357C9F" w:rsidRPr="00357C9F" w:rsidRDefault="00357C9F" w:rsidP="00357C9F">
      <w:pPr>
        <w:pStyle w:val="NormalWeb"/>
        <w:ind w:left="720" w:hanging="720"/>
        <w:jc w:val="both"/>
      </w:pPr>
      <w:r w:rsidRPr="00357C9F">
        <w:t xml:space="preserve">IARC (International Agency for Research on Cancer). (2015). </w:t>
      </w:r>
      <w:r w:rsidRPr="00357C9F">
        <w:rPr>
          <w:rStyle w:val="Emphasis"/>
          <w:rFonts w:eastAsiaTheme="majorEastAsia"/>
        </w:rPr>
        <w:t>Agents Classified by the IARC Monographs, Volumes 1–112.</w:t>
      </w:r>
      <w:r w:rsidRPr="00357C9F">
        <w:t xml:space="preserve"> </w:t>
      </w:r>
      <w:hyperlink r:id="rId14" w:tgtFrame="_new" w:history="1">
        <w:r w:rsidRPr="00357C9F">
          <w:rPr>
            <w:rStyle w:val="Hyperlink"/>
            <w:rFonts w:eastAsiaTheme="majorEastAsia"/>
          </w:rPr>
          <w:t>http://monographs.iarc.fr/ENG/Classification/ClassificationsAlphaOrder</w:t>
        </w:r>
      </w:hyperlink>
    </w:p>
    <w:p w14:paraId="1C733703" w14:textId="77777777" w:rsidR="00357C9F" w:rsidRPr="00357C9F" w:rsidRDefault="00357C9F" w:rsidP="00357C9F">
      <w:pPr>
        <w:pStyle w:val="NormalWeb"/>
        <w:ind w:left="720" w:hanging="720"/>
        <w:jc w:val="both"/>
      </w:pPr>
      <w:r w:rsidRPr="00357C9F">
        <w:t xml:space="preserve">John, E. E., </w:t>
      </w:r>
      <w:proofErr w:type="spellStart"/>
      <w:r w:rsidRPr="00357C9F">
        <w:t>Emah</w:t>
      </w:r>
      <w:proofErr w:type="spellEnd"/>
      <w:r w:rsidRPr="00357C9F">
        <w:t xml:space="preserve">, O. A., </w:t>
      </w:r>
      <w:proofErr w:type="spellStart"/>
      <w:r w:rsidRPr="00357C9F">
        <w:t>Ifiok</w:t>
      </w:r>
      <w:proofErr w:type="spellEnd"/>
      <w:r w:rsidRPr="00357C9F">
        <w:t xml:space="preserve">, O. E., </w:t>
      </w:r>
      <w:proofErr w:type="spellStart"/>
      <w:r w:rsidRPr="00357C9F">
        <w:t>Okpoji</w:t>
      </w:r>
      <w:proofErr w:type="spellEnd"/>
      <w:r w:rsidRPr="00357C9F">
        <w:t xml:space="preserve">, A. U., </w:t>
      </w:r>
      <w:proofErr w:type="spellStart"/>
      <w:r w:rsidRPr="00357C9F">
        <w:t>Iyam</w:t>
      </w:r>
      <w:proofErr w:type="spellEnd"/>
      <w:r w:rsidRPr="00357C9F">
        <w:t xml:space="preserve">, O. E., Henderson, O. O., Akinola, A. E., Gloria, N. A., &amp; Charles, N. O. (2025). Health risk implications of polycyclic aromatic hydrocarbons in smoked and dried fish consumed in Nigeria. </w:t>
      </w:r>
      <w:r w:rsidRPr="00357C9F">
        <w:rPr>
          <w:rStyle w:val="Emphasis"/>
          <w:rFonts w:eastAsiaTheme="majorEastAsia"/>
        </w:rPr>
        <w:t>Journal of Medical Science, Biology, and Chemistry, 2</w:t>
      </w:r>
      <w:r w:rsidRPr="00357C9F">
        <w:t xml:space="preserve">(2), 192–199. </w:t>
      </w:r>
      <w:hyperlink r:id="rId15" w:tgtFrame="_new" w:history="1">
        <w:r w:rsidRPr="00357C9F">
          <w:rPr>
            <w:rStyle w:val="Hyperlink"/>
            <w:rFonts w:eastAsiaTheme="majorEastAsia"/>
          </w:rPr>
          <w:t>https://doi.org/10.69739/jmsbc.v2i2.1045</w:t>
        </w:r>
      </w:hyperlink>
    </w:p>
    <w:p w14:paraId="0B123B45" w14:textId="77777777" w:rsidR="00357C9F" w:rsidRPr="00357C9F" w:rsidRDefault="00357C9F" w:rsidP="00357C9F">
      <w:pPr>
        <w:pStyle w:val="NormalWeb"/>
        <w:ind w:left="720" w:hanging="720"/>
        <w:jc w:val="both"/>
      </w:pPr>
      <w:proofErr w:type="spellStart"/>
      <w:r w:rsidRPr="00357C9F">
        <w:t>Kallenborn</w:t>
      </w:r>
      <w:proofErr w:type="spellEnd"/>
      <w:r w:rsidRPr="00357C9F">
        <w:t xml:space="preserve">, R., Hung, H., &amp; </w:t>
      </w:r>
      <w:proofErr w:type="spellStart"/>
      <w:r w:rsidRPr="00357C9F">
        <w:t>Brorström-Lundén</w:t>
      </w:r>
      <w:proofErr w:type="spellEnd"/>
      <w:r w:rsidRPr="00357C9F">
        <w:t xml:space="preserve">, E. (2015). Atmospheric long-range transport of persistent organic pollutants (POPs) into polar regions. In </w:t>
      </w:r>
      <w:r w:rsidRPr="00357C9F">
        <w:rPr>
          <w:rStyle w:val="Emphasis"/>
          <w:rFonts w:eastAsiaTheme="majorEastAsia"/>
        </w:rPr>
        <w:t>Comprehensive Analytical Chemistry</w:t>
      </w:r>
      <w:r w:rsidRPr="00357C9F">
        <w:t xml:space="preserve"> (Vol. 67, p. 411). Elsevier.</w:t>
      </w:r>
    </w:p>
    <w:p w14:paraId="55787CFD" w14:textId="77777777" w:rsidR="00357C9F" w:rsidRPr="00357C9F" w:rsidRDefault="00357C9F" w:rsidP="00357C9F">
      <w:pPr>
        <w:pStyle w:val="NormalWeb"/>
        <w:ind w:left="720" w:hanging="720"/>
        <w:jc w:val="both"/>
      </w:pPr>
      <w:proofErr w:type="spellStart"/>
      <w:r w:rsidRPr="00357C9F">
        <w:t>Ogbaji</w:t>
      </w:r>
      <w:proofErr w:type="spellEnd"/>
      <w:r w:rsidRPr="00357C9F">
        <w:t xml:space="preserve">, H. O., Akpan, N. A., </w:t>
      </w:r>
      <w:proofErr w:type="spellStart"/>
      <w:r w:rsidRPr="00357C9F">
        <w:t>Ijioma</w:t>
      </w:r>
      <w:proofErr w:type="spellEnd"/>
      <w:r w:rsidRPr="00357C9F">
        <w:t xml:space="preserve">, C. C., </w:t>
      </w:r>
      <w:proofErr w:type="spellStart"/>
      <w:r w:rsidRPr="00357C9F">
        <w:t>Okpoji</w:t>
      </w:r>
      <w:proofErr w:type="spellEnd"/>
      <w:r w:rsidRPr="00357C9F">
        <w:t xml:space="preserve">, A. U., </w:t>
      </w:r>
      <w:proofErr w:type="spellStart"/>
      <w:r w:rsidRPr="00357C9F">
        <w:t>Eze</w:t>
      </w:r>
      <w:proofErr w:type="spellEnd"/>
      <w:r w:rsidRPr="00357C9F">
        <w:t xml:space="preserve">, V. C., Obi, J. N., Martins, N. P., &amp; </w:t>
      </w:r>
      <w:proofErr w:type="spellStart"/>
      <w:r w:rsidRPr="00357C9F">
        <w:t>Etesin</w:t>
      </w:r>
      <w:proofErr w:type="spellEnd"/>
      <w:r w:rsidRPr="00357C9F">
        <w:t xml:space="preserve">, M. U. (2025). Seasonal variation in hydrocarbon contamination of sediments and biota in Bonny Estuary, Rivers State, Nigeria. </w:t>
      </w:r>
      <w:r w:rsidRPr="00357C9F">
        <w:rPr>
          <w:rStyle w:val="Emphasis"/>
        </w:rPr>
        <w:t>Asian Journal of Geographical Research, 8</w:t>
      </w:r>
      <w:r w:rsidRPr="00357C9F">
        <w:t xml:space="preserve">(4), 330–338. </w:t>
      </w:r>
      <w:hyperlink r:id="rId16" w:tgtFrame="_new" w:history="1">
        <w:r w:rsidRPr="00357C9F">
          <w:rPr>
            <w:rStyle w:val="Hyperlink"/>
            <w:rFonts w:eastAsiaTheme="majorEastAsia"/>
          </w:rPr>
          <w:t>https://doi.org/10.9734/ajgr/2025/v8i4341</w:t>
        </w:r>
      </w:hyperlink>
    </w:p>
    <w:p w14:paraId="0A5FD539" w14:textId="77777777" w:rsidR="00357C9F" w:rsidRPr="00357C9F" w:rsidRDefault="00357C9F" w:rsidP="00357C9F">
      <w:pPr>
        <w:pStyle w:val="NormalWeb"/>
        <w:ind w:left="720" w:hanging="720"/>
        <w:jc w:val="both"/>
      </w:pPr>
      <w:proofErr w:type="spellStart"/>
      <w:r w:rsidRPr="00357C9F">
        <w:lastRenderedPageBreak/>
        <w:t>Oghenekohwiroro</w:t>
      </w:r>
      <w:proofErr w:type="spellEnd"/>
      <w:r w:rsidRPr="00357C9F">
        <w:t xml:space="preserve">, E., &amp; </w:t>
      </w:r>
      <w:proofErr w:type="spellStart"/>
      <w:r w:rsidRPr="00357C9F">
        <w:t>Osaro</w:t>
      </w:r>
      <w:proofErr w:type="spellEnd"/>
      <w:r w:rsidRPr="00357C9F">
        <w:t xml:space="preserve">, I. (2017). Assessment of the levels of polychlorinated biphenyls (PCBs) in </w:t>
      </w:r>
      <w:proofErr w:type="spellStart"/>
      <w:r w:rsidRPr="00357C9F">
        <w:t>Oroodo</w:t>
      </w:r>
      <w:proofErr w:type="spellEnd"/>
      <w:r w:rsidRPr="00357C9F">
        <w:t xml:space="preserve"> River sediment, </w:t>
      </w:r>
      <w:proofErr w:type="spellStart"/>
      <w:r w:rsidRPr="00357C9F">
        <w:t>Agbor</w:t>
      </w:r>
      <w:proofErr w:type="spellEnd"/>
      <w:r w:rsidRPr="00357C9F">
        <w:t xml:space="preserve">, Delta State, Nigeria. </w:t>
      </w:r>
      <w:r w:rsidRPr="00357C9F">
        <w:rPr>
          <w:rStyle w:val="Emphasis"/>
          <w:rFonts w:eastAsiaTheme="majorEastAsia"/>
        </w:rPr>
        <w:t>Annals of Chemistry</w:t>
      </w:r>
      <w:r w:rsidRPr="00357C9F">
        <w:t>, 28, 25. https://intapi.sciendo.com/pdf/10.1515/auoc-2017-0005</w:t>
      </w:r>
    </w:p>
    <w:p w14:paraId="1983A0FC" w14:textId="77777777" w:rsidR="00357C9F" w:rsidRPr="00357C9F" w:rsidRDefault="00357C9F" w:rsidP="00357C9F">
      <w:pPr>
        <w:pStyle w:val="NormalWeb"/>
        <w:ind w:left="720" w:hanging="720"/>
        <w:jc w:val="both"/>
      </w:pPr>
      <w:r w:rsidRPr="00357C9F">
        <w:t xml:space="preserve">Okagbare, U. V., </w:t>
      </w:r>
      <w:proofErr w:type="spellStart"/>
      <w:r w:rsidRPr="00357C9F">
        <w:t>Umueni</w:t>
      </w:r>
      <w:proofErr w:type="spellEnd"/>
      <w:r w:rsidRPr="00357C9F">
        <w:t xml:space="preserve">, U. E., Ekpe, J. E., </w:t>
      </w:r>
      <w:proofErr w:type="spellStart"/>
      <w:r w:rsidRPr="00357C9F">
        <w:t>Etukudo</w:t>
      </w:r>
      <w:proofErr w:type="spellEnd"/>
      <w:r w:rsidRPr="00357C9F">
        <w:t xml:space="preserve">, N. J., </w:t>
      </w:r>
      <w:proofErr w:type="spellStart"/>
      <w:r w:rsidRPr="00357C9F">
        <w:t>Okpoji</w:t>
      </w:r>
      <w:proofErr w:type="spellEnd"/>
      <w:r w:rsidRPr="00357C9F">
        <w:t xml:space="preserve">, A. U., Okoye, P. I., </w:t>
      </w:r>
      <w:proofErr w:type="spellStart"/>
      <w:r w:rsidRPr="00357C9F">
        <w:t>Ekwere</w:t>
      </w:r>
      <w:proofErr w:type="spellEnd"/>
      <w:r w:rsidRPr="00357C9F">
        <w:t xml:space="preserve">, I. O., </w:t>
      </w:r>
      <w:proofErr w:type="spellStart"/>
      <w:r w:rsidRPr="00357C9F">
        <w:t>Etesin</w:t>
      </w:r>
      <w:proofErr w:type="spellEnd"/>
      <w:r w:rsidRPr="00357C9F">
        <w:t xml:space="preserve">, M. U., </w:t>
      </w:r>
      <w:proofErr w:type="spellStart"/>
      <w:r w:rsidRPr="00357C9F">
        <w:t>Okpanachi</w:t>
      </w:r>
      <w:proofErr w:type="spellEnd"/>
      <w:r w:rsidRPr="00357C9F">
        <w:t xml:space="preserve">, C. B., &amp; Okafor, C. A. (2025). Geophysical and </w:t>
      </w:r>
      <w:proofErr w:type="spellStart"/>
      <w:r w:rsidRPr="00357C9F">
        <w:t>hydrochemical</w:t>
      </w:r>
      <w:proofErr w:type="spellEnd"/>
      <w:r w:rsidRPr="00357C9F">
        <w:t xml:space="preserve"> assessment of groundwater vulnerability to oil pollution in </w:t>
      </w:r>
      <w:proofErr w:type="spellStart"/>
      <w:r w:rsidRPr="00357C9F">
        <w:t>Yenagoa</w:t>
      </w:r>
      <w:proofErr w:type="spellEnd"/>
      <w:r w:rsidRPr="00357C9F">
        <w:t xml:space="preserve">, Bayelsa State, Nigeria. </w:t>
      </w:r>
      <w:r w:rsidRPr="00357C9F">
        <w:rPr>
          <w:rStyle w:val="Emphasis"/>
          <w:rFonts w:eastAsiaTheme="majorEastAsia"/>
        </w:rPr>
        <w:t>Journal of Environment, Climate, and Ecology, 2</w:t>
      </w:r>
      <w:r w:rsidRPr="00357C9F">
        <w:t xml:space="preserve">(2), 138–146. </w:t>
      </w:r>
      <w:hyperlink r:id="rId17" w:tgtFrame="_new" w:history="1">
        <w:r w:rsidRPr="00357C9F">
          <w:rPr>
            <w:rStyle w:val="Hyperlink"/>
            <w:rFonts w:eastAsiaTheme="majorEastAsia"/>
          </w:rPr>
          <w:t>https://doi.org/10.69739/jece.v2i2.1078</w:t>
        </w:r>
      </w:hyperlink>
    </w:p>
    <w:p w14:paraId="69C39CA4"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Anarado</w:t>
      </w:r>
      <w:proofErr w:type="spellEnd"/>
      <w:r w:rsidRPr="00357C9F">
        <w:t xml:space="preserve">, C. O., </w:t>
      </w:r>
      <w:proofErr w:type="spellStart"/>
      <w:r w:rsidRPr="00357C9F">
        <w:t>Mmuta</w:t>
      </w:r>
      <w:proofErr w:type="spellEnd"/>
      <w:r w:rsidRPr="00357C9F">
        <w:t xml:space="preserve">, E. C., </w:t>
      </w:r>
      <w:proofErr w:type="spellStart"/>
      <w:r w:rsidRPr="00357C9F">
        <w:t>Ekwere</w:t>
      </w:r>
      <w:proofErr w:type="spellEnd"/>
      <w:r w:rsidRPr="00357C9F">
        <w:t xml:space="preserve">, I. O., </w:t>
      </w:r>
      <w:proofErr w:type="spellStart"/>
      <w:r w:rsidRPr="00357C9F">
        <w:t>Alaekwe</w:t>
      </w:r>
      <w:proofErr w:type="spellEnd"/>
      <w:r w:rsidRPr="00357C9F">
        <w:t xml:space="preserve">, I. O., </w:t>
      </w:r>
      <w:proofErr w:type="spellStart"/>
      <w:r w:rsidRPr="00357C9F">
        <w:t>Odibo</w:t>
      </w:r>
      <w:proofErr w:type="spellEnd"/>
      <w:r w:rsidRPr="00357C9F">
        <w:t xml:space="preserve">, U. E., </w:t>
      </w:r>
      <w:proofErr w:type="spellStart"/>
      <w:r w:rsidRPr="00357C9F">
        <w:t>Igwegbe</w:t>
      </w:r>
      <w:proofErr w:type="spellEnd"/>
      <w:r w:rsidRPr="00357C9F">
        <w:t xml:space="preserve">, K. C., </w:t>
      </w:r>
      <w:proofErr w:type="spellStart"/>
      <w:r w:rsidRPr="00357C9F">
        <w:t>Eboj-Ajoku</w:t>
      </w:r>
      <w:proofErr w:type="spellEnd"/>
      <w:r w:rsidRPr="00357C9F">
        <w:t xml:space="preserve">, I. O., &amp; </w:t>
      </w:r>
      <w:proofErr w:type="spellStart"/>
      <w:r w:rsidRPr="00357C9F">
        <w:t>Obunezi</w:t>
      </w:r>
      <w:proofErr w:type="spellEnd"/>
      <w:r w:rsidRPr="00357C9F">
        <w:t xml:space="preserve">, O. C. (2025). Toxicological evaluation of Pb, Cd, As, and Hg in blue crab from oil-polluted creeks in the Niger Delta. </w:t>
      </w:r>
      <w:r w:rsidRPr="00357C9F">
        <w:rPr>
          <w:rStyle w:val="Emphasis"/>
          <w:rFonts w:eastAsiaTheme="majorEastAsia"/>
        </w:rPr>
        <w:t>Journal of Life Science and Public Health, 1</w:t>
      </w:r>
      <w:r w:rsidRPr="00357C9F">
        <w:t xml:space="preserve">(1), 24–31. </w:t>
      </w:r>
      <w:hyperlink r:id="rId18" w:tgtFrame="_new" w:history="1">
        <w:r w:rsidRPr="00357C9F">
          <w:rPr>
            <w:rStyle w:val="Hyperlink"/>
            <w:rFonts w:eastAsiaTheme="majorEastAsia"/>
          </w:rPr>
          <w:t>https://doi.org/10.69739/jlsph.v1i1.879</w:t>
        </w:r>
      </w:hyperlink>
    </w:p>
    <w:p w14:paraId="105D2928"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Chinyere, U. E., </w:t>
      </w:r>
      <w:proofErr w:type="spellStart"/>
      <w:r w:rsidRPr="00357C9F">
        <w:t>Nwokoye</w:t>
      </w:r>
      <w:proofErr w:type="spellEnd"/>
      <w:r w:rsidRPr="00357C9F">
        <w:t xml:space="preserve">, J. N., </w:t>
      </w:r>
      <w:proofErr w:type="spellStart"/>
      <w:r w:rsidRPr="00357C9F">
        <w:t>Ezekwuemen</w:t>
      </w:r>
      <w:proofErr w:type="spellEnd"/>
      <w:r w:rsidRPr="00357C9F">
        <w:t xml:space="preserve">, O. I., </w:t>
      </w:r>
      <w:proofErr w:type="spellStart"/>
      <w:r w:rsidRPr="00357C9F">
        <w:t>Alaekwe</w:t>
      </w:r>
      <w:proofErr w:type="spellEnd"/>
      <w:r w:rsidRPr="00357C9F">
        <w:t xml:space="preserve">, I. O., </w:t>
      </w:r>
      <w:proofErr w:type="spellStart"/>
      <w:r w:rsidRPr="00357C9F">
        <w:t>Odidika</w:t>
      </w:r>
      <w:proofErr w:type="spellEnd"/>
      <w:r w:rsidRPr="00357C9F">
        <w:t xml:space="preserve">, C. C., </w:t>
      </w:r>
      <w:proofErr w:type="spellStart"/>
      <w:r w:rsidRPr="00357C9F">
        <w:t>Owughara</w:t>
      </w:r>
      <w:proofErr w:type="spellEnd"/>
      <w:r w:rsidRPr="00357C9F">
        <w:t xml:space="preserve">, C. N., </w:t>
      </w:r>
      <w:proofErr w:type="spellStart"/>
      <w:r w:rsidRPr="00357C9F">
        <w:t>Enyi</w:t>
      </w:r>
      <w:proofErr w:type="spellEnd"/>
      <w:r w:rsidRPr="00357C9F">
        <w:t xml:space="preserve">, C. M., &amp; Kolawole, O. O. (2025). Environmental assessment of heavy metals and hydrocarbon pollution in surface waters of oil-bearing communities in </w:t>
      </w:r>
      <w:proofErr w:type="spellStart"/>
      <w:r w:rsidRPr="00357C9F">
        <w:t>Andoni</w:t>
      </w:r>
      <w:proofErr w:type="spellEnd"/>
      <w:r w:rsidRPr="00357C9F">
        <w:t xml:space="preserve">, Rivers State, Nigeria. </w:t>
      </w:r>
      <w:r w:rsidRPr="00357C9F">
        <w:rPr>
          <w:rStyle w:val="Emphasis"/>
          <w:rFonts w:eastAsiaTheme="majorEastAsia"/>
        </w:rPr>
        <w:t>International Journal of Modern Science and Research Technology, 3</w:t>
      </w:r>
      <w:r w:rsidRPr="00357C9F">
        <w:t>(8), 22–30.</w:t>
      </w:r>
    </w:p>
    <w:p w14:paraId="61009462"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Eboh-Ajoku</w:t>
      </w:r>
      <w:proofErr w:type="spellEnd"/>
      <w:r w:rsidRPr="00357C9F">
        <w:t xml:space="preserve">, I. O., </w:t>
      </w:r>
      <w:proofErr w:type="spellStart"/>
      <w:r w:rsidRPr="00357C9F">
        <w:t>Mmuta</w:t>
      </w:r>
      <w:proofErr w:type="spellEnd"/>
      <w:r w:rsidRPr="00357C9F">
        <w:t xml:space="preserve">, E. C., </w:t>
      </w:r>
      <w:proofErr w:type="spellStart"/>
      <w:r w:rsidRPr="00357C9F">
        <w:t>Ndubuisi</w:t>
      </w:r>
      <w:proofErr w:type="spellEnd"/>
      <w:r w:rsidRPr="00357C9F">
        <w:t xml:space="preserve">, J. O., </w:t>
      </w:r>
      <w:proofErr w:type="spellStart"/>
      <w:r w:rsidRPr="00357C9F">
        <w:t>Alaekwe</w:t>
      </w:r>
      <w:proofErr w:type="spellEnd"/>
      <w:r w:rsidRPr="00357C9F">
        <w:t xml:space="preserve">, I. O., </w:t>
      </w:r>
      <w:proofErr w:type="spellStart"/>
      <w:r w:rsidRPr="00357C9F">
        <w:t>Odibo</w:t>
      </w:r>
      <w:proofErr w:type="spellEnd"/>
      <w:r w:rsidRPr="00357C9F">
        <w:t xml:space="preserve">, U. E., </w:t>
      </w:r>
      <w:proofErr w:type="spellStart"/>
      <w:r w:rsidRPr="00357C9F">
        <w:t>Nwoka</w:t>
      </w:r>
      <w:proofErr w:type="spellEnd"/>
      <w:r w:rsidRPr="00357C9F">
        <w:t xml:space="preserve">, N. G., Okafor, C. A., &amp; </w:t>
      </w:r>
      <w:proofErr w:type="spellStart"/>
      <w:r w:rsidRPr="00357C9F">
        <w:t>Obunezi</w:t>
      </w:r>
      <w:proofErr w:type="spellEnd"/>
      <w:r w:rsidRPr="00357C9F">
        <w:t xml:space="preserve">, O. C. (2025). Integrated environmental risk assessment of BTEX and PAHs in water and sediment samples from the Bonny River, Nigeria. </w:t>
      </w:r>
      <w:r w:rsidRPr="00357C9F">
        <w:rPr>
          <w:rStyle w:val="Emphasis"/>
          <w:rFonts w:eastAsiaTheme="majorEastAsia"/>
        </w:rPr>
        <w:t>ISA Journal of Multidisciplinary (ISAJM), 2</w:t>
      </w:r>
      <w:r w:rsidRPr="00357C9F">
        <w:t>(4), 14–21.</w:t>
      </w:r>
    </w:p>
    <w:p w14:paraId="6E495DEC"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Ekwere</w:t>
      </w:r>
      <w:proofErr w:type="spellEnd"/>
      <w:r w:rsidRPr="00357C9F">
        <w:t xml:space="preserve">, I. O., </w:t>
      </w:r>
      <w:proofErr w:type="spellStart"/>
      <w:r w:rsidRPr="00357C9F">
        <w:t>Igwegbe</w:t>
      </w:r>
      <w:proofErr w:type="spellEnd"/>
      <w:r w:rsidRPr="00357C9F">
        <w:t xml:space="preserve">, K. C., </w:t>
      </w:r>
      <w:proofErr w:type="spellStart"/>
      <w:r w:rsidRPr="00357C9F">
        <w:t>Anarado</w:t>
      </w:r>
      <w:proofErr w:type="spellEnd"/>
      <w:r w:rsidRPr="00357C9F">
        <w:t xml:space="preserve">, C. J. O., Ogbonna, C., </w:t>
      </w:r>
      <w:proofErr w:type="spellStart"/>
      <w:r w:rsidRPr="00357C9F">
        <w:t>Ewuola</w:t>
      </w:r>
      <w:proofErr w:type="spellEnd"/>
      <w:r w:rsidRPr="00357C9F">
        <w:t xml:space="preserve">, A. A., </w:t>
      </w:r>
      <w:proofErr w:type="spellStart"/>
      <w:r w:rsidRPr="00357C9F">
        <w:t>Odibo</w:t>
      </w:r>
      <w:proofErr w:type="spellEnd"/>
      <w:r w:rsidRPr="00357C9F">
        <w:t xml:space="preserve">, U. E., &amp; </w:t>
      </w:r>
      <w:proofErr w:type="spellStart"/>
      <w:r w:rsidRPr="00357C9F">
        <w:t>Garuba</w:t>
      </w:r>
      <w:proofErr w:type="spellEnd"/>
      <w:r w:rsidRPr="00357C9F">
        <w:t xml:space="preserve">, M. H. (2025). Volatile organic compounds from gas flaring and their atmospheric implications in the Niger Delta. </w:t>
      </w:r>
      <w:r w:rsidRPr="00357C9F">
        <w:rPr>
          <w:rStyle w:val="Emphasis"/>
          <w:rFonts w:eastAsiaTheme="majorEastAsia"/>
        </w:rPr>
        <w:t>Journal of Life Science and Public Health, 1</w:t>
      </w:r>
      <w:r w:rsidRPr="00357C9F">
        <w:t xml:space="preserve">(1), 32–39. </w:t>
      </w:r>
      <w:hyperlink r:id="rId19" w:tgtFrame="_new" w:history="1">
        <w:r w:rsidRPr="00357C9F">
          <w:rPr>
            <w:rStyle w:val="Hyperlink"/>
            <w:rFonts w:eastAsiaTheme="majorEastAsia"/>
          </w:rPr>
          <w:t>https://doi.org/10.69739/jlsph.v1i1.962</w:t>
        </w:r>
      </w:hyperlink>
    </w:p>
    <w:p w14:paraId="0FA51D46"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Etesin</w:t>
      </w:r>
      <w:proofErr w:type="spellEnd"/>
      <w:r w:rsidRPr="00357C9F">
        <w:t xml:space="preserve">, M. U., </w:t>
      </w:r>
      <w:proofErr w:type="spellStart"/>
      <w:r w:rsidRPr="00357C9F">
        <w:t>Ekwere</w:t>
      </w:r>
      <w:proofErr w:type="spellEnd"/>
      <w:r w:rsidRPr="00357C9F">
        <w:t xml:space="preserve">, I. O., Martins, N. P., </w:t>
      </w:r>
      <w:proofErr w:type="spellStart"/>
      <w:r w:rsidRPr="00357C9F">
        <w:t>Okpanachi</w:t>
      </w:r>
      <w:proofErr w:type="spellEnd"/>
      <w:r w:rsidRPr="00357C9F">
        <w:t xml:space="preserve">, C. B., </w:t>
      </w:r>
      <w:proofErr w:type="spellStart"/>
      <w:r w:rsidRPr="00357C9F">
        <w:t>Adisa</w:t>
      </w:r>
      <w:proofErr w:type="spellEnd"/>
      <w:r w:rsidRPr="00357C9F">
        <w:t xml:space="preserve">, O. J., &amp; Okonkwo, C. C. (2025). Geochemical speciation and ecological risk of heavy metals in estuarine sediments of the Qua </w:t>
      </w:r>
      <w:proofErr w:type="spellStart"/>
      <w:r w:rsidRPr="00357C9F">
        <w:t>Iboe</w:t>
      </w:r>
      <w:proofErr w:type="spellEnd"/>
      <w:r w:rsidRPr="00357C9F">
        <w:t xml:space="preserve"> River, Nigeria. </w:t>
      </w:r>
      <w:r w:rsidRPr="00357C9F">
        <w:rPr>
          <w:rStyle w:val="Emphasis"/>
          <w:rFonts w:eastAsiaTheme="majorEastAsia"/>
        </w:rPr>
        <w:t>Asian Journal of Chemical Sciences, 15</w:t>
      </w:r>
      <w:r w:rsidRPr="00357C9F">
        <w:t xml:space="preserve">(6), 20–31. </w:t>
      </w:r>
      <w:hyperlink r:id="rId20" w:tgtFrame="_new" w:history="1">
        <w:r w:rsidRPr="00357C9F">
          <w:rPr>
            <w:rStyle w:val="Hyperlink"/>
            <w:rFonts w:eastAsiaTheme="majorEastAsia"/>
          </w:rPr>
          <w:t>https://doi.org/10.9734/ajocs/2025/v15i6402</w:t>
        </w:r>
      </w:hyperlink>
    </w:p>
    <w:p w14:paraId="4C60C7B1"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Ndubuisi</w:t>
      </w:r>
      <w:proofErr w:type="spellEnd"/>
      <w:r w:rsidRPr="00357C9F">
        <w:t xml:space="preserve">, J. O., </w:t>
      </w:r>
      <w:proofErr w:type="spellStart"/>
      <w:r w:rsidRPr="00357C9F">
        <w:t>Eboh-Ajoku</w:t>
      </w:r>
      <w:proofErr w:type="spellEnd"/>
      <w:r w:rsidRPr="00357C9F">
        <w:t xml:space="preserve">, I. O., </w:t>
      </w:r>
      <w:proofErr w:type="spellStart"/>
      <w:r w:rsidRPr="00357C9F">
        <w:t>Emem</w:t>
      </w:r>
      <w:proofErr w:type="spellEnd"/>
      <w:r w:rsidRPr="00357C9F">
        <w:t xml:space="preserve">, J. A., </w:t>
      </w:r>
      <w:proofErr w:type="spellStart"/>
      <w:r w:rsidRPr="00357C9F">
        <w:t>Ekwere</w:t>
      </w:r>
      <w:proofErr w:type="spellEnd"/>
      <w:r w:rsidRPr="00357C9F">
        <w:t xml:space="preserve">, I. O., </w:t>
      </w:r>
      <w:proofErr w:type="spellStart"/>
      <w:r w:rsidRPr="00357C9F">
        <w:t>Alaekwe</w:t>
      </w:r>
      <w:proofErr w:type="spellEnd"/>
      <w:r w:rsidRPr="00357C9F">
        <w:t xml:space="preserve">, I. O., </w:t>
      </w:r>
      <w:proofErr w:type="spellStart"/>
      <w:r w:rsidRPr="00357C9F">
        <w:t>Odibo</w:t>
      </w:r>
      <w:proofErr w:type="spellEnd"/>
      <w:r w:rsidRPr="00357C9F">
        <w:t xml:space="preserve">, U. E., </w:t>
      </w:r>
      <w:proofErr w:type="spellStart"/>
      <w:r w:rsidRPr="00357C9F">
        <w:t>Igwegbe</w:t>
      </w:r>
      <w:proofErr w:type="spellEnd"/>
      <w:r w:rsidRPr="00357C9F">
        <w:t xml:space="preserve">, K. C., </w:t>
      </w:r>
      <w:proofErr w:type="spellStart"/>
      <w:r w:rsidRPr="00357C9F">
        <w:t>Onoja</w:t>
      </w:r>
      <w:proofErr w:type="spellEnd"/>
      <w:r w:rsidRPr="00357C9F">
        <w:t xml:space="preserve">, C. R., Warder, A. B., &amp; </w:t>
      </w:r>
      <w:proofErr w:type="spellStart"/>
      <w:r w:rsidRPr="00357C9F">
        <w:t>InyangAbia</w:t>
      </w:r>
      <w:proofErr w:type="spellEnd"/>
      <w:r w:rsidRPr="00357C9F">
        <w:t xml:space="preserve">, A. J. (2025). Trematode infections and histopathological effects in </w:t>
      </w:r>
      <w:proofErr w:type="spellStart"/>
      <w:r w:rsidRPr="00357C9F">
        <w:rPr>
          <w:rStyle w:val="Emphasis"/>
          <w:rFonts w:eastAsiaTheme="majorEastAsia"/>
        </w:rPr>
        <w:t>Chrysichthys</w:t>
      </w:r>
      <w:proofErr w:type="spellEnd"/>
      <w:r w:rsidRPr="00357C9F">
        <w:rPr>
          <w:rStyle w:val="Emphasis"/>
          <w:rFonts w:eastAsiaTheme="majorEastAsia"/>
        </w:rPr>
        <w:t xml:space="preserve"> </w:t>
      </w:r>
      <w:proofErr w:type="spellStart"/>
      <w:r w:rsidRPr="00357C9F">
        <w:rPr>
          <w:rStyle w:val="Emphasis"/>
          <w:rFonts w:eastAsiaTheme="majorEastAsia"/>
        </w:rPr>
        <w:t>nigrodigitatus</w:t>
      </w:r>
      <w:proofErr w:type="spellEnd"/>
      <w:r w:rsidRPr="00357C9F">
        <w:t xml:space="preserve"> from the polluted </w:t>
      </w:r>
      <w:proofErr w:type="spellStart"/>
      <w:r w:rsidRPr="00357C9F">
        <w:t>Andoni</w:t>
      </w:r>
      <w:proofErr w:type="spellEnd"/>
      <w:r w:rsidRPr="00357C9F">
        <w:t xml:space="preserve"> River, Niger Delta, Nigeria. </w:t>
      </w:r>
      <w:r w:rsidRPr="00357C9F">
        <w:rPr>
          <w:rStyle w:val="Emphasis"/>
          <w:rFonts w:eastAsiaTheme="majorEastAsia"/>
        </w:rPr>
        <w:t>Journal of Agriculture, Aquaculture, and Animal Science, 2</w:t>
      </w:r>
      <w:r w:rsidRPr="00357C9F">
        <w:t xml:space="preserve">(2), 66–72. </w:t>
      </w:r>
      <w:hyperlink r:id="rId21" w:tgtFrame="_new" w:history="1">
        <w:r w:rsidRPr="00357C9F">
          <w:rPr>
            <w:rStyle w:val="Hyperlink"/>
            <w:rFonts w:eastAsiaTheme="majorEastAsia"/>
          </w:rPr>
          <w:t>https://doi.org/10.69739/jaaas.v2i2.882</w:t>
        </w:r>
      </w:hyperlink>
    </w:p>
    <w:p w14:paraId="37D9B328"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Ogbaji</w:t>
      </w:r>
      <w:proofErr w:type="spellEnd"/>
      <w:r w:rsidRPr="00357C9F">
        <w:t>, H. O., Hassan, D. H., Orji-</w:t>
      </w:r>
      <w:proofErr w:type="spellStart"/>
      <w:r w:rsidRPr="00357C9F">
        <w:t>Azuka</w:t>
      </w:r>
      <w:proofErr w:type="spellEnd"/>
      <w:r w:rsidRPr="00357C9F">
        <w:t xml:space="preserve">, L. N., Rasheed, H. O., </w:t>
      </w:r>
      <w:proofErr w:type="spellStart"/>
      <w:r w:rsidRPr="00357C9F">
        <w:t>Ohaturuonye</w:t>
      </w:r>
      <w:proofErr w:type="spellEnd"/>
      <w:r w:rsidRPr="00357C9F">
        <w:t xml:space="preserve">, S. O., </w:t>
      </w:r>
      <w:proofErr w:type="spellStart"/>
      <w:r w:rsidRPr="00357C9F">
        <w:t>Ejeka</w:t>
      </w:r>
      <w:proofErr w:type="spellEnd"/>
      <w:r w:rsidRPr="00357C9F">
        <w:t xml:space="preserve">, J. C., </w:t>
      </w:r>
      <w:proofErr w:type="spellStart"/>
      <w:r w:rsidRPr="00357C9F">
        <w:t>Okpanachi</w:t>
      </w:r>
      <w:proofErr w:type="spellEnd"/>
      <w:r w:rsidRPr="00357C9F">
        <w:t xml:space="preserve">, C. B., &amp; </w:t>
      </w:r>
      <w:proofErr w:type="spellStart"/>
      <w:r w:rsidRPr="00357C9F">
        <w:t>Ekwere</w:t>
      </w:r>
      <w:proofErr w:type="spellEnd"/>
      <w:r w:rsidRPr="00357C9F">
        <w:t xml:space="preserve">, I. O. (2025). </w:t>
      </w:r>
      <w:proofErr w:type="spellStart"/>
      <w:r w:rsidRPr="00357C9F">
        <w:t>Physico</w:t>
      </w:r>
      <w:proofErr w:type="spellEnd"/>
      <w:r w:rsidRPr="00357C9F">
        <w:t xml:space="preserve">-chemical transport of volatile organic compounds (VOCs) from gas flaring into surface waters of </w:t>
      </w:r>
      <w:proofErr w:type="spellStart"/>
      <w:r w:rsidRPr="00357C9F">
        <w:t>Ogoniland</w:t>
      </w:r>
      <w:proofErr w:type="spellEnd"/>
      <w:r w:rsidRPr="00357C9F">
        <w:t xml:space="preserve">, Rivers State, Nigeria. </w:t>
      </w:r>
      <w:r w:rsidRPr="00357C9F">
        <w:rPr>
          <w:rStyle w:val="Emphasis"/>
          <w:rFonts w:eastAsiaTheme="majorEastAsia"/>
        </w:rPr>
        <w:t>Asian Journal of Physical and Chemical Sciences, 13</w:t>
      </w:r>
      <w:r w:rsidRPr="00357C9F">
        <w:t xml:space="preserve">(4), 151–159. </w:t>
      </w:r>
      <w:hyperlink r:id="rId22" w:tgtFrame="_new" w:history="1">
        <w:r w:rsidRPr="00357C9F">
          <w:rPr>
            <w:rStyle w:val="Hyperlink"/>
            <w:rFonts w:eastAsiaTheme="majorEastAsia"/>
          </w:rPr>
          <w:t>https://doi.org/10.9734/ajopacs/2025/v13i4271</w:t>
        </w:r>
      </w:hyperlink>
    </w:p>
    <w:p w14:paraId="35BAE7EA"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Ogbaji</w:t>
      </w:r>
      <w:proofErr w:type="spellEnd"/>
      <w:r w:rsidRPr="00357C9F">
        <w:t>, H. O., Hassan, D. H., Orji-</w:t>
      </w:r>
      <w:proofErr w:type="spellStart"/>
      <w:r w:rsidRPr="00357C9F">
        <w:t>Azuka</w:t>
      </w:r>
      <w:proofErr w:type="spellEnd"/>
      <w:r w:rsidRPr="00357C9F">
        <w:t xml:space="preserve">, L. N., Rasheed, H. O., </w:t>
      </w:r>
      <w:proofErr w:type="spellStart"/>
      <w:r w:rsidRPr="00357C9F">
        <w:t>Ohaturuonye</w:t>
      </w:r>
      <w:proofErr w:type="spellEnd"/>
      <w:r w:rsidRPr="00357C9F">
        <w:t xml:space="preserve">, S. O., </w:t>
      </w:r>
      <w:proofErr w:type="spellStart"/>
      <w:r w:rsidRPr="00357C9F">
        <w:t>Ejeka</w:t>
      </w:r>
      <w:proofErr w:type="spellEnd"/>
      <w:r w:rsidRPr="00357C9F">
        <w:t xml:space="preserve">, J. C., </w:t>
      </w:r>
      <w:proofErr w:type="spellStart"/>
      <w:r w:rsidRPr="00357C9F">
        <w:t>Okpanachi</w:t>
      </w:r>
      <w:proofErr w:type="spellEnd"/>
      <w:r w:rsidRPr="00357C9F">
        <w:t xml:space="preserve">, C. B., &amp; </w:t>
      </w:r>
      <w:proofErr w:type="spellStart"/>
      <w:r w:rsidRPr="00357C9F">
        <w:t>Ekwere</w:t>
      </w:r>
      <w:proofErr w:type="spellEnd"/>
      <w:r w:rsidRPr="00357C9F">
        <w:t xml:space="preserve">, I. O. (2025). </w:t>
      </w:r>
      <w:proofErr w:type="spellStart"/>
      <w:r w:rsidRPr="00357C9F">
        <w:t>Physico</w:t>
      </w:r>
      <w:proofErr w:type="spellEnd"/>
      <w:r w:rsidRPr="00357C9F">
        <w:t xml:space="preserve">-chemical </w:t>
      </w:r>
      <w:r w:rsidRPr="00357C9F">
        <w:lastRenderedPageBreak/>
        <w:t xml:space="preserve">transport of volatile organic compounds (VOCs) from gas flaring into surface waters of </w:t>
      </w:r>
      <w:proofErr w:type="spellStart"/>
      <w:r w:rsidRPr="00357C9F">
        <w:t>Ogoniland</w:t>
      </w:r>
      <w:proofErr w:type="spellEnd"/>
      <w:r w:rsidRPr="00357C9F">
        <w:t xml:space="preserve">, Rivers State, Nigeria. </w:t>
      </w:r>
      <w:r w:rsidRPr="00357C9F">
        <w:rPr>
          <w:rStyle w:val="Emphasis"/>
        </w:rPr>
        <w:t>Asian Journal of Physical and Chemical Sciences, 13</w:t>
      </w:r>
      <w:r w:rsidRPr="00357C9F">
        <w:t xml:space="preserve">(4), 151–159. </w:t>
      </w:r>
      <w:hyperlink r:id="rId23" w:tgtFrame="_new" w:history="1">
        <w:r w:rsidRPr="00357C9F">
          <w:rPr>
            <w:rStyle w:val="Hyperlink"/>
            <w:rFonts w:eastAsiaTheme="majorEastAsia"/>
          </w:rPr>
          <w:t>https://doi.org/10.9734/ajopacs/2025/v13i4271</w:t>
        </w:r>
      </w:hyperlink>
    </w:p>
    <w:p w14:paraId="5E5FC270" w14:textId="77777777" w:rsidR="00357C9F" w:rsidRPr="00357C9F" w:rsidRDefault="00357C9F" w:rsidP="00357C9F">
      <w:pPr>
        <w:pStyle w:val="NormalWeb"/>
        <w:ind w:left="720" w:hanging="720"/>
        <w:jc w:val="both"/>
      </w:pPr>
      <w:proofErr w:type="spellStart"/>
      <w:r w:rsidRPr="00357C9F">
        <w:t>Okpoji</w:t>
      </w:r>
      <w:proofErr w:type="spellEnd"/>
      <w:r w:rsidRPr="00357C9F">
        <w:t xml:space="preserve">, A. U., </w:t>
      </w:r>
      <w:proofErr w:type="spellStart"/>
      <w:r w:rsidRPr="00357C9F">
        <w:t>Ugwanyi</w:t>
      </w:r>
      <w:proofErr w:type="spellEnd"/>
      <w:r w:rsidRPr="00357C9F">
        <w:t xml:space="preserve">, G. C., </w:t>
      </w:r>
      <w:proofErr w:type="spellStart"/>
      <w:r w:rsidRPr="00357C9F">
        <w:t>Etesin</w:t>
      </w:r>
      <w:proofErr w:type="spellEnd"/>
      <w:r w:rsidRPr="00357C9F">
        <w:t xml:space="preserve">, U. M., </w:t>
      </w:r>
      <w:proofErr w:type="spellStart"/>
      <w:r w:rsidRPr="00357C9F">
        <w:t>Ugwuanyi</w:t>
      </w:r>
      <w:proofErr w:type="spellEnd"/>
      <w:r w:rsidRPr="00357C9F">
        <w:t xml:space="preserve">, G. C., </w:t>
      </w:r>
      <w:proofErr w:type="spellStart"/>
      <w:r w:rsidRPr="00357C9F">
        <w:t>Okpanachi</w:t>
      </w:r>
      <w:proofErr w:type="spellEnd"/>
      <w:r w:rsidRPr="00357C9F">
        <w:t xml:space="preserve">, C. B., </w:t>
      </w:r>
      <w:proofErr w:type="spellStart"/>
      <w:r w:rsidRPr="00357C9F">
        <w:t>Ewuola</w:t>
      </w:r>
      <w:proofErr w:type="spellEnd"/>
      <w:r w:rsidRPr="00357C9F">
        <w:t xml:space="preserve">, A. A., </w:t>
      </w:r>
      <w:proofErr w:type="spellStart"/>
      <w:r w:rsidRPr="00357C9F">
        <w:t>Mojisola</w:t>
      </w:r>
      <w:proofErr w:type="spellEnd"/>
      <w:r w:rsidRPr="00357C9F">
        <w:t xml:space="preserve">, K. M., &amp; </w:t>
      </w:r>
      <w:proofErr w:type="spellStart"/>
      <w:r w:rsidRPr="00357C9F">
        <w:t>Ezekwueme</w:t>
      </w:r>
      <w:proofErr w:type="spellEnd"/>
      <w:r w:rsidRPr="00357C9F">
        <w:t xml:space="preserve">, O. I. (2025). Solar-enhanced photocatalytic degradation of pharmaceutical residues in wastewater using Fe-, Cu-, and Zn-doped </w:t>
      </w:r>
      <w:proofErr w:type="spellStart"/>
      <w:r w:rsidRPr="00357C9F">
        <w:t>TiO</w:t>
      </w:r>
      <w:proofErr w:type="spellEnd"/>
      <w:r w:rsidRPr="00357C9F">
        <w:t xml:space="preserve">₂ nanomaterials. </w:t>
      </w:r>
      <w:r w:rsidRPr="00357C9F">
        <w:rPr>
          <w:rStyle w:val="Emphasis"/>
          <w:rFonts w:eastAsiaTheme="majorEastAsia"/>
        </w:rPr>
        <w:t>Journal of Environment, Climate, and Ecology, 2</w:t>
      </w:r>
      <w:r w:rsidRPr="00357C9F">
        <w:t xml:space="preserve">(2), 56–62. </w:t>
      </w:r>
      <w:hyperlink r:id="rId24" w:tgtFrame="_new" w:history="1">
        <w:r w:rsidRPr="00357C9F">
          <w:rPr>
            <w:rStyle w:val="Hyperlink"/>
            <w:rFonts w:eastAsiaTheme="majorEastAsia"/>
          </w:rPr>
          <w:t>https://doi.org/10.69739/jece.v2i2.961</w:t>
        </w:r>
      </w:hyperlink>
    </w:p>
    <w:p w14:paraId="1AB33900" w14:textId="77777777" w:rsidR="00357C9F" w:rsidRPr="00357C9F" w:rsidRDefault="00357C9F" w:rsidP="00357C9F">
      <w:pPr>
        <w:pStyle w:val="NormalWeb"/>
        <w:ind w:left="720" w:hanging="720"/>
        <w:jc w:val="both"/>
      </w:pPr>
      <w:proofErr w:type="spellStart"/>
      <w:r w:rsidRPr="00357C9F">
        <w:t>Onoja</w:t>
      </w:r>
      <w:proofErr w:type="spellEnd"/>
      <w:r w:rsidRPr="00357C9F">
        <w:t xml:space="preserve">, C. R., </w:t>
      </w:r>
      <w:proofErr w:type="spellStart"/>
      <w:r w:rsidRPr="00357C9F">
        <w:t>Ogbaji</w:t>
      </w:r>
      <w:proofErr w:type="spellEnd"/>
      <w:r w:rsidRPr="00357C9F">
        <w:t xml:space="preserve">, H. O., </w:t>
      </w:r>
      <w:proofErr w:type="spellStart"/>
      <w:r w:rsidRPr="00357C9F">
        <w:t>Edodi</w:t>
      </w:r>
      <w:proofErr w:type="spellEnd"/>
      <w:r w:rsidRPr="00357C9F">
        <w:t xml:space="preserve">, I. O., </w:t>
      </w:r>
      <w:proofErr w:type="spellStart"/>
      <w:r w:rsidRPr="00357C9F">
        <w:t>Mmuta</w:t>
      </w:r>
      <w:proofErr w:type="spellEnd"/>
      <w:r w:rsidRPr="00357C9F">
        <w:t xml:space="preserve">, E. C., </w:t>
      </w:r>
      <w:proofErr w:type="spellStart"/>
      <w:r w:rsidRPr="00357C9F">
        <w:t>Igwegbe</w:t>
      </w:r>
      <w:proofErr w:type="spellEnd"/>
      <w:r w:rsidRPr="00357C9F">
        <w:t xml:space="preserve">, K. C., </w:t>
      </w:r>
      <w:proofErr w:type="spellStart"/>
      <w:r w:rsidRPr="00357C9F">
        <w:t>Ogini</w:t>
      </w:r>
      <w:proofErr w:type="spellEnd"/>
      <w:r w:rsidRPr="00357C9F">
        <w:t xml:space="preserve">, O. R., </w:t>
      </w:r>
      <w:proofErr w:type="spellStart"/>
      <w:r w:rsidRPr="00357C9F">
        <w:t>Odibo</w:t>
      </w:r>
      <w:proofErr w:type="spellEnd"/>
      <w:r w:rsidRPr="00357C9F">
        <w:t xml:space="preserve">, U. E., </w:t>
      </w:r>
      <w:proofErr w:type="spellStart"/>
      <w:r w:rsidRPr="00357C9F">
        <w:t>Ewuola</w:t>
      </w:r>
      <w:proofErr w:type="spellEnd"/>
      <w:r w:rsidRPr="00357C9F">
        <w:t xml:space="preserve">, A. A., Mahmoud, A. B., &amp; </w:t>
      </w:r>
      <w:proofErr w:type="spellStart"/>
      <w:r w:rsidRPr="00357C9F">
        <w:t>Okpoji</w:t>
      </w:r>
      <w:proofErr w:type="spellEnd"/>
      <w:r w:rsidRPr="00357C9F">
        <w:t>, A. U. (2025). Heavy metal contamination and health risk assessment of smoked-dried fish sold in Eke-</w:t>
      </w:r>
      <w:proofErr w:type="spellStart"/>
      <w:r w:rsidRPr="00357C9F">
        <w:t>Awka</w:t>
      </w:r>
      <w:proofErr w:type="spellEnd"/>
      <w:r w:rsidRPr="00357C9F">
        <w:t xml:space="preserve"> market, Anambra State, Nigeria. </w:t>
      </w:r>
      <w:r w:rsidRPr="00357C9F">
        <w:rPr>
          <w:rStyle w:val="Emphasis"/>
          <w:rFonts w:eastAsiaTheme="majorEastAsia"/>
        </w:rPr>
        <w:t>Journal of Sustainable Research and Development, 1</w:t>
      </w:r>
      <w:r w:rsidRPr="00357C9F">
        <w:t xml:space="preserve">(2), 18–25. </w:t>
      </w:r>
      <w:hyperlink r:id="rId25" w:tgtFrame="_new" w:history="1">
        <w:r w:rsidRPr="00357C9F">
          <w:rPr>
            <w:rStyle w:val="Hyperlink"/>
            <w:rFonts w:eastAsiaTheme="majorEastAsia"/>
          </w:rPr>
          <w:t>https://doi.org/10.69739/jsrd.v1i2.1044</w:t>
        </w:r>
      </w:hyperlink>
    </w:p>
    <w:p w14:paraId="689E8792" w14:textId="77777777" w:rsidR="00357C9F" w:rsidRPr="00357C9F" w:rsidRDefault="00357C9F" w:rsidP="00357C9F">
      <w:pPr>
        <w:pStyle w:val="NormalWeb"/>
        <w:ind w:left="720" w:hanging="720"/>
        <w:jc w:val="both"/>
      </w:pPr>
      <w:r w:rsidRPr="00357C9F">
        <w:t xml:space="preserve">Stewart, P., </w:t>
      </w:r>
      <w:proofErr w:type="spellStart"/>
      <w:r w:rsidRPr="00357C9F">
        <w:t>Reihman</w:t>
      </w:r>
      <w:proofErr w:type="spellEnd"/>
      <w:r w:rsidRPr="00357C9F">
        <w:t xml:space="preserve">, J., </w:t>
      </w:r>
      <w:proofErr w:type="spellStart"/>
      <w:r w:rsidRPr="00357C9F">
        <w:t>Lonky</w:t>
      </w:r>
      <w:proofErr w:type="spellEnd"/>
      <w:r w:rsidRPr="00357C9F">
        <w:t xml:space="preserve">, E., </w:t>
      </w:r>
      <w:proofErr w:type="spellStart"/>
      <w:r w:rsidRPr="00357C9F">
        <w:t>Darvill</w:t>
      </w:r>
      <w:proofErr w:type="spellEnd"/>
      <w:r w:rsidRPr="00357C9F">
        <w:t xml:space="preserve">, T., &amp; Pagano, J. (2000). Prenatal PCB exposure and neonatal behavioural assessment scale (NBAS) performance. </w:t>
      </w:r>
      <w:r w:rsidRPr="00357C9F">
        <w:rPr>
          <w:rStyle w:val="Emphasis"/>
          <w:rFonts w:eastAsiaTheme="majorEastAsia"/>
        </w:rPr>
        <w:t>Neurotoxicology and Teratology</w:t>
      </w:r>
      <w:r w:rsidRPr="00357C9F">
        <w:t>, 22(1), 21–29. https://doi.org/10.1016/S0892-0362(99)00056-2</w:t>
      </w:r>
    </w:p>
    <w:p w14:paraId="24C3CC53" w14:textId="77777777" w:rsidR="00357C9F" w:rsidRPr="00357C9F" w:rsidRDefault="00357C9F" w:rsidP="00357C9F">
      <w:pPr>
        <w:pStyle w:val="NormalWeb"/>
        <w:ind w:left="720" w:hanging="720"/>
        <w:jc w:val="both"/>
      </w:pPr>
      <w:proofErr w:type="spellStart"/>
      <w:r w:rsidRPr="00357C9F">
        <w:t>Umueni</w:t>
      </w:r>
      <w:proofErr w:type="spellEnd"/>
      <w:r w:rsidRPr="00357C9F">
        <w:t xml:space="preserve">, U. E., </w:t>
      </w:r>
      <w:proofErr w:type="spellStart"/>
      <w:r w:rsidRPr="00357C9F">
        <w:t>Etukudo</w:t>
      </w:r>
      <w:proofErr w:type="spellEnd"/>
      <w:r w:rsidRPr="00357C9F">
        <w:t xml:space="preserve">, N. J., Okoye, P. I., </w:t>
      </w:r>
      <w:proofErr w:type="spellStart"/>
      <w:r w:rsidRPr="00357C9F">
        <w:t>Okpoji</w:t>
      </w:r>
      <w:proofErr w:type="spellEnd"/>
      <w:r w:rsidRPr="00357C9F">
        <w:t xml:space="preserve">, A. U., </w:t>
      </w:r>
      <w:proofErr w:type="spellStart"/>
      <w:r w:rsidRPr="00357C9F">
        <w:t>Eze</w:t>
      </w:r>
      <w:proofErr w:type="spellEnd"/>
      <w:r w:rsidRPr="00357C9F">
        <w:t xml:space="preserve">, V. C., </w:t>
      </w:r>
      <w:proofErr w:type="spellStart"/>
      <w:r w:rsidRPr="00357C9F">
        <w:t>Aningo</w:t>
      </w:r>
      <w:proofErr w:type="spellEnd"/>
      <w:r w:rsidRPr="00357C9F">
        <w:t xml:space="preserve">, G. N., </w:t>
      </w:r>
      <w:proofErr w:type="spellStart"/>
      <w:r w:rsidRPr="00357C9F">
        <w:t>Ekwere</w:t>
      </w:r>
      <w:proofErr w:type="spellEnd"/>
      <w:r w:rsidRPr="00357C9F">
        <w:t xml:space="preserve">, I. O., &amp; </w:t>
      </w:r>
      <w:proofErr w:type="spellStart"/>
      <w:r w:rsidRPr="00357C9F">
        <w:t>Garuba</w:t>
      </w:r>
      <w:proofErr w:type="spellEnd"/>
      <w:r w:rsidRPr="00357C9F">
        <w:t xml:space="preserve">, M. H. (2025). Geochemical and ecological risk assessment of petroleum hydrocarbons in sediments of the </w:t>
      </w:r>
      <w:proofErr w:type="spellStart"/>
      <w:r w:rsidRPr="00357C9F">
        <w:t>Forcados</w:t>
      </w:r>
      <w:proofErr w:type="spellEnd"/>
      <w:r w:rsidRPr="00357C9F">
        <w:t xml:space="preserve"> River, Delta State. </w:t>
      </w:r>
      <w:r w:rsidRPr="00357C9F">
        <w:rPr>
          <w:rStyle w:val="Emphasis"/>
          <w:rFonts w:eastAsiaTheme="majorEastAsia"/>
        </w:rPr>
        <w:t>Asian Journal of Geographical Research, 8</w:t>
      </w:r>
      <w:r w:rsidRPr="00357C9F">
        <w:t xml:space="preserve">(4), 287–298. </w:t>
      </w:r>
      <w:hyperlink r:id="rId26" w:tgtFrame="_new" w:history="1">
        <w:r w:rsidRPr="00357C9F">
          <w:rPr>
            <w:rStyle w:val="Hyperlink"/>
            <w:rFonts w:eastAsiaTheme="majorEastAsia"/>
          </w:rPr>
          <w:t>https://doi.org/10.9734/ajgr/2025/v8i4337</w:t>
        </w:r>
      </w:hyperlink>
    </w:p>
    <w:p w14:paraId="06824F4B" w14:textId="77777777" w:rsidR="00357C9F" w:rsidRPr="00357C9F" w:rsidRDefault="00357C9F" w:rsidP="00357C9F">
      <w:pPr>
        <w:pStyle w:val="NormalWeb"/>
        <w:ind w:left="720" w:hanging="720"/>
        <w:jc w:val="both"/>
      </w:pPr>
      <w:proofErr w:type="spellStart"/>
      <w:r w:rsidRPr="00357C9F">
        <w:t>Umueni</w:t>
      </w:r>
      <w:proofErr w:type="spellEnd"/>
      <w:r w:rsidRPr="00357C9F">
        <w:t xml:space="preserve">, U. E., Rasheed, H. O., </w:t>
      </w:r>
      <w:proofErr w:type="spellStart"/>
      <w:r w:rsidRPr="00357C9F">
        <w:t>Edodi</w:t>
      </w:r>
      <w:proofErr w:type="spellEnd"/>
      <w:r w:rsidRPr="00357C9F">
        <w:t xml:space="preserve">, I. O., </w:t>
      </w:r>
      <w:proofErr w:type="spellStart"/>
      <w:r w:rsidRPr="00357C9F">
        <w:t>Aningo</w:t>
      </w:r>
      <w:proofErr w:type="spellEnd"/>
      <w:r w:rsidRPr="00357C9F">
        <w:t xml:space="preserve">, G. N., </w:t>
      </w:r>
      <w:proofErr w:type="spellStart"/>
      <w:r w:rsidRPr="00357C9F">
        <w:t>Okpoji</w:t>
      </w:r>
      <w:proofErr w:type="spellEnd"/>
      <w:r w:rsidRPr="00357C9F">
        <w:t xml:space="preserve">, A. U., </w:t>
      </w:r>
      <w:proofErr w:type="spellStart"/>
      <w:r w:rsidRPr="00357C9F">
        <w:t>Etesin</w:t>
      </w:r>
      <w:proofErr w:type="spellEnd"/>
      <w:r w:rsidRPr="00357C9F">
        <w:t xml:space="preserve">, M. U., Okonkwo, C. C., </w:t>
      </w:r>
      <w:proofErr w:type="spellStart"/>
      <w:r w:rsidRPr="00357C9F">
        <w:t>Ekwere</w:t>
      </w:r>
      <w:proofErr w:type="spellEnd"/>
      <w:r w:rsidRPr="00357C9F">
        <w:t xml:space="preserve">, I. O., Okeke, C. F., &amp; </w:t>
      </w:r>
      <w:proofErr w:type="spellStart"/>
      <w:r w:rsidRPr="00357C9F">
        <w:t>Anarah</w:t>
      </w:r>
      <w:proofErr w:type="spellEnd"/>
      <w:r w:rsidRPr="00357C9F">
        <w:t xml:space="preserve">, S. E. (2025). Nutrient enrichment and eutrophication potential of agricultural runoff in </w:t>
      </w:r>
      <w:proofErr w:type="spellStart"/>
      <w:r w:rsidRPr="00357C9F">
        <w:t>Otuoke</w:t>
      </w:r>
      <w:proofErr w:type="spellEnd"/>
      <w:r w:rsidRPr="00357C9F">
        <w:t xml:space="preserve">, Bayelsa State, Nigeria. </w:t>
      </w:r>
      <w:r w:rsidRPr="00357C9F">
        <w:rPr>
          <w:rStyle w:val="Emphasis"/>
        </w:rPr>
        <w:t>Asian Journal of Agricultural and Horticultural Research, 12</w:t>
      </w:r>
      <w:r w:rsidRPr="00357C9F">
        <w:t xml:space="preserve">(4), 154–163. </w:t>
      </w:r>
      <w:hyperlink r:id="rId27" w:tgtFrame="_new" w:history="1">
        <w:r w:rsidRPr="00357C9F">
          <w:rPr>
            <w:rStyle w:val="Hyperlink"/>
            <w:rFonts w:eastAsiaTheme="majorEastAsia"/>
          </w:rPr>
          <w:t>https://doi.org/10.9734/ajahr/2025/v12i4424</w:t>
        </w:r>
      </w:hyperlink>
    </w:p>
    <w:p w14:paraId="50289A21" w14:textId="77777777" w:rsidR="00357C9F" w:rsidRPr="00357C9F" w:rsidRDefault="00357C9F" w:rsidP="00357C9F">
      <w:pPr>
        <w:pStyle w:val="NormalWeb"/>
        <w:ind w:left="720" w:hanging="720"/>
        <w:jc w:val="both"/>
        <w:rPr>
          <w:rStyle w:val="Hyperlink"/>
          <w:rFonts w:eastAsiaTheme="majorEastAsia"/>
        </w:rPr>
      </w:pPr>
      <w:proofErr w:type="spellStart"/>
      <w:r w:rsidRPr="00357C9F">
        <w:t>Wania</w:t>
      </w:r>
      <w:proofErr w:type="spellEnd"/>
      <w:r w:rsidRPr="00357C9F">
        <w:t xml:space="preserve">, F., </w:t>
      </w:r>
      <w:proofErr w:type="spellStart"/>
      <w:r w:rsidRPr="00357C9F">
        <w:t>Bereik</w:t>
      </w:r>
      <w:proofErr w:type="spellEnd"/>
      <w:r w:rsidRPr="00357C9F">
        <w:t xml:space="preserve">, K., Persson, N. J., &amp; McLachlan, M. S. (2006). A fugacity-based dynamic multi-compartmental mass balance model of the fate of persistent organic pollutants. </w:t>
      </w:r>
      <w:r w:rsidRPr="00357C9F">
        <w:rPr>
          <w:rStyle w:val="Emphasis"/>
          <w:rFonts w:eastAsiaTheme="majorEastAsia"/>
        </w:rPr>
        <w:t>Environmental Modelling &amp; Software</w:t>
      </w:r>
      <w:r w:rsidRPr="00357C9F">
        <w:t xml:space="preserve">, 21, 868. </w:t>
      </w:r>
      <w:hyperlink r:id="rId28" w:tgtFrame="_new" w:history="1">
        <w:r w:rsidRPr="00357C9F">
          <w:rPr>
            <w:rStyle w:val="Hyperlink"/>
            <w:rFonts w:eastAsiaTheme="majorEastAsia"/>
          </w:rPr>
          <w:t>https://www.et-fine.com/10.1016/j.envsoft.2005.04.003</w:t>
        </w:r>
      </w:hyperlink>
    </w:p>
    <w:p w14:paraId="40ADD26F" w14:textId="5FBAA1E5" w:rsidR="00357C9F" w:rsidRPr="00357C9F" w:rsidRDefault="00357C9F" w:rsidP="00357C9F">
      <w:pPr>
        <w:pStyle w:val="NormalWeb"/>
        <w:ind w:left="720" w:hanging="720"/>
        <w:jc w:val="both"/>
      </w:pPr>
      <w:r w:rsidRPr="00357C9F">
        <w:t xml:space="preserve">WHO (World Health Organisation (2022). </w:t>
      </w:r>
      <w:r w:rsidRPr="00357C9F">
        <w:rPr>
          <w:rStyle w:val="Emphasis"/>
        </w:rPr>
        <w:t>Guidelines for Drinking-Water Quality</w:t>
      </w:r>
      <w:r w:rsidRPr="00357C9F">
        <w:t xml:space="preserve"> (4th ed., incorporating the 1st and 2nd addenda). Geneva: WHO Press.</w:t>
      </w:r>
      <w:r w:rsidR="005E18CB">
        <w:t xml:space="preserve"> </w:t>
      </w:r>
      <w:hyperlink r:id="rId29" w:history="1">
        <w:r w:rsidR="005E18CB" w:rsidRPr="00D26B5D">
          <w:rPr>
            <w:rStyle w:val="Hyperlink"/>
          </w:rPr>
          <w:t>https://www.who.int/publications/i/item/9789240045064</w:t>
        </w:r>
      </w:hyperlink>
      <w:r w:rsidR="005E18CB">
        <w:t xml:space="preserve"> </w:t>
      </w:r>
      <w:bookmarkStart w:id="1" w:name="_GoBack"/>
      <w:bookmarkEnd w:id="1"/>
    </w:p>
    <w:bookmarkEnd w:id="0"/>
    <w:p w14:paraId="167CA12C" w14:textId="77777777" w:rsidR="00357C9F" w:rsidRPr="00357C9F" w:rsidRDefault="00357C9F" w:rsidP="00357C9F">
      <w:pPr>
        <w:rPr>
          <w:rFonts w:ascii="Times New Roman" w:hAnsi="Times New Roman" w:cs="Times New Roman"/>
          <w:sz w:val="24"/>
          <w:szCs w:val="24"/>
        </w:rPr>
      </w:pPr>
    </w:p>
    <w:p w14:paraId="29938107" w14:textId="77777777" w:rsidR="00357C9F" w:rsidRPr="00357C9F" w:rsidRDefault="00357C9F" w:rsidP="00357C9F">
      <w:pPr>
        <w:pStyle w:val="NormalWeb"/>
        <w:ind w:left="720" w:hanging="720"/>
        <w:jc w:val="both"/>
      </w:pPr>
    </w:p>
    <w:p w14:paraId="444AEF1B" w14:textId="77777777" w:rsidR="00357C9F" w:rsidRPr="00357C9F" w:rsidRDefault="00357C9F" w:rsidP="00357C9F">
      <w:pPr>
        <w:jc w:val="both"/>
        <w:rPr>
          <w:rFonts w:ascii="Times New Roman" w:hAnsi="Times New Roman" w:cs="Times New Roman"/>
          <w:sz w:val="24"/>
          <w:szCs w:val="24"/>
        </w:rPr>
      </w:pPr>
    </w:p>
    <w:p w14:paraId="09C3BDD2" w14:textId="77777777" w:rsidR="00357C9F" w:rsidRPr="00357C9F" w:rsidRDefault="00357C9F" w:rsidP="00357C9F">
      <w:pPr>
        <w:jc w:val="both"/>
        <w:rPr>
          <w:rFonts w:ascii="Times New Roman" w:hAnsi="Times New Roman" w:cs="Times New Roman"/>
          <w:sz w:val="24"/>
          <w:szCs w:val="24"/>
        </w:rPr>
      </w:pPr>
    </w:p>
    <w:p w14:paraId="3555E10E" w14:textId="77777777" w:rsidR="00357C9F" w:rsidRPr="00357C9F" w:rsidRDefault="00357C9F" w:rsidP="00357C9F">
      <w:pPr>
        <w:jc w:val="both"/>
        <w:rPr>
          <w:rFonts w:ascii="Times New Roman" w:hAnsi="Times New Roman" w:cs="Times New Roman"/>
          <w:sz w:val="24"/>
          <w:szCs w:val="24"/>
        </w:rPr>
      </w:pPr>
    </w:p>
    <w:p w14:paraId="3AA79FAB" w14:textId="77777777" w:rsidR="00357C9F" w:rsidRPr="00357C9F" w:rsidRDefault="00357C9F" w:rsidP="00357C9F">
      <w:pPr>
        <w:jc w:val="both"/>
        <w:rPr>
          <w:rFonts w:ascii="Times New Roman" w:hAnsi="Times New Roman" w:cs="Times New Roman"/>
          <w:sz w:val="24"/>
          <w:szCs w:val="24"/>
        </w:rPr>
      </w:pPr>
    </w:p>
    <w:p w14:paraId="75C864F8" w14:textId="77777777" w:rsidR="00414C42" w:rsidRPr="00357C9F" w:rsidRDefault="00414C42" w:rsidP="00357C9F">
      <w:pPr>
        <w:rPr>
          <w:rFonts w:ascii="Times New Roman" w:hAnsi="Times New Roman" w:cs="Times New Roman"/>
          <w:sz w:val="24"/>
          <w:szCs w:val="24"/>
        </w:rPr>
      </w:pPr>
    </w:p>
    <w:sectPr w:rsidR="00414C42" w:rsidRPr="00357C9F">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C4602" w14:textId="77777777" w:rsidR="004952AA" w:rsidRDefault="004952AA" w:rsidP="00CF6D35">
      <w:pPr>
        <w:spacing w:after="0" w:line="240" w:lineRule="auto"/>
      </w:pPr>
      <w:r>
        <w:separator/>
      </w:r>
    </w:p>
  </w:endnote>
  <w:endnote w:type="continuationSeparator" w:id="0">
    <w:p w14:paraId="0280C8A6" w14:textId="77777777" w:rsidR="004952AA" w:rsidRDefault="004952AA" w:rsidP="00CF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6AE8E" w14:textId="77777777" w:rsidR="00CF6D35" w:rsidRDefault="00CF6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1534" w14:textId="77777777" w:rsidR="00CF6D35" w:rsidRDefault="00CF6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9108F" w14:textId="77777777" w:rsidR="00CF6D35" w:rsidRDefault="00CF6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C6180" w14:textId="77777777" w:rsidR="004952AA" w:rsidRDefault="004952AA" w:rsidP="00CF6D35">
      <w:pPr>
        <w:spacing w:after="0" w:line="240" w:lineRule="auto"/>
      </w:pPr>
      <w:r>
        <w:separator/>
      </w:r>
    </w:p>
  </w:footnote>
  <w:footnote w:type="continuationSeparator" w:id="0">
    <w:p w14:paraId="7DFB4294" w14:textId="77777777" w:rsidR="004952AA" w:rsidRDefault="004952AA" w:rsidP="00CF6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A7E45" w14:textId="47928FD4" w:rsidR="00CF6D35" w:rsidRDefault="004952AA">
    <w:pPr>
      <w:pStyle w:val="Header"/>
    </w:pPr>
    <w:r>
      <w:rPr>
        <w:noProof/>
      </w:rPr>
      <w:pict w14:anchorId="32E64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71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7C97B" w14:textId="4A75064A" w:rsidR="00CF6D35" w:rsidRDefault="004952AA">
    <w:pPr>
      <w:pStyle w:val="Header"/>
    </w:pPr>
    <w:r>
      <w:rPr>
        <w:noProof/>
      </w:rPr>
      <w:pict w14:anchorId="339DD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71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9D28" w14:textId="4014F2AB" w:rsidR="00CF6D35" w:rsidRDefault="004952AA">
    <w:pPr>
      <w:pStyle w:val="Header"/>
    </w:pPr>
    <w:r>
      <w:rPr>
        <w:noProof/>
      </w:rPr>
      <w:pict w14:anchorId="14313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271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C42"/>
    <w:rsid w:val="001622BE"/>
    <w:rsid w:val="001D1AFE"/>
    <w:rsid w:val="00280435"/>
    <w:rsid w:val="00357C9F"/>
    <w:rsid w:val="003C30FA"/>
    <w:rsid w:val="00414C42"/>
    <w:rsid w:val="004952AA"/>
    <w:rsid w:val="00560294"/>
    <w:rsid w:val="005E18CB"/>
    <w:rsid w:val="00623D6A"/>
    <w:rsid w:val="00657426"/>
    <w:rsid w:val="00676B85"/>
    <w:rsid w:val="00795D1D"/>
    <w:rsid w:val="008025EA"/>
    <w:rsid w:val="00875F11"/>
    <w:rsid w:val="008A118C"/>
    <w:rsid w:val="00935832"/>
    <w:rsid w:val="009F10E9"/>
    <w:rsid w:val="00A5068D"/>
    <w:rsid w:val="00B174E3"/>
    <w:rsid w:val="00B94E69"/>
    <w:rsid w:val="00BF2C2F"/>
    <w:rsid w:val="00CF2CE2"/>
    <w:rsid w:val="00CF6D35"/>
    <w:rsid w:val="00D20814"/>
    <w:rsid w:val="00DE0D6C"/>
    <w:rsid w:val="00E26A41"/>
    <w:rsid w:val="00EB29B5"/>
    <w:rsid w:val="00F27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329778"/>
  <w15:chartTrackingRefBased/>
  <w15:docId w15:val="{F760FF59-D5D9-4B91-8895-9B4B6EC9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C9F"/>
  </w:style>
  <w:style w:type="paragraph" w:styleId="Heading1">
    <w:name w:val="heading 1"/>
    <w:basedOn w:val="Normal"/>
    <w:link w:val="Heading1Char"/>
    <w:uiPriority w:val="9"/>
    <w:qFormat/>
    <w:rsid w:val="00414C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14C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4C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14C42"/>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414C42"/>
    <w:rPr>
      <w:b/>
      <w:bCs/>
    </w:rPr>
  </w:style>
  <w:style w:type="paragraph" w:styleId="NormalWeb">
    <w:name w:val="Normal (Web)"/>
    <w:basedOn w:val="Normal"/>
    <w:uiPriority w:val="99"/>
    <w:unhideWhenUsed/>
    <w:qFormat/>
    <w:rsid w:val="00414C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qFormat/>
    <w:rsid w:val="00414C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14C42"/>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414C42"/>
    <w:rPr>
      <w:i/>
      <w:iCs/>
    </w:rPr>
  </w:style>
  <w:style w:type="character" w:styleId="Hyperlink">
    <w:name w:val="Hyperlink"/>
    <w:basedOn w:val="DefaultParagraphFont"/>
    <w:uiPriority w:val="99"/>
    <w:unhideWhenUsed/>
    <w:qFormat/>
    <w:rsid w:val="00414C42"/>
    <w:rPr>
      <w:color w:val="0000FF"/>
      <w:u w:val="single"/>
    </w:rPr>
  </w:style>
  <w:style w:type="character" w:styleId="UnresolvedMention">
    <w:name w:val="Unresolved Mention"/>
    <w:basedOn w:val="DefaultParagraphFont"/>
    <w:uiPriority w:val="99"/>
    <w:semiHidden/>
    <w:unhideWhenUsed/>
    <w:rsid w:val="00B94E69"/>
    <w:rPr>
      <w:color w:val="605E5C"/>
      <w:shd w:val="clear" w:color="auto" w:fill="E1DFDD"/>
    </w:rPr>
  </w:style>
  <w:style w:type="paragraph" w:styleId="Header">
    <w:name w:val="header"/>
    <w:basedOn w:val="Normal"/>
    <w:link w:val="HeaderChar"/>
    <w:uiPriority w:val="99"/>
    <w:unhideWhenUsed/>
    <w:rsid w:val="00CF6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D35"/>
  </w:style>
  <w:style w:type="paragraph" w:styleId="Footer">
    <w:name w:val="footer"/>
    <w:basedOn w:val="Normal"/>
    <w:link w:val="FooterChar"/>
    <w:uiPriority w:val="99"/>
    <w:unhideWhenUsed/>
    <w:rsid w:val="00CF6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D35"/>
  </w:style>
  <w:style w:type="paragraph" w:styleId="CommentText">
    <w:name w:val="annotation text"/>
    <w:basedOn w:val="Normal"/>
    <w:link w:val="CommentTextChar"/>
    <w:uiPriority w:val="99"/>
    <w:semiHidden/>
    <w:unhideWhenUsed/>
    <w:qFormat/>
    <w:rsid w:val="00357C9F"/>
  </w:style>
  <w:style w:type="character" w:customStyle="1" w:styleId="CommentTextChar">
    <w:name w:val="Comment Text Char"/>
    <w:basedOn w:val="DefaultParagraphFont"/>
    <w:link w:val="CommentText"/>
    <w:uiPriority w:val="99"/>
    <w:semiHidden/>
    <w:rsid w:val="00357C9F"/>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17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4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0944">
      <w:bodyDiv w:val="1"/>
      <w:marLeft w:val="0"/>
      <w:marRight w:val="0"/>
      <w:marTop w:val="0"/>
      <w:marBottom w:val="0"/>
      <w:divBdr>
        <w:top w:val="none" w:sz="0" w:space="0" w:color="auto"/>
        <w:left w:val="none" w:sz="0" w:space="0" w:color="auto"/>
        <w:bottom w:val="none" w:sz="0" w:space="0" w:color="auto"/>
        <w:right w:val="none" w:sz="0" w:space="0" w:color="auto"/>
      </w:divBdr>
    </w:div>
    <w:div w:id="147018613">
      <w:bodyDiv w:val="1"/>
      <w:marLeft w:val="0"/>
      <w:marRight w:val="0"/>
      <w:marTop w:val="0"/>
      <w:marBottom w:val="0"/>
      <w:divBdr>
        <w:top w:val="none" w:sz="0" w:space="0" w:color="auto"/>
        <w:left w:val="none" w:sz="0" w:space="0" w:color="auto"/>
        <w:bottom w:val="none" w:sz="0" w:space="0" w:color="auto"/>
        <w:right w:val="none" w:sz="0" w:space="0" w:color="auto"/>
      </w:divBdr>
      <w:divsChild>
        <w:div w:id="833642455">
          <w:marLeft w:val="0"/>
          <w:marRight w:val="0"/>
          <w:marTop w:val="0"/>
          <w:marBottom w:val="0"/>
          <w:divBdr>
            <w:top w:val="none" w:sz="0" w:space="0" w:color="auto"/>
            <w:left w:val="none" w:sz="0" w:space="0" w:color="auto"/>
            <w:bottom w:val="none" w:sz="0" w:space="0" w:color="auto"/>
            <w:right w:val="none" w:sz="0" w:space="0" w:color="auto"/>
          </w:divBdr>
          <w:divsChild>
            <w:div w:id="1690452254">
              <w:marLeft w:val="0"/>
              <w:marRight w:val="0"/>
              <w:marTop w:val="0"/>
              <w:marBottom w:val="0"/>
              <w:divBdr>
                <w:top w:val="none" w:sz="0" w:space="0" w:color="auto"/>
                <w:left w:val="none" w:sz="0" w:space="0" w:color="auto"/>
                <w:bottom w:val="none" w:sz="0" w:space="0" w:color="auto"/>
                <w:right w:val="none" w:sz="0" w:space="0" w:color="auto"/>
              </w:divBdr>
            </w:div>
          </w:divsChild>
        </w:div>
        <w:div w:id="643435821">
          <w:marLeft w:val="0"/>
          <w:marRight w:val="0"/>
          <w:marTop w:val="0"/>
          <w:marBottom w:val="0"/>
          <w:divBdr>
            <w:top w:val="none" w:sz="0" w:space="0" w:color="auto"/>
            <w:left w:val="none" w:sz="0" w:space="0" w:color="auto"/>
            <w:bottom w:val="none" w:sz="0" w:space="0" w:color="auto"/>
            <w:right w:val="none" w:sz="0" w:space="0" w:color="auto"/>
          </w:divBdr>
          <w:divsChild>
            <w:div w:id="103502528">
              <w:marLeft w:val="0"/>
              <w:marRight w:val="0"/>
              <w:marTop w:val="0"/>
              <w:marBottom w:val="0"/>
              <w:divBdr>
                <w:top w:val="none" w:sz="0" w:space="0" w:color="auto"/>
                <w:left w:val="none" w:sz="0" w:space="0" w:color="auto"/>
                <w:bottom w:val="none" w:sz="0" w:space="0" w:color="auto"/>
                <w:right w:val="none" w:sz="0" w:space="0" w:color="auto"/>
              </w:divBdr>
            </w:div>
          </w:divsChild>
        </w:div>
        <w:div w:id="1926455164">
          <w:marLeft w:val="0"/>
          <w:marRight w:val="0"/>
          <w:marTop w:val="0"/>
          <w:marBottom w:val="0"/>
          <w:divBdr>
            <w:top w:val="none" w:sz="0" w:space="0" w:color="auto"/>
            <w:left w:val="none" w:sz="0" w:space="0" w:color="auto"/>
            <w:bottom w:val="none" w:sz="0" w:space="0" w:color="auto"/>
            <w:right w:val="none" w:sz="0" w:space="0" w:color="auto"/>
          </w:divBdr>
          <w:divsChild>
            <w:div w:id="1649435014">
              <w:marLeft w:val="0"/>
              <w:marRight w:val="0"/>
              <w:marTop w:val="0"/>
              <w:marBottom w:val="0"/>
              <w:divBdr>
                <w:top w:val="none" w:sz="0" w:space="0" w:color="auto"/>
                <w:left w:val="none" w:sz="0" w:space="0" w:color="auto"/>
                <w:bottom w:val="none" w:sz="0" w:space="0" w:color="auto"/>
                <w:right w:val="none" w:sz="0" w:space="0" w:color="auto"/>
              </w:divBdr>
            </w:div>
          </w:divsChild>
        </w:div>
        <w:div w:id="1501001520">
          <w:marLeft w:val="0"/>
          <w:marRight w:val="0"/>
          <w:marTop w:val="0"/>
          <w:marBottom w:val="0"/>
          <w:divBdr>
            <w:top w:val="none" w:sz="0" w:space="0" w:color="auto"/>
            <w:left w:val="none" w:sz="0" w:space="0" w:color="auto"/>
            <w:bottom w:val="none" w:sz="0" w:space="0" w:color="auto"/>
            <w:right w:val="none" w:sz="0" w:space="0" w:color="auto"/>
          </w:divBdr>
          <w:divsChild>
            <w:div w:id="3400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5143">
      <w:bodyDiv w:val="1"/>
      <w:marLeft w:val="0"/>
      <w:marRight w:val="0"/>
      <w:marTop w:val="0"/>
      <w:marBottom w:val="0"/>
      <w:divBdr>
        <w:top w:val="none" w:sz="0" w:space="0" w:color="auto"/>
        <w:left w:val="none" w:sz="0" w:space="0" w:color="auto"/>
        <w:bottom w:val="none" w:sz="0" w:space="0" w:color="auto"/>
        <w:right w:val="none" w:sz="0" w:space="0" w:color="auto"/>
      </w:divBdr>
    </w:div>
    <w:div w:id="405105650">
      <w:bodyDiv w:val="1"/>
      <w:marLeft w:val="0"/>
      <w:marRight w:val="0"/>
      <w:marTop w:val="0"/>
      <w:marBottom w:val="0"/>
      <w:divBdr>
        <w:top w:val="none" w:sz="0" w:space="0" w:color="auto"/>
        <w:left w:val="none" w:sz="0" w:space="0" w:color="auto"/>
        <w:bottom w:val="none" w:sz="0" w:space="0" w:color="auto"/>
        <w:right w:val="none" w:sz="0" w:space="0" w:color="auto"/>
      </w:divBdr>
    </w:div>
    <w:div w:id="417484367">
      <w:bodyDiv w:val="1"/>
      <w:marLeft w:val="0"/>
      <w:marRight w:val="0"/>
      <w:marTop w:val="0"/>
      <w:marBottom w:val="0"/>
      <w:divBdr>
        <w:top w:val="none" w:sz="0" w:space="0" w:color="auto"/>
        <w:left w:val="none" w:sz="0" w:space="0" w:color="auto"/>
        <w:bottom w:val="none" w:sz="0" w:space="0" w:color="auto"/>
        <w:right w:val="none" w:sz="0" w:space="0" w:color="auto"/>
      </w:divBdr>
    </w:div>
    <w:div w:id="480970670">
      <w:bodyDiv w:val="1"/>
      <w:marLeft w:val="0"/>
      <w:marRight w:val="0"/>
      <w:marTop w:val="0"/>
      <w:marBottom w:val="0"/>
      <w:divBdr>
        <w:top w:val="none" w:sz="0" w:space="0" w:color="auto"/>
        <w:left w:val="none" w:sz="0" w:space="0" w:color="auto"/>
        <w:bottom w:val="none" w:sz="0" w:space="0" w:color="auto"/>
        <w:right w:val="none" w:sz="0" w:space="0" w:color="auto"/>
      </w:divBdr>
    </w:div>
    <w:div w:id="696782528">
      <w:bodyDiv w:val="1"/>
      <w:marLeft w:val="0"/>
      <w:marRight w:val="0"/>
      <w:marTop w:val="0"/>
      <w:marBottom w:val="0"/>
      <w:divBdr>
        <w:top w:val="none" w:sz="0" w:space="0" w:color="auto"/>
        <w:left w:val="none" w:sz="0" w:space="0" w:color="auto"/>
        <w:bottom w:val="none" w:sz="0" w:space="0" w:color="auto"/>
        <w:right w:val="none" w:sz="0" w:space="0" w:color="auto"/>
      </w:divBdr>
    </w:div>
    <w:div w:id="837623376">
      <w:bodyDiv w:val="1"/>
      <w:marLeft w:val="0"/>
      <w:marRight w:val="0"/>
      <w:marTop w:val="0"/>
      <w:marBottom w:val="0"/>
      <w:divBdr>
        <w:top w:val="none" w:sz="0" w:space="0" w:color="auto"/>
        <w:left w:val="none" w:sz="0" w:space="0" w:color="auto"/>
        <w:bottom w:val="none" w:sz="0" w:space="0" w:color="auto"/>
        <w:right w:val="none" w:sz="0" w:space="0" w:color="auto"/>
      </w:divBdr>
    </w:div>
    <w:div w:id="1061714834">
      <w:bodyDiv w:val="1"/>
      <w:marLeft w:val="0"/>
      <w:marRight w:val="0"/>
      <w:marTop w:val="0"/>
      <w:marBottom w:val="0"/>
      <w:divBdr>
        <w:top w:val="none" w:sz="0" w:space="0" w:color="auto"/>
        <w:left w:val="none" w:sz="0" w:space="0" w:color="auto"/>
        <w:bottom w:val="none" w:sz="0" w:space="0" w:color="auto"/>
        <w:right w:val="none" w:sz="0" w:space="0" w:color="auto"/>
      </w:divBdr>
    </w:div>
    <w:div w:id="1176848209">
      <w:bodyDiv w:val="1"/>
      <w:marLeft w:val="0"/>
      <w:marRight w:val="0"/>
      <w:marTop w:val="0"/>
      <w:marBottom w:val="0"/>
      <w:divBdr>
        <w:top w:val="none" w:sz="0" w:space="0" w:color="auto"/>
        <w:left w:val="none" w:sz="0" w:space="0" w:color="auto"/>
        <w:bottom w:val="none" w:sz="0" w:space="0" w:color="auto"/>
        <w:right w:val="none" w:sz="0" w:space="0" w:color="auto"/>
      </w:divBdr>
    </w:div>
    <w:div w:id="1362973893">
      <w:bodyDiv w:val="1"/>
      <w:marLeft w:val="0"/>
      <w:marRight w:val="0"/>
      <w:marTop w:val="0"/>
      <w:marBottom w:val="0"/>
      <w:divBdr>
        <w:top w:val="none" w:sz="0" w:space="0" w:color="auto"/>
        <w:left w:val="none" w:sz="0" w:space="0" w:color="auto"/>
        <w:bottom w:val="none" w:sz="0" w:space="0" w:color="auto"/>
        <w:right w:val="none" w:sz="0" w:space="0" w:color="auto"/>
      </w:divBdr>
    </w:div>
    <w:div w:id="1406954314">
      <w:bodyDiv w:val="1"/>
      <w:marLeft w:val="0"/>
      <w:marRight w:val="0"/>
      <w:marTop w:val="0"/>
      <w:marBottom w:val="0"/>
      <w:divBdr>
        <w:top w:val="none" w:sz="0" w:space="0" w:color="auto"/>
        <w:left w:val="none" w:sz="0" w:space="0" w:color="auto"/>
        <w:bottom w:val="none" w:sz="0" w:space="0" w:color="auto"/>
        <w:right w:val="none" w:sz="0" w:space="0" w:color="auto"/>
      </w:divBdr>
    </w:div>
    <w:div w:id="1576163828">
      <w:bodyDiv w:val="1"/>
      <w:marLeft w:val="0"/>
      <w:marRight w:val="0"/>
      <w:marTop w:val="0"/>
      <w:marBottom w:val="0"/>
      <w:divBdr>
        <w:top w:val="none" w:sz="0" w:space="0" w:color="auto"/>
        <w:left w:val="none" w:sz="0" w:space="0" w:color="auto"/>
        <w:bottom w:val="none" w:sz="0" w:space="0" w:color="auto"/>
        <w:right w:val="none" w:sz="0" w:space="0" w:color="auto"/>
      </w:divBdr>
    </w:div>
    <w:div w:id="1908221070">
      <w:bodyDiv w:val="1"/>
      <w:marLeft w:val="0"/>
      <w:marRight w:val="0"/>
      <w:marTop w:val="0"/>
      <w:marBottom w:val="0"/>
      <w:divBdr>
        <w:top w:val="none" w:sz="0" w:space="0" w:color="auto"/>
        <w:left w:val="none" w:sz="0" w:space="0" w:color="auto"/>
        <w:bottom w:val="none" w:sz="0" w:space="0" w:color="auto"/>
        <w:right w:val="none" w:sz="0" w:space="0" w:color="auto"/>
      </w:divBdr>
    </w:div>
    <w:div w:id="199159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9739/jsrd.v1i2.1033" TargetMode="External"/><Relationship Id="rId18" Type="http://schemas.openxmlformats.org/officeDocument/2006/relationships/hyperlink" Target="https://doi.org/10.69739/jlsph.v1i1.879" TargetMode="External"/><Relationship Id="rId26" Type="http://schemas.openxmlformats.org/officeDocument/2006/relationships/hyperlink" Target="https://doi.org/10.9734/ajgr/2025/v8i4337" TargetMode="External"/><Relationship Id="rId21" Type="http://schemas.openxmlformats.org/officeDocument/2006/relationships/hyperlink" Target="https://doi.org/10.69739/jaaas.v2i2.882" TargetMode="External"/><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hyperlink" Target="https://doi.org/10.69739/jece.v2i2.952" TargetMode="External"/><Relationship Id="rId17" Type="http://schemas.openxmlformats.org/officeDocument/2006/relationships/hyperlink" Target="https://doi.org/10.69739/jece.v2i2.1078" TargetMode="External"/><Relationship Id="rId25" Type="http://schemas.openxmlformats.org/officeDocument/2006/relationships/hyperlink" Target="https://doi.org/10.69739/jsrd.v1i2.1044"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doi.org/10.9734/ajgr/2025/v8i4341" TargetMode="External"/><Relationship Id="rId20" Type="http://schemas.openxmlformats.org/officeDocument/2006/relationships/hyperlink" Target="https://doi.org/10.9734/ajocs/2025/v15i6402" TargetMode="External"/><Relationship Id="rId29" Type="http://schemas.openxmlformats.org/officeDocument/2006/relationships/hyperlink" Target="https://www.who.int/publications/i/item/9789240045064"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5281/zenodo.17148360" TargetMode="External"/><Relationship Id="rId24" Type="http://schemas.openxmlformats.org/officeDocument/2006/relationships/hyperlink" Target="https://doi.org/10.69739/jece.v2i2.96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69739/jmsbc.v2i2.1045" TargetMode="External"/><Relationship Id="rId23" Type="http://schemas.openxmlformats.org/officeDocument/2006/relationships/hyperlink" Target="https://doi.org/10.9734/ajopacs/2025/v13i4271" TargetMode="External"/><Relationship Id="rId28" Type="http://schemas.openxmlformats.org/officeDocument/2006/relationships/hyperlink" Target="https://www.et-fine.com/10.1016/j.envsoft.2005.04.003" TargetMode="External"/><Relationship Id="rId36" Type="http://schemas.openxmlformats.org/officeDocument/2006/relationships/fontTable" Target="fontTable.xml"/><Relationship Id="rId10" Type="http://schemas.openxmlformats.org/officeDocument/2006/relationships/hyperlink" Target="https://doi.org/10.9734/ajocs/2025/v15i6406" TargetMode="External"/><Relationship Id="rId19" Type="http://schemas.openxmlformats.org/officeDocument/2006/relationships/hyperlink" Target="https://doi.org/10.69739/jlsph.v1i1.962"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monographs.iarc.fr/ENG/Classification/ClassificationsAlphaOrder" TargetMode="External"/><Relationship Id="rId22" Type="http://schemas.openxmlformats.org/officeDocument/2006/relationships/hyperlink" Target="https://doi.org/10.9734/ajopacs/2025/v13i4271" TargetMode="External"/><Relationship Id="rId27" Type="http://schemas.openxmlformats.org/officeDocument/2006/relationships/hyperlink" Target="https://doi.org/10.9734/ajahr/2025/v12i4424"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15</Pages>
  <Words>5067</Words>
  <Characters>28882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 OTOKWALA</dc:creator>
  <cp:keywords/>
  <dc:description/>
  <cp:lastModifiedBy>Editor-1183</cp:lastModifiedBy>
  <cp:revision>7</cp:revision>
  <dcterms:created xsi:type="dcterms:W3CDTF">2025-11-28T13:23:00Z</dcterms:created>
  <dcterms:modified xsi:type="dcterms:W3CDTF">2025-12-06T06:43:00Z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35cb11e6-c8f2-4513-b7b2-43c36146d3d5</vt:lpwstr>
  </property>
</Properties>
</file>