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66DC5" w14:textId="77777777" w:rsidR="00B41A05" w:rsidRDefault="00B41A05" w:rsidP="006E38BF">
      <w:pPr>
        <w:rPr>
          <w:rFonts w:asciiTheme="majorBidi" w:hAnsiTheme="majorBidi" w:cstheme="majorBidi"/>
          <w:sz w:val="24"/>
          <w:szCs w:val="24"/>
        </w:rPr>
      </w:pPr>
    </w:p>
    <w:p w14:paraId="13E08F10" w14:textId="5CAF4932"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Hematological and Biochemical Profile of Thalassemia Major Patients: A Comprehensive Analysis from the National Oncology Center, Aden</w:t>
      </w:r>
    </w:p>
    <w:p w14:paraId="437DC0EF" w14:textId="198194A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A</w:t>
      </w:r>
      <w:r w:rsidR="00120E2F">
        <w:rPr>
          <w:rFonts w:asciiTheme="majorBidi" w:hAnsiTheme="majorBidi" w:cstheme="majorBidi"/>
          <w:sz w:val="24"/>
          <w:szCs w:val="24"/>
        </w:rPr>
        <w:t>BSTRACT</w:t>
      </w:r>
    </w:p>
    <w:p w14:paraId="496F0EB9" w14:textId="1EA4901A"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 xml:space="preserve">This study aimed to evaluate the hematological and biochemical parameters of 40 patients diagnosed with thalassemia major at the National Oncology Center, Aden, from January to December 2022. </w:t>
      </w:r>
      <w:r w:rsidR="00D8755C" w:rsidRPr="00B832FC">
        <w:rPr>
          <w:rFonts w:asciiTheme="majorBidi" w:hAnsiTheme="majorBidi"/>
          <w:sz w:val="24"/>
        </w:rPr>
        <w:t xml:space="preserve">The main aim of the present study is to assess </w:t>
      </w:r>
      <w:r w:rsidR="00D8755C" w:rsidRPr="00B832F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Vitamin D and </w:t>
      </w:r>
      <w:r w:rsidR="00D8755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D8755C" w:rsidRPr="00B832F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arathyroid </w:t>
      </w:r>
      <w:r w:rsidR="00D8755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w:t>
      </w:r>
      <w:r w:rsidR="00D8755C" w:rsidRPr="00B832F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ormone </w:t>
      </w:r>
      <w:r w:rsidR="00D8755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00D8755C" w:rsidRPr="00B832F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evels</w:t>
      </w:r>
      <w:r w:rsidR="00D8755C" w:rsidRPr="00B832FC">
        <w:rPr>
          <w:rFonts w:asciiTheme="majorBidi" w:hAnsiTheme="majorBidi"/>
          <w:sz w:val="24"/>
        </w:rPr>
        <w:t xml:space="preserve"> and some biochemical and hematological investigations</w:t>
      </w:r>
      <w:r w:rsidR="00D8755C" w:rsidRPr="00B832F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w:t>
      </w:r>
      <w:r w:rsidR="00D8755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D8755C" w:rsidRPr="00B832F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heir </w:t>
      </w:r>
      <w:r w:rsidR="00D8755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00D8755C" w:rsidRPr="00B832F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elation to </w:t>
      </w:r>
      <w:r w:rsidR="00D8755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D8755C" w:rsidRPr="00B832F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erum </w:t>
      </w:r>
      <w:r w:rsidR="00D8755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sidR="00D8755C" w:rsidRPr="00B832F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erritin </w:t>
      </w:r>
      <w:r w:rsidR="00D8755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00D8755C" w:rsidRPr="00B832FC">
        <w:rPr>
          <w:rFonts w:asciiTheme="majorBidi" w:hAnsiTheme="majorBidi"/>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evels </w:t>
      </w:r>
      <w:r w:rsidR="00D8755C" w:rsidRPr="00B832FC">
        <w:rPr>
          <w:rFonts w:asciiTheme="majorBidi" w:hAnsiTheme="majorBidi"/>
          <w:sz w:val="24"/>
        </w:rPr>
        <w:t>of children with β-thalassemia major who are attending or admitted to the pediatric department in national oncology center-Aden</w:t>
      </w:r>
      <w:r w:rsidR="00D8755C">
        <w:rPr>
          <w:rFonts w:asciiTheme="majorBidi" w:hAnsiTheme="majorBidi"/>
          <w:sz w:val="24"/>
        </w:rPr>
        <w:t xml:space="preserve">. </w:t>
      </w:r>
      <w:r w:rsidRPr="00AE0D64">
        <w:rPr>
          <w:rFonts w:asciiTheme="majorBidi" w:hAnsiTheme="majorBidi" w:cstheme="majorBidi"/>
          <w:sz w:val="24"/>
          <w:szCs w:val="24"/>
        </w:rPr>
        <w:t>The demographic data revealed a slight female predominance (52.5%) with a mean age of 10.6 years. Hematological findings indicated significantly low hemoglobin levels (6.72 g/dL) and hematocrit (21.72%). The study also reported a high prevalence of severe serum ferritin levels, with 40% of patients exhibiting values exceeding 4000 ng/L. Biochemical tests showed elevated liver enzymes (GPT, GOT) and abnormal calcium and phosphorus levels. Notably, a significant correlation was observed between serum ferritin and liver enzymes (p &lt; 0.05). Vitamin D deficiency was prevalent in 47.5% of patients. The findings highlight the necessity for regular monitoring and management of hematological and biochemical parameters in thalassemia major patients.</w:t>
      </w:r>
    </w:p>
    <w:p w14:paraId="4494AB72" w14:textId="755624C5" w:rsidR="006E38BF" w:rsidRDefault="001F55D8" w:rsidP="006E38BF">
      <w:pPr>
        <w:rPr>
          <w:rFonts w:asciiTheme="majorBidi" w:hAnsiTheme="majorBidi" w:cstheme="majorBidi"/>
          <w:sz w:val="24"/>
          <w:szCs w:val="24"/>
        </w:rPr>
      </w:pPr>
      <w:r>
        <w:rPr>
          <w:rFonts w:asciiTheme="majorBidi" w:hAnsiTheme="majorBidi" w:cstheme="majorBidi"/>
          <w:sz w:val="24"/>
          <w:szCs w:val="24"/>
        </w:rPr>
        <w:t>Keywords:</w:t>
      </w:r>
      <w:r w:rsidR="00151B8E">
        <w:rPr>
          <w:rFonts w:asciiTheme="majorBidi" w:hAnsiTheme="majorBidi" w:cstheme="majorBidi"/>
          <w:sz w:val="24"/>
          <w:szCs w:val="24"/>
        </w:rPr>
        <w:t xml:space="preserve"> </w:t>
      </w:r>
      <w:r>
        <w:rPr>
          <w:rFonts w:asciiTheme="majorBidi" w:hAnsiTheme="majorBidi" w:cstheme="majorBidi"/>
          <w:sz w:val="24"/>
          <w:szCs w:val="24"/>
        </w:rPr>
        <w:t xml:space="preserve">Thalassemia Major, Beta-Thalassemia, Vitamin D, </w:t>
      </w:r>
      <w:proofErr w:type="spellStart"/>
      <w:r>
        <w:rPr>
          <w:rFonts w:asciiTheme="majorBidi" w:hAnsiTheme="majorBidi" w:cstheme="majorBidi"/>
          <w:sz w:val="24"/>
          <w:szCs w:val="24"/>
        </w:rPr>
        <w:t>Parathyrpoid</w:t>
      </w:r>
      <w:proofErr w:type="spellEnd"/>
      <w:r>
        <w:rPr>
          <w:rFonts w:asciiTheme="majorBidi" w:hAnsiTheme="majorBidi" w:cstheme="majorBidi"/>
          <w:sz w:val="24"/>
          <w:szCs w:val="24"/>
        </w:rPr>
        <w:t xml:space="preserve"> hormone, Serum ferritin, Iron overload</w:t>
      </w:r>
    </w:p>
    <w:p w14:paraId="59237D5F" w14:textId="77777777" w:rsidR="001F55D8" w:rsidRDefault="001F55D8" w:rsidP="006E38BF">
      <w:pPr>
        <w:rPr>
          <w:rFonts w:asciiTheme="majorBidi" w:hAnsiTheme="majorBidi" w:cstheme="majorBidi"/>
          <w:sz w:val="24"/>
          <w:szCs w:val="24"/>
        </w:rPr>
      </w:pPr>
    </w:p>
    <w:p w14:paraId="6D6F64F3" w14:textId="77777777" w:rsidR="001F55D8" w:rsidRPr="00AE0D64" w:rsidRDefault="001F55D8" w:rsidP="006E38BF">
      <w:pPr>
        <w:rPr>
          <w:rFonts w:asciiTheme="majorBidi" w:hAnsiTheme="majorBidi" w:cstheme="majorBidi"/>
          <w:sz w:val="24"/>
          <w:szCs w:val="24"/>
        </w:rPr>
      </w:pPr>
    </w:p>
    <w:p w14:paraId="2B9D19C0" w14:textId="1E311DF0" w:rsidR="00120E2F" w:rsidRDefault="00120E2F" w:rsidP="00120E2F">
      <w:pPr>
        <w:spacing w:before="120" w:after="120" w:line="360" w:lineRule="auto"/>
        <w:jc w:val="both"/>
        <w:rPr>
          <w:rFonts w:asciiTheme="majorBidi" w:hAnsiTheme="majorBidi" w:cstheme="majorBidi"/>
          <w:sz w:val="24"/>
          <w:szCs w:val="24"/>
        </w:rPr>
      </w:pPr>
      <w:r w:rsidRPr="00120E2F">
        <w:rPr>
          <w:rFonts w:asciiTheme="majorBidi" w:hAnsiTheme="majorBidi" w:cstheme="majorBidi"/>
          <w:sz w:val="24"/>
          <w:szCs w:val="24"/>
        </w:rPr>
        <w:t>1. INTRODUCTION</w:t>
      </w:r>
    </w:p>
    <w:p w14:paraId="75079001" w14:textId="4AF8AD1B" w:rsidR="006E38BF" w:rsidRPr="00AE0D64"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t xml:space="preserve">Thalassemia is a genetic disorder inherited from one or both parents. </w:t>
      </w:r>
      <w:r w:rsidR="002A0663" w:rsidRPr="002A0663">
        <w:rPr>
          <w:color w:val="000000" w:themeColor="text1"/>
        </w:rPr>
        <w:t xml:space="preserve">β thalassemia major refers to patients who have inherited two significant β </w:t>
      </w:r>
      <w:proofErr w:type="spellStart"/>
      <w:r w:rsidR="002A0663" w:rsidRPr="002A0663">
        <w:rPr>
          <w:color w:val="000000" w:themeColor="text1"/>
        </w:rPr>
        <w:t>thalassaemia</w:t>
      </w:r>
      <w:proofErr w:type="spellEnd"/>
      <w:r w:rsidR="002A0663" w:rsidRPr="002A0663">
        <w:rPr>
          <w:color w:val="000000" w:themeColor="text1"/>
        </w:rPr>
        <w:t xml:space="preserve"> alleles causing significant globin chain </w:t>
      </w:r>
      <w:proofErr w:type="spellStart"/>
      <w:r w:rsidR="002A0663" w:rsidRPr="002A0663">
        <w:rPr>
          <w:color w:val="000000" w:themeColor="text1"/>
        </w:rPr>
        <w:t>imba</w:t>
      </w:r>
      <w:proofErr w:type="spellEnd"/>
      <w:r w:rsidR="002A0663" w:rsidRPr="002A0663">
        <w:rPr>
          <w:color w:val="000000" w:themeColor="text1"/>
        </w:rPr>
        <w:t xml:space="preserve"> </w:t>
      </w:r>
      <w:proofErr w:type="spellStart"/>
      <w:r w:rsidR="002A0663" w:rsidRPr="002A0663">
        <w:rPr>
          <w:color w:val="000000" w:themeColor="text1"/>
        </w:rPr>
        <w:t>ance</w:t>
      </w:r>
      <w:proofErr w:type="spellEnd"/>
      <w:r w:rsidR="002A0663" w:rsidRPr="002A0663">
        <w:rPr>
          <w:color w:val="000000" w:themeColor="text1"/>
        </w:rPr>
        <w:t xml:space="preserve">, who are dependent on blood transfusions to maintain life beyond early childhood. The alternative designation, transfusion- dependent </w:t>
      </w:r>
      <w:proofErr w:type="spellStart"/>
      <w:r w:rsidR="002A0663" w:rsidRPr="002A0663">
        <w:rPr>
          <w:color w:val="000000" w:themeColor="text1"/>
        </w:rPr>
        <w:t>thalassaemia</w:t>
      </w:r>
      <w:proofErr w:type="spellEnd"/>
      <w:r w:rsidR="002A0663" w:rsidRPr="002A0663">
        <w:rPr>
          <w:color w:val="000000" w:themeColor="text1"/>
        </w:rPr>
        <w:t xml:space="preserve">, is often used, reflecting how patients are treated rather than any particular genotype or pathophysiology. It has been estimated that </w:t>
      </w:r>
      <w:r w:rsidR="00151B8E">
        <w:rPr>
          <w:color w:val="000000" w:themeColor="text1"/>
        </w:rPr>
        <w:t>“</w:t>
      </w:r>
      <w:r w:rsidR="002A0663" w:rsidRPr="002A0663">
        <w:rPr>
          <w:color w:val="000000" w:themeColor="text1"/>
        </w:rPr>
        <w:t xml:space="preserve">in the UK there are 20–30 births per year of babies with β </w:t>
      </w:r>
      <w:proofErr w:type="spellStart"/>
      <w:r w:rsidR="002A0663" w:rsidRPr="002A0663">
        <w:rPr>
          <w:color w:val="000000" w:themeColor="text1"/>
        </w:rPr>
        <w:t>thalassaemia</w:t>
      </w:r>
      <w:proofErr w:type="spellEnd"/>
      <w:r w:rsidR="002A0663" w:rsidRPr="002A0663">
        <w:rPr>
          <w:color w:val="000000" w:themeColor="text1"/>
        </w:rPr>
        <w:t xml:space="preserve"> </w:t>
      </w:r>
      <w:proofErr w:type="spellStart"/>
      <w:proofErr w:type="gramStart"/>
      <w:r w:rsidR="002A0663" w:rsidRPr="002A0663">
        <w:rPr>
          <w:color w:val="000000" w:themeColor="text1"/>
        </w:rPr>
        <w:t>major</w:t>
      </w:r>
      <w:r w:rsidR="002A0663" w:rsidRPr="001105F4">
        <w:rPr>
          <w:color w:val="FF0000"/>
        </w:rPr>
        <w:t>.</w:t>
      </w:r>
      <w:r w:rsidRPr="00AE0D64">
        <w:rPr>
          <w:rFonts w:asciiTheme="majorBidi" w:hAnsiTheme="majorBidi" w:cstheme="majorBidi"/>
          <w:sz w:val="24"/>
          <w:szCs w:val="24"/>
        </w:rPr>
        <w:t>Individuals</w:t>
      </w:r>
      <w:proofErr w:type="spellEnd"/>
      <w:proofErr w:type="gramEnd"/>
      <w:r w:rsidRPr="00AE0D64">
        <w:rPr>
          <w:rFonts w:asciiTheme="majorBidi" w:hAnsiTheme="majorBidi" w:cstheme="majorBidi"/>
          <w:sz w:val="24"/>
          <w:szCs w:val="24"/>
        </w:rPr>
        <w:t xml:space="preserve"> with thalassemia syndrome are most often of African, Asian, Mediterranean, or Middle Eastern descent. However, the life span of patients with thalassemia has improved both in duration and in quality in the recent decade in developed countries</w:t>
      </w:r>
      <w:r w:rsidR="00151B8E">
        <w:rPr>
          <w:rFonts w:asciiTheme="majorBidi" w:hAnsiTheme="majorBidi" w:cstheme="majorBidi"/>
          <w:sz w:val="24"/>
          <w:szCs w:val="24"/>
        </w:rPr>
        <w:t>”</w:t>
      </w:r>
      <w:r w:rsidRPr="00AE0D64">
        <w:rPr>
          <w:rFonts w:asciiTheme="majorBidi" w:hAnsiTheme="majorBidi" w:cstheme="majorBidi"/>
          <w:sz w:val="24"/>
          <w:szCs w:val="24"/>
        </w:rPr>
        <w:t>. [1]</w:t>
      </w:r>
    </w:p>
    <w:p w14:paraId="3E2C7A03" w14:textId="78666662" w:rsidR="006E38BF" w:rsidRPr="00AE0D64" w:rsidRDefault="00151B8E" w:rsidP="006E38BF">
      <w:pPr>
        <w:spacing w:before="120" w:after="120" w:line="360" w:lineRule="auto"/>
        <w:jc w:val="both"/>
        <w:rPr>
          <w:rFonts w:asciiTheme="majorBidi" w:hAnsiTheme="majorBidi" w:cstheme="majorBidi"/>
          <w:sz w:val="24"/>
          <w:szCs w:val="24"/>
        </w:rPr>
      </w:pPr>
      <w:r>
        <w:rPr>
          <w:rFonts w:asciiTheme="majorBidi" w:hAnsiTheme="majorBidi" w:cstheme="majorBidi"/>
          <w:sz w:val="24"/>
          <w:szCs w:val="24"/>
        </w:rPr>
        <w:t>“</w:t>
      </w:r>
      <w:r w:rsidR="006E38BF" w:rsidRPr="00AE0D64">
        <w:rPr>
          <w:rFonts w:asciiTheme="majorBidi" w:hAnsiTheme="majorBidi" w:cstheme="majorBidi"/>
          <w:sz w:val="24"/>
          <w:szCs w:val="24"/>
        </w:rPr>
        <w:t xml:space="preserve">Worldwide, every year around 70,000 infants are born with beta-thalassemia. About 270 million carriers of hemoglobinopathies exist globally. Beta-thalassemia is mostly prevalent among </w:t>
      </w:r>
      <w:r w:rsidR="006E38BF" w:rsidRPr="00AE0D64">
        <w:rPr>
          <w:rFonts w:asciiTheme="majorBidi" w:hAnsiTheme="majorBidi" w:cstheme="majorBidi"/>
          <w:sz w:val="24"/>
          <w:szCs w:val="24"/>
        </w:rPr>
        <w:lastRenderedPageBreak/>
        <w:t>individuals in Mediterranean countries, as well as in Southeast Asia, India, Africa, Central America, and the Middle East. According to the World Health Organization (WHO) guidelines, published in 1998, genetic screening should not be compulsorily carried out. However, some countries, including Iran, Saudi Arabia, the Palestinian Territories, and Cyprus, now have mandatory premarital screening laws for hemoglobin disorders for all couples before marriage. Successful awareness programs have been carried out in Greece, Italy, and Cyprus to reduce high carrier rates</w:t>
      </w:r>
      <w:r>
        <w:rPr>
          <w:rFonts w:asciiTheme="majorBidi" w:hAnsiTheme="majorBidi" w:cstheme="majorBidi"/>
          <w:sz w:val="24"/>
          <w:szCs w:val="24"/>
        </w:rPr>
        <w:t>”</w:t>
      </w:r>
      <w:r w:rsidR="006E38BF" w:rsidRPr="00AE0D64">
        <w:rPr>
          <w:rFonts w:asciiTheme="majorBidi" w:hAnsiTheme="majorBidi" w:cstheme="majorBidi"/>
          <w:sz w:val="24"/>
          <w:szCs w:val="24"/>
        </w:rPr>
        <w:t>.</w:t>
      </w:r>
      <w:r w:rsidR="006E38BF" w:rsidRPr="00AE0D64">
        <w:rPr>
          <w:rFonts w:asciiTheme="majorBidi" w:hAnsiTheme="majorBidi" w:cstheme="majorBidi"/>
          <w:sz w:val="24"/>
          <w:szCs w:val="24"/>
        </w:rPr>
        <w:fldChar w:fldCharType="begin" w:fldLock="1"/>
      </w:r>
      <w:r w:rsidR="006E38BF" w:rsidRPr="00AE0D64">
        <w:rPr>
          <w:rFonts w:asciiTheme="majorBidi" w:hAnsiTheme="majorBidi" w:cstheme="majorBidi"/>
          <w:sz w:val="24"/>
          <w:szCs w:val="24"/>
        </w:rPr>
        <w:instrText>ADDIN CSL_CITATION {"citationItems":[{"id":"ITEM-1","itemData":{"DOI":"10.5742/MEWFM.2021.94106","author":[{"dropping-particle":"","family":"Jaffar","given":"Nazish","non-dropping-particle":"","parse-names":false,"suffix":""},{"dropping-particle":"","family":"Vistro","given":"Nimra Hussain","non-dropping-particle":"","parse-names":false,"suffix":""}],"id":"ITEM-1","issue":"1","issued":{"date-parts":[["2021"]]},"title":"Barriers to Premarital Thalassemia Screening in Asia","type":"article-journal"},"uris":["http://www.mendeley.com/documents/?uuid=fe8bacb6-a50a-4bdc-9baf-38175d0f538b"]}],"mendeley":{"formattedCitation":"[1]","manualFormatting":"[2]","plainTextFormattedCitation":"[1]","previouslyFormattedCitation":"[1]"},"properties":{"noteIndex":0},"schema":"https://github.com/citation-style-language/schema/raw/master/csl-citation.json"}</w:instrText>
      </w:r>
      <w:r w:rsidR="006E38BF" w:rsidRPr="00AE0D64">
        <w:rPr>
          <w:rFonts w:asciiTheme="majorBidi" w:hAnsiTheme="majorBidi" w:cstheme="majorBidi"/>
          <w:sz w:val="24"/>
          <w:szCs w:val="24"/>
        </w:rPr>
        <w:fldChar w:fldCharType="separate"/>
      </w:r>
      <w:r w:rsidR="006E38BF" w:rsidRPr="00AE0D64">
        <w:rPr>
          <w:rFonts w:asciiTheme="majorBidi" w:hAnsiTheme="majorBidi" w:cstheme="majorBidi"/>
          <w:noProof/>
          <w:sz w:val="24"/>
          <w:szCs w:val="24"/>
        </w:rPr>
        <w:t>[2]</w:t>
      </w:r>
      <w:r w:rsidR="006E38BF" w:rsidRPr="00AE0D64">
        <w:rPr>
          <w:rFonts w:asciiTheme="majorBidi" w:hAnsiTheme="majorBidi" w:cstheme="majorBidi"/>
          <w:sz w:val="24"/>
          <w:szCs w:val="24"/>
        </w:rPr>
        <w:fldChar w:fldCharType="end"/>
      </w:r>
    </w:p>
    <w:p w14:paraId="4B51A479" w14:textId="41621A49" w:rsidR="006E38BF" w:rsidRPr="00AE0D64"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t>Cooley and Lee in 1925 were the first to describe thalassemia as a clinical entity.</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{"citationItems":[{"id":"ITEM-1","itemData":{"author":[{"dropping-particle":"","family":"Management","given":"F O R T H E","non-dropping-particle":"","parse-names":false,"suffix":""},{"dropping-particle":"","family":"Dependent","given":"O F Transfusion","non-dropping-particle":"","parse-names":false,"suffix":""}],"id":"ITEM-1","issue":"20","issued":{"date-parts":[["0"]]},"title":"GUIDELINES FOR THE MANAGEMENT OF TRANSFUSION DEPENDENT GUIDELINES FOR THE MANAGEMENT OF TRANSFUSION DEPENDENT","type":"article-journal"},"uris":["http://www.mendeley.com/documents/?uuid=87d30ae5-c625-493e-a9e2-52f987cbef97"]}],"mendeley":{"formattedCitation":"[2]","plainTextFormattedCitation":"[2]","previouslyFormattedCitation":"[2]"},"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[2]</w:t>
      </w:r>
      <w:r w:rsidRPr="00AE0D64">
        <w:rPr>
          <w:rFonts w:asciiTheme="majorBidi" w:hAnsiTheme="majorBidi" w:cstheme="majorBidi"/>
          <w:sz w:val="24"/>
          <w:szCs w:val="24"/>
        </w:rPr>
        <w:fldChar w:fldCharType="end"/>
      </w:r>
      <w:r w:rsidRPr="00AE0D64">
        <w:rPr>
          <w:rFonts w:asciiTheme="majorBidi" w:hAnsiTheme="majorBidi" w:cstheme="majorBidi"/>
          <w:sz w:val="24"/>
          <w:szCs w:val="24"/>
        </w:rPr>
        <w:t xml:space="preserve"> </w:t>
      </w:r>
      <w:r w:rsidR="00151B8E">
        <w:rPr>
          <w:rFonts w:asciiTheme="majorBidi" w:hAnsiTheme="majorBidi" w:cstheme="majorBidi"/>
          <w:sz w:val="24"/>
          <w:szCs w:val="24"/>
        </w:rPr>
        <w:t>“</w:t>
      </w:r>
      <w:r w:rsidRPr="00AE0D64">
        <w:rPr>
          <w:rFonts w:asciiTheme="majorBidi" w:hAnsiTheme="majorBidi" w:cstheme="majorBidi"/>
          <w:sz w:val="24"/>
          <w:szCs w:val="24"/>
        </w:rPr>
        <w:t>Thalassemia is derived from the Greek words “Thalassa” (sea) and “Haema”      (blood) and refers to disorders associated with the defective synthesis of α - or β -globin subunits of hemoglobin (Hb) A (</w:t>
      </w:r>
      <w:bookmarkStart w:id="0" w:name="_Hlk116123232"/>
      <w:r w:rsidRPr="00AE0D64">
        <w:rPr>
          <w:rFonts w:asciiTheme="majorBidi" w:hAnsiTheme="majorBidi" w:cstheme="majorBidi"/>
          <w:sz w:val="24"/>
          <w:szCs w:val="24"/>
        </w:rPr>
        <w:t>α</w:t>
      </w:r>
      <w:bookmarkEnd w:id="0"/>
      <w:r w:rsidRPr="00AE0D64">
        <w:rPr>
          <w:rFonts w:asciiTheme="majorBidi" w:hAnsiTheme="majorBidi" w:cstheme="majorBidi"/>
          <w:sz w:val="24"/>
          <w:szCs w:val="24"/>
        </w:rPr>
        <w:t xml:space="preserve">2; </w:t>
      </w:r>
      <w:bookmarkStart w:id="1" w:name="_Hlk116123245"/>
      <w:r w:rsidRPr="00AE0D64">
        <w:rPr>
          <w:rFonts w:asciiTheme="majorBidi" w:hAnsiTheme="majorBidi" w:cstheme="majorBidi"/>
          <w:sz w:val="24"/>
          <w:szCs w:val="24"/>
        </w:rPr>
        <w:t>β</w:t>
      </w:r>
      <w:bookmarkEnd w:id="1"/>
      <w:r w:rsidRPr="00AE0D64">
        <w:rPr>
          <w:rFonts w:asciiTheme="majorBidi" w:hAnsiTheme="majorBidi" w:cstheme="majorBidi"/>
          <w:sz w:val="24"/>
          <w:szCs w:val="24"/>
        </w:rPr>
        <w:t>2), inherited as pathologic alleles of one or more of the globin genes located on chromosomes 11 (</w:t>
      </w:r>
      <w:bookmarkStart w:id="2" w:name="_Hlk116123274"/>
      <w:r w:rsidRPr="00AE0D64">
        <w:rPr>
          <w:rFonts w:asciiTheme="majorBidi" w:hAnsiTheme="majorBidi" w:cstheme="majorBidi"/>
          <w:sz w:val="24"/>
          <w:szCs w:val="24"/>
        </w:rPr>
        <w:t>α</w:t>
      </w:r>
      <w:bookmarkEnd w:id="2"/>
      <w:r w:rsidRPr="00AE0D64">
        <w:rPr>
          <w:rFonts w:asciiTheme="majorBidi" w:hAnsiTheme="majorBidi" w:cstheme="majorBidi"/>
          <w:sz w:val="24"/>
          <w:szCs w:val="24"/>
        </w:rPr>
        <w:t>) and 16 (β). More than 200 deletions or point mutations that impair the transcription, processing, or translation of α - or β -β-β-globin mRNA have been identified</w:t>
      </w:r>
      <w:r w:rsidR="00151B8E">
        <w:rPr>
          <w:rFonts w:asciiTheme="majorBidi" w:hAnsiTheme="majorBidi" w:cstheme="majorBidi"/>
          <w:sz w:val="24"/>
          <w:szCs w:val="24"/>
        </w:rPr>
        <w:t>”</w:t>
      </w:r>
      <w:r w:rsidRPr="00AE0D64">
        <w:rPr>
          <w:rFonts w:asciiTheme="majorBidi" w:hAnsiTheme="majorBidi" w:cstheme="majorBidi"/>
          <w:sz w:val="24"/>
          <w:szCs w:val="24"/>
        </w:rPr>
        <w:t>.</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{"citationItems":[{"id":"ITEM-1","itemData":{"id":"ITEM-1","issued":{"date-parts":[["0"]]},"title":"Steinberg, M., Forget, B., Higgs, D., &amp; Weatherall, D. (2009). THE β THALASSEMIAS. In Disorders of Hemoglobin: Genetics, Pathophysiology, and Clinical Management (pp. 321-322). Cambridge: Cambridge University Press. doi:10.1017/CBO9780511596582.022","type":"article-journal"},"uris":["http://www.mendeley.com/documents/?uuid=c0ca8eda-1664-42be-93f7-7f5da4ab6565"]}],"mendeley":{"formattedCitation":"[3]","plainTextFormattedCitation":"[3]","previouslyFormattedCitation":"[3]"},"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[3]</w:t>
      </w:r>
      <w:r w:rsidRPr="00AE0D64">
        <w:rPr>
          <w:rFonts w:asciiTheme="majorBidi" w:hAnsiTheme="majorBidi" w:cstheme="majorBidi"/>
          <w:sz w:val="24"/>
          <w:szCs w:val="24"/>
        </w:rPr>
        <w:fldChar w:fldCharType="end"/>
      </w:r>
      <w:r w:rsidRPr="00AE0D64">
        <w:rPr>
          <w:rFonts w:asciiTheme="majorBidi" w:hAnsiTheme="majorBidi" w:cstheme="majorBidi"/>
          <w:sz w:val="24"/>
          <w:szCs w:val="24"/>
        </w:rPr>
        <w:t xml:space="preserve">  </w:t>
      </w:r>
    </w:p>
    <w:p w14:paraId="161F9891" w14:textId="3DC6FDD0" w:rsidR="006E38BF" w:rsidRPr="00AE0D64" w:rsidRDefault="00151B8E" w:rsidP="006E38BF">
      <w:pPr>
        <w:spacing w:before="120" w:after="120" w:line="360" w:lineRule="auto"/>
        <w:jc w:val="both"/>
        <w:rPr>
          <w:rFonts w:asciiTheme="majorBidi" w:hAnsiTheme="majorBidi" w:cstheme="majorBidi"/>
          <w:sz w:val="24"/>
          <w:szCs w:val="24"/>
        </w:rPr>
      </w:pPr>
      <w:r>
        <w:rPr>
          <w:rFonts w:asciiTheme="majorBidi" w:hAnsiTheme="majorBidi" w:cstheme="majorBidi"/>
          <w:sz w:val="24"/>
          <w:szCs w:val="24"/>
        </w:rPr>
        <w:t>“</w:t>
      </w:r>
      <w:r w:rsidR="006E38BF" w:rsidRPr="00AE0D64">
        <w:rPr>
          <w:rFonts w:asciiTheme="majorBidi" w:hAnsiTheme="majorBidi" w:cstheme="majorBidi"/>
          <w:sz w:val="24"/>
          <w:szCs w:val="24"/>
        </w:rPr>
        <w:t xml:space="preserve">Thalassemia syndrome is classified according to which of the globin chains, α or </w:t>
      </w:r>
      <w:bookmarkStart w:id="3" w:name="_Hlk116124547"/>
      <w:r w:rsidR="006E38BF" w:rsidRPr="00AE0D64">
        <w:rPr>
          <w:rFonts w:asciiTheme="majorBidi" w:hAnsiTheme="majorBidi" w:cstheme="majorBidi"/>
          <w:sz w:val="24"/>
          <w:szCs w:val="24"/>
        </w:rPr>
        <w:t>β</w:t>
      </w:r>
      <w:bookmarkEnd w:id="3"/>
      <w:r w:rsidR="006E38BF" w:rsidRPr="00AE0D64">
        <w:rPr>
          <w:rFonts w:asciiTheme="majorBidi" w:hAnsiTheme="majorBidi" w:cstheme="majorBidi"/>
          <w:sz w:val="24"/>
          <w:szCs w:val="24"/>
        </w:rPr>
        <w:t xml:space="preserve">, is affected. These 2 major groups, α - and </w:t>
      </w:r>
      <w:bookmarkStart w:id="4" w:name="_Hlk116124734"/>
      <w:r w:rsidR="006E38BF" w:rsidRPr="00AE0D64">
        <w:rPr>
          <w:rFonts w:asciiTheme="majorBidi" w:hAnsiTheme="majorBidi" w:cstheme="majorBidi"/>
          <w:sz w:val="24"/>
          <w:szCs w:val="24"/>
        </w:rPr>
        <w:t>β</w:t>
      </w:r>
      <w:bookmarkEnd w:id="4"/>
      <w:r w:rsidR="006E38BF" w:rsidRPr="00AE0D64">
        <w:rPr>
          <w:rFonts w:asciiTheme="majorBidi" w:hAnsiTheme="majorBidi" w:cstheme="majorBidi"/>
          <w:sz w:val="24"/>
          <w:szCs w:val="24"/>
        </w:rPr>
        <w:t xml:space="preserve"> -β-β-thalassemia, are subclassified according to absent (</w:t>
      </w:r>
      <w:bookmarkStart w:id="5" w:name="_Hlk116123950"/>
      <w:r w:rsidR="006E38BF" w:rsidRPr="00AE0D64">
        <w:rPr>
          <w:rFonts w:asciiTheme="majorBidi" w:hAnsiTheme="majorBidi" w:cstheme="majorBidi"/>
          <w:sz w:val="24"/>
          <w:szCs w:val="24"/>
        </w:rPr>
        <w:t xml:space="preserve">α </w:t>
      </w:r>
      <w:r w:rsidR="006E38BF" w:rsidRPr="00AE0D64">
        <w:rPr>
          <w:rFonts w:asciiTheme="majorBidi" w:hAnsiTheme="majorBidi" w:cstheme="majorBidi"/>
          <w:sz w:val="24"/>
          <w:szCs w:val="24"/>
          <w:vertAlign w:val="superscript"/>
        </w:rPr>
        <w:t>o</w:t>
      </w:r>
      <w:bookmarkEnd w:id="5"/>
      <w:r w:rsidR="006E38BF" w:rsidRPr="00AE0D64">
        <w:rPr>
          <w:rFonts w:asciiTheme="majorBidi" w:hAnsiTheme="majorBidi" w:cstheme="majorBidi"/>
          <w:sz w:val="24"/>
          <w:szCs w:val="24"/>
        </w:rPr>
        <w:t xml:space="preserve"> and β </w:t>
      </w:r>
      <w:r w:rsidR="006E38BF" w:rsidRPr="00AE0D64">
        <w:rPr>
          <w:rFonts w:asciiTheme="majorBidi" w:hAnsiTheme="majorBidi" w:cstheme="majorBidi"/>
          <w:sz w:val="24"/>
          <w:szCs w:val="24"/>
          <w:vertAlign w:val="superscript"/>
        </w:rPr>
        <w:t>o</w:t>
      </w:r>
      <w:r w:rsidR="006E38BF" w:rsidRPr="00AE0D64">
        <w:rPr>
          <w:rFonts w:asciiTheme="majorBidi" w:hAnsiTheme="majorBidi" w:cstheme="majorBidi"/>
          <w:sz w:val="24"/>
          <w:szCs w:val="24"/>
        </w:rPr>
        <w:t>) or reduced (</w:t>
      </w:r>
      <w:bookmarkStart w:id="6" w:name="_Hlk116124667"/>
      <w:r w:rsidR="006E38BF" w:rsidRPr="00AE0D64">
        <w:rPr>
          <w:rFonts w:asciiTheme="majorBidi" w:hAnsiTheme="majorBidi" w:cstheme="majorBidi"/>
          <w:sz w:val="24"/>
          <w:szCs w:val="24"/>
        </w:rPr>
        <w:t>α</w:t>
      </w:r>
      <w:bookmarkEnd w:id="6"/>
      <w:r w:rsidR="006E38BF" w:rsidRPr="00AE0D64">
        <w:rPr>
          <w:rFonts w:asciiTheme="majorBidi" w:hAnsiTheme="majorBidi" w:cstheme="majorBidi"/>
          <w:sz w:val="24"/>
          <w:szCs w:val="24"/>
        </w:rPr>
        <w:t xml:space="preserve"> </w:t>
      </w:r>
      <w:r w:rsidR="006E38BF" w:rsidRPr="00AE0D64">
        <w:rPr>
          <w:rFonts w:asciiTheme="majorBidi" w:hAnsiTheme="majorBidi" w:cstheme="majorBidi"/>
          <w:sz w:val="24"/>
          <w:szCs w:val="24"/>
          <w:vertAlign w:val="superscript"/>
        </w:rPr>
        <w:t>+</w:t>
      </w:r>
      <w:r w:rsidR="006E38BF" w:rsidRPr="00AE0D64">
        <w:rPr>
          <w:rFonts w:asciiTheme="majorBidi" w:hAnsiTheme="majorBidi" w:cstheme="majorBidi"/>
          <w:sz w:val="24"/>
          <w:szCs w:val="24"/>
        </w:rPr>
        <w:t xml:space="preserve"> or β </w:t>
      </w:r>
      <w:r w:rsidR="006E38BF" w:rsidRPr="00AE0D64">
        <w:rPr>
          <w:rFonts w:asciiTheme="majorBidi" w:hAnsiTheme="majorBidi" w:cstheme="majorBidi"/>
          <w:sz w:val="24"/>
          <w:szCs w:val="24"/>
          <w:vertAlign w:val="superscript"/>
        </w:rPr>
        <w:t>+</w:t>
      </w:r>
      <w:r w:rsidR="006E38BF" w:rsidRPr="00AE0D64">
        <w:rPr>
          <w:rFonts w:asciiTheme="majorBidi" w:hAnsiTheme="majorBidi" w:cstheme="majorBidi"/>
          <w:sz w:val="24"/>
          <w:szCs w:val="24"/>
        </w:rPr>
        <w:t xml:space="preserve">) globin chain synthesis. In addition, where </w:t>
      </w:r>
      <w:bookmarkStart w:id="7" w:name="_Hlk116124438"/>
      <w:r w:rsidR="006E38BF" w:rsidRPr="00AE0D64">
        <w:rPr>
          <w:rFonts w:asciiTheme="majorBidi" w:hAnsiTheme="majorBidi" w:cstheme="majorBidi"/>
          <w:sz w:val="24"/>
          <w:szCs w:val="24"/>
        </w:rPr>
        <w:t>ɤ</w:t>
      </w:r>
      <w:bookmarkEnd w:id="7"/>
      <w:r w:rsidR="006E38BF" w:rsidRPr="00AE0D64">
        <w:rPr>
          <w:rFonts w:asciiTheme="majorBidi" w:hAnsiTheme="majorBidi" w:cstheme="majorBidi"/>
          <w:sz w:val="24"/>
          <w:szCs w:val="24"/>
        </w:rPr>
        <w:t>-chains together with α -α-α-α-α-α-α-α-chains compose fetal hemoglobin (</w:t>
      </w:r>
      <w:proofErr w:type="spellStart"/>
      <w:r w:rsidR="006E38BF" w:rsidRPr="00AE0D64">
        <w:rPr>
          <w:rFonts w:asciiTheme="majorBidi" w:hAnsiTheme="majorBidi" w:cstheme="majorBidi"/>
          <w:sz w:val="24"/>
          <w:szCs w:val="24"/>
        </w:rPr>
        <w:t>HbF</w:t>
      </w:r>
      <w:proofErr w:type="spellEnd"/>
      <w:r w:rsidR="006E38BF" w:rsidRPr="00AE0D64">
        <w:rPr>
          <w:rFonts w:asciiTheme="majorBidi" w:hAnsiTheme="majorBidi" w:cstheme="majorBidi"/>
          <w:sz w:val="24"/>
          <w:szCs w:val="24"/>
        </w:rPr>
        <w:t xml:space="preserve">) in the fetus and α-chains in combination with δ-chains compose hemoglobin A2 in adults, impaired synthesis of </w:t>
      </w:r>
      <w:bookmarkStart w:id="8" w:name="_Hlk116124858"/>
      <w:r w:rsidR="006E38BF" w:rsidRPr="00AE0D64">
        <w:rPr>
          <w:rFonts w:asciiTheme="majorBidi" w:hAnsiTheme="majorBidi" w:cstheme="majorBidi"/>
          <w:sz w:val="24"/>
          <w:szCs w:val="24"/>
        </w:rPr>
        <w:t>ɤ</w:t>
      </w:r>
      <w:bookmarkEnd w:id="8"/>
      <w:r w:rsidR="006E38BF" w:rsidRPr="00AE0D64">
        <w:rPr>
          <w:rFonts w:asciiTheme="majorBidi" w:hAnsiTheme="majorBidi" w:cstheme="majorBidi"/>
          <w:sz w:val="24"/>
          <w:szCs w:val="24"/>
        </w:rPr>
        <w:t xml:space="preserve"> -ɤ-ɤ-ɤ-ɤ-ɤ-globin or δ-globin chains can occur. Although the switch from ɤ - to β -β-globin synthesis begins before birth, the replacement of </w:t>
      </w:r>
      <w:proofErr w:type="spellStart"/>
      <w:r w:rsidR="006E38BF" w:rsidRPr="00AE0D64">
        <w:rPr>
          <w:rFonts w:asciiTheme="majorBidi" w:hAnsiTheme="majorBidi" w:cstheme="majorBidi"/>
          <w:sz w:val="24"/>
          <w:szCs w:val="24"/>
        </w:rPr>
        <w:t>HbF</w:t>
      </w:r>
      <w:proofErr w:type="spellEnd"/>
      <w:r w:rsidR="006E38BF" w:rsidRPr="00AE0D64">
        <w:rPr>
          <w:rFonts w:asciiTheme="majorBidi" w:hAnsiTheme="majorBidi" w:cstheme="majorBidi"/>
          <w:sz w:val="24"/>
          <w:szCs w:val="24"/>
        </w:rPr>
        <w:t xml:space="preserve"> by </w:t>
      </w:r>
      <w:proofErr w:type="spellStart"/>
      <w:r w:rsidR="006E38BF" w:rsidRPr="00AE0D64">
        <w:rPr>
          <w:rFonts w:asciiTheme="majorBidi" w:hAnsiTheme="majorBidi" w:cstheme="majorBidi"/>
          <w:sz w:val="24"/>
          <w:szCs w:val="24"/>
        </w:rPr>
        <w:t>HbA</w:t>
      </w:r>
      <w:proofErr w:type="spellEnd"/>
      <w:r w:rsidR="006E38BF" w:rsidRPr="00AE0D64">
        <w:rPr>
          <w:rFonts w:asciiTheme="majorBidi" w:hAnsiTheme="majorBidi" w:cstheme="majorBidi"/>
          <w:sz w:val="24"/>
          <w:szCs w:val="24"/>
        </w:rPr>
        <w:t xml:space="preserve"> occurs postnatally. Consequently, newborn infants with severe β-globin chain abnormalities are asymptomatic until 4-6 months of age</w:t>
      </w:r>
      <w:r>
        <w:rPr>
          <w:rFonts w:asciiTheme="majorBidi" w:hAnsiTheme="majorBidi" w:cstheme="majorBidi"/>
          <w:sz w:val="24"/>
          <w:szCs w:val="24"/>
        </w:rPr>
        <w:t>”</w:t>
      </w:r>
      <w:r w:rsidR="006E38BF" w:rsidRPr="00AE0D64">
        <w:rPr>
          <w:rFonts w:asciiTheme="majorBidi" w:hAnsiTheme="majorBidi" w:cstheme="majorBidi"/>
          <w:sz w:val="24"/>
          <w:szCs w:val="24"/>
        </w:rPr>
        <w:t>.</w:t>
      </w:r>
      <w:r w:rsidR="006E38BF" w:rsidRPr="00AE0D64">
        <w:rPr>
          <w:rFonts w:asciiTheme="majorBidi" w:hAnsiTheme="majorBidi" w:cstheme="majorBidi"/>
          <w:sz w:val="24"/>
          <w:szCs w:val="24"/>
          <w:vertAlign w:val="superscript"/>
        </w:rPr>
        <w:fldChar w:fldCharType="begin" w:fldLock="1"/>
      </w:r>
      <w:r w:rsidR="006E38BF" w:rsidRPr="00AE0D64">
        <w:rPr>
          <w:rFonts w:asciiTheme="majorBidi" w:hAnsiTheme="majorBidi" w:cstheme="majorBidi"/>
          <w:sz w:val="24"/>
          <w:szCs w:val="24"/>
          <w:vertAlign w:val="superscript"/>
        </w:rPr>
        <w:instrText>ADDIN CSL_CITATION {"citationItems":[{"id":"ITEM-1","itemData":{"DOI":"10.1182/blood-2010-08-300335.","author":[{"dropping-particle":"","family":"Rachmilewitz","given":"Eliezer A","non-dropping-particle":"","parse-names":false,"suffix":""},{"dropping-particle":"","family":"Giardina","given":"Patricia J","non-dropping-particle":"","parse-names":false,"suffix":""}],"id":"ITEM-1","issue":"13","issued":{"date-parts":[["2011"]]},"page":"3479-3488","title":"How I treat thalassemia","type":"article-journal","volume":"118"},"uris":["http://www.mendeley.com/documents/?uuid=0a52655b-ec2d-48e2-bd40-4e5dd1a9c68e"]}],"mendeley":{"formattedCitation":"[4]","plainTextFormattedCitation":"[4]","previouslyFormattedCitation":"[4]"},"properties":{"noteIndex":0},"schema":"https://github.com/citation-style-language/schema/raw/master/csl-citation.json"}</w:instrText>
      </w:r>
      <w:r w:rsidR="006E38BF" w:rsidRPr="00AE0D64">
        <w:rPr>
          <w:rFonts w:asciiTheme="majorBidi" w:hAnsiTheme="majorBidi" w:cstheme="majorBidi"/>
          <w:sz w:val="24"/>
          <w:szCs w:val="24"/>
          <w:vertAlign w:val="superscript"/>
        </w:rPr>
        <w:fldChar w:fldCharType="separate"/>
      </w:r>
      <w:r w:rsidR="006E38BF" w:rsidRPr="00AE0D64">
        <w:rPr>
          <w:rFonts w:asciiTheme="majorBidi" w:hAnsiTheme="majorBidi" w:cstheme="majorBidi"/>
          <w:noProof/>
          <w:sz w:val="24"/>
          <w:szCs w:val="24"/>
        </w:rPr>
        <w:t>[4]</w:t>
      </w:r>
      <w:r w:rsidR="006E38BF" w:rsidRPr="00AE0D64">
        <w:rPr>
          <w:rFonts w:asciiTheme="majorBidi" w:hAnsiTheme="majorBidi" w:cstheme="majorBidi"/>
          <w:sz w:val="24"/>
          <w:szCs w:val="24"/>
          <w:vertAlign w:val="superscript"/>
        </w:rPr>
        <w:fldChar w:fldCharType="end"/>
      </w:r>
    </w:p>
    <w:p w14:paraId="552CA7A6" w14:textId="77777777" w:rsidR="006E38BF" w:rsidRPr="00AE0D64" w:rsidRDefault="006E38BF" w:rsidP="006E38BF">
      <w:pPr>
        <w:jc w:val="center"/>
        <w:rPr>
          <w:rFonts w:asciiTheme="majorBidi" w:hAnsiTheme="majorBidi" w:cstheme="majorBidi"/>
          <w:sz w:val="24"/>
          <w:szCs w:val="24"/>
        </w:rPr>
      </w:pPr>
    </w:p>
    <w:p w14:paraId="2D287541" w14:textId="09BBEEB2" w:rsidR="006E38BF" w:rsidRPr="00AE0D64" w:rsidRDefault="00151B8E" w:rsidP="006E38BF">
      <w:pPr>
        <w:spacing w:before="120" w:after="120" w:line="360" w:lineRule="auto"/>
        <w:jc w:val="both"/>
        <w:rPr>
          <w:rFonts w:asciiTheme="majorBidi" w:hAnsiTheme="majorBidi" w:cstheme="majorBidi"/>
          <w:sz w:val="24"/>
          <w:szCs w:val="24"/>
        </w:rPr>
      </w:pPr>
      <w:r>
        <w:rPr>
          <w:rFonts w:asciiTheme="majorBidi" w:hAnsiTheme="majorBidi" w:cstheme="majorBidi"/>
          <w:sz w:val="24"/>
          <w:szCs w:val="24"/>
        </w:rPr>
        <w:t>“</w:t>
      </w:r>
      <w:r w:rsidR="006E38BF" w:rsidRPr="00AE0D64">
        <w:rPr>
          <w:rFonts w:asciiTheme="majorBidi" w:hAnsiTheme="majorBidi" w:cstheme="majorBidi"/>
          <w:sz w:val="24"/>
          <w:szCs w:val="24"/>
        </w:rPr>
        <w:t xml:space="preserve">The diagnosis of β-thalassemia is established in a proband older than age 12 months based on the hematologic findings of microcytic hypochromic anemia, nucleated RBCs on peripheral blood smear, and Hb analysis that reveals decreased amounts of HbA and increased amounts of </w:t>
      </w:r>
      <w:proofErr w:type="spellStart"/>
      <w:r w:rsidR="006E38BF" w:rsidRPr="00AE0D64">
        <w:rPr>
          <w:rFonts w:asciiTheme="majorBidi" w:hAnsiTheme="majorBidi" w:cstheme="majorBidi"/>
          <w:sz w:val="24"/>
          <w:szCs w:val="24"/>
        </w:rPr>
        <w:t>HbF</w:t>
      </w:r>
      <w:proofErr w:type="spellEnd"/>
      <w:r w:rsidR="006E38BF" w:rsidRPr="00AE0D64">
        <w:rPr>
          <w:rFonts w:asciiTheme="majorBidi" w:hAnsiTheme="majorBidi" w:cstheme="majorBidi"/>
          <w:sz w:val="24"/>
          <w:szCs w:val="24"/>
        </w:rPr>
        <w:t xml:space="preserve">. The diagnosis of β-thalassemia is established in a proband younger than age 12 months by detecting a complete absence of HbA. Definitive diagnosis of β+-thalassemia by Hb electrophoresis and HPLC is not possible in the newborn period because the diminished amount of HbA overlaps the range for normal babies. Thalassemia may be suspected based on the microcytic hypochromic anemia with nucleated RBCs on peripheral blood Smear and confirmed with the molecular analysis </w:t>
      </w:r>
      <w:r w:rsidR="006E38BF" w:rsidRPr="00AE0D64">
        <w:rPr>
          <w:rFonts w:asciiTheme="majorBidi" w:hAnsiTheme="majorBidi" w:cstheme="majorBidi"/>
          <w:sz w:val="24"/>
          <w:szCs w:val="24"/>
        </w:rPr>
        <w:lastRenderedPageBreak/>
        <w:t>of HBB</w:t>
      </w:r>
      <w:r>
        <w:rPr>
          <w:rFonts w:asciiTheme="majorBidi" w:hAnsiTheme="majorBidi" w:cstheme="majorBidi"/>
          <w:sz w:val="24"/>
          <w:szCs w:val="24"/>
        </w:rPr>
        <w:t>”</w:t>
      </w:r>
      <w:r w:rsidR="006E38BF" w:rsidRPr="00AE0D64">
        <w:rPr>
          <w:rFonts w:asciiTheme="majorBidi" w:hAnsiTheme="majorBidi" w:cstheme="majorBidi"/>
          <w:sz w:val="24"/>
          <w:szCs w:val="24"/>
        </w:rPr>
        <w:t xml:space="preserve">. </w:t>
      </w:r>
      <w:r w:rsidR="006E38BF" w:rsidRPr="00AE0D64">
        <w:rPr>
          <w:rFonts w:asciiTheme="majorBidi" w:hAnsiTheme="majorBidi" w:cstheme="majorBidi"/>
          <w:sz w:val="24"/>
          <w:szCs w:val="24"/>
        </w:rPr>
        <w:fldChar w:fldCharType="begin" w:fldLock="1"/>
      </w:r>
      <w:r w:rsidR="006E38BF" w:rsidRPr="00AE0D64">
        <w:rPr>
          <w:rFonts w:asciiTheme="majorBidi" w:hAnsiTheme="majorBidi" w:cstheme="majorBidi"/>
          <w:sz w:val="24"/>
          <w:szCs w:val="24"/>
        </w:rPr>
        <w:instrText>ADDIN CSL_CITATION {"citationItems":[{"id":"ITEM-1","itemData":{"DOI":"10.1038/gim.2016.173","author":[{"dropping-particle":"","family":"Origa","given":"Raffaella","non-dropping-particle":"","parse-names":false,"suffix":""}],"id":"ITEM-1","issue":"6","issued":{"date-parts":[["2017"]]},"page":"609-619","title":"β -Thalassemia","type":"article-journal","volume":"19"},"uris":["http://www.mendeley.com/documents/?uuid=a9d879d6-204a-419f-821a-4989de23ba31"]}],"mendeley":{"formattedCitation":"[5]","plainTextFormattedCitation":"[5]","previouslyFormattedCitation":"[5]"},"properties":{"noteIndex":0},"schema":"https://github.com/citation-style-language/schema/raw/master/csl-citation.json"}</w:instrText>
      </w:r>
      <w:r w:rsidR="006E38BF" w:rsidRPr="00AE0D64">
        <w:rPr>
          <w:rFonts w:asciiTheme="majorBidi" w:hAnsiTheme="majorBidi" w:cstheme="majorBidi"/>
          <w:sz w:val="24"/>
          <w:szCs w:val="24"/>
        </w:rPr>
        <w:fldChar w:fldCharType="separate"/>
      </w:r>
      <w:r w:rsidR="006E38BF" w:rsidRPr="00AE0D64">
        <w:rPr>
          <w:rFonts w:asciiTheme="majorBidi" w:hAnsiTheme="majorBidi" w:cstheme="majorBidi"/>
          <w:noProof/>
          <w:sz w:val="24"/>
          <w:szCs w:val="24"/>
        </w:rPr>
        <w:t>[5]</w:t>
      </w:r>
      <w:r w:rsidR="006E38BF" w:rsidRPr="00AE0D64">
        <w:rPr>
          <w:rFonts w:asciiTheme="majorBidi" w:hAnsiTheme="majorBidi" w:cstheme="majorBidi"/>
          <w:sz w:val="24"/>
          <w:szCs w:val="24"/>
        </w:rPr>
        <w:fldChar w:fldCharType="end"/>
      </w:r>
      <w:r>
        <w:rPr>
          <w:rFonts w:asciiTheme="majorBidi" w:hAnsiTheme="majorBidi" w:cstheme="majorBidi"/>
          <w:sz w:val="24"/>
          <w:szCs w:val="24"/>
        </w:rPr>
        <w:t xml:space="preserve"> “</w:t>
      </w:r>
      <w:r w:rsidR="006E38BF" w:rsidRPr="00AE0D64">
        <w:rPr>
          <w:rFonts w:asciiTheme="majorBidi" w:hAnsiTheme="majorBidi" w:cstheme="majorBidi"/>
          <w:sz w:val="24"/>
          <w:szCs w:val="24"/>
        </w:rPr>
        <w:t>More than 90 % of β-globin mutations have been determined by the PCR technique, which is used extensively in laboratories due to the ease of detection of such mutations</w:t>
      </w:r>
      <w:r>
        <w:rPr>
          <w:rFonts w:asciiTheme="majorBidi" w:hAnsiTheme="majorBidi" w:cstheme="majorBidi"/>
          <w:sz w:val="24"/>
          <w:szCs w:val="24"/>
        </w:rPr>
        <w:t>”</w:t>
      </w:r>
      <w:r w:rsidR="006E38BF" w:rsidRPr="00AE0D64">
        <w:rPr>
          <w:rFonts w:asciiTheme="majorBidi" w:hAnsiTheme="majorBidi" w:cstheme="majorBidi"/>
          <w:sz w:val="24"/>
          <w:szCs w:val="24"/>
        </w:rPr>
        <w:t xml:space="preserve"> </w:t>
      </w:r>
      <w:r w:rsidR="006E38BF" w:rsidRPr="00AE0D64">
        <w:rPr>
          <w:rFonts w:asciiTheme="majorBidi" w:hAnsiTheme="majorBidi" w:cstheme="majorBidi"/>
          <w:sz w:val="24"/>
          <w:szCs w:val="24"/>
        </w:rPr>
        <w:fldChar w:fldCharType="begin" w:fldLock="1"/>
      </w:r>
      <w:r w:rsidR="006E38BF" w:rsidRPr="00AE0D64">
        <w:rPr>
          <w:rFonts w:asciiTheme="majorBidi" w:hAnsiTheme="majorBidi" w:cstheme="majorBidi"/>
          <w:sz w:val="24"/>
          <w:szCs w:val="24"/>
        </w:rPr>
        <w:instrText>ADDIN CSL_CITATION {"citationItems":[{"id":"ITEM-1","itemData":{"id":"ITEM-1","issued":{"date-parts":[["0"]]},"title":"Baig, S., Azhar A. and Hassan H. 2006.\"Spectrum of beta-thalassemia mutations in various regions of Punjab and Islamabad, Pakistan: Establishment of prenatal diagnosis\". Haematologica, 91: 13-15","type":"article-journal"},"uris":["http://www.mendeley.com/documents/?uuid=7b49ded3-e0fb-470e-99bf-3a1f5c2c3dcd"]}],"mendeley":{"formattedCitation":"[6]","plainTextFormattedCitation":"[6]","previouslyFormattedCitation":"[6]"},"properties":{"noteIndex":0},"schema":"https://github.com/citation-style-language/schema/raw/master/csl-citation.json"}</w:instrText>
      </w:r>
      <w:r w:rsidR="006E38BF" w:rsidRPr="00AE0D64">
        <w:rPr>
          <w:rFonts w:asciiTheme="majorBidi" w:hAnsiTheme="majorBidi" w:cstheme="majorBidi"/>
          <w:sz w:val="24"/>
          <w:szCs w:val="24"/>
        </w:rPr>
        <w:fldChar w:fldCharType="separate"/>
      </w:r>
      <w:r w:rsidR="006E38BF" w:rsidRPr="00AE0D64">
        <w:rPr>
          <w:rFonts w:asciiTheme="majorBidi" w:hAnsiTheme="majorBidi" w:cstheme="majorBidi"/>
          <w:noProof/>
          <w:sz w:val="24"/>
          <w:szCs w:val="24"/>
        </w:rPr>
        <w:t>[6]</w:t>
      </w:r>
      <w:r w:rsidR="006E38BF" w:rsidRPr="00AE0D64">
        <w:rPr>
          <w:rFonts w:asciiTheme="majorBidi" w:hAnsiTheme="majorBidi" w:cstheme="majorBidi"/>
          <w:sz w:val="24"/>
          <w:szCs w:val="24"/>
        </w:rPr>
        <w:fldChar w:fldCharType="end"/>
      </w:r>
      <w:r w:rsidR="006E38BF" w:rsidRPr="00AE0D64">
        <w:rPr>
          <w:rFonts w:asciiTheme="majorBidi" w:hAnsiTheme="majorBidi" w:cstheme="majorBidi"/>
          <w:sz w:val="24"/>
          <w:szCs w:val="24"/>
        </w:rPr>
        <w:t>,</w:t>
      </w:r>
      <w:r w:rsidR="006E38BF" w:rsidRPr="00AE0D64">
        <w:rPr>
          <w:rFonts w:asciiTheme="majorBidi" w:hAnsiTheme="majorBidi" w:cstheme="majorBidi"/>
          <w:sz w:val="24"/>
          <w:szCs w:val="24"/>
        </w:rPr>
        <w:fldChar w:fldCharType="begin" w:fldLock="1"/>
      </w:r>
      <w:r w:rsidR="006E38BF" w:rsidRPr="00AE0D64">
        <w:rPr>
          <w:rFonts w:asciiTheme="majorBidi" w:hAnsiTheme="majorBidi" w:cstheme="majorBidi"/>
          <w:sz w:val="24"/>
          <w:szCs w:val="24"/>
        </w:rPr>
        <w:instrText>ADDIN CSL_CITATION {"citationItems":[{"id":"ITEM-1","itemData":{"id":"ITEM-1","issued":{"date-parts":[["0"]]},"title":"Owayes M. H. 2020.\"Role of MTHFR C667T and MTRR A66G genes polymorphism with thyroid disorders\". 1st International Conference on Pure Science (ISCPS-2020). Journal of Physics: Conference Series. 2020","type":"article-journal"},"uris":["http://www.mendeley.com/documents/?uuid=0d2e51f3-246c-4246-909f-8c0d42d713a6"]}],"mendeley":{"formattedCitation":"[7]","plainTextFormattedCitation":"[7]","previouslyFormattedCitation":"[7]"},"properties":{"noteIndex":0},"schema":"https://github.com/citation-style-language/schema/raw/master/csl-citation.json"}</w:instrText>
      </w:r>
      <w:r w:rsidR="006E38BF" w:rsidRPr="00AE0D64">
        <w:rPr>
          <w:rFonts w:asciiTheme="majorBidi" w:hAnsiTheme="majorBidi" w:cstheme="majorBidi"/>
          <w:sz w:val="24"/>
          <w:szCs w:val="24"/>
        </w:rPr>
        <w:fldChar w:fldCharType="separate"/>
      </w:r>
      <w:r w:rsidR="006E38BF" w:rsidRPr="00AE0D64">
        <w:rPr>
          <w:rFonts w:asciiTheme="majorBidi" w:hAnsiTheme="majorBidi" w:cstheme="majorBidi"/>
          <w:noProof/>
          <w:sz w:val="24"/>
          <w:szCs w:val="24"/>
        </w:rPr>
        <w:t>[7]</w:t>
      </w:r>
      <w:r w:rsidR="006E38BF" w:rsidRPr="00AE0D64">
        <w:rPr>
          <w:rFonts w:asciiTheme="majorBidi" w:hAnsiTheme="majorBidi" w:cstheme="majorBidi"/>
          <w:sz w:val="24"/>
          <w:szCs w:val="24"/>
        </w:rPr>
        <w:fldChar w:fldCharType="end"/>
      </w:r>
      <w:r w:rsidR="006E38BF" w:rsidRPr="00AE0D64">
        <w:rPr>
          <w:rFonts w:asciiTheme="majorBidi" w:hAnsiTheme="majorBidi" w:cstheme="majorBidi"/>
          <w:sz w:val="24"/>
          <w:szCs w:val="24"/>
        </w:rPr>
        <w:t xml:space="preserve">. However, </w:t>
      </w:r>
      <w:r>
        <w:rPr>
          <w:rFonts w:asciiTheme="majorBidi" w:hAnsiTheme="majorBidi" w:cstheme="majorBidi"/>
          <w:sz w:val="24"/>
          <w:szCs w:val="24"/>
        </w:rPr>
        <w:t>“</w:t>
      </w:r>
      <w:r w:rsidR="006E38BF" w:rsidRPr="00AE0D64">
        <w:rPr>
          <w:rFonts w:asciiTheme="majorBidi" w:hAnsiTheme="majorBidi" w:cstheme="majorBidi"/>
          <w:sz w:val="24"/>
          <w:szCs w:val="24"/>
        </w:rPr>
        <w:t>PCR sequencing normally detects one mutation for each reaction and can be exhausting and expensive</w:t>
      </w:r>
      <w:r>
        <w:rPr>
          <w:rFonts w:asciiTheme="majorBidi" w:hAnsiTheme="majorBidi" w:cstheme="majorBidi"/>
          <w:sz w:val="24"/>
          <w:szCs w:val="24"/>
        </w:rPr>
        <w:t>”</w:t>
      </w:r>
      <w:r w:rsidR="006E38BF" w:rsidRPr="00AE0D64">
        <w:rPr>
          <w:rFonts w:asciiTheme="majorBidi" w:hAnsiTheme="majorBidi" w:cstheme="majorBidi"/>
          <w:sz w:val="24"/>
          <w:szCs w:val="24"/>
        </w:rPr>
        <w:t xml:space="preserve"> </w:t>
      </w:r>
      <w:r w:rsidR="006E38BF" w:rsidRPr="00AE0D64">
        <w:rPr>
          <w:rFonts w:asciiTheme="majorBidi" w:hAnsiTheme="majorBidi" w:cstheme="majorBidi"/>
          <w:sz w:val="24"/>
          <w:szCs w:val="24"/>
        </w:rPr>
        <w:fldChar w:fldCharType="begin" w:fldLock="1"/>
      </w:r>
      <w:r w:rsidR="006E38BF" w:rsidRPr="00AE0D64">
        <w:rPr>
          <w:rFonts w:asciiTheme="majorBidi" w:hAnsiTheme="majorBidi" w:cstheme="majorBidi"/>
          <w:sz w:val="24"/>
          <w:szCs w:val="24"/>
        </w:rPr>
        <w:instrText>ADDIN CSL_CITATION {"citationItems":[{"id":"ITEM-1","itemData":{"id":"ITEM-1","issued":{"date-parts":[["0"]]},"title":"Thein, S.L. 2004.\"Genetic insights into the clinical diversity of [beta] thalassaemia\". Br. J. Haematol., 124: 264-274","type":"article-journal"},"uris":["http://www.mendeley.com/documents/?uuid=6f551a20-a9e5-49e2-a48e-fe3958f9727f"]}],"mendeley":{"formattedCitation":"[8]","manualFormatting":"[[9]","plainTextFormattedCitation":"[8]","previouslyFormattedCitation":"[8]"},"properties":{"noteIndex":0},"schema":"https://github.com/citation-style-language/schema/raw/master/csl-citation.json"}</w:instrText>
      </w:r>
      <w:r w:rsidR="006E38BF" w:rsidRPr="00AE0D64">
        <w:rPr>
          <w:rFonts w:asciiTheme="majorBidi" w:hAnsiTheme="majorBidi" w:cstheme="majorBidi"/>
          <w:sz w:val="24"/>
          <w:szCs w:val="24"/>
        </w:rPr>
        <w:fldChar w:fldCharType="separate"/>
      </w:r>
      <w:r w:rsidR="006E38BF" w:rsidRPr="00AE0D64">
        <w:rPr>
          <w:rFonts w:asciiTheme="majorBidi" w:hAnsiTheme="majorBidi" w:cstheme="majorBidi"/>
          <w:noProof/>
          <w:sz w:val="24"/>
          <w:szCs w:val="24"/>
        </w:rPr>
        <w:fldChar w:fldCharType="begin" w:fldLock="1"/>
      </w:r>
      <w:r w:rsidR="006E38BF" w:rsidRPr="00AE0D64">
        <w:rPr>
          <w:rFonts w:asciiTheme="majorBidi" w:hAnsiTheme="majorBidi" w:cstheme="majorBidi"/>
          <w:noProof/>
          <w:sz w:val="24"/>
          <w:szCs w:val="24"/>
        </w:rPr>
        <w:instrText>ADDIN CSL_CITATION {"citationItems":[{"id":"ITEM-1","itemData":{"id":"ITEM-1","issued":{"date-parts":[["0"]]},"title":"thein, S.L. (2004). Genetic insights into the clinical diversity of beta thalassaemia. Br. J. Haematology. 124:264–274. DOI: 10.1046/j.1365-2141.2003.04769.x. 2","type":"article-journal"},"uris":["http://www.mendeley.com/documents/?uuid=b683294d-b61c-474f-8b74-7fe12e8d1906"]}],"mendeley":{"formattedCitation":"[9]","plainTextFormattedCitation":"[9]","previouslyFormattedCitation":"[9]"},"properties":{"noteIndex":0},"schema":"https://github.com/citation-style-language/schema/raw/master/csl-citation.json"}</w:instrText>
      </w:r>
      <w:r w:rsidR="006E38BF" w:rsidRPr="00AE0D64">
        <w:rPr>
          <w:rFonts w:asciiTheme="majorBidi" w:hAnsiTheme="majorBidi" w:cstheme="majorBidi"/>
          <w:noProof/>
          <w:sz w:val="24"/>
          <w:szCs w:val="24"/>
        </w:rPr>
        <w:fldChar w:fldCharType="separate"/>
      </w:r>
      <w:r w:rsidR="006E38BF" w:rsidRPr="00AE0D64">
        <w:rPr>
          <w:rFonts w:asciiTheme="majorBidi" w:hAnsiTheme="majorBidi" w:cstheme="majorBidi"/>
          <w:noProof/>
          <w:sz w:val="24"/>
          <w:szCs w:val="24"/>
        </w:rPr>
        <w:t>[9]</w:t>
      </w:r>
      <w:r w:rsidR="006E38BF" w:rsidRPr="00AE0D64">
        <w:rPr>
          <w:rFonts w:asciiTheme="majorBidi" w:hAnsiTheme="majorBidi" w:cstheme="majorBidi"/>
          <w:noProof/>
          <w:sz w:val="24"/>
          <w:szCs w:val="24"/>
        </w:rPr>
        <w:fldChar w:fldCharType="end"/>
      </w:r>
      <w:r w:rsidR="006E38BF" w:rsidRPr="00AE0D64">
        <w:rPr>
          <w:rFonts w:asciiTheme="majorBidi" w:hAnsiTheme="majorBidi" w:cstheme="majorBidi"/>
          <w:sz w:val="24"/>
          <w:szCs w:val="24"/>
        </w:rPr>
        <w:fldChar w:fldCharType="end"/>
      </w:r>
      <w:r w:rsidR="006E38BF" w:rsidRPr="00AE0D64">
        <w:rPr>
          <w:rFonts w:asciiTheme="majorBidi" w:hAnsiTheme="majorBidi" w:cstheme="majorBidi"/>
          <w:sz w:val="24"/>
          <w:szCs w:val="24"/>
        </w:rPr>
        <w:t xml:space="preserve">-10]. </w:t>
      </w:r>
    </w:p>
    <w:p w14:paraId="04271250" w14:textId="2FE82632" w:rsidR="006E38BF" w:rsidRPr="00AE0D64" w:rsidRDefault="00151B8E" w:rsidP="006E38BF">
      <w:pPr>
        <w:spacing w:before="120" w:after="120" w:line="360" w:lineRule="auto"/>
        <w:jc w:val="both"/>
        <w:rPr>
          <w:rFonts w:asciiTheme="majorBidi" w:hAnsiTheme="majorBidi" w:cstheme="majorBidi"/>
          <w:sz w:val="24"/>
          <w:szCs w:val="24"/>
          <w:vertAlign w:val="superscript"/>
        </w:rPr>
      </w:pPr>
      <w:r>
        <w:rPr>
          <w:rFonts w:asciiTheme="majorBidi" w:hAnsiTheme="majorBidi" w:cstheme="majorBidi"/>
          <w:sz w:val="24"/>
          <w:szCs w:val="24"/>
        </w:rPr>
        <w:t>“</w:t>
      </w:r>
      <w:r w:rsidR="006E38BF" w:rsidRPr="00AE0D64">
        <w:rPr>
          <w:rFonts w:asciiTheme="majorBidi" w:hAnsiTheme="majorBidi" w:cstheme="majorBidi"/>
          <w:sz w:val="24"/>
          <w:szCs w:val="24"/>
        </w:rPr>
        <w:t xml:space="preserve">The extremely high frequency of hemoglobin disorders compared with other monogenic diseases reflects natural selection mediated by the relative resistance of carriers against Plasmodium falciparum malaria, with a high frequency of consanguineous marriages in many countries. Gene drift and founder effects are other reasons that </w:t>
      </w:r>
      <w:proofErr w:type="spellStart"/>
      <w:r w:rsidR="006E38BF" w:rsidRPr="00AE0D64">
        <w:rPr>
          <w:rFonts w:asciiTheme="majorBidi" w:hAnsiTheme="majorBidi" w:cstheme="majorBidi"/>
          <w:sz w:val="24"/>
          <w:szCs w:val="24"/>
        </w:rPr>
        <w:t>thalassemias</w:t>
      </w:r>
      <w:proofErr w:type="spellEnd"/>
      <w:r w:rsidR="006E38BF" w:rsidRPr="00AE0D64">
        <w:rPr>
          <w:rFonts w:asciiTheme="majorBidi" w:hAnsiTheme="majorBidi" w:cstheme="majorBidi"/>
          <w:sz w:val="24"/>
          <w:szCs w:val="24"/>
        </w:rPr>
        <w:t xml:space="preserve"> are most</w:t>
      </w:r>
      <w:r w:rsidR="006E38BF" w:rsidRPr="00AE0D64">
        <w:rPr>
          <w:rFonts w:asciiTheme="majorBidi" w:hAnsiTheme="majorBidi" w:cstheme="majorBidi"/>
          <w:sz w:val="24"/>
          <w:szCs w:val="24"/>
          <w:vertAlign w:val="superscript"/>
        </w:rPr>
        <w:t xml:space="preserve"> </w:t>
      </w:r>
      <w:r w:rsidR="006E38BF" w:rsidRPr="00AE0D64">
        <w:rPr>
          <w:rFonts w:asciiTheme="majorBidi" w:hAnsiTheme="majorBidi" w:cstheme="majorBidi"/>
          <w:sz w:val="24"/>
          <w:szCs w:val="24"/>
        </w:rPr>
        <w:t xml:space="preserve">frequent in southeastern and southern Asia, the Middle East, the Mediterranean countries, and North and Central Africa. However, as a result of mass migrations of populations from high-prevalence areas, </w:t>
      </w:r>
      <w:proofErr w:type="spellStart"/>
      <w:r w:rsidR="006E38BF" w:rsidRPr="00AE0D64">
        <w:rPr>
          <w:rFonts w:asciiTheme="majorBidi" w:hAnsiTheme="majorBidi" w:cstheme="majorBidi"/>
          <w:sz w:val="24"/>
          <w:szCs w:val="24"/>
        </w:rPr>
        <w:t>thalassemias</w:t>
      </w:r>
      <w:proofErr w:type="spellEnd"/>
      <w:r w:rsidR="006E38BF" w:rsidRPr="00AE0D64">
        <w:rPr>
          <w:rFonts w:asciiTheme="majorBidi" w:hAnsiTheme="majorBidi" w:cstheme="majorBidi"/>
          <w:sz w:val="24"/>
          <w:szCs w:val="24"/>
        </w:rPr>
        <w:t xml:space="preserve"> are now encountered in most countries, including the United States, Canada, Australia, South America, and Northern Europe</w:t>
      </w:r>
      <w:r>
        <w:rPr>
          <w:rFonts w:asciiTheme="majorBidi" w:hAnsiTheme="majorBidi" w:cstheme="majorBidi"/>
          <w:sz w:val="24"/>
          <w:szCs w:val="24"/>
        </w:rPr>
        <w:t>”</w:t>
      </w:r>
      <w:r w:rsidR="006E38BF" w:rsidRPr="00AE0D64">
        <w:rPr>
          <w:rFonts w:asciiTheme="majorBidi" w:hAnsiTheme="majorBidi" w:cstheme="majorBidi"/>
          <w:sz w:val="24"/>
          <w:szCs w:val="24"/>
        </w:rPr>
        <w:t>.</w:t>
      </w:r>
      <w:r w:rsidR="006E38BF" w:rsidRPr="00AE0D64">
        <w:rPr>
          <w:rFonts w:asciiTheme="majorBidi" w:hAnsiTheme="majorBidi" w:cstheme="majorBidi"/>
          <w:sz w:val="24"/>
          <w:szCs w:val="24"/>
          <w:vertAlign w:val="superscript"/>
        </w:rPr>
        <w:fldChar w:fldCharType="begin" w:fldLock="1"/>
      </w:r>
      <w:r w:rsidR="006E38BF" w:rsidRPr="00AE0D64">
        <w:rPr>
          <w:rFonts w:asciiTheme="majorBidi" w:hAnsiTheme="majorBidi" w:cstheme="majorBidi"/>
          <w:sz w:val="24"/>
          <w:szCs w:val="24"/>
          <w:vertAlign w:val="superscript"/>
        </w:rPr>
        <w:instrText>ADDIN CSL_CITATION {"citationItems":[{"id":"ITEM-1","itemData":{"id":"ITEM-1","issued":{"date-parts":[["0"]]},"title":"Weatherall DJ, Williams TN, Allen SJ, O’Donnell A. The population genetics and dynamics of the thalassemias. Hematol Oncol Clin North Am 2010;24: 1021–1031","type":"article-journal"},"uris":["http://www.mendeley.com/documents/?uuid=d39caa63-5d5e-4448-a95f-6c8cba2beeb7"]}],"mendeley":{"formattedCitation":"[10]","plainTextFormattedCitation":"[10]","previouslyFormattedCitation":"[10]"},"properties":{"noteIndex":0},"schema":"https://github.com/citation-style-language/schema/raw/master/csl-citation.json"}</w:instrText>
      </w:r>
      <w:r w:rsidR="006E38BF" w:rsidRPr="00AE0D64">
        <w:rPr>
          <w:rFonts w:asciiTheme="majorBidi" w:hAnsiTheme="majorBidi" w:cstheme="majorBidi"/>
          <w:sz w:val="24"/>
          <w:szCs w:val="24"/>
          <w:vertAlign w:val="superscript"/>
        </w:rPr>
        <w:fldChar w:fldCharType="separate"/>
      </w:r>
      <w:r w:rsidR="006E38BF" w:rsidRPr="00AE0D64">
        <w:rPr>
          <w:rFonts w:asciiTheme="majorBidi" w:hAnsiTheme="majorBidi" w:cstheme="majorBidi"/>
          <w:noProof/>
          <w:sz w:val="24"/>
          <w:szCs w:val="24"/>
        </w:rPr>
        <w:t>[10]</w:t>
      </w:r>
      <w:r w:rsidR="006E38BF" w:rsidRPr="00AE0D64">
        <w:rPr>
          <w:rFonts w:asciiTheme="majorBidi" w:hAnsiTheme="majorBidi" w:cstheme="majorBidi"/>
          <w:sz w:val="24"/>
          <w:szCs w:val="24"/>
          <w:vertAlign w:val="superscript"/>
        </w:rPr>
        <w:fldChar w:fldCharType="end"/>
      </w:r>
      <w:r w:rsidR="006E38BF" w:rsidRPr="00AE0D64">
        <w:rPr>
          <w:rFonts w:asciiTheme="majorBidi" w:hAnsiTheme="majorBidi" w:cstheme="majorBidi"/>
          <w:sz w:val="24"/>
          <w:szCs w:val="24"/>
          <w:vertAlign w:val="superscript"/>
        </w:rPr>
        <w:t xml:space="preserve"> </w:t>
      </w:r>
    </w:p>
    <w:p w14:paraId="69F6366A" w14:textId="3EE9A8F9" w:rsidR="006E38BF" w:rsidRPr="00AE0D64" w:rsidRDefault="00151B8E" w:rsidP="006E38BF">
      <w:pPr>
        <w:spacing w:before="120" w:after="120" w:line="360" w:lineRule="auto"/>
        <w:jc w:val="both"/>
        <w:rPr>
          <w:rFonts w:asciiTheme="majorBidi" w:hAnsiTheme="majorBidi" w:cstheme="majorBidi"/>
          <w:sz w:val="24"/>
          <w:szCs w:val="24"/>
        </w:rPr>
      </w:pPr>
      <w:r>
        <w:rPr>
          <w:rFonts w:asciiTheme="majorBidi" w:hAnsiTheme="majorBidi" w:cstheme="majorBidi"/>
          <w:sz w:val="24"/>
          <w:szCs w:val="24"/>
        </w:rPr>
        <w:t>“</w:t>
      </w:r>
      <w:r w:rsidR="006E38BF" w:rsidRPr="00AE0D64">
        <w:rPr>
          <w:rFonts w:asciiTheme="majorBidi" w:hAnsiTheme="majorBidi" w:cstheme="majorBidi"/>
          <w:sz w:val="24"/>
          <w:szCs w:val="24"/>
        </w:rPr>
        <w:t>Anemia in thalassemia major is so severe that long-term blood transfusions are usually required for survival</w:t>
      </w:r>
      <w:r>
        <w:rPr>
          <w:rFonts w:asciiTheme="majorBidi" w:hAnsiTheme="majorBidi" w:cstheme="majorBidi"/>
          <w:sz w:val="24"/>
          <w:szCs w:val="24"/>
        </w:rPr>
        <w:t>”</w:t>
      </w:r>
      <w:r w:rsidR="006E38BF" w:rsidRPr="00AE0D64">
        <w:rPr>
          <w:rFonts w:asciiTheme="majorBidi" w:hAnsiTheme="majorBidi" w:cstheme="majorBidi"/>
          <w:sz w:val="24"/>
          <w:szCs w:val="24"/>
        </w:rPr>
        <w:t>.</w:t>
      </w:r>
      <w:r w:rsidR="006E38BF" w:rsidRPr="00AE0D64">
        <w:rPr>
          <w:rFonts w:asciiTheme="majorBidi" w:hAnsiTheme="majorBidi" w:cstheme="majorBidi"/>
          <w:sz w:val="24"/>
          <w:szCs w:val="24"/>
        </w:rPr>
        <w:fldChar w:fldCharType="begin" w:fldLock="1"/>
      </w:r>
      <w:r w:rsidR="006E38BF" w:rsidRPr="00AE0D64">
        <w:rPr>
          <w:rFonts w:asciiTheme="majorBidi" w:hAnsiTheme="majorBidi" w:cstheme="majorBidi"/>
          <w:sz w:val="24"/>
          <w:szCs w:val="24"/>
        </w:rPr>
        <w:instrText>ADDIN CSL_CITATION {"citationItems":[{"id":"ITEM-1","itemData":{"id":"ITEM-1","issued":{"date-parts":[["0"]]},"title":"Hoffman R, Jr EJB, Silberstein LE, Helsop HE, Weitz JI, Anastasia J, et al. Hematology Basic Principles and Practice 7th Edition. In: 7th Editio. Philadelphia: Elsevier; 2018. p. 546–70. Available from: https://linkinghub.elsevier.com/retri eve/pii/C20130","type":"article-journal"},"uris":["http://www.mendeley.com/documents/?uuid=d80da31b-1608-4af7-927c-4ba66bffc72d"]}],"mendeley":{"formattedCitation":"[11]","plainTextFormattedCitation":"[11]","previouslyFormattedCitation":"[11]"},"properties":{"noteIndex":0},"schema":"https://github.com/citation-style-language/schema/raw/master/csl-citation.json"}</w:instrText>
      </w:r>
      <w:r w:rsidR="006E38BF" w:rsidRPr="00AE0D64">
        <w:rPr>
          <w:rFonts w:asciiTheme="majorBidi" w:hAnsiTheme="majorBidi" w:cstheme="majorBidi"/>
          <w:sz w:val="24"/>
          <w:szCs w:val="24"/>
        </w:rPr>
        <w:fldChar w:fldCharType="separate"/>
      </w:r>
      <w:r w:rsidR="006E38BF" w:rsidRPr="00AE0D64">
        <w:rPr>
          <w:rFonts w:asciiTheme="majorBidi" w:hAnsiTheme="majorBidi" w:cstheme="majorBidi"/>
          <w:noProof/>
          <w:sz w:val="24"/>
          <w:szCs w:val="24"/>
        </w:rPr>
        <w:t>[11]</w:t>
      </w:r>
      <w:r w:rsidR="006E38BF" w:rsidRPr="00AE0D64">
        <w:rPr>
          <w:rFonts w:asciiTheme="majorBidi" w:hAnsiTheme="majorBidi" w:cstheme="majorBidi"/>
          <w:sz w:val="24"/>
          <w:szCs w:val="24"/>
        </w:rPr>
        <w:fldChar w:fldCharType="end"/>
      </w:r>
      <w:r w:rsidR="006E38BF" w:rsidRPr="00AE0D64">
        <w:rPr>
          <w:rFonts w:asciiTheme="majorBidi" w:hAnsiTheme="majorBidi" w:cstheme="majorBidi"/>
          <w:sz w:val="24"/>
          <w:szCs w:val="24"/>
        </w:rPr>
        <w:t xml:space="preserve"> With regular transfusions, patients can live longer. However, </w:t>
      </w:r>
      <w:r>
        <w:rPr>
          <w:rFonts w:asciiTheme="majorBidi" w:hAnsiTheme="majorBidi" w:cstheme="majorBidi"/>
          <w:sz w:val="24"/>
          <w:szCs w:val="24"/>
        </w:rPr>
        <w:t>“</w:t>
      </w:r>
      <w:r w:rsidR="006E38BF" w:rsidRPr="00AE0D64">
        <w:rPr>
          <w:rFonts w:asciiTheme="majorBidi" w:hAnsiTheme="majorBidi" w:cstheme="majorBidi"/>
          <w:sz w:val="24"/>
          <w:szCs w:val="24"/>
        </w:rPr>
        <w:t xml:space="preserve">each milliliter of transfused blood contains </w:t>
      </w:r>
      <w:r w:rsidR="006E38BF" w:rsidRPr="00AE0D64">
        <w:rPr>
          <w:rFonts w:ascii="Cambria Math" w:hAnsi="Cambria Math" w:cs="Cambria Math"/>
          <w:sz w:val="24"/>
          <w:szCs w:val="24"/>
        </w:rPr>
        <w:t>∼</w:t>
      </w:r>
      <w:r w:rsidR="006E38BF" w:rsidRPr="00AE0D64">
        <w:rPr>
          <w:rFonts w:asciiTheme="majorBidi" w:hAnsiTheme="majorBidi" w:cstheme="majorBidi"/>
          <w:sz w:val="24"/>
          <w:szCs w:val="24"/>
        </w:rPr>
        <w:t>1 mg of iron, thus receipt of a unit of packed red cells typically results in the deposition of 200 mg of iron ultimately in the tissues following red cell senescence. it is more than 100 times the quantity absorbed from the diet daily</w:t>
      </w:r>
      <w:r>
        <w:rPr>
          <w:rFonts w:asciiTheme="majorBidi" w:hAnsiTheme="majorBidi" w:cstheme="majorBidi"/>
          <w:sz w:val="24"/>
          <w:szCs w:val="24"/>
        </w:rPr>
        <w:t>”</w:t>
      </w:r>
      <w:r w:rsidR="006E38BF" w:rsidRPr="00AE0D64">
        <w:rPr>
          <w:rFonts w:asciiTheme="majorBidi" w:hAnsiTheme="majorBidi" w:cstheme="majorBidi"/>
          <w:sz w:val="24"/>
          <w:szCs w:val="24"/>
        </w:rPr>
        <w:t>.</w:t>
      </w:r>
      <w:r w:rsidR="006E38BF" w:rsidRPr="00AE0D64">
        <w:rPr>
          <w:rFonts w:asciiTheme="majorBidi" w:hAnsiTheme="majorBidi" w:cstheme="majorBidi"/>
          <w:sz w:val="24"/>
          <w:szCs w:val="24"/>
        </w:rPr>
        <w:fldChar w:fldCharType="begin" w:fldLock="1"/>
      </w:r>
      <w:r w:rsidR="006E38BF" w:rsidRPr="00AE0D64">
        <w:rPr>
          <w:rFonts w:asciiTheme="majorBidi" w:hAnsiTheme="majorBidi" w:cstheme="majorBidi"/>
          <w:sz w:val="24"/>
          <w:szCs w:val="24"/>
        </w:rPr>
        <w:instrText>ADDIN CSL_CITATION {"citationItems":[{"id":"ITEM-1","itemData":{"id":"ITEM-1","issued":{"date-parts":[["0"]]},"title":"Porter JB: Practical management of iron overload. Br J Haematol 2001; 115:239–252","type":"article-journal"},"uris":["http://www.mendeley.com/documents/?uuid=923e97fa-8780-487c-a70c-dc41b66bf811"]}],"mendeley":{"formattedCitation":"[12]","plainTextFormattedCitation":"[12]","previouslyFormattedCitation":"[12]"},"properties":{"noteIndex":0},"schema":"https://github.com/citation-style-language/schema/raw/master/csl-citation.json"}</w:instrText>
      </w:r>
      <w:r w:rsidR="006E38BF" w:rsidRPr="00AE0D64">
        <w:rPr>
          <w:rFonts w:asciiTheme="majorBidi" w:hAnsiTheme="majorBidi" w:cstheme="majorBidi"/>
          <w:sz w:val="24"/>
          <w:szCs w:val="24"/>
        </w:rPr>
        <w:fldChar w:fldCharType="separate"/>
      </w:r>
      <w:r w:rsidR="006E38BF" w:rsidRPr="00AE0D64">
        <w:rPr>
          <w:rFonts w:asciiTheme="majorBidi" w:hAnsiTheme="majorBidi" w:cstheme="majorBidi"/>
          <w:noProof/>
          <w:sz w:val="24"/>
          <w:szCs w:val="24"/>
        </w:rPr>
        <w:t>[12]</w:t>
      </w:r>
      <w:r w:rsidR="006E38BF" w:rsidRPr="00AE0D64">
        <w:rPr>
          <w:rFonts w:asciiTheme="majorBidi" w:hAnsiTheme="majorBidi" w:cstheme="majorBidi"/>
          <w:sz w:val="24"/>
          <w:szCs w:val="24"/>
        </w:rPr>
        <w:fldChar w:fldCharType="end"/>
      </w:r>
      <w:r w:rsidR="006E38BF" w:rsidRPr="00AE0D64">
        <w:rPr>
          <w:rFonts w:asciiTheme="majorBidi" w:hAnsiTheme="majorBidi" w:cstheme="majorBidi"/>
          <w:sz w:val="24"/>
          <w:szCs w:val="24"/>
        </w:rPr>
        <w:t xml:space="preserve"> </w:t>
      </w:r>
      <w:r>
        <w:rPr>
          <w:rFonts w:asciiTheme="majorBidi" w:hAnsiTheme="majorBidi" w:cstheme="majorBidi"/>
          <w:sz w:val="24"/>
          <w:szCs w:val="24"/>
        </w:rPr>
        <w:t>“</w:t>
      </w:r>
      <w:r w:rsidR="006E38BF" w:rsidRPr="00AE0D64">
        <w:rPr>
          <w:rFonts w:asciiTheme="majorBidi" w:hAnsiTheme="majorBidi" w:cstheme="majorBidi"/>
          <w:sz w:val="24"/>
          <w:szCs w:val="24"/>
        </w:rPr>
        <w:t>This paradoxical increase in iron absorption despite systemic iron overload probably reflects the release of erythroid factors during the cellular apoptosis associated with ineffective erythropoiesis that inhibits hepcidin production by the liver. Hepcidin is a 25-amino-acid peptide hormone that negatively regulates iron flow into the plasma by inhibiting the absorption of dietary iron, the release of iron from macrophages, and the release of stored iron from hepatocytes</w:t>
      </w:r>
      <w:r>
        <w:rPr>
          <w:rFonts w:asciiTheme="majorBidi" w:hAnsiTheme="majorBidi" w:cstheme="majorBidi"/>
          <w:sz w:val="24"/>
          <w:szCs w:val="24"/>
        </w:rPr>
        <w:t>”</w:t>
      </w:r>
      <w:r w:rsidR="006E38BF" w:rsidRPr="00AE0D64">
        <w:rPr>
          <w:rFonts w:asciiTheme="majorBidi" w:hAnsiTheme="majorBidi" w:cstheme="majorBidi"/>
          <w:sz w:val="24"/>
          <w:szCs w:val="24"/>
        </w:rPr>
        <w:t>.</w:t>
      </w:r>
      <w:r w:rsidR="006E38BF" w:rsidRPr="00AE0D64">
        <w:rPr>
          <w:rFonts w:asciiTheme="majorBidi" w:hAnsiTheme="majorBidi" w:cstheme="majorBidi"/>
          <w:sz w:val="24"/>
          <w:szCs w:val="24"/>
        </w:rPr>
        <w:fldChar w:fldCharType="begin" w:fldLock="1"/>
      </w:r>
      <w:r w:rsidR="006E38BF" w:rsidRPr="00AE0D64">
        <w:rPr>
          <w:rFonts w:asciiTheme="majorBidi" w:hAnsiTheme="majorBidi" w:cstheme="majorBidi"/>
          <w:sz w:val="24"/>
          <w:szCs w:val="24"/>
        </w:rPr>
        <w:instrText>ADDIN CSL_CITATION {"citationItems":[{"id":"ITEM-1","itemData":{"id":"ITEM-1","issued":{"date-parts":[["0"]]},"title":"Ganz T, Nemeth E. 2011. Hepcidin and disorders of iron metabolism. Annu Rev Med 62: 347–360","type":"article-journal"},"uris":["http://www.mendeley.com/documents/?uuid=30b7c0a5-45ba-459b-a584-f6ca3dc6b772"]}],"mendeley":{"formattedCitation":"[13]","plainTextFormattedCitation":"[13]","previouslyFormattedCitation":"[13]"},"properties":{"noteIndex":0},"schema":"https://github.com/citation-style-language/schema/raw/master/csl-citation.json"}</w:instrText>
      </w:r>
      <w:r w:rsidR="006E38BF" w:rsidRPr="00AE0D64">
        <w:rPr>
          <w:rFonts w:asciiTheme="majorBidi" w:hAnsiTheme="majorBidi" w:cstheme="majorBidi"/>
          <w:sz w:val="24"/>
          <w:szCs w:val="24"/>
        </w:rPr>
        <w:fldChar w:fldCharType="separate"/>
      </w:r>
      <w:r w:rsidR="006E38BF" w:rsidRPr="00AE0D64">
        <w:rPr>
          <w:rFonts w:asciiTheme="majorBidi" w:hAnsiTheme="majorBidi" w:cstheme="majorBidi"/>
          <w:noProof/>
          <w:sz w:val="24"/>
          <w:szCs w:val="24"/>
        </w:rPr>
        <w:t>[13]</w:t>
      </w:r>
      <w:r w:rsidR="006E38BF" w:rsidRPr="00AE0D64">
        <w:rPr>
          <w:rFonts w:asciiTheme="majorBidi" w:hAnsiTheme="majorBidi" w:cstheme="majorBidi"/>
          <w:sz w:val="24"/>
          <w:szCs w:val="24"/>
        </w:rPr>
        <w:fldChar w:fldCharType="end"/>
      </w:r>
      <w:r w:rsidR="006E38BF" w:rsidRPr="00AE0D64">
        <w:rPr>
          <w:rFonts w:asciiTheme="majorBidi" w:hAnsiTheme="majorBidi" w:cstheme="majorBidi"/>
          <w:sz w:val="24"/>
          <w:szCs w:val="24"/>
        </w:rPr>
        <w:t xml:space="preserve"> consequently, </w:t>
      </w:r>
      <w:r>
        <w:rPr>
          <w:rFonts w:asciiTheme="majorBidi" w:hAnsiTheme="majorBidi" w:cstheme="majorBidi"/>
          <w:sz w:val="24"/>
          <w:szCs w:val="24"/>
        </w:rPr>
        <w:t>“</w:t>
      </w:r>
      <w:r w:rsidR="006E38BF" w:rsidRPr="00AE0D64">
        <w:rPr>
          <w:rFonts w:asciiTheme="majorBidi" w:hAnsiTheme="majorBidi" w:cstheme="majorBidi"/>
          <w:sz w:val="24"/>
          <w:szCs w:val="24"/>
        </w:rPr>
        <w:t xml:space="preserve">The negative impact of regular transfusion is chronic iron burden, which can lead to growth retardation, pallor, jaundice, brown pigmentation of the skin, poor musculature, genu </w:t>
      </w:r>
      <w:proofErr w:type="spellStart"/>
      <w:r w:rsidR="006E38BF" w:rsidRPr="00AE0D64">
        <w:rPr>
          <w:rFonts w:asciiTheme="majorBidi" w:hAnsiTheme="majorBidi" w:cstheme="majorBidi"/>
          <w:sz w:val="24"/>
          <w:szCs w:val="24"/>
        </w:rPr>
        <w:t>valgum</w:t>
      </w:r>
      <w:proofErr w:type="spellEnd"/>
      <w:r w:rsidR="006E38BF" w:rsidRPr="00AE0D64">
        <w:rPr>
          <w:rFonts w:asciiTheme="majorBidi" w:hAnsiTheme="majorBidi" w:cstheme="majorBidi"/>
          <w:sz w:val="24"/>
          <w:szCs w:val="24"/>
        </w:rPr>
        <w:t>, hepatosplenomegaly, leg ulcers, development of masses from extramedullary hematopoiesis, and skeletal changes that result from expansion of the bone marrow. These skeletal changes include deformities of the long bones of the legs, typical craniofacial changes, and osteoporosis</w:t>
      </w:r>
      <w:r>
        <w:rPr>
          <w:rFonts w:asciiTheme="majorBidi" w:hAnsiTheme="majorBidi" w:cstheme="majorBidi"/>
          <w:sz w:val="24"/>
          <w:szCs w:val="24"/>
        </w:rPr>
        <w:t>”</w:t>
      </w:r>
      <w:r w:rsidR="006E38BF" w:rsidRPr="00AE0D64">
        <w:rPr>
          <w:rFonts w:asciiTheme="majorBidi" w:hAnsiTheme="majorBidi" w:cstheme="majorBidi"/>
          <w:sz w:val="24"/>
          <w:szCs w:val="24"/>
        </w:rPr>
        <w:t>.</w:t>
      </w:r>
      <w:r w:rsidR="006E38BF" w:rsidRPr="00AE0D64">
        <w:rPr>
          <w:rFonts w:asciiTheme="majorBidi" w:hAnsiTheme="majorBidi" w:cstheme="majorBidi"/>
          <w:sz w:val="24"/>
          <w:szCs w:val="24"/>
        </w:rPr>
        <w:fldChar w:fldCharType="begin" w:fldLock="1"/>
      </w:r>
      <w:r w:rsidR="006E38BF" w:rsidRPr="00AE0D64">
        <w:rPr>
          <w:rFonts w:asciiTheme="majorBidi" w:hAnsiTheme="majorBidi" w:cstheme="majorBidi"/>
          <w:sz w:val="24"/>
          <w:szCs w:val="24"/>
        </w:rPr>
        <w:instrText>ADDIN CSL_CITATION {"citationItems":[{"id":"ITEM-1","itemData":{"id":"ITEM-1","issued":{"date-parts":[["0"]]},"title":"Albayrak C, Albayrak D. Vitamin D deficiency in children with beta thalassemia major and intermedia. Turkiye Klin J Med Sci. 2013;33(4):1058–63","type":"article-journal"},"uris":["http://www.mendeley.com/documents/?uuid=beed948f-0589-409a-bd73-aa517d094715"]},{"id":"ITEM-2","itemData":{"id":"ITEM-2","issued":{"date-parts":[["0"]]},"title":"Galanello R, Origa R. Beta-thalassemia. Orphanet J Rare Dis 2010;5:11.","type":"article-journal"},"uris":["http://www.mendeley.com/documents/?uuid=1347742b-8e7f-44c1-a082-4a21d8ee6390"]},{"id":"ITEM-3","itemData":{"id":"ITEM-3","issued":{"date-parts":[["0"]]},"title":"Weatherall DJ, Clegg JB. The Thalassaemia Syndromes. 4th ed. Oxford: Blackwell Scientific; 2001","type":"article-journal"},"uris":["http://www.mendeley.com/documents/?uuid=dbd8b6c0-7071-4010-91b5-8f55cc3c0500"]}],"mendeley":{"formattedCitation":"[14]–[16]","manualFormatting":"[14-16]","plainTextFormattedCitation":"[14]–[16]","previouslyFormattedCitation":"[14]–[16]"},"properties":{"noteIndex":0},"schema":"https://github.com/citation-style-language/schema/raw/master/csl-citation.json"}</w:instrText>
      </w:r>
      <w:r w:rsidR="006E38BF" w:rsidRPr="00AE0D64">
        <w:rPr>
          <w:rFonts w:asciiTheme="majorBidi" w:hAnsiTheme="majorBidi" w:cstheme="majorBidi"/>
          <w:sz w:val="24"/>
          <w:szCs w:val="24"/>
        </w:rPr>
        <w:fldChar w:fldCharType="separate"/>
      </w:r>
      <w:r w:rsidR="006E38BF" w:rsidRPr="00AE0D64">
        <w:rPr>
          <w:rFonts w:asciiTheme="majorBidi" w:hAnsiTheme="majorBidi" w:cstheme="majorBidi"/>
          <w:noProof/>
          <w:sz w:val="24"/>
          <w:szCs w:val="24"/>
        </w:rPr>
        <w:t>[14-16]</w:t>
      </w:r>
      <w:r w:rsidR="006E38BF" w:rsidRPr="00AE0D64">
        <w:rPr>
          <w:rFonts w:asciiTheme="majorBidi" w:hAnsiTheme="majorBidi" w:cstheme="majorBidi"/>
          <w:sz w:val="24"/>
          <w:szCs w:val="24"/>
        </w:rPr>
        <w:fldChar w:fldCharType="end"/>
      </w:r>
      <w:r w:rsidR="006E38BF" w:rsidRPr="00AE0D64">
        <w:rPr>
          <w:rFonts w:asciiTheme="majorBidi" w:eastAsia="Times New Roman" w:hAnsiTheme="majorBidi" w:cstheme="majorBidi"/>
          <w:sz w:val="24"/>
          <w:szCs w:val="24"/>
        </w:rPr>
        <w:t>.</w:t>
      </w:r>
      <w:r w:rsidR="006E38BF" w:rsidRPr="00AE0D64">
        <w:rPr>
          <w:rFonts w:asciiTheme="majorBidi" w:hAnsiTheme="majorBidi" w:cstheme="majorBidi"/>
          <w:sz w:val="24"/>
          <w:szCs w:val="24"/>
        </w:rPr>
        <w:t xml:space="preserve"> </w:t>
      </w:r>
      <w:r>
        <w:rPr>
          <w:rFonts w:asciiTheme="majorBidi" w:hAnsiTheme="majorBidi" w:cstheme="majorBidi"/>
          <w:sz w:val="24"/>
          <w:szCs w:val="24"/>
        </w:rPr>
        <w:t>“</w:t>
      </w:r>
      <w:r w:rsidR="006E38BF" w:rsidRPr="00AE0D64">
        <w:rPr>
          <w:rFonts w:asciiTheme="majorBidi" w:hAnsiTheme="majorBidi" w:cstheme="majorBidi"/>
          <w:sz w:val="24"/>
          <w:szCs w:val="24"/>
        </w:rPr>
        <w:t>In untreated children, characteristic bone changes appear, such as thinning of the cortex of long bones, widening of medullary spaces, bossing of skull, widening of diploic spaces, and prominence of the upper incisors and separation of orbit</w:t>
      </w:r>
      <w:r>
        <w:rPr>
          <w:rFonts w:asciiTheme="majorBidi" w:hAnsiTheme="majorBidi" w:cstheme="majorBidi"/>
          <w:sz w:val="24"/>
          <w:szCs w:val="24"/>
        </w:rPr>
        <w:t>”</w:t>
      </w:r>
      <w:r w:rsidR="006E38BF" w:rsidRPr="00AE0D64">
        <w:rPr>
          <w:rFonts w:asciiTheme="majorBidi" w:hAnsiTheme="majorBidi" w:cstheme="majorBidi"/>
          <w:sz w:val="24"/>
          <w:szCs w:val="24"/>
        </w:rPr>
        <w:t>.</w:t>
      </w:r>
      <w:r w:rsidR="006E38BF" w:rsidRPr="00AE0D64">
        <w:rPr>
          <w:rFonts w:asciiTheme="majorBidi" w:hAnsiTheme="majorBidi" w:cstheme="majorBidi"/>
          <w:sz w:val="24"/>
          <w:szCs w:val="24"/>
        </w:rPr>
        <w:fldChar w:fldCharType="begin" w:fldLock="1"/>
      </w:r>
      <w:r w:rsidR="006E38BF" w:rsidRPr="00AE0D64">
        <w:rPr>
          <w:rFonts w:asciiTheme="majorBidi" w:hAnsiTheme="majorBidi" w:cstheme="majorBidi"/>
          <w:sz w:val="24"/>
          <w:szCs w:val="24"/>
        </w:rPr>
        <w:instrText>ADDIN CSL_CITATION {"citationItems":[{"id":"ITEM-1","itemData":{"id":"ITEM-1","issued":{"date-parts":[["0"]]},"title":"Huisman THJ. The structure and function of normal and abnormal haemoglobins. Baillieres Clin Haematol. 1993 Mar;6(1):1-30. [PubMed]","type":"article-journal"},"uris":["http://www.mendeley.com/documents/?uuid=e23f92ee-398d-4a11-b9d5-76bcd291d22c"]}],"mendeley":{"formattedCitation":"[17]","plainTextFormattedCitation":"[17]","previouslyFormattedCitation":"[17]"},"properties":{"noteIndex":0},"schema":"https://github.com/citation-style-language/schema/raw/master/csl-citation.json"}</w:instrText>
      </w:r>
      <w:r w:rsidR="006E38BF" w:rsidRPr="00AE0D64">
        <w:rPr>
          <w:rFonts w:asciiTheme="majorBidi" w:hAnsiTheme="majorBidi" w:cstheme="majorBidi"/>
          <w:sz w:val="24"/>
          <w:szCs w:val="24"/>
        </w:rPr>
        <w:fldChar w:fldCharType="separate"/>
      </w:r>
      <w:r w:rsidR="006E38BF" w:rsidRPr="00AE0D64">
        <w:rPr>
          <w:rFonts w:asciiTheme="majorBidi" w:hAnsiTheme="majorBidi" w:cstheme="majorBidi"/>
          <w:noProof/>
          <w:sz w:val="24"/>
          <w:szCs w:val="24"/>
        </w:rPr>
        <w:t>[17]</w:t>
      </w:r>
      <w:r w:rsidR="006E38BF" w:rsidRPr="00AE0D64">
        <w:rPr>
          <w:rFonts w:asciiTheme="majorBidi" w:hAnsiTheme="majorBidi" w:cstheme="majorBidi"/>
          <w:sz w:val="24"/>
          <w:szCs w:val="24"/>
        </w:rPr>
        <w:fldChar w:fldCharType="end"/>
      </w:r>
      <w:r w:rsidR="006E38BF" w:rsidRPr="00AE0D64">
        <w:rPr>
          <w:rFonts w:asciiTheme="majorBidi" w:hAnsiTheme="majorBidi" w:cstheme="majorBidi"/>
          <w:sz w:val="24"/>
          <w:szCs w:val="24"/>
        </w:rPr>
        <w:fldChar w:fldCharType="begin" w:fldLock="1"/>
      </w:r>
      <w:r w:rsidR="006E38BF" w:rsidRPr="00AE0D64">
        <w:rPr>
          <w:rFonts w:asciiTheme="majorBidi" w:hAnsiTheme="majorBidi" w:cstheme="majorBidi"/>
          <w:sz w:val="24"/>
          <w:szCs w:val="24"/>
        </w:rPr>
        <w:instrText>ADDIN CSL_CITATION {"citationItems":[{"id":"ITEM-1","itemData":{"id":"ITEM-1","issued":{"date-parts":[["0"]]},"title":"Thein SL. beta-Thalassemia. Baillieres Clin Haematol. 1993 Mar;6(1):151-75. [PubMed]","type":"article-journal"},"uris":["http://www.mendeley.com/documents/?uuid=f1b21a9d-2c4e-4599-bd72-4c3877099e98"]}],"mendeley":{"formattedCitation":"[18]","plainTextFormattedCitation":"[18]","previouslyFormattedCitation":"[18]"},"properties":{"noteIndex":0},"schema":"https://github.com/citation-style-language/schema/raw/master/csl-citation.json"}</w:instrText>
      </w:r>
      <w:r w:rsidR="006E38BF" w:rsidRPr="00AE0D64">
        <w:rPr>
          <w:rFonts w:asciiTheme="majorBidi" w:hAnsiTheme="majorBidi" w:cstheme="majorBidi"/>
          <w:sz w:val="24"/>
          <w:szCs w:val="24"/>
        </w:rPr>
        <w:fldChar w:fldCharType="separate"/>
      </w:r>
      <w:r w:rsidR="006E38BF" w:rsidRPr="00AE0D64">
        <w:rPr>
          <w:rFonts w:asciiTheme="majorBidi" w:hAnsiTheme="majorBidi" w:cstheme="majorBidi"/>
          <w:noProof/>
          <w:sz w:val="24"/>
          <w:szCs w:val="24"/>
        </w:rPr>
        <w:t>[18]</w:t>
      </w:r>
      <w:r w:rsidR="006E38BF" w:rsidRPr="00AE0D64">
        <w:rPr>
          <w:rFonts w:asciiTheme="majorBidi" w:hAnsiTheme="majorBidi" w:cstheme="majorBidi"/>
          <w:sz w:val="24"/>
          <w:szCs w:val="24"/>
        </w:rPr>
        <w:fldChar w:fldCharType="end"/>
      </w:r>
    </w:p>
    <w:p w14:paraId="259278EB" w14:textId="4B7D6533" w:rsidR="006E38BF" w:rsidRPr="00AE0D64" w:rsidRDefault="00151B8E" w:rsidP="006E38BF">
      <w:pPr>
        <w:spacing w:before="120" w:after="120" w:line="360" w:lineRule="auto"/>
        <w:jc w:val="both"/>
        <w:rPr>
          <w:rFonts w:asciiTheme="majorBidi" w:hAnsiTheme="majorBidi" w:cstheme="majorBidi"/>
          <w:sz w:val="24"/>
          <w:szCs w:val="24"/>
        </w:rPr>
      </w:pPr>
      <w:r>
        <w:rPr>
          <w:rFonts w:asciiTheme="majorBidi" w:hAnsiTheme="majorBidi" w:cstheme="majorBidi"/>
          <w:sz w:val="24"/>
          <w:szCs w:val="24"/>
        </w:rPr>
        <w:lastRenderedPageBreak/>
        <w:t>“</w:t>
      </w:r>
      <w:r w:rsidR="006E38BF" w:rsidRPr="00AE0D64">
        <w:rPr>
          <w:rFonts w:asciiTheme="majorBidi" w:hAnsiTheme="majorBidi" w:cstheme="majorBidi"/>
          <w:sz w:val="24"/>
          <w:szCs w:val="24"/>
        </w:rPr>
        <w:t>Considerable morbidity in older patients results from bone disease due to osteopenia and osteoporosis, which is often accompanied by disabling pain and fractures. The pathogenesis is complex and multifactorial. Bone marrow expansion due to ineffective erythropoiesis, endocrine dysfunction, and complications of treatment all contribute to the condition</w:t>
      </w:r>
      <w:r>
        <w:rPr>
          <w:rFonts w:asciiTheme="majorBidi" w:hAnsiTheme="majorBidi" w:cstheme="majorBidi"/>
          <w:sz w:val="24"/>
          <w:szCs w:val="24"/>
        </w:rPr>
        <w:t>”</w:t>
      </w:r>
      <w:r w:rsidR="006E38BF" w:rsidRPr="00AE0D64">
        <w:rPr>
          <w:rFonts w:asciiTheme="majorBidi" w:hAnsiTheme="majorBidi" w:cstheme="majorBidi"/>
          <w:sz w:val="24"/>
          <w:szCs w:val="24"/>
        </w:rPr>
        <w:t xml:space="preserve">. </w:t>
      </w:r>
      <w:r w:rsidR="006E38BF" w:rsidRPr="00AE0D64">
        <w:rPr>
          <w:rFonts w:asciiTheme="majorBidi" w:hAnsiTheme="majorBidi" w:cstheme="majorBidi"/>
          <w:sz w:val="24"/>
          <w:szCs w:val="24"/>
        </w:rPr>
        <w:fldChar w:fldCharType="begin" w:fldLock="1"/>
      </w:r>
      <w:r w:rsidR="006E38BF" w:rsidRPr="00AE0D64">
        <w:rPr>
          <w:rFonts w:asciiTheme="majorBidi" w:hAnsiTheme="majorBidi" w:cstheme="majorBidi"/>
          <w:sz w:val="24"/>
          <w:szCs w:val="24"/>
        </w:rPr>
        <w:instrText>ADDIN CSL_CITATION {"citationItems":[{"id":"ITEM-1","itemData":{"id":"ITEM-1","issued":{"date-parts":[["0"]]},"title":"Voskaridou E, Terpos E. New insights into the pathophysiology and management of osteoporosis in patients with beta thalassaemia. Br J Haematol 2004;127:127-39","type":"article-journal"},"uris":["http://www.mendeley.com/documents/?uuid=31d48ca7-2e60-4d0e-80c7-df486a1ce930"]}],"mendeley":{"formattedCitation":"[19]","plainTextFormattedCitation":"[19]","previouslyFormattedCitation":"[19]"},"properties":{"noteIndex":0},"schema":"https://github.com/citation-style-language/schema/raw/master/csl-citation.json"}</w:instrText>
      </w:r>
      <w:r w:rsidR="006E38BF" w:rsidRPr="00AE0D64">
        <w:rPr>
          <w:rFonts w:asciiTheme="majorBidi" w:hAnsiTheme="majorBidi" w:cstheme="majorBidi"/>
          <w:sz w:val="24"/>
          <w:szCs w:val="24"/>
        </w:rPr>
        <w:fldChar w:fldCharType="separate"/>
      </w:r>
      <w:r w:rsidR="006E38BF" w:rsidRPr="00AE0D64">
        <w:rPr>
          <w:rFonts w:asciiTheme="majorBidi" w:hAnsiTheme="majorBidi" w:cstheme="majorBidi"/>
          <w:noProof/>
          <w:sz w:val="24"/>
          <w:szCs w:val="24"/>
        </w:rPr>
        <w:t>[19]</w:t>
      </w:r>
      <w:r w:rsidR="006E38BF" w:rsidRPr="00AE0D64">
        <w:rPr>
          <w:rFonts w:asciiTheme="majorBidi" w:hAnsiTheme="majorBidi" w:cstheme="majorBidi"/>
          <w:sz w:val="24"/>
          <w:szCs w:val="24"/>
        </w:rPr>
        <w:fldChar w:fldCharType="end"/>
      </w:r>
      <w:r>
        <w:rPr>
          <w:rFonts w:asciiTheme="majorBidi" w:hAnsiTheme="majorBidi" w:cstheme="majorBidi"/>
          <w:sz w:val="24"/>
          <w:szCs w:val="24"/>
        </w:rPr>
        <w:t xml:space="preserve"> “</w:t>
      </w:r>
      <w:r w:rsidR="006E38BF" w:rsidRPr="00AE0D64">
        <w:rPr>
          <w:rFonts w:asciiTheme="majorBidi" w:hAnsiTheme="majorBidi" w:cstheme="majorBidi"/>
          <w:sz w:val="24"/>
          <w:szCs w:val="24"/>
        </w:rPr>
        <w:t>Overly vigorous chelation is associated with deferoxamine-induced bone dysplasia, which can slow growth velocity in children and maybe only partially reversible</w:t>
      </w:r>
      <w:r>
        <w:rPr>
          <w:rFonts w:asciiTheme="majorBidi" w:hAnsiTheme="majorBidi" w:cstheme="majorBidi"/>
          <w:sz w:val="24"/>
          <w:szCs w:val="24"/>
        </w:rPr>
        <w:t>”</w:t>
      </w:r>
      <w:r w:rsidR="006E38BF" w:rsidRPr="00AE0D64">
        <w:rPr>
          <w:rFonts w:asciiTheme="majorBidi" w:hAnsiTheme="majorBidi" w:cstheme="majorBidi"/>
          <w:sz w:val="24"/>
          <w:szCs w:val="24"/>
        </w:rPr>
        <w:t xml:space="preserve">. </w:t>
      </w:r>
      <w:r w:rsidR="006E38BF" w:rsidRPr="00AE0D64">
        <w:rPr>
          <w:rFonts w:asciiTheme="majorBidi" w:hAnsiTheme="majorBidi" w:cstheme="majorBidi"/>
          <w:sz w:val="24"/>
          <w:szCs w:val="24"/>
        </w:rPr>
        <w:fldChar w:fldCharType="begin" w:fldLock="1"/>
      </w:r>
      <w:r w:rsidR="006E38BF" w:rsidRPr="00AE0D64">
        <w:rPr>
          <w:rFonts w:asciiTheme="majorBidi" w:hAnsiTheme="majorBidi" w:cstheme="majorBidi"/>
          <w:sz w:val="24"/>
          <w:szCs w:val="24"/>
        </w:rPr>
        <w:instrText>ADDIN CSL_CITATION {"citationItems":[{"id":"ITEM-1","itemData":{"id":"ITEM-1","issued":{"date-parts":[["0"]]},"title":"Raiola G, Galati MC, De Sanctis V, et al. Growth and puberty in thalassemia major. J Pediatr Endocrinol Metab 2003;16:Suppl 2:259-66","type":"article-journal"},"uris":["http://www.mendeley.com/documents/?uuid=2c48cf43-4ec2-40af-a78d-ec0d3f85f185"]}],"mendeley":{"formattedCitation":"[20]","plainTextFormattedCitation":"[20]","previouslyFormattedCitation":"[20]"},"properties":{"noteIndex":0},"schema":"https://github.com/citation-style-language/schema/raw/master/csl-citation.json"}</w:instrText>
      </w:r>
      <w:r w:rsidR="006E38BF" w:rsidRPr="00AE0D64">
        <w:rPr>
          <w:rFonts w:asciiTheme="majorBidi" w:hAnsiTheme="majorBidi" w:cstheme="majorBidi"/>
          <w:sz w:val="24"/>
          <w:szCs w:val="24"/>
        </w:rPr>
        <w:fldChar w:fldCharType="separate"/>
      </w:r>
      <w:r w:rsidR="006E38BF" w:rsidRPr="00AE0D64">
        <w:rPr>
          <w:rFonts w:asciiTheme="majorBidi" w:hAnsiTheme="majorBidi" w:cstheme="majorBidi"/>
          <w:noProof/>
          <w:sz w:val="24"/>
          <w:szCs w:val="24"/>
        </w:rPr>
        <w:t>[20]</w:t>
      </w:r>
      <w:r w:rsidR="006E38BF" w:rsidRPr="00AE0D64">
        <w:rPr>
          <w:rFonts w:asciiTheme="majorBidi" w:hAnsiTheme="majorBidi" w:cstheme="majorBidi"/>
          <w:sz w:val="24"/>
          <w:szCs w:val="24"/>
        </w:rPr>
        <w:fldChar w:fldCharType="end"/>
      </w:r>
      <w:r>
        <w:rPr>
          <w:rFonts w:asciiTheme="majorBidi" w:hAnsiTheme="majorBidi" w:cstheme="majorBidi"/>
          <w:sz w:val="24"/>
          <w:szCs w:val="24"/>
        </w:rPr>
        <w:t xml:space="preserve"> “</w:t>
      </w:r>
      <w:r w:rsidR="006E38BF" w:rsidRPr="00AE0D64">
        <w:rPr>
          <w:rFonts w:asciiTheme="majorBidi" w:hAnsiTheme="majorBidi" w:cstheme="majorBidi"/>
          <w:sz w:val="24"/>
          <w:szCs w:val="24"/>
        </w:rPr>
        <w:t>Bone disease management includes the careful monitoring of chelation, lifestyle adjustments (increased calcium intake and physical activity and refraining from smoking), hormonal therapy, and vitamin D therapy. Osteoclast inhibitors such as bisphosphonates have the potential to reduce bone resorption and may be a valuable treatment approach, but further study is required before the routine use of these drugs can be recommended</w:t>
      </w:r>
      <w:r>
        <w:rPr>
          <w:rFonts w:asciiTheme="majorBidi" w:hAnsiTheme="majorBidi" w:cstheme="majorBidi"/>
          <w:sz w:val="24"/>
          <w:szCs w:val="24"/>
        </w:rPr>
        <w:t>”</w:t>
      </w:r>
      <w:r w:rsidR="006E38BF" w:rsidRPr="00AE0D64">
        <w:rPr>
          <w:rFonts w:asciiTheme="majorBidi" w:hAnsiTheme="majorBidi" w:cstheme="majorBidi"/>
          <w:sz w:val="24"/>
          <w:szCs w:val="24"/>
        </w:rPr>
        <w:t>.</w:t>
      </w:r>
      <w:r w:rsidR="006E38BF" w:rsidRPr="00AE0D64">
        <w:rPr>
          <w:rFonts w:asciiTheme="majorBidi" w:hAnsiTheme="majorBidi" w:cstheme="majorBidi"/>
          <w:sz w:val="24"/>
          <w:szCs w:val="24"/>
        </w:rPr>
        <w:fldChar w:fldCharType="begin" w:fldLock="1"/>
      </w:r>
      <w:r w:rsidR="006E38BF" w:rsidRPr="00AE0D64">
        <w:rPr>
          <w:rFonts w:asciiTheme="majorBidi" w:hAnsiTheme="majorBidi" w:cstheme="majorBidi"/>
          <w:sz w:val="24"/>
          <w:szCs w:val="24"/>
        </w:rPr>
        <w:instrText>ADDIN CSL_CITATION {"citationItems":[{"id":"ITEM-1","itemData":{"id":"ITEM-1","issued":{"date-parts":[["0"]]},"title":"Voskaridou E, Terpos E. New insights into the pathophysiology and management of osteoporosis in patients with beta thalassaemia. Br J Haematol 2004;127:127-39","type":"article-journal"},"uris":["http://www.mendeley.com/documents/?uuid=31d48ca7-2e60-4d0e-80c7-df486a1ce930"]}],"mendeley":{"formattedCitation":"[19]","plainTextFormattedCitation":"[19]","previouslyFormattedCitation":"[19]"},"properties":{"noteIndex":0},"schema":"https://github.com/citation-style-language/schema/raw/master/csl-citation.json"}</w:instrText>
      </w:r>
      <w:r w:rsidR="006E38BF" w:rsidRPr="00AE0D64">
        <w:rPr>
          <w:rFonts w:asciiTheme="majorBidi" w:hAnsiTheme="majorBidi" w:cstheme="majorBidi"/>
          <w:sz w:val="24"/>
          <w:szCs w:val="24"/>
        </w:rPr>
        <w:fldChar w:fldCharType="separate"/>
      </w:r>
      <w:r w:rsidR="006E38BF" w:rsidRPr="00AE0D64">
        <w:rPr>
          <w:rFonts w:asciiTheme="majorBidi" w:hAnsiTheme="majorBidi" w:cstheme="majorBidi"/>
          <w:noProof/>
          <w:sz w:val="24"/>
          <w:szCs w:val="24"/>
        </w:rPr>
        <w:t>[19]</w:t>
      </w:r>
      <w:r w:rsidR="006E38BF" w:rsidRPr="00AE0D64">
        <w:rPr>
          <w:rFonts w:asciiTheme="majorBidi" w:hAnsiTheme="majorBidi" w:cstheme="majorBidi"/>
          <w:sz w:val="24"/>
          <w:szCs w:val="24"/>
        </w:rPr>
        <w:fldChar w:fldCharType="end"/>
      </w:r>
    </w:p>
    <w:p w14:paraId="7F35A53C" w14:textId="58118B11" w:rsidR="006E38BF" w:rsidRDefault="00151B8E" w:rsidP="006E38BF">
      <w:pPr>
        <w:spacing w:before="120" w:after="120" w:line="360" w:lineRule="auto"/>
        <w:jc w:val="both"/>
        <w:rPr>
          <w:rFonts w:asciiTheme="majorBidi" w:eastAsia="Times New Roman" w:hAnsiTheme="majorBidi"/>
          <w:sz w:val="24"/>
        </w:rPr>
      </w:pPr>
      <w:r>
        <w:rPr>
          <w:rFonts w:asciiTheme="majorBidi" w:eastAsia="Times New Roman" w:hAnsiTheme="majorBidi"/>
          <w:sz w:val="24"/>
        </w:rPr>
        <w:t>“</w:t>
      </w:r>
      <w:r w:rsidR="006E38BF" w:rsidRPr="000A734E">
        <w:rPr>
          <w:rFonts w:asciiTheme="majorBidi" w:eastAsia="Times New Roman" w:hAnsiTheme="majorBidi"/>
          <w:sz w:val="24"/>
        </w:rPr>
        <w:t>The prognosis in individuals with β-thalassemia major has dramatically improved over the past decades with the advent of noninvasive methods to</w:t>
      </w:r>
      <w:bookmarkStart w:id="9" w:name="_GoBack"/>
      <w:bookmarkEnd w:id="9"/>
      <w:r w:rsidR="006E38BF" w:rsidRPr="000A734E">
        <w:rPr>
          <w:rFonts w:asciiTheme="majorBidi" w:eastAsia="Times New Roman" w:hAnsiTheme="majorBidi"/>
          <w:sz w:val="24"/>
        </w:rPr>
        <w:t xml:space="preserve"> measure liver and cardiac iron accumulation before the appearance of clinical symptoms, improved iron chelators, and decreased risk of infection with red blood cell transfusions. After 2000, these developments led to a significant decrease in cardiac mortality, previously reported to cause 71% of deaths in individuals with β-thalassemia major</w:t>
      </w:r>
      <w:r>
        <w:rPr>
          <w:rFonts w:asciiTheme="majorBidi" w:eastAsia="Times New Roman" w:hAnsiTheme="majorBidi"/>
          <w:sz w:val="24"/>
        </w:rPr>
        <w:t xml:space="preserve">” </w:t>
      </w:r>
      <w:r w:rsidR="006E38BF">
        <w:rPr>
          <w:rFonts w:asciiTheme="majorBidi" w:eastAsia="Times New Roman" w:hAnsiTheme="majorBidi"/>
          <w:sz w:val="24"/>
        </w:rPr>
        <w:fldChar w:fldCharType="begin" w:fldLock="1"/>
      </w:r>
      <w:r w:rsidR="006E38BF">
        <w:rPr>
          <w:rFonts w:asciiTheme="majorBidi" w:eastAsia="Times New Roman" w:hAnsiTheme="majorBidi"/>
          <w:sz w:val="24"/>
        </w:rPr>
        <w:instrText>ADDIN CSL_CITATION {"citationItems":[{"id":"ITEM-1","itemData":{"id":"ITEM-1","issued":{"date-parts":[["0"]]},"title":"Borgna-Pignatti C, Vergine G, Lombardo T, Cappellini MD, Cianciulli P, Maggio A, Renda D, Lai ME, Mandas A, Forni G, Piga A, Bisconte MG: Hepatocellular carcinoma in the thalassemia syndromes. Br J Haematol 2004, 124:114-117","type":"article-journal"},"uris":["http://www.mendeley.com/documents/?uuid=ba9167a7-15c5-43c5-ac85-05b40a5e1e38"]},{"id":"ITEM-2","itemData":{"id":"ITEM-2","issued":{"date-parts":[["0"]]},"title":"Telfer P, Coen PG, Christou S, Hadjigavriel M, Kolnakou A, Pangalou E, Pavlides N, Psiloines M, Simamonian K, Skordos G, Sitarou M, Angastiniotis M. Survival of medically treated thalassemia patients in Cyprus. Trends and risk factors over the period 1980","type":"article-journal"},"uris":["http://www.mendeley.com/documents/?uuid=173e2236-191c-4a2b-8c2d-ca00c5e07029"]},{"id":"ITEM-3","itemData":{"id":"ITEM-3","issued":{"date-parts":[["0"]]},"title":"Weatherall DJ, Clegg JB. 2001. The thalassemia syndromes, 4th ed. Blackwell Science, Oxford","type":"article-journal"},"uris":["http://www.mendeley.com/documents/?uuid=a75bd575-fc54-4aa5-bc42-c836f20e2386"]}],"mendeley":{"formattedCitation":"[21]–[23]","plainTextFormattedCitation":"[21]–[23]","previouslyFormattedCitation":"[21]–[23]"},"properties":{"noteIndex":0},"schema":"https://github.com/citation-style-language/schema/raw/master/csl-citation.json"}</w:instrText>
      </w:r>
      <w:r w:rsidR="006E38BF">
        <w:rPr>
          <w:rFonts w:asciiTheme="majorBidi" w:eastAsia="Times New Roman" w:hAnsiTheme="majorBidi"/>
          <w:sz w:val="24"/>
        </w:rPr>
        <w:fldChar w:fldCharType="separate"/>
      </w:r>
      <w:r w:rsidR="006E38BF" w:rsidRPr="009A1A07">
        <w:rPr>
          <w:rFonts w:asciiTheme="majorBidi" w:eastAsia="Times New Roman" w:hAnsiTheme="majorBidi"/>
          <w:noProof/>
          <w:sz w:val="24"/>
        </w:rPr>
        <w:t>[21</w:t>
      </w:r>
      <w:r w:rsidR="00C51C4E">
        <w:rPr>
          <w:rFonts w:asciiTheme="majorBidi" w:eastAsia="Times New Roman" w:hAnsiTheme="majorBidi"/>
          <w:noProof/>
          <w:sz w:val="24"/>
        </w:rPr>
        <w:t>-</w:t>
      </w:r>
      <w:r w:rsidR="006E38BF" w:rsidRPr="009A1A07">
        <w:rPr>
          <w:rFonts w:asciiTheme="majorBidi" w:eastAsia="Times New Roman" w:hAnsiTheme="majorBidi"/>
          <w:noProof/>
          <w:sz w:val="24"/>
        </w:rPr>
        <w:t>23]</w:t>
      </w:r>
      <w:r w:rsidR="006E38BF">
        <w:rPr>
          <w:rFonts w:asciiTheme="majorBidi" w:eastAsia="Times New Roman" w:hAnsiTheme="majorBidi"/>
          <w:sz w:val="24"/>
        </w:rPr>
        <w:fldChar w:fldCharType="end"/>
      </w:r>
      <w:r w:rsidR="006E38BF" w:rsidRPr="000A734E">
        <w:rPr>
          <w:rFonts w:asciiTheme="majorBidi" w:eastAsia="Times New Roman" w:hAnsiTheme="majorBidi"/>
          <w:sz w:val="24"/>
        </w:rPr>
        <w:t xml:space="preserve"> </w:t>
      </w:r>
      <w:r>
        <w:rPr>
          <w:rFonts w:asciiTheme="majorBidi" w:eastAsia="Times New Roman" w:hAnsiTheme="majorBidi"/>
          <w:sz w:val="24"/>
        </w:rPr>
        <w:t>“</w:t>
      </w:r>
      <w:r w:rsidR="006E38BF" w:rsidRPr="000A734E">
        <w:rPr>
          <w:rFonts w:asciiTheme="majorBidi" w:eastAsia="Times New Roman" w:hAnsiTheme="majorBidi"/>
          <w:sz w:val="24"/>
        </w:rPr>
        <w:t>Prognosis continues to improve as access to both red blood cell transfusions and iron chelation increases, but life expectancy remains greatly diminished in low-resource settings, with more than half of individuals dying before age 30 years compared to more than half of individuals living to age 60 years in high-resource settings</w:t>
      </w:r>
      <w:r>
        <w:rPr>
          <w:rFonts w:asciiTheme="majorBidi" w:eastAsia="Times New Roman" w:hAnsiTheme="majorBidi"/>
          <w:sz w:val="24"/>
        </w:rPr>
        <w:t xml:space="preserve">” </w:t>
      </w:r>
      <w:r w:rsidR="006E38BF" w:rsidRPr="000A734E">
        <w:rPr>
          <w:rFonts w:asciiTheme="majorBidi" w:eastAsia="Times New Roman" w:hAnsiTheme="majorBidi"/>
          <w:sz w:val="24"/>
        </w:rPr>
        <w:fldChar w:fldCharType="begin" w:fldLock="1"/>
      </w:r>
      <w:r w:rsidR="006E38BF">
        <w:rPr>
          <w:rFonts w:asciiTheme="majorBidi" w:eastAsia="Times New Roman" w:hAnsiTheme="majorBidi"/>
          <w:sz w:val="24"/>
        </w:rPr>
        <w:instrText>ADDIN CSL_CITATION {"citationItems":[{"id":"ITEM-1","itemData":{"id":"ITEM-1","issued":{"date-parts":[["0"]]},"title":"Kattamis A, Forni GL, Aydinok Y, Viprakasit V. Changing patterns in the epidemiology of β-thalassemia. Eur J Haematol. 2020;105:692-703. [PMC free article] [PubMed]","type":"article-journal"},"uris":["http://www.mendeley.com/documents/?uuid=0801d8fc-e576-4bd8-82c0-41e0379814e9"]}],"mendeley":{"formattedCitation":"[24]","plainTextFormattedCitation":"[24]","previouslyFormattedCitation":"[24]"},"properties":{"noteIndex":0},"schema":"https://github.com/citation-style-language/schema/raw/master/csl-citation.json"}</w:instrText>
      </w:r>
      <w:r w:rsidR="006E38BF" w:rsidRPr="000A734E">
        <w:rPr>
          <w:rFonts w:asciiTheme="majorBidi" w:eastAsia="Times New Roman" w:hAnsiTheme="majorBidi"/>
          <w:sz w:val="24"/>
        </w:rPr>
        <w:fldChar w:fldCharType="separate"/>
      </w:r>
      <w:r w:rsidR="006E38BF" w:rsidRPr="00084AB8">
        <w:rPr>
          <w:rFonts w:asciiTheme="majorBidi" w:eastAsia="Times New Roman" w:hAnsiTheme="majorBidi"/>
          <w:noProof/>
          <w:sz w:val="24"/>
        </w:rPr>
        <w:t>[2</w:t>
      </w:r>
      <w:r w:rsidR="00C51C4E">
        <w:rPr>
          <w:rFonts w:asciiTheme="majorBidi" w:eastAsia="Times New Roman" w:hAnsiTheme="majorBidi"/>
          <w:noProof/>
          <w:sz w:val="24"/>
        </w:rPr>
        <w:t>3</w:t>
      </w:r>
      <w:r w:rsidR="006E38BF" w:rsidRPr="000A734E">
        <w:rPr>
          <w:rFonts w:asciiTheme="majorBidi" w:eastAsia="Times New Roman" w:hAnsiTheme="majorBidi"/>
          <w:sz w:val="24"/>
        </w:rPr>
        <w:fldChar w:fldCharType="end"/>
      </w:r>
      <w:r w:rsidR="00C51C4E">
        <w:rPr>
          <w:rFonts w:asciiTheme="majorBidi" w:eastAsia="Times New Roman" w:hAnsiTheme="majorBidi"/>
          <w:sz w:val="24"/>
        </w:rPr>
        <w:t>-</w:t>
      </w:r>
      <w:r w:rsidR="006E38BF" w:rsidRPr="000A734E">
        <w:rPr>
          <w:rFonts w:asciiTheme="majorBidi" w:eastAsia="Times New Roman" w:hAnsiTheme="majorBidi"/>
          <w:sz w:val="24"/>
        </w:rPr>
        <w:fldChar w:fldCharType="begin" w:fldLock="1"/>
      </w:r>
      <w:r w:rsidR="006E38BF">
        <w:rPr>
          <w:rFonts w:asciiTheme="majorBidi" w:eastAsia="Times New Roman" w:hAnsiTheme="majorBidi"/>
          <w:sz w:val="24"/>
        </w:rPr>
        <w:instrText>ADDIN CSL_CITATION {"citationItems":[{"id":"ITEM-1","itemData":{"id":"ITEM-1","issued":{"date-parts":[["0"]]},"title":"Weatherall DJ, Clegg JB. 2001. The thalassemia syndromes, 4th ed. Blackwell Science, Oxford","type":"article-journal"},"uris":["http://www.mendeley.com/documents/?uuid=a75bd575-fc54-4aa5-bc42-c836f20e2386"]}],"mendeley":{"formattedCitation":"[23]","plainTextFormattedCitation":"[23]","previouslyFormattedCitation":"[23]"},"properties":{"noteIndex":0},"schema":"https://github.com/citation-style-language/schema/raw/master/csl-citation.json"}</w:instrText>
      </w:r>
      <w:r w:rsidR="006E38BF" w:rsidRPr="000A734E">
        <w:rPr>
          <w:rFonts w:asciiTheme="majorBidi" w:eastAsia="Times New Roman" w:hAnsiTheme="majorBidi"/>
          <w:sz w:val="24"/>
        </w:rPr>
        <w:fldChar w:fldCharType="separate"/>
      </w:r>
      <w:r w:rsidR="006E38BF" w:rsidRPr="00084AB8">
        <w:rPr>
          <w:rFonts w:asciiTheme="majorBidi" w:eastAsia="Times New Roman" w:hAnsiTheme="majorBidi"/>
          <w:noProof/>
          <w:sz w:val="24"/>
        </w:rPr>
        <w:t>2</w:t>
      </w:r>
      <w:r w:rsidR="00C51C4E">
        <w:rPr>
          <w:rFonts w:asciiTheme="majorBidi" w:eastAsia="Times New Roman" w:hAnsiTheme="majorBidi"/>
          <w:noProof/>
          <w:sz w:val="24"/>
        </w:rPr>
        <w:t>4</w:t>
      </w:r>
      <w:r w:rsidR="006E38BF" w:rsidRPr="00084AB8">
        <w:rPr>
          <w:rFonts w:asciiTheme="majorBidi" w:eastAsia="Times New Roman" w:hAnsiTheme="majorBidi"/>
          <w:noProof/>
          <w:sz w:val="24"/>
        </w:rPr>
        <w:t>]</w:t>
      </w:r>
      <w:r w:rsidR="006E38BF" w:rsidRPr="000A734E">
        <w:rPr>
          <w:rFonts w:asciiTheme="majorBidi" w:eastAsia="Times New Roman" w:hAnsiTheme="majorBidi"/>
          <w:sz w:val="24"/>
        </w:rPr>
        <w:fldChar w:fldCharType="end"/>
      </w:r>
      <w:r w:rsidR="006E38BF" w:rsidRPr="000A734E">
        <w:rPr>
          <w:rFonts w:asciiTheme="majorBidi" w:eastAsia="Times New Roman" w:hAnsiTheme="majorBidi"/>
          <w:sz w:val="24"/>
        </w:rPr>
        <w:t>.</w:t>
      </w:r>
    </w:p>
    <w:p w14:paraId="0F945781" w14:textId="22C257C7" w:rsidR="008650C0" w:rsidRPr="00B91F9C" w:rsidRDefault="008650C0" w:rsidP="006E38BF">
      <w:pPr>
        <w:spacing w:before="120" w:after="120" w:line="360" w:lineRule="auto"/>
        <w:jc w:val="both"/>
        <w:rPr>
          <w:rFonts w:asciiTheme="majorBidi" w:hAnsiTheme="majorBidi"/>
          <w:sz w:val="24"/>
        </w:rPr>
      </w:pPr>
      <w:r>
        <w:rPr>
          <w:rFonts w:asciiTheme="majorBidi" w:eastAsia="Times New Roman" w:hAnsiTheme="majorBidi"/>
          <w:sz w:val="24"/>
        </w:rPr>
        <w:t xml:space="preserve">The </w:t>
      </w:r>
      <w:r w:rsidRPr="00B832FC">
        <w:rPr>
          <w:rFonts w:asciiTheme="majorBidi" w:hAnsiTheme="majorBidi"/>
          <w:sz w:val="24"/>
        </w:rPr>
        <w:t xml:space="preserve">aims </w:t>
      </w:r>
      <w:r>
        <w:rPr>
          <w:rFonts w:asciiTheme="majorBidi" w:hAnsiTheme="majorBidi"/>
          <w:sz w:val="24"/>
        </w:rPr>
        <w:t xml:space="preserve">of this study </w:t>
      </w:r>
      <w:r w:rsidRPr="00B832FC">
        <w:rPr>
          <w:rFonts w:asciiTheme="majorBidi" w:hAnsiTheme="majorBidi"/>
          <w:sz w:val="24"/>
        </w:rPr>
        <w:t>to explore the interrelationships between vitamin D levels, parathyroid hormone concentrations, and serum ferritin in children diagnosed with thalassemia major.</w:t>
      </w:r>
    </w:p>
    <w:p w14:paraId="6F891E5C" w14:textId="77777777" w:rsidR="002D342B" w:rsidRDefault="002D342B" w:rsidP="002D342B">
      <w:pPr>
        <w:jc w:val="both"/>
        <w:rPr>
          <w:rFonts w:asciiTheme="majorBidi" w:hAnsiTheme="majorBidi" w:cstheme="majorBidi"/>
          <w:b/>
          <w:bCs/>
          <w:sz w:val="24"/>
          <w:szCs w:val="24"/>
        </w:rPr>
      </w:pPr>
    </w:p>
    <w:p w14:paraId="4B137180" w14:textId="70F6CF13" w:rsidR="002D342B" w:rsidRPr="00151B8E" w:rsidRDefault="002D342B" w:rsidP="002D342B">
      <w:pPr>
        <w:jc w:val="both"/>
        <w:rPr>
          <w:rFonts w:asciiTheme="majorBidi" w:hAnsiTheme="majorBidi" w:cstheme="majorBidi"/>
          <w:b/>
          <w:sz w:val="24"/>
          <w:szCs w:val="24"/>
        </w:rPr>
      </w:pPr>
      <w:r w:rsidRPr="00151B8E">
        <w:rPr>
          <w:rFonts w:asciiTheme="majorBidi" w:hAnsiTheme="majorBidi" w:cstheme="majorBidi"/>
          <w:b/>
          <w:sz w:val="24"/>
          <w:szCs w:val="24"/>
        </w:rPr>
        <w:t>Materials and Methods</w:t>
      </w:r>
    </w:p>
    <w:p w14:paraId="514A5700"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Study Design and Population</w:t>
      </w:r>
    </w:p>
    <w:p w14:paraId="2BF8864D" w14:textId="0422DD48"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 xml:space="preserve">A descriptive, cross-sectional study was conducted from January 2021 to December 2022 at the National Oncology Center in Aden, Yemen. The study enrolled 40 children with a confirmed diagnosis of BTM or </w:t>
      </w:r>
      <w:proofErr w:type="spellStart"/>
      <w:r w:rsidRPr="002D342B">
        <w:rPr>
          <w:rFonts w:asciiTheme="majorBidi" w:hAnsiTheme="majorBidi" w:cstheme="majorBidi"/>
          <w:sz w:val="24"/>
          <w:szCs w:val="24"/>
        </w:rPr>
        <w:t>HbE</w:t>
      </w:r>
      <w:proofErr w:type="spellEnd"/>
      <w:r w:rsidRPr="002D342B">
        <w:rPr>
          <w:rFonts w:asciiTheme="majorBidi" w:hAnsiTheme="majorBidi" w:cstheme="majorBidi"/>
          <w:sz w:val="24"/>
          <w:szCs w:val="24"/>
        </w:rPr>
        <w:t>/Beta-thalassemia. Patients were recruited from outpatient, inpatient, and daycare clinics. Inclusion criteria were children aged 1 to 21</w:t>
      </w:r>
      <w:r>
        <w:rPr>
          <w:rFonts w:asciiTheme="majorBidi" w:hAnsiTheme="majorBidi" w:cstheme="majorBidi"/>
          <w:sz w:val="24"/>
          <w:szCs w:val="24"/>
        </w:rPr>
        <w:t xml:space="preserve"> </w:t>
      </w:r>
      <w:proofErr w:type="gramStart"/>
      <w:r>
        <w:rPr>
          <w:rFonts w:asciiTheme="majorBidi" w:hAnsiTheme="majorBidi" w:cstheme="majorBidi"/>
          <w:sz w:val="24"/>
          <w:szCs w:val="24"/>
        </w:rPr>
        <w:t>years</w:t>
      </w:r>
      <w:r w:rsidRPr="002D342B">
        <w:rPr>
          <w:rFonts w:asciiTheme="majorBidi" w:hAnsiTheme="majorBidi" w:cstheme="majorBidi"/>
          <w:sz w:val="24"/>
          <w:szCs w:val="24"/>
        </w:rPr>
        <w:t>  who</w:t>
      </w:r>
      <w:proofErr w:type="gramEnd"/>
      <w:r w:rsidRPr="002D342B">
        <w:rPr>
          <w:rFonts w:asciiTheme="majorBidi" w:hAnsiTheme="majorBidi" w:cstheme="majorBidi"/>
          <w:sz w:val="24"/>
          <w:szCs w:val="24"/>
        </w:rPr>
        <w:t xml:space="preserve"> were regularly transfused and whose parents provided informed consent. Exclusion criteria included comorbid liver or kidney disease, and recent supplementation with Vitamin D.</w:t>
      </w:r>
    </w:p>
    <w:p w14:paraId="7844EFA4" w14:textId="77777777" w:rsidR="002D342B" w:rsidRPr="002D342B" w:rsidRDefault="002D342B" w:rsidP="002D342B">
      <w:pPr>
        <w:jc w:val="both"/>
        <w:rPr>
          <w:rFonts w:asciiTheme="majorBidi" w:hAnsiTheme="majorBidi" w:cstheme="majorBidi"/>
          <w:sz w:val="24"/>
          <w:szCs w:val="24"/>
        </w:rPr>
      </w:pPr>
    </w:p>
    <w:p w14:paraId="07AA6536"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Data Collection</w:t>
      </w:r>
    </w:p>
    <w:p w14:paraId="2EF97B32"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Demographic and clinical data, including age, gender, residence, age at diagnosis, consanguinity, transfusion history, iron chelation therapy, and splenectomy status, were collected using a pre-structured questionnaire through direct interviews with parents or guardians. A physical examination was performed to assess for hepatosplenomegaly.</w:t>
      </w:r>
    </w:p>
    <w:p w14:paraId="33F7F7F2" w14:textId="77777777" w:rsidR="002D342B" w:rsidRPr="002D342B" w:rsidRDefault="002D342B" w:rsidP="002D342B">
      <w:pPr>
        <w:jc w:val="both"/>
        <w:rPr>
          <w:rFonts w:asciiTheme="majorBidi" w:hAnsiTheme="majorBidi" w:cstheme="majorBidi"/>
          <w:sz w:val="24"/>
          <w:szCs w:val="24"/>
        </w:rPr>
      </w:pPr>
    </w:p>
    <w:p w14:paraId="4AEFBD07"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Laboratory Methods</w:t>
      </w:r>
    </w:p>
    <w:p w14:paraId="6A33A5A2"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Blood samples were collected in EDTA tubes for hematological analysis and plain tubes for serum separation. Hematological parameters—including hemoglobin (Hb), hematocrit (Hct), red blood cell indices (MCV, MCH, MCHC), white blood cell (WBC) count, and platelet count—were analyzed using an automated hematology analyzer (Sysmex KX-21N, Sysmex Corporation, Japan).</w:t>
      </w:r>
    </w:p>
    <w:p w14:paraId="5A662DDD" w14:textId="77777777" w:rsidR="002D342B" w:rsidRPr="002D342B" w:rsidRDefault="002D342B" w:rsidP="002D342B">
      <w:pPr>
        <w:jc w:val="both"/>
        <w:rPr>
          <w:rFonts w:asciiTheme="majorBidi" w:hAnsiTheme="majorBidi" w:cstheme="majorBidi"/>
          <w:sz w:val="24"/>
          <w:szCs w:val="24"/>
        </w:rPr>
      </w:pPr>
    </w:p>
    <w:p w14:paraId="1CFA5459"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 xml:space="preserve">Biochemical analyses were performed on a Roche/Hitachi </w:t>
      </w:r>
      <w:proofErr w:type="spellStart"/>
      <w:r w:rsidRPr="002D342B">
        <w:rPr>
          <w:rFonts w:asciiTheme="majorBidi" w:hAnsiTheme="majorBidi" w:cstheme="majorBidi"/>
          <w:sz w:val="24"/>
          <w:szCs w:val="24"/>
        </w:rPr>
        <w:t>cobas</w:t>
      </w:r>
      <w:proofErr w:type="spellEnd"/>
      <w:r w:rsidRPr="002D342B">
        <w:rPr>
          <w:rFonts w:asciiTheme="majorBidi" w:hAnsiTheme="majorBidi" w:cstheme="majorBidi"/>
          <w:sz w:val="24"/>
          <w:szCs w:val="24"/>
        </w:rPr>
        <w:t xml:space="preserve"> c 311 </w:t>
      </w:r>
      <w:proofErr w:type="gramStart"/>
      <w:r w:rsidRPr="002D342B">
        <w:rPr>
          <w:rFonts w:asciiTheme="majorBidi" w:hAnsiTheme="majorBidi" w:cstheme="majorBidi"/>
          <w:sz w:val="24"/>
          <w:szCs w:val="24"/>
        </w:rPr>
        <w:t>analyzer</w:t>
      </w:r>
      <w:proofErr w:type="gramEnd"/>
      <w:r w:rsidRPr="002D342B">
        <w:rPr>
          <w:rFonts w:asciiTheme="majorBidi" w:hAnsiTheme="majorBidi" w:cstheme="majorBidi"/>
          <w:sz w:val="24"/>
          <w:szCs w:val="24"/>
        </w:rPr>
        <w:t xml:space="preserve">. This included liver function tests (ALT, AST, GGT, Total Protein, Albumin, Total and Direct Bilirubin), renal function tests (Urea, Creatinine), calcium, and phosphorus. Serum ferritin, PTH, and 25-OH Vitamin D were quantified using Electrochemiluminescence Immunoassay (ECLIA) on a </w:t>
      </w:r>
      <w:proofErr w:type="spellStart"/>
      <w:r w:rsidRPr="002D342B">
        <w:rPr>
          <w:rFonts w:asciiTheme="majorBidi" w:hAnsiTheme="majorBidi" w:cstheme="majorBidi"/>
          <w:sz w:val="24"/>
          <w:szCs w:val="24"/>
        </w:rPr>
        <w:t>cobas</w:t>
      </w:r>
      <w:proofErr w:type="spellEnd"/>
      <w:r w:rsidRPr="002D342B">
        <w:rPr>
          <w:rFonts w:asciiTheme="majorBidi" w:hAnsiTheme="majorBidi" w:cstheme="majorBidi"/>
          <w:sz w:val="24"/>
          <w:szCs w:val="24"/>
        </w:rPr>
        <w:t xml:space="preserve"> e 411 analyzer (Roche Diagnostics, Germany.</w:t>
      </w:r>
    </w:p>
    <w:p w14:paraId="4A82A4BC" w14:textId="77777777" w:rsidR="002D342B" w:rsidRPr="002D342B" w:rsidRDefault="002D342B" w:rsidP="002D342B">
      <w:pPr>
        <w:jc w:val="both"/>
        <w:rPr>
          <w:rFonts w:asciiTheme="majorBidi" w:hAnsiTheme="majorBidi" w:cstheme="majorBidi"/>
          <w:sz w:val="24"/>
          <w:szCs w:val="24"/>
        </w:rPr>
      </w:pPr>
    </w:p>
    <w:p w14:paraId="10F6A84D"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Statistical Analysis</w:t>
      </w:r>
    </w:p>
    <w:p w14:paraId="61A349F1"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 xml:space="preserve">Data were analyzed using SPSS Statistics version 26.0 (IBM Co., USA). Categorical data were expressed as frequencies and percentages, and continuous data were presented as mean ± standard deviation or median and range as appropriate. The Chi-square </w:t>
      </w:r>
      <w:proofErr w:type="gramStart"/>
      <w:r w:rsidRPr="002D342B">
        <w:rPr>
          <w:rFonts w:asciiTheme="majorBidi" w:hAnsiTheme="majorBidi" w:cstheme="majorBidi"/>
          <w:sz w:val="24"/>
          <w:szCs w:val="24"/>
        </w:rPr>
        <w:t>test  was</w:t>
      </w:r>
      <w:proofErr w:type="gramEnd"/>
      <w:r w:rsidRPr="002D342B">
        <w:rPr>
          <w:rFonts w:asciiTheme="majorBidi" w:hAnsiTheme="majorBidi" w:cstheme="majorBidi"/>
          <w:sz w:val="24"/>
          <w:szCs w:val="24"/>
        </w:rPr>
        <w:t xml:space="preserve"> used for categorical variables. The Student's t-test was used to compare means between two groups. Pearson's or Spearman's correlation coefficient was used to assess relationships between variables. A p-value of &lt; 0.05 was considered statistically significant.</w:t>
      </w:r>
    </w:p>
    <w:p w14:paraId="4C32F2D1" w14:textId="505896B0" w:rsidR="00120E2F" w:rsidRDefault="00120E2F" w:rsidP="002D342B">
      <w:pPr>
        <w:jc w:val="both"/>
        <w:rPr>
          <w:rFonts w:asciiTheme="majorBidi" w:hAnsiTheme="majorBidi" w:cstheme="majorBidi"/>
          <w:sz w:val="24"/>
          <w:szCs w:val="24"/>
        </w:rPr>
      </w:pPr>
    </w:p>
    <w:p w14:paraId="636356D8" w14:textId="71A46E93" w:rsidR="006E38BF" w:rsidRPr="00AE0D64" w:rsidRDefault="00BE4849" w:rsidP="006E38BF">
      <w:pPr>
        <w:rPr>
          <w:rFonts w:asciiTheme="majorBidi" w:hAnsiTheme="majorBidi" w:cstheme="majorBidi"/>
          <w:sz w:val="24"/>
          <w:szCs w:val="24"/>
        </w:rPr>
      </w:pPr>
      <w:r w:rsidRPr="00AE0D64">
        <w:rPr>
          <w:rFonts w:asciiTheme="majorBidi" w:hAnsiTheme="majorBidi" w:cstheme="majorBidi"/>
          <w:sz w:val="24"/>
          <w:szCs w:val="24"/>
        </w:rPr>
        <w:t>R</w:t>
      </w:r>
      <w:r w:rsidR="00120E2F">
        <w:rPr>
          <w:rFonts w:asciiTheme="majorBidi" w:hAnsiTheme="majorBidi" w:cstheme="majorBidi"/>
          <w:sz w:val="24"/>
          <w:szCs w:val="24"/>
        </w:rPr>
        <w:t>ESULT</w:t>
      </w:r>
    </w:p>
    <w:p w14:paraId="7321EBC8" w14:textId="77777777" w:rsidR="00BE4849" w:rsidRPr="00AE0D64" w:rsidRDefault="00BE4849" w:rsidP="00BE4849">
      <w:pPr>
        <w:jc w:val="both"/>
        <w:rPr>
          <w:rFonts w:asciiTheme="majorBidi" w:eastAsia="Calibri" w:hAnsiTheme="majorBidi" w:cstheme="majorBidi"/>
          <w:b/>
          <w:bCs/>
          <w:sz w:val="24"/>
          <w:szCs w:val="24"/>
        </w:rPr>
      </w:pPr>
      <w:r w:rsidRPr="00AE0D64">
        <w:rPr>
          <w:rFonts w:asciiTheme="majorBidi" w:eastAsia="Calibri" w:hAnsiTheme="majorBidi" w:cstheme="majorBidi"/>
          <w:sz w:val="24"/>
          <w:szCs w:val="24"/>
        </w:rPr>
        <w:t>The demographic information, as well as the tests of patients, were carried out between January to December 2022 to evaluate the bone chemical test and biochemical and hematological parameters of thalassemia major patients attending the National Oncology Center \ Aden. The blood was collected and analyzed at the same center, and the bone chemical test was analyzed at the National Center of Public Health Laboratories. The results were presented in the following tables and graphs.</w:t>
      </w:r>
      <w:r w:rsidRPr="00AE0D64">
        <w:rPr>
          <w:rFonts w:asciiTheme="majorBidi" w:eastAsia="Calibri" w:hAnsiTheme="majorBidi" w:cstheme="majorBidi"/>
          <w:b/>
          <w:bCs/>
          <w:sz w:val="24"/>
          <w:szCs w:val="24"/>
        </w:rPr>
        <w:t xml:space="preserve"> </w:t>
      </w:r>
    </w:p>
    <w:p w14:paraId="271531AD" w14:textId="4772F09B" w:rsidR="00BE4849" w:rsidRPr="00A32BC3" w:rsidRDefault="00BE4849" w:rsidP="00BE4849">
      <w:pPr>
        <w:jc w:val="both"/>
        <w:rPr>
          <w:rFonts w:ascii="Times New Roman" w:eastAsia="Calibri" w:hAnsi="Times New Roman" w:cs="Times New Roman"/>
          <w:sz w:val="24"/>
        </w:rPr>
      </w:pPr>
      <w:r w:rsidRPr="000A734E">
        <w:rPr>
          <w:rFonts w:ascii="Times New Roman" w:eastAsia="Calibri" w:hAnsi="Times New Roman" w:cs="Times New Roman"/>
          <w:b/>
          <w:bCs/>
          <w:sz w:val="24"/>
        </w:rPr>
        <w:t>Table</w:t>
      </w:r>
      <w:r w:rsidR="00151B8E">
        <w:rPr>
          <w:rFonts w:ascii="Times New Roman" w:eastAsia="Calibri" w:hAnsi="Times New Roman" w:cs="Times New Roman"/>
          <w:b/>
          <w:bCs/>
          <w:sz w:val="24"/>
        </w:rPr>
        <w:t xml:space="preserve"> </w:t>
      </w:r>
      <w:r w:rsidRPr="000A734E">
        <w:rPr>
          <w:rFonts w:ascii="Times New Roman" w:eastAsia="Calibri" w:hAnsi="Times New Roman" w:cs="Times New Roman"/>
          <w:b/>
          <w:bCs/>
          <w:sz w:val="24"/>
        </w:rPr>
        <w:t>1. Demographic characteristics of the studied patients with thalassemia</w:t>
      </w:r>
    </w:p>
    <w:tbl>
      <w:tblPr>
        <w:tblStyle w:val="311"/>
        <w:tblpPr w:leftFromText="180" w:rightFromText="180" w:vertAnchor="text" w:horzAnchor="margin" w:tblpY="44"/>
        <w:tblW w:w="9606" w:type="dxa"/>
        <w:tblInd w:w="0" w:type="dxa"/>
        <w:tblLook w:val="04A0" w:firstRow="1" w:lastRow="0" w:firstColumn="1" w:lastColumn="0" w:noHBand="0" w:noVBand="1"/>
      </w:tblPr>
      <w:tblGrid>
        <w:gridCol w:w="6129"/>
        <w:gridCol w:w="1841"/>
        <w:gridCol w:w="1636"/>
      </w:tblGrid>
      <w:tr w:rsidR="00151B8E" w:rsidRPr="000A734E" w14:paraId="62311937" w14:textId="77777777" w:rsidTr="00151B8E">
        <w:trPr>
          <w:trHeight w:val="135"/>
        </w:trPr>
        <w:tc>
          <w:tcPr>
            <w:tcW w:w="6129" w:type="dxa"/>
            <w:vMerge w:val="restart"/>
            <w:tcBorders>
              <w:top w:val="single" w:sz="4" w:space="0" w:color="000000"/>
              <w:left w:val="single" w:sz="4" w:space="0" w:color="000000"/>
              <w:bottom w:val="single" w:sz="4" w:space="0" w:color="000000"/>
              <w:right w:val="single" w:sz="4" w:space="0" w:color="000000"/>
            </w:tcBorders>
            <w:vAlign w:val="center"/>
            <w:hideMark/>
          </w:tcPr>
          <w:p w14:paraId="2756975D" w14:textId="77777777" w:rsidR="00151B8E" w:rsidRPr="000A734E" w:rsidRDefault="00151B8E" w:rsidP="00151B8E">
            <w:pPr>
              <w:rPr>
                <w:rFonts w:ascii="Times New Roman" w:hAnsi="Times New Roman" w:cs="Times New Roman"/>
                <w:sz w:val="24"/>
                <w:rtl/>
              </w:rPr>
            </w:pPr>
            <w:r w:rsidRPr="000A734E">
              <w:rPr>
                <w:rFonts w:ascii="Times New Roman" w:hAnsi="Times New Roman" w:cs="Times New Roman"/>
                <w:sz w:val="24"/>
              </w:rPr>
              <w:lastRenderedPageBreak/>
              <w:t>Item</w:t>
            </w:r>
          </w:p>
        </w:tc>
        <w:tc>
          <w:tcPr>
            <w:tcW w:w="3477" w:type="dxa"/>
            <w:gridSpan w:val="2"/>
            <w:tcBorders>
              <w:top w:val="single" w:sz="4" w:space="0" w:color="000000"/>
              <w:left w:val="single" w:sz="4" w:space="0" w:color="000000"/>
              <w:bottom w:val="single" w:sz="4" w:space="0" w:color="000000"/>
              <w:right w:val="single" w:sz="4" w:space="0" w:color="000000"/>
            </w:tcBorders>
            <w:vAlign w:val="center"/>
            <w:hideMark/>
          </w:tcPr>
          <w:p w14:paraId="3FF9835B"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(n = 40)</w:t>
            </w:r>
          </w:p>
        </w:tc>
      </w:tr>
      <w:tr w:rsidR="00151B8E" w:rsidRPr="000A734E" w14:paraId="5FC2D2AB" w14:textId="77777777" w:rsidTr="00151B8E">
        <w:trPr>
          <w:trHeight w:val="137"/>
        </w:trPr>
        <w:tc>
          <w:tcPr>
            <w:tcW w:w="6129" w:type="dxa"/>
            <w:vMerge/>
            <w:tcBorders>
              <w:top w:val="single" w:sz="4" w:space="0" w:color="000000"/>
              <w:left w:val="single" w:sz="4" w:space="0" w:color="000000"/>
              <w:bottom w:val="single" w:sz="4" w:space="0" w:color="000000"/>
              <w:right w:val="single" w:sz="4" w:space="0" w:color="000000"/>
            </w:tcBorders>
            <w:vAlign w:val="center"/>
            <w:hideMark/>
          </w:tcPr>
          <w:p w14:paraId="10A1470C" w14:textId="77777777" w:rsidR="00151B8E" w:rsidRPr="000A734E" w:rsidRDefault="00151B8E" w:rsidP="00151B8E">
            <w:pPr>
              <w:rPr>
                <w:rFonts w:ascii="Times New Roman" w:hAnsi="Times New Roman" w:cs="Times New Roman"/>
                <w:sz w:val="24"/>
              </w:rPr>
            </w:pP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162F58B3"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316A8D7D"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w:t>
            </w:r>
          </w:p>
        </w:tc>
      </w:tr>
      <w:tr w:rsidR="00151B8E" w:rsidRPr="000A734E" w14:paraId="640824AC" w14:textId="77777777" w:rsidTr="00151B8E">
        <w:trPr>
          <w:trHeight w:val="225"/>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5018D74A" w14:textId="77777777" w:rsidR="00151B8E" w:rsidRPr="000A734E" w:rsidRDefault="00151B8E" w:rsidP="00151B8E">
            <w:pPr>
              <w:rPr>
                <w:rFonts w:ascii="Times New Roman" w:hAnsi="Times New Roman" w:cs="Times New Roman"/>
                <w:b/>
                <w:bCs/>
                <w:sz w:val="24"/>
              </w:rPr>
            </w:pPr>
            <w:r w:rsidRPr="000A734E">
              <w:rPr>
                <w:rFonts w:ascii="Times New Roman" w:hAnsi="Times New Roman" w:cs="Times New Roman"/>
                <w:sz w:val="24"/>
              </w:rPr>
              <w:t>-</w:t>
            </w:r>
            <w:r w:rsidRPr="000A734E">
              <w:rPr>
                <w:rFonts w:ascii="Times New Roman" w:hAnsi="Times New Roman" w:cs="Times New Roman"/>
                <w:b/>
                <w:bCs/>
                <w:sz w:val="24"/>
              </w:rPr>
              <w:t xml:space="preserve"> Sex: </w:t>
            </w:r>
          </w:p>
        </w:tc>
      </w:tr>
      <w:tr w:rsidR="00151B8E" w:rsidRPr="000A734E" w14:paraId="5275759C" w14:textId="77777777" w:rsidTr="00151B8E">
        <w:trPr>
          <w:trHeight w:val="224"/>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2773BED1"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Male</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1E6C13B9"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19</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333D51BC" w14:textId="77777777" w:rsidR="00151B8E" w:rsidRPr="000A734E" w:rsidRDefault="00151B8E" w:rsidP="00151B8E">
            <w:pPr>
              <w:rPr>
                <w:rFonts w:ascii="Times New Roman" w:hAnsi="Times New Roman" w:cs="Times New Roman"/>
                <w:sz w:val="24"/>
              </w:rPr>
            </w:pPr>
            <w:bookmarkStart w:id="10" w:name="_Hlk179928399"/>
            <w:r w:rsidRPr="000A734E">
              <w:rPr>
                <w:rFonts w:ascii="Times New Roman" w:hAnsi="Times New Roman" w:cs="Times New Roman"/>
                <w:sz w:val="24"/>
              </w:rPr>
              <w:t>47.5</w:t>
            </w:r>
            <w:bookmarkEnd w:id="10"/>
          </w:p>
        </w:tc>
      </w:tr>
      <w:tr w:rsidR="00151B8E" w:rsidRPr="000A734E" w14:paraId="4C2BE631" w14:textId="77777777" w:rsidTr="00151B8E">
        <w:trPr>
          <w:trHeight w:val="224"/>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7F2DB31E"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Female</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173D70C0"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21</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2B1B2A20" w14:textId="77777777" w:rsidR="00151B8E" w:rsidRPr="000A734E" w:rsidRDefault="00151B8E" w:rsidP="00151B8E">
            <w:pPr>
              <w:rPr>
                <w:rFonts w:ascii="Times New Roman" w:hAnsi="Times New Roman" w:cs="Times New Roman"/>
                <w:b/>
                <w:bCs/>
                <w:sz w:val="24"/>
              </w:rPr>
            </w:pPr>
            <w:bookmarkStart w:id="11" w:name="_Hlk179928362"/>
            <w:r w:rsidRPr="000A734E">
              <w:rPr>
                <w:rFonts w:ascii="Times New Roman" w:hAnsi="Times New Roman" w:cs="Times New Roman"/>
                <w:b/>
                <w:bCs/>
                <w:sz w:val="24"/>
              </w:rPr>
              <w:t>52.5</w:t>
            </w:r>
            <w:bookmarkEnd w:id="11"/>
          </w:p>
        </w:tc>
      </w:tr>
      <w:tr w:rsidR="00151B8E" w:rsidRPr="000A734E" w14:paraId="404C1C2B" w14:textId="77777777" w:rsidTr="00151B8E">
        <w:trPr>
          <w:trHeight w:val="279"/>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4B2AB41A" w14:textId="77777777" w:rsidR="00151B8E" w:rsidRPr="000A734E" w:rsidRDefault="00151B8E" w:rsidP="00151B8E">
            <w:pPr>
              <w:rPr>
                <w:rFonts w:ascii="Times New Roman" w:hAnsi="Times New Roman" w:cs="Times New Roman"/>
                <w:b/>
                <w:bCs/>
                <w:sz w:val="24"/>
              </w:rPr>
            </w:pPr>
            <w:r w:rsidRPr="000A734E">
              <w:rPr>
                <w:rFonts w:ascii="Times New Roman" w:hAnsi="Times New Roman" w:cs="Times New Roman"/>
                <w:sz w:val="24"/>
              </w:rPr>
              <w:t>-</w:t>
            </w:r>
            <w:r w:rsidRPr="000A734E">
              <w:rPr>
                <w:rFonts w:ascii="Times New Roman" w:hAnsi="Times New Roman" w:cs="Times New Roman"/>
                <w:b/>
                <w:bCs/>
                <w:sz w:val="24"/>
              </w:rPr>
              <w:t xml:space="preserve"> Age group (years):</w:t>
            </w:r>
          </w:p>
        </w:tc>
      </w:tr>
      <w:tr w:rsidR="00151B8E" w:rsidRPr="000A734E" w14:paraId="309F903E"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42E1657A"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&lt; 6</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5BFEDA93"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8</w:t>
            </w:r>
          </w:p>
        </w:tc>
        <w:tc>
          <w:tcPr>
            <w:tcW w:w="1636" w:type="dxa"/>
            <w:tcBorders>
              <w:top w:val="single" w:sz="4" w:space="0" w:color="000000"/>
              <w:left w:val="single" w:sz="4" w:space="0" w:color="000000"/>
              <w:bottom w:val="single" w:sz="4" w:space="0" w:color="000000"/>
              <w:right w:val="single" w:sz="4" w:space="0" w:color="000000"/>
            </w:tcBorders>
            <w:hideMark/>
          </w:tcPr>
          <w:p w14:paraId="5B1430C3"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20.0</w:t>
            </w:r>
          </w:p>
        </w:tc>
      </w:tr>
      <w:tr w:rsidR="00151B8E" w:rsidRPr="000A734E" w14:paraId="2CA00649"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746D6779"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7-11</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24277BB4"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15</w:t>
            </w:r>
          </w:p>
        </w:tc>
        <w:tc>
          <w:tcPr>
            <w:tcW w:w="1636" w:type="dxa"/>
            <w:tcBorders>
              <w:top w:val="single" w:sz="4" w:space="0" w:color="000000"/>
              <w:left w:val="single" w:sz="4" w:space="0" w:color="000000"/>
              <w:bottom w:val="single" w:sz="4" w:space="0" w:color="000000"/>
              <w:right w:val="single" w:sz="4" w:space="0" w:color="000000"/>
            </w:tcBorders>
            <w:hideMark/>
          </w:tcPr>
          <w:p w14:paraId="19C16DDA" w14:textId="77777777" w:rsidR="00151B8E" w:rsidRPr="000A734E" w:rsidRDefault="00151B8E" w:rsidP="00151B8E">
            <w:pPr>
              <w:rPr>
                <w:rFonts w:ascii="Times New Roman" w:hAnsi="Times New Roman" w:cs="Times New Roman"/>
                <w:b/>
                <w:bCs/>
                <w:sz w:val="24"/>
              </w:rPr>
            </w:pPr>
            <w:r w:rsidRPr="000A734E">
              <w:rPr>
                <w:rFonts w:ascii="Times New Roman" w:hAnsi="Times New Roman" w:cs="Times New Roman"/>
                <w:b/>
                <w:bCs/>
                <w:sz w:val="24"/>
              </w:rPr>
              <w:t>37.5</w:t>
            </w:r>
          </w:p>
        </w:tc>
      </w:tr>
      <w:tr w:rsidR="00151B8E" w:rsidRPr="000A734E" w14:paraId="6397C312"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121DD9F1"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12-16</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1E3EA79A"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13</w:t>
            </w:r>
          </w:p>
        </w:tc>
        <w:tc>
          <w:tcPr>
            <w:tcW w:w="1636" w:type="dxa"/>
            <w:tcBorders>
              <w:top w:val="single" w:sz="4" w:space="0" w:color="000000"/>
              <w:left w:val="single" w:sz="4" w:space="0" w:color="000000"/>
              <w:bottom w:val="single" w:sz="4" w:space="0" w:color="000000"/>
              <w:right w:val="single" w:sz="4" w:space="0" w:color="000000"/>
            </w:tcBorders>
            <w:hideMark/>
          </w:tcPr>
          <w:p w14:paraId="64B0897F"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32.5</w:t>
            </w:r>
          </w:p>
        </w:tc>
      </w:tr>
      <w:tr w:rsidR="00151B8E" w:rsidRPr="000A734E" w14:paraId="752DB23F"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502385FF"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17-21</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7DD85628"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4</w:t>
            </w:r>
          </w:p>
        </w:tc>
        <w:tc>
          <w:tcPr>
            <w:tcW w:w="1636" w:type="dxa"/>
            <w:tcBorders>
              <w:top w:val="single" w:sz="4" w:space="0" w:color="000000"/>
              <w:left w:val="single" w:sz="4" w:space="0" w:color="000000"/>
              <w:bottom w:val="single" w:sz="4" w:space="0" w:color="000000"/>
              <w:right w:val="single" w:sz="4" w:space="0" w:color="000000"/>
            </w:tcBorders>
            <w:hideMark/>
          </w:tcPr>
          <w:p w14:paraId="6F6E4A85"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10.0</w:t>
            </w:r>
          </w:p>
        </w:tc>
      </w:tr>
      <w:tr w:rsidR="00151B8E" w:rsidRPr="000A734E" w14:paraId="3E73EE1E"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751C044F"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Mean age (Min.- Max.)</w:t>
            </w:r>
          </w:p>
        </w:tc>
        <w:tc>
          <w:tcPr>
            <w:tcW w:w="3477" w:type="dxa"/>
            <w:gridSpan w:val="2"/>
            <w:tcBorders>
              <w:top w:val="single" w:sz="4" w:space="0" w:color="000000"/>
              <w:left w:val="single" w:sz="4" w:space="0" w:color="000000"/>
              <w:bottom w:val="single" w:sz="4" w:space="0" w:color="000000"/>
              <w:right w:val="single" w:sz="4" w:space="0" w:color="000000"/>
            </w:tcBorders>
            <w:vAlign w:val="center"/>
            <w:hideMark/>
          </w:tcPr>
          <w:p w14:paraId="4EDE3A6B" w14:textId="77777777" w:rsidR="00151B8E" w:rsidRPr="000A734E" w:rsidRDefault="00151B8E" w:rsidP="00151B8E">
            <w:pPr>
              <w:rPr>
                <w:rFonts w:ascii="Times New Roman" w:hAnsi="Times New Roman" w:cs="Times New Roman"/>
                <w:sz w:val="24"/>
              </w:rPr>
            </w:pPr>
            <w:bookmarkStart w:id="12" w:name="_Hlk181793757"/>
            <w:r w:rsidRPr="000A734E">
              <w:rPr>
                <w:rFonts w:ascii="Times New Roman" w:hAnsi="Times New Roman" w:cs="Times New Roman"/>
                <w:sz w:val="24"/>
              </w:rPr>
              <w:t>10.60</w:t>
            </w:r>
            <w:bookmarkEnd w:id="12"/>
            <w:r w:rsidRPr="000A734E">
              <w:rPr>
                <w:rFonts w:ascii="Times New Roman" w:hAnsi="Times New Roman" w:cs="Times New Roman"/>
                <w:sz w:val="24"/>
              </w:rPr>
              <w:t>(1-21)</w:t>
            </w:r>
          </w:p>
        </w:tc>
      </w:tr>
      <w:tr w:rsidR="00151B8E" w:rsidRPr="000A734E" w14:paraId="3D65A150"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0082C72D"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Mean age for male patients (Min.- Max.)</w:t>
            </w:r>
          </w:p>
        </w:tc>
        <w:tc>
          <w:tcPr>
            <w:tcW w:w="3477" w:type="dxa"/>
            <w:gridSpan w:val="2"/>
            <w:tcBorders>
              <w:top w:val="single" w:sz="4" w:space="0" w:color="000000"/>
              <w:left w:val="single" w:sz="4" w:space="0" w:color="000000"/>
              <w:bottom w:val="single" w:sz="4" w:space="0" w:color="000000"/>
              <w:right w:val="single" w:sz="4" w:space="0" w:color="000000"/>
            </w:tcBorders>
            <w:vAlign w:val="center"/>
          </w:tcPr>
          <w:p w14:paraId="341FA765" w14:textId="77777777" w:rsidR="00151B8E" w:rsidRPr="000A734E" w:rsidRDefault="00151B8E" w:rsidP="00151B8E">
            <w:pPr>
              <w:jc w:val="right"/>
              <w:rPr>
                <w:rFonts w:ascii="Times New Roman" w:hAnsi="Times New Roman" w:cs="Times New Roman"/>
                <w:sz w:val="24"/>
              </w:rPr>
            </w:pPr>
            <w:r w:rsidRPr="000A734E">
              <w:rPr>
                <w:rFonts w:ascii="Times New Roman" w:hAnsi="Times New Roman" w:cs="Times New Roman"/>
                <w:sz w:val="24"/>
              </w:rPr>
              <w:t>10.79(3-21)</w:t>
            </w:r>
          </w:p>
        </w:tc>
      </w:tr>
      <w:tr w:rsidR="00151B8E" w:rsidRPr="000A734E" w14:paraId="769FAEBA"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7EEA544F"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Mean age for female patients (Min.- Max.)</w:t>
            </w:r>
          </w:p>
        </w:tc>
        <w:tc>
          <w:tcPr>
            <w:tcW w:w="3477" w:type="dxa"/>
            <w:gridSpan w:val="2"/>
            <w:tcBorders>
              <w:top w:val="single" w:sz="4" w:space="0" w:color="000000"/>
              <w:left w:val="single" w:sz="4" w:space="0" w:color="000000"/>
              <w:bottom w:val="single" w:sz="4" w:space="0" w:color="000000"/>
              <w:right w:val="single" w:sz="4" w:space="0" w:color="000000"/>
            </w:tcBorders>
            <w:vAlign w:val="center"/>
          </w:tcPr>
          <w:p w14:paraId="7EB165EA" w14:textId="77777777" w:rsidR="00151B8E" w:rsidRPr="000A734E" w:rsidRDefault="00151B8E" w:rsidP="00151B8E">
            <w:pPr>
              <w:jc w:val="right"/>
              <w:rPr>
                <w:rFonts w:ascii="Times New Roman" w:hAnsi="Times New Roman" w:cs="Times New Roman"/>
                <w:sz w:val="24"/>
              </w:rPr>
            </w:pPr>
            <w:r w:rsidRPr="000A734E">
              <w:rPr>
                <w:rFonts w:ascii="Times New Roman" w:hAnsi="Times New Roman" w:cs="Times New Roman"/>
                <w:sz w:val="24"/>
              </w:rPr>
              <w:t>10.43(1-17)</w:t>
            </w:r>
          </w:p>
        </w:tc>
      </w:tr>
      <w:tr w:rsidR="00151B8E" w:rsidRPr="000A734E" w14:paraId="606F3BA5" w14:textId="77777777" w:rsidTr="00151B8E">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66FF04FD" w14:textId="77777777" w:rsidR="00151B8E" w:rsidRPr="000A734E" w:rsidRDefault="00151B8E" w:rsidP="00151B8E">
            <w:pPr>
              <w:rPr>
                <w:rFonts w:ascii="Times New Roman" w:hAnsi="Times New Roman" w:cs="Times New Roman"/>
                <w:b/>
                <w:bCs/>
                <w:sz w:val="24"/>
              </w:rPr>
            </w:pPr>
            <w:r w:rsidRPr="000A734E">
              <w:rPr>
                <w:rFonts w:ascii="Times New Roman" w:hAnsi="Times New Roman" w:cs="Times New Roman"/>
                <w:sz w:val="24"/>
              </w:rPr>
              <w:t>-</w:t>
            </w:r>
            <w:r w:rsidRPr="000A734E">
              <w:rPr>
                <w:rFonts w:ascii="Times New Roman" w:hAnsi="Times New Roman" w:cs="Times New Roman"/>
                <w:b/>
                <w:bCs/>
                <w:sz w:val="24"/>
              </w:rPr>
              <w:t xml:space="preserve"> Residence</w:t>
            </w:r>
          </w:p>
        </w:tc>
      </w:tr>
      <w:tr w:rsidR="00151B8E" w:rsidRPr="000A734E" w14:paraId="4B3AD1A3"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26500BB3"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Aden</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67DD94F0"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27</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3AA79CE5" w14:textId="77777777" w:rsidR="00151B8E" w:rsidRPr="000A734E" w:rsidRDefault="00151B8E" w:rsidP="00151B8E">
            <w:pPr>
              <w:rPr>
                <w:rFonts w:ascii="Times New Roman" w:hAnsi="Times New Roman" w:cs="Times New Roman"/>
                <w:b/>
                <w:bCs/>
                <w:sz w:val="24"/>
              </w:rPr>
            </w:pPr>
            <w:r w:rsidRPr="000A734E">
              <w:rPr>
                <w:rFonts w:ascii="Times New Roman" w:hAnsi="Times New Roman" w:cs="Times New Roman"/>
                <w:b/>
                <w:bCs/>
                <w:sz w:val="24"/>
              </w:rPr>
              <w:t>67.5</w:t>
            </w:r>
          </w:p>
        </w:tc>
      </w:tr>
      <w:tr w:rsidR="00151B8E" w:rsidRPr="000A734E" w14:paraId="7FA581A8"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2A8928E4"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Abyan</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6AF28206"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10</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74732028"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25.0</w:t>
            </w:r>
          </w:p>
        </w:tc>
      </w:tr>
      <w:tr w:rsidR="00151B8E" w:rsidRPr="000A734E" w14:paraId="34B4D91B"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0B6C163A" w14:textId="77777777" w:rsidR="00151B8E" w:rsidRPr="000A734E" w:rsidRDefault="00151B8E" w:rsidP="00151B8E">
            <w:pPr>
              <w:rPr>
                <w:rFonts w:ascii="Times New Roman" w:hAnsi="Times New Roman" w:cs="Times New Roman"/>
                <w:sz w:val="24"/>
              </w:rPr>
            </w:pPr>
            <w:bookmarkStart w:id="13" w:name="_Hlk196005119"/>
            <w:proofErr w:type="spellStart"/>
            <w:r w:rsidRPr="000A734E">
              <w:rPr>
                <w:rFonts w:ascii="Times New Roman" w:hAnsi="Times New Roman" w:cs="Times New Roman"/>
                <w:sz w:val="24"/>
              </w:rPr>
              <w:t>Aldhalea</w:t>
            </w:r>
            <w:bookmarkEnd w:id="13"/>
            <w:proofErr w:type="spellEnd"/>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4C9D5CDA"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1</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4BFFF05C"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2.5</w:t>
            </w:r>
          </w:p>
        </w:tc>
      </w:tr>
      <w:tr w:rsidR="00151B8E" w:rsidRPr="000A734E" w14:paraId="3FD65C2E"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18F9B8ED" w14:textId="77777777" w:rsidR="00151B8E" w:rsidRPr="000A734E" w:rsidRDefault="00151B8E" w:rsidP="00151B8E">
            <w:pPr>
              <w:rPr>
                <w:rFonts w:ascii="Times New Roman" w:hAnsi="Times New Roman" w:cs="Times New Roman"/>
                <w:sz w:val="24"/>
              </w:rPr>
            </w:pPr>
            <w:bookmarkStart w:id="14" w:name="_Hlk196005158"/>
            <w:proofErr w:type="spellStart"/>
            <w:r w:rsidRPr="000A734E">
              <w:rPr>
                <w:rFonts w:ascii="Times New Roman" w:hAnsi="Times New Roman" w:cs="Times New Roman"/>
                <w:sz w:val="24"/>
              </w:rPr>
              <w:t>Alhodyda</w:t>
            </w:r>
            <w:bookmarkEnd w:id="14"/>
            <w:proofErr w:type="spellEnd"/>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3F3826F4"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2</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683B23B9"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5.0</w:t>
            </w:r>
          </w:p>
        </w:tc>
      </w:tr>
      <w:tr w:rsidR="00151B8E" w:rsidRPr="000A734E" w14:paraId="6343A5D6" w14:textId="77777777" w:rsidTr="00151B8E">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1D9B20BD"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b/>
                <w:bCs/>
                <w:sz w:val="24"/>
              </w:rPr>
              <w:t xml:space="preserve">-Type </w:t>
            </w:r>
            <w:r>
              <w:rPr>
                <w:rFonts w:ascii="Times New Roman" w:hAnsi="Times New Roman" w:cs="Times New Roman"/>
                <w:b/>
                <w:bCs/>
                <w:sz w:val="24"/>
              </w:rPr>
              <w:t xml:space="preserve">of </w:t>
            </w:r>
            <w:r w:rsidRPr="000A734E">
              <w:rPr>
                <w:rFonts w:ascii="Times New Roman" w:hAnsi="Times New Roman" w:cs="Times New Roman"/>
                <w:b/>
                <w:bCs/>
                <w:sz w:val="24"/>
              </w:rPr>
              <w:t>Case</w:t>
            </w:r>
            <w:r>
              <w:rPr>
                <w:rFonts w:ascii="Times New Roman" w:hAnsi="Times New Roman" w:cs="Times New Roman"/>
                <w:sz w:val="24"/>
              </w:rPr>
              <w:t>s</w:t>
            </w:r>
          </w:p>
        </w:tc>
      </w:tr>
      <w:tr w:rsidR="00151B8E" w:rsidRPr="000A734E" w14:paraId="65C3A8CB"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353DDEE8"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New case</w:t>
            </w:r>
            <w:r>
              <w:rPr>
                <w:rFonts w:ascii="Times New Roman" w:hAnsi="Times New Roman" w:cs="Times New Roman"/>
                <w:sz w:val="24"/>
              </w:rPr>
              <w:t>s</w:t>
            </w:r>
          </w:p>
        </w:tc>
        <w:tc>
          <w:tcPr>
            <w:tcW w:w="1841" w:type="dxa"/>
            <w:tcBorders>
              <w:top w:val="single" w:sz="4" w:space="0" w:color="000000"/>
              <w:left w:val="single" w:sz="4" w:space="0" w:color="000000"/>
              <w:bottom w:val="single" w:sz="4" w:space="0" w:color="000000"/>
              <w:right w:val="single" w:sz="4" w:space="0" w:color="000000"/>
            </w:tcBorders>
            <w:hideMark/>
          </w:tcPr>
          <w:p w14:paraId="219D2DCB"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5</w:t>
            </w:r>
          </w:p>
        </w:tc>
        <w:tc>
          <w:tcPr>
            <w:tcW w:w="1636" w:type="dxa"/>
            <w:tcBorders>
              <w:top w:val="single" w:sz="4" w:space="0" w:color="000000"/>
              <w:left w:val="single" w:sz="4" w:space="0" w:color="000000"/>
              <w:bottom w:val="single" w:sz="4" w:space="0" w:color="000000"/>
              <w:right w:val="single" w:sz="4" w:space="0" w:color="000000"/>
            </w:tcBorders>
            <w:hideMark/>
          </w:tcPr>
          <w:p w14:paraId="25F29179"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12.5</w:t>
            </w:r>
          </w:p>
        </w:tc>
      </w:tr>
      <w:tr w:rsidR="00151B8E" w:rsidRPr="000A734E" w14:paraId="0D7B3140"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1E2F6BC9"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Old case</w:t>
            </w:r>
            <w:r>
              <w:rPr>
                <w:rFonts w:ascii="Times New Roman" w:hAnsi="Times New Roman" w:cs="Times New Roman"/>
                <w:sz w:val="24"/>
              </w:rPr>
              <w:t>s</w:t>
            </w:r>
          </w:p>
        </w:tc>
        <w:tc>
          <w:tcPr>
            <w:tcW w:w="1841" w:type="dxa"/>
            <w:tcBorders>
              <w:top w:val="single" w:sz="4" w:space="0" w:color="000000"/>
              <w:left w:val="single" w:sz="4" w:space="0" w:color="000000"/>
              <w:bottom w:val="single" w:sz="4" w:space="0" w:color="000000"/>
              <w:right w:val="single" w:sz="4" w:space="0" w:color="000000"/>
            </w:tcBorders>
            <w:hideMark/>
          </w:tcPr>
          <w:p w14:paraId="1C46B10C"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35</w:t>
            </w:r>
          </w:p>
        </w:tc>
        <w:tc>
          <w:tcPr>
            <w:tcW w:w="1636" w:type="dxa"/>
            <w:tcBorders>
              <w:top w:val="single" w:sz="4" w:space="0" w:color="000000"/>
              <w:left w:val="single" w:sz="4" w:space="0" w:color="000000"/>
              <w:bottom w:val="single" w:sz="4" w:space="0" w:color="000000"/>
              <w:right w:val="single" w:sz="4" w:space="0" w:color="000000"/>
            </w:tcBorders>
            <w:hideMark/>
          </w:tcPr>
          <w:p w14:paraId="5F02E795" w14:textId="77777777" w:rsidR="00151B8E" w:rsidRPr="000A734E" w:rsidRDefault="00151B8E" w:rsidP="00151B8E">
            <w:pPr>
              <w:rPr>
                <w:rFonts w:ascii="Times New Roman" w:hAnsi="Times New Roman" w:cs="Times New Roman"/>
                <w:b/>
                <w:bCs/>
                <w:sz w:val="24"/>
              </w:rPr>
            </w:pPr>
            <w:r w:rsidRPr="000A734E">
              <w:rPr>
                <w:rFonts w:ascii="Times New Roman" w:hAnsi="Times New Roman" w:cs="Times New Roman"/>
                <w:b/>
                <w:bCs/>
                <w:sz w:val="24"/>
              </w:rPr>
              <w:t>87.5</w:t>
            </w:r>
          </w:p>
        </w:tc>
      </w:tr>
      <w:tr w:rsidR="00151B8E" w:rsidRPr="000A734E" w14:paraId="5710442B" w14:textId="77777777" w:rsidTr="00151B8E">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4A1D09DD"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b/>
                <w:bCs/>
                <w:sz w:val="24"/>
              </w:rPr>
              <w:t xml:space="preserve">- Take chelation therapy </w:t>
            </w:r>
          </w:p>
        </w:tc>
      </w:tr>
      <w:tr w:rsidR="00151B8E" w:rsidRPr="000A734E" w14:paraId="603D2A82"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2613FA24" w14:textId="77777777" w:rsidR="00151B8E" w:rsidRPr="000A734E" w:rsidRDefault="00151B8E" w:rsidP="00151B8E">
            <w:pPr>
              <w:rPr>
                <w:rFonts w:ascii="Times New Roman" w:hAnsi="Times New Roman" w:cs="Times New Roman"/>
                <w:sz w:val="24"/>
              </w:rPr>
            </w:pPr>
            <w:bookmarkStart w:id="15" w:name="_Hlk178125641"/>
            <w:r w:rsidRPr="000A734E">
              <w:rPr>
                <w:rFonts w:ascii="Times New Roman" w:hAnsi="Times New Roman" w:cs="Times New Roman"/>
                <w:sz w:val="24"/>
              </w:rPr>
              <w:t>Yes</w:t>
            </w:r>
          </w:p>
        </w:tc>
        <w:tc>
          <w:tcPr>
            <w:tcW w:w="1841" w:type="dxa"/>
            <w:tcBorders>
              <w:top w:val="single" w:sz="4" w:space="0" w:color="000000"/>
              <w:left w:val="single" w:sz="4" w:space="0" w:color="000000"/>
              <w:bottom w:val="single" w:sz="4" w:space="0" w:color="000000"/>
              <w:right w:val="single" w:sz="4" w:space="0" w:color="000000"/>
            </w:tcBorders>
            <w:hideMark/>
          </w:tcPr>
          <w:p w14:paraId="67700CB8"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17</w:t>
            </w:r>
          </w:p>
        </w:tc>
        <w:tc>
          <w:tcPr>
            <w:tcW w:w="1636" w:type="dxa"/>
            <w:tcBorders>
              <w:top w:val="single" w:sz="4" w:space="0" w:color="000000"/>
              <w:left w:val="single" w:sz="4" w:space="0" w:color="000000"/>
              <w:bottom w:val="single" w:sz="4" w:space="0" w:color="000000"/>
              <w:right w:val="single" w:sz="4" w:space="0" w:color="000000"/>
            </w:tcBorders>
            <w:hideMark/>
          </w:tcPr>
          <w:p w14:paraId="50A4E049"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42.5</w:t>
            </w:r>
          </w:p>
        </w:tc>
      </w:tr>
      <w:tr w:rsidR="00151B8E" w:rsidRPr="000A734E" w14:paraId="7510968B"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25949CD6"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No</w:t>
            </w:r>
          </w:p>
        </w:tc>
        <w:tc>
          <w:tcPr>
            <w:tcW w:w="1841" w:type="dxa"/>
            <w:tcBorders>
              <w:top w:val="single" w:sz="4" w:space="0" w:color="000000"/>
              <w:left w:val="single" w:sz="4" w:space="0" w:color="000000"/>
              <w:bottom w:val="single" w:sz="4" w:space="0" w:color="000000"/>
              <w:right w:val="single" w:sz="4" w:space="0" w:color="000000"/>
            </w:tcBorders>
            <w:hideMark/>
          </w:tcPr>
          <w:p w14:paraId="51518EE4"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23</w:t>
            </w:r>
          </w:p>
        </w:tc>
        <w:tc>
          <w:tcPr>
            <w:tcW w:w="1636" w:type="dxa"/>
            <w:tcBorders>
              <w:top w:val="single" w:sz="4" w:space="0" w:color="000000"/>
              <w:left w:val="single" w:sz="4" w:space="0" w:color="000000"/>
              <w:bottom w:val="single" w:sz="4" w:space="0" w:color="000000"/>
              <w:right w:val="single" w:sz="4" w:space="0" w:color="000000"/>
            </w:tcBorders>
            <w:hideMark/>
          </w:tcPr>
          <w:p w14:paraId="40E38FCE" w14:textId="77777777" w:rsidR="00151B8E" w:rsidRPr="000A734E" w:rsidRDefault="00151B8E" w:rsidP="00151B8E">
            <w:pPr>
              <w:rPr>
                <w:rFonts w:ascii="Times New Roman" w:hAnsi="Times New Roman" w:cs="Times New Roman"/>
                <w:b/>
                <w:bCs/>
                <w:sz w:val="24"/>
              </w:rPr>
            </w:pPr>
            <w:r w:rsidRPr="000A734E">
              <w:rPr>
                <w:rFonts w:ascii="Times New Roman" w:hAnsi="Times New Roman" w:cs="Times New Roman"/>
                <w:b/>
                <w:bCs/>
                <w:sz w:val="24"/>
              </w:rPr>
              <w:t>57.5</w:t>
            </w:r>
          </w:p>
        </w:tc>
        <w:bookmarkEnd w:id="15"/>
      </w:tr>
      <w:tr w:rsidR="00151B8E" w:rsidRPr="000A734E" w14:paraId="0C2C6B8B" w14:textId="77777777" w:rsidTr="00151B8E">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186C41FE" w14:textId="77777777" w:rsidR="00151B8E" w:rsidRPr="000A734E" w:rsidRDefault="00151B8E" w:rsidP="00151B8E">
            <w:pPr>
              <w:rPr>
                <w:rFonts w:ascii="Times New Roman" w:hAnsi="Times New Roman" w:cs="Times New Roman"/>
                <w:b/>
                <w:bCs/>
                <w:sz w:val="24"/>
              </w:rPr>
            </w:pPr>
            <w:r w:rsidRPr="000A734E">
              <w:rPr>
                <w:rFonts w:ascii="Times New Roman" w:hAnsi="Times New Roman" w:cs="Times New Roman"/>
                <w:b/>
                <w:bCs/>
                <w:sz w:val="24"/>
              </w:rPr>
              <w:t>Education level</w:t>
            </w:r>
          </w:p>
        </w:tc>
      </w:tr>
      <w:tr w:rsidR="00151B8E" w:rsidRPr="000A734E" w14:paraId="1DF5B096"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1F2664CD"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 xml:space="preserve">Uneducated </w:t>
            </w:r>
          </w:p>
        </w:tc>
        <w:tc>
          <w:tcPr>
            <w:tcW w:w="1841" w:type="dxa"/>
            <w:tcBorders>
              <w:top w:val="single" w:sz="4" w:space="0" w:color="000000"/>
              <w:left w:val="single" w:sz="4" w:space="0" w:color="000000"/>
              <w:bottom w:val="single" w:sz="4" w:space="0" w:color="000000"/>
              <w:right w:val="single" w:sz="4" w:space="0" w:color="000000"/>
            </w:tcBorders>
            <w:hideMark/>
          </w:tcPr>
          <w:p w14:paraId="1EF5D3E2"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19</w:t>
            </w:r>
          </w:p>
        </w:tc>
        <w:tc>
          <w:tcPr>
            <w:tcW w:w="1636" w:type="dxa"/>
            <w:tcBorders>
              <w:top w:val="single" w:sz="4" w:space="0" w:color="000000"/>
              <w:left w:val="single" w:sz="4" w:space="0" w:color="000000"/>
              <w:bottom w:val="single" w:sz="4" w:space="0" w:color="000000"/>
              <w:right w:val="single" w:sz="4" w:space="0" w:color="000000"/>
            </w:tcBorders>
            <w:hideMark/>
          </w:tcPr>
          <w:p w14:paraId="57CE3C8C" w14:textId="77777777" w:rsidR="00151B8E" w:rsidRPr="000A734E" w:rsidRDefault="00151B8E" w:rsidP="00151B8E">
            <w:pPr>
              <w:rPr>
                <w:rFonts w:ascii="Times New Roman" w:hAnsi="Times New Roman" w:cs="Times New Roman"/>
                <w:b/>
                <w:bCs/>
                <w:sz w:val="24"/>
              </w:rPr>
            </w:pPr>
            <w:bookmarkStart w:id="16" w:name="_Hlk196005445"/>
            <w:r w:rsidRPr="000A734E">
              <w:rPr>
                <w:rFonts w:ascii="Times New Roman" w:hAnsi="Times New Roman" w:cs="Times New Roman"/>
                <w:b/>
                <w:bCs/>
                <w:sz w:val="24"/>
              </w:rPr>
              <w:t>47.5</w:t>
            </w:r>
            <w:bookmarkEnd w:id="16"/>
          </w:p>
        </w:tc>
      </w:tr>
      <w:tr w:rsidR="00151B8E" w:rsidRPr="000A734E" w14:paraId="1E99BFEF"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75842947" w14:textId="77777777" w:rsidR="00151B8E" w:rsidRPr="000A734E" w:rsidRDefault="00151B8E" w:rsidP="00151B8E">
            <w:pPr>
              <w:rPr>
                <w:rFonts w:ascii="Times New Roman" w:hAnsi="Times New Roman" w:cs="Times New Roman"/>
                <w:sz w:val="24"/>
              </w:rPr>
            </w:pPr>
            <w:bookmarkStart w:id="17" w:name="_Hlk196005483"/>
            <w:r>
              <w:rPr>
                <w:rFonts w:ascii="Times New Roman" w:hAnsi="Times New Roman" w:cs="Times New Roman"/>
                <w:sz w:val="24"/>
              </w:rPr>
              <w:t>Elementary</w:t>
            </w:r>
            <w:r w:rsidRPr="000A734E">
              <w:rPr>
                <w:rFonts w:ascii="Times New Roman" w:hAnsi="Times New Roman" w:cs="Times New Roman"/>
                <w:sz w:val="24"/>
              </w:rPr>
              <w:t xml:space="preserve"> school   </w:t>
            </w:r>
            <w:bookmarkEnd w:id="17"/>
          </w:p>
        </w:tc>
        <w:tc>
          <w:tcPr>
            <w:tcW w:w="1841" w:type="dxa"/>
            <w:tcBorders>
              <w:top w:val="single" w:sz="4" w:space="0" w:color="000000"/>
              <w:left w:val="single" w:sz="4" w:space="0" w:color="000000"/>
              <w:bottom w:val="single" w:sz="4" w:space="0" w:color="000000"/>
              <w:right w:val="single" w:sz="4" w:space="0" w:color="000000"/>
            </w:tcBorders>
            <w:hideMark/>
          </w:tcPr>
          <w:p w14:paraId="6A30913C"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18</w:t>
            </w:r>
          </w:p>
        </w:tc>
        <w:tc>
          <w:tcPr>
            <w:tcW w:w="1636" w:type="dxa"/>
            <w:tcBorders>
              <w:top w:val="single" w:sz="4" w:space="0" w:color="000000"/>
              <w:left w:val="single" w:sz="4" w:space="0" w:color="000000"/>
              <w:bottom w:val="single" w:sz="4" w:space="0" w:color="000000"/>
              <w:right w:val="single" w:sz="4" w:space="0" w:color="000000"/>
            </w:tcBorders>
            <w:hideMark/>
          </w:tcPr>
          <w:p w14:paraId="6440A228"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45.0</w:t>
            </w:r>
          </w:p>
        </w:tc>
      </w:tr>
      <w:tr w:rsidR="00151B8E" w:rsidRPr="000A734E" w14:paraId="05AB6D0C"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0B6500C7" w14:textId="77777777" w:rsidR="00151B8E" w:rsidRPr="000A734E" w:rsidRDefault="00151B8E" w:rsidP="00151B8E">
            <w:pPr>
              <w:rPr>
                <w:rFonts w:ascii="Times New Roman" w:hAnsi="Times New Roman" w:cs="Times New Roman"/>
                <w:sz w:val="24"/>
              </w:rPr>
            </w:pPr>
            <w:bookmarkStart w:id="18" w:name="_Hlk196005512"/>
            <w:r>
              <w:rPr>
                <w:rFonts w:ascii="Times New Roman" w:hAnsi="Times New Roman" w:cs="Times New Roman"/>
                <w:sz w:val="24"/>
              </w:rPr>
              <w:t>Secondary</w:t>
            </w:r>
            <w:r w:rsidRPr="000A734E">
              <w:rPr>
                <w:rFonts w:ascii="Times New Roman" w:hAnsi="Times New Roman" w:cs="Times New Roman"/>
                <w:sz w:val="24"/>
              </w:rPr>
              <w:t xml:space="preserve"> school</w:t>
            </w:r>
            <w:bookmarkEnd w:id="18"/>
          </w:p>
        </w:tc>
        <w:tc>
          <w:tcPr>
            <w:tcW w:w="1841" w:type="dxa"/>
            <w:tcBorders>
              <w:top w:val="single" w:sz="4" w:space="0" w:color="000000"/>
              <w:left w:val="single" w:sz="4" w:space="0" w:color="000000"/>
              <w:bottom w:val="single" w:sz="4" w:space="0" w:color="000000"/>
              <w:right w:val="single" w:sz="4" w:space="0" w:color="000000"/>
            </w:tcBorders>
            <w:hideMark/>
          </w:tcPr>
          <w:p w14:paraId="3CDB9AAD"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2</w:t>
            </w:r>
          </w:p>
        </w:tc>
        <w:tc>
          <w:tcPr>
            <w:tcW w:w="1636" w:type="dxa"/>
            <w:tcBorders>
              <w:top w:val="single" w:sz="4" w:space="0" w:color="000000"/>
              <w:left w:val="single" w:sz="4" w:space="0" w:color="000000"/>
              <w:bottom w:val="single" w:sz="4" w:space="0" w:color="000000"/>
              <w:right w:val="single" w:sz="4" w:space="0" w:color="000000"/>
            </w:tcBorders>
            <w:hideMark/>
          </w:tcPr>
          <w:p w14:paraId="4FC9A428"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5.0</w:t>
            </w:r>
          </w:p>
        </w:tc>
      </w:tr>
      <w:tr w:rsidR="00151B8E" w:rsidRPr="000A734E" w14:paraId="18E993A8"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1C832906" w14:textId="77777777" w:rsidR="00151B8E" w:rsidRPr="000A734E" w:rsidRDefault="00151B8E" w:rsidP="00151B8E">
            <w:pPr>
              <w:rPr>
                <w:rFonts w:ascii="Times New Roman" w:hAnsi="Times New Roman" w:cs="Times New Roman"/>
                <w:sz w:val="24"/>
              </w:rPr>
            </w:pPr>
            <w:bookmarkStart w:id="19" w:name="_Hlk196005544"/>
            <w:r w:rsidRPr="000A734E">
              <w:rPr>
                <w:rFonts w:ascii="Times New Roman" w:hAnsi="Times New Roman" w:cs="Times New Roman"/>
                <w:sz w:val="24"/>
              </w:rPr>
              <w:t>Collage</w:t>
            </w:r>
            <w:bookmarkEnd w:id="19"/>
          </w:p>
        </w:tc>
        <w:tc>
          <w:tcPr>
            <w:tcW w:w="1841" w:type="dxa"/>
            <w:tcBorders>
              <w:top w:val="single" w:sz="4" w:space="0" w:color="000000"/>
              <w:left w:val="single" w:sz="4" w:space="0" w:color="000000"/>
              <w:bottom w:val="single" w:sz="4" w:space="0" w:color="000000"/>
              <w:right w:val="single" w:sz="4" w:space="0" w:color="000000"/>
            </w:tcBorders>
            <w:hideMark/>
          </w:tcPr>
          <w:p w14:paraId="6EC97F7A"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1</w:t>
            </w:r>
          </w:p>
        </w:tc>
        <w:tc>
          <w:tcPr>
            <w:tcW w:w="1636" w:type="dxa"/>
            <w:tcBorders>
              <w:top w:val="single" w:sz="4" w:space="0" w:color="000000"/>
              <w:left w:val="single" w:sz="4" w:space="0" w:color="000000"/>
              <w:bottom w:val="single" w:sz="4" w:space="0" w:color="000000"/>
              <w:right w:val="single" w:sz="4" w:space="0" w:color="000000"/>
            </w:tcBorders>
            <w:hideMark/>
          </w:tcPr>
          <w:p w14:paraId="432C6348"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2.5</w:t>
            </w:r>
          </w:p>
        </w:tc>
      </w:tr>
      <w:tr w:rsidR="00151B8E" w:rsidRPr="000A734E" w14:paraId="44F9F8CE" w14:textId="77777777" w:rsidTr="00151B8E">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hideMark/>
          </w:tcPr>
          <w:p w14:paraId="53D246FB"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w:t>
            </w:r>
            <w:r w:rsidRPr="000A734E">
              <w:rPr>
                <w:rFonts w:ascii="Times New Roman" w:hAnsi="Times New Roman" w:cs="Times New Roman"/>
                <w:b/>
                <w:bCs/>
                <w:sz w:val="24"/>
              </w:rPr>
              <w:t xml:space="preserve"> </w:t>
            </w:r>
            <w:r>
              <w:rPr>
                <w:rFonts w:ascii="Times New Roman" w:hAnsi="Times New Roman" w:cs="Times New Roman"/>
                <w:b/>
                <w:bCs/>
                <w:sz w:val="24"/>
              </w:rPr>
              <w:t>Splenectomy</w:t>
            </w:r>
          </w:p>
        </w:tc>
      </w:tr>
      <w:tr w:rsidR="00151B8E" w:rsidRPr="000A734E" w14:paraId="051BCC04"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44CAC6B6"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Yes</w:t>
            </w:r>
          </w:p>
        </w:tc>
        <w:tc>
          <w:tcPr>
            <w:tcW w:w="1841" w:type="dxa"/>
            <w:tcBorders>
              <w:top w:val="single" w:sz="4" w:space="0" w:color="000000"/>
              <w:left w:val="single" w:sz="4" w:space="0" w:color="000000"/>
              <w:bottom w:val="single" w:sz="4" w:space="0" w:color="000000"/>
              <w:right w:val="single" w:sz="4" w:space="0" w:color="000000"/>
            </w:tcBorders>
            <w:hideMark/>
          </w:tcPr>
          <w:p w14:paraId="3235FFB9"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13</w:t>
            </w:r>
          </w:p>
        </w:tc>
        <w:tc>
          <w:tcPr>
            <w:tcW w:w="1636" w:type="dxa"/>
            <w:tcBorders>
              <w:top w:val="single" w:sz="4" w:space="0" w:color="000000"/>
              <w:left w:val="single" w:sz="4" w:space="0" w:color="000000"/>
              <w:bottom w:val="single" w:sz="4" w:space="0" w:color="000000"/>
              <w:right w:val="single" w:sz="4" w:space="0" w:color="000000"/>
            </w:tcBorders>
            <w:hideMark/>
          </w:tcPr>
          <w:p w14:paraId="5CA01A3F" w14:textId="77777777" w:rsidR="00151B8E" w:rsidRPr="000A734E" w:rsidRDefault="00151B8E" w:rsidP="00151B8E">
            <w:pPr>
              <w:rPr>
                <w:rFonts w:ascii="Times New Roman" w:hAnsi="Times New Roman" w:cs="Times New Roman"/>
                <w:sz w:val="24"/>
              </w:rPr>
            </w:pPr>
            <w:bookmarkStart w:id="20" w:name="_Hlk181794174"/>
            <w:r w:rsidRPr="000A734E">
              <w:rPr>
                <w:rFonts w:ascii="Times New Roman" w:hAnsi="Times New Roman" w:cs="Times New Roman"/>
                <w:sz w:val="24"/>
              </w:rPr>
              <w:t>32.5</w:t>
            </w:r>
            <w:bookmarkEnd w:id="20"/>
          </w:p>
        </w:tc>
      </w:tr>
      <w:tr w:rsidR="00151B8E" w:rsidRPr="000A734E" w14:paraId="2153D7D4"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166E62DD"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No</w:t>
            </w:r>
          </w:p>
        </w:tc>
        <w:tc>
          <w:tcPr>
            <w:tcW w:w="1841" w:type="dxa"/>
            <w:tcBorders>
              <w:top w:val="single" w:sz="4" w:space="0" w:color="000000"/>
              <w:left w:val="single" w:sz="4" w:space="0" w:color="000000"/>
              <w:bottom w:val="single" w:sz="4" w:space="0" w:color="000000"/>
              <w:right w:val="single" w:sz="4" w:space="0" w:color="000000"/>
            </w:tcBorders>
            <w:hideMark/>
          </w:tcPr>
          <w:p w14:paraId="23D36E9C"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27</w:t>
            </w:r>
          </w:p>
        </w:tc>
        <w:tc>
          <w:tcPr>
            <w:tcW w:w="1636" w:type="dxa"/>
            <w:tcBorders>
              <w:top w:val="single" w:sz="4" w:space="0" w:color="000000"/>
              <w:left w:val="single" w:sz="4" w:space="0" w:color="000000"/>
              <w:bottom w:val="single" w:sz="4" w:space="0" w:color="000000"/>
              <w:right w:val="single" w:sz="4" w:space="0" w:color="000000"/>
            </w:tcBorders>
            <w:hideMark/>
          </w:tcPr>
          <w:p w14:paraId="0147249A" w14:textId="77777777" w:rsidR="00151B8E" w:rsidRPr="000A734E" w:rsidRDefault="00151B8E" w:rsidP="00151B8E">
            <w:pPr>
              <w:rPr>
                <w:rFonts w:ascii="Times New Roman" w:hAnsi="Times New Roman" w:cs="Times New Roman"/>
                <w:b/>
                <w:bCs/>
                <w:sz w:val="24"/>
              </w:rPr>
            </w:pPr>
            <w:r w:rsidRPr="000A734E">
              <w:rPr>
                <w:rFonts w:ascii="Times New Roman" w:hAnsi="Times New Roman" w:cs="Times New Roman"/>
                <w:b/>
                <w:bCs/>
                <w:sz w:val="24"/>
              </w:rPr>
              <w:t>67.5</w:t>
            </w:r>
          </w:p>
        </w:tc>
      </w:tr>
      <w:tr w:rsidR="00151B8E" w:rsidRPr="000A734E" w14:paraId="0E0AC16C" w14:textId="77777777" w:rsidTr="00151B8E">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tcPr>
          <w:p w14:paraId="288B961E" w14:textId="77777777" w:rsidR="00151B8E" w:rsidRPr="000A734E" w:rsidRDefault="00151B8E" w:rsidP="00151B8E">
            <w:pPr>
              <w:tabs>
                <w:tab w:val="center" w:pos="3978"/>
              </w:tabs>
              <w:rPr>
                <w:rFonts w:ascii="Times New Roman" w:hAnsi="Times New Roman" w:cs="Times New Roman"/>
                <w:b/>
                <w:bCs/>
                <w:sz w:val="24"/>
              </w:rPr>
            </w:pPr>
            <w:r w:rsidRPr="000A734E">
              <w:rPr>
                <w:rFonts w:ascii="Times New Roman" w:hAnsi="Times New Roman" w:cs="Times New Roman"/>
                <w:b/>
                <w:bCs/>
                <w:sz w:val="24"/>
              </w:rPr>
              <w:t xml:space="preserve">Family history </w:t>
            </w:r>
            <w:r w:rsidRPr="000A734E">
              <w:rPr>
                <w:rFonts w:ascii="Times New Roman" w:hAnsi="Times New Roman" w:cs="Times New Roman"/>
                <w:b/>
                <w:bCs/>
                <w:sz w:val="24"/>
              </w:rPr>
              <w:tab/>
            </w:r>
          </w:p>
        </w:tc>
      </w:tr>
      <w:tr w:rsidR="00151B8E" w:rsidRPr="000A734E" w14:paraId="03F5C175" w14:textId="77777777" w:rsidTr="00151B8E">
        <w:trPr>
          <w:trHeight w:val="220"/>
        </w:trPr>
        <w:tc>
          <w:tcPr>
            <w:tcW w:w="6129" w:type="dxa"/>
            <w:tcBorders>
              <w:top w:val="single" w:sz="4" w:space="0" w:color="000000"/>
              <w:left w:val="single" w:sz="4" w:space="0" w:color="000000"/>
              <w:bottom w:val="single" w:sz="4" w:space="0" w:color="000000"/>
              <w:right w:val="single" w:sz="4" w:space="0" w:color="000000"/>
            </w:tcBorders>
          </w:tcPr>
          <w:p w14:paraId="4DAB1720" w14:textId="77777777" w:rsidR="00151B8E" w:rsidRPr="000A734E" w:rsidRDefault="00151B8E" w:rsidP="00151B8E">
            <w:pPr>
              <w:rPr>
                <w:rFonts w:ascii="Times New Roman" w:hAnsi="Times New Roman" w:cs="Times New Roman"/>
                <w:sz w:val="24"/>
              </w:rPr>
            </w:pPr>
            <w:bookmarkStart w:id="21" w:name="_Hlk196006123"/>
            <w:r>
              <w:rPr>
                <w:rFonts w:ascii="Times New Roman" w:hAnsi="Times New Roman" w:cs="Times New Roman"/>
                <w:sz w:val="24"/>
              </w:rPr>
              <w:t>Parents</w:t>
            </w:r>
            <w:r w:rsidRPr="000A734E">
              <w:rPr>
                <w:rFonts w:ascii="Times New Roman" w:hAnsi="Times New Roman" w:cs="Times New Roman"/>
                <w:sz w:val="24"/>
              </w:rPr>
              <w:t xml:space="preserve"> from </w:t>
            </w:r>
            <w:r>
              <w:rPr>
                <w:rFonts w:ascii="Times New Roman" w:hAnsi="Times New Roman" w:cs="Times New Roman"/>
                <w:sz w:val="24"/>
              </w:rPr>
              <w:t xml:space="preserve">the </w:t>
            </w:r>
            <w:r w:rsidRPr="000A734E">
              <w:rPr>
                <w:rFonts w:ascii="Times New Roman" w:hAnsi="Times New Roman" w:cs="Times New Roman"/>
                <w:sz w:val="24"/>
              </w:rPr>
              <w:t xml:space="preserve">same area </w:t>
            </w:r>
            <w:bookmarkEnd w:id="21"/>
          </w:p>
        </w:tc>
        <w:tc>
          <w:tcPr>
            <w:tcW w:w="1841" w:type="dxa"/>
            <w:tcBorders>
              <w:top w:val="single" w:sz="4" w:space="0" w:color="000000"/>
              <w:left w:val="single" w:sz="4" w:space="0" w:color="000000"/>
              <w:bottom w:val="single" w:sz="4" w:space="0" w:color="000000"/>
              <w:right w:val="single" w:sz="4" w:space="0" w:color="000000"/>
            </w:tcBorders>
          </w:tcPr>
          <w:p w14:paraId="37A30260"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Yes 32 (</w:t>
            </w:r>
            <w:r w:rsidRPr="000A734E">
              <w:rPr>
                <w:rFonts w:ascii="Times New Roman" w:hAnsi="Times New Roman" w:cs="Times New Roman"/>
                <w:b/>
                <w:bCs/>
                <w:sz w:val="24"/>
              </w:rPr>
              <w:t>80%</w:t>
            </w:r>
            <w:r w:rsidRPr="000A734E">
              <w:rPr>
                <w:rFonts w:ascii="Times New Roman" w:hAnsi="Times New Roman" w:cs="Times New Roman"/>
                <w:sz w:val="24"/>
              </w:rPr>
              <w:t>)</w:t>
            </w:r>
          </w:p>
        </w:tc>
        <w:tc>
          <w:tcPr>
            <w:tcW w:w="1636" w:type="dxa"/>
            <w:tcBorders>
              <w:top w:val="single" w:sz="4" w:space="0" w:color="000000"/>
              <w:left w:val="single" w:sz="4" w:space="0" w:color="000000"/>
              <w:bottom w:val="single" w:sz="4" w:space="0" w:color="000000"/>
              <w:right w:val="single" w:sz="4" w:space="0" w:color="000000"/>
            </w:tcBorders>
          </w:tcPr>
          <w:p w14:paraId="039EF3A5"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No 8 (20%)</w:t>
            </w:r>
          </w:p>
        </w:tc>
      </w:tr>
      <w:tr w:rsidR="00151B8E" w:rsidRPr="000A734E" w14:paraId="7993C986" w14:textId="77777777" w:rsidTr="00151B8E">
        <w:trPr>
          <w:trHeight w:val="56"/>
        </w:trPr>
        <w:tc>
          <w:tcPr>
            <w:tcW w:w="6129" w:type="dxa"/>
            <w:tcBorders>
              <w:top w:val="single" w:sz="4" w:space="0" w:color="000000"/>
              <w:left w:val="single" w:sz="4" w:space="0" w:color="000000"/>
              <w:bottom w:val="single" w:sz="4" w:space="0" w:color="000000"/>
              <w:right w:val="single" w:sz="4" w:space="0" w:color="000000"/>
            </w:tcBorders>
          </w:tcPr>
          <w:p w14:paraId="060B680B" w14:textId="77777777" w:rsidR="00151B8E" w:rsidRPr="000A734E" w:rsidRDefault="00151B8E" w:rsidP="00151B8E">
            <w:pPr>
              <w:rPr>
                <w:rFonts w:ascii="Times New Roman" w:hAnsi="Times New Roman" w:cs="Times New Roman"/>
                <w:sz w:val="24"/>
              </w:rPr>
            </w:pPr>
            <w:r>
              <w:rPr>
                <w:rFonts w:ascii="Times New Roman" w:hAnsi="Times New Roman" w:cs="Times New Roman"/>
                <w:sz w:val="24"/>
              </w:rPr>
              <w:t>Parents</w:t>
            </w:r>
            <w:r w:rsidRPr="000A734E">
              <w:rPr>
                <w:rFonts w:ascii="Times New Roman" w:hAnsi="Times New Roman" w:cs="Times New Roman"/>
                <w:sz w:val="24"/>
              </w:rPr>
              <w:t xml:space="preserve"> are </w:t>
            </w:r>
            <w:r>
              <w:rPr>
                <w:rFonts w:ascii="Times New Roman" w:hAnsi="Times New Roman" w:cs="Times New Roman"/>
                <w:sz w:val="24"/>
              </w:rPr>
              <w:t>relatives</w:t>
            </w:r>
            <w:r w:rsidRPr="000A734E">
              <w:rPr>
                <w:rFonts w:ascii="Times New Roman" w:hAnsi="Times New Roman" w:cs="Times New Roman"/>
                <w:sz w:val="24"/>
              </w:rPr>
              <w:t xml:space="preserve"> </w:t>
            </w:r>
          </w:p>
          <w:p w14:paraId="7EA32CDC" w14:textId="77777777" w:rsidR="00151B8E" w:rsidRPr="000A734E" w:rsidRDefault="00151B8E" w:rsidP="00151B8E">
            <w:pPr>
              <w:rPr>
                <w:rFonts w:ascii="Times New Roman" w:hAnsi="Times New Roman" w:cs="Times New Roman"/>
                <w:sz w:val="24"/>
              </w:rPr>
            </w:pPr>
          </w:p>
        </w:tc>
        <w:tc>
          <w:tcPr>
            <w:tcW w:w="1841" w:type="dxa"/>
            <w:tcBorders>
              <w:top w:val="single" w:sz="4" w:space="0" w:color="000000"/>
              <w:left w:val="single" w:sz="4" w:space="0" w:color="000000"/>
              <w:bottom w:val="single" w:sz="4" w:space="0" w:color="000000"/>
              <w:right w:val="single" w:sz="4" w:space="0" w:color="000000"/>
            </w:tcBorders>
          </w:tcPr>
          <w:p w14:paraId="54FCDCF8"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Yes 34 (</w:t>
            </w:r>
            <w:r w:rsidRPr="000A734E">
              <w:rPr>
                <w:rFonts w:ascii="Times New Roman" w:hAnsi="Times New Roman" w:cs="Times New Roman"/>
                <w:b/>
                <w:bCs/>
                <w:sz w:val="24"/>
              </w:rPr>
              <w:t>85%</w:t>
            </w:r>
            <w:r w:rsidRPr="000A734E">
              <w:rPr>
                <w:rFonts w:ascii="Times New Roman" w:hAnsi="Times New Roman" w:cs="Times New Roman"/>
                <w:sz w:val="24"/>
              </w:rPr>
              <w:t>)</w:t>
            </w:r>
          </w:p>
        </w:tc>
        <w:tc>
          <w:tcPr>
            <w:tcW w:w="1636" w:type="dxa"/>
            <w:tcBorders>
              <w:top w:val="single" w:sz="4" w:space="0" w:color="000000"/>
              <w:left w:val="single" w:sz="4" w:space="0" w:color="000000"/>
              <w:bottom w:val="single" w:sz="4" w:space="0" w:color="000000"/>
              <w:right w:val="single" w:sz="4" w:space="0" w:color="000000"/>
            </w:tcBorders>
          </w:tcPr>
          <w:p w14:paraId="03B6096A" w14:textId="77777777" w:rsidR="00151B8E" w:rsidRPr="000A734E" w:rsidRDefault="00151B8E" w:rsidP="00151B8E">
            <w:pPr>
              <w:rPr>
                <w:rFonts w:ascii="Times New Roman" w:hAnsi="Times New Roman" w:cs="Times New Roman"/>
                <w:sz w:val="24"/>
              </w:rPr>
            </w:pPr>
            <w:r w:rsidRPr="000A734E">
              <w:rPr>
                <w:rFonts w:ascii="Times New Roman" w:hAnsi="Times New Roman" w:cs="Times New Roman"/>
                <w:sz w:val="24"/>
              </w:rPr>
              <w:t>No 6 (15%)</w:t>
            </w:r>
          </w:p>
        </w:tc>
      </w:tr>
    </w:tbl>
    <w:p w14:paraId="2D72DDC4" w14:textId="77777777" w:rsidR="00151B8E" w:rsidRDefault="00151B8E" w:rsidP="00151B8E">
      <w:pPr>
        <w:rPr>
          <w:rFonts w:ascii="Times New Roman" w:eastAsia="Calibri" w:hAnsi="Times New Roman" w:cs="Times New Roman"/>
          <w:bCs/>
          <w:sz w:val="24"/>
        </w:rPr>
      </w:pPr>
    </w:p>
    <w:p w14:paraId="6A99F748" w14:textId="18F2960B" w:rsidR="00BE4849" w:rsidRDefault="00BE4849" w:rsidP="00151B8E">
      <w:pPr>
        <w:rPr>
          <w:rFonts w:ascii="Times New Roman" w:eastAsia="Calibri" w:hAnsi="Times New Roman" w:cs="Times New Roman"/>
          <w:sz w:val="24"/>
        </w:rPr>
      </w:pPr>
      <w:r w:rsidRPr="00151B8E">
        <w:rPr>
          <w:rFonts w:ascii="Times New Roman" w:eastAsia="Calibri" w:hAnsi="Times New Roman" w:cs="Times New Roman"/>
          <w:bCs/>
          <w:sz w:val="24"/>
        </w:rPr>
        <w:t>Table</w:t>
      </w:r>
      <w:r w:rsidR="00151B8E" w:rsidRPr="00151B8E">
        <w:rPr>
          <w:rFonts w:ascii="Times New Roman" w:eastAsia="Calibri" w:hAnsi="Times New Roman" w:cs="Times New Roman"/>
          <w:bCs/>
          <w:sz w:val="24"/>
        </w:rPr>
        <w:t xml:space="preserve"> </w:t>
      </w:r>
      <w:r w:rsidRPr="00151B8E">
        <w:rPr>
          <w:rFonts w:ascii="Times New Roman" w:eastAsia="Calibri" w:hAnsi="Times New Roman" w:cs="Times New Roman"/>
          <w:bCs/>
          <w:sz w:val="24"/>
        </w:rPr>
        <w:t>1</w:t>
      </w:r>
      <w:r w:rsidR="00151B8E" w:rsidRPr="00151B8E">
        <w:rPr>
          <w:rFonts w:ascii="Times New Roman" w:eastAsia="Calibri" w:hAnsi="Times New Roman" w:cs="Times New Roman"/>
          <w:bCs/>
          <w:sz w:val="24"/>
        </w:rPr>
        <w:t xml:space="preserve"> </w:t>
      </w:r>
      <w:r w:rsidRPr="00151B8E">
        <w:rPr>
          <w:rFonts w:ascii="Times New Roman" w:eastAsia="Calibri" w:hAnsi="Times New Roman" w:cs="Times New Roman"/>
          <w:sz w:val="24"/>
        </w:rPr>
        <w:t>Shows</w:t>
      </w:r>
      <w:r w:rsidRPr="000A734E">
        <w:rPr>
          <w:rFonts w:ascii="Times New Roman" w:eastAsia="Calibri" w:hAnsi="Times New Roman" w:cs="Times New Roman"/>
          <w:sz w:val="24"/>
        </w:rPr>
        <w:t xml:space="preserve"> that thalassemia major was more </w:t>
      </w:r>
      <w:r>
        <w:rPr>
          <w:rFonts w:ascii="Times New Roman" w:eastAsia="Calibri" w:hAnsi="Times New Roman" w:cs="Times New Roman"/>
          <w:sz w:val="24"/>
        </w:rPr>
        <w:t xml:space="preserve">prevalent </w:t>
      </w:r>
      <w:r w:rsidRPr="000A734E">
        <w:rPr>
          <w:rFonts w:ascii="Times New Roman" w:eastAsia="Calibri" w:hAnsi="Times New Roman" w:cs="Times New Roman"/>
          <w:sz w:val="24"/>
        </w:rPr>
        <w:t xml:space="preserve">in </w:t>
      </w:r>
      <w:r>
        <w:rPr>
          <w:rFonts w:ascii="Times New Roman" w:eastAsia="Calibri" w:hAnsi="Times New Roman" w:cs="Times New Roman"/>
          <w:sz w:val="24"/>
        </w:rPr>
        <w:t>females</w:t>
      </w:r>
      <w:r w:rsidRPr="000A734E">
        <w:rPr>
          <w:rFonts w:ascii="Times New Roman" w:eastAsia="Calibri" w:hAnsi="Times New Roman" w:cs="Times New Roman"/>
          <w:sz w:val="24"/>
        </w:rPr>
        <w:t xml:space="preserve"> </w:t>
      </w:r>
      <w:r>
        <w:rPr>
          <w:rFonts w:ascii="Times New Roman" w:eastAsia="Calibri" w:hAnsi="Times New Roman" w:cs="Times New Roman"/>
          <w:sz w:val="24"/>
        </w:rPr>
        <w:t>than males, females</w:t>
      </w:r>
      <w:r w:rsidRPr="000A734E">
        <w:rPr>
          <w:rFonts w:ascii="Times New Roman" w:eastAsia="Calibri" w:hAnsi="Times New Roman" w:cs="Times New Roman"/>
          <w:sz w:val="24"/>
        </w:rPr>
        <w:t xml:space="preserve"> was 21(52.5%) patients while male was 19(47.5%). The presenting age of the patients ranged from &lt; 6 to 21 years</w:t>
      </w:r>
      <w:r>
        <w:rPr>
          <w:rFonts w:ascii="Times New Roman" w:eastAsia="Calibri" w:hAnsi="Times New Roman" w:cs="Times New Roman"/>
          <w:sz w:val="24"/>
        </w:rPr>
        <w:t>,</w:t>
      </w:r>
      <w:r w:rsidRPr="000A734E">
        <w:rPr>
          <w:rFonts w:ascii="Times New Roman" w:eastAsia="Calibri" w:hAnsi="Times New Roman" w:cs="Times New Roman"/>
          <w:sz w:val="24"/>
        </w:rPr>
        <w:t xml:space="preserve"> with a mean (</w:t>
      </w:r>
      <w:r>
        <w:rPr>
          <w:rFonts w:ascii="Times New Roman" w:eastAsia="Calibri" w:hAnsi="Times New Roman" w:cs="Times New Roman"/>
          <w:sz w:val="24"/>
        </w:rPr>
        <w:t>10.6±4.57</w:t>
      </w:r>
      <w:r w:rsidRPr="000A734E">
        <w:rPr>
          <w:rFonts w:ascii="Times New Roman" w:eastAsia="Calibri" w:hAnsi="Times New Roman" w:cs="Times New Roman"/>
          <w:sz w:val="24"/>
        </w:rPr>
        <w:t xml:space="preserve"> years. Patients </w:t>
      </w:r>
      <w:r>
        <w:rPr>
          <w:rFonts w:ascii="Times New Roman" w:eastAsia="Calibri" w:hAnsi="Times New Roman" w:cs="Times New Roman"/>
          <w:sz w:val="24"/>
        </w:rPr>
        <w:t>aged</w:t>
      </w:r>
      <w:r w:rsidRPr="000A734E">
        <w:rPr>
          <w:rFonts w:ascii="Times New Roman" w:eastAsia="Calibri" w:hAnsi="Times New Roman" w:cs="Times New Roman"/>
          <w:sz w:val="24"/>
        </w:rPr>
        <w:t xml:space="preserve"> 7-11 were the most common (37.5%) cases. </w:t>
      </w:r>
    </w:p>
    <w:p w14:paraId="4445EA33" w14:textId="77777777" w:rsidR="008650C0" w:rsidRPr="00914E12" w:rsidRDefault="008650C0" w:rsidP="00BE4849">
      <w:pPr>
        <w:jc w:val="both"/>
        <w:rPr>
          <w:rFonts w:ascii="Times New Roman" w:eastAsia="Calibri" w:hAnsi="Times New Roman" w:cs="Times New Roman"/>
          <w:sz w:val="24"/>
        </w:rPr>
      </w:pPr>
    </w:p>
    <w:p w14:paraId="3F545ED0" w14:textId="77777777" w:rsidR="00BE4849" w:rsidRDefault="00BE4849" w:rsidP="00BE4849">
      <w:pPr>
        <w:tabs>
          <w:tab w:val="left" w:pos="7525"/>
        </w:tabs>
        <w:spacing w:line="360" w:lineRule="auto"/>
        <w:rPr>
          <w:rFonts w:ascii="Times New Roman" w:eastAsia="Calibri" w:hAnsi="Times New Roman" w:cs="Times New Roman"/>
          <w:b/>
          <w:bCs/>
          <w:sz w:val="24"/>
        </w:rPr>
      </w:pPr>
      <w:bookmarkStart w:id="22" w:name="_Hlk199023449"/>
      <w:r w:rsidRPr="000A734E">
        <w:rPr>
          <w:rFonts w:ascii="Times New Roman" w:eastAsia="Calibri" w:hAnsi="Times New Roman" w:cs="Times New Roman"/>
          <w:b/>
          <w:bCs/>
          <w:sz w:val="24"/>
        </w:rPr>
        <w:t xml:space="preserve">Table 2. Descriptive statistics of hematological findings </w:t>
      </w:r>
    </w:p>
    <w:tbl>
      <w:tblPr>
        <w:tblStyle w:val="311"/>
        <w:tblpPr w:leftFromText="180" w:rightFromText="180" w:vertAnchor="text" w:horzAnchor="margin" w:tblpXSpec="center" w:tblpY="-77"/>
        <w:tblW w:w="9209" w:type="dxa"/>
        <w:tblInd w:w="0" w:type="dxa"/>
        <w:tblLook w:val="04A0" w:firstRow="1" w:lastRow="0" w:firstColumn="1" w:lastColumn="0" w:noHBand="0" w:noVBand="1"/>
      </w:tblPr>
      <w:tblGrid>
        <w:gridCol w:w="2372"/>
        <w:gridCol w:w="996"/>
        <w:gridCol w:w="877"/>
        <w:gridCol w:w="967"/>
        <w:gridCol w:w="1011"/>
        <w:gridCol w:w="1176"/>
        <w:gridCol w:w="1810"/>
      </w:tblGrid>
      <w:tr w:rsidR="00BE4849" w:rsidRPr="000A734E" w14:paraId="6758AF55" w14:textId="77777777" w:rsidTr="00696C2D">
        <w:trPr>
          <w:trHeight w:val="226"/>
        </w:trPr>
        <w:tc>
          <w:tcPr>
            <w:tcW w:w="2372" w:type="dxa"/>
            <w:vMerge w:val="restart"/>
          </w:tcPr>
          <w:p w14:paraId="54EDD5F1"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sz w:val="24"/>
              </w:rPr>
              <w:lastRenderedPageBreak/>
              <w:t xml:space="preserve">Variable </w:t>
            </w:r>
          </w:p>
        </w:tc>
        <w:tc>
          <w:tcPr>
            <w:tcW w:w="1873" w:type="dxa"/>
            <w:gridSpan w:val="2"/>
          </w:tcPr>
          <w:p w14:paraId="43355219" w14:textId="77777777" w:rsidR="00BE4849" w:rsidRPr="000A734E" w:rsidRDefault="00BE4849" w:rsidP="00696C2D">
            <w:pPr>
              <w:tabs>
                <w:tab w:val="left" w:pos="7525"/>
              </w:tabs>
              <w:spacing w:line="360" w:lineRule="auto"/>
              <w:jc w:val="center"/>
              <w:rPr>
                <w:rFonts w:ascii="Times New Roman" w:hAnsi="Times New Roman" w:cs="Times New Roman"/>
                <w:sz w:val="24"/>
              </w:rPr>
            </w:pPr>
            <w:r w:rsidRPr="000A734E">
              <w:rPr>
                <w:rFonts w:ascii="Times New Roman" w:hAnsi="Times New Roman" w:cs="Times New Roman"/>
                <w:sz w:val="24"/>
              </w:rPr>
              <w:t>Mean</w:t>
            </w:r>
          </w:p>
        </w:tc>
        <w:tc>
          <w:tcPr>
            <w:tcW w:w="967" w:type="dxa"/>
            <w:vMerge w:val="restart"/>
          </w:tcPr>
          <w:p w14:paraId="6F9B50DC" w14:textId="77777777" w:rsidR="00BE4849" w:rsidRPr="000A734E" w:rsidRDefault="00BE4849" w:rsidP="00696C2D">
            <w:pPr>
              <w:tabs>
                <w:tab w:val="left" w:pos="7525"/>
              </w:tabs>
              <w:spacing w:line="360" w:lineRule="auto"/>
              <w:rPr>
                <w:rFonts w:ascii="Times New Roman" w:hAnsi="Times New Roman" w:cs="Times New Roman"/>
                <w:b/>
                <w:bCs/>
                <w:sz w:val="24"/>
              </w:rPr>
            </w:pPr>
          </w:p>
          <w:p w14:paraId="347A089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Median </w:t>
            </w:r>
          </w:p>
        </w:tc>
        <w:tc>
          <w:tcPr>
            <w:tcW w:w="2187" w:type="dxa"/>
            <w:gridSpan w:val="2"/>
          </w:tcPr>
          <w:p w14:paraId="48A7C498" w14:textId="77777777" w:rsidR="00BE4849" w:rsidRPr="000A734E" w:rsidRDefault="00BE4849" w:rsidP="00696C2D">
            <w:pPr>
              <w:tabs>
                <w:tab w:val="left" w:pos="7525"/>
              </w:tabs>
              <w:spacing w:line="360" w:lineRule="auto"/>
              <w:jc w:val="center"/>
              <w:rPr>
                <w:rFonts w:ascii="Times New Roman" w:hAnsi="Times New Roman" w:cs="Times New Roman"/>
                <w:sz w:val="24"/>
              </w:rPr>
            </w:pPr>
            <w:r w:rsidRPr="000A734E">
              <w:rPr>
                <w:rFonts w:ascii="Times New Roman" w:hAnsi="Times New Roman" w:cs="Times New Roman"/>
                <w:sz w:val="24"/>
              </w:rPr>
              <w:t>Range</w:t>
            </w:r>
          </w:p>
        </w:tc>
        <w:tc>
          <w:tcPr>
            <w:tcW w:w="1810" w:type="dxa"/>
            <w:vMerge w:val="restart"/>
          </w:tcPr>
          <w:p w14:paraId="672DE936" w14:textId="77777777" w:rsidR="00BE4849" w:rsidRPr="000A734E" w:rsidRDefault="00BE4849" w:rsidP="00696C2D">
            <w:pPr>
              <w:tabs>
                <w:tab w:val="left" w:pos="7525"/>
              </w:tabs>
              <w:spacing w:line="360" w:lineRule="auto"/>
              <w:jc w:val="center"/>
              <w:rPr>
                <w:rFonts w:ascii="Times New Roman" w:hAnsi="Times New Roman" w:cs="Times New Roman"/>
                <w:sz w:val="24"/>
              </w:rPr>
            </w:pPr>
            <w:r w:rsidRPr="000A734E">
              <w:rPr>
                <w:rFonts w:ascii="Times New Roman" w:hAnsi="Times New Roman" w:cs="Times New Roman"/>
                <w:sz w:val="24"/>
              </w:rPr>
              <w:t xml:space="preserve">Reference range  </w:t>
            </w:r>
          </w:p>
        </w:tc>
      </w:tr>
      <w:tr w:rsidR="00BE4849" w:rsidRPr="000A734E" w14:paraId="3DDE00C2" w14:textId="77777777" w:rsidTr="00696C2D">
        <w:trPr>
          <w:trHeight w:val="242"/>
        </w:trPr>
        <w:tc>
          <w:tcPr>
            <w:tcW w:w="2372" w:type="dxa"/>
            <w:vMerge/>
          </w:tcPr>
          <w:p w14:paraId="504B2D3D" w14:textId="77777777" w:rsidR="00BE4849" w:rsidRPr="000A734E" w:rsidRDefault="00BE4849" w:rsidP="00696C2D">
            <w:pPr>
              <w:tabs>
                <w:tab w:val="left" w:pos="7525"/>
              </w:tabs>
              <w:spacing w:line="360" w:lineRule="auto"/>
              <w:rPr>
                <w:rFonts w:ascii="Times New Roman" w:hAnsi="Times New Roman" w:cs="Times New Roman"/>
                <w:sz w:val="24"/>
              </w:rPr>
            </w:pPr>
          </w:p>
        </w:tc>
        <w:tc>
          <w:tcPr>
            <w:tcW w:w="996" w:type="dxa"/>
          </w:tcPr>
          <w:p w14:paraId="6F13636F"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b/>
                <w:bCs/>
                <w:sz w:val="24"/>
              </w:rPr>
              <w:t xml:space="preserve">Mean </w:t>
            </w:r>
          </w:p>
        </w:tc>
        <w:tc>
          <w:tcPr>
            <w:tcW w:w="877" w:type="dxa"/>
          </w:tcPr>
          <w:p w14:paraId="55DA9734"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b/>
                <w:bCs/>
                <w:sz w:val="24"/>
              </w:rPr>
              <w:t>SD</w:t>
            </w:r>
          </w:p>
        </w:tc>
        <w:tc>
          <w:tcPr>
            <w:tcW w:w="967" w:type="dxa"/>
            <w:vMerge/>
          </w:tcPr>
          <w:p w14:paraId="3DE785B9" w14:textId="77777777" w:rsidR="00BE4849" w:rsidRPr="000A734E" w:rsidRDefault="00BE4849" w:rsidP="00696C2D">
            <w:pPr>
              <w:tabs>
                <w:tab w:val="left" w:pos="7525"/>
              </w:tabs>
              <w:spacing w:line="360" w:lineRule="auto"/>
              <w:rPr>
                <w:rFonts w:ascii="Times New Roman" w:hAnsi="Times New Roman" w:cs="Times New Roman"/>
                <w:sz w:val="24"/>
              </w:rPr>
            </w:pPr>
          </w:p>
        </w:tc>
        <w:tc>
          <w:tcPr>
            <w:tcW w:w="1011" w:type="dxa"/>
          </w:tcPr>
          <w:p w14:paraId="7601F042"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b/>
                <w:bCs/>
                <w:sz w:val="24"/>
              </w:rPr>
              <w:t xml:space="preserve">Min </w:t>
            </w:r>
          </w:p>
        </w:tc>
        <w:tc>
          <w:tcPr>
            <w:tcW w:w="1176" w:type="dxa"/>
          </w:tcPr>
          <w:p w14:paraId="436AFCF4"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b/>
                <w:bCs/>
                <w:sz w:val="24"/>
              </w:rPr>
              <w:t xml:space="preserve">Max </w:t>
            </w:r>
          </w:p>
        </w:tc>
        <w:tc>
          <w:tcPr>
            <w:tcW w:w="1810" w:type="dxa"/>
            <w:vMerge/>
          </w:tcPr>
          <w:p w14:paraId="7A76E28C" w14:textId="77777777" w:rsidR="00BE4849" w:rsidRPr="000A734E" w:rsidRDefault="00BE4849" w:rsidP="00696C2D">
            <w:pPr>
              <w:tabs>
                <w:tab w:val="left" w:pos="7525"/>
              </w:tabs>
              <w:spacing w:line="360" w:lineRule="auto"/>
              <w:rPr>
                <w:rFonts w:ascii="Times New Roman" w:hAnsi="Times New Roman" w:cs="Times New Roman"/>
                <w:b/>
                <w:bCs/>
                <w:sz w:val="24"/>
              </w:rPr>
            </w:pPr>
          </w:p>
        </w:tc>
      </w:tr>
      <w:tr w:rsidR="00BE4849" w:rsidRPr="000A734E" w14:paraId="30BA0005" w14:textId="77777777" w:rsidTr="00696C2D">
        <w:trPr>
          <w:trHeight w:val="226"/>
        </w:trPr>
        <w:tc>
          <w:tcPr>
            <w:tcW w:w="2372" w:type="dxa"/>
          </w:tcPr>
          <w:p w14:paraId="08CFDB8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White blood cell*</w:t>
            </w:r>
          </w:p>
        </w:tc>
        <w:tc>
          <w:tcPr>
            <w:tcW w:w="996" w:type="dxa"/>
          </w:tcPr>
          <w:p w14:paraId="2925CE11"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10.8</w:t>
            </w:r>
          </w:p>
        </w:tc>
        <w:tc>
          <w:tcPr>
            <w:tcW w:w="877" w:type="dxa"/>
          </w:tcPr>
          <w:p w14:paraId="2A5F3DF7"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40.34</w:t>
            </w:r>
          </w:p>
        </w:tc>
        <w:tc>
          <w:tcPr>
            <w:tcW w:w="967" w:type="dxa"/>
          </w:tcPr>
          <w:p w14:paraId="22D8F3C4"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10.85</w:t>
            </w:r>
          </w:p>
        </w:tc>
        <w:tc>
          <w:tcPr>
            <w:tcW w:w="1011" w:type="dxa"/>
          </w:tcPr>
          <w:p w14:paraId="780C612B"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4.100</w:t>
            </w:r>
          </w:p>
        </w:tc>
        <w:tc>
          <w:tcPr>
            <w:tcW w:w="1176" w:type="dxa"/>
          </w:tcPr>
          <w:p w14:paraId="0DF8ACF4"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148.000</w:t>
            </w:r>
          </w:p>
        </w:tc>
        <w:tc>
          <w:tcPr>
            <w:tcW w:w="1810" w:type="dxa"/>
          </w:tcPr>
          <w:p w14:paraId="180FC9B6"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Calibri" w:hAnsi="Calibri" w:cs="Arial"/>
              </w:rPr>
              <w:t>3.0–10.0 × 109 /L</w:t>
            </w:r>
          </w:p>
        </w:tc>
      </w:tr>
      <w:tr w:rsidR="00BE4849" w:rsidRPr="000A734E" w14:paraId="4BF21214" w14:textId="77777777" w:rsidTr="00696C2D">
        <w:trPr>
          <w:trHeight w:val="226"/>
        </w:trPr>
        <w:tc>
          <w:tcPr>
            <w:tcW w:w="2372" w:type="dxa"/>
          </w:tcPr>
          <w:p w14:paraId="6A9F7C6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RBC</w:t>
            </w:r>
          </w:p>
        </w:tc>
        <w:tc>
          <w:tcPr>
            <w:tcW w:w="996" w:type="dxa"/>
          </w:tcPr>
          <w:p w14:paraId="0375862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2.88</w:t>
            </w:r>
          </w:p>
        </w:tc>
        <w:tc>
          <w:tcPr>
            <w:tcW w:w="877" w:type="dxa"/>
          </w:tcPr>
          <w:p w14:paraId="4EA7E86C"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0.693</w:t>
            </w:r>
          </w:p>
        </w:tc>
        <w:tc>
          <w:tcPr>
            <w:tcW w:w="967" w:type="dxa"/>
          </w:tcPr>
          <w:p w14:paraId="1A8C4CC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2.76</w:t>
            </w:r>
          </w:p>
        </w:tc>
        <w:tc>
          <w:tcPr>
            <w:tcW w:w="1011" w:type="dxa"/>
          </w:tcPr>
          <w:p w14:paraId="136B3EF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1.58</w:t>
            </w:r>
          </w:p>
        </w:tc>
        <w:tc>
          <w:tcPr>
            <w:tcW w:w="1176" w:type="dxa"/>
          </w:tcPr>
          <w:p w14:paraId="145AA807"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4.80</w:t>
            </w:r>
          </w:p>
        </w:tc>
        <w:tc>
          <w:tcPr>
            <w:tcW w:w="1810" w:type="dxa"/>
          </w:tcPr>
          <w:p w14:paraId="74ECCD69" w14:textId="77777777" w:rsidR="00BE4849" w:rsidRPr="000A734E" w:rsidRDefault="00BE4849" w:rsidP="00696C2D">
            <w:pPr>
              <w:tabs>
                <w:tab w:val="center" w:pos="4153"/>
                <w:tab w:val="right" w:pos="8306"/>
              </w:tabs>
              <w:autoSpaceDE w:val="0"/>
              <w:autoSpaceDN w:val="0"/>
              <w:adjustRightInd w:val="0"/>
              <w:spacing w:line="201" w:lineRule="atLeast"/>
              <w:jc w:val="right"/>
              <w:rPr>
                <w:rFonts w:ascii="Times New Roman" w:hAnsi="Times New Roman" w:cs="Times New Roman"/>
                <w:sz w:val="24"/>
                <w:rtl/>
              </w:rPr>
            </w:pPr>
            <w:r w:rsidRPr="000A734E">
              <w:rPr>
                <w:rFonts w:ascii="Times New Roman" w:hAnsi="Times New Roman" w:cs="Times New Roman"/>
                <w:sz w:val="24"/>
              </w:rPr>
              <w:t xml:space="preserve">Male 4.5-6.5 </w:t>
            </w:r>
          </w:p>
          <w:p w14:paraId="3B91302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Female 3.9-5.6</w:t>
            </w:r>
          </w:p>
        </w:tc>
      </w:tr>
      <w:tr w:rsidR="00BE4849" w:rsidRPr="000A734E" w14:paraId="20C3C7CC" w14:textId="77777777" w:rsidTr="00696C2D">
        <w:trPr>
          <w:trHeight w:val="226"/>
        </w:trPr>
        <w:tc>
          <w:tcPr>
            <w:tcW w:w="2372" w:type="dxa"/>
          </w:tcPr>
          <w:p w14:paraId="20AC5A0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Hemoglobin</w:t>
            </w:r>
            <w:r w:rsidRPr="000A734E">
              <w:rPr>
                <w:rFonts w:ascii="Calibri" w:hAnsi="Calibri" w:cs="Arial"/>
                <w:spacing w:val="-2"/>
                <w:sz w:val="24"/>
              </w:rPr>
              <w:t>(gm/dl)</w:t>
            </w:r>
          </w:p>
        </w:tc>
        <w:tc>
          <w:tcPr>
            <w:tcW w:w="996" w:type="dxa"/>
          </w:tcPr>
          <w:p w14:paraId="0F070422"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6.72</w:t>
            </w:r>
          </w:p>
        </w:tc>
        <w:tc>
          <w:tcPr>
            <w:tcW w:w="877" w:type="dxa"/>
          </w:tcPr>
          <w:p w14:paraId="1B363F4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1.77</w:t>
            </w:r>
          </w:p>
        </w:tc>
        <w:tc>
          <w:tcPr>
            <w:tcW w:w="967" w:type="dxa"/>
          </w:tcPr>
          <w:p w14:paraId="0B275A9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6.50</w:t>
            </w:r>
          </w:p>
        </w:tc>
        <w:tc>
          <w:tcPr>
            <w:tcW w:w="1011" w:type="dxa"/>
          </w:tcPr>
          <w:p w14:paraId="7FCB4917"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3.2</w:t>
            </w:r>
          </w:p>
        </w:tc>
        <w:tc>
          <w:tcPr>
            <w:tcW w:w="1176" w:type="dxa"/>
          </w:tcPr>
          <w:p w14:paraId="34BFE95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10.8</w:t>
            </w:r>
          </w:p>
        </w:tc>
        <w:tc>
          <w:tcPr>
            <w:tcW w:w="1810" w:type="dxa"/>
          </w:tcPr>
          <w:p w14:paraId="4166D34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Calibri" w:hAnsi="Calibri" w:cs="Arial"/>
              </w:rPr>
              <w:t xml:space="preserve">12–16 </w:t>
            </w:r>
            <w:bookmarkStart w:id="23" w:name="_Hlk190516372"/>
            <w:r w:rsidRPr="000A734E">
              <w:rPr>
                <w:rFonts w:ascii="Calibri" w:hAnsi="Calibri" w:cs="Arial"/>
              </w:rPr>
              <w:t>gm/dL</w:t>
            </w:r>
            <w:bookmarkEnd w:id="23"/>
          </w:p>
        </w:tc>
      </w:tr>
      <w:tr w:rsidR="00BE4849" w:rsidRPr="000A734E" w14:paraId="79044ECB" w14:textId="77777777" w:rsidTr="00696C2D">
        <w:trPr>
          <w:trHeight w:val="234"/>
        </w:trPr>
        <w:tc>
          <w:tcPr>
            <w:tcW w:w="2372" w:type="dxa"/>
          </w:tcPr>
          <w:p w14:paraId="11D4ACC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HCT</w:t>
            </w:r>
            <w:r w:rsidRPr="000A734E">
              <w:rPr>
                <w:rFonts w:ascii="Calibri" w:hAnsi="Calibri" w:cs="Arial"/>
                <w:spacing w:val="-5"/>
                <w:sz w:val="24"/>
              </w:rPr>
              <w:t xml:space="preserve"> (%)</w:t>
            </w:r>
          </w:p>
        </w:tc>
        <w:tc>
          <w:tcPr>
            <w:tcW w:w="996" w:type="dxa"/>
          </w:tcPr>
          <w:p w14:paraId="26F46B8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21.72</w:t>
            </w:r>
          </w:p>
        </w:tc>
        <w:tc>
          <w:tcPr>
            <w:tcW w:w="877" w:type="dxa"/>
          </w:tcPr>
          <w:p w14:paraId="09CE578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6.09</w:t>
            </w:r>
          </w:p>
        </w:tc>
        <w:tc>
          <w:tcPr>
            <w:tcW w:w="967" w:type="dxa"/>
          </w:tcPr>
          <w:p w14:paraId="4C010AC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20.65</w:t>
            </w:r>
          </w:p>
        </w:tc>
        <w:tc>
          <w:tcPr>
            <w:tcW w:w="1011" w:type="dxa"/>
          </w:tcPr>
          <w:p w14:paraId="5F0705E6"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11.0</w:t>
            </w:r>
          </w:p>
        </w:tc>
        <w:tc>
          <w:tcPr>
            <w:tcW w:w="1176" w:type="dxa"/>
          </w:tcPr>
          <w:p w14:paraId="2B7A3CB2"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39.9</w:t>
            </w:r>
          </w:p>
        </w:tc>
        <w:tc>
          <w:tcPr>
            <w:tcW w:w="1810" w:type="dxa"/>
          </w:tcPr>
          <w:p w14:paraId="0B7740F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Calibri" w:hAnsi="Calibri" w:cs="Arial"/>
              </w:rPr>
              <w:t>36–48</w:t>
            </w:r>
          </w:p>
        </w:tc>
      </w:tr>
      <w:tr w:rsidR="00BE4849" w:rsidRPr="000A734E" w14:paraId="79D50EB8" w14:textId="77777777" w:rsidTr="00696C2D">
        <w:trPr>
          <w:trHeight w:val="226"/>
        </w:trPr>
        <w:tc>
          <w:tcPr>
            <w:tcW w:w="2372" w:type="dxa"/>
          </w:tcPr>
          <w:p w14:paraId="354FC6BF" w14:textId="77777777" w:rsidR="00BE4849" w:rsidRPr="000A734E" w:rsidRDefault="00BE4849" w:rsidP="00696C2D">
            <w:pPr>
              <w:tabs>
                <w:tab w:val="left" w:pos="7525"/>
              </w:tabs>
              <w:spacing w:line="360" w:lineRule="auto"/>
              <w:rPr>
                <w:rFonts w:ascii="Times New Roman" w:hAnsi="Times New Roman" w:cs="Times New Roman"/>
                <w:sz w:val="24"/>
              </w:rPr>
            </w:pPr>
            <w:proofErr w:type="gramStart"/>
            <w:r w:rsidRPr="000A734E">
              <w:rPr>
                <w:rFonts w:ascii="Times New Roman" w:hAnsi="Times New Roman" w:cs="Times New Roman"/>
                <w:sz w:val="24"/>
              </w:rPr>
              <w:t>MCV</w:t>
            </w:r>
            <w:r w:rsidRPr="000A734E">
              <w:rPr>
                <w:rFonts w:ascii="Calibri" w:hAnsi="Calibri" w:cs="Arial"/>
                <w:spacing w:val="-2"/>
                <w:sz w:val="24"/>
              </w:rPr>
              <w:t>(</w:t>
            </w:r>
            <w:r w:rsidRPr="000A734E">
              <w:rPr>
                <w:rFonts w:ascii="Times New Roman" w:hAnsi="Times New Roman" w:cs="Times New Roman"/>
                <w:sz w:val="24"/>
              </w:rPr>
              <w:t xml:space="preserve"> </w:t>
            </w:r>
            <w:proofErr w:type="spellStart"/>
            <w:r w:rsidRPr="000A734E">
              <w:rPr>
                <w:rFonts w:ascii="Times New Roman" w:hAnsi="Times New Roman" w:cs="Times New Roman"/>
                <w:sz w:val="24"/>
              </w:rPr>
              <w:t>fl</w:t>
            </w:r>
            <w:proofErr w:type="spellEnd"/>
            <w:proofErr w:type="gramEnd"/>
            <w:r w:rsidRPr="000A734E">
              <w:rPr>
                <w:rFonts w:ascii="Calibri" w:hAnsi="Calibri" w:cs="Arial"/>
                <w:spacing w:val="-2"/>
                <w:sz w:val="24"/>
              </w:rPr>
              <w:t>)</w:t>
            </w:r>
          </w:p>
        </w:tc>
        <w:tc>
          <w:tcPr>
            <w:tcW w:w="996" w:type="dxa"/>
          </w:tcPr>
          <w:p w14:paraId="508850BF"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73.50</w:t>
            </w:r>
          </w:p>
        </w:tc>
        <w:tc>
          <w:tcPr>
            <w:tcW w:w="877" w:type="dxa"/>
          </w:tcPr>
          <w:p w14:paraId="188E948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6.54</w:t>
            </w:r>
          </w:p>
        </w:tc>
        <w:tc>
          <w:tcPr>
            <w:tcW w:w="967" w:type="dxa"/>
          </w:tcPr>
          <w:p w14:paraId="30E55437"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72.85</w:t>
            </w:r>
          </w:p>
        </w:tc>
        <w:tc>
          <w:tcPr>
            <w:tcW w:w="1011" w:type="dxa"/>
          </w:tcPr>
          <w:p w14:paraId="68DC92E7" w14:textId="77777777" w:rsidR="00BE4849" w:rsidRPr="000A734E" w:rsidRDefault="00BE4849" w:rsidP="00696C2D">
            <w:pPr>
              <w:tabs>
                <w:tab w:val="left" w:pos="7525"/>
              </w:tabs>
              <w:spacing w:line="360" w:lineRule="auto"/>
              <w:rPr>
                <w:rFonts w:ascii="Times New Roman" w:hAnsi="Times New Roman" w:cs="Times New Roman"/>
                <w:sz w:val="24"/>
              </w:rPr>
            </w:pPr>
            <w:bookmarkStart w:id="24" w:name="_Hlk190516546"/>
            <w:r w:rsidRPr="000A734E">
              <w:rPr>
                <w:rFonts w:ascii="Times New Roman" w:hAnsi="Times New Roman" w:cs="Times New Roman"/>
                <w:sz w:val="24"/>
              </w:rPr>
              <w:t>58.5</w:t>
            </w:r>
            <w:bookmarkEnd w:id="24"/>
          </w:p>
        </w:tc>
        <w:tc>
          <w:tcPr>
            <w:tcW w:w="1176" w:type="dxa"/>
          </w:tcPr>
          <w:p w14:paraId="70FC8859" w14:textId="77777777" w:rsidR="00BE4849" w:rsidRPr="000A734E" w:rsidRDefault="00BE4849" w:rsidP="00696C2D">
            <w:pPr>
              <w:tabs>
                <w:tab w:val="left" w:pos="7525"/>
              </w:tabs>
              <w:spacing w:line="360" w:lineRule="auto"/>
              <w:rPr>
                <w:rFonts w:ascii="Times New Roman" w:hAnsi="Times New Roman" w:cs="Times New Roman"/>
                <w:sz w:val="24"/>
              </w:rPr>
            </w:pPr>
            <w:bookmarkStart w:id="25" w:name="_Hlk190516580"/>
            <w:r w:rsidRPr="000A734E">
              <w:rPr>
                <w:rFonts w:ascii="Times New Roman" w:hAnsi="Times New Roman" w:cs="Times New Roman"/>
                <w:sz w:val="24"/>
              </w:rPr>
              <w:t>87.6</w:t>
            </w:r>
            <w:bookmarkEnd w:id="25"/>
          </w:p>
        </w:tc>
        <w:tc>
          <w:tcPr>
            <w:tcW w:w="1810" w:type="dxa"/>
          </w:tcPr>
          <w:p w14:paraId="2307B5C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80 – 95</w:t>
            </w:r>
          </w:p>
        </w:tc>
      </w:tr>
      <w:tr w:rsidR="00BE4849" w:rsidRPr="000A734E" w14:paraId="057FD0C3" w14:textId="77777777" w:rsidTr="00696C2D">
        <w:trPr>
          <w:trHeight w:val="226"/>
        </w:trPr>
        <w:tc>
          <w:tcPr>
            <w:tcW w:w="2372" w:type="dxa"/>
          </w:tcPr>
          <w:p w14:paraId="7DA2A5F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MCH</w:t>
            </w:r>
            <w:r w:rsidRPr="000A734E">
              <w:rPr>
                <w:rFonts w:ascii="Calibri" w:hAnsi="Calibri" w:cs="Arial"/>
                <w:spacing w:val="-4"/>
                <w:sz w:val="24"/>
              </w:rPr>
              <w:t xml:space="preserve"> (</w:t>
            </w:r>
            <w:proofErr w:type="spellStart"/>
            <w:r w:rsidRPr="000A734E">
              <w:rPr>
                <w:rFonts w:ascii="Calibri" w:hAnsi="Calibri" w:cs="Arial"/>
                <w:spacing w:val="-4"/>
                <w:sz w:val="24"/>
              </w:rPr>
              <w:t>pg</w:t>
            </w:r>
            <w:proofErr w:type="spellEnd"/>
            <w:r w:rsidRPr="000A734E">
              <w:rPr>
                <w:rFonts w:ascii="Calibri" w:hAnsi="Calibri" w:cs="Arial"/>
                <w:spacing w:val="-4"/>
                <w:sz w:val="24"/>
              </w:rPr>
              <w:t>)</w:t>
            </w:r>
          </w:p>
        </w:tc>
        <w:tc>
          <w:tcPr>
            <w:tcW w:w="996" w:type="dxa"/>
          </w:tcPr>
          <w:p w14:paraId="63C6287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23.92</w:t>
            </w:r>
          </w:p>
        </w:tc>
        <w:tc>
          <w:tcPr>
            <w:tcW w:w="877" w:type="dxa"/>
          </w:tcPr>
          <w:p w14:paraId="440BED9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2.86</w:t>
            </w:r>
          </w:p>
        </w:tc>
        <w:tc>
          <w:tcPr>
            <w:tcW w:w="967" w:type="dxa"/>
          </w:tcPr>
          <w:p w14:paraId="18A6C42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23.60</w:t>
            </w:r>
          </w:p>
        </w:tc>
        <w:tc>
          <w:tcPr>
            <w:tcW w:w="1011" w:type="dxa"/>
          </w:tcPr>
          <w:p w14:paraId="50C0B1A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18.6</w:t>
            </w:r>
          </w:p>
        </w:tc>
        <w:tc>
          <w:tcPr>
            <w:tcW w:w="1176" w:type="dxa"/>
          </w:tcPr>
          <w:p w14:paraId="0B6C8CE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30.5</w:t>
            </w:r>
          </w:p>
        </w:tc>
        <w:tc>
          <w:tcPr>
            <w:tcW w:w="1810" w:type="dxa"/>
          </w:tcPr>
          <w:p w14:paraId="5E65E144"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27 – 34</w:t>
            </w:r>
          </w:p>
        </w:tc>
      </w:tr>
      <w:tr w:rsidR="00BE4849" w:rsidRPr="000A734E" w14:paraId="0B033DBD" w14:textId="77777777" w:rsidTr="00696C2D">
        <w:trPr>
          <w:trHeight w:val="226"/>
        </w:trPr>
        <w:tc>
          <w:tcPr>
            <w:tcW w:w="2372" w:type="dxa"/>
          </w:tcPr>
          <w:p w14:paraId="13788144"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MCHC</w:t>
            </w:r>
            <w:r w:rsidRPr="000A734E">
              <w:rPr>
                <w:rFonts w:ascii="Calibri" w:hAnsi="Calibri" w:cs="Arial"/>
                <w:spacing w:val="-2"/>
                <w:sz w:val="24"/>
              </w:rPr>
              <w:t>(g/dl)</w:t>
            </w:r>
          </w:p>
        </w:tc>
        <w:tc>
          <w:tcPr>
            <w:tcW w:w="996" w:type="dxa"/>
          </w:tcPr>
          <w:p w14:paraId="1103B89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32.437</w:t>
            </w:r>
          </w:p>
        </w:tc>
        <w:tc>
          <w:tcPr>
            <w:tcW w:w="877" w:type="dxa"/>
          </w:tcPr>
          <w:p w14:paraId="56CC424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2.29</w:t>
            </w:r>
          </w:p>
        </w:tc>
        <w:tc>
          <w:tcPr>
            <w:tcW w:w="967" w:type="dxa"/>
          </w:tcPr>
          <w:p w14:paraId="75169E90"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32.50</w:t>
            </w:r>
          </w:p>
        </w:tc>
        <w:tc>
          <w:tcPr>
            <w:tcW w:w="1011" w:type="dxa"/>
          </w:tcPr>
          <w:p w14:paraId="7FCDEA2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27.6</w:t>
            </w:r>
          </w:p>
        </w:tc>
        <w:tc>
          <w:tcPr>
            <w:tcW w:w="1176" w:type="dxa"/>
          </w:tcPr>
          <w:p w14:paraId="199DC7E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36.4</w:t>
            </w:r>
          </w:p>
        </w:tc>
        <w:tc>
          <w:tcPr>
            <w:tcW w:w="1810" w:type="dxa"/>
          </w:tcPr>
          <w:p w14:paraId="550A664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20 – 35</w:t>
            </w:r>
          </w:p>
        </w:tc>
      </w:tr>
      <w:tr w:rsidR="00BE4849" w:rsidRPr="000A734E" w14:paraId="6058FABF" w14:textId="77777777" w:rsidTr="00696C2D">
        <w:trPr>
          <w:trHeight w:val="234"/>
        </w:trPr>
        <w:tc>
          <w:tcPr>
            <w:tcW w:w="2372" w:type="dxa"/>
          </w:tcPr>
          <w:p w14:paraId="1664441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Platelet count</w:t>
            </w:r>
            <w:r w:rsidRPr="000A734E">
              <w:rPr>
                <w:rFonts w:ascii="Calibri" w:hAnsi="Calibri" w:cs="Arial"/>
              </w:rPr>
              <w:t>× 109 /L</w:t>
            </w:r>
          </w:p>
        </w:tc>
        <w:tc>
          <w:tcPr>
            <w:tcW w:w="996" w:type="dxa"/>
          </w:tcPr>
          <w:p w14:paraId="1F95FF2E" w14:textId="77777777" w:rsidR="00BE4849" w:rsidRPr="000A734E" w:rsidRDefault="00BE4849" w:rsidP="00696C2D">
            <w:pPr>
              <w:tabs>
                <w:tab w:val="left" w:pos="7525"/>
              </w:tabs>
              <w:spacing w:line="360" w:lineRule="auto"/>
              <w:rPr>
                <w:rFonts w:ascii="Times New Roman" w:hAnsi="Times New Roman" w:cs="Times New Roman"/>
                <w:sz w:val="24"/>
              </w:rPr>
            </w:pPr>
            <w:bookmarkStart w:id="26" w:name="_Hlk184157364"/>
            <w:r w:rsidRPr="000A734E">
              <w:rPr>
                <w:rFonts w:ascii="Times New Roman" w:hAnsi="Times New Roman" w:cs="Times New Roman"/>
                <w:sz w:val="24"/>
              </w:rPr>
              <w:t>463.47</w:t>
            </w:r>
            <w:bookmarkEnd w:id="26"/>
          </w:p>
        </w:tc>
        <w:tc>
          <w:tcPr>
            <w:tcW w:w="877" w:type="dxa"/>
          </w:tcPr>
          <w:p w14:paraId="586B37BD" w14:textId="77777777" w:rsidR="00BE4849" w:rsidRPr="000A734E" w:rsidRDefault="00BE4849" w:rsidP="00696C2D">
            <w:pPr>
              <w:tabs>
                <w:tab w:val="left" w:pos="7525"/>
              </w:tabs>
              <w:spacing w:line="360" w:lineRule="auto"/>
              <w:rPr>
                <w:rFonts w:ascii="Times New Roman" w:hAnsi="Times New Roman" w:cs="Times New Roman"/>
                <w:sz w:val="24"/>
              </w:rPr>
            </w:pPr>
            <w:bookmarkStart w:id="27" w:name="_Hlk184157447"/>
            <w:r w:rsidRPr="000A734E">
              <w:rPr>
                <w:rFonts w:ascii="Times New Roman" w:hAnsi="Times New Roman" w:cs="Times New Roman"/>
                <w:sz w:val="24"/>
              </w:rPr>
              <w:t>281.4</w:t>
            </w:r>
            <w:bookmarkEnd w:id="27"/>
          </w:p>
        </w:tc>
        <w:tc>
          <w:tcPr>
            <w:tcW w:w="967" w:type="dxa"/>
          </w:tcPr>
          <w:p w14:paraId="2446380F"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379.00</w:t>
            </w:r>
          </w:p>
        </w:tc>
        <w:tc>
          <w:tcPr>
            <w:tcW w:w="1011" w:type="dxa"/>
          </w:tcPr>
          <w:p w14:paraId="34E16E9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120.000</w:t>
            </w:r>
          </w:p>
        </w:tc>
        <w:tc>
          <w:tcPr>
            <w:tcW w:w="1176" w:type="dxa"/>
          </w:tcPr>
          <w:p w14:paraId="475C7A36"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1.295.000</w:t>
            </w:r>
          </w:p>
        </w:tc>
        <w:tc>
          <w:tcPr>
            <w:tcW w:w="1810" w:type="dxa"/>
          </w:tcPr>
          <w:p w14:paraId="41C93DE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Calibri" w:hAnsi="Calibri" w:cs="Arial"/>
              </w:rPr>
              <w:t>150–400 × 109 /L</w:t>
            </w:r>
          </w:p>
        </w:tc>
      </w:tr>
      <w:tr w:rsidR="00BE4849" w:rsidRPr="000A734E" w14:paraId="015078FF" w14:textId="77777777" w:rsidTr="00696C2D">
        <w:trPr>
          <w:trHeight w:val="226"/>
        </w:trPr>
        <w:tc>
          <w:tcPr>
            <w:tcW w:w="2372" w:type="dxa"/>
          </w:tcPr>
          <w:p w14:paraId="509848D4"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RDW CV</w:t>
            </w:r>
            <w:r w:rsidRPr="000A734E">
              <w:rPr>
                <w:rFonts w:ascii="Calibri" w:hAnsi="Calibri" w:cs="Arial"/>
                <w:spacing w:val="-5"/>
                <w:sz w:val="24"/>
              </w:rPr>
              <w:t xml:space="preserve"> (%)</w:t>
            </w:r>
          </w:p>
        </w:tc>
        <w:tc>
          <w:tcPr>
            <w:tcW w:w="996" w:type="dxa"/>
          </w:tcPr>
          <w:p w14:paraId="7D2EC5E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21.6050</w:t>
            </w:r>
          </w:p>
        </w:tc>
        <w:tc>
          <w:tcPr>
            <w:tcW w:w="877" w:type="dxa"/>
          </w:tcPr>
          <w:p w14:paraId="066A32E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7.00</w:t>
            </w:r>
          </w:p>
        </w:tc>
        <w:tc>
          <w:tcPr>
            <w:tcW w:w="967" w:type="dxa"/>
          </w:tcPr>
          <w:p w14:paraId="332FFD52"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19.20</w:t>
            </w:r>
          </w:p>
        </w:tc>
        <w:tc>
          <w:tcPr>
            <w:tcW w:w="1011" w:type="dxa"/>
          </w:tcPr>
          <w:p w14:paraId="5316031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13.00</w:t>
            </w:r>
          </w:p>
        </w:tc>
        <w:tc>
          <w:tcPr>
            <w:tcW w:w="1176" w:type="dxa"/>
          </w:tcPr>
          <w:p w14:paraId="0E823E96"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37.20</w:t>
            </w:r>
          </w:p>
        </w:tc>
        <w:tc>
          <w:tcPr>
            <w:tcW w:w="1810" w:type="dxa"/>
          </w:tcPr>
          <w:p w14:paraId="35A7CC2C" w14:textId="77777777" w:rsidR="00BE4849" w:rsidRPr="000A734E" w:rsidRDefault="00BE4849" w:rsidP="00696C2D">
            <w:pPr>
              <w:tabs>
                <w:tab w:val="left" w:pos="7525"/>
              </w:tabs>
              <w:spacing w:line="360" w:lineRule="auto"/>
              <w:rPr>
                <w:rFonts w:ascii="Times New Roman" w:hAnsi="Times New Roman" w:cs="Times New Roman"/>
                <w:sz w:val="24"/>
              </w:rPr>
            </w:pPr>
          </w:p>
        </w:tc>
      </w:tr>
      <w:tr w:rsidR="00BE4849" w:rsidRPr="000A734E" w14:paraId="05BEB0F1" w14:textId="77777777" w:rsidTr="00696C2D">
        <w:trPr>
          <w:trHeight w:val="774"/>
        </w:trPr>
        <w:tc>
          <w:tcPr>
            <w:tcW w:w="9209" w:type="dxa"/>
            <w:gridSpan w:val="7"/>
          </w:tcPr>
          <w:p w14:paraId="073E8D48" w14:textId="77777777" w:rsidR="00BE4849" w:rsidRPr="000A734E" w:rsidRDefault="00BE4849" w:rsidP="00696C2D">
            <w:pPr>
              <w:rPr>
                <w:rFonts w:ascii="Calibri" w:hAnsi="Calibri" w:cs="Arial"/>
              </w:rPr>
            </w:pPr>
            <w:r w:rsidRPr="000A734E">
              <w:rPr>
                <w:rFonts w:ascii="Calibri" w:hAnsi="Calibri" w:cs="Arial"/>
              </w:rPr>
              <w:t xml:space="preserve">*median [Interquartile range] RBCs: red blood cells, HCT: hematocrit, MCV: mean corpuscular volume, MCH: mean corpuscular hemoglobin, MCHC: mean corpuscular hemoglobin concentration. </w:t>
            </w:r>
          </w:p>
        </w:tc>
      </w:tr>
    </w:tbl>
    <w:p w14:paraId="51525AEA" w14:textId="77777777" w:rsidR="00BE4849" w:rsidRDefault="00BE4849" w:rsidP="00BE4849">
      <w:pPr>
        <w:tabs>
          <w:tab w:val="left" w:pos="7525"/>
        </w:tabs>
        <w:spacing w:line="360" w:lineRule="auto"/>
        <w:rPr>
          <w:rFonts w:ascii="Times New Roman" w:eastAsia="Calibri" w:hAnsi="Times New Roman" w:cs="Times New Roman"/>
          <w:b/>
          <w:bCs/>
          <w:sz w:val="24"/>
        </w:rPr>
      </w:pPr>
    </w:p>
    <w:bookmarkEnd w:id="22"/>
    <w:p w14:paraId="456ABDC9" w14:textId="77777777" w:rsidR="00BE4849" w:rsidRPr="000A734E" w:rsidRDefault="00BE4849" w:rsidP="00BE4849">
      <w:pPr>
        <w:jc w:val="both"/>
        <w:rPr>
          <w:rFonts w:ascii="Times New Roman" w:eastAsia="Calibri" w:hAnsi="Times New Roman" w:cs="Times New Roman"/>
          <w:sz w:val="24"/>
        </w:rPr>
      </w:pPr>
      <w:r w:rsidRPr="000A734E">
        <w:rPr>
          <w:rFonts w:ascii="Times New Roman" w:eastAsia="Calibri" w:hAnsi="Times New Roman" w:cs="Times New Roman"/>
          <w:sz w:val="24"/>
        </w:rPr>
        <w:t>Hematological investigations conducted at the time of the study revealed that all participating children exhibited significantly low hemoglobin (Hb) levels, with a mean of 6.72 ± 1.1.8 g/dL</w:t>
      </w:r>
      <w:r>
        <w:rPr>
          <w:rFonts w:ascii="Times New Roman" w:eastAsia="Calibri" w:hAnsi="Times New Roman" w:cs="Times New Roman"/>
          <w:sz w:val="24"/>
        </w:rPr>
        <w:t>,</w:t>
      </w:r>
      <w:r w:rsidRPr="000A734E">
        <w:rPr>
          <w:rFonts w:ascii="Times New Roman" w:eastAsia="Calibri" w:hAnsi="Times New Roman" w:cs="Times New Roman"/>
          <w:sz w:val="24"/>
        </w:rPr>
        <w:t xml:space="preserve"> ranging from 3.2</w:t>
      </w:r>
      <w:r w:rsidRPr="000A734E">
        <w:t xml:space="preserve"> gm/dL</w:t>
      </w:r>
      <w:r w:rsidRPr="000A734E">
        <w:rPr>
          <w:rFonts w:ascii="Times New Roman" w:eastAsia="Calibri" w:hAnsi="Times New Roman" w:cs="Times New Roman"/>
          <w:sz w:val="24"/>
        </w:rPr>
        <w:t xml:space="preserve"> to 10.8</w:t>
      </w:r>
      <w:r w:rsidRPr="000A734E">
        <w:t xml:space="preserve"> gm/dL</w:t>
      </w:r>
      <w:r w:rsidRPr="000A734E">
        <w:rPr>
          <w:rFonts w:ascii="Times New Roman" w:eastAsia="Calibri" w:hAnsi="Times New Roman" w:cs="Times New Roman"/>
          <w:sz w:val="24"/>
        </w:rPr>
        <w:t xml:space="preserve">. Their hematocrit (Hct) levels were also low, with a mean of 21.7 ± 6.1% (see Table 2). The mean corpuscular volume (MCV) of the studied sample was below 75 </w:t>
      </w:r>
      <w:proofErr w:type="spellStart"/>
      <w:r w:rsidRPr="000A734E">
        <w:rPr>
          <w:rFonts w:ascii="Times New Roman" w:eastAsia="Calibri" w:hAnsi="Times New Roman" w:cs="Times New Roman"/>
          <w:sz w:val="24"/>
        </w:rPr>
        <w:t>fL</w:t>
      </w:r>
      <w:proofErr w:type="spellEnd"/>
      <w:r w:rsidRPr="000A734E">
        <w:rPr>
          <w:rFonts w:ascii="Times New Roman" w:eastAsia="Calibri" w:hAnsi="Times New Roman" w:cs="Times New Roman"/>
          <w:sz w:val="24"/>
        </w:rPr>
        <w:t xml:space="preserve"> in nearly all cases, averaging </w:t>
      </w:r>
      <w:r>
        <w:rPr>
          <w:rFonts w:ascii="Times New Roman" w:eastAsia="Calibri" w:hAnsi="Times New Roman" w:cs="Times New Roman"/>
          <w:sz w:val="24"/>
        </w:rPr>
        <w:t>73.5±6.54</w:t>
      </w:r>
      <w:r w:rsidRPr="000A734E">
        <w:rPr>
          <w:rFonts w:ascii="Times New Roman" w:eastAsia="Calibri" w:hAnsi="Times New Roman" w:cs="Times New Roman"/>
          <w:sz w:val="24"/>
        </w:rPr>
        <w:t xml:space="preserve"> </w:t>
      </w:r>
      <w:proofErr w:type="spellStart"/>
      <w:r w:rsidRPr="000A734E">
        <w:rPr>
          <w:rFonts w:ascii="Times New Roman" w:eastAsia="Calibri" w:hAnsi="Times New Roman" w:cs="Times New Roman"/>
          <w:sz w:val="24"/>
        </w:rPr>
        <w:t>fL</w:t>
      </w:r>
      <w:proofErr w:type="spellEnd"/>
      <w:r w:rsidRPr="000A734E">
        <w:rPr>
          <w:rFonts w:ascii="Times New Roman" w:eastAsia="Calibri" w:hAnsi="Times New Roman" w:cs="Times New Roman"/>
          <w:sz w:val="24"/>
        </w:rPr>
        <w:t xml:space="preserve">, with a range of </w:t>
      </w:r>
      <w:r>
        <w:rPr>
          <w:rFonts w:ascii="Times New Roman" w:eastAsia="Calibri" w:hAnsi="Times New Roman" w:cs="Times New Roman"/>
          <w:sz w:val="24"/>
        </w:rPr>
        <w:t>58.5 to</w:t>
      </w:r>
      <w:r w:rsidRPr="000A734E">
        <w:rPr>
          <w:rFonts w:ascii="Times New Roman" w:eastAsia="Calibri" w:hAnsi="Times New Roman" w:cs="Times New Roman"/>
          <w:sz w:val="24"/>
        </w:rPr>
        <w:t xml:space="preserve"> 87.6 </w:t>
      </w:r>
      <w:proofErr w:type="spellStart"/>
      <w:r w:rsidRPr="000A734E">
        <w:rPr>
          <w:rFonts w:ascii="Times New Roman" w:eastAsia="Calibri" w:hAnsi="Times New Roman" w:cs="Times New Roman"/>
          <w:sz w:val="24"/>
        </w:rPr>
        <w:t>fL</w:t>
      </w:r>
      <w:proofErr w:type="spellEnd"/>
      <w:r w:rsidRPr="000A734E">
        <w:rPr>
          <w:rFonts w:ascii="Times New Roman" w:hAnsi="Times New Roman" w:cs="Times New Roman"/>
          <w:sz w:val="24"/>
          <w:rtl/>
        </w:rPr>
        <w:t>.</w:t>
      </w:r>
    </w:p>
    <w:p w14:paraId="2AFFA588" w14:textId="77777777" w:rsidR="00BE4849" w:rsidRPr="000A734E" w:rsidRDefault="00BE4849" w:rsidP="00BE4849">
      <w:pPr>
        <w:jc w:val="both"/>
        <w:rPr>
          <w:rFonts w:ascii="Times New Roman" w:eastAsia="Calibri" w:hAnsi="Times New Roman" w:cs="Times New Roman"/>
          <w:sz w:val="24"/>
        </w:rPr>
      </w:pPr>
      <w:r w:rsidRPr="000A734E">
        <w:rPr>
          <w:rFonts w:ascii="Times New Roman" w:eastAsia="Calibri" w:hAnsi="Times New Roman" w:cs="Times New Roman"/>
          <w:sz w:val="24"/>
        </w:rPr>
        <w:t>The median leukocyte count was 10.8 × 10³ /µL, ranging from 4.1 to 148× 10³ /µL; notably, 24 children (60%) had a white blood cell (WBC) count exceeding 10000 × 10³ /µL. The mean platelet count was recorded at 463.5± 281.4× 10³ /µL, with a range of [120 to 1.259 × 10³ /µL].</w:t>
      </w:r>
    </w:p>
    <w:p w14:paraId="1B112070" w14:textId="77777777" w:rsidR="00BE4849" w:rsidRPr="000A734E" w:rsidRDefault="00BE4849" w:rsidP="00BE4849">
      <w:pPr>
        <w:jc w:val="both"/>
        <w:rPr>
          <w:rFonts w:ascii="Calibri" w:eastAsia="Calibri" w:hAnsi="Calibri" w:cs="Arial"/>
        </w:rPr>
      </w:pPr>
    </w:p>
    <w:tbl>
      <w:tblPr>
        <w:tblStyle w:val="8"/>
        <w:tblpPr w:leftFromText="180" w:rightFromText="180" w:vertAnchor="page" w:horzAnchor="margin" w:tblpXSpec="center" w:tblpY="4337"/>
        <w:tblW w:w="10490" w:type="dxa"/>
        <w:tblLayout w:type="fixed"/>
        <w:tblLook w:val="04A0" w:firstRow="1" w:lastRow="0" w:firstColumn="1" w:lastColumn="0" w:noHBand="0" w:noVBand="1"/>
      </w:tblPr>
      <w:tblGrid>
        <w:gridCol w:w="1171"/>
        <w:gridCol w:w="1485"/>
        <w:gridCol w:w="1325"/>
        <w:gridCol w:w="1547"/>
        <w:gridCol w:w="1302"/>
        <w:gridCol w:w="1533"/>
        <w:gridCol w:w="1276"/>
        <w:gridCol w:w="851"/>
      </w:tblGrid>
      <w:tr w:rsidR="00BE4849" w:rsidRPr="000A734E" w14:paraId="338C6404" w14:textId="77777777" w:rsidTr="008650C0">
        <w:trPr>
          <w:trHeight w:val="512"/>
        </w:trPr>
        <w:tc>
          <w:tcPr>
            <w:tcW w:w="1171" w:type="dxa"/>
            <w:vMerge w:val="restart"/>
          </w:tcPr>
          <w:p w14:paraId="7B162573" w14:textId="77777777" w:rsidR="00BE4849" w:rsidRPr="000A734E" w:rsidRDefault="00BE4849" w:rsidP="008650C0">
            <w:pPr>
              <w:autoSpaceDE w:val="0"/>
              <w:autoSpaceDN w:val="0"/>
              <w:adjustRightInd w:val="0"/>
              <w:rPr>
                <w:rFonts w:ascii="Times New Roman" w:eastAsia="Calibri" w:hAnsi="Times New Roman" w:cs="Times New Roman"/>
                <w:sz w:val="24"/>
              </w:rPr>
            </w:pPr>
          </w:p>
          <w:p w14:paraId="1BA7B8E5" w14:textId="77777777" w:rsidR="00BE4849" w:rsidRPr="000A734E" w:rsidRDefault="00BE4849" w:rsidP="008650C0">
            <w:pPr>
              <w:autoSpaceDE w:val="0"/>
              <w:autoSpaceDN w:val="0"/>
              <w:adjustRightInd w:val="0"/>
              <w:rPr>
                <w:rFonts w:ascii="Times New Roman" w:eastAsia="Calibri" w:hAnsi="Times New Roman" w:cs="Times New Roman"/>
                <w:sz w:val="24"/>
              </w:rPr>
            </w:pPr>
            <w:r w:rsidRPr="000A734E">
              <w:rPr>
                <w:rFonts w:ascii="Times New Roman" w:eastAsia="Calibri" w:hAnsi="Times New Roman" w:cs="Times New Roman"/>
                <w:sz w:val="24"/>
              </w:rPr>
              <w:t>Parameter</w:t>
            </w:r>
          </w:p>
        </w:tc>
        <w:tc>
          <w:tcPr>
            <w:tcW w:w="2810" w:type="dxa"/>
            <w:gridSpan w:val="2"/>
          </w:tcPr>
          <w:p w14:paraId="0C6CF672"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Male</w:t>
            </w:r>
          </w:p>
          <w:p w14:paraId="4B37314E"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(n = 19)</w:t>
            </w:r>
          </w:p>
        </w:tc>
        <w:tc>
          <w:tcPr>
            <w:tcW w:w="2849" w:type="dxa"/>
            <w:gridSpan w:val="2"/>
          </w:tcPr>
          <w:p w14:paraId="1F6B5887"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Female</w:t>
            </w:r>
          </w:p>
          <w:p w14:paraId="742FE8B0"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(n = 21)</w:t>
            </w:r>
          </w:p>
        </w:tc>
        <w:tc>
          <w:tcPr>
            <w:tcW w:w="2809" w:type="dxa"/>
            <w:gridSpan w:val="2"/>
          </w:tcPr>
          <w:p w14:paraId="6CFEAA3C"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Total</w:t>
            </w:r>
          </w:p>
          <w:p w14:paraId="00D5BB35"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(n = 40)</w:t>
            </w:r>
          </w:p>
        </w:tc>
        <w:tc>
          <w:tcPr>
            <w:tcW w:w="851" w:type="dxa"/>
            <w:vMerge w:val="restart"/>
          </w:tcPr>
          <w:p w14:paraId="227B9A07"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p w14:paraId="7AD0B3BD"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p-value</w:t>
            </w:r>
          </w:p>
        </w:tc>
      </w:tr>
      <w:tr w:rsidR="00BE4849" w:rsidRPr="000A734E" w14:paraId="05A280DB" w14:textId="77777777" w:rsidTr="008650C0">
        <w:trPr>
          <w:trHeight w:val="512"/>
        </w:trPr>
        <w:tc>
          <w:tcPr>
            <w:tcW w:w="1171" w:type="dxa"/>
            <w:vMerge/>
          </w:tcPr>
          <w:p w14:paraId="2BE5C38C" w14:textId="77777777" w:rsidR="00BE4849" w:rsidRPr="000A734E" w:rsidRDefault="00BE4849" w:rsidP="008650C0">
            <w:pPr>
              <w:autoSpaceDE w:val="0"/>
              <w:autoSpaceDN w:val="0"/>
              <w:adjustRightInd w:val="0"/>
              <w:rPr>
                <w:rFonts w:ascii="Times New Roman" w:eastAsia="Calibri" w:hAnsi="Times New Roman" w:cs="Times New Roman"/>
                <w:sz w:val="24"/>
              </w:rPr>
            </w:pPr>
          </w:p>
        </w:tc>
        <w:tc>
          <w:tcPr>
            <w:tcW w:w="1485" w:type="dxa"/>
          </w:tcPr>
          <w:p w14:paraId="288BA063"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X ± SD</w:t>
            </w:r>
          </w:p>
        </w:tc>
        <w:tc>
          <w:tcPr>
            <w:tcW w:w="1325" w:type="dxa"/>
          </w:tcPr>
          <w:p w14:paraId="0F94B73B"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Range</w:t>
            </w:r>
          </w:p>
        </w:tc>
        <w:tc>
          <w:tcPr>
            <w:tcW w:w="1547" w:type="dxa"/>
          </w:tcPr>
          <w:p w14:paraId="57460DED"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X ± SD</w:t>
            </w:r>
          </w:p>
        </w:tc>
        <w:tc>
          <w:tcPr>
            <w:tcW w:w="1302" w:type="dxa"/>
          </w:tcPr>
          <w:p w14:paraId="35911F7B"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Range</w:t>
            </w:r>
          </w:p>
        </w:tc>
        <w:tc>
          <w:tcPr>
            <w:tcW w:w="1533" w:type="dxa"/>
          </w:tcPr>
          <w:p w14:paraId="1B71781E"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X ± SD</w:t>
            </w:r>
          </w:p>
        </w:tc>
        <w:tc>
          <w:tcPr>
            <w:tcW w:w="1276" w:type="dxa"/>
          </w:tcPr>
          <w:p w14:paraId="6B19E6D8"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Range</w:t>
            </w:r>
          </w:p>
        </w:tc>
        <w:tc>
          <w:tcPr>
            <w:tcW w:w="851" w:type="dxa"/>
            <w:vMerge/>
          </w:tcPr>
          <w:p w14:paraId="5BB9E567"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r>
      <w:tr w:rsidR="00BE4849" w:rsidRPr="000A734E" w14:paraId="55479FF5" w14:textId="77777777" w:rsidTr="008650C0">
        <w:trPr>
          <w:trHeight w:val="762"/>
        </w:trPr>
        <w:tc>
          <w:tcPr>
            <w:tcW w:w="1171" w:type="dxa"/>
          </w:tcPr>
          <w:p w14:paraId="4635FC45" w14:textId="77777777" w:rsidR="00BE4849" w:rsidRPr="00557193" w:rsidRDefault="00BE4849" w:rsidP="008650C0">
            <w:pPr>
              <w:autoSpaceDE w:val="0"/>
              <w:autoSpaceDN w:val="0"/>
              <w:adjustRightInd w:val="0"/>
              <w:jc w:val="center"/>
              <w:rPr>
                <w:rFonts w:ascii="Times New Roman" w:eastAsia="Calibri" w:hAnsi="Times New Roman" w:cs="Times New Roman"/>
                <w:sz w:val="24"/>
              </w:rPr>
            </w:pPr>
            <w:r w:rsidRPr="00557193">
              <w:rPr>
                <w:rFonts w:ascii="Times New Roman" w:eastAsia="Calibri" w:hAnsi="Times New Roman" w:cs="Times New Roman"/>
                <w:sz w:val="24"/>
              </w:rPr>
              <w:t>WBC</w:t>
            </w:r>
          </w:p>
          <w:p w14:paraId="201BAB13" w14:textId="77777777" w:rsidR="00BE4849" w:rsidRPr="00557193" w:rsidRDefault="00BE4849" w:rsidP="008650C0">
            <w:pPr>
              <w:autoSpaceDE w:val="0"/>
              <w:autoSpaceDN w:val="0"/>
              <w:adjustRightInd w:val="0"/>
              <w:jc w:val="center"/>
              <w:rPr>
                <w:rFonts w:ascii="Times New Roman" w:eastAsia="Calibri" w:hAnsi="Times New Roman" w:cs="Times New Roman"/>
                <w:sz w:val="24"/>
              </w:rPr>
            </w:pPr>
            <w:r w:rsidRPr="00557193">
              <w:rPr>
                <w:rFonts w:ascii="Times New Roman" w:eastAsia="Calibri" w:hAnsi="Times New Roman" w:cs="Times New Roman"/>
                <w:sz w:val="24"/>
              </w:rPr>
              <w:t>×103 /µL</w:t>
            </w:r>
          </w:p>
        </w:tc>
        <w:tc>
          <w:tcPr>
            <w:tcW w:w="1485" w:type="dxa"/>
          </w:tcPr>
          <w:p w14:paraId="607EC0BB" w14:textId="77777777" w:rsidR="00BE4849" w:rsidRPr="00557193" w:rsidRDefault="00BE4849" w:rsidP="008650C0">
            <w:pPr>
              <w:jc w:val="right"/>
              <w:rPr>
                <w:rFonts w:ascii="Times New Roman" w:eastAsia="Calibri" w:hAnsi="Times New Roman" w:cs="Times New Roman"/>
                <w:sz w:val="24"/>
                <w:rtl/>
              </w:rPr>
            </w:pPr>
            <w:r w:rsidRPr="00557193">
              <w:rPr>
                <w:rFonts w:ascii="Times New Roman" w:eastAsia="Calibri" w:hAnsi="Times New Roman" w:cs="Times New Roman"/>
                <w:sz w:val="24"/>
              </w:rPr>
              <w:t>29.38±40.4</w:t>
            </w:r>
          </w:p>
          <w:p w14:paraId="79B4B50D" w14:textId="77777777" w:rsidR="00BE4849" w:rsidRPr="00557193" w:rsidRDefault="00BE4849" w:rsidP="008650C0">
            <w:pPr>
              <w:autoSpaceDE w:val="0"/>
              <w:autoSpaceDN w:val="0"/>
              <w:adjustRightInd w:val="0"/>
              <w:jc w:val="center"/>
              <w:rPr>
                <w:rFonts w:ascii="Times New Roman" w:eastAsia="Calibri" w:hAnsi="Times New Roman" w:cs="Times New Roman"/>
                <w:sz w:val="24"/>
              </w:rPr>
            </w:pPr>
          </w:p>
        </w:tc>
        <w:tc>
          <w:tcPr>
            <w:tcW w:w="1325" w:type="dxa"/>
          </w:tcPr>
          <w:p w14:paraId="24929BE0" w14:textId="77777777" w:rsidR="00BE4849" w:rsidRPr="00557193" w:rsidRDefault="00BE4849" w:rsidP="008650C0">
            <w:pPr>
              <w:jc w:val="right"/>
              <w:rPr>
                <w:rFonts w:ascii="Times New Roman" w:eastAsia="Calibri" w:hAnsi="Times New Roman" w:cs="Times New Roman"/>
                <w:sz w:val="24"/>
              </w:rPr>
            </w:pPr>
            <w:r w:rsidRPr="00557193">
              <w:rPr>
                <w:rFonts w:ascii="Times New Roman" w:eastAsia="Calibri" w:hAnsi="Times New Roman" w:cs="Times New Roman"/>
                <w:sz w:val="24"/>
              </w:rPr>
              <w:t>4.100-148.000</w:t>
            </w:r>
          </w:p>
          <w:p w14:paraId="2772A66F" w14:textId="77777777" w:rsidR="00BE4849" w:rsidRPr="00557193" w:rsidRDefault="00BE4849" w:rsidP="008650C0">
            <w:pPr>
              <w:autoSpaceDE w:val="0"/>
              <w:autoSpaceDN w:val="0"/>
              <w:adjustRightInd w:val="0"/>
              <w:jc w:val="center"/>
              <w:rPr>
                <w:rFonts w:ascii="Times New Roman" w:eastAsia="Calibri" w:hAnsi="Times New Roman" w:cs="Times New Roman"/>
                <w:sz w:val="24"/>
              </w:rPr>
            </w:pPr>
          </w:p>
        </w:tc>
        <w:tc>
          <w:tcPr>
            <w:tcW w:w="1547" w:type="dxa"/>
          </w:tcPr>
          <w:p w14:paraId="7467C3CB" w14:textId="77777777" w:rsidR="00BE4849" w:rsidRPr="00557193" w:rsidRDefault="00BE4849" w:rsidP="008650C0">
            <w:pPr>
              <w:autoSpaceDE w:val="0"/>
              <w:autoSpaceDN w:val="0"/>
              <w:adjustRightInd w:val="0"/>
              <w:rPr>
                <w:rFonts w:ascii="Times New Roman" w:eastAsia="Calibri" w:hAnsi="Times New Roman" w:cs="Times New Roman"/>
                <w:sz w:val="24"/>
              </w:rPr>
            </w:pPr>
            <w:r w:rsidRPr="00557193">
              <w:rPr>
                <w:rFonts w:ascii="Times New Roman" w:eastAsia="Calibri" w:hAnsi="Times New Roman" w:cs="Times New Roman"/>
                <w:sz w:val="24"/>
              </w:rPr>
              <w:t>29.90 ±41.3</w:t>
            </w:r>
          </w:p>
        </w:tc>
        <w:tc>
          <w:tcPr>
            <w:tcW w:w="1302" w:type="dxa"/>
          </w:tcPr>
          <w:p w14:paraId="4BCF29EC" w14:textId="77777777" w:rsidR="00BE4849" w:rsidRPr="00557193" w:rsidRDefault="00BE4849" w:rsidP="008650C0">
            <w:pPr>
              <w:jc w:val="right"/>
              <w:rPr>
                <w:rFonts w:ascii="Times New Roman" w:eastAsia="Calibri" w:hAnsi="Times New Roman" w:cs="Times New Roman"/>
                <w:sz w:val="24"/>
                <w:rtl/>
              </w:rPr>
            </w:pPr>
            <w:r w:rsidRPr="00557193">
              <w:rPr>
                <w:rFonts w:ascii="Times New Roman" w:eastAsia="Calibri" w:hAnsi="Times New Roman" w:cs="Times New Roman"/>
                <w:sz w:val="24"/>
              </w:rPr>
              <w:t>4.100-143.000</w:t>
            </w:r>
          </w:p>
          <w:p w14:paraId="65882138" w14:textId="77777777" w:rsidR="00BE4849" w:rsidRPr="00557193" w:rsidRDefault="00BE4849" w:rsidP="008650C0">
            <w:pPr>
              <w:autoSpaceDE w:val="0"/>
              <w:autoSpaceDN w:val="0"/>
              <w:adjustRightInd w:val="0"/>
              <w:jc w:val="center"/>
              <w:rPr>
                <w:rFonts w:ascii="Times New Roman" w:eastAsia="Calibri" w:hAnsi="Times New Roman" w:cs="Times New Roman"/>
                <w:sz w:val="24"/>
              </w:rPr>
            </w:pPr>
          </w:p>
        </w:tc>
        <w:tc>
          <w:tcPr>
            <w:tcW w:w="1533" w:type="dxa"/>
          </w:tcPr>
          <w:p w14:paraId="326F3D0F" w14:textId="77777777" w:rsidR="00BE4849" w:rsidRPr="00557193" w:rsidRDefault="00BE4849" w:rsidP="008650C0">
            <w:pPr>
              <w:jc w:val="right"/>
              <w:rPr>
                <w:rFonts w:ascii="Times New Roman" w:eastAsia="Calibri" w:hAnsi="Times New Roman" w:cs="Times New Roman"/>
                <w:sz w:val="24"/>
                <w:rtl/>
              </w:rPr>
            </w:pPr>
            <w:r w:rsidRPr="00557193">
              <w:rPr>
                <w:rFonts w:ascii="Times New Roman" w:eastAsia="Calibri" w:hAnsi="Times New Roman" w:cs="Times New Roman"/>
                <w:sz w:val="24"/>
              </w:rPr>
              <w:t>29.66±40.3</w:t>
            </w:r>
          </w:p>
          <w:p w14:paraId="70862883" w14:textId="77777777" w:rsidR="00BE4849" w:rsidRPr="00557193" w:rsidRDefault="00BE4849" w:rsidP="008650C0">
            <w:pPr>
              <w:autoSpaceDE w:val="0"/>
              <w:autoSpaceDN w:val="0"/>
              <w:adjustRightInd w:val="0"/>
              <w:jc w:val="center"/>
              <w:rPr>
                <w:rFonts w:ascii="Times New Roman" w:eastAsia="Calibri" w:hAnsi="Times New Roman" w:cs="Times New Roman"/>
                <w:sz w:val="24"/>
              </w:rPr>
            </w:pPr>
          </w:p>
        </w:tc>
        <w:tc>
          <w:tcPr>
            <w:tcW w:w="1276" w:type="dxa"/>
          </w:tcPr>
          <w:p w14:paraId="65CD0F0A" w14:textId="77777777" w:rsidR="00BE4849" w:rsidRPr="00557193" w:rsidRDefault="00BE4849" w:rsidP="008650C0">
            <w:pPr>
              <w:jc w:val="center"/>
              <w:rPr>
                <w:rFonts w:ascii="Times New Roman" w:eastAsia="Calibri" w:hAnsi="Times New Roman" w:cs="Times New Roman"/>
                <w:sz w:val="24"/>
                <w:rtl/>
              </w:rPr>
            </w:pPr>
            <w:r w:rsidRPr="00557193">
              <w:rPr>
                <w:rFonts w:ascii="Times New Roman" w:eastAsia="Calibri" w:hAnsi="Times New Roman" w:cs="Times New Roman"/>
                <w:sz w:val="24"/>
              </w:rPr>
              <w:t>4.100-148.000</w:t>
            </w:r>
          </w:p>
          <w:p w14:paraId="06C6F0BE" w14:textId="77777777" w:rsidR="00BE4849" w:rsidRPr="00557193" w:rsidRDefault="00BE4849" w:rsidP="008650C0">
            <w:pPr>
              <w:autoSpaceDE w:val="0"/>
              <w:autoSpaceDN w:val="0"/>
              <w:adjustRightInd w:val="0"/>
              <w:jc w:val="center"/>
              <w:rPr>
                <w:rFonts w:ascii="Times New Roman" w:eastAsia="Calibri" w:hAnsi="Times New Roman" w:cs="Times New Roman"/>
                <w:sz w:val="24"/>
              </w:rPr>
            </w:pPr>
          </w:p>
        </w:tc>
        <w:tc>
          <w:tcPr>
            <w:tcW w:w="851" w:type="dxa"/>
          </w:tcPr>
          <w:p w14:paraId="190E510A" w14:textId="77777777" w:rsidR="00BE4849" w:rsidRPr="00557193" w:rsidRDefault="00BE4849" w:rsidP="008650C0">
            <w:pPr>
              <w:autoSpaceDE w:val="0"/>
              <w:autoSpaceDN w:val="0"/>
              <w:adjustRightInd w:val="0"/>
              <w:jc w:val="center"/>
              <w:rPr>
                <w:rFonts w:ascii="Times New Roman" w:eastAsia="Calibri" w:hAnsi="Times New Roman" w:cs="Times New Roman"/>
                <w:sz w:val="24"/>
              </w:rPr>
            </w:pPr>
            <w:r w:rsidRPr="00557193">
              <w:rPr>
                <w:rFonts w:ascii="Times New Roman" w:eastAsia="Calibri" w:hAnsi="Times New Roman" w:cs="Times New Roman"/>
                <w:sz w:val="24"/>
              </w:rPr>
              <w:t>0.324</w:t>
            </w:r>
          </w:p>
        </w:tc>
      </w:tr>
      <w:tr w:rsidR="00BE4849" w:rsidRPr="000A734E" w14:paraId="0F3FDD5D" w14:textId="77777777" w:rsidTr="008650C0">
        <w:trPr>
          <w:trHeight w:val="761"/>
        </w:trPr>
        <w:tc>
          <w:tcPr>
            <w:tcW w:w="1171" w:type="dxa"/>
          </w:tcPr>
          <w:p w14:paraId="37D0641A"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RBC</w:t>
            </w:r>
          </w:p>
        </w:tc>
        <w:tc>
          <w:tcPr>
            <w:tcW w:w="1485" w:type="dxa"/>
          </w:tcPr>
          <w:p w14:paraId="509D1B14" w14:textId="77777777" w:rsidR="00BE4849" w:rsidRPr="000A734E" w:rsidRDefault="00BE4849" w:rsidP="008650C0">
            <w:pPr>
              <w:jc w:val="center"/>
              <w:rPr>
                <w:rFonts w:ascii="Times New Roman" w:eastAsia="Calibri" w:hAnsi="Times New Roman" w:cs="Times New Roman"/>
                <w:sz w:val="24"/>
                <w:rtl/>
              </w:rPr>
            </w:pPr>
            <w:r w:rsidRPr="000A734E">
              <w:rPr>
                <w:rFonts w:ascii="Times New Roman" w:eastAsia="Calibri" w:hAnsi="Times New Roman" w:cs="Times New Roman"/>
                <w:sz w:val="24"/>
              </w:rPr>
              <w:t>2.89±0.44</w:t>
            </w:r>
          </w:p>
          <w:p w14:paraId="36249BBE"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325" w:type="dxa"/>
          </w:tcPr>
          <w:p w14:paraId="35779AD2" w14:textId="77777777" w:rsidR="00BE4849" w:rsidRPr="000A734E" w:rsidRDefault="00BE4849" w:rsidP="008650C0">
            <w:pPr>
              <w:jc w:val="center"/>
              <w:rPr>
                <w:rFonts w:ascii="Times New Roman" w:eastAsia="Calibri" w:hAnsi="Times New Roman" w:cs="Times New Roman"/>
                <w:sz w:val="24"/>
                <w:rtl/>
              </w:rPr>
            </w:pPr>
            <w:r w:rsidRPr="000A734E">
              <w:rPr>
                <w:rFonts w:ascii="Times New Roman" w:eastAsia="Calibri" w:hAnsi="Times New Roman" w:cs="Times New Roman"/>
                <w:sz w:val="24"/>
              </w:rPr>
              <w:t>2.0-3.6</w:t>
            </w:r>
          </w:p>
          <w:p w14:paraId="487B391D"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47" w:type="dxa"/>
          </w:tcPr>
          <w:p w14:paraId="3A4AEAAC" w14:textId="77777777" w:rsidR="00BE4849" w:rsidRPr="000A734E" w:rsidRDefault="00BE4849" w:rsidP="008650C0">
            <w:pPr>
              <w:jc w:val="right"/>
              <w:rPr>
                <w:rFonts w:ascii="Times New Roman" w:eastAsia="Calibri" w:hAnsi="Times New Roman" w:cs="Times New Roman"/>
                <w:sz w:val="24"/>
              </w:rPr>
            </w:pPr>
            <w:r w:rsidRPr="000A734E">
              <w:rPr>
                <w:rFonts w:ascii="Times New Roman" w:eastAsia="Calibri" w:hAnsi="Times New Roman" w:cs="Times New Roman"/>
                <w:sz w:val="24"/>
              </w:rPr>
              <w:t>2.87±0.87</w:t>
            </w:r>
          </w:p>
          <w:p w14:paraId="671999DB"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302" w:type="dxa"/>
          </w:tcPr>
          <w:p w14:paraId="5C304A70"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1.6-4.8</w:t>
            </w:r>
          </w:p>
          <w:p w14:paraId="43A48966"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33" w:type="dxa"/>
          </w:tcPr>
          <w:p w14:paraId="1A37D850" w14:textId="77777777" w:rsidR="00BE4849" w:rsidRPr="000A734E" w:rsidRDefault="00BE4849" w:rsidP="008650C0">
            <w:pPr>
              <w:jc w:val="right"/>
              <w:rPr>
                <w:rFonts w:ascii="Times New Roman" w:eastAsia="Calibri" w:hAnsi="Times New Roman" w:cs="Times New Roman"/>
                <w:sz w:val="24"/>
                <w:rtl/>
              </w:rPr>
            </w:pPr>
            <w:r w:rsidRPr="000A734E">
              <w:rPr>
                <w:rFonts w:ascii="Times New Roman" w:eastAsia="Calibri" w:hAnsi="Times New Roman" w:cs="Times New Roman"/>
                <w:sz w:val="24"/>
              </w:rPr>
              <w:t>2.88±0.7</w:t>
            </w:r>
          </w:p>
          <w:p w14:paraId="6B7228C3" w14:textId="77777777" w:rsidR="00BE4849" w:rsidRPr="000A734E" w:rsidRDefault="00BE4849" w:rsidP="008650C0">
            <w:pPr>
              <w:jc w:val="center"/>
              <w:rPr>
                <w:rFonts w:ascii="Times New Roman" w:eastAsia="Calibri" w:hAnsi="Times New Roman" w:cs="Times New Roman"/>
                <w:sz w:val="24"/>
              </w:rPr>
            </w:pPr>
          </w:p>
        </w:tc>
        <w:tc>
          <w:tcPr>
            <w:tcW w:w="1276" w:type="dxa"/>
          </w:tcPr>
          <w:p w14:paraId="1592A76B" w14:textId="77777777" w:rsidR="00BE4849" w:rsidRPr="000A734E" w:rsidRDefault="00BE4849" w:rsidP="008650C0">
            <w:pPr>
              <w:jc w:val="center"/>
              <w:rPr>
                <w:rFonts w:ascii="Times New Roman" w:eastAsia="Calibri" w:hAnsi="Times New Roman" w:cs="Times New Roman"/>
                <w:sz w:val="24"/>
                <w:rtl/>
              </w:rPr>
            </w:pPr>
            <w:r w:rsidRPr="000A734E">
              <w:rPr>
                <w:rFonts w:ascii="Times New Roman" w:eastAsia="Calibri" w:hAnsi="Times New Roman" w:cs="Times New Roman"/>
                <w:sz w:val="24"/>
              </w:rPr>
              <w:t>1.58-4.8</w:t>
            </w:r>
          </w:p>
          <w:p w14:paraId="362D80F9"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851" w:type="dxa"/>
          </w:tcPr>
          <w:p w14:paraId="0AB9A6C7" w14:textId="77777777" w:rsidR="00BE4849" w:rsidRPr="000A734E" w:rsidRDefault="00BE4849" w:rsidP="008650C0">
            <w:pPr>
              <w:autoSpaceDE w:val="0"/>
              <w:autoSpaceDN w:val="0"/>
              <w:adjustRightInd w:val="0"/>
              <w:jc w:val="center"/>
              <w:rPr>
                <w:rFonts w:ascii="Times New Roman" w:eastAsia="Calibri" w:hAnsi="Times New Roman" w:cs="Times New Roman"/>
                <w:b/>
                <w:bCs/>
                <w:sz w:val="24"/>
              </w:rPr>
            </w:pPr>
            <w:r w:rsidRPr="000A734E">
              <w:rPr>
                <w:rFonts w:ascii="Times New Roman" w:eastAsia="Calibri" w:hAnsi="Times New Roman" w:cs="Times New Roman"/>
                <w:b/>
                <w:bCs/>
                <w:sz w:val="24"/>
              </w:rPr>
              <w:t>0.000*</w:t>
            </w:r>
          </w:p>
        </w:tc>
      </w:tr>
      <w:tr w:rsidR="00BE4849" w:rsidRPr="000A734E" w14:paraId="0BBB3EAB" w14:textId="77777777" w:rsidTr="008650C0">
        <w:trPr>
          <w:trHeight w:val="761"/>
        </w:trPr>
        <w:tc>
          <w:tcPr>
            <w:tcW w:w="1171" w:type="dxa"/>
          </w:tcPr>
          <w:p w14:paraId="201BEDB0" w14:textId="77777777" w:rsidR="00BE4849" w:rsidRPr="000A734E" w:rsidRDefault="00BE4849" w:rsidP="008650C0">
            <w:pPr>
              <w:autoSpaceDE w:val="0"/>
              <w:autoSpaceDN w:val="0"/>
              <w:adjustRightInd w:val="0"/>
              <w:jc w:val="center"/>
              <w:rPr>
                <w:rFonts w:ascii="Calibri" w:eastAsia="Calibri" w:hAnsi="Calibri" w:cs="Arial"/>
                <w:spacing w:val="-2"/>
                <w:sz w:val="24"/>
              </w:rPr>
            </w:pPr>
            <w:r w:rsidRPr="000A734E">
              <w:rPr>
                <w:rFonts w:ascii="Times New Roman" w:eastAsia="Calibri" w:hAnsi="Times New Roman" w:cs="Times New Roman"/>
                <w:sz w:val="24"/>
              </w:rPr>
              <w:t>HBG</w:t>
            </w:r>
          </w:p>
          <w:p w14:paraId="6A7A358D"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2"/>
                <w:sz w:val="24"/>
              </w:rPr>
              <w:t>(gm/dl)</w:t>
            </w:r>
          </w:p>
        </w:tc>
        <w:tc>
          <w:tcPr>
            <w:tcW w:w="1485" w:type="dxa"/>
          </w:tcPr>
          <w:p w14:paraId="6D656066"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6.89±1.47</w:t>
            </w:r>
          </w:p>
          <w:p w14:paraId="653024C2" w14:textId="77777777" w:rsidR="00BE4849" w:rsidRPr="000A734E" w:rsidRDefault="00BE4849" w:rsidP="008650C0">
            <w:pPr>
              <w:jc w:val="center"/>
              <w:rPr>
                <w:rFonts w:ascii="Times New Roman" w:eastAsia="Calibri" w:hAnsi="Times New Roman" w:cs="Times New Roman"/>
                <w:sz w:val="24"/>
              </w:rPr>
            </w:pPr>
          </w:p>
        </w:tc>
        <w:tc>
          <w:tcPr>
            <w:tcW w:w="1325" w:type="dxa"/>
          </w:tcPr>
          <w:p w14:paraId="02FF227D"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4.8-10.8</w:t>
            </w:r>
          </w:p>
          <w:p w14:paraId="10DABA21" w14:textId="77777777" w:rsidR="00BE4849" w:rsidRPr="000A734E" w:rsidRDefault="00BE4849" w:rsidP="008650C0">
            <w:pPr>
              <w:jc w:val="center"/>
              <w:rPr>
                <w:rFonts w:ascii="Times New Roman" w:eastAsia="Calibri" w:hAnsi="Times New Roman" w:cs="Times New Roman"/>
                <w:sz w:val="24"/>
              </w:rPr>
            </w:pPr>
          </w:p>
        </w:tc>
        <w:tc>
          <w:tcPr>
            <w:tcW w:w="1547" w:type="dxa"/>
          </w:tcPr>
          <w:p w14:paraId="3223379E" w14:textId="77777777" w:rsidR="00BE4849" w:rsidRPr="000A734E" w:rsidRDefault="00BE4849" w:rsidP="008650C0">
            <w:pPr>
              <w:jc w:val="right"/>
              <w:rPr>
                <w:rFonts w:ascii="Times New Roman" w:eastAsia="Calibri" w:hAnsi="Times New Roman" w:cs="Times New Roman"/>
                <w:sz w:val="24"/>
              </w:rPr>
            </w:pPr>
            <w:r w:rsidRPr="000A734E">
              <w:rPr>
                <w:rFonts w:ascii="Times New Roman" w:eastAsia="Calibri" w:hAnsi="Times New Roman" w:cs="Times New Roman"/>
                <w:sz w:val="24"/>
              </w:rPr>
              <w:t>6.57±2.029</w:t>
            </w:r>
          </w:p>
          <w:p w14:paraId="0C1978A6"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302" w:type="dxa"/>
          </w:tcPr>
          <w:p w14:paraId="48364063"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3.2-10.2</w:t>
            </w:r>
          </w:p>
          <w:p w14:paraId="6450E5C3"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33" w:type="dxa"/>
          </w:tcPr>
          <w:p w14:paraId="0E8B54D7" w14:textId="77777777" w:rsidR="00BE4849" w:rsidRPr="000A734E" w:rsidRDefault="00BE4849" w:rsidP="008650C0">
            <w:pPr>
              <w:jc w:val="right"/>
              <w:rPr>
                <w:rFonts w:ascii="Times New Roman" w:eastAsia="Calibri" w:hAnsi="Times New Roman" w:cs="Times New Roman"/>
                <w:sz w:val="24"/>
                <w:rtl/>
              </w:rPr>
            </w:pPr>
            <w:r w:rsidRPr="000A734E">
              <w:rPr>
                <w:rFonts w:ascii="Times New Roman" w:eastAsia="Calibri" w:hAnsi="Times New Roman" w:cs="Times New Roman"/>
                <w:sz w:val="24"/>
              </w:rPr>
              <w:t>6.72±1.77</w:t>
            </w:r>
          </w:p>
          <w:p w14:paraId="12427E45"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276" w:type="dxa"/>
          </w:tcPr>
          <w:p w14:paraId="1BF2DF75" w14:textId="77777777" w:rsidR="00BE4849" w:rsidRPr="000A734E" w:rsidRDefault="00BE4849" w:rsidP="008650C0">
            <w:pPr>
              <w:jc w:val="center"/>
              <w:rPr>
                <w:rFonts w:ascii="Times New Roman" w:eastAsia="Calibri" w:hAnsi="Times New Roman" w:cs="Times New Roman"/>
                <w:sz w:val="24"/>
                <w:rtl/>
              </w:rPr>
            </w:pPr>
            <w:r w:rsidRPr="000A734E">
              <w:rPr>
                <w:rFonts w:ascii="Times New Roman" w:eastAsia="Calibri" w:hAnsi="Times New Roman" w:cs="Times New Roman"/>
                <w:sz w:val="24"/>
              </w:rPr>
              <w:t>3.2-10.8</w:t>
            </w:r>
          </w:p>
          <w:p w14:paraId="4F733C6E"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851" w:type="dxa"/>
          </w:tcPr>
          <w:p w14:paraId="12E23941"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0.85</w:t>
            </w:r>
          </w:p>
        </w:tc>
      </w:tr>
      <w:tr w:rsidR="00BE4849" w:rsidRPr="000A734E" w14:paraId="69EBCD84" w14:textId="77777777" w:rsidTr="008650C0">
        <w:trPr>
          <w:trHeight w:val="761"/>
        </w:trPr>
        <w:tc>
          <w:tcPr>
            <w:tcW w:w="1171" w:type="dxa"/>
          </w:tcPr>
          <w:p w14:paraId="295FE79C"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HCT</w:t>
            </w:r>
          </w:p>
          <w:p w14:paraId="5F451C11"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5"/>
                <w:sz w:val="24"/>
              </w:rPr>
              <w:t>(%)</w:t>
            </w:r>
          </w:p>
        </w:tc>
        <w:tc>
          <w:tcPr>
            <w:tcW w:w="1485" w:type="dxa"/>
          </w:tcPr>
          <w:p w14:paraId="7952B48E"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22±4.6</w:t>
            </w:r>
          </w:p>
          <w:p w14:paraId="74E59981"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325" w:type="dxa"/>
          </w:tcPr>
          <w:p w14:paraId="273ED5B0"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15.3-33.0</w:t>
            </w:r>
          </w:p>
          <w:p w14:paraId="3098831A"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47" w:type="dxa"/>
          </w:tcPr>
          <w:p w14:paraId="65EA3ED4" w14:textId="77777777" w:rsidR="00BE4849" w:rsidRPr="000A734E" w:rsidRDefault="00BE4849" w:rsidP="008650C0">
            <w:pPr>
              <w:jc w:val="right"/>
              <w:rPr>
                <w:rFonts w:ascii="Times New Roman" w:eastAsia="Calibri" w:hAnsi="Times New Roman" w:cs="Times New Roman"/>
                <w:sz w:val="24"/>
              </w:rPr>
            </w:pPr>
            <w:r w:rsidRPr="000A734E">
              <w:rPr>
                <w:rFonts w:ascii="Times New Roman" w:eastAsia="Calibri" w:hAnsi="Times New Roman" w:cs="Times New Roman"/>
                <w:sz w:val="24"/>
              </w:rPr>
              <w:t>21.47±7.26</w:t>
            </w:r>
          </w:p>
          <w:p w14:paraId="667948AB"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302" w:type="dxa"/>
          </w:tcPr>
          <w:p w14:paraId="55E5B969" w14:textId="77777777" w:rsidR="00BE4849" w:rsidRPr="000A734E" w:rsidRDefault="00BE4849" w:rsidP="008650C0">
            <w:pPr>
              <w:jc w:val="center"/>
              <w:rPr>
                <w:rFonts w:ascii="Times New Roman" w:eastAsia="Calibri" w:hAnsi="Times New Roman" w:cs="Times New Roman"/>
                <w:sz w:val="24"/>
                <w:rtl/>
              </w:rPr>
            </w:pPr>
            <w:r w:rsidRPr="000A734E">
              <w:rPr>
                <w:rFonts w:ascii="Times New Roman" w:eastAsia="Calibri" w:hAnsi="Times New Roman" w:cs="Times New Roman"/>
                <w:sz w:val="24"/>
              </w:rPr>
              <w:t>11.0-39.9</w:t>
            </w:r>
          </w:p>
          <w:p w14:paraId="6906E38F"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33" w:type="dxa"/>
          </w:tcPr>
          <w:p w14:paraId="4854CCCD" w14:textId="77777777" w:rsidR="00BE4849" w:rsidRPr="000A734E" w:rsidRDefault="00BE4849" w:rsidP="008650C0">
            <w:pPr>
              <w:jc w:val="right"/>
              <w:rPr>
                <w:rFonts w:ascii="Times New Roman" w:eastAsia="Calibri" w:hAnsi="Times New Roman" w:cs="Times New Roman"/>
                <w:sz w:val="24"/>
              </w:rPr>
            </w:pPr>
            <w:r w:rsidRPr="000A734E">
              <w:rPr>
                <w:rFonts w:ascii="Times New Roman" w:eastAsia="Calibri" w:hAnsi="Times New Roman" w:cs="Times New Roman"/>
                <w:sz w:val="24"/>
              </w:rPr>
              <w:t>21.7±6.09</w:t>
            </w:r>
          </w:p>
          <w:p w14:paraId="7841A4DE"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276" w:type="dxa"/>
          </w:tcPr>
          <w:p w14:paraId="095ED508"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11-39</w:t>
            </w:r>
          </w:p>
          <w:p w14:paraId="161F5B77"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851" w:type="dxa"/>
          </w:tcPr>
          <w:p w14:paraId="4C04A99D" w14:textId="77777777" w:rsidR="00BE4849" w:rsidRPr="000A734E" w:rsidRDefault="00BE4849" w:rsidP="008650C0">
            <w:pPr>
              <w:autoSpaceDE w:val="0"/>
              <w:autoSpaceDN w:val="0"/>
              <w:adjustRightInd w:val="0"/>
              <w:jc w:val="center"/>
              <w:rPr>
                <w:rFonts w:ascii="Times New Roman" w:eastAsia="Calibri" w:hAnsi="Times New Roman" w:cs="Times New Roman"/>
                <w:b/>
                <w:bCs/>
                <w:sz w:val="24"/>
              </w:rPr>
            </w:pPr>
            <w:r w:rsidRPr="000A734E">
              <w:rPr>
                <w:rFonts w:ascii="Times New Roman" w:eastAsia="Calibri" w:hAnsi="Times New Roman" w:cs="Times New Roman"/>
                <w:b/>
                <w:bCs/>
                <w:sz w:val="24"/>
              </w:rPr>
              <w:t>0.000*</w:t>
            </w:r>
          </w:p>
        </w:tc>
      </w:tr>
      <w:tr w:rsidR="00BE4849" w:rsidRPr="000A734E" w14:paraId="0817A2CE" w14:textId="77777777" w:rsidTr="008650C0">
        <w:trPr>
          <w:trHeight w:val="761"/>
        </w:trPr>
        <w:tc>
          <w:tcPr>
            <w:tcW w:w="1171" w:type="dxa"/>
          </w:tcPr>
          <w:p w14:paraId="163826DC"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 xml:space="preserve">MCV </w:t>
            </w:r>
          </w:p>
          <w:p w14:paraId="03377A9A"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w:t>
            </w:r>
            <w:proofErr w:type="spellStart"/>
            <w:r w:rsidRPr="000A734E">
              <w:rPr>
                <w:rFonts w:ascii="Times New Roman" w:eastAsia="Calibri" w:hAnsi="Times New Roman" w:cs="Times New Roman"/>
                <w:sz w:val="24"/>
              </w:rPr>
              <w:t>fl</w:t>
            </w:r>
            <w:proofErr w:type="spellEnd"/>
            <w:r w:rsidRPr="000A734E">
              <w:rPr>
                <w:rFonts w:ascii="Times New Roman" w:eastAsia="Calibri" w:hAnsi="Times New Roman" w:cs="Times New Roman"/>
                <w:sz w:val="24"/>
              </w:rPr>
              <w:t>)</w:t>
            </w:r>
          </w:p>
        </w:tc>
        <w:tc>
          <w:tcPr>
            <w:tcW w:w="1485" w:type="dxa"/>
          </w:tcPr>
          <w:p w14:paraId="02670DA9" w14:textId="77777777" w:rsidR="00BE4849" w:rsidRPr="000A734E" w:rsidRDefault="00BE4849" w:rsidP="008650C0">
            <w:pPr>
              <w:jc w:val="center"/>
              <w:rPr>
                <w:rFonts w:ascii="Times New Roman" w:eastAsia="Calibri" w:hAnsi="Times New Roman" w:cs="Times New Roman"/>
                <w:sz w:val="24"/>
                <w:rtl/>
              </w:rPr>
            </w:pPr>
            <w:r w:rsidRPr="000A734E">
              <w:rPr>
                <w:rFonts w:ascii="Times New Roman" w:eastAsia="Calibri" w:hAnsi="Times New Roman" w:cs="Times New Roman"/>
                <w:sz w:val="24"/>
              </w:rPr>
              <w:t>74.03±6.10</w:t>
            </w:r>
          </w:p>
          <w:p w14:paraId="4683CA36"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325" w:type="dxa"/>
          </w:tcPr>
          <w:p w14:paraId="48F164D6" w14:textId="77777777" w:rsidR="00BE4849" w:rsidRPr="000A734E" w:rsidRDefault="00BE4849" w:rsidP="008650C0">
            <w:pPr>
              <w:jc w:val="center"/>
              <w:rPr>
                <w:rFonts w:ascii="Times New Roman" w:eastAsia="Calibri" w:hAnsi="Times New Roman" w:cs="Times New Roman"/>
                <w:sz w:val="24"/>
                <w:rtl/>
              </w:rPr>
            </w:pPr>
            <w:r w:rsidRPr="000A734E">
              <w:rPr>
                <w:rFonts w:ascii="Times New Roman" w:eastAsia="Calibri" w:hAnsi="Times New Roman" w:cs="Times New Roman"/>
                <w:sz w:val="24"/>
              </w:rPr>
              <w:t>65.0-86.0</w:t>
            </w:r>
          </w:p>
          <w:p w14:paraId="6FB6352A"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47" w:type="dxa"/>
          </w:tcPr>
          <w:p w14:paraId="3C227AC7" w14:textId="77777777" w:rsidR="00BE4849" w:rsidRPr="000A734E" w:rsidRDefault="00BE4849" w:rsidP="008650C0">
            <w:pPr>
              <w:jc w:val="right"/>
              <w:rPr>
                <w:rFonts w:ascii="Times New Roman" w:eastAsia="Calibri" w:hAnsi="Times New Roman" w:cs="Times New Roman"/>
                <w:sz w:val="24"/>
                <w:rtl/>
              </w:rPr>
            </w:pPr>
            <w:r w:rsidRPr="000A734E">
              <w:rPr>
                <w:rFonts w:ascii="Times New Roman" w:eastAsia="Calibri" w:hAnsi="Times New Roman" w:cs="Times New Roman"/>
                <w:sz w:val="24"/>
              </w:rPr>
              <w:t>73.02±7.02</w:t>
            </w:r>
          </w:p>
          <w:p w14:paraId="11CCFB23"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302" w:type="dxa"/>
          </w:tcPr>
          <w:p w14:paraId="7FCB3531" w14:textId="77777777" w:rsidR="00BE4849" w:rsidRPr="000A734E" w:rsidRDefault="00BE4849" w:rsidP="008650C0">
            <w:pPr>
              <w:jc w:val="center"/>
              <w:rPr>
                <w:rFonts w:ascii="Times New Roman" w:eastAsia="Calibri" w:hAnsi="Times New Roman" w:cs="Times New Roman"/>
                <w:sz w:val="24"/>
                <w:rtl/>
              </w:rPr>
            </w:pPr>
            <w:r w:rsidRPr="000A734E">
              <w:rPr>
                <w:rFonts w:ascii="Times New Roman" w:eastAsia="Calibri" w:hAnsi="Times New Roman" w:cs="Times New Roman"/>
                <w:sz w:val="24"/>
              </w:rPr>
              <w:t>58.5-87.6</w:t>
            </w:r>
          </w:p>
          <w:p w14:paraId="31C4A3F2"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33" w:type="dxa"/>
          </w:tcPr>
          <w:p w14:paraId="5FD23A3A" w14:textId="77777777" w:rsidR="00BE4849" w:rsidRPr="000A734E" w:rsidRDefault="00BE4849" w:rsidP="008650C0">
            <w:pPr>
              <w:jc w:val="right"/>
              <w:rPr>
                <w:rFonts w:ascii="Times New Roman" w:eastAsia="Calibri" w:hAnsi="Times New Roman" w:cs="Times New Roman"/>
                <w:sz w:val="24"/>
                <w:rtl/>
              </w:rPr>
            </w:pPr>
            <w:r w:rsidRPr="000A734E">
              <w:rPr>
                <w:rFonts w:ascii="Times New Roman" w:eastAsia="Calibri" w:hAnsi="Times New Roman" w:cs="Times New Roman"/>
                <w:sz w:val="24"/>
              </w:rPr>
              <w:t>73.5±6.54</w:t>
            </w:r>
          </w:p>
          <w:p w14:paraId="1F10AF92"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276" w:type="dxa"/>
          </w:tcPr>
          <w:p w14:paraId="5E2C281D"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58.5-87.6</w:t>
            </w:r>
          </w:p>
          <w:p w14:paraId="5F0BC397"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851" w:type="dxa"/>
          </w:tcPr>
          <w:p w14:paraId="615B56A3"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0.894</w:t>
            </w:r>
          </w:p>
        </w:tc>
      </w:tr>
      <w:tr w:rsidR="00BE4849" w:rsidRPr="000A734E" w14:paraId="7583DC16" w14:textId="77777777" w:rsidTr="008650C0">
        <w:trPr>
          <w:trHeight w:val="761"/>
        </w:trPr>
        <w:tc>
          <w:tcPr>
            <w:tcW w:w="1171" w:type="dxa"/>
          </w:tcPr>
          <w:p w14:paraId="0DCD686B"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MCH</w:t>
            </w:r>
          </w:p>
          <w:p w14:paraId="1C2B9176"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4"/>
                <w:sz w:val="24"/>
              </w:rPr>
              <w:t>(</w:t>
            </w:r>
            <w:proofErr w:type="spellStart"/>
            <w:r w:rsidRPr="000A734E">
              <w:rPr>
                <w:rFonts w:ascii="Calibri" w:eastAsia="Calibri" w:hAnsi="Calibri" w:cs="Arial"/>
                <w:spacing w:val="-4"/>
                <w:sz w:val="24"/>
              </w:rPr>
              <w:t>pg</w:t>
            </w:r>
            <w:proofErr w:type="spellEnd"/>
            <w:r w:rsidRPr="000A734E">
              <w:rPr>
                <w:rFonts w:ascii="Calibri" w:eastAsia="Calibri" w:hAnsi="Calibri" w:cs="Arial"/>
                <w:spacing w:val="-4"/>
                <w:sz w:val="24"/>
              </w:rPr>
              <w:t>)</w:t>
            </w:r>
          </w:p>
        </w:tc>
        <w:tc>
          <w:tcPr>
            <w:tcW w:w="1485" w:type="dxa"/>
          </w:tcPr>
          <w:p w14:paraId="4E78255F" w14:textId="77777777" w:rsidR="00BE4849" w:rsidRPr="000A734E" w:rsidRDefault="00BE4849" w:rsidP="008650C0">
            <w:pPr>
              <w:jc w:val="center"/>
              <w:rPr>
                <w:rFonts w:ascii="Times New Roman" w:eastAsia="Calibri" w:hAnsi="Times New Roman" w:cs="Times New Roman"/>
                <w:sz w:val="24"/>
                <w:rtl/>
              </w:rPr>
            </w:pPr>
            <w:r w:rsidRPr="000A734E">
              <w:rPr>
                <w:rFonts w:ascii="Times New Roman" w:eastAsia="Calibri" w:hAnsi="Times New Roman" w:cs="Times New Roman"/>
                <w:sz w:val="24"/>
              </w:rPr>
              <w:t>24.4±2.9</w:t>
            </w:r>
          </w:p>
          <w:p w14:paraId="723E8E9E"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325" w:type="dxa"/>
          </w:tcPr>
          <w:p w14:paraId="64F22CD2"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20.0-30.5</w:t>
            </w:r>
          </w:p>
          <w:p w14:paraId="39AE6402"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47" w:type="dxa"/>
          </w:tcPr>
          <w:p w14:paraId="723F73E5" w14:textId="77777777" w:rsidR="00BE4849" w:rsidRPr="000A734E" w:rsidRDefault="00BE4849" w:rsidP="008650C0">
            <w:pPr>
              <w:jc w:val="right"/>
              <w:rPr>
                <w:rFonts w:ascii="Times New Roman" w:eastAsia="Calibri" w:hAnsi="Times New Roman" w:cs="Times New Roman"/>
                <w:sz w:val="24"/>
                <w:rtl/>
              </w:rPr>
            </w:pPr>
            <w:r w:rsidRPr="000A734E">
              <w:rPr>
                <w:rFonts w:ascii="Times New Roman" w:eastAsia="Calibri" w:hAnsi="Times New Roman" w:cs="Times New Roman"/>
                <w:sz w:val="24"/>
              </w:rPr>
              <w:t>23.47±2.81</w:t>
            </w:r>
          </w:p>
          <w:p w14:paraId="074E09DD"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302" w:type="dxa"/>
          </w:tcPr>
          <w:p w14:paraId="57DD0587" w14:textId="77777777" w:rsidR="00BE4849" w:rsidRPr="000A734E" w:rsidRDefault="00BE4849" w:rsidP="008650C0">
            <w:pPr>
              <w:jc w:val="center"/>
              <w:rPr>
                <w:rFonts w:ascii="Times New Roman" w:eastAsia="Calibri" w:hAnsi="Times New Roman" w:cs="Times New Roman"/>
                <w:sz w:val="24"/>
                <w:rtl/>
              </w:rPr>
            </w:pPr>
            <w:r w:rsidRPr="000A734E">
              <w:rPr>
                <w:rFonts w:ascii="Times New Roman" w:eastAsia="Calibri" w:hAnsi="Times New Roman" w:cs="Times New Roman"/>
                <w:sz w:val="24"/>
              </w:rPr>
              <w:t>18.6-29.9</w:t>
            </w:r>
          </w:p>
          <w:p w14:paraId="5529E641"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33" w:type="dxa"/>
          </w:tcPr>
          <w:p w14:paraId="43734020" w14:textId="77777777" w:rsidR="00BE4849" w:rsidRPr="000A734E" w:rsidRDefault="00BE4849" w:rsidP="008650C0">
            <w:pPr>
              <w:jc w:val="right"/>
              <w:rPr>
                <w:rFonts w:ascii="Times New Roman" w:eastAsia="Calibri" w:hAnsi="Times New Roman" w:cs="Times New Roman"/>
                <w:sz w:val="24"/>
                <w:rtl/>
              </w:rPr>
            </w:pPr>
            <w:r w:rsidRPr="000A734E">
              <w:rPr>
                <w:rFonts w:ascii="Times New Roman" w:eastAsia="Calibri" w:hAnsi="Times New Roman" w:cs="Times New Roman"/>
                <w:sz w:val="24"/>
              </w:rPr>
              <w:t>23.9±2.8</w:t>
            </w:r>
          </w:p>
          <w:p w14:paraId="376FF6C6"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276" w:type="dxa"/>
          </w:tcPr>
          <w:p w14:paraId="5D5ADA07"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18-30</w:t>
            </w:r>
          </w:p>
          <w:p w14:paraId="016B1F0E"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851" w:type="dxa"/>
          </w:tcPr>
          <w:p w14:paraId="05930DC4"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0.361</w:t>
            </w:r>
          </w:p>
        </w:tc>
      </w:tr>
      <w:tr w:rsidR="00BE4849" w:rsidRPr="000A734E" w14:paraId="17964766" w14:textId="77777777" w:rsidTr="008650C0">
        <w:trPr>
          <w:trHeight w:val="747"/>
        </w:trPr>
        <w:tc>
          <w:tcPr>
            <w:tcW w:w="1171" w:type="dxa"/>
          </w:tcPr>
          <w:p w14:paraId="5E9F330E" w14:textId="77777777" w:rsidR="00BE4849" w:rsidRPr="000A734E" w:rsidRDefault="00BE4849" w:rsidP="008650C0">
            <w:pPr>
              <w:autoSpaceDE w:val="0"/>
              <w:autoSpaceDN w:val="0"/>
              <w:adjustRightInd w:val="0"/>
              <w:jc w:val="center"/>
              <w:rPr>
                <w:rFonts w:ascii="Calibri" w:eastAsia="Calibri" w:hAnsi="Calibri" w:cs="Arial"/>
                <w:spacing w:val="-2"/>
                <w:sz w:val="24"/>
              </w:rPr>
            </w:pPr>
            <w:r w:rsidRPr="000A734E">
              <w:rPr>
                <w:rFonts w:ascii="Times New Roman" w:eastAsia="Calibri" w:hAnsi="Times New Roman" w:cs="Times New Roman"/>
                <w:sz w:val="24"/>
              </w:rPr>
              <w:t>MCHC</w:t>
            </w:r>
          </w:p>
          <w:p w14:paraId="1C7692CE"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2"/>
                <w:sz w:val="24"/>
              </w:rPr>
              <w:t>(g/dl)</w:t>
            </w:r>
          </w:p>
        </w:tc>
        <w:tc>
          <w:tcPr>
            <w:tcW w:w="1485" w:type="dxa"/>
          </w:tcPr>
          <w:p w14:paraId="0BEA9FD6"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32.8±2.24</w:t>
            </w:r>
          </w:p>
          <w:p w14:paraId="430294A8"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325" w:type="dxa"/>
          </w:tcPr>
          <w:p w14:paraId="550DC88C" w14:textId="77777777" w:rsidR="00BE4849" w:rsidRPr="000A734E" w:rsidRDefault="00BE4849" w:rsidP="008650C0">
            <w:pPr>
              <w:jc w:val="center"/>
              <w:rPr>
                <w:rFonts w:ascii="Times New Roman" w:eastAsia="Calibri" w:hAnsi="Times New Roman" w:cs="Times New Roman"/>
                <w:sz w:val="24"/>
                <w:rtl/>
              </w:rPr>
            </w:pPr>
            <w:r w:rsidRPr="000A734E">
              <w:rPr>
                <w:rFonts w:ascii="Times New Roman" w:eastAsia="Calibri" w:hAnsi="Times New Roman" w:cs="Times New Roman"/>
                <w:sz w:val="24"/>
              </w:rPr>
              <w:t>29-36</w:t>
            </w:r>
          </w:p>
          <w:p w14:paraId="0CD382B2"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47" w:type="dxa"/>
          </w:tcPr>
          <w:p w14:paraId="2949A65B" w14:textId="77777777" w:rsidR="00BE4849" w:rsidRPr="000A734E" w:rsidRDefault="00BE4849" w:rsidP="008650C0">
            <w:pPr>
              <w:jc w:val="right"/>
              <w:rPr>
                <w:rFonts w:ascii="Times New Roman" w:eastAsia="Calibri" w:hAnsi="Times New Roman" w:cs="Times New Roman"/>
                <w:sz w:val="24"/>
                <w:rtl/>
              </w:rPr>
            </w:pPr>
            <w:r w:rsidRPr="000A734E">
              <w:rPr>
                <w:rFonts w:ascii="Times New Roman" w:eastAsia="Calibri" w:hAnsi="Times New Roman" w:cs="Times New Roman"/>
                <w:sz w:val="24"/>
              </w:rPr>
              <w:t>32.1±2.34</w:t>
            </w:r>
          </w:p>
          <w:p w14:paraId="097FB3AC"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302" w:type="dxa"/>
          </w:tcPr>
          <w:p w14:paraId="031C9352"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27-36</w:t>
            </w:r>
          </w:p>
          <w:p w14:paraId="7A4C6F5A"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33" w:type="dxa"/>
          </w:tcPr>
          <w:p w14:paraId="6158C33C" w14:textId="77777777" w:rsidR="00BE4849" w:rsidRPr="000A734E" w:rsidRDefault="00BE4849" w:rsidP="008650C0">
            <w:pPr>
              <w:jc w:val="right"/>
              <w:rPr>
                <w:rFonts w:ascii="Times New Roman" w:eastAsia="Calibri" w:hAnsi="Times New Roman" w:cs="Times New Roman"/>
                <w:sz w:val="24"/>
              </w:rPr>
            </w:pPr>
            <w:r w:rsidRPr="000A734E">
              <w:rPr>
                <w:rFonts w:ascii="Times New Roman" w:eastAsia="Calibri" w:hAnsi="Times New Roman" w:cs="Times New Roman"/>
                <w:sz w:val="24"/>
              </w:rPr>
              <w:t>32.4±2.29</w:t>
            </w:r>
          </w:p>
          <w:p w14:paraId="2546C92A"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276" w:type="dxa"/>
          </w:tcPr>
          <w:p w14:paraId="27A0071B"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27-36</w:t>
            </w:r>
          </w:p>
          <w:p w14:paraId="413D6F26"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851" w:type="dxa"/>
          </w:tcPr>
          <w:p w14:paraId="6CDDE490"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0.218</w:t>
            </w:r>
          </w:p>
        </w:tc>
      </w:tr>
      <w:tr w:rsidR="00BE4849" w:rsidRPr="000A734E" w14:paraId="6DF1343A" w14:textId="77777777" w:rsidTr="008650C0">
        <w:trPr>
          <w:trHeight w:val="761"/>
        </w:trPr>
        <w:tc>
          <w:tcPr>
            <w:tcW w:w="1171" w:type="dxa"/>
          </w:tcPr>
          <w:p w14:paraId="7B3DDADC"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PLT</w:t>
            </w:r>
          </w:p>
          <w:p w14:paraId="0F021CB7"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2"/>
                <w:sz w:val="24"/>
              </w:rPr>
              <w:t>(lakh/µl)</w:t>
            </w:r>
          </w:p>
        </w:tc>
        <w:tc>
          <w:tcPr>
            <w:tcW w:w="1485" w:type="dxa"/>
          </w:tcPr>
          <w:p w14:paraId="5F145672" w14:textId="77777777" w:rsidR="00BE4849" w:rsidRPr="000A734E" w:rsidRDefault="00BE4849" w:rsidP="008650C0">
            <w:pPr>
              <w:jc w:val="right"/>
              <w:rPr>
                <w:rFonts w:ascii="Times New Roman" w:eastAsia="Calibri" w:hAnsi="Times New Roman" w:cs="Times New Roman"/>
                <w:sz w:val="24"/>
                <w:rtl/>
              </w:rPr>
            </w:pPr>
            <w:r w:rsidRPr="000A734E">
              <w:rPr>
                <w:rFonts w:ascii="Times New Roman" w:eastAsia="Calibri" w:hAnsi="Times New Roman" w:cs="Times New Roman"/>
                <w:sz w:val="24"/>
              </w:rPr>
              <w:t>431.1±273.7</w:t>
            </w:r>
          </w:p>
          <w:p w14:paraId="2A453592"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325" w:type="dxa"/>
          </w:tcPr>
          <w:p w14:paraId="3C24F9EE" w14:textId="77777777" w:rsidR="00BE4849" w:rsidRPr="000A734E" w:rsidRDefault="00BE4849" w:rsidP="008650C0">
            <w:pPr>
              <w:jc w:val="center"/>
              <w:rPr>
                <w:rFonts w:ascii="Times New Roman" w:eastAsia="Calibri" w:hAnsi="Times New Roman" w:cs="Times New Roman"/>
                <w:sz w:val="24"/>
                <w:rtl/>
              </w:rPr>
            </w:pPr>
            <w:r w:rsidRPr="000A734E">
              <w:rPr>
                <w:rFonts w:ascii="Times New Roman" w:eastAsia="Calibri" w:hAnsi="Times New Roman" w:cs="Times New Roman"/>
                <w:sz w:val="24"/>
              </w:rPr>
              <w:t>120-1186</w:t>
            </w:r>
          </w:p>
          <w:p w14:paraId="7194FBC5"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47" w:type="dxa"/>
          </w:tcPr>
          <w:p w14:paraId="7B8BAC60" w14:textId="77777777" w:rsidR="00BE4849" w:rsidRPr="000A734E" w:rsidRDefault="00BE4849" w:rsidP="008650C0">
            <w:pPr>
              <w:jc w:val="right"/>
              <w:rPr>
                <w:rFonts w:ascii="Times New Roman" w:eastAsia="Calibri" w:hAnsi="Times New Roman" w:cs="Times New Roman"/>
                <w:sz w:val="24"/>
                <w:rtl/>
              </w:rPr>
            </w:pPr>
            <w:r w:rsidRPr="000A734E">
              <w:rPr>
                <w:rFonts w:ascii="Times New Roman" w:eastAsia="Calibri" w:hAnsi="Times New Roman" w:cs="Times New Roman"/>
                <w:sz w:val="24"/>
              </w:rPr>
              <w:t>492.7±291.6</w:t>
            </w:r>
          </w:p>
          <w:p w14:paraId="3860C9CC"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302" w:type="dxa"/>
          </w:tcPr>
          <w:p w14:paraId="742A78BD"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158-1295</w:t>
            </w:r>
          </w:p>
          <w:p w14:paraId="1C66DE80"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33" w:type="dxa"/>
          </w:tcPr>
          <w:p w14:paraId="3172A772" w14:textId="77777777" w:rsidR="00BE4849" w:rsidRPr="000A734E" w:rsidRDefault="00BE4849" w:rsidP="008650C0">
            <w:pPr>
              <w:jc w:val="right"/>
              <w:rPr>
                <w:rFonts w:ascii="Times New Roman" w:eastAsia="Calibri" w:hAnsi="Times New Roman" w:cs="Times New Roman"/>
                <w:sz w:val="24"/>
                <w:rtl/>
              </w:rPr>
            </w:pPr>
            <w:r w:rsidRPr="000A734E">
              <w:rPr>
                <w:rFonts w:ascii="Times New Roman" w:eastAsia="Calibri" w:hAnsi="Times New Roman" w:cs="Times New Roman"/>
                <w:sz w:val="24"/>
              </w:rPr>
              <w:t>463.4±281.4</w:t>
            </w:r>
          </w:p>
          <w:p w14:paraId="168E9D2E"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276" w:type="dxa"/>
          </w:tcPr>
          <w:p w14:paraId="78309C3D" w14:textId="77777777" w:rsidR="00BE4849" w:rsidRPr="000A734E" w:rsidRDefault="00BE4849" w:rsidP="008650C0">
            <w:pPr>
              <w:jc w:val="right"/>
              <w:rPr>
                <w:rFonts w:ascii="Times New Roman" w:eastAsia="Calibri" w:hAnsi="Times New Roman" w:cs="Times New Roman"/>
                <w:sz w:val="24"/>
              </w:rPr>
            </w:pPr>
            <w:r w:rsidRPr="000A734E">
              <w:rPr>
                <w:rFonts w:ascii="Times New Roman" w:eastAsia="Calibri" w:hAnsi="Times New Roman" w:cs="Times New Roman"/>
                <w:sz w:val="24"/>
              </w:rPr>
              <w:t>120-1295</w:t>
            </w:r>
          </w:p>
          <w:p w14:paraId="7BE6C8A4"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851" w:type="dxa"/>
          </w:tcPr>
          <w:p w14:paraId="5FAC3EC7"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0.302</w:t>
            </w:r>
          </w:p>
        </w:tc>
      </w:tr>
      <w:tr w:rsidR="00BE4849" w:rsidRPr="000A734E" w14:paraId="4E1EAEA6" w14:textId="77777777" w:rsidTr="008650C0">
        <w:trPr>
          <w:trHeight w:val="761"/>
        </w:trPr>
        <w:tc>
          <w:tcPr>
            <w:tcW w:w="1171" w:type="dxa"/>
          </w:tcPr>
          <w:p w14:paraId="596D9067"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RDW</w:t>
            </w:r>
            <w:r w:rsidRPr="000A734E">
              <w:rPr>
                <w:rFonts w:ascii="Calibri" w:eastAsia="Calibri" w:hAnsi="Calibri" w:cs="Arial"/>
                <w:spacing w:val="-5"/>
                <w:sz w:val="24"/>
              </w:rPr>
              <w:t xml:space="preserve"> (%)</w:t>
            </w:r>
          </w:p>
        </w:tc>
        <w:tc>
          <w:tcPr>
            <w:tcW w:w="1485" w:type="dxa"/>
          </w:tcPr>
          <w:p w14:paraId="5B4998A8" w14:textId="77777777" w:rsidR="00BE4849" w:rsidRPr="000A734E" w:rsidRDefault="00BE4849" w:rsidP="008650C0">
            <w:pPr>
              <w:jc w:val="center"/>
              <w:rPr>
                <w:rFonts w:ascii="Times New Roman" w:eastAsia="Calibri" w:hAnsi="Times New Roman" w:cs="Times New Roman"/>
                <w:sz w:val="24"/>
                <w:rtl/>
              </w:rPr>
            </w:pPr>
            <w:r w:rsidRPr="000A734E">
              <w:rPr>
                <w:rFonts w:ascii="Times New Roman" w:eastAsia="Calibri" w:hAnsi="Times New Roman" w:cs="Times New Roman"/>
                <w:sz w:val="24"/>
              </w:rPr>
              <w:t>20±6.3</w:t>
            </w:r>
          </w:p>
          <w:p w14:paraId="31724BAF"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325" w:type="dxa"/>
          </w:tcPr>
          <w:p w14:paraId="08CE4C93"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13-34</w:t>
            </w:r>
          </w:p>
          <w:p w14:paraId="6D5C4844"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47" w:type="dxa"/>
          </w:tcPr>
          <w:p w14:paraId="084D40A2" w14:textId="77777777" w:rsidR="00BE4849" w:rsidRPr="000A734E" w:rsidRDefault="00BE4849" w:rsidP="008650C0">
            <w:pPr>
              <w:autoSpaceDE w:val="0"/>
              <w:autoSpaceDN w:val="0"/>
              <w:adjustRightInd w:val="0"/>
              <w:rPr>
                <w:rFonts w:ascii="Times New Roman" w:eastAsia="Calibri" w:hAnsi="Times New Roman" w:cs="Times New Roman"/>
                <w:sz w:val="24"/>
              </w:rPr>
            </w:pPr>
            <w:r w:rsidRPr="000A734E">
              <w:rPr>
                <w:rFonts w:ascii="Times New Roman" w:eastAsia="Calibri" w:hAnsi="Times New Roman" w:cs="Times New Roman"/>
                <w:sz w:val="24"/>
              </w:rPr>
              <w:t>22.3±7. 6</w:t>
            </w:r>
          </w:p>
        </w:tc>
        <w:tc>
          <w:tcPr>
            <w:tcW w:w="1302" w:type="dxa"/>
          </w:tcPr>
          <w:p w14:paraId="16B537EF" w14:textId="77777777" w:rsidR="00BE4849" w:rsidRPr="000A734E" w:rsidRDefault="00BE4849" w:rsidP="008650C0">
            <w:pPr>
              <w:jc w:val="center"/>
              <w:rPr>
                <w:rFonts w:ascii="Times New Roman" w:eastAsia="Calibri" w:hAnsi="Times New Roman" w:cs="Times New Roman"/>
                <w:sz w:val="24"/>
                <w:rtl/>
              </w:rPr>
            </w:pPr>
            <w:r w:rsidRPr="000A734E">
              <w:rPr>
                <w:rFonts w:ascii="Times New Roman" w:eastAsia="Calibri" w:hAnsi="Times New Roman" w:cs="Times New Roman"/>
                <w:sz w:val="24"/>
              </w:rPr>
              <w:t>13-37</w:t>
            </w:r>
          </w:p>
          <w:p w14:paraId="412F7E53"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533" w:type="dxa"/>
          </w:tcPr>
          <w:p w14:paraId="560E2053" w14:textId="77777777" w:rsidR="00BE4849" w:rsidRPr="000A734E" w:rsidRDefault="00BE4849" w:rsidP="008650C0">
            <w:pPr>
              <w:jc w:val="right"/>
              <w:rPr>
                <w:rFonts w:ascii="Times New Roman" w:eastAsia="Calibri" w:hAnsi="Times New Roman" w:cs="Times New Roman"/>
                <w:sz w:val="24"/>
              </w:rPr>
            </w:pPr>
            <w:r w:rsidRPr="000A734E">
              <w:rPr>
                <w:rFonts w:ascii="Times New Roman" w:eastAsia="Calibri" w:hAnsi="Times New Roman" w:cs="Times New Roman"/>
                <w:sz w:val="24"/>
              </w:rPr>
              <w:t>21.6±7.0</w:t>
            </w:r>
          </w:p>
          <w:p w14:paraId="76FAF8C0"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p>
        </w:tc>
        <w:tc>
          <w:tcPr>
            <w:tcW w:w="1276" w:type="dxa"/>
          </w:tcPr>
          <w:p w14:paraId="1525CD79" w14:textId="77777777" w:rsidR="00BE4849" w:rsidRPr="000A734E" w:rsidRDefault="00BE4849" w:rsidP="008650C0">
            <w:pPr>
              <w:jc w:val="center"/>
              <w:rPr>
                <w:rFonts w:ascii="Times New Roman" w:eastAsia="Calibri" w:hAnsi="Times New Roman" w:cs="Times New Roman"/>
                <w:sz w:val="24"/>
              </w:rPr>
            </w:pPr>
            <w:r w:rsidRPr="000A734E">
              <w:rPr>
                <w:rFonts w:ascii="Times New Roman" w:eastAsia="Calibri" w:hAnsi="Times New Roman" w:cs="Times New Roman"/>
                <w:sz w:val="24"/>
              </w:rPr>
              <w:t>13-37</w:t>
            </w:r>
          </w:p>
          <w:p w14:paraId="664847D6" w14:textId="77777777" w:rsidR="00BE4849" w:rsidRPr="000A734E" w:rsidRDefault="00BE4849" w:rsidP="008650C0">
            <w:pPr>
              <w:jc w:val="center"/>
              <w:rPr>
                <w:rFonts w:ascii="Times New Roman" w:eastAsia="Calibri" w:hAnsi="Times New Roman" w:cs="Times New Roman"/>
                <w:sz w:val="24"/>
              </w:rPr>
            </w:pPr>
          </w:p>
        </w:tc>
        <w:tc>
          <w:tcPr>
            <w:tcW w:w="851" w:type="dxa"/>
          </w:tcPr>
          <w:p w14:paraId="7DF8D560" w14:textId="77777777" w:rsidR="00BE4849" w:rsidRPr="000A734E" w:rsidRDefault="00BE4849" w:rsidP="008650C0">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0.361</w:t>
            </w:r>
          </w:p>
        </w:tc>
      </w:tr>
    </w:tbl>
    <w:p w14:paraId="0A1EEA01" w14:textId="77777777" w:rsidR="00BE4849" w:rsidRDefault="00BE4849" w:rsidP="00BE4849">
      <w:pPr>
        <w:jc w:val="both"/>
        <w:rPr>
          <w:rFonts w:asciiTheme="majorBidi" w:hAnsiTheme="majorBidi"/>
          <w:sz w:val="24"/>
        </w:rPr>
      </w:pPr>
      <w:r w:rsidRPr="000A734E">
        <w:rPr>
          <w:rFonts w:asciiTheme="majorBidi" w:hAnsiTheme="majorBidi"/>
          <w:sz w:val="24"/>
        </w:rPr>
        <w:t xml:space="preserve">Regarding sex distribution of hematological parameters table 3 shows Mean± SD </w:t>
      </w:r>
      <w:proofErr w:type="gramStart"/>
      <w:r w:rsidRPr="000A734E">
        <w:rPr>
          <w:rFonts w:asciiTheme="majorBidi" w:hAnsiTheme="majorBidi"/>
          <w:sz w:val="24"/>
        </w:rPr>
        <w:t>of  Hb</w:t>
      </w:r>
      <w:proofErr w:type="gramEnd"/>
      <w:r w:rsidRPr="000A734E">
        <w:rPr>
          <w:rFonts w:asciiTheme="majorBidi" w:hAnsiTheme="majorBidi"/>
          <w:sz w:val="24"/>
        </w:rPr>
        <w:t xml:space="preserve"> (6.89±1.47), Hct(22±4.6) and MCV(74.03±6.10 )were marginally higher in male thalassemic children than females, whereas </w:t>
      </w:r>
      <w:bookmarkStart w:id="28" w:name="_Hlk190514828"/>
      <w:bookmarkStart w:id="29" w:name="_Hlk190514383"/>
      <w:r w:rsidRPr="000A734E">
        <w:rPr>
          <w:rFonts w:asciiTheme="majorBidi" w:hAnsiTheme="majorBidi"/>
          <w:sz w:val="24"/>
        </w:rPr>
        <w:t>Mean</w:t>
      </w:r>
      <w:bookmarkStart w:id="30" w:name="_Hlk190514233"/>
      <w:r w:rsidRPr="000A734E">
        <w:rPr>
          <w:rFonts w:asciiTheme="majorBidi" w:hAnsiTheme="majorBidi"/>
          <w:sz w:val="24"/>
        </w:rPr>
        <w:t>±</w:t>
      </w:r>
      <w:bookmarkEnd w:id="30"/>
      <w:r w:rsidRPr="000A734E">
        <w:rPr>
          <w:rFonts w:asciiTheme="majorBidi" w:hAnsiTheme="majorBidi"/>
          <w:sz w:val="24"/>
        </w:rPr>
        <w:t xml:space="preserve"> SD</w:t>
      </w:r>
      <w:bookmarkEnd w:id="28"/>
      <w:r w:rsidRPr="000A734E">
        <w:rPr>
          <w:rFonts w:asciiTheme="majorBidi" w:hAnsiTheme="majorBidi"/>
          <w:sz w:val="24"/>
        </w:rPr>
        <w:t xml:space="preserve"> of </w:t>
      </w:r>
      <w:bookmarkEnd w:id="29"/>
      <w:r w:rsidRPr="000A734E">
        <w:rPr>
          <w:rFonts w:asciiTheme="majorBidi" w:hAnsiTheme="majorBidi"/>
          <w:sz w:val="24"/>
        </w:rPr>
        <w:t>WBC(29.90</w:t>
      </w:r>
      <w:bookmarkStart w:id="31" w:name="_Hlk190514347"/>
      <w:r w:rsidRPr="000A734E">
        <w:rPr>
          <w:rFonts w:asciiTheme="majorBidi" w:hAnsiTheme="majorBidi"/>
          <w:sz w:val="24"/>
        </w:rPr>
        <w:t>±</w:t>
      </w:r>
      <w:bookmarkEnd w:id="31"/>
      <w:r w:rsidRPr="000A734E">
        <w:rPr>
          <w:rFonts w:asciiTheme="majorBidi" w:hAnsiTheme="majorBidi"/>
          <w:sz w:val="24"/>
        </w:rPr>
        <w:t xml:space="preserve">41.32), platelet (492.7±291.6) and RDW(22.28±7.6) levels were slightly higher in females than males. There </w:t>
      </w:r>
      <w:r>
        <w:rPr>
          <w:rFonts w:asciiTheme="majorBidi" w:hAnsiTheme="majorBidi"/>
          <w:sz w:val="24"/>
        </w:rPr>
        <w:t>are</w:t>
      </w:r>
      <w:r w:rsidRPr="000A734E">
        <w:rPr>
          <w:rFonts w:asciiTheme="majorBidi" w:hAnsiTheme="majorBidi"/>
          <w:sz w:val="24"/>
        </w:rPr>
        <w:t xml:space="preserve"> statistically significant differences </w:t>
      </w:r>
      <w:r>
        <w:rPr>
          <w:rFonts w:asciiTheme="majorBidi" w:hAnsiTheme="majorBidi"/>
          <w:sz w:val="24"/>
        </w:rPr>
        <w:t>in</w:t>
      </w:r>
      <w:r w:rsidRPr="000A734E">
        <w:rPr>
          <w:rFonts w:asciiTheme="majorBidi" w:hAnsiTheme="majorBidi"/>
          <w:sz w:val="24"/>
        </w:rPr>
        <w:t xml:space="preserve"> RBC and HCT parameters with </w:t>
      </w:r>
      <w:r>
        <w:rPr>
          <w:rFonts w:asciiTheme="majorBidi" w:hAnsiTheme="majorBidi"/>
          <w:sz w:val="24"/>
        </w:rPr>
        <w:t xml:space="preserve">a </w:t>
      </w:r>
      <w:r w:rsidRPr="000A734E">
        <w:rPr>
          <w:rFonts w:asciiTheme="majorBidi" w:hAnsiTheme="majorBidi"/>
          <w:sz w:val="24"/>
        </w:rPr>
        <w:t xml:space="preserve">p value ≥0.05. </w:t>
      </w:r>
    </w:p>
    <w:p w14:paraId="4915BCC5" w14:textId="77777777" w:rsidR="008650C0" w:rsidRDefault="008650C0" w:rsidP="00BE4849">
      <w:pPr>
        <w:jc w:val="both"/>
        <w:rPr>
          <w:rFonts w:asciiTheme="majorBidi" w:hAnsiTheme="majorBidi"/>
          <w:sz w:val="24"/>
        </w:rPr>
      </w:pPr>
    </w:p>
    <w:p w14:paraId="580644ED" w14:textId="77777777" w:rsidR="008650C0" w:rsidRDefault="008650C0" w:rsidP="00BE4849">
      <w:pPr>
        <w:jc w:val="both"/>
        <w:rPr>
          <w:rFonts w:asciiTheme="majorBidi" w:hAnsiTheme="majorBidi"/>
          <w:sz w:val="24"/>
        </w:rPr>
      </w:pPr>
    </w:p>
    <w:p w14:paraId="657DE9A5" w14:textId="388AD8B1" w:rsidR="008650C0" w:rsidRDefault="00F30946" w:rsidP="00BE4849">
      <w:pPr>
        <w:jc w:val="both"/>
        <w:rPr>
          <w:rFonts w:asciiTheme="majorBidi" w:hAnsiTheme="majorBidi"/>
          <w:sz w:val="24"/>
        </w:rPr>
      </w:pPr>
      <w:r w:rsidRPr="000A734E">
        <w:rPr>
          <w:rFonts w:ascii="Times New Roman" w:eastAsia="Calibri" w:hAnsi="Times New Roman" w:cs="Times New Roman"/>
          <w:b/>
          <w:bCs/>
          <w:sz w:val="24"/>
        </w:rPr>
        <w:t xml:space="preserve">Table </w:t>
      </w:r>
      <w:r>
        <w:rPr>
          <w:rFonts w:ascii="Times New Roman" w:eastAsia="Calibri" w:hAnsi="Times New Roman" w:cs="Times New Roman"/>
          <w:b/>
          <w:bCs/>
          <w:sz w:val="24"/>
        </w:rPr>
        <w:t>3</w:t>
      </w:r>
      <w:r w:rsidRPr="000A734E">
        <w:rPr>
          <w:rFonts w:ascii="Times New Roman" w:eastAsia="Calibri" w:hAnsi="Times New Roman" w:cs="Times New Roman"/>
          <w:b/>
          <w:bCs/>
          <w:sz w:val="24"/>
        </w:rPr>
        <w:t>. Descriptive statistics of hematological findings</w:t>
      </w:r>
      <w:r>
        <w:rPr>
          <w:rFonts w:ascii="Times New Roman" w:eastAsia="Calibri" w:hAnsi="Times New Roman" w:cs="Times New Roman"/>
          <w:b/>
          <w:bCs/>
          <w:sz w:val="24"/>
        </w:rPr>
        <w:t xml:space="preserve"> according to sex</w:t>
      </w:r>
    </w:p>
    <w:p w14:paraId="0A52C200" w14:textId="77777777" w:rsidR="008650C0" w:rsidRPr="000A734E" w:rsidRDefault="008650C0" w:rsidP="00BE4849">
      <w:pPr>
        <w:jc w:val="both"/>
        <w:rPr>
          <w:rFonts w:asciiTheme="majorBidi" w:hAnsiTheme="majorBidi"/>
          <w:sz w:val="24"/>
        </w:rPr>
      </w:pPr>
    </w:p>
    <w:p w14:paraId="5F03D7B7" w14:textId="77777777" w:rsidR="00BE4849" w:rsidRPr="000A734E" w:rsidRDefault="00BE4849" w:rsidP="00BE4849">
      <w:pPr>
        <w:jc w:val="both"/>
        <w:rPr>
          <w:rFonts w:ascii="Calibri" w:eastAsia="Calibri" w:hAnsi="Calibri" w:cs="Arial"/>
        </w:rPr>
      </w:pPr>
    </w:p>
    <w:p w14:paraId="31777FE4" w14:textId="77777777" w:rsidR="00BE4849" w:rsidRDefault="00BE4849" w:rsidP="00BE4849">
      <w:pPr>
        <w:rPr>
          <w:rFonts w:ascii="Times New Roman" w:eastAsia="Calibri" w:hAnsi="Times New Roman" w:cs="Times New Roman"/>
          <w:b/>
          <w:bCs/>
          <w:sz w:val="24"/>
        </w:rPr>
      </w:pPr>
    </w:p>
    <w:p w14:paraId="507223B2" w14:textId="77777777" w:rsidR="00BE4849" w:rsidRDefault="00BE4849" w:rsidP="00BE4849">
      <w:pPr>
        <w:rPr>
          <w:rFonts w:ascii="Times New Roman" w:eastAsia="Calibri" w:hAnsi="Times New Roman" w:cs="Times New Roman"/>
          <w:b/>
          <w:bCs/>
          <w:sz w:val="24"/>
        </w:rPr>
      </w:pPr>
    </w:p>
    <w:p w14:paraId="61C004EE" w14:textId="6E7A5EE3" w:rsidR="00BE4849" w:rsidRDefault="00F30946" w:rsidP="00F30946">
      <w:pPr>
        <w:rPr>
          <w:rFonts w:ascii="Times New Roman" w:eastAsia="Calibri" w:hAnsi="Times New Roman" w:cs="Times New Roman"/>
          <w:b/>
          <w:bCs/>
          <w:sz w:val="24"/>
        </w:rPr>
      </w:pPr>
      <w:r w:rsidRPr="000A734E">
        <w:rPr>
          <w:rFonts w:ascii="Times New Roman" w:eastAsia="Calibri" w:hAnsi="Times New Roman" w:cs="Times New Roman"/>
          <w:b/>
          <w:bCs/>
          <w:sz w:val="24"/>
        </w:rPr>
        <w:lastRenderedPageBreak/>
        <w:t xml:space="preserve">Table 4. Hematological </w:t>
      </w:r>
      <w:r>
        <w:rPr>
          <w:rFonts w:ascii="Times New Roman" w:eastAsia="Calibri" w:hAnsi="Times New Roman" w:cs="Times New Roman"/>
          <w:b/>
          <w:bCs/>
          <w:sz w:val="24"/>
        </w:rPr>
        <w:t>parameters</w:t>
      </w:r>
      <w:r w:rsidRPr="000A734E">
        <w:rPr>
          <w:rFonts w:ascii="Times New Roman" w:eastAsia="Calibri" w:hAnsi="Times New Roman" w:cs="Times New Roman"/>
          <w:b/>
          <w:bCs/>
          <w:sz w:val="24"/>
        </w:rPr>
        <w:t xml:space="preserve"> according to splenectomy status</w:t>
      </w:r>
    </w:p>
    <w:p w14:paraId="1E89FF32" w14:textId="77777777" w:rsidR="00BE4849" w:rsidRDefault="00BE4849" w:rsidP="00BE4849">
      <w:pPr>
        <w:rPr>
          <w:rFonts w:ascii="Times New Roman" w:eastAsia="Calibri" w:hAnsi="Times New Roman" w:cs="Times New Roman"/>
          <w:b/>
          <w:bCs/>
          <w:sz w:val="24"/>
        </w:rPr>
      </w:pPr>
    </w:p>
    <w:p w14:paraId="05256A31" w14:textId="77777777" w:rsidR="00120E2F" w:rsidRDefault="00120E2F" w:rsidP="00BE4849">
      <w:pPr>
        <w:rPr>
          <w:rFonts w:ascii="Times New Roman" w:eastAsia="Calibri" w:hAnsi="Times New Roman" w:cs="Times New Roman"/>
          <w:b/>
          <w:bCs/>
          <w:sz w:val="24"/>
        </w:rPr>
      </w:pPr>
    </w:p>
    <w:p w14:paraId="1FAC4BDE" w14:textId="77777777" w:rsidR="00F30946" w:rsidRDefault="00F30946" w:rsidP="00BE4849">
      <w:pPr>
        <w:rPr>
          <w:rFonts w:ascii="Times New Roman" w:eastAsia="Calibri" w:hAnsi="Times New Roman" w:cs="Times New Roman"/>
          <w:b/>
          <w:bCs/>
          <w:sz w:val="24"/>
        </w:rPr>
      </w:pPr>
    </w:p>
    <w:p w14:paraId="587087CC" w14:textId="77777777" w:rsidR="00F30946" w:rsidRDefault="00F30946" w:rsidP="00BE4849">
      <w:pPr>
        <w:rPr>
          <w:rFonts w:ascii="Times New Roman" w:eastAsia="Calibri" w:hAnsi="Times New Roman" w:cs="Times New Roman"/>
          <w:b/>
          <w:bCs/>
          <w:sz w:val="24"/>
        </w:rPr>
      </w:pPr>
    </w:p>
    <w:p w14:paraId="2CEBCB44" w14:textId="77777777" w:rsidR="00F30946" w:rsidRDefault="00F30946" w:rsidP="00BE4849">
      <w:pPr>
        <w:rPr>
          <w:rFonts w:ascii="Times New Roman" w:eastAsia="Calibri" w:hAnsi="Times New Roman" w:cs="Times New Roman"/>
          <w:b/>
          <w:bCs/>
          <w:sz w:val="24"/>
        </w:rPr>
      </w:pPr>
    </w:p>
    <w:p w14:paraId="28745F6B" w14:textId="77777777" w:rsidR="00F30946" w:rsidRDefault="00F30946" w:rsidP="00BE4849">
      <w:pPr>
        <w:rPr>
          <w:rFonts w:ascii="Times New Roman" w:eastAsia="Calibri" w:hAnsi="Times New Roman" w:cs="Times New Roman"/>
          <w:b/>
          <w:bCs/>
          <w:sz w:val="24"/>
        </w:rPr>
      </w:pPr>
    </w:p>
    <w:p w14:paraId="4932F123" w14:textId="77777777" w:rsidR="00F30946" w:rsidRDefault="00F30946" w:rsidP="00BE4849">
      <w:pPr>
        <w:rPr>
          <w:rFonts w:ascii="Times New Roman" w:eastAsia="Calibri" w:hAnsi="Times New Roman" w:cs="Times New Roman"/>
          <w:b/>
          <w:bCs/>
          <w:sz w:val="24"/>
        </w:rPr>
      </w:pPr>
    </w:p>
    <w:p w14:paraId="0716A8E5" w14:textId="77777777" w:rsidR="00F30946" w:rsidRDefault="00F30946" w:rsidP="00BE4849">
      <w:pPr>
        <w:rPr>
          <w:rFonts w:ascii="Times New Roman" w:eastAsia="Calibri" w:hAnsi="Times New Roman" w:cs="Times New Roman"/>
          <w:b/>
          <w:bCs/>
          <w:sz w:val="24"/>
        </w:rPr>
      </w:pPr>
    </w:p>
    <w:p w14:paraId="1A373BB1" w14:textId="77777777" w:rsidR="00F30946" w:rsidRDefault="00F30946" w:rsidP="00BE4849">
      <w:pPr>
        <w:rPr>
          <w:rFonts w:ascii="Times New Roman" w:eastAsia="Calibri" w:hAnsi="Times New Roman" w:cs="Times New Roman"/>
          <w:b/>
          <w:bCs/>
          <w:sz w:val="24"/>
        </w:rPr>
      </w:pPr>
    </w:p>
    <w:p w14:paraId="2B81EF54" w14:textId="77777777" w:rsidR="00F30946" w:rsidRDefault="00F30946" w:rsidP="00BE4849">
      <w:pPr>
        <w:rPr>
          <w:rFonts w:ascii="Times New Roman" w:eastAsia="Calibri" w:hAnsi="Times New Roman" w:cs="Times New Roman"/>
          <w:b/>
          <w:bCs/>
          <w:sz w:val="24"/>
        </w:rPr>
      </w:pPr>
    </w:p>
    <w:p w14:paraId="202DDA38" w14:textId="77777777" w:rsidR="00F30946" w:rsidRDefault="00F30946" w:rsidP="00BE4849">
      <w:pPr>
        <w:rPr>
          <w:rFonts w:ascii="Times New Roman" w:eastAsia="Calibri" w:hAnsi="Times New Roman" w:cs="Times New Roman"/>
          <w:b/>
          <w:bCs/>
          <w:sz w:val="24"/>
        </w:rPr>
      </w:pPr>
    </w:p>
    <w:p w14:paraId="574E8DAB" w14:textId="77777777" w:rsidR="00F30946" w:rsidRDefault="00F30946" w:rsidP="00BE4849">
      <w:pPr>
        <w:rPr>
          <w:rFonts w:ascii="Times New Roman" w:eastAsia="Calibri" w:hAnsi="Times New Roman" w:cs="Times New Roman"/>
          <w:b/>
          <w:bCs/>
          <w:sz w:val="24"/>
        </w:rPr>
      </w:pPr>
    </w:p>
    <w:p w14:paraId="103A6846" w14:textId="77777777" w:rsidR="00BE4849" w:rsidRDefault="00BE4849" w:rsidP="00BE4849">
      <w:pPr>
        <w:jc w:val="both"/>
        <w:rPr>
          <w:rFonts w:ascii="Times New Roman" w:eastAsia="Calibri" w:hAnsi="Times New Roman" w:cs="Times New Roman"/>
          <w:sz w:val="24"/>
        </w:rPr>
      </w:pPr>
    </w:p>
    <w:tbl>
      <w:tblPr>
        <w:tblStyle w:val="311"/>
        <w:tblpPr w:leftFromText="180" w:rightFromText="180" w:vertAnchor="page" w:horzAnchor="margin" w:tblpY="1981"/>
        <w:tblW w:w="8311" w:type="dxa"/>
        <w:tblInd w:w="0" w:type="dxa"/>
        <w:tblLook w:val="04A0" w:firstRow="1" w:lastRow="0" w:firstColumn="1" w:lastColumn="0" w:noHBand="0" w:noVBand="1"/>
      </w:tblPr>
      <w:tblGrid>
        <w:gridCol w:w="2265"/>
        <w:gridCol w:w="2478"/>
        <w:gridCol w:w="1814"/>
        <w:gridCol w:w="1754"/>
      </w:tblGrid>
      <w:tr w:rsidR="00BE4849" w:rsidRPr="000A734E" w14:paraId="73787A3F" w14:textId="77777777" w:rsidTr="00696C2D">
        <w:trPr>
          <w:trHeight w:val="485"/>
        </w:trPr>
        <w:tc>
          <w:tcPr>
            <w:tcW w:w="2265" w:type="dxa"/>
            <w:vMerge w:val="restart"/>
          </w:tcPr>
          <w:p w14:paraId="2BBF0FC3" w14:textId="77777777" w:rsidR="00BE4849" w:rsidRPr="000A734E" w:rsidRDefault="00BE4849" w:rsidP="00696C2D">
            <w:pPr>
              <w:autoSpaceDE w:val="0"/>
              <w:autoSpaceDN w:val="0"/>
              <w:adjustRightInd w:val="0"/>
              <w:rPr>
                <w:rFonts w:ascii="Times New Roman" w:hAnsi="Times New Roman" w:cs="Times New Roman"/>
                <w:sz w:val="24"/>
              </w:rPr>
            </w:pPr>
          </w:p>
          <w:p w14:paraId="5BCC6682"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Hematological parameter</w:t>
            </w:r>
          </w:p>
        </w:tc>
        <w:tc>
          <w:tcPr>
            <w:tcW w:w="4292" w:type="dxa"/>
            <w:gridSpan w:val="2"/>
          </w:tcPr>
          <w:p w14:paraId="4B856BAF"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Splenectomy</w:t>
            </w:r>
          </w:p>
        </w:tc>
        <w:tc>
          <w:tcPr>
            <w:tcW w:w="1754" w:type="dxa"/>
            <w:vMerge w:val="restart"/>
          </w:tcPr>
          <w:p w14:paraId="5880E5F9" w14:textId="77777777" w:rsidR="00BE4849" w:rsidRPr="000A734E" w:rsidRDefault="00BE4849" w:rsidP="00696C2D">
            <w:pPr>
              <w:autoSpaceDE w:val="0"/>
              <w:autoSpaceDN w:val="0"/>
              <w:adjustRightInd w:val="0"/>
              <w:rPr>
                <w:rFonts w:ascii="Times New Roman" w:hAnsi="Times New Roman" w:cs="Times New Roman"/>
                <w:sz w:val="24"/>
              </w:rPr>
            </w:pPr>
          </w:p>
          <w:p w14:paraId="640373A5"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P value</w:t>
            </w:r>
          </w:p>
        </w:tc>
      </w:tr>
      <w:tr w:rsidR="00BE4849" w:rsidRPr="000A734E" w14:paraId="1FF868B3" w14:textId="77777777" w:rsidTr="00696C2D">
        <w:trPr>
          <w:trHeight w:val="486"/>
        </w:trPr>
        <w:tc>
          <w:tcPr>
            <w:tcW w:w="2265" w:type="dxa"/>
            <w:vMerge/>
          </w:tcPr>
          <w:p w14:paraId="6FF6C602" w14:textId="77777777" w:rsidR="00BE4849" w:rsidRPr="000A734E" w:rsidRDefault="00BE4849" w:rsidP="00696C2D">
            <w:pPr>
              <w:autoSpaceDE w:val="0"/>
              <w:autoSpaceDN w:val="0"/>
              <w:adjustRightInd w:val="0"/>
              <w:rPr>
                <w:rFonts w:ascii="Times New Roman" w:hAnsi="Times New Roman" w:cs="Times New Roman"/>
                <w:sz w:val="24"/>
              </w:rPr>
            </w:pPr>
          </w:p>
        </w:tc>
        <w:tc>
          <w:tcPr>
            <w:tcW w:w="2478" w:type="dxa"/>
          </w:tcPr>
          <w:p w14:paraId="69173622"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Yes (n=13)</w:t>
            </w:r>
          </w:p>
          <w:p w14:paraId="3A84967C" w14:textId="77777777" w:rsidR="00BE4849" w:rsidRPr="000A734E" w:rsidRDefault="00BE4849" w:rsidP="00696C2D">
            <w:pPr>
              <w:autoSpaceDE w:val="0"/>
              <w:autoSpaceDN w:val="0"/>
              <w:adjustRightInd w:val="0"/>
              <w:jc w:val="center"/>
              <w:rPr>
                <w:rFonts w:ascii="Times New Roman" w:hAnsi="Times New Roman" w:cs="Times New Roman"/>
                <w:sz w:val="24"/>
              </w:rPr>
            </w:pPr>
            <w:bookmarkStart w:id="32" w:name="_Hlk190511981"/>
            <w:r w:rsidRPr="000A734E">
              <w:rPr>
                <w:rFonts w:ascii="Times New Roman" w:hAnsi="Times New Roman" w:cs="Times New Roman"/>
                <w:sz w:val="24"/>
              </w:rPr>
              <w:t>mean± SD</w:t>
            </w:r>
            <w:bookmarkEnd w:id="32"/>
          </w:p>
        </w:tc>
        <w:tc>
          <w:tcPr>
            <w:tcW w:w="1814" w:type="dxa"/>
          </w:tcPr>
          <w:p w14:paraId="0B8DEE9D"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No (n=27)</w:t>
            </w:r>
          </w:p>
          <w:p w14:paraId="5F07AF29"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mean± SD</w:t>
            </w:r>
          </w:p>
        </w:tc>
        <w:tc>
          <w:tcPr>
            <w:tcW w:w="1754" w:type="dxa"/>
            <w:vMerge/>
          </w:tcPr>
          <w:p w14:paraId="44D7A597" w14:textId="77777777" w:rsidR="00BE4849" w:rsidRPr="000A734E" w:rsidRDefault="00BE4849" w:rsidP="00696C2D">
            <w:pPr>
              <w:autoSpaceDE w:val="0"/>
              <w:autoSpaceDN w:val="0"/>
              <w:adjustRightInd w:val="0"/>
              <w:rPr>
                <w:rFonts w:ascii="Times New Roman" w:hAnsi="Times New Roman" w:cs="Times New Roman"/>
                <w:sz w:val="24"/>
              </w:rPr>
            </w:pPr>
          </w:p>
        </w:tc>
      </w:tr>
      <w:tr w:rsidR="00BE4849" w:rsidRPr="000A734E" w14:paraId="32D22674" w14:textId="77777777" w:rsidTr="00696C2D">
        <w:trPr>
          <w:trHeight w:val="394"/>
        </w:trPr>
        <w:tc>
          <w:tcPr>
            <w:tcW w:w="2265" w:type="dxa"/>
          </w:tcPr>
          <w:p w14:paraId="17D56283" w14:textId="77777777" w:rsidR="00BE4849" w:rsidRPr="000A734E" w:rsidRDefault="00BE4849" w:rsidP="00696C2D">
            <w:pPr>
              <w:autoSpaceDE w:val="0"/>
              <w:autoSpaceDN w:val="0"/>
              <w:adjustRightInd w:val="0"/>
              <w:ind w:firstLine="720"/>
              <w:rPr>
                <w:rFonts w:ascii="Times New Roman" w:hAnsi="Times New Roman" w:cs="Times New Roman"/>
                <w:sz w:val="24"/>
              </w:rPr>
            </w:pPr>
            <w:r w:rsidRPr="000A734E">
              <w:rPr>
                <w:rFonts w:ascii="Times New Roman" w:hAnsi="Times New Roman" w:cs="Times New Roman"/>
                <w:sz w:val="24"/>
              </w:rPr>
              <w:t>Hb g/dl</w:t>
            </w:r>
          </w:p>
        </w:tc>
        <w:tc>
          <w:tcPr>
            <w:tcW w:w="2478" w:type="dxa"/>
          </w:tcPr>
          <w:p w14:paraId="7030FA01" w14:textId="77777777" w:rsidR="00BE4849" w:rsidRPr="000A734E" w:rsidRDefault="00BE4849" w:rsidP="00696C2D">
            <w:pPr>
              <w:jc w:val="center"/>
              <w:rPr>
                <w:rFonts w:ascii="Times New Roman" w:hAnsi="Times New Roman" w:cs="Times New Roman"/>
                <w:sz w:val="24"/>
              </w:rPr>
            </w:pPr>
            <w:bookmarkStart w:id="33" w:name="_Hlk190512012"/>
            <w:r w:rsidRPr="000A734E">
              <w:rPr>
                <w:rFonts w:ascii="Times New Roman" w:hAnsi="Times New Roman" w:cs="Times New Roman"/>
                <w:sz w:val="24"/>
              </w:rPr>
              <w:t>6.87±1.59</w:t>
            </w:r>
            <w:bookmarkEnd w:id="33"/>
          </w:p>
        </w:tc>
        <w:tc>
          <w:tcPr>
            <w:tcW w:w="1814" w:type="dxa"/>
          </w:tcPr>
          <w:p w14:paraId="21F3DDF8" w14:textId="77777777" w:rsidR="00BE4849" w:rsidRPr="000A734E" w:rsidRDefault="00BE4849" w:rsidP="00696C2D">
            <w:pPr>
              <w:jc w:val="center"/>
              <w:rPr>
                <w:rFonts w:ascii="Times New Roman" w:hAnsi="Times New Roman" w:cs="Times New Roman"/>
                <w:sz w:val="24"/>
              </w:rPr>
            </w:pPr>
            <w:r w:rsidRPr="000A734E">
              <w:rPr>
                <w:rFonts w:ascii="Times New Roman" w:hAnsi="Times New Roman" w:cs="Times New Roman"/>
                <w:sz w:val="24"/>
              </w:rPr>
              <w:t>6.65±1.87</w:t>
            </w:r>
          </w:p>
          <w:p w14:paraId="23973243"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7A6FEC88"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0.559</w:t>
            </w:r>
          </w:p>
        </w:tc>
      </w:tr>
      <w:tr w:rsidR="00BE4849" w:rsidRPr="000A734E" w14:paraId="3A9E3449" w14:textId="77777777" w:rsidTr="00696C2D">
        <w:trPr>
          <w:trHeight w:val="501"/>
        </w:trPr>
        <w:tc>
          <w:tcPr>
            <w:tcW w:w="2265" w:type="dxa"/>
          </w:tcPr>
          <w:p w14:paraId="4319EC29"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Hct %</w:t>
            </w:r>
          </w:p>
        </w:tc>
        <w:tc>
          <w:tcPr>
            <w:tcW w:w="2478" w:type="dxa"/>
          </w:tcPr>
          <w:p w14:paraId="5485A754"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21.40±4.02</w:t>
            </w:r>
          </w:p>
          <w:p w14:paraId="26711177"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5AB7D4CD"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21.87±6.93</w:t>
            </w:r>
          </w:p>
          <w:p w14:paraId="596B9CC1"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1069819E"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0.704</w:t>
            </w:r>
          </w:p>
        </w:tc>
      </w:tr>
      <w:tr w:rsidR="00BE4849" w:rsidRPr="000A734E" w14:paraId="34736B85" w14:textId="77777777" w:rsidTr="00696C2D">
        <w:trPr>
          <w:trHeight w:val="428"/>
        </w:trPr>
        <w:tc>
          <w:tcPr>
            <w:tcW w:w="2265" w:type="dxa"/>
          </w:tcPr>
          <w:p w14:paraId="62489C99"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MCV/</w:t>
            </w:r>
            <w:proofErr w:type="spellStart"/>
            <w:r w:rsidRPr="000A734E">
              <w:rPr>
                <w:rFonts w:ascii="Times New Roman" w:hAnsi="Times New Roman" w:cs="Times New Roman"/>
                <w:sz w:val="24"/>
              </w:rPr>
              <w:t>fl</w:t>
            </w:r>
            <w:proofErr w:type="spellEnd"/>
          </w:p>
        </w:tc>
        <w:tc>
          <w:tcPr>
            <w:tcW w:w="2478" w:type="dxa"/>
          </w:tcPr>
          <w:p w14:paraId="16AC8FBF"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75.6±4.59</w:t>
            </w:r>
          </w:p>
          <w:p w14:paraId="75135705"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01FE4358"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72.48±7.14</w:t>
            </w:r>
          </w:p>
          <w:p w14:paraId="126A496F"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128FDF3A"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0.962</w:t>
            </w:r>
          </w:p>
        </w:tc>
      </w:tr>
      <w:tr w:rsidR="00BE4849" w:rsidRPr="000A734E" w14:paraId="009AACD2" w14:textId="77777777" w:rsidTr="00696C2D">
        <w:trPr>
          <w:trHeight w:val="502"/>
        </w:trPr>
        <w:tc>
          <w:tcPr>
            <w:tcW w:w="2265" w:type="dxa"/>
          </w:tcPr>
          <w:p w14:paraId="4AF090AD"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RBC</w:t>
            </w:r>
          </w:p>
        </w:tc>
        <w:tc>
          <w:tcPr>
            <w:tcW w:w="2478" w:type="dxa"/>
          </w:tcPr>
          <w:p w14:paraId="09EB2201"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2.83±0.51</w:t>
            </w:r>
          </w:p>
          <w:p w14:paraId="1C843C15"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1801C28E"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2.91±0.78</w:t>
            </w:r>
          </w:p>
          <w:p w14:paraId="16917BA9"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6641AD1A"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0.446</w:t>
            </w:r>
          </w:p>
        </w:tc>
      </w:tr>
      <w:tr w:rsidR="00BE4849" w:rsidRPr="000A734E" w14:paraId="5565D0CB" w14:textId="77777777" w:rsidTr="00696C2D">
        <w:trPr>
          <w:trHeight w:val="452"/>
        </w:trPr>
        <w:tc>
          <w:tcPr>
            <w:tcW w:w="2265" w:type="dxa"/>
          </w:tcPr>
          <w:p w14:paraId="48E496C2"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 xml:space="preserve">Platelet </w:t>
            </w:r>
            <w:bookmarkStart w:id="34" w:name="_Hlk191404761"/>
            <w:r w:rsidRPr="000A734E">
              <w:rPr>
                <w:rFonts w:ascii="Times New Roman" w:hAnsi="Times New Roman" w:cs="Times New Roman"/>
                <w:sz w:val="24"/>
              </w:rPr>
              <w:t>×103 /µL</w:t>
            </w:r>
            <w:bookmarkEnd w:id="34"/>
          </w:p>
        </w:tc>
        <w:tc>
          <w:tcPr>
            <w:tcW w:w="2478" w:type="dxa"/>
          </w:tcPr>
          <w:p w14:paraId="0478593D" w14:textId="77777777" w:rsidR="00BE4849" w:rsidRPr="000A734E" w:rsidRDefault="00BE4849" w:rsidP="00696C2D">
            <w:pPr>
              <w:jc w:val="center"/>
              <w:rPr>
                <w:rFonts w:ascii="Times New Roman" w:hAnsi="Times New Roman" w:cs="Times New Roman"/>
                <w:sz w:val="24"/>
              </w:rPr>
            </w:pPr>
            <w:bookmarkStart w:id="35" w:name="_Hlk191404784"/>
            <w:r w:rsidRPr="000A734E">
              <w:rPr>
                <w:rFonts w:ascii="Times New Roman" w:hAnsi="Times New Roman" w:cs="Times New Roman"/>
                <w:sz w:val="24"/>
              </w:rPr>
              <w:t>720.23±329.6</w:t>
            </w:r>
            <w:bookmarkEnd w:id="35"/>
          </w:p>
        </w:tc>
        <w:tc>
          <w:tcPr>
            <w:tcW w:w="1814" w:type="dxa"/>
          </w:tcPr>
          <w:p w14:paraId="1804200D"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350.96±148.6</w:t>
            </w:r>
          </w:p>
          <w:p w14:paraId="714E509C"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64777239"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0.051*</w:t>
            </w:r>
          </w:p>
        </w:tc>
      </w:tr>
      <w:tr w:rsidR="00BE4849" w:rsidRPr="000A734E" w14:paraId="43DD9695" w14:textId="77777777" w:rsidTr="00696C2D">
        <w:trPr>
          <w:trHeight w:val="607"/>
        </w:trPr>
        <w:tc>
          <w:tcPr>
            <w:tcW w:w="2265" w:type="dxa"/>
          </w:tcPr>
          <w:p w14:paraId="3E07DEA7" w14:textId="77777777" w:rsidR="00BE4849" w:rsidRPr="000A734E" w:rsidRDefault="00BE4849" w:rsidP="00696C2D">
            <w:pPr>
              <w:autoSpaceDE w:val="0"/>
              <w:autoSpaceDN w:val="0"/>
              <w:adjustRightInd w:val="0"/>
              <w:jc w:val="center"/>
              <w:rPr>
                <w:rFonts w:ascii="Times New Roman" w:hAnsi="Times New Roman" w:cs="Times New Roman"/>
                <w:sz w:val="24"/>
              </w:rPr>
            </w:pPr>
            <w:bookmarkStart w:id="36" w:name="_Hlk191404165"/>
            <w:r w:rsidRPr="000A734E">
              <w:rPr>
                <w:rFonts w:ascii="Times New Roman" w:hAnsi="Times New Roman" w:cs="Times New Roman"/>
                <w:sz w:val="24"/>
              </w:rPr>
              <w:t>WBC×103 /µL</w:t>
            </w:r>
            <w:bookmarkEnd w:id="36"/>
          </w:p>
        </w:tc>
        <w:tc>
          <w:tcPr>
            <w:tcW w:w="2478" w:type="dxa"/>
          </w:tcPr>
          <w:p w14:paraId="4EF57D84" w14:textId="77777777" w:rsidR="00BE4849" w:rsidRPr="000A734E" w:rsidRDefault="00BE4849" w:rsidP="00696C2D">
            <w:pPr>
              <w:jc w:val="center"/>
              <w:rPr>
                <w:rFonts w:ascii="Times New Roman" w:hAnsi="Times New Roman" w:cs="Times New Roman"/>
                <w:sz w:val="24"/>
                <w:rtl/>
              </w:rPr>
            </w:pPr>
            <w:bookmarkStart w:id="37" w:name="_Hlk191404132"/>
            <w:r w:rsidRPr="000A734E">
              <w:rPr>
                <w:rFonts w:ascii="Times New Roman" w:hAnsi="Times New Roman" w:cs="Times New Roman"/>
                <w:sz w:val="24"/>
              </w:rPr>
              <w:t>65.92±52.61</w:t>
            </w:r>
          </w:p>
          <w:bookmarkEnd w:id="37"/>
          <w:p w14:paraId="3ADD0A6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4CE58010" w14:textId="77777777" w:rsidR="00BE4849" w:rsidRPr="000A734E" w:rsidRDefault="00BE4849" w:rsidP="00696C2D">
            <w:pPr>
              <w:jc w:val="center"/>
              <w:rPr>
                <w:rFonts w:ascii="Times New Roman" w:hAnsi="Times New Roman" w:cs="Times New Roman"/>
                <w:sz w:val="24"/>
              </w:rPr>
            </w:pPr>
            <w:bookmarkStart w:id="38" w:name="_Hlk191404188"/>
            <w:r w:rsidRPr="000A734E">
              <w:rPr>
                <w:rFonts w:ascii="Times New Roman" w:hAnsi="Times New Roman" w:cs="Times New Roman"/>
                <w:sz w:val="24"/>
              </w:rPr>
              <w:t>12.20±13.8</w:t>
            </w:r>
          </w:p>
          <w:bookmarkEnd w:id="38"/>
          <w:p w14:paraId="1B6ED3CF"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05C0788E"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0.000*</w:t>
            </w:r>
          </w:p>
        </w:tc>
      </w:tr>
      <w:tr w:rsidR="00BE4849" w:rsidRPr="000A734E" w14:paraId="2EAC3D4F" w14:textId="77777777" w:rsidTr="00696C2D">
        <w:trPr>
          <w:trHeight w:val="470"/>
        </w:trPr>
        <w:tc>
          <w:tcPr>
            <w:tcW w:w="2265" w:type="dxa"/>
          </w:tcPr>
          <w:p w14:paraId="26E6B868" w14:textId="77777777" w:rsidR="00BE4849" w:rsidRPr="000A734E" w:rsidRDefault="00BE4849" w:rsidP="00696C2D">
            <w:pPr>
              <w:autoSpaceDE w:val="0"/>
              <w:autoSpaceDN w:val="0"/>
              <w:adjustRightInd w:val="0"/>
              <w:jc w:val="center"/>
              <w:rPr>
                <w:rFonts w:ascii="Times New Roman" w:hAnsi="Times New Roman" w:cs="Times New Roman"/>
                <w:sz w:val="24"/>
              </w:rPr>
            </w:pPr>
            <w:proofErr w:type="gramStart"/>
            <w:r w:rsidRPr="000A734E">
              <w:rPr>
                <w:rFonts w:ascii="Times New Roman" w:hAnsi="Times New Roman" w:cs="Times New Roman"/>
                <w:sz w:val="24"/>
              </w:rPr>
              <w:t>RDW</w:t>
            </w:r>
            <w:r w:rsidRPr="000A734E">
              <w:rPr>
                <w:rFonts w:ascii="Calibri" w:hAnsi="Calibri" w:cs="Arial"/>
                <w:spacing w:val="-5"/>
                <w:sz w:val="24"/>
              </w:rPr>
              <w:t>(</w:t>
            </w:r>
            <w:proofErr w:type="gramEnd"/>
            <w:r w:rsidRPr="000A734E">
              <w:rPr>
                <w:rFonts w:ascii="Calibri" w:hAnsi="Calibri" w:cs="Arial"/>
                <w:spacing w:val="-5"/>
                <w:sz w:val="24"/>
              </w:rPr>
              <w:t>%)</w:t>
            </w:r>
          </w:p>
        </w:tc>
        <w:tc>
          <w:tcPr>
            <w:tcW w:w="2478" w:type="dxa"/>
          </w:tcPr>
          <w:p w14:paraId="7C3D454B" w14:textId="77777777" w:rsidR="00BE4849" w:rsidRPr="000A734E" w:rsidRDefault="00BE4849" w:rsidP="00696C2D">
            <w:pPr>
              <w:jc w:val="center"/>
              <w:rPr>
                <w:rFonts w:ascii="Times New Roman" w:hAnsi="Times New Roman" w:cs="Times New Roman"/>
                <w:sz w:val="24"/>
                <w:rtl/>
              </w:rPr>
            </w:pPr>
            <w:bookmarkStart w:id="39" w:name="_Hlk191404540"/>
            <w:r w:rsidRPr="000A734E">
              <w:rPr>
                <w:rFonts w:ascii="Times New Roman" w:hAnsi="Times New Roman" w:cs="Times New Roman"/>
                <w:sz w:val="24"/>
              </w:rPr>
              <w:t>24.02</w:t>
            </w:r>
            <w:bookmarkStart w:id="40" w:name="_Hlk190512157"/>
            <w:r w:rsidRPr="000A734E">
              <w:rPr>
                <w:rFonts w:ascii="Times New Roman" w:hAnsi="Times New Roman" w:cs="Times New Roman"/>
                <w:sz w:val="24"/>
              </w:rPr>
              <w:t>±</w:t>
            </w:r>
            <w:bookmarkEnd w:id="40"/>
            <w:r w:rsidRPr="000A734E">
              <w:rPr>
                <w:rFonts w:ascii="Times New Roman" w:hAnsi="Times New Roman" w:cs="Times New Roman"/>
                <w:sz w:val="24"/>
              </w:rPr>
              <w:t>5.67</w:t>
            </w:r>
          </w:p>
          <w:bookmarkEnd w:id="39"/>
          <w:p w14:paraId="55985471"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4FEC592D" w14:textId="77777777" w:rsidR="00BE4849" w:rsidRPr="000A734E" w:rsidRDefault="00BE4849" w:rsidP="00696C2D">
            <w:pPr>
              <w:jc w:val="center"/>
              <w:rPr>
                <w:rFonts w:ascii="Times New Roman" w:hAnsi="Times New Roman" w:cs="Times New Roman"/>
                <w:sz w:val="24"/>
              </w:rPr>
            </w:pPr>
            <w:r w:rsidRPr="000A734E">
              <w:rPr>
                <w:rFonts w:ascii="Times New Roman" w:hAnsi="Times New Roman" w:cs="Times New Roman"/>
                <w:sz w:val="24"/>
              </w:rPr>
              <w:t>20.4±7.37</w:t>
            </w:r>
          </w:p>
          <w:p w14:paraId="3926034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025915F6"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0.079</w:t>
            </w:r>
          </w:p>
        </w:tc>
      </w:tr>
      <w:tr w:rsidR="00BE4849" w:rsidRPr="000A734E" w14:paraId="72B8EBAD" w14:textId="77777777" w:rsidTr="00696C2D">
        <w:trPr>
          <w:trHeight w:val="478"/>
        </w:trPr>
        <w:tc>
          <w:tcPr>
            <w:tcW w:w="2265" w:type="dxa"/>
          </w:tcPr>
          <w:p w14:paraId="20B8C95C" w14:textId="77777777" w:rsidR="00BE4849" w:rsidRPr="000A734E" w:rsidRDefault="00BE4849" w:rsidP="00696C2D">
            <w:pPr>
              <w:autoSpaceDE w:val="0"/>
              <w:autoSpaceDN w:val="0"/>
              <w:adjustRightInd w:val="0"/>
              <w:jc w:val="center"/>
              <w:rPr>
                <w:rFonts w:ascii="Times New Roman" w:hAnsi="Times New Roman" w:cs="Times New Roman"/>
                <w:sz w:val="24"/>
              </w:rPr>
            </w:pPr>
            <w:proofErr w:type="gramStart"/>
            <w:r w:rsidRPr="000A734E">
              <w:rPr>
                <w:rFonts w:ascii="Times New Roman" w:hAnsi="Times New Roman" w:cs="Times New Roman"/>
                <w:sz w:val="24"/>
              </w:rPr>
              <w:t>MCH</w:t>
            </w:r>
            <w:r w:rsidRPr="000A734E">
              <w:rPr>
                <w:rFonts w:ascii="Calibri" w:hAnsi="Calibri" w:cs="Arial"/>
                <w:spacing w:val="-4"/>
                <w:sz w:val="24"/>
              </w:rPr>
              <w:t>(</w:t>
            </w:r>
            <w:proofErr w:type="spellStart"/>
            <w:proofErr w:type="gramEnd"/>
            <w:r w:rsidRPr="000A734E">
              <w:rPr>
                <w:rFonts w:ascii="Calibri" w:hAnsi="Calibri" w:cs="Arial"/>
                <w:spacing w:val="-4"/>
                <w:sz w:val="24"/>
              </w:rPr>
              <w:t>pg</w:t>
            </w:r>
            <w:proofErr w:type="spellEnd"/>
            <w:r w:rsidRPr="000A734E">
              <w:rPr>
                <w:rFonts w:ascii="Calibri" w:hAnsi="Calibri" w:cs="Arial"/>
                <w:spacing w:val="-4"/>
                <w:sz w:val="24"/>
              </w:rPr>
              <w:t>)</w:t>
            </w:r>
          </w:p>
        </w:tc>
        <w:tc>
          <w:tcPr>
            <w:tcW w:w="2478" w:type="dxa"/>
          </w:tcPr>
          <w:p w14:paraId="6C1187BD"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24.16±2.54</w:t>
            </w:r>
          </w:p>
          <w:p w14:paraId="77915C23"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1E889BEF" w14:textId="77777777" w:rsidR="00BE4849" w:rsidRPr="000A734E" w:rsidRDefault="00BE4849" w:rsidP="00696C2D">
            <w:pPr>
              <w:jc w:val="center"/>
              <w:rPr>
                <w:rFonts w:ascii="Times New Roman" w:hAnsi="Times New Roman" w:cs="Times New Roman"/>
                <w:sz w:val="24"/>
              </w:rPr>
            </w:pPr>
            <w:r w:rsidRPr="000A734E">
              <w:rPr>
                <w:rFonts w:ascii="Times New Roman" w:hAnsi="Times New Roman" w:cs="Times New Roman"/>
                <w:sz w:val="24"/>
              </w:rPr>
              <w:t>23.80±3.04</w:t>
            </w:r>
          </w:p>
          <w:p w14:paraId="79D2E4F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2AA76420"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0.559</w:t>
            </w:r>
          </w:p>
        </w:tc>
      </w:tr>
      <w:tr w:rsidR="00BE4849" w:rsidRPr="000A734E" w14:paraId="40209921" w14:textId="77777777" w:rsidTr="00696C2D">
        <w:trPr>
          <w:trHeight w:val="70"/>
        </w:trPr>
        <w:tc>
          <w:tcPr>
            <w:tcW w:w="2265" w:type="dxa"/>
          </w:tcPr>
          <w:p w14:paraId="3B3633B3"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MCHC</w:t>
            </w:r>
            <w:r w:rsidRPr="000A734E">
              <w:rPr>
                <w:rFonts w:ascii="Calibri" w:hAnsi="Calibri" w:cs="Arial"/>
                <w:spacing w:val="-2"/>
                <w:sz w:val="24"/>
              </w:rPr>
              <w:t>(g/dl)</w:t>
            </w:r>
          </w:p>
        </w:tc>
        <w:tc>
          <w:tcPr>
            <w:tcW w:w="2478" w:type="dxa"/>
          </w:tcPr>
          <w:p w14:paraId="296A2A94"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31.9±2.33</w:t>
            </w:r>
          </w:p>
          <w:p w14:paraId="68F02D5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6108E1BC"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32.68±2.28</w:t>
            </w:r>
          </w:p>
          <w:p w14:paraId="2CC8D5C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2FBEA730"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0.720</w:t>
            </w:r>
          </w:p>
        </w:tc>
      </w:tr>
    </w:tbl>
    <w:p w14:paraId="46401F5A" w14:textId="77777777" w:rsidR="00F30946" w:rsidRDefault="00F30946" w:rsidP="00BE4849">
      <w:pPr>
        <w:jc w:val="both"/>
        <w:rPr>
          <w:rFonts w:ascii="Times New Roman" w:eastAsia="Calibri" w:hAnsi="Times New Roman" w:cs="Times New Roman"/>
          <w:sz w:val="24"/>
        </w:rPr>
      </w:pPr>
      <w:r>
        <w:rPr>
          <w:rFonts w:ascii="Times New Roman" w:eastAsia="Calibri" w:hAnsi="Times New Roman" w:cs="Times New Roman"/>
          <w:sz w:val="24"/>
        </w:rPr>
        <w:t xml:space="preserve">                 </w:t>
      </w:r>
    </w:p>
    <w:p w14:paraId="7C72B148" w14:textId="77777777" w:rsidR="00F30946" w:rsidRDefault="00F30946" w:rsidP="00BE4849">
      <w:pPr>
        <w:jc w:val="both"/>
        <w:rPr>
          <w:rFonts w:ascii="Times New Roman" w:eastAsia="Calibri" w:hAnsi="Times New Roman" w:cs="Times New Roman"/>
          <w:sz w:val="24"/>
        </w:rPr>
      </w:pPr>
    </w:p>
    <w:p w14:paraId="3D9F65C6" w14:textId="24FF97E3" w:rsidR="00BE4849" w:rsidRPr="000A734E" w:rsidRDefault="00BE4849" w:rsidP="00BE4849">
      <w:pPr>
        <w:jc w:val="both"/>
        <w:rPr>
          <w:rFonts w:ascii="Times New Roman" w:eastAsia="Calibri" w:hAnsi="Times New Roman" w:cs="Times New Roman"/>
          <w:sz w:val="24"/>
        </w:rPr>
      </w:pPr>
      <w:r w:rsidRPr="000A734E">
        <w:rPr>
          <w:rFonts w:ascii="Times New Roman" w:eastAsia="Calibri" w:hAnsi="Times New Roman" w:cs="Times New Roman"/>
          <w:sz w:val="24"/>
        </w:rPr>
        <w:t>In this study</w:t>
      </w:r>
      <w:r>
        <w:rPr>
          <w:rFonts w:ascii="Times New Roman" w:eastAsia="Calibri" w:hAnsi="Times New Roman" w:cs="Times New Roman"/>
          <w:sz w:val="24"/>
        </w:rPr>
        <w:t>,</w:t>
      </w:r>
      <w:r w:rsidRPr="000A734E">
        <w:rPr>
          <w:rFonts w:ascii="Times New Roman" w:eastAsia="Calibri" w:hAnsi="Times New Roman" w:cs="Times New Roman"/>
          <w:sz w:val="24"/>
        </w:rPr>
        <w:t xml:space="preserve"> 32.5% of thalassemia major patients undergo splenectomy. </w:t>
      </w:r>
      <w:bookmarkStart w:id="41" w:name="_Hlk195645959"/>
      <w:r w:rsidRPr="000A734E">
        <w:rPr>
          <w:rFonts w:ascii="Times New Roman" w:eastAsia="Calibri" w:hAnsi="Times New Roman" w:cs="Times New Roman"/>
          <w:sz w:val="24"/>
        </w:rPr>
        <w:t>Table 4</w:t>
      </w:r>
      <w:bookmarkEnd w:id="41"/>
      <w:r w:rsidRPr="000A734E">
        <w:rPr>
          <w:rFonts w:ascii="Times New Roman" w:eastAsia="Calibri" w:hAnsi="Times New Roman" w:cs="Times New Roman"/>
          <w:sz w:val="24"/>
        </w:rPr>
        <w:t xml:space="preserve"> </w:t>
      </w:r>
      <w:r>
        <w:rPr>
          <w:rFonts w:ascii="Times New Roman" w:eastAsia="Calibri" w:hAnsi="Times New Roman" w:cs="Times New Roman"/>
          <w:sz w:val="24"/>
        </w:rPr>
        <w:t>shows</w:t>
      </w:r>
      <w:r w:rsidRPr="000A734E">
        <w:rPr>
          <w:rFonts w:ascii="Times New Roman" w:eastAsia="Calibri" w:hAnsi="Times New Roman" w:cs="Times New Roman"/>
          <w:sz w:val="24"/>
        </w:rPr>
        <w:t xml:space="preserve"> that </w:t>
      </w:r>
      <w:bookmarkStart w:id="42" w:name="_Hlk194967657"/>
      <w:bookmarkStart w:id="43" w:name="_Hlk191484276"/>
      <w:r w:rsidRPr="000A734E">
        <w:rPr>
          <w:rFonts w:ascii="Times New Roman" w:eastAsia="Calibri" w:hAnsi="Times New Roman" w:cs="Times New Roman"/>
          <w:sz w:val="24"/>
        </w:rPr>
        <w:t>patients</w:t>
      </w:r>
      <w:bookmarkEnd w:id="42"/>
      <w:r w:rsidRPr="000A734E">
        <w:rPr>
          <w:rFonts w:ascii="Times New Roman" w:eastAsia="Calibri" w:hAnsi="Times New Roman" w:cs="Times New Roman"/>
          <w:sz w:val="24"/>
        </w:rPr>
        <w:t xml:space="preserve"> </w:t>
      </w:r>
      <w:bookmarkStart w:id="44" w:name="_Hlk191404727"/>
      <w:r w:rsidRPr="000A734E">
        <w:rPr>
          <w:rFonts w:ascii="Times New Roman" w:eastAsia="Calibri" w:hAnsi="Times New Roman" w:cs="Times New Roman"/>
          <w:sz w:val="24"/>
        </w:rPr>
        <w:t xml:space="preserve">have </w:t>
      </w:r>
      <w:r>
        <w:rPr>
          <w:rFonts w:ascii="Times New Roman" w:eastAsia="Calibri" w:hAnsi="Times New Roman" w:cs="Times New Roman"/>
          <w:sz w:val="24"/>
        </w:rPr>
        <w:t xml:space="preserve">a </w:t>
      </w:r>
      <w:r w:rsidRPr="000A734E">
        <w:rPr>
          <w:rFonts w:ascii="Times New Roman" w:eastAsia="Calibri" w:hAnsi="Times New Roman" w:cs="Times New Roman"/>
          <w:sz w:val="24"/>
        </w:rPr>
        <w:t>higher value</w:t>
      </w:r>
      <w:bookmarkEnd w:id="43"/>
      <w:r w:rsidRPr="000A734E">
        <w:rPr>
          <w:rFonts w:ascii="Times New Roman" w:eastAsia="Calibri" w:hAnsi="Times New Roman" w:cs="Times New Roman"/>
          <w:sz w:val="24"/>
        </w:rPr>
        <w:t xml:space="preserve"> of WBC×103 /µL (65.92±52.61) than</w:t>
      </w:r>
      <w:r>
        <w:rPr>
          <w:rFonts w:ascii="Times New Roman" w:eastAsia="Calibri" w:hAnsi="Times New Roman" w:cs="Times New Roman"/>
          <w:sz w:val="24"/>
        </w:rPr>
        <w:t xml:space="preserve"> non-</w:t>
      </w:r>
      <w:r w:rsidRPr="008A09A5">
        <w:rPr>
          <w:rFonts w:ascii="Times New Roman" w:eastAsia="Calibri" w:hAnsi="Times New Roman" w:cs="Times New Roman"/>
          <w:sz w:val="24"/>
        </w:rPr>
        <w:t xml:space="preserve"> </w:t>
      </w:r>
      <w:r>
        <w:rPr>
          <w:rFonts w:ascii="Times New Roman" w:eastAsia="Calibri" w:hAnsi="Times New Roman" w:cs="Times New Roman"/>
          <w:sz w:val="24"/>
        </w:rPr>
        <w:t>splenectomy patient</w:t>
      </w:r>
      <w:r w:rsidRPr="000A734E">
        <w:rPr>
          <w:rFonts w:ascii="Times New Roman" w:eastAsia="Calibri" w:hAnsi="Times New Roman" w:cs="Times New Roman"/>
          <w:sz w:val="24"/>
        </w:rPr>
        <w:t xml:space="preserve"> </w:t>
      </w:r>
      <w:bookmarkStart w:id="45" w:name="_Hlk195642012"/>
      <w:proofErr w:type="spellStart"/>
      <w:r>
        <w:rPr>
          <w:rFonts w:ascii="Times New Roman" w:eastAsia="Calibri" w:hAnsi="Times New Roman" w:cs="Times New Roman"/>
          <w:sz w:val="24"/>
        </w:rPr>
        <w:t>mean±SD</w:t>
      </w:r>
      <w:proofErr w:type="spellEnd"/>
      <w:r w:rsidRPr="000A734E">
        <w:rPr>
          <w:rFonts w:ascii="Times New Roman" w:eastAsia="Calibri" w:hAnsi="Times New Roman" w:cs="Times New Roman"/>
          <w:sz w:val="24"/>
        </w:rPr>
        <w:t xml:space="preserve"> </w:t>
      </w:r>
      <w:bookmarkEnd w:id="45"/>
      <w:r w:rsidRPr="000A734E">
        <w:rPr>
          <w:rFonts w:ascii="Times New Roman" w:eastAsia="Calibri" w:hAnsi="Times New Roman" w:cs="Times New Roman"/>
          <w:sz w:val="24"/>
        </w:rPr>
        <w:t>(12.20</w:t>
      </w:r>
      <w:bookmarkStart w:id="46" w:name="_Hlk191404888"/>
      <w:r w:rsidRPr="000A734E">
        <w:rPr>
          <w:rFonts w:ascii="Times New Roman" w:eastAsia="Calibri" w:hAnsi="Times New Roman" w:cs="Times New Roman"/>
          <w:sz w:val="24"/>
        </w:rPr>
        <w:t>±</w:t>
      </w:r>
      <w:bookmarkEnd w:id="46"/>
      <w:r w:rsidRPr="000A734E">
        <w:rPr>
          <w:rFonts w:ascii="Times New Roman" w:eastAsia="Calibri" w:hAnsi="Times New Roman" w:cs="Times New Roman"/>
          <w:sz w:val="24"/>
        </w:rPr>
        <w:t>13.81</w:t>
      </w:r>
      <w:bookmarkEnd w:id="44"/>
      <w:r w:rsidRPr="000A734E">
        <w:rPr>
          <w:rFonts w:ascii="Times New Roman" w:eastAsia="Calibri" w:hAnsi="Times New Roman" w:cs="Times New Roman"/>
          <w:sz w:val="24"/>
        </w:rPr>
        <w:t>).</w:t>
      </w:r>
    </w:p>
    <w:p w14:paraId="27102E27" w14:textId="32E2EF82" w:rsidR="00BE4849" w:rsidRDefault="00BE4849" w:rsidP="00BE4849">
      <w:pPr>
        <w:jc w:val="both"/>
        <w:rPr>
          <w:rFonts w:asciiTheme="majorBidi" w:hAnsiTheme="majorBidi"/>
          <w:sz w:val="24"/>
        </w:rPr>
      </w:pPr>
      <w:r w:rsidRPr="000A734E">
        <w:rPr>
          <w:rFonts w:asciiTheme="majorBidi" w:hAnsiTheme="majorBidi"/>
          <w:sz w:val="24"/>
        </w:rPr>
        <w:t xml:space="preserve">Table 4 </w:t>
      </w:r>
      <w:r>
        <w:rPr>
          <w:rFonts w:asciiTheme="majorBidi" w:hAnsiTheme="majorBidi"/>
          <w:sz w:val="24"/>
        </w:rPr>
        <w:t>shows</w:t>
      </w:r>
      <w:r w:rsidRPr="000A734E">
        <w:rPr>
          <w:rFonts w:asciiTheme="majorBidi" w:hAnsiTheme="majorBidi"/>
          <w:sz w:val="24"/>
        </w:rPr>
        <w:t xml:space="preserve"> </w:t>
      </w:r>
      <w:r>
        <w:rPr>
          <w:rFonts w:asciiTheme="majorBidi" w:hAnsiTheme="majorBidi"/>
          <w:sz w:val="24"/>
        </w:rPr>
        <w:t xml:space="preserve">a </w:t>
      </w:r>
      <w:r w:rsidRPr="000A734E">
        <w:rPr>
          <w:rFonts w:asciiTheme="majorBidi" w:hAnsiTheme="majorBidi"/>
          <w:sz w:val="24"/>
        </w:rPr>
        <w:t>remarkable increase value of platelate×103 /µL count in</w:t>
      </w:r>
      <w:r>
        <w:rPr>
          <w:rFonts w:asciiTheme="majorBidi" w:hAnsiTheme="majorBidi"/>
          <w:sz w:val="24"/>
        </w:rPr>
        <w:t xml:space="preserve"> </w:t>
      </w:r>
      <w:proofErr w:type="spellStart"/>
      <w:r>
        <w:rPr>
          <w:rFonts w:asciiTheme="majorBidi" w:hAnsiTheme="majorBidi"/>
          <w:sz w:val="24"/>
        </w:rPr>
        <w:t>splenoctomy</w:t>
      </w:r>
      <w:proofErr w:type="spellEnd"/>
      <w:r w:rsidRPr="000A734E">
        <w:rPr>
          <w:rFonts w:asciiTheme="majorBidi" w:hAnsiTheme="majorBidi"/>
          <w:sz w:val="24"/>
        </w:rPr>
        <w:t xml:space="preserve"> patients</w:t>
      </w:r>
      <w:r>
        <w:rPr>
          <w:rFonts w:asciiTheme="majorBidi" w:hAnsiTheme="majorBidi"/>
          <w:sz w:val="24"/>
        </w:rPr>
        <w:t>,</w:t>
      </w:r>
      <w:r w:rsidRPr="000A734E">
        <w:rPr>
          <w:rFonts w:asciiTheme="majorBidi" w:hAnsiTheme="majorBidi"/>
          <w:sz w:val="24"/>
        </w:rPr>
        <w:t xml:space="preserve"> </w:t>
      </w:r>
      <w:proofErr w:type="spellStart"/>
      <w:r>
        <w:rPr>
          <w:rFonts w:asciiTheme="majorBidi" w:hAnsiTheme="majorBidi"/>
          <w:sz w:val="24"/>
        </w:rPr>
        <w:t>mean±SD</w:t>
      </w:r>
      <w:proofErr w:type="spellEnd"/>
      <w:r w:rsidRPr="000A734E">
        <w:rPr>
          <w:rFonts w:asciiTheme="majorBidi" w:hAnsiTheme="majorBidi"/>
          <w:sz w:val="24"/>
        </w:rPr>
        <w:t xml:space="preserve"> (720.23</w:t>
      </w:r>
      <w:bookmarkStart w:id="47" w:name="_Hlk191404947"/>
      <w:r w:rsidRPr="000A734E">
        <w:rPr>
          <w:rFonts w:asciiTheme="majorBidi" w:hAnsiTheme="majorBidi"/>
          <w:sz w:val="24"/>
        </w:rPr>
        <w:t>±</w:t>
      </w:r>
      <w:bookmarkEnd w:id="47"/>
      <w:r w:rsidRPr="000A734E">
        <w:rPr>
          <w:rFonts w:asciiTheme="majorBidi" w:hAnsiTheme="majorBidi"/>
          <w:sz w:val="24"/>
        </w:rPr>
        <w:t>329.65)</w:t>
      </w:r>
      <w:r>
        <w:rPr>
          <w:rFonts w:asciiTheme="majorBidi" w:hAnsiTheme="majorBidi"/>
          <w:sz w:val="24"/>
        </w:rPr>
        <w:t>,</w:t>
      </w:r>
      <w:r w:rsidRPr="000A734E">
        <w:rPr>
          <w:rFonts w:asciiTheme="majorBidi" w:hAnsiTheme="majorBidi"/>
          <w:sz w:val="24"/>
        </w:rPr>
        <w:t xml:space="preserve"> then non-</w:t>
      </w:r>
      <w:r>
        <w:rPr>
          <w:rFonts w:ascii="Times New Roman" w:eastAsia="Calibri" w:hAnsi="Times New Roman" w:cs="Times New Roman"/>
          <w:sz w:val="24"/>
        </w:rPr>
        <w:t xml:space="preserve">splenectomy </w:t>
      </w:r>
      <w:r w:rsidRPr="000A734E">
        <w:rPr>
          <w:rFonts w:asciiTheme="majorBidi" w:hAnsiTheme="majorBidi"/>
          <w:sz w:val="24"/>
        </w:rPr>
        <w:t>(350.96±148.63)</w:t>
      </w:r>
      <w:r>
        <w:rPr>
          <w:rFonts w:asciiTheme="majorBidi" w:hAnsiTheme="majorBidi"/>
          <w:sz w:val="24"/>
        </w:rPr>
        <w:t>,</w:t>
      </w:r>
      <w:r w:rsidRPr="000A734E">
        <w:rPr>
          <w:rFonts w:asciiTheme="majorBidi" w:hAnsiTheme="majorBidi"/>
          <w:sz w:val="24"/>
        </w:rPr>
        <w:t xml:space="preserve"> with </w:t>
      </w:r>
      <w:r>
        <w:rPr>
          <w:rFonts w:asciiTheme="majorBidi" w:hAnsiTheme="majorBidi"/>
          <w:sz w:val="24"/>
        </w:rPr>
        <w:t>a statistically</w:t>
      </w:r>
      <w:r w:rsidRPr="000A734E">
        <w:rPr>
          <w:rFonts w:asciiTheme="majorBidi" w:hAnsiTheme="majorBidi"/>
          <w:sz w:val="24"/>
        </w:rPr>
        <w:t xml:space="preserve"> significant difference </w:t>
      </w:r>
      <w:r>
        <w:rPr>
          <w:rFonts w:asciiTheme="majorBidi" w:hAnsiTheme="majorBidi"/>
          <w:sz w:val="24"/>
        </w:rPr>
        <w:t>concerning</w:t>
      </w:r>
      <w:r w:rsidRPr="000A734E">
        <w:rPr>
          <w:rFonts w:asciiTheme="majorBidi" w:hAnsiTheme="majorBidi"/>
          <w:sz w:val="24"/>
        </w:rPr>
        <w:t xml:space="preserve"> platelet and white blood cell count</w:t>
      </w:r>
      <w:r>
        <w:rPr>
          <w:rFonts w:asciiTheme="majorBidi" w:hAnsiTheme="majorBidi"/>
          <w:sz w:val="24"/>
        </w:rPr>
        <w:t>,</w:t>
      </w:r>
      <w:r w:rsidRPr="000A734E">
        <w:rPr>
          <w:rFonts w:asciiTheme="majorBidi" w:hAnsiTheme="majorBidi"/>
          <w:sz w:val="24"/>
        </w:rPr>
        <w:t xml:space="preserve"> with p</w:t>
      </w:r>
      <w:bookmarkStart w:id="48" w:name="_Hlk194967918"/>
      <w:r w:rsidRPr="000A734E">
        <w:rPr>
          <w:rFonts w:asciiTheme="majorBidi" w:hAnsiTheme="majorBidi"/>
          <w:sz w:val="24"/>
        </w:rPr>
        <w:t>≤0.05</w:t>
      </w:r>
      <w:bookmarkEnd w:id="48"/>
      <w:r w:rsidRPr="000A734E">
        <w:rPr>
          <w:rFonts w:asciiTheme="majorBidi" w:hAnsiTheme="majorBidi"/>
          <w:sz w:val="24"/>
        </w:rPr>
        <w:t xml:space="preserve"> (Table 4,).</w:t>
      </w:r>
      <w:bookmarkStart w:id="49" w:name="_Hlk197244253"/>
    </w:p>
    <w:p w14:paraId="32C7641D" w14:textId="77777777" w:rsidR="00BE4849" w:rsidRDefault="00BE4849" w:rsidP="00BE4849">
      <w:pPr>
        <w:jc w:val="both"/>
        <w:rPr>
          <w:rFonts w:asciiTheme="majorBidi" w:hAnsiTheme="majorBidi"/>
          <w:sz w:val="24"/>
        </w:rPr>
      </w:pPr>
      <w:r w:rsidRPr="000A734E">
        <w:rPr>
          <w:rFonts w:asciiTheme="majorBidi" w:hAnsiTheme="majorBidi"/>
          <w:sz w:val="24"/>
        </w:rPr>
        <w:t xml:space="preserve">In </w:t>
      </w:r>
      <w:r>
        <w:rPr>
          <w:rFonts w:asciiTheme="majorBidi" w:hAnsiTheme="majorBidi"/>
          <w:sz w:val="24"/>
        </w:rPr>
        <w:t xml:space="preserve">the </w:t>
      </w:r>
      <w:r w:rsidRPr="000A734E">
        <w:rPr>
          <w:rFonts w:asciiTheme="majorBidi" w:hAnsiTheme="majorBidi"/>
          <w:sz w:val="24"/>
        </w:rPr>
        <w:t>same table</w:t>
      </w:r>
      <w:r>
        <w:rPr>
          <w:rFonts w:asciiTheme="majorBidi" w:hAnsiTheme="majorBidi"/>
          <w:sz w:val="24"/>
        </w:rPr>
        <w:t>,</w:t>
      </w:r>
      <w:r w:rsidRPr="000A734E">
        <w:rPr>
          <w:rFonts w:asciiTheme="majorBidi" w:hAnsiTheme="majorBidi"/>
          <w:sz w:val="24"/>
        </w:rPr>
        <w:t xml:space="preserve"> </w:t>
      </w:r>
      <w:r>
        <w:rPr>
          <w:rFonts w:asciiTheme="majorBidi" w:hAnsiTheme="majorBidi"/>
          <w:sz w:val="24"/>
        </w:rPr>
        <w:t>RDW represents</w:t>
      </w:r>
      <w:r w:rsidRPr="000A734E">
        <w:rPr>
          <w:rFonts w:asciiTheme="majorBidi" w:hAnsiTheme="majorBidi"/>
          <w:sz w:val="24"/>
        </w:rPr>
        <w:t xml:space="preserve"> </w:t>
      </w:r>
      <w:r>
        <w:rPr>
          <w:rFonts w:asciiTheme="majorBidi" w:hAnsiTheme="majorBidi"/>
          <w:sz w:val="24"/>
        </w:rPr>
        <w:t xml:space="preserve">a </w:t>
      </w:r>
      <w:r w:rsidRPr="000A734E">
        <w:rPr>
          <w:rFonts w:asciiTheme="majorBidi" w:hAnsiTheme="majorBidi"/>
          <w:sz w:val="24"/>
        </w:rPr>
        <w:t>slightly higher value in splenectom</w:t>
      </w:r>
      <w:r>
        <w:rPr>
          <w:rFonts w:asciiTheme="majorBidi" w:hAnsiTheme="majorBidi"/>
          <w:sz w:val="24"/>
        </w:rPr>
        <w:t>y</w:t>
      </w:r>
      <w:r w:rsidRPr="000A734E">
        <w:rPr>
          <w:rFonts w:asciiTheme="majorBidi" w:hAnsiTheme="majorBidi"/>
          <w:sz w:val="24"/>
        </w:rPr>
        <w:t xml:space="preserve"> than </w:t>
      </w:r>
      <w:r>
        <w:rPr>
          <w:rFonts w:asciiTheme="majorBidi" w:hAnsiTheme="majorBidi"/>
          <w:sz w:val="24"/>
        </w:rPr>
        <w:t xml:space="preserve">non-splenectomy, </w:t>
      </w:r>
      <w:r w:rsidRPr="000A734E">
        <w:rPr>
          <w:rFonts w:asciiTheme="majorBidi" w:hAnsiTheme="majorBidi"/>
          <w:sz w:val="24"/>
        </w:rPr>
        <w:t xml:space="preserve">with no </w:t>
      </w:r>
      <w:r>
        <w:rPr>
          <w:rFonts w:asciiTheme="majorBidi" w:hAnsiTheme="majorBidi"/>
          <w:sz w:val="24"/>
        </w:rPr>
        <w:t>statistically</w:t>
      </w:r>
      <w:r w:rsidRPr="000A734E">
        <w:rPr>
          <w:rFonts w:asciiTheme="majorBidi" w:hAnsiTheme="majorBidi"/>
          <w:sz w:val="24"/>
        </w:rPr>
        <w:t xml:space="preserve"> significant p≥0.05.</w:t>
      </w:r>
    </w:p>
    <w:p w14:paraId="2C585EF0" w14:textId="77777777" w:rsidR="00F30946" w:rsidRDefault="00F30946" w:rsidP="00BE4849">
      <w:pPr>
        <w:jc w:val="both"/>
        <w:rPr>
          <w:rFonts w:asciiTheme="majorBidi" w:hAnsiTheme="majorBidi"/>
          <w:sz w:val="24"/>
        </w:rPr>
      </w:pPr>
    </w:p>
    <w:p w14:paraId="359B995C" w14:textId="77777777" w:rsidR="00F30946" w:rsidRDefault="00F30946" w:rsidP="00BE4849">
      <w:pPr>
        <w:jc w:val="both"/>
        <w:rPr>
          <w:rFonts w:asciiTheme="majorBidi" w:hAnsiTheme="majorBidi"/>
          <w:sz w:val="24"/>
        </w:rPr>
      </w:pPr>
    </w:p>
    <w:p w14:paraId="3CBA4FFD" w14:textId="77777777" w:rsidR="00F30946" w:rsidRDefault="00F30946" w:rsidP="00BE4849">
      <w:pPr>
        <w:jc w:val="both"/>
        <w:rPr>
          <w:rFonts w:asciiTheme="majorBidi" w:hAnsiTheme="majorBidi"/>
          <w:sz w:val="24"/>
        </w:rPr>
      </w:pPr>
    </w:p>
    <w:p w14:paraId="5EBE68B1" w14:textId="77777777" w:rsidR="00F30946" w:rsidRDefault="00F30946" w:rsidP="00BE4849">
      <w:pPr>
        <w:jc w:val="both"/>
        <w:rPr>
          <w:rFonts w:asciiTheme="majorBidi" w:hAnsiTheme="majorBidi"/>
          <w:sz w:val="24"/>
        </w:rPr>
      </w:pPr>
    </w:p>
    <w:p w14:paraId="372C341A" w14:textId="77777777" w:rsidR="00F30946" w:rsidRPr="000A734E" w:rsidRDefault="00F30946" w:rsidP="00BE4849">
      <w:pPr>
        <w:jc w:val="both"/>
        <w:rPr>
          <w:rFonts w:asciiTheme="majorBidi" w:hAnsiTheme="majorBidi"/>
          <w:sz w:val="24"/>
        </w:rPr>
      </w:pPr>
    </w:p>
    <w:bookmarkEnd w:id="49"/>
    <w:p w14:paraId="114834AD" w14:textId="5FD23792" w:rsidR="00BE4849" w:rsidRDefault="00BE4849" w:rsidP="00BE4849">
      <w:pPr>
        <w:tabs>
          <w:tab w:val="left" w:pos="7525"/>
        </w:tabs>
        <w:spacing w:line="360" w:lineRule="auto"/>
        <w:rPr>
          <w:rFonts w:asciiTheme="majorBidi" w:hAnsiTheme="majorBidi"/>
          <w:b/>
          <w:bCs/>
          <w:sz w:val="24"/>
        </w:rPr>
      </w:pPr>
      <w:r w:rsidRPr="00380C49">
        <w:rPr>
          <w:rFonts w:asciiTheme="majorBidi" w:hAnsiTheme="majorBidi"/>
          <w:b/>
          <w:bCs/>
          <w:sz w:val="24"/>
        </w:rPr>
        <w:lastRenderedPageBreak/>
        <w:t xml:space="preserve">Table </w:t>
      </w:r>
      <w:r>
        <w:rPr>
          <w:rFonts w:asciiTheme="majorBidi" w:hAnsiTheme="majorBidi"/>
          <w:b/>
          <w:bCs/>
          <w:sz w:val="24"/>
        </w:rPr>
        <w:t>5</w:t>
      </w:r>
      <w:r w:rsidRPr="00380C49">
        <w:rPr>
          <w:rFonts w:asciiTheme="majorBidi" w:hAnsiTheme="majorBidi"/>
          <w:b/>
          <w:bCs/>
          <w:sz w:val="24"/>
        </w:rPr>
        <w:t>. Characteristics of thalassemia major patients including serum ferritin and bone markers</w:t>
      </w:r>
    </w:p>
    <w:tbl>
      <w:tblPr>
        <w:tblpPr w:leftFromText="180" w:rightFromText="180" w:vertAnchor="text" w:horzAnchor="margin" w:tblpY="20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256"/>
        <w:gridCol w:w="1134"/>
        <w:gridCol w:w="992"/>
        <w:gridCol w:w="1134"/>
        <w:gridCol w:w="850"/>
        <w:gridCol w:w="993"/>
        <w:gridCol w:w="1275"/>
      </w:tblGrid>
      <w:tr w:rsidR="00F30946" w:rsidRPr="00B832FC" w14:paraId="1EF924A0" w14:textId="77777777" w:rsidTr="00F30946">
        <w:trPr>
          <w:trHeight w:val="432"/>
        </w:trPr>
        <w:tc>
          <w:tcPr>
            <w:tcW w:w="3256" w:type="dxa"/>
            <w:vMerge w:val="restart"/>
            <w:shd w:val="clear" w:color="auto" w:fill="FFFFFF" w:themeFill="background1"/>
          </w:tcPr>
          <w:p w14:paraId="639BBE8C"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p>
          <w:p w14:paraId="68E9DAFF" w14:textId="77777777" w:rsidR="00F30946" w:rsidRPr="00B832FC" w:rsidRDefault="00F30946" w:rsidP="00F30946">
            <w:pPr>
              <w:tabs>
                <w:tab w:val="left" w:pos="7525"/>
              </w:tabs>
              <w:spacing w:after="0" w:line="360" w:lineRule="auto"/>
              <w:jc w:val="center"/>
              <w:rPr>
                <w:rFonts w:ascii="Times New Roman" w:eastAsia="Calibri" w:hAnsi="Times New Roman" w:cs="Times New Roman"/>
                <w:b/>
                <w:bCs/>
                <w:sz w:val="24"/>
              </w:rPr>
            </w:pPr>
            <w:r w:rsidRPr="00B832FC">
              <w:rPr>
                <w:rFonts w:ascii="Times New Roman" w:eastAsia="Calibri" w:hAnsi="Times New Roman" w:cs="Times New Roman"/>
                <w:b/>
                <w:bCs/>
                <w:sz w:val="24"/>
              </w:rPr>
              <w:t>Variable</w:t>
            </w:r>
          </w:p>
        </w:tc>
        <w:tc>
          <w:tcPr>
            <w:tcW w:w="2126" w:type="dxa"/>
            <w:gridSpan w:val="2"/>
            <w:shd w:val="clear" w:color="auto" w:fill="FFFFFF" w:themeFill="background1"/>
          </w:tcPr>
          <w:p w14:paraId="6E83562E" w14:textId="77777777" w:rsidR="00F30946" w:rsidRPr="00B832FC" w:rsidRDefault="00F30946" w:rsidP="00F30946">
            <w:pPr>
              <w:tabs>
                <w:tab w:val="left" w:pos="7525"/>
              </w:tabs>
              <w:spacing w:after="0" w:line="240" w:lineRule="auto"/>
              <w:jc w:val="center"/>
              <w:rPr>
                <w:rFonts w:ascii="Times New Roman" w:eastAsia="Calibri" w:hAnsi="Times New Roman" w:cs="Times New Roman"/>
                <w:b/>
                <w:bCs/>
                <w:sz w:val="24"/>
              </w:rPr>
            </w:pPr>
            <w:r w:rsidRPr="00B832FC">
              <w:rPr>
                <w:rFonts w:ascii="Times New Roman" w:eastAsia="Calibri" w:hAnsi="Times New Roman" w:cs="Times New Roman"/>
                <w:b/>
                <w:bCs/>
                <w:sz w:val="24"/>
              </w:rPr>
              <w:t>Mean</w:t>
            </w:r>
          </w:p>
        </w:tc>
        <w:tc>
          <w:tcPr>
            <w:tcW w:w="1134" w:type="dxa"/>
            <w:vMerge w:val="restart"/>
            <w:shd w:val="clear" w:color="auto" w:fill="FFFFFF" w:themeFill="background1"/>
          </w:tcPr>
          <w:p w14:paraId="3F8E11FB" w14:textId="77777777" w:rsidR="00F30946" w:rsidRPr="00B832FC" w:rsidRDefault="00F30946" w:rsidP="00F30946">
            <w:pPr>
              <w:tabs>
                <w:tab w:val="left" w:pos="7525"/>
              </w:tabs>
              <w:spacing w:after="0" w:line="360" w:lineRule="auto"/>
              <w:jc w:val="center"/>
              <w:rPr>
                <w:rFonts w:ascii="Times New Roman" w:eastAsia="Calibri" w:hAnsi="Times New Roman" w:cs="Times New Roman"/>
                <w:b/>
                <w:bCs/>
                <w:sz w:val="24"/>
              </w:rPr>
            </w:pPr>
          </w:p>
          <w:p w14:paraId="485499FB" w14:textId="77777777" w:rsidR="00F30946" w:rsidRPr="00B832FC" w:rsidRDefault="00F30946" w:rsidP="00F30946">
            <w:pPr>
              <w:tabs>
                <w:tab w:val="left" w:pos="7525"/>
              </w:tabs>
              <w:spacing w:after="0" w:line="360" w:lineRule="auto"/>
              <w:jc w:val="center"/>
              <w:rPr>
                <w:rFonts w:ascii="Times New Roman" w:eastAsia="Calibri" w:hAnsi="Times New Roman" w:cs="Times New Roman"/>
                <w:b/>
                <w:bCs/>
                <w:sz w:val="24"/>
              </w:rPr>
            </w:pPr>
            <w:r w:rsidRPr="00B832FC">
              <w:rPr>
                <w:rFonts w:ascii="Times New Roman" w:eastAsia="Calibri" w:hAnsi="Times New Roman" w:cs="Times New Roman"/>
                <w:b/>
                <w:bCs/>
                <w:sz w:val="24"/>
              </w:rPr>
              <w:t>Median</w:t>
            </w:r>
          </w:p>
        </w:tc>
        <w:tc>
          <w:tcPr>
            <w:tcW w:w="1843" w:type="dxa"/>
            <w:gridSpan w:val="2"/>
            <w:shd w:val="clear" w:color="auto" w:fill="FFFFFF" w:themeFill="background1"/>
          </w:tcPr>
          <w:p w14:paraId="70A41D2E" w14:textId="77777777" w:rsidR="00F30946" w:rsidRPr="00B832FC" w:rsidRDefault="00F30946" w:rsidP="00F30946">
            <w:pPr>
              <w:tabs>
                <w:tab w:val="left" w:pos="7525"/>
              </w:tabs>
              <w:spacing w:after="0" w:line="360" w:lineRule="auto"/>
              <w:jc w:val="center"/>
              <w:rPr>
                <w:rFonts w:ascii="Times New Roman" w:eastAsia="Calibri" w:hAnsi="Times New Roman" w:cs="Times New Roman"/>
                <w:b/>
                <w:bCs/>
                <w:sz w:val="24"/>
              </w:rPr>
            </w:pPr>
            <w:r w:rsidRPr="00B832FC">
              <w:rPr>
                <w:rFonts w:ascii="Times New Roman" w:eastAsia="Calibri" w:hAnsi="Times New Roman" w:cs="Times New Roman"/>
                <w:b/>
                <w:bCs/>
                <w:sz w:val="24"/>
              </w:rPr>
              <w:t>Range</w:t>
            </w:r>
          </w:p>
        </w:tc>
        <w:tc>
          <w:tcPr>
            <w:tcW w:w="1275" w:type="dxa"/>
            <w:vMerge w:val="restart"/>
            <w:shd w:val="clear" w:color="auto" w:fill="FFFFFF" w:themeFill="background1"/>
          </w:tcPr>
          <w:p w14:paraId="6300563C" w14:textId="77777777" w:rsidR="00F30946" w:rsidRPr="00B832FC" w:rsidRDefault="00F30946" w:rsidP="00F30946">
            <w:pPr>
              <w:tabs>
                <w:tab w:val="left" w:pos="7525"/>
              </w:tabs>
              <w:spacing w:after="0" w:line="360" w:lineRule="auto"/>
              <w:jc w:val="center"/>
              <w:rPr>
                <w:rFonts w:ascii="Times New Roman" w:eastAsia="Calibri" w:hAnsi="Times New Roman" w:cs="Times New Roman"/>
                <w:b/>
                <w:bCs/>
                <w:sz w:val="24"/>
              </w:rPr>
            </w:pPr>
            <w:r w:rsidRPr="00B832FC">
              <w:rPr>
                <w:rFonts w:ascii="Times New Roman" w:eastAsia="Calibri" w:hAnsi="Times New Roman" w:cs="Times New Roman"/>
                <w:b/>
                <w:bCs/>
                <w:sz w:val="24"/>
              </w:rPr>
              <w:t xml:space="preserve">Reference range </w:t>
            </w:r>
          </w:p>
        </w:tc>
      </w:tr>
      <w:tr w:rsidR="00F30946" w:rsidRPr="00B832FC" w14:paraId="5E316F80" w14:textId="77777777" w:rsidTr="00F30946">
        <w:trPr>
          <w:trHeight w:val="432"/>
        </w:trPr>
        <w:tc>
          <w:tcPr>
            <w:tcW w:w="3256" w:type="dxa"/>
            <w:vMerge/>
            <w:shd w:val="clear" w:color="auto" w:fill="FFFFFF" w:themeFill="background1"/>
          </w:tcPr>
          <w:p w14:paraId="56FEC605"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p>
        </w:tc>
        <w:tc>
          <w:tcPr>
            <w:tcW w:w="1134" w:type="dxa"/>
            <w:shd w:val="clear" w:color="auto" w:fill="FFFFFF" w:themeFill="background1"/>
          </w:tcPr>
          <w:p w14:paraId="06FF9AFE"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b/>
                <w:bCs/>
                <w:sz w:val="24"/>
              </w:rPr>
              <w:t>Mean</w:t>
            </w:r>
          </w:p>
        </w:tc>
        <w:tc>
          <w:tcPr>
            <w:tcW w:w="992" w:type="dxa"/>
            <w:shd w:val="clear" w:color="auto" w:fill="FFFFFF" w:themeFill="background1"/>
          </w:tcPr>
          <w:p w14:paraId="16E9A857"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b/>
                <w:bCs/>
                <w:sz w:val="24"/>
              </w:rPr>
              <w:t>SD</w:t>
            </w:r>
          </w:p>
        </w:tc>
        <w:tc>
          <w:tcPr>
            <w:tcW w:w="1134" w:type="dxa"/>
            <w:vMerge/>
            <w:shd w:val="clear" w:color="auto" w:fill="FFFFFF" w:themeFill="background1"/>
          </w:tcPr>
          <w:p w14:paraId="1CEBCF93"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p>
        </w:tc>
        <w:tc>
          <w:tcPr>
            <w:tcW w:w="850" w:type="dxa"/>
            <w:shd w:val="clear" w:color="auto" w:fill="FFFFFF" w:themeFill="background1"/>
          </w:tcPr>
          <w:p w14:paraId="1D86F633"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b/>
                <w:bCs/>
                <w:sz w:val="24"/>
              </w:rPr>
              <w:t>Min</w:t>
            </w:r>
          </w:p>
        </w:tc>
        <w:tc>
          <w:tcPr>
            <w:tcW w:w="993" w:type="dxa"/>
            <w:shd w:val="clear" w:color="auto" w:fill="FFFFFF" w:themeFill="background1"/>
          </w:tcPr>
          <w:p w14:paraId="5D9FB40E"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b/>
                <w:bCs/>
                <w:sz w:val="24"/>
              </w:rPr>
              <w:t>Max</w:t>
            </w:r>
          </w:p>
        </w:tc>
        <w:tc>
          <w:tcPr>
            <w:tcW w:w="1275" w:type="dxa"/>
            <w:vMerge/>
            <w:shd w:val="clear" w:color="auto" w:fill="FFFFFF" w:themeFill="background1"/>
          </w:tcPr>
          <w:p w14:paraId="52CB5966" w14:textId="77777777" w:rsidR="00F30946" w:rsidRPr="00B832FC" w:rsidRDefault="00F30946" w:rsidP="00F30946">
            <w:pPr>
              <w:tabs>
                <w:tab w:val="left" w:pos="7525"/>
              </w:tabs>
              <w:spacing w:after="0" w:line="360" w:lineRule="auto"/>
              <w:jc w:val="center"/>
              <w:rPr>
                <w:rFonts w:ascii="Times New Roman" w:eastAsia="Calibri" w:hAnsi="Times New Roman" w:cs="Times New Roman"/>
                <w:b/>
                <w:bCs/>
                <w:sz w:val="24"/>
              </w:rPr>
            </w:pPr>
          </w:p>
        </w:tc>
      </w:tr>
      <w:tr w:rsidR="00F30946" w:rsidRPr="00B832FC" w14:paraId="1ADB9455" w14:textId="77777777" w:rsidTr="00F30946">
        <w:trPr>
          <w:trHeight w:val="514"/>
        </w:trPr>
        <w:tc>
          <w:tcPr>
            <w:tcW w:w="3256" w:type="dxa"/>
            <w:shd w:val="clear" w:color="auto" w:fill="FFFFFF" w:themeFill="background1"/>
          </w:tcPr>
          <w:p w14:paraId="298F6C59" w14:textId="77777777" w:rsidR="00F30946" w:rsidRPr="00B832FC" w:rsidRDefault="00F30946" w:rsidP="00F30946">
            <w:pPr>
              <w:tabs>
                <w:tab w:val="left" w:pos="7525"/>
              </w:tabs>
              <w:spacing w:after="0" w:line="360" w:lineRule="auto"/>
              <w:rPr>
                <w:rFonts w:ascii="Times New Roman" w:eastAsia="Calibri" w:hAnsi="Times New Roman" w:cs="Times New Roman"/>
                <w:sz w:val="24"/>
              </w:rPr>
            </w:pPr>
            <w:r w:rsidRPr="00B832FC">
              <w:rPr>
                <w:rFonts w:ascii="Times New Roman" w:eastAsia="Calibri" w:hAnsi="Times New Roman" w:cs="Times New Roman"/>
                <w:sz w:val="24"/>
              </w:rPr>
              <w:t xml:space="preserve">Serum ferritin </w:t>
            </w:r>
            <w:r w:rsidRPr="00B832FC">
              <w:rPr>
                <w:rFonts w:ascii="Calibri" w:eastAsia="Calibri" w:hAnsi="Calibri" w:cs="Arial"/>
                <w:spacing w:val="-2"/>
                <w:sz w:val="24"/>
              </w:rPr>
              <w:t>(ng/l)</w:t>
            </w:r>
          </w:p>
        </w:tc>
        <w:tc>
          <w:tcPr>
            <w:tcW w:w="1134" w:type="dxa"/>
            <w:shd w:val="clear" w:color="auto" w:fill="FFFFFF" w:themeFill="background1"/>
          </w:tcPr>
          <w:p w14:paraId="7E3C6CEB"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bookmarkStart w:id="50" w:name="_Hlk194968978"/>
            <w:bookmarkStart w:id="51" w:name="_Hlk181794888"/>
            <w:r w:rsidRPr="00B832FC">
              <w:rPr>
                <w:rFonts w:ascii="Times New Roman" w:eastAsia="Calibri" w:hAnsi="Times New Roman" w:cs="Times New Roman"/>
                <w:sz w:val="24"/>
              </w:rPr>
              <w:t>3718.9</w:t>
            </w:r>
            <w:bookmarkEnd w:id="50"/>
            <w:r w:rsidRPr="00B832FC">
              <w:rPr>
                <w:rFonts w:ascii="Times New Roman" w:eastAsia="Calibri" w:hAnsi="Times New Roman" w:cs="Times New Roman"/>
                <w:sz w:val="24"/>
              </w:rPr>
              <w:t>8</w:t>
            </w:r>
            <w:bookmarkEnd w:id="51"/>
          </w:p>
        </w:tc>
        <w:tc>
          <w:tcPr>
            <w:tcW w:w="992" w:type="dxa"/>
            <w:shd w:val="clear" w:color="auto" w:fill="FFFFFF" w:themeFill="background1"/>
          </w:tcPr>
          <w:p w14:paraId="6F2B645C" w14:textId="77777777" w:rsidR="00F30946" w:rsidRPr="00B832FC" w:rsidRDefault="00F30946" w:rsidP="00F30946">
            <w:pPr>
              <w:spacing w:after="0"/>
              <w:rPr>
                <w:rFonts w:ascii="Times New Roman" w:eastAsia="Calibri" w:hAnsi="Times New Roman" w:cs="Times New Roman"/>
                <w:sz w:val="24"/>
              </w:rPr>
            </w:pPr>
            <w:bookmarkStart w:id="52" w:name="_Hlk194968999"/>
            <w:bookmarkStart w:id="53" w:name="_Hlk181794919"/>
            <w:r w:rsidRPr="00B832FC">
              <w:rPr>
                <w:rFonts w:ascii="Times New Roman" w:eastAsia="Calibri" w:hAnsi="Times New Roman" w:cs="Times New Roman"/>
                <w:sz w:val="24"/>
              </w:rPr>
              <w:t>2453.8</w:t>
            </w:r>
            <w:bookmarkEnd w:id="52"/>
            <w:bookmarkEnd w:id="53"/>
          </w:p>
        </w:tc>
        <w:tc>
          <w:tcPr>
            <w:tcW w:w="1134" w:type="dxa"/>
            <w:shd w:val="clear" w:color="auto" w:fill="FFFFFF" w:themeFill="background1"/>
          </w:tcPr>
          <w:p w14:paraId="6EB61A53"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sz w:val="24"/>
              </w:rPr>
              <w:t>3020.5</w:t>
            </w:r>
          </w:p>
        </w:tc>
        <w:tc>
          <w:tcPr>
            <w:tcW w:w="850" w:type="dxa"/>
            <w:shd w:val="clear" w:color="auto" w:fill="FFFFFF" w:themeFill="background1"/>
          </w:tcPr>
          <w:p w14:paraId="5B1CDA90"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bookmarkStart w:id="54" w:name="_Hlk181794988"/>
            <w:r w:rsidRPr="00B832FC">
              <w:rPr>
                <w:rFonts w:ascii="Times New Roman" w:eastAsia="Calibri" w:hAnsi="Times New Roman" w:cs="Times New Roman"/>
                <w:sz w:val="24"/>
              </w:rPr>
              <w:t>220.2</w:t>
            </w:r>
            <w:bookmarkEnd w:id="54"/>
          </w:p>
        </w:tc>
        <w:tc>
          <w:tcPr>
            <w:tcW w:w="993" w:type="dxa"/>
            <w:shd w:val="clear" w:color="auto" w:fill="FFFFFF" w:themeFill="background1"/>
          </w:tcPr>
          <w:p w14:paraId="7CF99C40"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bookmarkStart w:id="55" w:name="_Hlk181795008"/>
            <w:r w:rsidRPr="00B832FC">
              <w:rPr>
                <w:rFonts w:ascii="Times New Roman" w:eastAsia="Calibri" w:hAnsi="Times New Roman" w:cs="Times New Roman"/>
                <w:sz w:val="24"/>
              </w:rPr>
              <w:t>9975</w:t>
            </w:r>
            <w:bookmarkEnd w:id="55"/>
          </w:p>
        </w:tc>
        <w:tc>
          <w:tcPr>
            <w:tcW w:w="1275" w:type="dxa"/>
            <w:shd w:val="clear" w:color="auto" w:fill="FFFFFF" w:themeFill="background1"/>
          </w:tcPr>
          <w:p w14:paraId="0EEC5091" w14:textId="77777777" w:rsidR="00F30946" w:rsidRPr="00B832FC" w:rsidRDefault="00F30946" w:rsidP="00F30946">
            <w:pPr>
              <w:tabs>
                <w:tab w:val="left" w:pos="7525"/>
              </w:tabs>
              <w:spacing w:after="0" w:line="360" w:lineRule="auto"/>
              <w:jc w:val="center"/>
              <w:rPr>
                <w:rFonts w:ascii="Times New Roman" w:eastAsia="Calibri" w:hAnsi="Times New Roman" w:cs="Times New Roman"/>
                <w:b/>
                <w:bCs/>
                <w:sz w:val="24"/>
              </w:rPr>
            </w:pPr>
            <w:r w:rsidRPr="00B832FC">
              <w:rPr>
                <w:rFonts w:ascii="Times New Roman" w:eastAsia="Calibri" w:hAnsi="Times New Roman" w:cs="Times New Roman"/>
                <w:b/>
                <w:bCs/>
                <w:sz w:val="24"/>
              </w:rPr>
              <w:t>20-400</w:t>
            </w:r>
          </w:p>
        </w:tc>
      </w:tr>
      <w:tr w:rsidR="00F30946" w:rsidRPr="00B832FC" w14:paraId="0CE4FA05" w14:textId="77777777" w:rsidTr="00F30946">
        <w:trPr>
          <w:trHeight w:val="415"/>
        </w:trPr>
        <w:tc>
          <w:tcPr>
            <w:tcW w:w="3256" w:type="dxa"/>
            <w:shd w:val="clear" w:color="auto" w:fill="FFFFFF" w:themeFill="background1"/>
          </w:tcPr>
          <w:p w14:paraId="74D6498E" w14:textId="77777777" w:rsidR="00F30946" w:rsidRPr="00B832FC" w:rsidRDefault="00F30946" w:rsidP="00F30946">
            <w:pPr>
              <w:tabs>
                <w:tab w:val="left" w:pos="7525"/>
              </w:tabs>
              <w:spacing w:after="0" w:line="360" w:lineRule="auto"/>
              <w:rPr>
                <w:rFonts w:ascii="Times New Roman" w:eastAsia="Calibri" w:hAnsi="Times New Roman" w:cs="Times New Roman"/>
                <w:sz w:val="24"/>
              </w:rPr>
            </w:pPr>
            <w:bookmarkStart w:id="56" w:name="_Hlk194969230"/>
            <w:r w:rsidRPr="00B832FC">
              <w:rPr>
                <w:rFonts w:ascii="Times New Roman" w:eastAsia="Calibri" w:hAnsi="Times New Roman" w:cs="Times New Roman"/>
                <w:sz w:val="24"/>
              </w:rPr>
              <w:t>25-OH vitamin D</w:t>
            </w:r>
            <w:r w:rsidRPr="00B832FC">
              <w:rPr>
                <w:rFonts w:ascii="Calibri" w:eastAsia="Calibri" w:hAnsi="Calibri" w:cs="Arial"/>
                <w:sz w:val="24"/>
              </w:rPr>
              <w:t xml:space="preserve"> ng/mL</w:t>
            </w:r>
            <w:bookmarkEnd w:id="56"/>
          </w:p>
        </w:tc>
        <w:tc>
          <w:tcPr>
            <w:tcW w:w="1134" w:type="dxa"/>
            <w:shd w:val="clear" w:color="auto" w:fill="FFFFFF" w:themeFill="background1"/>
          </w:tcPr>
          <w:p w14:paraId="5BD0D421"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bookmarkStart w:id="57" w:name="_Hlk194969401"/>
            <w:r w:rsidRPr="00B832FC">
              <w:rPr>
                <w:rFonts w:ascii="Times New Roman" w:eastAsia="Calibri" w:hAnsi="Times New Roman" w:cs="Times New Roman"/>
                <w:sz w:val="24"/>
              </w:rPr>
              <w:t>23.8</w:t>
            </w:r>
            <w:bookmarkEnd w:id="57"/>
            <w:r w:rsidRPr="00B832FC">
              <w:rPr>
                <w:rFonts w:ascii="Times New Roman" w:eastAsia="Calibri" w:hAnsi="Times New Roman" w:cs="Times New Roman"/>
                <w:sz w:val="24"/>
              </w:rPr>
              <w:t>5</w:t>
            </w:r>
          </w:p>
        </w:tc>
        <w:tc>
          <w:tcPr>
            <w:tcW w:w="992" w:type="dxa"/>
            <w:shd w:val="clear" w:color="auto" w:fill="FFFFFF" w:themeFill="background1"/>
          </w:tcPr>
          <w:p w14:paraId="7566E674"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bookmarkStart w:id="58" w:name="_Hlk194969413"/>
            <w:r w:rsidRPr="00B832FC">
              <w:rPr>
                <w:rFonts w:ascii="Times New Roman" w:eastAsia="Calibri" w:hAnsi="Times New Roman" w:cs="Times New Roman"/>
                <w:sz w:val="24"/>
              </w:rPr>
              <w:t>9.9</w:t>
            </w:r>
            <w:bookmarkEnd w:id="58"/>
            <w:r w:rsidRPr="00B832FC">
              <w:rPr>
                <w:rFonts w:ascii="Times New Roman" w:eastAsia="Calibri" w:hAnsi="Times New Roman" w:cs="Times New Roman"/>
                <w:sz w:val="24"/>
              </w:rPr>
              <w:t>6</w:t>
            </w:r>
          </w:p>
        </w:tc>
        <w:tc>
          <w:tcPr>
            <w:tcW w:w="1134" w:type="dxa"/>
            <w:shd w:val="clear" w:color="auto" w:fill="FFFFFF" w:themeFill="background1"/>
          </w:tcPr>
          <w:p w14:paraId="07A3E2A3"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sz w:val="24"/>
              </w:rPr>
              <w:t>23.03</w:t>
            </w:r>
          </w:p>
        </w:tc>
        <w:tc>
          <w:tcPr>
            <w:tcW w:w="850" w:type="dxa"/>
            <w:shd w:val="clear" w:color="auto" w:fill="FFFFFF" w:themeFill="background1"/>
          </w:tcPr>
          <w:p w14:paraId="353A294F"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sz w:val="24"/>
              </w:rPr>
              <w:t>7.75</w:t>
            </w:r>
          </w:p>
        </w:tc>
        <w:tc>
          <w:tcPr>
            <w:tcW w:w="993" w:type="dxa"/>
            <w:shd w:val="clear" w:color="auto" w:fill="FFFFFF" w:themeFill="background1"/>
          </w:tcPr>
          <w:p w14:paraId="134F87FB"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sz w:val="24"/>
              </w:rPr>
              <w:t>53.82</w:t>
            </w:r>
          </w:p>
        </w:tc>
        <w:tc>
          <w:tcPr>
            <w:tcW w:w="1275" w:type="dxa"/>
            <w:shd w:val="clear" w:color="auto" w:fill="FFFFFF" w:themeFill="background1"/>
          </w:tcPr>
          <w:p w14:paraId="6D205836" w14:textId="77777777" w:rsidR="00F30946" w:rsidRPr="00B832FC" w:rsidRDefault="00F30946" w:rsidP="00F30946">
            <w:pPr>
              <w:tabs>
                <w:tab w:val="left" w:pos="7525"/>
              </w:tabs>
              <w:spacing w:after="0" w:line="360" w:lineRule="auto"/>
              <w:jc w:val="center"/>
              <w:rPr>
                <w:rFonts w:ascii="Times New Roman" w:eastAsia="Calibri" w:hAnsi="Times New Roman" w:cs="Times New Roman"/>
                <w:b/>
                <w:bCs/>
                <w:sz w:val="24"/>
              </w:rPr>
            </w:pPr>
            <w:r w:rsidRPr="00B832FC">
              <w:rPr>
                <w:rFonts w:ascii="Times New Roman" w:eastAsia="Calibri" w:hAnsi="Times New Roman" w:cs="Times New Roman"/>
                <w:b/>
                <w:bCs/>
                <w:sz w:val="24"/>
              </w:rPr>
              <w:t>&gt;30</w:t>
            </w:r>
          </w:p>
        </w:tc>
      </w:tr>
      <w:tr w:rsidR="00F30946" w:rsidRPr="00B832FC" w14:paraId="0BDBB054" w14:textId="77777777" w:rsidTr="00F30946">
        <w:trPr>
          <w:trHeight w:val="415"/>
        </w:trPr>
        <w:tc>
          <w:tcPr>
            <w:tcW w:w="3256" w:type="dxa"/>
            <w:shd w:val="clear" w:color="auto" w:fill="FFFFFF" w:themeFill="background1"/>
          </w:tcPr>
          <w:p w14:paraId="47584298" w14:textId="77777777" w:rsidR="00F30946" w:rsidRPr="00B832FC" w:rsidRDefault="00F30946" w:rsidP="00F30946">
            <w:pPr>
              <w:tabs>
                <w:tab w:val="left" w:pos="7525"/>
              </w:tabs>
              <w:spacing w:after="0" w:line="360" w:lineRule="auto"/>
              <w:rPr>
                <w:rFonts w:ascii="Times New Roman" w:eastAsia="Calibri" w:hAnsi="Times New Roman" w:cs="Times New Roman"/>
                <w:sz w:val="24"/>
              </w:rPr>
            </w:pPr>
            <w:bookmarkStart w:id="59" w:name="_Hlk194969249"/>
            <w:r w:rsidRPr="00B832FC">
              <w:rPr>
                <w:rFonts w:ascii="Times New Roman" w:eastAsia="Calibri" w:hAnsi="Times New Roman" w:cs="Times New Roman"/>
                <w:sz w:val="24"/>
              </w:rPr>
              <w:t xml:space="preserve">Parathyroid Hormone </w:t>
            </w:r>
            <w:r w:rsidRPr="00B832FC">
              <w:rPr>
                <w:rFonts w:ascii="Calibri" w:eastAsia="Calibri" w:hAnsi="Calibri" w:cs="Arial"/>
              </w:rPr>
              <w:t>(</w:t>
            </w:r>
            <w:bookmarkStart w:id="60" w:name="_Hlk196009391"/>
            <w:proofErr w:type="spellStart"/>
            <w:r w:rsidRPr="00B832FC">
              <w:rPr>
                <w:rFonts w:ascii="Calibri" w:eastAsia="Calibri" w:hAnsi="Calibri" w:cs="Arial"/>
              </w:rPr>
              <w:t>pgl</w:t>
            </w:r>
            <w:proofErr w:type="spellEnd"/>
            <w:r w:rsidRPr="00B832FC">
              <w:rPr>
                <w:rFonts w:ascii="Calibri" w:eastAsia="Calibri" w:hAnsi="Calibri" w:cs="Arial"/>
              </w:rPr>
              <w:t>/mL</w:t>
            </w:r>
            <w:bookmarkEnd w:id="60"/>
            <w:r w:rsidRPr="00B832FC">
              <w:rPr>
                <w:rFonts w:ascii="Calibri" w:eastAsia="Calibri" w:hAnsi="Calibri" w:cs="Arial"/>
              </w:rPr>
              <w:t>)</w:t>
            </w:r>
            <w:bookmarkEnd w:id="59"/>
          </w:p>
        </w:tc>
        <w:tc>
          <w:tcPr>
            <w:tcW w:w="1134" w:type="dxa"/>
            <w:shd w:val="clear" w:color="auto" w:fill="FFFFFF" w:themeFill="background1"/>
          </w:tcPr>
          <w:p w14:paraId="1FFFA493"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bookmarkStart w:id="61" w:name="_Hlk194969446"/>
            <w:r w:rsidRPr="00B832FC">
              <w:rPr>
                <w:rFonts w:ascii="Times New Roman" w:eastAsia="Calibri" w:hAnsi="Times New Roman" w:cs="Times New Roman"/>
                <w:sz w:val="24"/>
              </w:rPr>
              <w:t>23.1</w:t>
            </w:r>
            <w:bookmarkEnd w:id="61"/>
            <w:r w:rsidRPr="00B832FC">
              <w:rPr>
                <w:rFonts w:ascii="Times New Roman" w:eastAsia="Calibri" w:hAnsi="Times New Roman" w:cs="Times New Roman"/>
                <w:sz w:val="24"/>
              </w:rPr>
              <w:t>5</w:t>
            </w:r>
          </w:p>
        </w:tc>
        <w:tc>
          <w:tcPr>
            <w:tcW w:w="992" w:type="dxa"/>
            <w:shd w:val="clear" w:color="auto" w:fill="FFFFFF" w:themeFill="background1"/>
          </w:tcPr>
          <w:p w14:paraId="2D596FB3"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bookmarkStart w:id="62" w:name="_Hlk194969463"/>
            <w:r w:rsidRPr="00B832FC">
              <w:rPr>
                <w:rFonts w:ascii="Times New Roman" w:eastAsia="Calibri" w:hAnsi="Times New Roman" w:cs="Times New Roman"/>
                <w:sz w:val="24"/>
              </w:rPr>
              <w:t>13.7</w:t>
            </w:r>
            <w:bookmarkEnd w:id="62"/>
            <w:r w:rsidRPr="00B832FC">
              <w:rPr>
                <w:rFonts w:ascii="Times New Roman" w:eastAsia="Calibri" w:hAnsi="Times New Roman" w:cs="Times New Roman"/>
                <w:sz w:val="24"/>
              </w:rPr>
              <w:t>4</w:t>
            </w:r>
          </w:p>
        </w:tc>
        <w:tc>
          <w:tcPr>
            <w:tcW w:w="1134" w:type="dxa"/>
            <w:shd w:val="clear" w:color="auto" w:fill="FFFFFF" w:themeFill="background1"/>
          </w:tcPr>
          <w:p w14:paraId="5B1EE6C4"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sz w:val="24"/>
              </w:rPr>
              <w:t>22.30</w:t>
            </w:r>
          </w:p>
        </w:tc>
        <w:tc>
          <w:tcPr>
            <w:tcW w:w="850" w:type="dxa"/>
            <w:shd w:val="clear" w:color="auto" w:fill="FFFFFF" w:themeFill="background1"/>
          </w:tcPr>
          <w:p w14:paraId="4B87C4A5"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sz w:val="24"/>
              </w:rPr>
              <w:t>1.20</w:t>
            </w:r>
          </w:p>
        </w:tc>
        <w:tc>
          <w:tcPr>
            <w:tcW w:w="993" w:type="dxa"/>
            <w:shd w:val="clear" w:color="auto" w:fill="FFFFFF" w:themeFill="background1"/>
          </w:tcPr>
          <w:p w14:paraId="328FC6CF"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sz w:val="24"/>
              </w:rPr>
              <w:t>59.77</w:t>
            </w:r>
          </w:p>
        </w:tc>
        <w:tc>
          <w:tcPr>
            <w:tcW w:w="1275" w:type="dxa"/>
            <w:shd w:val="clear" w:color="auto" w:fill="FFFFFF" w:themeFill="background1"/>
          </w:tcPr>
          <w:p w14:paraId="50CAB702"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b/>
                <w:bCs/>
                <w:sz w:val="24"/>
              </w:rPr>
              <w:t>15-65</w:t>
            </w:r>
          </w:p>
        </w:tc>
      </w:tr>
      <w:tr w:rsidR="00F30946" w:rsidRPr="00B832FC" w14:paraId="2D694E9B" w14:textId="77777777" w:rsidTr="00F30946">
        <w:trPr>
          <w:trHeight w:val="415"/>
        </w:trPr>
        <w:tc>
          <w:tcPr>
            <w:tcW w:w="3256" w:type="dxa"/>
            <w:shd w:val="clear" w:color="auto" w:fill="FFFFFF" w:themeFill="background1"/>
          </w:tcPr>
          <w:p w14:paraId="06084FE0" w14:textId="77777777" w:rsidR="00F30946" w:rsidRPr="00B832FC" w:rsidRDefault="00F30946" w:rsidP="00F30946">
            <w:pPr>
              <w:tabs>
                <w:tab w:val="left" w:pos="7525"/>
              </w:tabs>
              <w:spacing w:after="0" w:line="360" w:lineRule="auto"/>
              <w:rPr>
                <w:rFonts w:ascii="Times New Roman" w:eastAsia="Calibri" w:hAnsi="Times New Roman" w:cs="Times New Roman"/>
                <w:sz w:val="24"/>
              </w:rPr>
            </w:pPr>
            <w:bookmarkStart w:id="63" w:name="_Hlk194969268"/>
            <w:r w:rsidRPr="00B832FC">
              <w:rPr>
                <w:rFonts w:ascii="Times New Roman" w:eastAsia="Calibri" w:hAnsi="Times New Roman" w:cs="Times New Roman"/>
                <w:sz w:val="24"/>
              </w:rPr>
              <w:t>Serum calcium</w:t>
            </w:r>
            <w:r w:rsidRPr="00B832FC">
              <w:rPr>
                <w:rFonts w:ascii="Calibri" w:eastAsia="Calibri" w:hAnsi="Calibri" w:cs="Arial"/>
                <w:spacing w:val="-2"/>
                <w:sz w:val="24"/>
              </w:rPr>
              <w:t xml:space="preserve">(mg/dl) </w:t>
            </w:r>
            <w:bookmarkEnd w:id="63"/>
          </w:p>
        </w:tc>
        <w:tc>
          <w:tcPr>
            <w:tcW w:w="1134" w:type="dxa"/>
            <w:shd w:val="clear" w:color="auto" w:fill="FFFFFF" w:themeFill="background1"/>
          </w:tcPr>
          <w:p w14:paraId="07ECF130"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bookmarkStart w:id="64" w:name="_Hlk194969506"/>
            <w:r w:rsidRPr="00B832FC">
              <w:rPr>
                <w:rFonts w:ascii="Times New Roman" w:eastAsia="Calibri" w:hAnsi="Times New Roman" w:cs="Times New Roman"/>
                <w:sz w:val="24"/>
              </w:rPr>
              <w:t>8.4</w:t>
            </w:r>
            <w:bookmarkEnd w:id="64"/>
            <w:r w:rsidRPr="00B832FC">
              <w:rPr>
                <w:rFonts w:ascii="Times New Roman" w:eastAsia="Calibri" w:hAnsi="Times New Roman" w:cs="Times New Roman"/>
                <w:sz w:val="24"/>
              </w:rPr>
              <w:t>55</w:t>
            </w:r>
          </w:p>
        </w:tc>
        <w:tc>
          <w:tcPr>
            <w:tcW w:w="992" w:type="dxa"/>
            <w:shd w:val="clear" w:color="auto" w:fill="FFFFFF" w:themeFill="background1"/>
          </w:tcPr>
          <w:p w14:paraId="27ED6361"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bookmarkStart w:id="65" w:name="_Hlk194969523"/>
            <w:r w:rsidRPr="00B832FC">
              <w:rPr>
                <w:rFonts w:ascii="Times New Roman" w:eastAsia="Calibri" w:hAnsi="Times New Roman" w:cs="Times New Roman"/>
                <w:sz w:val="24"/>
              </w:rPr>
              <w:t>1.0</w:t>
            </w:r>
            <w:bookmarkEnd w:id="65"/>
            <w:r w:rsidRPr="00B832FC">
              <w:rPr>
                <w:rFonts w:ascii="Times New Roman" w:eastAsia="Calibri" w:hAnsi="Times New Roman" w:cs="Times New Roman"/>
                <w:sz w:val="24"/>
              </w:rPr>
              <w:t>1</w:t>
            </w:r>
          </w:p>
        </w:tc>
        <w:tc>
          <w:tcPr>
            <w:tcW w:w="1134" w:type="dxa"/>
            <w:shd w:val="clear" w:color="auto" w:fill="FFFFFF" w:themeFill="background1"/>
          </w:tcPr>
          <w:p w14:paraId="590A48C5"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sz w:val="24"/>
              </w:rPr>
              <w:t>8.450</w:t>
            </w:r>
          </w:p>
        </w:tc>
        <w:tc>
          <w:tcPr>
            <w:tcW w:w="850" w:type="dxa"/>
            <w:shd w:val="clear" w:color="auto" w:fill="FFFFFF" w:themeFill="background1"/>
          </w:tcPr>
          <w:p w14:paraId="7A9680CF"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sz w:val="24"/>
              </w:rPr>
              <w:t>5.0</w:t>
            </w:r>
          </w:p>
        </w:tc>
        <w:tc>
          <w:tcPr>
            <w:tcW w:w="993" w:type="dxa"/>
            <w:shd w:val="clear" w:color="auto" w:fill="FFFFFF" w:themeFill="background1"/>
          </w:tcPr>
          <w:p w14:paraId="7AD87DD5"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sz w:val="24"/>
              </w:rPr>
              <w:t>10.3</w:t>
            </w:r>
          </w:p>
        </w:tc>
        <w:tc>
          <w:tcPr>
            <w:tcW w:w="1275" w:type="dxa"/>
            <w:shd w:val="clear" w:color="auto" w:fill="FFFFFF" w:themeFill="background1"/>
          </w:tcPr>
          <w:p w14:paraId="5E603F4D" w14:textId="77777777" w:rsidR="00F30946" w:rsidRPr="00B832FC" w:rsidRDefault="00F30946" w:rsidP="00F30946">
            <w:pPr>
              <w:tabs>
                <w:tab w:val="left" w:pos="7525"/>
              </w:tabs>
              <w:spacing w:after="0" w:line="360" w:lineRule="auto"/>
              <w:jc w:val="center"/>
              <w:rPr>
                <w:rFonts w:ascii="Times New Roman" w:eastAsia="Calibri" w:hAnsi="Times New Roman" w:cs="Times New Roman"/>
                <w:b/>
                <w:bCs/>
                <w:sz w:val="24"/>
              </w:rPr>
            </w:pPr>
            <w:r w:rsidRPr="00B832FC">
              <w:rPr>
                <w:rFonts w:ascii="Times New Roman" w:eastAsia="Calibri" w:hAnsi="Times New Roman" w:cs="Times New Roman"/>
                <w:b/>
                <w:bCs/>
                <w:sz w:val="24"/>
              </w:rPr>
              <w:t>8.6-10.3</w:t>
            </w:r>
          </w:p>
        </w:tc>
      </w:tr>
      <w:tr w:rsidR="00F30946" w:rsidRPr="00B832FC" w14:paraId="0BCBF0B7" w14:textId="77777777" w:rsidTr="00F30946">
        <w:trPr>
          <w:trHeight w:val="415"/>
        </w:trPr>
        <w:tc>
          <w:tcPr>
            <w:tcW w:w="3256" w:type="dxa"/>
            <w:shd w:val="clear" w:color="auto" w:fill="FFFFFF" w:themeFill="background1"/>
          </w:tcPr>
          <w:p w14:paraId="3BF95DC9" w14:textId="77777777" w:rsidR="00F30946" w:rsidRPr="00B832FC" w:rsidRDefault="00F30946" w:rsidP="00F30946">
            <w:pPr>
              <w:tabs>
                <w:tab w:val="left" w:pos="7525"/>
              </w:tabs>
              <w:spacing w:after="0" w:line="360" w:lineRule="auto"/>
              <w:rPr>
                <w:rFonts w:ascii="Times New Roman" w:eastAsia="Calibri" w:hAnsi="Times New Roman" w:cs="Times New Roman"/>
                <w:sz w:val="24"/>
              </w:rPr>
            </w:pPr>
            <w:bookmarkStart w:id="66" w:name="_Hlk194969689"/>
            <w:r w:rsidRPr="00B832FC">
              <w:rPr>
                <w:rFonts w:ascii="Times New Roman" w:eastAsia="Calibri" w:hAnsi="Times New Roman" w:cs="Times New Roman"/>
                <w:sz w:val="24"/>
              </w:rPr>
              <w:t>Serum phosphorus</w:t>
            </w:r>
            <w:bookmarkEnd w:id="66"/>
            <w:r w:rsidRPr="00B832FC">
              <w:rPr>
                <w:rFonts w:ascii="Calibri" w:eastAsia="Calibri" w:hAnsi="Calibri" w:cs="Arial"/>
                <w:spacing w:val="-2"/>
                <w:sz w:val="24"/>
              </w:rPr>
              <w:t>(mg/dl)</w:t>
            </w:r>
          </w:p>
        </w:tc>
        <w:tc>
          <w:tcPr>
            <w:tcW w:w="1134" w:type="dxa"/>
            <w:shd w:val="clear" w:color="auto" w:fill="FFFFFF" w:themeFill="background1"/>
          </w:tcPr>
          <w:p w14:paraId="688FBAD0"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bookmarkStart w:id="67" w:name="_Hlk194969752"/>
            <w:r w:rsidRPr="00B832FC">
              <w:rPr>
                <w:rFonts w:ascii="Times New Roman" w:eastAsia="Calibri" w:hAnsi="Times New Roman" w:cs="Times New Roman"/>
                <w:sz w:val="24"/>
              </w:rPr>
              <w:t>4.5</w:t>
            </w:r>
            <w:bookmarkEnd w:id="67"/>
            <w:r w:rsidRPr="00B832FC">
              <w:rPr>
                <w:rFonts w:ascii="Times New Roman" w:eastAsia="Calibri" w:hAnsi="Times New Roman" w:cs="Times New Roman"/>
                <w:sz w:val="24"/>
              </w:rPr>
              <w:t>3</w:t>
            </w:r>
          </w:p>
        </w:tc>
        <w:tc>
          <w:tcPr>
            <w:tcW w:w="992" w:type="dxa"/>
            <w:shd w:val="clear" w:color="auto" w:fill="FFFFFF" w:themeFill="background1"/>
          </w:tcPr>
          <w:p w14:paraId="6CFEB2BF"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bookmarkStart w:id="68" w:name="_Hlk194969766"/>
            <w:r w:rsidRPr="00B832FC">
              <w:rPr>
                <w:rFonts w:ascii="Times New Roman" w:eastAsia="Calibri" w:hAnsi="Times New Roman" w:cs="Times New Roman"/>
                <w:sz w:val="24"/>
              </w:rPr>
              <w:t>1.5</w:t>
            </w:r>
            <w:bookmarkEnd w:id="68"/>
            <w:r w:rsidRPr="00B832FC">
              <w:rPr>
                <w:rFonts w:ascii="Times New Roman" w:eastAsia="Calibri" w:hAnsi="Times New Roman" w:cs="Times New Roman"/>
                <w:sz w:val="24"/>
              </w:rPr>
              <w:t>3</w:t>
            </w:r>
          </w:p>
        </w:tc>
        <w:tc>
          <w:tcPr>
            <w:tcW w:w="1134" w:type="dxa"/>
            <w:shd w:val="clear" w:color="auto" w:fill="FFFFFF" w:themeFill="background1"/>
          </w:tcPr>
          <w:p w14:paraId="021C4CE4"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sz w:val="24"/>
              </w:rPr>
              <w:t>4.40</w:t>
            </w:r>
          </w:p>
        </w:tc>
        <w:tc>
          <w:tcPr>
            <w:tcW w:w="850" w:type="dxa"/>
            <w:shd w:val="clear" w:color="auto" w:fill="FFFFFF" w:themeFill="background1"/>
          </w:tcPr>
          <w:p w14:paraId="12BE71EA"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sz w:val="24"/>
              </w:rPr>
              <w:t>2.10</w:t>
            </w:r>
          </w:p>
        </w:tc>
        <w:tc>
          <w:tcPr>
            <w:tcW w:w="993" w:type="dxa"/>
            <w:shd w:val="clear" w:color="auto" w:fill="FFFFFF" w:themeFill="background1"/>
          </w:tcPr>
          <w:p w14:paraId="2F24E27F"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sz w:val="24"/>
              </w:rPr>
              <w:t>10.9</w:t>
            </w:r>
          </w:p>
        </w:tc>
        <w:tc>
          <w:tcPr>
            <w:tcW w:w="1275" w:type="dxa"/>
            <w:shd w:val="clear" w:color="auto" w:fill="FFFFFF" w:themeFill="background1"/>
          </w:tcPr>
          <w:p w14:paraId="3511ED5E" w14:textId="77777777" w:rsidR="00F30946" w:rsidRPr="00B832FC" w:rsidRDefault="00F30946" w:rsidP="00F30946">
            <w:pPr>
              <w:tabs>
                <w:tab w:val="left" w:pos="7525"/>
              </w:tabs>
              <w:spacing w:after="0" w:line="360" w:lineRule="auto"/>
              <w:jc w:val="center"/>
              <w:rPr>
                <w:rFonts w:ascii="Times New Roman" w:eastAsia="Calibri" w:hAnsi="Times New Roman" w:cs="Times New Roman"/>
                <w:sz w:val="24"/>
              </w:rPr>
            </w:pPr>
            <w:r w:rsidRPr="00B832FC">
              <w:rPr>
                <w:rFonts w:ascii="Times New Roman" w:eastAsia="Calibri" w:hAnsi="Times New Roman" w:cs="Times New Roman"/>
                <w:b/>
                <w:bCs/>
                <w:sz w:val="24"/>
              </w:rPr>
              <w:t>2.5-4.5</w:t>
            </w:r>
          </w:p>
        </w:tc>
      </w:tr>
    </w:tbl>
    <w:p w14:paraId="2FAE0D5C" w14:textId="77777777" w:rsidR="002A0663" w:rsidRPr="000A734E" w:rsidRDefault="002A0663" w:rsidP="00BE4849">
      <w:pPr>
        <w:tabs>
          <w:tab w:val="left" w:pos="7525"/>
        </w:tabs>
        <w:spacing w:line="360" w:lineRule="auto"/>
        <w:rPr>
          <w:rFonts w:ascii="Times New Roman" w:eastAsia="Calibri" w:hAnsi="Times New Roman" w:cs="Times New Roman"/>
          <w:sz w:val="24"/>
        </w:rPr>
      </w:pPr>
    </w:p>
    <w:p w14:paraId="1A1993B0" w14:textId="1E469316" w:rsidR="00BE4849" w:rsidRPr="000A734E" w:rsidRDefault="00BE4849" w:rsidP="00BE4849">
      <w:pPr>
        <w:rPr>
          <w:rFonts w:ascii="Times New Roman" w:eastAsia="Calibri" w:hAnsi="Times New Roman" w:cs="Times New Roman"/>
          <w:noProof/>
          <w:sz w:val="24"/>
        </w:rPr>
      </w:pPr>
      <w:r w:rsidRPr="000A734E">
        <w:rPr>
          <w:rFonts w:ascii="Times New Roman" w:eastAsia="Calibri" w:hAnsi="Times New Roman" w:cs="Times New Roman"/>
          <w:noProof/>
          <w:sz w:val="24"/>
        </w:rPr>
        <w:t>Regarding bone mineral and serum ferritin</w:t>
      </w:r>
      <w:r>
        <w:rPr>
          <w:rFonts w:ascii="Times New Roman" w:eastAsia="Calibri" w:hAnsi="Times New Roman" w:cs="Times New Roman"/>
          <w:noProof/>
          <w:sz w:val="24"/>
        </w:rPr>
        <w:t>,</w:t>
      </w:r>
      <w:r w:rsidRPr="000A734E">
        <w:rPr>
          <w:rFonts w:ascii="Times New Roman" w:eastAsia="Calibri" w:hAnsi="Times New Roman" w:cs="Times New Roman"/>
          <w:noProof/>
          <w:sz w:val="24"/>
        </w:rPr>
        <w:t xml:space="preserve"> </w:t>
      </w:r>
      <w:r>
        <w:rPr>
          <w:rFonts w:ascii="Times New Roman" w:eastAsia="Calibri" w:hAnsi="Times New Roman" w:cs="Times New Roman"/>
          <w:noProof/>
          <w:sz w:val="24"/>
        </w:rPr>
        <w:t>Table</w:t>
      </w:r>
      <w:r w:rsidRPr="000A734E">
        <w:rPr>
          <w:rFonts w:ascii="Times New Roman" w:eastAsia="Calibri" w:hAnsi="Times New Roman" w:cs="Times New Roman"/>
          <w:noProof/>
          <w:sz w:val="24"/>
        </w:rPr>
        <w:t xml:space="preserve"> 6 show that </w:t>
      </w:r>
      <w:r>
        <w:rPr>
          <w:rFonts w:ascii="Times New Roman" w:eastAsia="Calibri" w:hAnsi="Times New Roman" w:cs="Times New Roman"/>
          <w:noProof/>
          <w:sz w:val="24"/>
        </w:rPr>
        <w:t xml:space="preserve">the </w:t>
      </w:r>
      <w:r w:rsidRPr="000A734E">
        <w:rPr>
          <w:rFonts w:ascii="Times New Roman" w:eastAsia="Calibri" w:hAnsi="Times New Roman" w:cs="Times New Roman"/>
          <w:noProof/>
          <w:sz w:val="24"/>
        </w:rPr>
        <w:t xml:space="preserve">serum ferritin of this study represents </w:t>
      </w:r>
      <w:r>
        <w:rPr>
          <w:rFonts w:ascii="Times New Roman" w:eastAsia="Calibri" w:hAnsi="Times New Roman" w:cs="Times New Roman"/>
          <w:noProof/>
          <w:sz w:val="24"/>
        </w:rPr>
        <w:t xml:space="preserve">a </w:t>
      </w:r>
      <w:r w:rsidRPr="000A734E">
        <w:rPr>
          <w:rFonts w:ascii="Times New Roman" w:eastAsia="Calibri" w:hAnsi="Times New Roman" w:cs="Times New Roman"/>
          <w:noProof/>
          <w:sz w:val="24"/>
        </w:rPr>
        <w:t>higher mean ±SD (3718.9±2453.8)</w:t>
      </w:r>
      <w:r>
        <w:rPr>
          <w:rFonts w:ascii="Times New Roman" w:eastAsia="Calibri" w:hAnsi="Times New Roman" w:cs="Times New Roman"/>
          <w:noProof/>
          <w:sz w:val="24"/>
        </w:rPr>
        <w:t>,</w:t>
      </w:r>
      <w:r w:rsidRPr="000A734E">
        <w:rPr>
          <w:rFonts w:ascii="Times New Roman" w:eastAsia="Calibri" w:hAnsi="Times New Roman" w:cs="Times New Roman"/>
          <w:noProof/>
          <w:sz w:val="24"/>
        </w:rPr>
        <w:t xml:space="preserve"> which is nine times the normal value of serum ferritin in </w:t>
      </w:r>
      <w:r>
        <w:rPr>
          <w:rFonts w:ascii="Times New Roman" w:eastAsia="Calibri" w:hAnsi="Times New Roman" w:cs="Times New Roman"/>
          <w:noProof/>
          <w:sz w:val="24"/>
        </w:rPr>
        <w:t xml:space="preserve">a </w:t>
      </w:r>
      <w:r w:rsidRPr="000A734E">
        <w:rPr>
          <w:rFonts w:ascii="Times New Roman" w:eastAsia="Calibri" w:hAnsi="Times New Roman" w:cs="Times New Roman"/>
          <w:noProof/>
          <w:sz w:val="24"/>
        </w:rPr>
        <w:t>healthy individual.</w:t>
      </w:r>
    </w:p>
    <w:p w14:paraId="62437B50" w14:textId="77777777" w:rsidR="00BE4849" w:rsidRPr="000A734E" w:rsidRDefault="00BE4849" w:rsidP="00BE4849">
      <w:pPr>
        <w:rPr>
          <w:rFonts w:ascii="Times New Roman" w:eastAsia="Calibri" w:hAnsi="Times New Roman" w:cs="Times New Roman"/>
          <w:noProof/>
          <w:sz w:val="24"/>
        </w:rPr>
      </w:pPr>
      <w:r w:rsidRPr="000A734E">
        <w:rPr>
          <w:rFonts w:ascii="Times New Roman" w:eastAsia="Calibri" w:hAnsi="Times New Roman" w:cs="Times New Roman"/>
          <w:noProof/>
          <w:sz w:val="24"/>
        </w:rPr>
        <w:t xml:space="preserve">It also </w:t>
      </w:r>
      <w:r>
        <w:rPr>
          <w:rFonts w:ascii="Times New Roman" w:eastAsia="Calibri" w:hAnsi="Times New Roman" w:cs="Times New Roman"/>
          <w:noProof/>
          <w:sz w:val="24"/>
        </w:rPr>
        <w:t>shows</w:t>
      </w:r>
      <w:r w:rsidRPr="000A734E">
        <w:rPr>
          <w:rFonts w:ascii="Times New Roman" w:eastAsia="Calibri" w:hAnsi="Times New Roman" w:cs="Times New Roman"/>
          <w:noProof/>
          <w:sz w:val="24"/>
        </w:rPr>
        <w:t xml:space="preserve"> that 25-OH vitamin D ng/mL, parathyroid </w:t>
      </w:r>
      <w:r>
        <w:rPr>
          <w:rFonts w:ascii="Times New Roman" w:eastAsia="Calibri" w:hAnsi="Times New Roman" w:cs="Times New Roman"/>
          <w:noProof/>
          <w:sz w:val="24"/>
        </w:rPr>
        <w:t>hormone</w:t>
      </w:r>
      <w:r w:rsidRPr="000A734E">
        <w:rPr>
          <w:rFonts w:ascii="Times New Roman" w:eastAsia="Calibri" w:hAnsi="Times New Roman" w:cs="Times New Roman"/>
          <w:noProof/>
          <w:sz w:val="24"/>
        </w:rPr>
        <w:t xml:space="preserve"> (</w:t>
      </w:r>
      <w:r>
        <w:rPr>
          <w:rFonts w:ascii="Times New Roman" w:eastAsia="Calibri" w:hAnsi="Times New Roman" w:cs="Times New Roman"/>
          <w:noProof/>
          <w:sz w:val="24"/>
        </w:rPr>
        <w:t>pg</w:t>
      </w:r>
      <w:r w:rsidRPr="000A734E">
        <w:rPr>
          <w:rFonts w:ascii="Times New Roman" w:eastAsia="Calibri" w:hAnsi="Times New Roman" w:cs="Times New Roman"/>
          <w:noProof/>
          <w:sz w:val="24"/>
        </w:rPr>
        <w:t>/mL)</w:t>
      </w:r>
      <w:r>
        <w:rPr>
          <w:rFonts w:ascii="Times New Roman" w:eastAsia="Calibri" w:hAnsi="Times New Roman" w:cs="Times New Roman"/>
          <w:noProof/>
          <w:sz w:val="24"/>
        </w:rPr>
        <w:t>,</w:t>
      </w:r>
      <w:r w:rsidRPr="000A734E">
        <w:rPr>
          <w:rFonts w:ascii="Times New Roman" w:eastAsia="Calibri" w:hAnsi="Times New Roman" w:cs="Times New Roman"/>
          <w:noProof/>
          <w:sz w:val="24"/>
        </w:rPr>
        <w:t xml:space="preserve"> and serum calcium(mg/dl) represent </w:t>
      </w:r>
      <w:r>
        <w:rPr>
          <w:rFonts w:ascii="Times New Roman" w:eastAsia="Calibri" w:hAnsi="Times New Roman" w:cs="Times New Roman"/>
          <w:noProof/>
          <w:sz w:val="24"/>
        </w:rPr>
        <w:t>decrease values</w:t>
      </w:r>
      <w:r w:rsidRPr="000A734E">
        <w:rPr>
          <w:rFonts w:ascii="Times New Roman" w:eastAsia="Calibri" w:hAnsi="Times New Roman" w:cs="Times New Roman"/>
          <w:noProof/>
          <w:sz w:val="24"/>
        </w:rPr>
        <w:t xml:space="preserve"> than </w:t>
      </w:r>
      <w:r>
        <w:rPr>
          <w:rFonts w:ascii="Times New Roman" w:eastAsia="Calibri" w:hAnsi="Times New Roman" w:cs="Times New Roman"/>
          <w:noProof/>
          <w:sz w:val="24"/>
        </w:rPr>
        <w:t xml:space="preserve">the </w:t>
      </w:r>
      <w:r w:rsidRPr="000A734E">
        <w:rPr>
          <w:rFonts w:ascii="Times New Roman" w:eastAsia="Calibri" w:hAnsi="Times New Roman" w:cs="Times New Roman"/>
          <w:noProof/>
          <w:sz w:val="24"/>
        </w:rPr>
        <w:t>normal range with mean ±SD(23.8±9.9) (23.1±13.7) (8.4±1.0)</w:t>
      </w:r>
      <w:r>
        <w:rPr>
          <w:rFonts w:ascii="Times New Roman" w:eastAsia="Calibri" w:hAnsi="Times New Roman" w:cs="Times New Roman"/>
          <w:noProof/>
          <w:sz w:val="24"/>
        </w:rPr>
        <w:t>,</w:t>
      </w:r>
      <w:r w:rsidRPr="000A734E">
        <w:rPr>
          <w:rFonts w:ascii="Times New Roman" w:eastAsia="Calibri" w:hAnsi="Times New Roman" w:cs="Times New Roman"/>
          <w:noProof/>
          <w:sz w:val="24"/>
        </w:rPr>
        <w:t xml:space="preserve"> respectively. Whereas serum phosphorus shows higher mean ±SD (4.5±1.5) then normal range.                                        </w:t>
      </w:r>
    </w:p>
    <w:p w14:paraId="51DE84A1" w14:textId="77777777" w:rsidR="00BE4849" w:rsidRDefault="00BE4849" w:rsidP="00BE4849">
      <w:pPr>
        <w:rPr>
          <w:rFonts w:ascii="Times New Roman" w:eastAsia="Calibri" w:hAnsi="Times New Roman" w:cs="Times New Roman"/>
          <w:b/>
          <w:bCs/>
          <w:sz w:val="24"/>
        </w:rPr>
      </w:pPr>
    </w:p>
    <w:p w14:paraId="6092E2C9" w14:textId="77777777" w:rsidR="00BE4849" w:rsidRPr="000A734E" w:rsidRDefault="00BE4849" w:rsidP="00BE4849">
      <w:pPr>
        <w:rPr>
          <w:rFonts w:ascii="Times New Roman" w:eastAsia="Calibri" w:hAnsi="Times New Roman" w:cs="Times New Roman"/>
          <w:noProof/>
          <w:sz w:val="24"/>
        </w:rPr>
      </w:pPr>
      <w:r w:rsidRPr="000A734E">
        <w:rPr>
          <w:rFonts w:ascii="Times New Roman" w:eastAsia="Calibri" w:hAnsi="Times New Roman" w:cs="Times New Roman"/>
          <w:b/>
          <w:bCs/>
          <w:sz w:val="24"/>
        </w:rPr>
        <w:t xml:space="preserve">Table </w:t>
      </w:r>
      <w:r>
        <w:rPr>
          <w:rFonts w:ascii="Times New Roman" w:eastAsia="Calibri" w:hAnsi="Times New Roman" w:cs="Times New Roman"/>
          <w:b/>
          <w:bCs/>
          <w:sz w:val="24"/>
        </w:rPr>
        <w:t>6</w:t>
      </w:r>
      <w:r w:rsidRPr="000A734E">
        <w:rPr>
          <w:rFonts w:ascii="Times New Roman" w:eastAsia="Calibri" w:hAnsi="Times New Roman" w:cs="Times New Roman"/>
          <w:b/>
          <w:bCs/>
          <w:sz w:val="24"/>
        </w:rPr>
        <w:t>. Summary of ferritin categorization</w:t>
      </w:r>
    </w:p>
    <w:tbl>
      <w:tblPr>
        <w:tblStyle w:val="8"/>
        <w:tblpPr w:leftFromText="180" w:rightFromText="180" w:vertAnchor="text" w:horzAnchor="margin" w:tblpY="320"/>
        <w:tblW w:w="8518" w:type="dxa"/>
        <w:tblLook w:val="04A0" w:firstRow="1" w:lastRow="0" w:firstColumn="1" w:lastColumn="0" w:noHBand="0" w:noVBand="1"/>
      </w:tblPr>
      <w:tblGrid>
        <w:gridCol w:w="824"/>
        <w:gridCol w:w="2421"/>
        <w:gridCol w:w="2222"/>
        <w:gridCol w:w="1422"/>
        <w:gridCol w:w="1629"/>
      </w:tblGrid>
      <w:tr w:rsidR="00BE4849" w:rsidRPr="000A734E" w14:paraId="1ABF5761" w14:textId="77777777" w:rsidTr="00696C2D">
        <w:trPr>
          <w:trHeight w:val="529"/>
        </w:trPr>
        <w:tc>
          <w:tcPr>
            <w:tcW w:w="824" w:type="dxa"/>
          </w:tcPr>
          <w:p w14:paraId="7E13321A"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Si no</w:t>
            </w:r>
          </w:p>
        </w:tc>
        <w:tc>
          <w:tcPr>
            <w:tcW w:w="2421" w:type="dxa"/>
          </w:tcPr>
          <w:p w14:paraId="4175FDAA"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Median ferritin levels, </w:t>
            </w:r>
            <w:bookmarkStart w:id="69" w:name="_Hlk190166975"/>
            <w:r w:rsidRPr="000A734E">
              <w:rPr>
                <w:rFonts w:ascii="Times New Roman" w:eastAsia="Calibri" w:hAnsi="Times New Roman" w:cs="Times New Roman"/>
                <w:sz w:val="24"/>
              </w:rPr>
              <w:t xml:space="preserve">ng/dl </w:t>
            </w:r>
            <w:bookmarkEnd w:id="69"/>
          </w:p>
        </w:tc>
        <w:tc>
          <w:tcPr>
            <w:tcW w:w="2222" w:type="dxa"/>
          </w:tcPr>
          <w:p w14:paraId="66914416"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Category</w:t>
            </w:r>
          </w:p>
        </w:tc>
        <w:tc>
          <w:tcPr>
            <w:tcW w:w="1422" w:type="dxa"/>
          </w:tcPr>
          <w:p w14:paraId="6DEDFE52"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No of patient </w:t>
            </w:r>
          </w:p>
          <w:p w14:paraId="5E427311"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No (40)</w:t>
            </w:r>
          </w:p>
        </w:tc>
        <w:tc>
          <w:tcPr>
            <w:tcW w:w="1629" w:type="dxa"/>
          </w:tcPr>
          <w:p w14:paraId="364546F1"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Percentage (%) </w:t>
            </w:r>
          </w:p>
        </w:tc>
      </w:tr>
      <w:tr w:rsidR="00BE4849" w:rsidRPr="000A734E" w14:paraId="3FB0D221" w14:textId="77777777" w:rsidTr="00696C2D">
        <w:trPr>
          <w:trHeight w:val="422"/>
        </w:trPr>
        <w:tc>
          <w:tcPr>
            <w:tcW w:w="824" w:type="dxa"/>
          </w:tcPr>
          <w:p w14:paraId="3987F72F" w14:textId="77777777" w:rsidR="00BE4849" w:rsidRPr="000A734E" w:rsidRDefault="00BE4849" w:rsidP="00BE4849">
            <w:pPr>
              <w:numPr>
                <w:ilvl w:val="0"/>
                <w:numId w:val="1"/>
              </w:numPr>
              <w:tabs>
                <w:tab w:val="left" w:pos="7525"/>
              </w:tabs>
              <w:spacing w:line="360" w:lineRule="auto"/>
              <w:contextualSpacing/>
              <w:rPr>
                <w:rFonts w:ascii="Times New Roman" w:eastAsia="Calibri" w:hAnsi="Times New Roman" w:cs="Times New Roman"/>
                <w:sz w:val="24"/>
              </w:rPr>
            </w:pPr>
          </w:p>
        </w:tc>
        <w:tc>
          <w:tcPr>
            <w:tcW w:w="2421" w:type="dxa"/>
          </w:tcPr>
          <w:p w14:paraId="3022A2D6"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&lt;2000</w:t>
            </w:r>
            <w:r w:rsidRPr="000A734E">
              <w:rPr>
                <w:rFonts w:ascii="Calibri" w:eastAsia="Calibri" w:hAnsi="Calibri" w:cs="Arial"/>
                <w:spacing w:val="-2"/>
                <w:sz w:val="24"/>
              </w:rPr>
              <w:t xml:space="preserve"> ng/l</w:t>
            </w:r>
          </w:p>
        </w:tc>
        <w:tc>
          <w:tcPr>
            <w:tcW w:w="2222" w:type="dxa"/>
          </w:tcPr>
          <w:p w14:paraId="3BCDC0A3"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Moderate </w:t>
            </w:r>
          </w:p>
        </w:tc>
        <w:tc>
          <w:tcPr>
            <w:tcW w:w="1422" w:type="dxa"/>
          </w:tcPr>
          <w:p w14:paraId="5F63FF56"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9</w:t>
            </w:r>
          </w:p>
        </w:tc>
        <w:tc>
          <w:tcPr>
            <w:tcW w:w="1629" w:type="dxa"/>
          </w:tcPr>
          <w:p w14:paraId="1A476315" w14:textId="77777777" w:rsidR="00BE4849" w:rsidRPr="000A734E" w:rsidRDefault="00BE4849" w:rsidP="00696C2D">
            <w:pPr>
              <w:tabs>
                <w:tab w:val="left" w:pos="7525"/>
              </w:tabs>
              <w:spacing w:line="360" w:lineRule="auto"/>
              <w:rPr>
                <w:rFonts w:ascii="Times New Roman" w:eastAsia="Calibri" w:hAnsi="Times New Roman" w:cs="Times New Roman"/>
                <w:sz w:val="24"/>
              </w:rPr>
            </w:pPr>
            <w:bookmarkStart w:id="70" w:name="_Hlk190167171"/>
            <w:r w:rsidRPr="000A734E">
              <w:rPr>
                <w:rFonts w:ascii="Times New Roman" w:eastAsia="Calibri" w:hAnsi="Times New Roman" w:cs="Times New Roman"/>
                <w:sz w:val="24"/>
              </w:rPr>
              <w:t>22.5%</w:t>
            </w:r>
            <w:bookmarkEnd w:id="70"/>
          </w:p>
        </w:tc>
      </w:tr>
      <w:tr w:rsidR="00BE4849" w:rsidRPr="000A734E" w14:paraId="2A648F0E" w14:textId="77777777" w:rsidTr="00696C2D">
        <w:trPr>
          <w:trHeight w:val="422"/>
        </w:trPr>
        <w:tc>
          <w:tcPr>
            <w:tcW w:w="824" w:type="dxa"/>
          </w:tcPr>
          <w:p w14:paraId="7D7A09FC" w14:textId="77777777" w:rsidR="00BE4849" w:rsidRPr="000A734E" w:rsidRDefault="00BE4849" w:rsidP="00BE4849">
            <w:pPr>
              <w:numPr>
                <w:ilvl w:val="0"/>
                <w:numId w:val="1"/>
              </w:numPr>
              <w:tabs>
                <w:tab w:val="left" w:pos="7525"/>
              </w:tabs>
              <w:spacing w:line="360" w:lineRule="auto"/>
              <w:contextualSpacing/>
              <w:rPr>
                <w:rFonts w:ascii="Times New Roman" w:eastAsia="Calibri" w:hAnsi="Times New Roman" w:cs="Times New Roman"/>
                <w:sz w:val="24"/>
              </w:rPr>
            </w:pPr>
          </w:p>
        </w:tc>
        <w:tc>
          <w:tcPr>
            <w:tcW w:w="2421" w:type="dxa"/>
          </w:tcPr>
          <w:p w14:paraId="4DDE0C1F"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2000-4000</w:t>
            </w:r>
            <w:r w:rsidRPr="000A734E">
              <w:rPr>
                <w:rFonts w:ascii="Calibri" w:eastAsia="Calibri" w:hAnsi="Calibri" w:cs="Arial"/>
                <w:spacing w:val="-2"/>
                <w:sz w:val="24"/>
              </w:rPr>
              <w:t xml:space="preserve"> ng/l</w:t>
            </w:r>
          </w:p>
        </w:tc>
        <w:tc>
          <w:tcPr>
            <w:tcW w:w="2222" w:type="dxa"/>
          </w:tcPr>
          <w:p w14:paraId="5A83D99A"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High </w:t>
            </w:r>
          </w:p>
        </w:tc>
        <w:tc>
          <w:tcPr>
            <w:tcW w:w="1422" w:type="dxa"/>
          </w:tcPr>
          <w:p w14:paraId="0F3FC8B5"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15</w:t>
            </w:r>
          </w:p>
        </w:tc>
        <w:tc>
          <w:tcPr>
            <w:tcW w:w="1629" w:type="dxa"/>
          </w:tcPr>
          <w:p w14:paraId="1D03807A"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37.5%</w:t>
            </w:r>
          </w:p>
        </w:tc>
      </w:tr>
      <w:tr w:rsidR="00BE4849" w:rsidRPr="000A734E" w14:paraId="6BA26744" w14:textId="77777777" w:rsidTr="00696C2D">
        <w:trPr>
          <w:trHeight w:val="405"/>
        </w:trPr>
        <w:tc>
          <w:tcPr>
            <w:tcW w:w="824" w:type="dxa"/>
          </w:tcPr>
          <w:p w14:paraId="6ED0D18B" w14:textId="77777777" w:rsidR="00BE4849" w:rsidRPr="000A734E" w:rsidRDefault="00BE4849" w:rsidP="00BE4849">
            <w:pPr>
              <w:numPr>
                <w:ilvl w:val="0"/>
                <w:numId w:val="1"/>
              </w:numPr>
              <w:tabs>
                <w:tab w:val="left" w:pos="7525"/>
              </w:tabs>
              <w:spacing w:line="360" w:lineRule="auto"/>
              <w:contextualSpacing/>
              <w:rPr>
                <w:rFonts w:ascii="Times New Roman" w:eastAsia="Calibri" w:hAnsi="Times New Roman" w:cs="Times New Roman"/>
                <w:sz w:val="24"/>
              </w:rPr>
            </w:pPr>
          </w:p>
        </w:tc>
        <w:tc>
          <w:tcPr>
            <w:tcW w:w="2421" w:type="dxa"/>
          </w:tcPr>
          <w:p w14:paraId="5C03A9F2"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&gt;4000</w:t>
            </w:r>
            <w:r w:rsidRPr="000A734E">
              <w:rPr>
                <w:rFonts w:ascii="Calibri" w:eastAsia="Calibri" w:hAnsi="Calibri" w:cs="Arial"/>
                <w:spacing w:val="-2"/>
                <w:sz w:val="24"/>
              </w:rPr>
              <w:t xml:space="preserve"> ng/l</w:t>
            </w:r>
          </w:p>
        </w:tc>
        <w:tc>
          <w:tcPr>
            <w:tcW w:w="2222" w:type="dxa"/>
          </w:tcPr>
          <w:p w14:paraId="139B8AD9"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Sever </w:t>
            </w:r>
          </w:p>
        </w:tc>
        <w:tc>
          <w:tcPr>
            <w:tcW w:w="1422" w:type="dxa"/>
          </w:tcPr>
          <w:p w14:paraId="512A69D1"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16</w:t>
            </w:r>
          </w:p>
        </w:tc>
        <w:tc>
          <w:tcPr>
            <w:tcW w:w="1629" w:type="dxa"/>
          </w:tcPr>
          <w:p w14:paraId="632A5F99" w14:textId="77777777" w:rsidR="00BE4849" w:rsidRPr="000A734E" w:rsidRDefault="00BE4849" w:rsidP="00696C2D">
            <w:pPr>
              <w:tabs>
                <w:tab w:val="left" w:pos="7525"/>
              </w:tabs>
              <w:spacing w:line="360" w:lineRule="auto"/>
              <w:rPr>
                <w:rFonts w:ascii="Times New Roman" w:eastAsia="Calibri" w:hAnsi="Times New Roman" w:cs="Times New Roman"/>
                <w:b/>
                <w:bCs/>
                <w:sz w:val="24"/>
              </w:rPr>
            </w:pPr>
            <w:r w:rsidRPr="000A734E">
              <w:rPr>
                <w:rFonts w:ascii="Times New Roman" w:eastAsia="Calibri" w:hAnsi="Times New Roman" w:cs="Times New Roman"/>
                <w:b/>
                <w:bCs/>
                <w:sz w:val="24"/>
              </w:rPr>
              <w:t>40.0 %</w:t>
            </w:r>
          </w:p>
        </w:tc>
      </w:tr>
    </w:tbl>
    <w:p w14:paraId="5060911D" w14:textId="77777777" w:rsidR="00BE4849" w:rsidRPr="000A734E" w:rsidRDefault="00BE4849" w:rsidP="00BE4849">
      <w:pPr>
        <w:tabs>
          <w:tab w:val="left" w:pos="1320"/>
        </w:tabs>
        <w:jc w:val="both"/>
        <w:rPr>
          <w:rFonts w:ascii="Times New Roman" w:eastAsia="Calibri" w:hAnsi="Times New Roman" w:cs="Times New Roman"/>
          <w:sz w:val="24"/>
        </w:rPr>
      </w:pPr>
    </w:p>
    <w:p w14:paraId="23ABF7A7" w14:textId="77777777" w:rsidR="00BE4849" w:rsidRPr="000A734E" w:rsidRDefault="00BE4849" w:rsidP="00BE4849">
      <w:pPr>
        <w:tabs>
          <w:tab w:val="left" w:pos="1320"/>
        </w:tabs>
        <w:jc w:val="both"/>
        <w:rPr>
          <w:rFonts w:ascii="Times New Roman" w:eastAsia="Calibri" w:hAnsi="Times New Roman" w:cs="Times New Roman"/>
          <w:sz w:val="24"/>
        </w:rPr>
      </w:pPr>
    </w:p>
    <w:p w14:paraId="504F5FF1" w14:textId="77777777" w:rsidR="00F30946" w:rsidRDefault="00F30946" w:rsidP="00BE4849">
      <w:pPr>
        <w:jc w:val="both"/>
        <w:rPr>
          <w:rFonts w:ascii="Times New Roman" w:eastAsia="Calibri" w:hAnsi="Times New Roman" w:cs="Times New Roman"/>
          <w:sz w:val="24"/>
        </w:rPr>
      </w:pPr>
    </w:p>
    <w:p w14:paraId="4C14DCB2" w14:textId="77777777" w:rsidR="00F30946" w:rsidRDefault="00F30946" w:rsidP="00BE4849">
      <w:pPr>
        <w:jc w:val="both"/>
        <w:rPr>
          <w:rFonts w:ascii="Times New Roman" w:eastAsia="Calibri" w:hAnsi="Times New Roman" w:cs="Times New Roman"/>
          <w:sz w:val="24"/>
        </w:rPr>
      </w:pPr>
    </w:p>
    <w:p w14:paraId="17488DA6" w14:textId="4C1C2213" w:rsidR="00BE4849" w:rsidRDefault="00F30946" w:rsidP="00BE4849">
      <w:pPr>
        <w:jc w:val="both"/>
        <w:rPr>
          <w:rFonts w:ascii="Times New Roman" w:eastAsia="Calibri" w:hAnsi="Times New Roman" w:cs="Times New Roman"/>
          <w:sz w:val="24"/>
        </w:rPr>
      </w:pPr>
      <w:r>
        <w:rPr>
          <w:rFonts w:ascii="Times New Roman" w:eastAsia="Calibri" w:hAnsi="Times New Roman" w:cs="Times New Roman"/>
          <w:sz w:val="24"/>
        </w:rPr>
        <w:t xml:space="preserve">   </w:t>
      </w:r>
      <w:r w:rsidR="00BE4849" w:rsidRPr="000A734E">
        <w:rPr>
          <w:rFonts w:ascii="Times New Roman" w:eastAsia="Calibri" w:hAnsi="Times New Roman" w:cs="Times New Roman"/>
          <w:sz w:val="24"/>
        </w:rPr>
        <w:t xml:space="preserve">Regarding to this table the most cases suffer </w:t>
      </w:r>
      <w:r w:rsidR="00BE4849">
        <w:rPr>
          <w:rFonts w:ascii="Times New Roman" w:eastAsia="Calibri" w:hAnsi="Times New Roman" w:cs="Times New Roman"/>
          <w:sz w:val="24"/>
        </w:rPr>
        <w:t>from severe 40</w:t>
      </w:r>
      <w:r w:rsidR="00BE4849" w:rsidRPr="000A734E">
        <w:rPr>
          <w:rFonts w:ascii="Times New Roman" w:eastAsia="Calibri" w:hAnsi="Times New Roman" w:cs="Times New Roman"/>
          <w:sz w:val="24"/>
        </w:rPr>
        <w:t>%</w:t>
      </w:r>
      <w:r w:rsidR="00BE4849">
        <w:rPr>
          <w:rFonts w:ascii="Times New Roman" w:eastAsia="Calibri" w:hAnsi="Times New Roman" w:cs="Times New Roman"/>
          <w:sz w:val="24"/>
        </w:rPr>
        <w:t xml:space="preserve"> </w:t>
      </w:r>
      <w:r w:rsidR="00BE4849" w:rsidRPr="000A734E">
        <w:rPr>
          <w:rFonts w:ascii="Times New Roman" w:eastAsia="Calibri" w:hAnsi="Times New Roman" w:cs="Times New Roman"/>
          <w:sz w:val="24"/>
        </w:rPr>
        <w:t>and high 37.5% percentage of serum ferritin</w:t>
      </w:r>
      <w:r w:rsidR="00BE4849">
        <w:rPr>
          <w:rFonts w:ascii="Times New Roman" w:eastAsia="Calibri" w:hAnsi="Times New Roman" w:cs="Times New Roman"/>
          <w:sz w:val="24"/>
        </w:rPr>
        <w:t>,</w:t>
      </w:r>
      <w:r w:rsidR="00BE4849" w:rsidRPr="000A734E">
        <w:rPr>
          <w:rFonts w:ascii="Times New Roman" w:eastAsia="Calibri" w:hAnsi="Times New Roman" w:cs="Times New Roman"/>
          <w:sz w:val="24"/>
        </w:rPr>
        <w:t xml:space="preserve"> while only 22.5% represent </w:t>
      </w:r>
      <w:r w:rsidR="00BE4849">
        <w:rPr>
          <w:rFonts w:ascii="Times New Roman" w:eastAsia="Calibri" w:hAnsi="Times New Roman" w:cs="Times New Roman"/>
          <w:sz w:val="24"/>
        </w:rPr>
        <w:t xml:space="preserve">a </w:t>
      </w:r>
      <w:r w:rsidR="00BE4849" w:rsidRPr="000A734E">
        <w:rPr>
          <w:rFonts w:ascii="Times New Roman" w:eastAsia="Calibri" w:hAnsi="Times New Roman" w:cs="Times New Roman"/>
          <w:sz w:val="24"/>
        </w:rPr>
        <w:t>moderate value &lt;2000.</w:t>
      </w:r>
    </w:p>
    <w:p w14:paraId="556ED3D3" w14:textId="77777777" w:rsidR="00BE4849" w:rsidRDefault="00BE4849" w:rsidP="00BE4849">
      <w:pPr>
        <w:jc w:val="both"/>
        <w:rPr>
          <w:rFonts w:ascii="Times New Roman" w:eastAsia="Calibri" w:hAnsi="Times New Roman" w:cs="Times New Roman"/>
          <w:sz w:val="24"/>
        </w:rPr>
      </w:pPr>
    </w:p>
    <w:p w14:paraId="17C11A2D" w14:textId="77777777" w:rsidR="00BE4849" w:rsidRDefault="00BE4849" w:rsidP="00BE4849">
      <w:pPr>
        <w:jc w:val="both"/>
        <w:rPr>
          <w:rFonts w:ascii="Times New Roman" w:eastAsia="Calibri" w:hAnsi="Times New Roman" w:cs="Times New Roman"/>
          <w:sz w:val="24"/>
        </w:rPr>
      </w:pPr>
    </w:p>
    <w:p w14:paraId="6615DFA0" w14:textId="77777777" w:rsidR="00BE4849" w:rsidRPr="000A734E" w:rsidRDefault="00BE4849" w:rsidP="00BE4849">
      <w:pPr>
        <w:jc w:val="both"/>
        <w:rPr>
          <w:rFonts w:ascii="Times New Roman" w:eastAsia="Calibri" w:hAnsi="Times New Roman" w:cs="Times New Roman"/>
          <w:sz w:val="24"/>
        </w:rPr>
      </w:pPr>
    </w:p>
    <w:tbl>
      <w:tblPr>
        <w:tblStyle w:val="311"/>
        <w:tblpPr w:leftFromText="180" w:rightFromText="180" w:vertAnchor="text" w:horzAnchor="margin" w:tblpXSpec="center" w:tblpY="436"/>
        <w:tblW w:w="9607" w:type="dxa"/>
        <w:tblInd w:w="0" w:type="dxa"/>
        <w:tblLook w:val="04A0" w:firstRow="1" w:lastRow="0" w:firstColumn="1" w:lastColumn="0" w:noHBand="0" w:noVBand="1"/>
      </w:tblPr>
      <w:tblGrid>
        <w:gridCol w:w="2841"/>
        <w:gridCol w:w="901"/>
        <w:gridCol w:w="1137"/>
        <w:gridCol w:w="1120"/>
        <w:gridCol w:w="1077"/>
        <w:gridCol w:w="876"/>
        <w:gridCol w:w="1655"/>
      </w:tblGrid>
      <w:tr w:rsidR="00BE4849" w:rsidRPr="000A734E" w14:paraId="3DC15C1D" w14:textId="77777777" w:rsidTr="00696C2D">
        <w:trPr>
          <w:trHeight w:val="482"/>
        </w:trPr>
        <w:tc>
          <w:tcPr>
            <w:tcW w:w="2841" w:type="dxa"/>
            <w:vMerge w:val="restart"/>
          </w:tcPr>
          <w:p w14:paraId="7030EE90" w14:textId="77777777" w:rsidR="00BE4849" w:rsidRPr="000A734E" w:rsidRDefault="00BE4849" w:rsidP="00696C2D">
            <w:pPr>
              <w:tabs>
                <w:tab w:val="left" w:pos="7525"/>
              </w:tabs>
              <w:spacing w:line="360" w:lineRule="auto"/>
              <w:jc w:val="center"/>
              <w:rPr>
                <w:rFonts w:ascii="Times New Roman" w:hAnsi="Times New Roman" w:cs="Times New Roman"/>
                <w:sz w:val="24"/>
              </w:rPr>
            </w:pPr>
            <w:r w:rsidRPr="000A734E">
              <w:rPr>
                <w:rFonts w:ascii="Times New Roman" w:hAnsi="Times New Roman" w:cs="Times New Roman"/>
                <w:sz w:val="24"/>
              </w:rPr>
              <w:t>Variable</w:t>
            </w:r>
          </w:p>
          <w:p w14:paraId="203D0AA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Liver Function Test</w:t>
            </w:r>
          </w:p>
        </w:tc>
        <w:tc>
          <w:tcPr>
            <w:tcW w:w="2038" w:type="dxa"/>
            <w:gridSpan w:val="2"/>
          </w:tcPr>
          <w:p w14:paraId="60CEFB7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                Mean</w:t>
            </w:r>
          </w:p>
        </w:tc>
        <w:tc>
          <w:tcPr>
            <w:tcW w:w="1120" w:type="dxa"/>
            <w:vMerge w:val="restart"/>
          </w:tcPr>
          <w:p w14:paraId="7F90F62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  </w:t>
            </w:r>
          </w:p>
          <w:p w14:paraId="77409A7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Median</w:t>
            </w:r>
          </w:p>
        </w:tc>
        <w:tc>
          <w:tcPr>
            <w:tcW w:w="1953" w:type="dxa"/>
            <w:gridSpan w:val="2"/>
          </w:tcPr>
          <w:p w14:paraId="0472FF7C"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         Range</w:t>
            </w:r>
          </w:p>
        </w:tc>
        <w:tc>
          <w:tcPr>
            <w:tcW w:w="1655" w:type="dxa"/>
            <w:vMerge w:val="restart"/>
          </w:tcPr>
          <w:p w14:paraId="4ABFDE56"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Reference range  </w:t>
            </w:r>
          </w:p>
        </w:tc>
      </w:tr>
      <w:tr w:rsidR="00BE4849" w:rsidRPr="000A734E" w14:paraId="13D15170" w14:textId="77777777" w:rsidTr="00696C2D">
        <w:trPr>
          <w:trHeight w:val="464"/>
        </w:trPr>
        <w:tc>
          <w:tcPr>
            <w:tcW w:w="2841" w:type="dxa"/>
            <w:vMerge/>
          </w:tcPr>
          <w:p w14:paraId="3DF79A54" w14:textId="77777777" w:rsidR="00BE4849" w:rsidRPr="000A734E" w:rsidRDefault="00BE4849" w:rsidP="00696C2D">
            <w:pPr>
              <w:tabs>
                <w:tab w:val="left" w:pos="7525"/>
              </w:tabs>
              <w:spacing w:line="360" w:lineRule="auto"/>
              <w:rPr>
                <w:rFonts w:ascii="Times New Roman" w:hAnsi="Times New Roman" w:cs="Times New Roman"/>
                <w:sz w:val="24"/>
              </w:rPr>
            </w:pPr>
          </w:p>
        </w:tc>
        <w:tc>
          <w:tcPr>
            <w:tcW w:w="901" w:type="dxa"/>
          </w:tcPr>
          <w:p w14:paraId="5EE86187"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b/>
                <w:bCs/>
                <w:sz w:val="24"/>
              </w:rPr>
              <w:t>Mean</w:t>
            </w:r>
          </w:p>
        </w:tc>
        <w:tc>
          <w:tcPr>
            <w:tcW w:w="1137" w:type="dxa"/>
          </w:tcPr>
          <w:p w14:paraId="13F2702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b/>
                <w:bCs/>
                <w:sz w:val="24"/>
              </w:rPr>
              <w:t>SD</w:t>
            </w:r>
          </w:p>
        </w:tc>
        <w:tc>
          <w:tcPr>
            <w:tcW w:w="1120" w:type="dxa"/>
            <w:vMerge/>
          </w:tcPr>
          <w:p w14:paraId="56C56886" w14:textId="77777777" w:rsidR="00BE4849" w:rsidRPr="000A734E" w:rsidRDefault="00BE4849" w:rsidP="00696C2D">
            <w:pPr>
              <w:tabs>
                <w:tab w:val="left" w:pos="7525"/>
              </w:tabs>
              <w:spacing w:line="360" w:lineRule="auto"/>
              <w:rPr>
                <w:rFonts w:ascii="Times New Roman" w:hAnsi="Times New Roman" w:cs="Times New Roman"/>
                <w:sz w:val="24"/>
              </w:rPr>
            </w:pPr>
          </w:p>
        </w:tc>
        <w:tc>
          <w:tcPr>
            <w:tcW w:w="1077" w:type="dxa"/>
          </w:tcPr>
          <w:p w14:paraId="6E47CD2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b/>
                <w:bCs/>
                <w:sz w:val="24"/>
              </w:rPr>
              <w:t>Min</w:t>
            </w:r>
          </w:p>
        </w:tc>
        <w:tc>
          <w:tcPr>
            <w:tcW w:w="876" w:type="dxa"/>
          </w:tcPr>
          <w:p w14:paraId="5395F6E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b/>
                <w:bCs/>
                <w:sz w:val="24"/>
              </w:rPr>
              <w:t>Max</w:t>
            </w:r>
          </w:p>
        </w:tc>
        <w:tc>
          <w:tcPr>
            <w:tcW w:w="1655" w:type="dxa"/>
            <w:vMerge/>
          </w:tcPr>
          <w:p w14:paraId="3B2EF748" w14:textId="77777777" w:rsidR="00BE4849" w:rsidRPr="000A734E" w:rsidRDefault="00BE4849" w:rsidP="00696C2D">
            <w:pPr>
              <w:tabs>
                <w:tab w:val="left" w:pos="7525"/>
              </w:tabs>
              <w:spacing w:line="360" w:lineRule="auto"/>
              <w:rPr>
                <w:rFonts w:ascii="Times New Roman" w:hAnsi="Times New Roman" w:cs="Times New Roman"/>
                <w:b/>
                <w:bCs/>
                <w:sz w:val="24"/>
              </w:rPr>
            </w:pPr>
          </w:p>
        </w:tc>
      </w:tr>
      <w:tr w:rsidR="00BE4849" w:rsidRPr="000A734E" w14:paraId="3AD73164" w14:textId="77777777" w:rsidTr="00696C2D">
        <w:trPr>
          <w:trHeight w:val="482"/>
        </w:trPr>
        <w:tc>
          <w:tcPr>
            <w:tcW w:w="2841" w:type="dxa"/>
          </w:tcPr>
          <w:p w14:paraId="602DE5B7"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GPT</w:t>
            </w:r>
            <w:r w:rsidRPr="000A734E">
              <w:rPr>
                <w:rFonts w:ascii="Calibri" w:hAnsi="Calibri" w:cs="Arial"/>
              </w:rPr>
              <w:t xml:space="preserve"> </w:t>
            </w:r>
          </w:p>
        </w:tc>
        <w:tc>
          <w:tcPr>
            <w:tcW w:w="901" w:type="dxa"/>
          </w:tcPr>
          <w:p w14:paraId="5BD287E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31.96</w:t>
            </w:r>
          </w:p>
        </w:tc>
        <w:tc>
          <w:tcPr>
            <w:tcW w:w="1137" w:type="dxa"/>
          </w:tcPr>
          <w:p w14:paraId="36B399E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31.72</w:t>
            </w:r>
          </w:p>
        </w:tc>
        <w:tc>
          <w:tcPr>
            <w:tcW w:w="1120" w:type="dxa"/>
          </w:tcPr>
          <w:p w14:paraId="2323301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17.0</w:t>
            </w:r>
          </w:p>
        </w:tc>
        <w:tc>
          <w:tcPr>
            <w:tcW w:w="1077" w:type="dxa"/>
          </w:tcPr>
          <w:p w14:paraId="17F8DD04"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6.0</w:t>
            </w:r>
          </w:p>
        </w:tc>
        <w:tc>
          <w:tcPr>
            <w:tcW w:w="876" w:type="dxa"/>
          </w:tcPr>
          <w:p w14:paraId="4143A33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121.0</w:t>
            </w:r>
          </w:p>
        </w:tc>
        <w:tc>
          <w:tcPr>
            <w:tcW w:w="1655" w:type="dxa"/>
          </w:tcPr>
          <w:p w14:paraId="5AD8663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0-38</w:t>
            </w:r>
            <w:r w:rsidRPr="000A734E">
              <w:rPr>
                <w:rFonts w:ascii="Calibri" w:hAnsi="Calibri" w:cs="Arial"/>
              </w:rPr>
              <w:t xml:space="preserve"> </w:t>
            </w:r>
            <w:r w:rsidRPr="000A734E">
              <w:rPr>
                <w:rFonts w:ascii="Times New Roman" w:hAnsi="Times New Roman" w:cs="Times New Roman"/>
                <w:sz w:val="24"/>
              </w:rPr>
              <w:t>U/L</w:t>
            </w:r>
          </w:p>
        </w:tc>
      </w:tr>
      <w:tr w:rsidR="00BE4849" w:rsidRPr="000A734E" w14:paraId="0A7D3D8B" w14:textId="77777777" w:rsidTr="00696C2D">
        <w:trPr>
          <w:trHeight w:val="482"/>
        </w:trPr>
        <w:tc>
          <w:tcPr>
            <w:tcW w:w="2841" w:type="dxa"/>
          </w:tcPr>
          <w:p w14:paraId="6C8E8D2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GOT</w:t>
            </w:r>
            <w:r w:rsidRPr="000A734E">
              <w:rPr>
                <w:rFonts w:ascii="Calibri" w:hAnsi="Calibri" w:cs="Arial"/>
              </w:rPr>
              <w:t xml:space="preserve"> </w:t>
            </w:r>
          </w:p>
        </w:tc>
        <w:tc>
          <w:tcPr>
            <w:tcW w:w="901" w:type="dxa"/>
          </w:tcPr>
          <w:p w14:paraId="33C9605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51.20</w:t>
            </w:r>
          </w:p>
        </w:tc>
        <w:tc>
          <w:tcPr>
            <w:tcW w:w="1137" w:type="dxa"/>
          </w:tcPr>
          <w:p w14:paraId="4F80CCC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42.46</w:t>
            </w:r>
          </w:p>
        </w:tc>
        <w:tc>
          <w:tcPr>
            <w:tcW w:w="1120" w:type="dxa"/>
          </w:tcPr>
          <w:p w14:paraId="1B3CE7D4"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34.5</w:t>
            </w:r>
          </w:p>
        </w:tc>
        <w:tc>
          <w:tcPr>
            <w:tcW w:w="1077" w:type="dxa"/>
          </w:tcPr>
          <w:p w14:paraId="0A967B52"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5.0</w:t>
            </w:r>
          </w:p>
        </w:tc>
        <w:tc>
          <w:tcPr>
            <w:tcW w:w="876" w:type="dxa"/>
          </w:tcPr>
          <w:p w14:paraId="4A05C152"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183.0</w:t>
            </w:r>
          </w:p>
        </w:tc>
        <w:tc>
          <w:tcPr>
            <w:tcW w:w="1655" w:type="dxa"/>
          </w:tcPr>
          <w:p w14:paraId="59D63A0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0-40</w:t>
            </w:r>
            <w:r w:rsidRPr="000A734E">
              <w:rPr>
                <w:rFonts w:ascii="Calibri" w:hAnsi="Calibri" w:cs="Arial"/>
              </w:rPr>
              <w:t xml:space="preserve"> </w:t>
            </w:r>
            <w:r w:rsidRPr="000A734E">
              <w:rPr>
                <w:rFonts w:ascii="Times New Roman" w:hAnsi="Times New Roman" w:cs="Times New Roman"/>
                <w:sz w:val="24"/>
              </w:rPr>
              <w:t>U/L</w:t>
            </w:r>
          </w:p>
        </w:tc>
      </w:tr>
      <w:tr w:rsidR="00BE4849" w:rsidRPr="000A734E" w14:paraId="7A1A77BB" w14:textId="77777777" w:rsidTr="00696C2D">
        <w:trPr>
          <w:trHeight w:val="464"/>
        </w:trPr>
        <w:tc>
          <w:tcPr>
            <w:tcW w:w="2841" w:type="dxa"/>
          </w:tcPr>
          <w:p w14:paraId="01AEC1E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Total protein</w:t>
            </w:r>
            <w:r w:rsidRPr="000A734E">
              <w:rPr>
                <w:rFonts w:ascii="Calibri" w:hAnsi="Calibri" w:cs="Arial"/>
              </w:rPr>
              <w:t xml:space="preserve"> </w:t>
            </w:r>
          </w:p>
        </w:tc>
        <w:tc>
          <w:tcPr>
            <w:tcW w:w="901" w:type="dxa"/>
          </w:tcPr>
          <w:p w14:paraId="2851B4E7"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6.83</w:t>
            </w:r>
          </w:p>
        </w:tc>
        <w:tc>
          <w:tcPr>
            <w:tcW w:w="1137" w:type="dxa"/>
          </w:tcPr>
          <w:p w14:paraId="6195D0A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1.39</w:t>
            </w:r>
          </w:p>
        </w:tc>
        <w:tc>
          <w:tcPr>
            <w:tcW w:w="1120" w:type="dxa"/>
          </w:tcPr>
          <w:p w14:paraId="4B731D4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6.95</w:t>
            </w:r>
          </w:p>
        </w:tc>
        <w:tc>
          <w:tcPr>
            <w:tcW w:w="1077" w:type="dxa"/>
          </w:tcPr>
          <w:p w14:paraId="1A3792A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3.4</w:t>
            </w:r>
          </w:p>
        </w:tc>
        <w:tc>
          <w:tcPr>
            <w:tcW w:w="876" w:type="dxa"/>
          </w:tcPr>
          <w:p w14:paraId="6102B4D0"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9.7</w:t>
            </w:r>
          </w:p>
        </w:tc>
        <w:tc>
          <w:tcPr>
            <w:tcW w:w="1655" w:type="dxa"/>
          </w:tcPr>
          <w:p w14:paraId="3FDF71B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6.4-8.3</w:t>
            </w:r>
            <w:r w:rsidRPr="000A734E">
              <w:rPr>
                <w:rFonts w:ascii="Calibri" w:hAnsi="Calibri" w:cs="Arial"/>
              </w:rPr>
              <w:t xml:space="preserve"> g/dl</w:t>
            </w:r>
          </w:p>
        </w:tc>
      </w:tr>
      <w:tr w:rsidR="00BE4849" w:rsidRPr="000A734E" w14:paraId="14C49CBE" w14:textId="77777777" w:rsidTr="00696C2D">
        <w:trPr>
          <w:trHeight w:val="482"/>
        </w:trPr>
        <w:tc>
          <w:tcPr>
            <w:tcW w:w="2841" w:type="dxa"/>
          </w:tcPr>
          <w:p w14:paraId="6470439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Serum Albumin</w:t>
            </w:r>
          </w:p>
        </w:tc>
        <w:tc>
          <w:tcPr>
            <w:tcW w:w="901" w:type="dxa"/>
          </w:tcPr>
          <w:p w14:paraId="41DE891F"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3.37</w:t>
            </w:r>
          </w:p>
        </w:tc>
        <w:tc>
          <w:tcPr>
            <w:tcW w:w="1137" w:type="dxa"/>
          </w:tcPr>
          <w:p w14:paraId="113F2EC0"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.7868</w:t>
            </w:r>
          </w:p>
        </w:tc>
        <w:tc>
          <w:tcPr>
            <w:tcW w:w="1120" w:type="dxa"/>
          </w:tcPr>
          <w:p w14:paraId="3FF12FF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3.55</w:t>
            </w:r>
          </w:p>
        </w:tc>
        <w:tc>
          <w:tcPr>
            <w:tcW w:w="1077" w:type="dxa"/>
          </w:tcPr>
          <w:p w14:paraId="22CA547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2.0</w:t>
            </w:r>
          </w:p>
        </w:tc>
        <w:tc>
          <w:tcPr>
            <w:tcW w:w="876" w:type="dxa"/>
          </w:tcPr>
          <w:p w14:paraId="47169652"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4.9</w:t>
            </w:r>
          </w:p>
        </w:tc>
        <w:tc>
          <w:tcPr>
            <w:tcW w:w="1655" w:type="dxa"/>
          </w:tcPr>
          <w:p w14:paraId="489199C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3.8-5.5g/dl</w:t>
            </w:r>
          </w:p>
        </w:tc>
      </w:tr>
      <w:tr w:rsidR="00BE4849" w:rsidRPr="000A734E" w14:paraId="70F7A91B" w14:textId="77777777" w:rsidTr="00696C2D">
        <w:trPr>
          <w:trHeight w:val="482"/>
        </w:trPr>
        <w:tc>
          <w:tcPr>
            <w:tcW w:w="2841" w:type="dxa"/>
          </w:tcPr>
          <w:p w14:paraId="55BDE2C3" w14:textId="77777777" w:rsidR="00BE4849" w:rsidRPr="000A734E" w:rsidRDefault="00BE4849" w:rsidP="00696C2D">
            <w:pPr>
              <w:tabs>
                <w:tab w:val="left" w:pos="7525"/>
              </w:tabs>
              <w:spacing w:line="360" w:lineRule="auto"/>
              <w:rPr>
                <w:rFonts w:ascii="Times New Roman" w:hAnsi="Times New Roman" w:cs="Times New Roman"/>
                <w:sz w:val="24"/>
              </w:rPr>
            </w:pPr>
            <w:bookmarkStart w:id="71" w:name="_Hlk194971479"/>
            <w:r w:rsidRPr="000A734E">
              <w:rPr>
                <w:rFonts w:ascii="Times New Roman" w:hAnsi="Times New Roman" w:cs="Times New Roman"/>
                <w:sz w:val="24"/>
              </w:rPr>
              <w:t>Total Bilirubin</w:t>
            </w:r>
            <w:bookmarkEnd w:id="71"/>
          </w:p>
        </w:tc>
        <w:tc>
          <w:tcPr>
            <w:tcW w:w="901" w:type="dxa"/>
          </w:tcPr>
          <w:p w14:paraId="70B14674"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1.42</w:t>
            </w:r>
          </w:p>
        </w:tc>
        <w:tc>
          <w:tcPr>
            <w:tcW w:w="1137" w:type="dxa"/>
          </w:tcPr>
          <w:p w14:paraId="5BE8B46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1.87</w:t>
            </w:r>
          </w:p>
        </w:tc>
        <w:tc>
          <w:tcPr>
            <w:tcW w:w="1120" w:type="dxa"/>
          </w:tcPr>
          <w:p w14:paraId="095D620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.815</w:t>
            </w:r>
          </w:p>
        </w:tc>
        <w:tc>
          <w:tcPr>
            <w:tcW w:w="1077" w:type="dxa"/>
          </w:tcPr>
          <w:p w14:paraId="5E86907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.13</w:t>
            </w:r>
          </w:p>
        </w:tc>
        <w:tc>
          <w:tcPr>
            <w:tcW w:w="876" w:type="dxa"/>
          </w:tcPr>
          <w:p w14:paraId="6B620577"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10.90</w:t>
            </w:r>
          </w:p>
        </w:tc>
        <w:tc>
          <w:tcPr>
            <w:tcW w:w="1655" w:type="dxa"/>
          </w:tcPr>
          <w:p w14:paraId="2A78A250"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&lt;1</w:t>
            </w:r>
          </w:p>
        </w:tc>
      </w:tr>
      <w:tr w:rsidR="00BE4849" w:rsidRPr="000A734E" w14:paraId="00CF1331" w14:textId="77777777" w:rsidTr="00696C2D">
        <w:trPr>
          <w:trHeight w:val="464"/>
        </w:trPr>
        <w:tc>
          <w:tcPr>
            <w:tcW w:w="2841" w:type="dxa"/>
          </w:tcPr>
          <w:p w14:paraId="681F6D0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Direct Bilirubin</w:t>
            </w:r>
          </w:p>
        </w:tc>
        <w:tc>
          <w:tcPr>
            <w:tcW w:w="901" w:type="dxa"/>
          </w:tcPr>
          <w:p w14:paraId="18A6F8C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.5893</w:t>
            </w:r>
          </w:p>
        </w:tc>
        <w:tc>
          <w:tcPr>
            <w:tcW w:w="1137" w:type="dxa"/>
          </w:tcPr>
          <w:p w14:paraId="58A252C4"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1.41</w:t>
            </w:r>
          </w:p>
        </w:tc>
        <w:tc>
          <w:tcPr>
            <w:tcW w:w="1120" w:type="dxa"/>
          </w:tcPr>
          <w:p w14:paraId="664E01B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.265</w:t>
            </w:r>
          </w:p>
        </w:tc>
        <w:tc>
          <w:tcPr>
            <w:tcW w:w="1077" w:type="dxa"/>
          </w:tcPr>
          <w:p w14:paraId="59A3D0FF"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.03</w:t>
            </w:r>
          </w:p>
        </w:tc>
        <w:tc>
          <w:tcPr>
            <w:tcW w:w="876" w:type="dxa"/>
          </w:tcPr>
          <w:p w14:paraId="7C959D7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9.10</w:t>
            </w:r>
          </w:p>
        </w:tc>
        <w:tc>
          <w:tcPr>
            <w:tcW w:w="1655" w:type="dxa"/>
          </w:tcPr>
          <w:p w14:paraId="12C73F2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&lt;0.25</w:t>
            </w:r>
          </w:p>
        </w:tc>
      </w:tr>
      <w:tr w:rsidR="00BE4849" w:rsidRPr="000A734E" w14:paraId="3773F469" w14:textId="77777777" w:rsidTr="00696C2D">
        <w:trPr>
          <w:trHeight w:val="464"/>
        </w:trPr>
        <w:tc>
          <w:tcPr>
            <w:tcW w:w="2841" w:type="dxa"/>
          </w:tcPr>
          <w:p w14:paraId="231FE59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GGT </w:t>
            </w:r>
          </w:p>
        </w:tc>
        <w:tc>
          <w:tcPr>
            <w:tcW w:w="901" w:type="dxa"/>
          </w:tcPr>
          <w:p w14:paraId="19B8955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27.02</w:t>
            </w:r>
          </w:p>
        </w:tc>
        <w:tc>
          <w:tcPr>
            <w:tcW w:w="1137" w:type="dxa"/>
          </w:tcPr>
          <w:p w14:paraId="5945559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25.47</w:t>
            </w:r>
          </w:p>
        </w:tc>
        <w:tc>
          <w:tcPr>
            <w:tcW w:w="1120" w:type="dxa"/>
          </w:tcPr>
          <w:p w14:paraId="53F1B8D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16.0</w:t>
            </w:r>
          </w:p>
        </w:tc>
        <w:tc>
          <w:tcPr>
            <w:tcW w:w="1077" w:type="dxa"/>
          </w:tcPr>
          <w:p w14:paraId="7B4DFC8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6.0</w:t>
            </w:r>
          </w:p>
        </w:tc>
        <w:tc>
          <w:tcPr>
            <w:tcW w:w="876" w:type="dxa"/>
          </w:tcPr>
          <w:p w14:paraId="79DEC09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126.0</w:t>
            </w:r>
          </w:p>
        </w:tc>
        <w:tc>
          <w:tcPr>
            <w:tcW w:w="1655" w:type="dxa"/>
          </w:tcPr>
          <w:p w14:paraId="718FDF3C"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U/L</w:t>
            </w:r>
          </w:p>
        </w:tc>
      </w:tr>
      <w:tr w:rsidR="00BE4849" w:rsidRPr="000A734E" w14:paraId="66BCCA1F" w14:textId="77777777" w:rsidTr="00696C2D">
        <w:trPr>
          <w:trHeight w:val="464"/>
        </w:trPr>
        <w:tc>
          <w:tcPr>
            <w:tcW w:w="2841" w:type="dxa"/>
          </w:tcPr>
          <w:p w14:paraId="7674447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Alkaline Phosphatase</w:t>
            </w:r>
            <w:r w:rsidRPr="000A734E">
              <w:rPr>
                <w:rFonts w:ascii="Calibri" w:hAnsi="Calibri" w:cs="Arial"/>
                <w:spacing w:val="-2"/>
                <w:sz w:val="24"/>
              </w:rPr>
              <w:t xml:space="preserve"> </w:t>
            </w:r>
          </w:p>
        </w:tc>
        <w:tc>
          <w:tcPr>
            <w:tcW w:w="901" w:type="dxa"/>
          </w:tcPr>
          <w:p w14:paraId="6573B81C" w14:textId="77777777" w:rsidR="00BE4849" w:rsidRPr="000A734E" w:rsidRDefault="00BE4849" w:rsidP="00696C2D">
            <w:pPr>
              <w:tabs>
                <w:tab w:val="left" w:pos="7525"/>
              </w:tabs>
              <w:spacing w:line="360" w:lineRule="auto"/>
              <w:rPr>
                <w:rFonts w:ascii="Times New Roman" w:hAnsi="Times New Roman" w:cs="Times New Roman"/>
                <w:sz w:val="24"/>
              </w:rPr>
            </w:pPr>
            <w:bookmarkStart w:id="72" w:name="_Hlk195682714"/>
            <w:r w:rsidRPr="000A734E">
              <w:rPr>
                <w:rFonts w:ascii="Times New Roman" w:hAnsi="Times New Roman" w:cs="Times New Roman"/>
                <w:sz w:val="24"/>
              </w:rPr>
              <w:t>176.8</w:t>
            </w:r>
            <w:bookmarkEnd w:id="72"/>
          </w:p>
        </w:tc>
        <w:tc>
          <w:tcPr>
            <w:tcW w:w="1137" w:type="dxa"/>
          </w:tcPr>
          <w:p w14:paraId="236B0894" w14:textId="77777777" w:rsidR="00BE4849" w:rsidRPr="000A734E" w:rsidRDefault="00BE4849" w:rsidP="00696C2D">
            <w:pPr>
              <w:tabs>
                <w:tab w:val="left" w:pos="7525"/>
              </w:tabs>
              <w:spacing w:line="360" w:lineRule="auto"/>
              <w:rPr>
                <w:rFonts w:ascii="Times New Roman" w:hAnsi="Times New Roman" w:cs="Times New Roman"/>
                <w:sz w:val="24"/>
              </w:rPr>
            </w:pPr>
            <w:bookmarkStart w:id="73" w:name="_Hlk195682725"/>
            <w:r w:rsidRPr="000A734E">
              <w:rPr>
                <w:rFonts w:ascii="Times New Roman" w:hAnsi="Times New Roman" w:cs="Times New Roman"/>
                <w:sz w:val="24"/>
              </w:rPr>
              <w:t>81.1</w:t>
            </w:r>
            <w:bookmarkEnd w:id="73"/>
          </w:p>
        </w:tc>
        <w:tc>
          <w:tcPr>
            <w:tcW w:w="1120" w:type="dxa"/>
          </w:tcPr>
          <w:p w14:paraId="5C34D9A6"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168.50</w:t>
            </w:r>
          </w:p>
        </w:tc>
        <w:tc>
          <w:tcPr>
            <w:tcW w:w="1077" w:type="dxa"/>
          </w:tcPr>
          <w:p w14:paraId="728EA4DF"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80.00</w:t>
            </w:r>
          </w:p>
        </w:tc>
        <w:tc>
          <w:tcPr>
            <w:tcW w:w="876" w:type="dxa"/>
          </w:tcPr>
          <w:p w14:paraId="6557EA9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482.00</w:t>
            </w:r>
          </w:p>
        </w:tc>
        <w:tc>
          <w:tcPr>
            <w:tcW w:w="1655" w:type="dxa"/>
          </w:tcPr>
          <w:p w14:paraId="78D03637"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40-150</w:t>
            </w:r>
            <w:r w:rsidRPr="000A734E">
              <w:rPr>
                <w:rFonts w:ascii="Calibri" w:hAnsi="Calibri" w:cs="Arial"/>
                <w:spacing w:val="-2"/>
                <w:sz w:val="24"/>
              </w:rPr>
              <w:t>(IU/L)</w:t>
            </w:r>
          </w:p>
        </w:tc>
      </w:tr>
      <w:tr w:rsidR="00BE4849" w:rsidRPr="000A734E" w14:paraId="507930DE" w14:textId="77777777" w:rsidTr="00696C2D">
        <w:trPr>
          <w:trHeight w:val="464"/>
        </w:trPr>
        <w:tc>
          <w:tcPr>
            <w:tcW w:w="9607" w:type="dxa"/>
            <w:gridSpan w:val="7"/>
          </w:tcPr>
          <w:p w14:paraId="73A30810" w14:textId="77777777" w:rsidR="00BE4849" w:rsidRPr="000A734E" w:rsidRDefault="00BE4849" w:rsidP="00696C2D">
            <w:pPr>
              <w:tabs>
                <w:tab w:val="left" w:pos="7525"/>
              </w:tabs>
              <w:spacing w:line="360" w:lineRule="auto"/>
              <w:rPr>
                <w:rFonts w:ascii="Times New Roman" w:hAnsi="Times New Roman" w:cs="Times New Roman"/>
                <w:sz w:val="24"/>
              </w:rPr>
            </w:pPr>
            <w:r>
              <w:rPr>
                <w:rFonts w:ascii="Times New Roman" w:hAnsi="Times New Roman" w:cs="Times New Roman"/>
                <w:sz w:val="24"/>
              </w:rPr>
              <w:t>Kidney</w:t>
            </w:r>
            <w:r w:rsidRPr="000A734E">
              <w:rPr>
                <w:rFonts w:ascii="Times New Roman" w:hAnsi="Times New Roman" w:cs="Times New Roman"/>
                <w:sz w:val="24"/>
              </w:rPr>
              <w:t xml:space="preserve"> Function Test</w:t>
            </w:r>
          </w:p>
        </w:tc>
      </w:tr>
      <w:tr w:rsidR="00BE4849" w:rsidRPr="000A734E" w14:paraId="10825F6F" w14:textId="77777777" w:rsidTr="00696C2D">
        <w:trPr>
          <w:trHeight w:val="464"/>
        </w:trPr>
        <w:tc>
          <w:tcPr>
            <w:tcW w:w="2841" w:type="dxa"/>
          </w:tcPr>
          <w:p w14:paraId="5454939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Serum Creatinine </w:t>
            </w:r>
          </w:p>
        </w:tc>
        <w:tc>
          <w:tcPr>
            <w:tcW w:w="901" w:type="dxa"/>
          </w:tcPr>
          <w:p w14:paraId="4BAE9A4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0.4</w:t>
            </w:r>
          </w:p>
        </w:tc>
        <w:tc>
          <w:tcPr>
            <w:tcW w:w="1137" w:type="dxa"/>
          </w:tcPr>
          <w:p w14:paraId="0461D696"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0.17</w:t>
            </w:r>
          </w:p>
        </w:tc>
        <w:tc>
          <w:tcPr>
            <w:tcW w:w="1120" w:type="dxa"/>
          </w:tcPr>
          <w:p w14:paraId="3871F9D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0.400</w:t>
            </w:r>
          </w:p>
        </w:tc>
        <w:tc>
          <w:tcPr>
            <w:tcW w:w="1077" w:type="dxa"/>
          </w:tcPr>
          <w:p w14:paraId="078A22D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0.2</w:t>
            </w:r>
          </w:p>
        </w:tc>
        <w:tc>
          <w:tcPr>
            <w:tcW w:w="876" w:type="dxa"/>
          </w:tcPr>
          <w:p w14:paraId="5967705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0.8</w:t>
            </w:r>
          </w:p>
        </w:tc>
        <w:tc>
          <w:tcPr>
            <w:tcW w:w="1655" w:type="dxa"/>
          </w:tcPr>
          <w:p w14:paraId="704E8CF4"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Calibri" w:hAnsi="Calibri" w:cs="Arial"/>
              </w:rPr>
              <w:t>0.2-1.2</w:t>
            </w:r>
            <w:r w:rsidRPr="000A734E">
              <w:rPr>
                <w:rFonts w:ascii="Calibri" w:hAnsi="Calibri" w:cs="Arial"/>
                <w:spacing w:val="-2"/>
                <w:sz w:val="24"/>
              </w:rPr>
              <w:t>(mg/dl)</w:t>
            </w:r>
          </w:p>
        </w:tc>
      </w:tr>
      <w:tr w:rsidR="00BE4849" w:rsidRPr="000A734E" w14:paraId="62D75045" w14:textId="77777777" w:rsidTr="00696C2D">
        <w:trPr>
          <w:trHeight w:val="464"/>
        </w:trPr>
        <w:tc>
          <w:tcPr>
            <w:tcW w:w="2841" w:type="dxa"/>
          </w:tcPr>
          <w:p w14:paraId="7493E34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Serum Urea </w:t>
            </w:r>
          </w:p>
        </w:tc>
        <w:tc>
          <w:tcPr>
            <w:tcW w:w="901" w:type="dxa"/>
          </w:tcPr>
          <w:p w14:paraId="6883700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14.75</w:t>
            </w:r>
          </w:p>
        </w:tc>
        <w:tc>
          <w:tcPr>
            <w:tcW w:w="1137" w:type="dxa"/>
          </w:tcPr>
          <w:p w14:paraId="156E07A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6.543</w:t>
            </w:r>
          </w:p>
        </w:tc>
        <w:tc>
          <w:tcPr>
            <w:tcW w:w="1120" w:type="dxa"/>
          </w:tcPr>
          <w:p w14:paraId="39293BBC"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14.00</w:t>
            </w:r>
          </w:p>
        </w:tc>
        <w:tc>
          <w:tcPr>
            <w:tcW w:w="1077" w:type="dxa"/>
          </w:tcPr>
          <w:p w14:paraId="7DE56480"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5</w:t>
            </w:r>
          </w:p>
        </w:tc>
        <w:tc>
          <w:tcPr>
            <w:tcW w:w="876" w:type="dxa"/>
          </w:tcPr>
          <w:p w14:paraId="644D6E1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32</w:t>
            </w:r>
          </w:p>
        </w:tc>
        <w:tc>
          <w:tcPr>
            <w:tcW w:w="1655" w:type="dxa"/>
          </w:tcPr>
          <w:p w14:paraId="098588A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Calibri" w:hAnsi="Calibri" w:cs="Arial"/>
              </w:rPr>
              <w:t>10-50</w:t>
            </w:r>
            <w:r w:rsidRPr="000A734E">
              <w:rPr>
                <w:rFonts w:ascii="Calibri" w:hAnsi="Calibri" w:cs="Arial"/>
                <w:spacing w:val="-2"/>
                <w:sz w:val="24"/>
              </w:rPr>
              <w:t>(</w:t>
            </w:r>
            <w:r w:rsidRPr="000A734E">
              <w:rPr>
                <w:rFonts w:ascii="Times New Roman" w:hAnsi="Times New Roman" w:cs="Times New Roman"/>
                <w:sz w:val="24"/>
              </w:rPr>
              <w:t>mmol/l)</w:t>
            </w:r>
          </w:p>
        </w:tc>
      </w:tr>
    </w:tbl>
    <w:p w14:paraId="792F415A" w14:textId="77777777" w:rsidR="00BE4849" w:rsidRPr="000A734E" w:rsidRDefault="00BE4849" w:rsidP="00BE4849">
      <w:pPr>
        <w:tabs>
          <w:tab w:val="left" w:pos="7525"/>
        </w:tabs>
        <w:spacing w:line="360" w:lineRule="auto"/>
        <w:rPr>
          <w:rFonts w:ascii="Times New Roman" w:eastAsia="Calibri" w:hAnsi="Times New Roman" w:cs="Times New Roman"/>
          <w:b/>
          <w:bCs/>
          <w:sz w:val="24"/>
        </w:rPr>
      </w:pPr>
      <w:r w:rsidRPr="000A734E">
        <w:rPr>
          <w:rFonts w:ascii="Times New Roman" w:eastAsia="Calibri" w:hAnsi="Times New Roman" w:cs="Times New Roman"/>
          <w:b/>
          <w:bCs/>
          <w:sz w:val="24"/>
        </w:rPr>
        <w:t xml:space="preserve">Table </w:t>
      </w:r>
      <w:r>
        <w:rPr>
          <w:rFonts w:ascii="Times New Roman" w:eastAsia="Calibri" w:hAnsi="Times New Roman" w:cs="Times New Roman"/>
          <w:b/>
          <w:bCs/>
          <w:sz w:val="24"/>
        </w:rPr>
        <w:t>7</w:t>
      </w:r>
      <w:r w:rsidRPr="000A734E">
        <w:rPr>
          <w:rFonts w:ascii="Times New Roman" w:eastAsia="Calibri" w:hAnsi="Times New Roman" w:cs="Times New Roman"/>
          <w:b/>
          <w:bCs/>
          <w:sz w:val="24"/>
        </w:rPr>
        <w:t xml:space="preserve">. Descriptive statistics of </w:t>
      </w:r>
      <w:r>
        <w:rPr>
          <w:rFonts w:ascii="Times New Roman" w:eastAsia="Calibri" w:hAnsi="Times New Roman" w:cs="Times New Roman"/>
          <w:b/>
          <w:bCs/>
          <w:sz w:val="24"/>
        </w:rPr>
        <w:t xml:space="preserve">biochemical </w:t>
      </w:r>
      <w:r w:rsidRPr="000A734E">
        <w:rPr>
          <w:rFonts w:ascii="Times New Roman" w:eastAsia="Calibri" w:hAnsi="Times New Roman" w:cs="Times New Roman"/>
          <w:b/>
          <w:bCs/>
          <w:sz w:val="24"/>
        </w:rPr>
        <w:t xml:space="preserve">findings </w:t>
      </w:r>
    </w:p>
    <w:p w14:paraId="24EB152E" w14:textId="77777777" w:rsidR="00BE4849" w:rsidRDefault="00BE4849" w:rsidP="00BE4849">
      <w:pPr>
        <w:jc w:val="both"/>
        <w:rPr>
          <w:rFonts w:ascii="Times New Roman" w:eastAsia="Calibri" w:hAnsi="Times New Roman" w:cs="Times New Roman"/>
          <w:sz w:val="24"/>
        </w:rPr>
      </w:pPr>
    </w:p>
    <w:p w14:paraId="6998465F" w14:textId="77777777" w:rsidR="00BE4849" w:rsidRPr="00AE0D64" w:rsidRDefault="00BE4849" w:rsidP="00BE4849">
      <w:pPr>
        <w:jc w:val="both"/>
        <w:rPr>
          <w:rFonts w:asciiTheme="majorBidi" w:eastAsia="Calibri" w:hAnsiTheme="majorBidi" w:cstheme="majorBidi"/>
          <w:sz w:val="24"/>
          <w:szCs w:val="24"/>
        </w:rPr>
      </w:pPr>
      <w:r w:rsidRPr="00AE0D64">
        <w:rPr>
          <w:rFonts w:asciiTheme="majorBidi" w:eastAsia="Calibri" w:hAnsiTheme="majorBidi" w:cstheme="majorBidi"/>
          <w:sz w:val="24"/>
          <w:szCs w:val="24"/>
        </w:rPr>
        <w:t xml:space="preserve">Regarding biochemical investigations, Table 7. represents that GPT, GOT and Alkaline Phosphatase show higher </w:t>
      </w:r>
      <w:proofErr w:type="spellStart"/>
      <w:r w:rsidRPr="00AE0D64">
        <w:rPr>
          <w:rFonts w:asciiTheme="majorBidi" w:eastAsia="Calibri" w:hAnsiTheme="majorBidi" w:cstheme="majorBidi"/>
          <w:sz w:val="24"/>
          <w:szCs w:val="24"/>
        </w:rPr>
        <w:t>mean±SD</w:t>
      </w:r>
      <w:proofErr w:type="spellEnd"/>
      <w:r w:rsidRPr="00AE0D64">
        <w:rPr>
          <w:rFonts w:asciiTheme="majorBidi" w:eastAsia="Calibri" w:hAnsiTheme="majorBidi" w:cstheme="majorBidi"/>
          <w:sz w:val="24"/>
          <w:szCs w:val="24"/>
        </w:rPr>
        <w:t xml:space="preserve"> than normal value (31.96±31.72) (51.20±42.46) (176.8±81.1) respectively, while total bilirubin and direct Bilirubin show slightly higher mean ±SD with range total bilirubin from 0.13 to 10.9 and direct bilirubin range from 0.03 to 9.1. </w:t>
      </w:r>
    </w:p>
    <w:p w14:paraId="4D69E924" w14:textId="77777777" w:rsidR="00BE4849" w:rsidRPr="00AE0D64" w:rsidRDefault="00BE4849" w:rsidP="006E38BF">
      <w:pPr>
        <w:rPr>
          <w:rFonts w:asciiTheme="majorBidi" w:hAnsiTheme="majorBidi" w:cstheme="majorBidi"/>
          <w:sz w:val="24"/>
          <w:szCs w:val="24"/>
        </w:rPr>
      </w:pPr>
    </w:p>
    <w:p w14:paraId="1681FEE5" w14:textId="3E546159" w:rsidR="006E38BF" w:rsidRPr="00151B8E" w:rsidRDefault="006E38BF" w:rsidP="006E38BF">
      <w:pPr>
        <w:rPr>
          <w:rFonts w:asciiTheme="majorBidi" w:hAnsiTheme="majorBidi" w:cstheme="majorBidi"/>
          <w:b/>
          <w:sz w:val="24"/>
          <w:szCs w:val="24"/>
        </w:rPr>
      </w:pPr>
      <w:r w:rsidRPr="00151B8E">
        <w:rPr>
          <w:rFonts w:asciiTheme="majorBidi" w:hAnsiTheme="majorBidi" w:cstheme="majorBidi"/>
          <w:b/>
          <w:sz w:val="24"/>
          <w:szCs w:val="24"/>
        </w:rPr>
        <w:t>D</w:t>
      </w:r>
      <w:r w:rsidR="00120E2F" w:rsidRPr="00151B8E">
        <w:rPr>
          <w:rFonts w:asciiTheme="majorBidi" w:hAnsiTheme="majorBidi" w:cstheme="majorBidi"/>
          <w:b/>
          <w:sz w:val="24"/>
          <w:szCs w:val="24"/>
        </w:rPr>
        <w:t>ISCUSSION</w:t>
      </w:r>
    </w:p>
    <w:p w14:paraId="141C5FCD" w14:textId="77777777" w:rsidR="006E38BF" w:rsidRPr="00AE0D64" w:rsidRDefault="006E38BF" w:rsidP="006E38BF">
      <w:pPr>
        <w:rPr>
          <w:rFonts w:asciiTheme="majorBidi" w:hAnsiTheme="majorBidi" w:cstheme="majorBidi"/>
          <w:sz w:val="24"/>
          <w:szCs w:val="24"/>
        </w:rPr>
      </w:pPr>
    </w:p>
    <w:p w14:paraId="1F93EF53"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 xml:space="preserve">The demographic characteristics of the studied population demonstrated a higher prevalence of thalassemia major among females, consistent with existing literature indicating a genetic predisposition in female patients. The age distribution showed a significant number of patients in the </w:t>
      </w:r>
      <w:proofErr w:type="gramStart"/>
      <w:r w:rsidRPr="00AE0D64">
        <w:rPr>
          <w:rFonts w:asciiTheme="majorBidi" w:hAnsiTheme="majorBidi" w:cstheme="majorBidi"/>
          <w:sz w:val="24"/>
          <w:szCs w:val="24"/>
        </w:rPr>
        <w:t>7-11 year</w:t>
      </w:r>
      <w:proofErr w:type="gramEnd"/>
      <w:r w:rsidRPr="00AE0D64">
        <w:rPr>
          <w:rFonts w:asciiTheme="majorBidi" w:hAnsiTheme="majorBidi" w:cstheme="majorBidi"/>
          <w:sz w:val="24"/>
          <w:szCs w:val="24"/>
        </w:rPr>
        <w:t xml:space="preserve"> age group, highlighting the importance of early detection and intervention in this demographic.</w:t>
      </w:r>
    </w:p>
    <w:p w14:paraId="0951114E" w14:textId="77777777" w:rsidR="006E38BF" w:rsidRPr="00AE0D64" w:rsidRDefault="006E38BF" w:rsidP="006E38BF">
      <w:pPr>
        <w:rPr>
          <w:rFonts w:asciiTheme="majorBidi" w:hAnsiTheme="majorBidi" w:cstheme="majorBidi"/>
          <w:sz w:val="24"/>
          <w:szCs w:val="24"/>
        </w:rPr>
      </w:pPr>
    </w:p>
    <w:p w14:paraId="0611A220"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lastRenderedPageBreak/>
        <w:t>Hematological findings revealed severely reduced hemoglobin and hematocrit levels, indicating the severity of anemia in thalassemia major patients. The mean hemoglobin level of 6.72 g/dL aligns with previous studies, confirming the need for regular blood transfusions and chelation therapy to manage iron overload.</w:t>
      </w:r>
    </w:p>
    <w:p w14:paraId="6D854F5C" w14:textId="77777777" w:rsidR="006E38BF" w:rsidRPr="00AE0D64" w:rsidRDefault="006E38BF" w:rsidP="006E38BF">
      <w:pPr>
        <w:rPr>
          <w:rFonts w:asciiTheme="majorBidi" w:hAnsiTheme="majorBidi" w:cstheme="majorBidi"/>
          <w:sz w:val="24"/>
          <w:szCs w:val="24"/>
        </w:rPr>
      </w:pPr>
    </w:p>
    <w:p w14:paraId="2E425CEE"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The serum ferritin levels in this cohort were alarmingly high, with 40% of patients exhibiting severe elevation (&gt;4000 ng/L). This is indicative of excessive iron accumulation due to repeated blood transfusions, which is a common complication in thalassemia management. The significant positive correlation between serum ferritin and liver enzymes (GPT, GOT) suggests that iron overload may be contributing to hepatic dysfunction, necessitating close monitoring of liver function in these patients.</w:t>
      </w:r>
    </w:p>
    <w:p w14:paraId="42F3EE80" w14:textId="77777777" w:rsidR="006E38BF" w:rsidRPr="00AE0D64" w:rsidRDefault="006E38BF" w:rsidP="006E38BF">
      <w:pPr>
        <w:rPr>
          <w:rFonts w:asciiTheme="majorBidi" w:hAnsiTheme="majorBidi" w:cstheme="majorBidi"/>
          <w:sz w:val="24"/>
          <w:szCs w:val="24"/>
        </w:rPr>
      </w:pPr>
    </w:p>
    <w:p w14:paraId="23118EC0"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Vitamin D deficiency was prevalent in the study population, with nearly half of the patients classified as deficient. This finding is concerning, as vitamin D plays a crucial role in bone health, particularly in patients with thalassemia who are already at risk for bone mineral density loss due to chronic hemolysis and iron overload. The low levels of calcium and elevated phosphorus also indicate potential disturbances in bone metabolism, emphasizing the need for proactive management of bone health in this population.</w:t>
      </w:r>
    </w:p>
    <w:p w14:paraId="739E24F4" w14:textId="77777777" w:rsidR="006E38BF" w:rsidRPr="00AE0D64" w:rsidRDefault="006E38BF" w:rsidP="006E38BF">
      <w:pPr>
        <w:rPr>
          <w:rFonts w:asciiTheme="majorBidi" w:hAnsiTheme="majorBidi" w:cstheme="majorBidi"/>
          <w:sz w:val="24"/>
          <w:szCs w:val="24"/>
        </w:rPr>
      </w:pPr>
    </w:p>
    <w:p w14:paraId="14FC903E" w14:textId="1325352D" w:rsidR="006E38BF" w:rsidRPr="00151B8E" w:rsidRDefault="006E38BF" w:rsidP="006E38BF">
      <w:pPr>
        <w:rPr>
          <w:rFonts w:asciiTheme="majorBidi" w:hAnsiTheme="majorBidi" w:cstheme="majorBidi"/>
          <w:b/>
          <w:sz w:val="24"/>
          <w:szCs w:val="24"/>
        </w:rPr>
      </w:pPr>
      <w:r w:rsidRPr="00151B8E">
        <w:rPr>
          <w:rFonts w:asciiTheme="majorBidi" w:hAnsiTheme="majorBidi" w:cstheme="majorBidi"/>
          <w:b/>
          <w:sz w:val="24"/>
          <w:szCs w:val="24"/>
        </w:rPr>
        <w:t>C</w:t>
      </w:r>
      <w:r w:rsidR="00120E2F" w:rsidRPr="00151B8E">
        <w:rPr>
          <w:rFonts w:asciiTheme="majorBidi" w:hAnsiTheme="majorBidi" w:cstheme="majorBidi"/>
          <w:b/>
          <w:sz w:val="24"/>
          <w:szCs w:val="24"/>
        </w:rPr>
        <w:t>ONCLUSIONS</w:t>
      </w:r>
    </w:p>
    <w:p w14:paraId="383647B5" w14:textId="77777777" w:rsidR="006E38BF" w:rsidRPr="00AE0D64" w:rsidRDefault="006E38BF" w:rsidP="006E38BF">
      <w:pPr>
        <w:rPr>
          <w:rFonts w:asciiTheme="majorBidi" w:hAnsiTheme="majorBidi" w:cstheme="majorBidi"/>
          <w:sz w:val="24"/>
          <w:szCs w:val="24"/>
        </w:rPr>
      </w:pPr>
    </w:p>
    <w:p w14:paraId="1569B28A"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This study underscores the critical need for comprehensive monitoring of hematological and biochemical parameters in thalassemia major patients. The high prevalence of anemia, iron overload, liver dysfunction, and vitamin D deficiency necessitates a multidisciplinary approach to management, including regular blood transfusions, chelation therapy, and supplementation of vitamin D and calcium. Future studies should focus on the long-term outcomes of these interventions and explore additional strategies to improve the quality of life for patients with thalassemia major. Regular screening and early intervention could significantly mitigate the complications associated with this chronic condition.</w:t>
      </w:r>
    </w:p>
    <w:p w14:paraId="72C6D601" w14:textId="77777777" w:rsidR="00AD33D4" w:rsidRDefault="00AD33D4" w:rsidP="00AD33D4">
      <w:pPr>
        <w:rPr>
          <w:rFonts w:asciiTheme="majorBidi" w:hAnsiTheme="majorBidi" w:cstheme="majorBidi"/>
          <w:sz w:val="24"/>
          <w:szCs w:val="24"/>
        </w:rPr>
      </w:pPr>
    </w:p>
    <w:p w14:paraId="7430FCDF" w14:textId="21337AB2" w:rsidR="00AD33D4" w:rsidRDefault="00AD33D4" w:rsidP="00AD33D4">
      <w:pPr>
        <w:rPr>
          <w:rFonts w:asciiTheme="majorBidi" w:hAnsiTheme="majorBidi" w:cstheme="majorBidi"/>
          <w:sz w:val="24"/>
          <w:szCs w:val="24"/>
        </w:rPr>
      </w:pPr>
      <w:r w:rsidRPr="00151B8E">
        <w:rPr>
          <w:rFonts w:asciiTheme="majorBidi" w:hAnsiTheme="majorBidi" w:cstheme="majorBidi"/>
          <w:b/>
          <w:sz w:val="24"/>
          <w:szCs w:val="24"/>
        </w:rPr>
        <w:t>CONSENT</w:t>
      </w:r>
      <w:r w:rsidR="00120E2F" w:rsidRPr="00151B8E">
        <w:rPr>
          <w:rFonts w:asciiTheme="majorBidi" w:hAnsiTheme="majorBidi" w:cstheme="majorBidi"/>
          <w:b/>
          <w:sz w:val="24"/>
          <w:szCs w:val="24"/>
        </w:rPr>
        <w:t>:</w:t>
      </w:r>
      <w:r w:rsidR="00120E2F">
        <w:rPr>
          <w:rFonts w:asciiTheme="majorBidi" w:hAnsiTheme="majorBidi" w:cstheme="majorBidi"/>
          <w:sz w:val="24"/>
          <w:szCs w:val="24"/>
        </w:rPr>
        <w:t xml:space="preserve"> </w:t>
      </w:r>
      <w:r w:rsidRPr="00AD33D4">
        <w:rPr>
          <w:rFonts w:asciiTheme="majorBidi" w:hAnsiTheme="majorBidi" w:cstheme="majorBidi"/>
          <w:sz w:val="24"/>
          <w:szCs w:val="24"/>
        </w:rPr>
        <w:t xml:space="preserve"> As   per   international   standard   or   university standard, patient(s) </w:t>
      </w:r>
      <w:proofErr w:type="gramStart"/>
      <w:r w:rsidRPr="00AD33D4">
        <w:rPr>
          <w:rFonts w:asciiTheme="majorBidi" w:hAnsiTheme="majorBidi" w:cstheme="majorBidi"/>
          <w:sz w:val="24"/>
          <w:szCs w:val="24"/>
        </w:rPr>
        <w:t>written  consent</w:t>
      </w:r>
      <w:proofErr w:type="gramEnd"/>
      <w:r w:rsidRPr="00AD33D4">
        <w:rPr>
          <w:rFonts w:asciiTheme="majorBidi" w:hAnsiTheme="majorBidi" w:cstheme="majorBidi"/>
          <w:sz w:val="24"/>
          <w:szCs w:val="24"/>
        </w:rPr>
        <w:t xml:space="preserve">  has  been collected and preserved by the author(s).</w:t>
      </w:r>
    </w:p>
    <w:p w14:paraId="463377DD" w14:textId="77777777" w:rsidR="00AD33D4" w:rsidRDefault="00AD33D4" w:rsidP="00AD33D4">
      <w:pPr>
        <w:rPr>
          <w:rFonts w:asciiTheme="majorBidi" w:hAnsiTheme="majorBidi" w:cstheme="majorBidi"/>
          <w:sz w:val="24"/>
          <w:szCs w:val="24"/>
        </w:rPr>
      </w:pPr>
    </w:p>
    <w:p w14:paraId="1440540E" w14:textId="437EEEDF" w:rsidR="00AD33D4" w:rsidRDefault="00AD33D4" w:rsidP="00AD33D4">
      <w:pPr>
        <w:rPr>
          <w:rFonts w:asciiTheme="majorBidi" w:hAnsiTheme="majorBidi" w:cstheme="majorBidi"/>
          <w:sz w:val="24"/>
          <w:szCs w:val="24"/>
        </w:rPr>
      </w:pPr>
      <w:r w:rsidRPr="00151B8E">
        <w:rPr>
          <w:rFonts w:asciiTheme="majorBidi" w:hAnsiTheme="majorBidi" w:cstheme="majorBidi"/>
          <w:b/>
          <w:sz w:val="24"/>
          <w:szCs w:val="24"/>
        </w:rPr>
        <w:t>ETHICAL APPROVAL</w:t>
      </w:r>
      <w:r w:rsidR="00120E2F" w:rsidRPr="00151B8E">
        <w:rPr>
          <w:rFonts w:asciiTheme="majorBidi" w:hAnsiTheme="majorBidi" w:cstheme="majorBidi"/>
          <w:b/>
          <w:sz w:val="24"/>
          <w:szCs w:val="24"/>
        </w:rPr>
        <w:t>:</w:t>
      </w:r>
      <w:r w:rsidR="00120E2F">
        <w:rPr>
          <w:rFonts w:asciiTheme="majorBidi" w:hAnsiTheme="majorBidi" w:cstheme="majorBidi"/>
          <w:sz w:val="24"/>
          <w:szCs w:val="24"/>
        </w:rPr>
        <w:t xml:space="preserve"> </w:t>
      </w:r>
      <w:proofErr w:type="gramStart"/>
      <w:r w:rsidRPr="00AD33D4">
        <w:rPr>
          <w:rFonts w:asciiTheme="majorBidi" w:hAnsiTheme="majorBidi" w:cstheme="majorBidi"/>
          <w:sz w:val="24"/>
          <w:szCs w:val="24"/>
        </w:rPr>
        <w:t>Ethical  clearance</w:t>
      </w:r>
      <w:proofErr w:type="gramEnd"/>
      <w:r w:rsidRPr="00AD33D4">
        <w:rPr>
          <w:rFonts w:asciiTheme="majorBidi" w:hAnsiTheme="majorBidi" w:cstheme="majorBidi"/>
          <w:sz w:val="24"/>
          <w:szCs w:val="24"/>
        </w:rPr>
        <w:t xml:space="preserve">  was  obtained  from  the  Ethical Review    Committee    of    Faculty    of    </w:t>
      </w:r>
      <w:r>
        <w:rPr>
          <w:rFonts w:asciiTheme="majorBidi" w:hAnsiTheme="majorBidi" w:cstheme="majorBidi"/>
          <w:sz w:val="24"/>
          <w:szCs w:val="24"/>
        </w:rPr>
        <w:t>Faculty of Medicine and Health Sciences , University of Aden.</w:t>
      </w:r>
    </w:p>
    <w:p w14:paraId="202E927B" w14:textId="77777777" w:rsidR="00151B8E" w:rsidRPr="00151B8E" w:rsidRDefault="002A0663" w:rsidP="002A0663">
      <w:pPr>
        <w:rPr>
          <w:rFonts w:asciiTheme="majorBidi" w:hAnsiTheme="majorBidi" w:cstheme="majorBidi"/>
          <w:b/>
          <w:sz w:val="24"/>
          <w:szCs w:val="24"/>
        </w:rPr>
      </w:pPr>
      <w:r w:rsidRPr="00151B8E">
        <w:rPr>
          <w:rFonts w:asciiTheme="majorBidi" w:hAnsiTheme="majorBidi" w:cstheme="majorBidi"/>
          <w:b/>
          <w:sz w:val="24"/>
          <w:szCs w:val="24"/>
        </w:rPr>
        <w:t>DISCLAIMER (ARTIFICIAL INTELLIGENCE)</w:t>
      </w:r>
      <w:r w:rsidR="00151B8E" w:rsidRPr="00151B8E">
        <w:rPr>
          <w:rFonts w:asciiTheme="majorBidi" w:hAnsiTheme="majorBidi" w:cstheme="majorBidi"/>
          <w:b/>
          <w:sz w:val="24"/>
          <w:szCs w:val="24"/>
        </w:rPr>
        <w:t xml:space="preserve">: </w:t>
      </w:r>
    </w:p>
    <w:p w14:paraId="31CF1BCE" w14:textId="2BC8700A" w:rsidR="00AD33D4" w:rsidRDefault="002A0663" w:rsidP="002A0663">
      <w:pPr>
        <w:rPr>
          <w:rFonts w:asciiTheme="majorBidi" w:hAnsiTheme="majorBidi" w:cstheme="majorBidi"/>
          <w:sz w:val="24"/>
          <w:szCs w:val="24"/>
        </w:rPr>
      </w:pPr>
      <w:r w:rsidRPr="002A0663">
        <w:rPr>
          <w:rFonts w:asciiTheme="majorBidi" w:hAnsiTheme="majorBidi" w:cstheme="majorBidi"/>
          <w:sz w:val="24"/>
          <w:szCs w:val="24"/>
        </w:rPr>
        <w:lastRenderedPageBreak/>
        <w:t xml:space="preserve">Author(s) </w:t>
      </w:r>
      <w:proofErr w:type="gramStart"/>
      <w:r w:rsidRPr="002A0663">
        <w:rPr>
          <w:rFonts w:asciiTheme="majorBidi" w:hAnsiTheme="majorBidi" w:cstheme="majorBidi"/>
          <w:sz w:val="24"/>
          <w:szCs w:val="24"/>
        </w:rPr>
        <w:t>hereby  declare</w:t>
      </w:r>
      <w:proofErr w:type="gramEnd"/>
      <w:r w:rsidRPr="002A0663">
        <w:rPr>
          <w:rFonts w:asciiTheme="majorBidi" w:hAnsiTheme="majorBidi" w:cstheme="majorBidi"/>
          <w:sz w:val="24"/>
          <w:szCs w:val="24"/>
        </w:rPr>
        <w:t xml:space="preserve"> that  NO  generative  AI technologies  such  as  Large  Language  Models (ChatGPT,   COPILOT,   etc.)   and   text-to-image generators have been used during </w:t>
      </w:r>
      <w:proofErr w:type="gramStart"/>
      <w:r w:rsidRPr="002A0663">
        <w:rPr>
          <w:rFonts w:asciiTheme="majorBidi" w:hAnsiTheme="majorBidi" w:cstheme="majorBidi"/>
          <w:sz w:val="24"/>
          <w:szCs w:val="24"/>
        </w:rPr>
        <w:t>the  writing</w:t>
      </w:r>
      <w:proofErr w:type="gramEnd"/>
      <w:r w:rsidRPr="002A0663">
        <w:rPr>
          <w:rFonts w:asciiTheme="majorBidi" w:hAnsiTheme="majorBidi" w:cstheme="majorBidi"/>
          <w:sz w:val="24"/>
          <w:szCs w:val="24"/>
        </w:rPr>
        <w:t xml:space="preserve"> or editing of this manuscript</w:t>
      </w:r>
    </w:p>
    <w:p w14:paraId="1ABF2869" w14:textId="77777777" w:rsidR="006E38BF" w:rsidRPr="00AE0D64" w:rsidRDefault="006E38BF" w:rsidP="006E38BF">
      <w:pPr>
        <w:rPr>
          <w:rFonts w:asciiTheme="majorBidi" w:hAnsiTheme="majorBidi" w:cstheme="majorBidi"/>
          <w:sz w:val="24"/>
          <w:szCs w:val="24"/>
        </w:rPr>
      </w:pPr>
    </w:p>
    <w:p w14:paraId="25664260" w14:textId="649A4428" w:rsidR="006E38BF" w:rsidRPr="00151B8E" w:rsidRDefault="006E38BF" w:rsidP="006E38BF">
      <w:pPr>
        <w:rPr>
          <w:rFonts w:asciiTheme="majorBidi" w:hAnsiTheme="majorBidi" w:cstheme="majorBidi"/>
          <w:b/>
          <w:sz w:val="24"/>
          <w:szCs w:val="24"/>
        </w:rPr>
      </w:pPr>
      <w:r w:rsidRPr="00151B8E">
        <w:rPr>
          <w:rFonts w:asciiTheme="majorBidi" w:hAnsiTheme="majorBidi" w:cstheme="majorBidi"/>
          <w:b/>
          <w:sz w:val="24"/>
          <w:szCs w:val="24"/>
        </w:rPr>
        <w:t>R</w:t>
      </w:r>
      <w:r w:rsidR="00120E2F" w:rsidRPr="00151B8E">
        <w:rPr>
          <w:rFonts w:asciiTheme="majorBidi" w:hAnsiTheme="majorBidi" w:cstheme="majorBidi"/>
          <w:b/>
          <w:sz w:val="24"/>
          <w:szCs w:val="24"/>
        </w:rPr>
        <w:t>EFRENCES</w:t>
      </w:r>
    </w:p>
    <w:p w14:paraId="3C1D3A9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w:t>
      </w:r>
      <w:r w:rsidRPr="00AE0D64">
        <w:rPr>
          <w:rFonts w:asciiTheme="majorBidi" w:hAnsiTheme="majorBidi" w:cstheme="majorBidi"/>
          <w:noProof/>
          <w:sz w:val="24"/>
          <w:szCs w:val="24"/>
        </w:rPr>
        <w:tab/>
        <w:t>N. Jaffar and N. H. Vistro, “Barriers to Premarital Thalassemia Screening in Asia,” no. 1, 2021, doi: 10.5742/MEWFM.2021.94106.</w:t>
      </w:r>
    </w:p>
    <w:p w14:paraId="485EC033"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[2]</w:t>
      </w:r>
      <w:r w:rsidRPr="00AE0D64">
        <w:rPr>
          <w:rFonts w:asciiTheme="majorBidi" w:hAnsiTheme="majorBidi" w:cstheme="majorBidi"/>
          <w:noProof/>
          <w:sz w:val="24"/>
          <w:szCs w:val="24"/>
        </w:rPr>
        <w:tab/>
        <w:t>F. O. R. T. H. E. Management and O. F. T. Dependent, “GUIDELINES FOR THE MANAGEMENT OF TRANSFUSION DEPENDENT GUIDELINES FOR THE MANAGEMENT OF TRANSFUSION DEPENDENT,” no. 20.</w:t>
      </w:r>
    </w:p>
    <w:p w14:paraId="76004794"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[3]</w:t>
      </w:r>
      <w:r w:rsidRPr="00AE0D64">
        <w:rPr>
          <w:rFonts w:asciiTheme="majorBidi" w:hAnsiTheme="majorBidi" w:cstheme="majorBidi"/>
          <w:noProof/>
          <w:sz w:val="24"/>
          <w:szCs w:val="24"/>
        </w:rPr>
        <w:tab/>
        <w:t>“Steinberg, M., Forget, B., Higgs, D., &amp; Weatherall, D. (2009). THE β THALASSEMIAS. In Disorders of Hemoglobin: Genetics, Pathophysiology, and Clinical Management (pp. 321-322). Cambridge: Cambridge University Press. doi:10.1017/CBO9780511596582.022”.</w:t>
      </w:r>
    </w:p>
    <w:p w14:paraId="03C6FDEB" w14:textId="0B7609A0" w:rsidR="006E38BF" w:rsidRPr="00AE0D64" w:rsidRDefault="006E38BF" w:rsidP="002E240D">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[4]</w:t>
      </w:r>
      <w:r w:rsidRPr="00AE0D64">
        <w:rPr>
          <w:rFonts w:asciiTheme="majorBidi" w:hAnsiTheme="majorBidi" w:cstheme="majorBidi"/>
          <w:noProof/>
          <w:sz w:val="24"/>
          <w:szCs w:val="24"/>
        </w:rPr>
        <w:tab/>
      </w:r>
      <w:r w:rsidR="002E240D" w:rsidRPr="002E240D">
        <w:rPr>
          <w:rFonts w:asciiTheme="majorBidi" w:hAnsiTheme="majorBidi" w:cstheme="majorBidi"/>
          <w:noProof/>
          <w:sz w:val="24"/>
          <w:szCs w:val="24"/>
        </w:rPr>
        <w:t xml:space="preserve">Hamid GA, </w:t>
      </w:r>
      <w:r w:rsidR="002E240D">
        <w:rPr>
          <w:rFonts w:asciiTheme="majorBidi" w:hAnsiTheme="majorBidi" w:cstheme="majorBidi"/>
          <w:noProof/>
          <w:sz w:val="24"/>
          <w:szCs w:val="24"/>
        </w:rPr>
        <w:t>Hemolytic anemia</w:t>
      </w:r>
      <w:r w:rsidR="002E240D" w:rsidRPr="002E240D">
        <w:rPr>
          <w:rFonts w:asciiTheme="majorBidi" w:hAnsiTheme="majorBidi" w:cstheme="majorBidi"/>
          <w:noProof/>
          <w:sz w:val="24"/>
          <w:szCs w:val="24"/>
        </w:rPr>
        <w:t>; ClinicalHematology Book 1 Edition. 2013;173-179.Available:https://doi.org/10.13140/RG.2.1.1477.1683</w:t>
      </w:r>
    </w:p>
    <w:p w14:paraId="0407CB4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[5]</w:t>
      </w:r>
      <w:r w:rsidRPr="00AE0D64">
        <w:rPr>
          <w:rFonts w:asciiTheme="majorBidi" w:hAnsiTheme="majorBidi" w:cstheme="majorBidi"/>
          <w:noProof/>
          <w:sz w:val="24"/>
          <w:szCs w:val="24"/>
        </w:rPr>
        <w:tab/>
        <w:t>R. Origa, “β -Thalassemia,” vol. 19, no. 6, pp. 609–619, 2017, doi: 10.1038/gim.2016.173.</w:t>
      </w:r>
    </w:p>
    <w:p w14:paraId="3A0F4C3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[6]</w:t>
      </w:r>
      <w:r w:rsidRPr="00AE0D64">
        <w:rPr>
          <w:rFonts w:asciiTheme="majorBidi" w:hAnsiTheme="majorBidi" w:cstheme="majorBidi"/>
          <w:noProof/>
          <w:sz w:val="24"/>
          <w:szCs w:val="24"/>
        </w:rPr>
        <w:tab/>
        <w:t>“Baig, S., Azhar A. and Hassan H. 2006."Spectrum of beta-thalassemia mutations in various regions of Punjab and Islamabad, Pakistan: Establishment of prenatal diagnosis". Haematologica, 91: 13-15”.</w:t>
      </w:r>
    </w:p>
    <w:p w14:paraId="77ECEFB7"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[7]</w:t>
      </w:r>
      <w:r w:rsidRPr="00AE0D64">
        <w:rPr>
          <w:rFonts w:asciiTheme="majorBidi" w:hAnsiTheme="majorBidi" w:cstheme="majorBidi"/>
          <w:noProof/>
          <w:sz w:val="24"/>
          <w:szCs w:val="24"/>
        </w:rPr>
        <w:tab/>
        <w:t>“Owayes M. H. 2020."Role of MTHFR C667T and MTRR A66G genes polymorphism with thyroid disorders". 1st International Conference on Pure Science (ISCPS-2020). Journal of Physics: Conference Series. 2020”.</w:t>
      </w:r>
    </w:p>
    <w:p w14:paraId="57B52FB9"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[8]</w:t>
      </w:r>
      <w:r w:rsidRPr="00AE0D64">
        <w:rPr>
          <w:rFonts w:asciiTheme="majorBidi" w:hAnsiTheme="majorBidi" w:cstheme="majorBidi"/>
          <w:noProof/>
          <w:sz w:val="24"/>
          <w:szCs w:val="24"/>
        </w:rPr>
        <w:tab/>
        <w:t>“Thein, S.L. 2004."Genetic insights into the clinical diversity of [beta] thalassaemia". Br. J. Haematol., 124: 264-274”.</w:t>
      </w:r>
    </w:p>
    <w:p w14:paraId="5CF4A9F1"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[9]</w:t>
      </w:r>
      <w:r w:rsidRPr="00AE0D64">
        <w:rPr>
          <w:rFonts w:asciiTheme="majorBidi" w:hAnsiTheme="majorBidi" w:cstheme="majorBidi"/>
          <w:noProof/>
          <w:sz w:val="24"/>
          <w:szCs w:val="24"/>
        </w:rPr>
        <w:tab/>
        <w:t>“thein, S.L. (2004). Genetic insights into the clinical diversity of beta thalassaemia. Br. J. Haematology. 124:264–274. DOI: 10.1046/j.1365-2141.2003.04769.x. 2”.</w:t>
      </w:r>
    </w:p>
    <w:p w14:paraId="3128654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[10]</w:t>
      </w:r>
      <w:r w:rsidRPr="00AE0D64">
        <w:rPr>
          <w:rFonts w:asciiTheme="majorBidi" w:hAnsiTheme="majorBidi" w:cstheme="majorBidi"/>
          <w:noProof/>
          <w:sz w:val="24"/>
          <w:szCs w:val="24"/>
        </w:rPr>
        <w:tab/>
        <w:t xml:space="preserve">“Weatherall DJ, Williams TN, Allen SJ, O’Donnell A. The population genetics and </w:t>
      </w:r>
      <w:r w:rsidRPr="00AE0D64">
        <w:rPr>
          <w:rFonts w:asciiTheme="majorBidi" w:hAnsiTheme="majorBidi" w:cstheme="majorBidi"/>
          <w:noProof/>
          <w:sz w:val="24"/>
          <w:szCs w:val="24"/>
        </w:rPr>
        <w:lastRenderedPageBreak/>
        <w:t>dynamics of the thalassemias. Hematol Oncol Clin North Am 2010;24: 1021–1031”.</w:t>
      </w:r>
    </w:p>
    <w:p w14:paraId="75C34A9B"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[11]</w:t>
      </w:r>
      <w:r w:rsidRPr="00AE0D64">
        <w:rPr>
          <w:rFonts w:asciiTheme="majorBidi" w:hAnsiTheme="majorBidi" w:cstheme="majorBidi"/>
          <w:noProof/>
          <w:sz w:val="24"/>
          <w:szCs w:val="24"/>
        </w:rPr>
        <w:tab/>
        <w:t>“Hoffman R, Jr EJB, Silberstein LE, Helsop HE, Weitz JI, Anastasia J, et al. Hematology Basic Principles and Practice 7th Edition. In: 7th Editio. Philadelphia: Elsevier; 2018. p. 546–70. Available from: https://linkinghub.elsevier.com/retri eve/pii/C20130”.</w:t>
      </w:r>
    </w:p>
    <w:p w14:paraId="60122460"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[12]</w:t>
      </w:r>
      <w:r w:rsidRPr="00AE0D64">
        <w:rPr>
          <w:rFonts w:asciiTheme="majorBidi" w:hAnsiTheme="majorBidi" w:cstheme="majorBidi"/>
          <w:noProof/>
          <w:sz w:val="24"/>
          <w:szCs w:val="24"/>
        </w:rPr>
        <w:tab/>
        <w:t>“Porter JB: Practical management of iron overload. Br J Haematol 2001; 115:239–252”.</w:t>
      </w:r>
    </w:p>
    <w:p w14:paraId="330A71A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[13]</w:t>
      </w:r>
      <w:r w:rsidRPr="00AE0D64">
        <w:rPr>
          <w:rFonts w:asciiTheme="majorBidi" w:hAnsiTheme="majorBidi" w:cstheme="majorBidi"/>
          <w:noProof/>
          <w:sz w:val="24"/>
          <w:szCs w:val="24"/>
        </w:rPr>
        <w:tab/>
        <w:t>“Ganz T, Nemeth E. 2011. Hepcidin and disorders of iron metabolism. Annu Rev Med 62: 347–360”.</w:t>
      </w:r>
    </w:p>
    <w:p w14:paraId="32B81540"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[14]</w:t>
      </w:r>
      <w:r w:rsidRPr="00AE0D64">
        <w:rPr>
          <w:rFonts w:asciiTheme="majorBidi" w:hAnsiTheme="majorBidi" w:cstheme="majorBidi"/>
          <w:noProof/>
          <w:sz w:val="24"/>
          <w:szCs w:val="24"/>
        </w:rPr>
        <w:tab/>
        <w:t>“Albayrak C, Albayrak D. Vitamin D deficiency in children with beta thalassemia major and intermedia. Turkiye Klin J Med Sci. 2013;33(4):1058–63”.</w:t>
      </w:r>
    </w:p>
    <w:p w14:paraId="5B140773"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[15]</w:t>
      </w:r>
      <w:r w:rsidRPr="00AE0D64">
        <w:rPr>
          <w:rFonts w:asciiTheme="majorBidi" w:hAnsiTheme="majorBidi" w:cstheme="majorBidi"/>
          <w:noProof/>
          <w:sz w:val="24"/>
          <w:szCs w:val="24"/>
        </w:rPr>
        <w:tab/>
        <w:t>“Galanello R, Origa R. Beta-thalassemia. Orphanet J Rare Dis 2010;5:11.”.</w:t>
      </w:r>
    </w:p>
    <w:p w14:paraId="2A6EA065"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[16]</w:t>
      </w:r>
      <w:r w:rsidRPr="00AE0D64">
        <w:rPr>
          <w:rFonts w:asciiTheme="majorBidi" w:hAnsiTheme="majorBidi" w:cstheme="majorBidi"/>
          <w:noProof/>
          <w:sz w:val="24"/>
          <w:szCs w:val="24"/>
        </w:rPr>
        <w:tab/>
        <w:t>“Weatherall DJ, Clegg JB. The Thalassaemia Syndromes. 4th ed. Oxford: Blackwell Scientific; 2001”.</w:t>
      </w:r>
    </w:p>
    <w:p w14:paraId="710BFF75"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[17]</w:t>
      </w:r>
      <w:r w:rsidRPr="00AE0D64">
        <w:rPr>
          <w:rFonts w:asciiTheme="majorBidi" w:hAnsiTheme="majorBidi" w:cstheme="majorBidi"/>
          <w:noProof/>
          <w:sz w:val="24"/>
          <w:szCs w:val="24"/>
        </w:rPr>
        <w:tab/>
        <w:t>“Huisman THJ. The structure and function of normal and abnormal haemoglobins. Baillieres Clin Haematol. 1993 Mar;6(1):1-30. [PubMed]”.</w:t>
      </w:r>
    </w:p>
    <w:p w14:paraId="74541141"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[18]</w:t>
      </w:r>
      <w:r w:rsidRPr="00AE0D64">
        <w:rPr>
          <w:rFonts w:asciiTheme="majorBidi" w:hAnsiTheme="majorBidi" w:cstheme="majorBidi"/>
          <w:noProof/>
          <w:sz w:val="24"/>
          <w:szCs w:val="24"/>
        </w:rPr>
        <w:tab/>
        <w:t>“Thein SL. beta-Thalassemia. Baillieres Clin Haematol. 1993 Mar;6(1):151-75. [PubMed]”.</w:t>
      </w:r>
    </w:p>
    <w:p w14:paraId="5826DE3A"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[19]</w:t>
      </w:r>
      <w:r w:rsidRPr="00AE0D64">
        <w:rPr>
          <w:rFonts w:asciiTheme="majorBidi" w:hAnsiTheme="majorBidi" w:cstheme="majorBidi"/>
          <w:noProof/>
          <w:sz w:val="24"/>
          <w:szCs w:val="24"/>
        </w:rPr>
        <w:tab/>
        <w:t>“Voskaridou E, Terpos E. New insights into the pathophysiology and management of osteoporosis in patients with beta thalassaemia. Br J Haematol 2004;127:127-39”.</w:t>
      </w:r>
    </w:p>
    <w:p w14:paraId="66283B66"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[20]</w:t>
      </w:r>
      <w:r w:rsidRPr="00AE0D64">
        <w:rPr>
          <w:rFonts w:asciiTheme="majorBidi" w:hAnsiTheme="majorBidi" w:cstheme="majorBidi"/>
          <w:noProof/>
          <w:sz w:val="24"/>
          <w:szCs w:val="24"/>
        </w:rPr>
        <w:tab/>
        <w:t>“Raiola G, Galati MC, De Sanctis V, et al. Growth and puberty in thalassemia major. J Pediatr Endocrinol Metab 2003;16:Suppl 2:259-66”.</w:t>
      </w:r>
    </w:p>
    <w:p w14:paraId="307B9A36"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[21]</w:t>
      </w:r>
      <w:r w:rsidRPr="00AE0D64">
        <w:rPr>
          <w:rFonts w:asciiTheme="majorBidi" w:hAnsiTheme="majorBidi" w:cstheme="majorBidi"/>
          <w:noProof/>
          <w:sz w:val="24"/>
          <w:szCs w:val="24"/>
        </w:rPr>
        <w:tab/>
        <w:t>“Borgna-Pignatti C, Vergine G, Lombardo T, Cappellini MD, Cianciulli P, Maggio A, Renda D, Lai ME, Mandas A, Forni G, Piga A, Bisconte MG: Hepatocellular carcinoma in the thalassemia syndromes. Br J Haematol 2004, 124:114-117”.</w:t>
      </w:r>
    </w:p>
    <w:p w14:paraId="10D7E183"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[22]</w:t>
      </w:r>
      <w:r w:rsidRPr="00AE0D64">
        <w:rPr>
          <w:rFonts w:asciiTheme="majorBidi" w:hAnsiTheme="majorBidi" w:cstheme="majorBidi"/>
          <w:noProof/>
          <w:sz w:val="24"/>
          <w:szCs w:val="24"/>
        </w:rPr>
        <w:tab/>
        <w:t>“Telfer P, Coen PG, Christou S, Hadjigavriel M, Kolnakou A, Pangalou E, Pavlides N, Psiloines M, Simamonian K, Skordos G, Sitarou M, Angastiniotis M. Survival of medically treated thalassemia patients in Cyprus. Trends and risk factors over the period 1980”.</w:t>
      </w:r>
    </w:p>
    <w:p w14:paraId="7BD882C2" w14:textId="44F3148A" w:rsidR="006E38BF" w:rsidRPr="00AE0D64" w:rsidRDefault="006E38BF" w:rsidP="006E38BF">
      <w:pPr>
        <w:rPr>
          <w:rFonts w:asciiTheme="majorBidi" w:hAnsiTheme="majorBidi" w:cstheme="majorBidi"/>
          <w:sz w:val="24"/>
          <w:szCs w:val="24"/>
        </w:rPr>
      </w:pPr>
      <w:r w:rsidRPr="00AE0D64">
        <w:rPr>
          <w:rFonts w:asciiTheme="majorBidi" w:hAnsiTheme="majorBidi" w:cstheme="majorBidi"/>
          <w:noProof/>
          <w:sz w:val="24"/>
          <w:szCs w:val="24"/>
        </w:rPr>
        <w:lastRenderedPageBreak/>
        <w:t>[23]</w:t>
      </w:r>
      <w:r w:rsidRPr="00AE0D64">
        <w:rPr>
          <w:rFonts w:asciiTheme="majorBidi" w:hAnsiTheme="majorBidi" w:cstheme="majorBidi"/>
          <w:noProof/>
          <w:sz w:val="24"/>
          <w:szCs w:val="24"/>
        </w:rPr>
        <w:tab/>
        <w:t>“Weatherall DJ, Clegg JB. 2001. The thalassemia syndromes, 4th ed. Blackwell Science, Oxford”.</w:t>
      </w:r>
    </w:p>
    <w:p w14:paraId="3AD16B38" w14:textId="77777777" w:rsidR="003457A4" w:rsidRPr="00AE0D64" w:rsidRDefault="003457A4">
      <w:pPr>
        <w:rPr>
          <w:rFonts w:asciiTheme="majorBidi" w:hAnsiTheme="majorBidi" w:cstheme="majorBidi"/>
          <w:sz w:val="24"/>
          <w:szCs w:val="24"/>
        </w:rPr>
      </w:pPr>
    </w:p>
    <w:sectPr w:rsidR="003457A4" w:rsidRPr="00AE0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71928"/>
    <w:multiLevelType w:val="hybridMultilevel"/>
    <w:tmpl w:val="78C80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BF"/>
    <w:rsid w:val="00120E2F"/>
    <w:rsid w:val="00151B8E"/>
    <w:rsid w:val="00154037"/>
    <w:rsid w:val="00186F98"/>
    <w:rsid w:val="001F55D8"/>
    <w:rsid w:val="00233773"/>
    <w:rsid w:val="002A0663"/>
    <w:rsid w:val="002D342B"/>
    <w:rsid w:val="002E240D"/>
    <w:rsid w:val="003457A4"/>
    <w:rsid w:val="004875B7"/>
    <w:rsid w:val="0054089E"/>
    <w:rsid w:val="00563BF1"/>
    <w:rsid w:val="006D66BC"/>
    <w:rsid w:val="006E38BF"/>
    <w:rsid w:val="008650C0"/>
    <w:rsid w:val="00AD33D4"/>
    <w:rsid w:val="00AE0D64"/>
    <w:rsid w:val="00B41A05"/>
    <w:rsid w:val="00BE4849"/>
    <w:rsid w:val="00C07BFB"/>
    <w:rsid w:val="00C51C4E"/>
    <w:rsid w:val="00D25A4C"/>
    <w:rsid w:val="00D8755C"/>
    <w:rsid w:val="00DF1CC8"/>
    <w:rsid w:val="00F309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D8E4"/>
  <w15:chartTrackingRefBased/>
  <w15:docId w15:val="{D96F48DA-A04A-4CCC-8289-FAC62ACB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3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38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38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38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3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8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38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38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38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38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3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8BF"/>
    <w:rPr>
      <w:rFonts w:eastAsiaTheme="majorEastAsia" w:cstheme="majorBidi"/>
      <w:color w:val="272727" w:themeColor="text1" w:themeTint="D8"/>
    </w:rPr>
  </w:style>
  <w:style w:type="paragraph" w:styleId="Title">
    <w:name w:val="Title"/>
    <w:basedOn w:val="Normal"/>
    <w:next w:val="Normal"/>
    <w:link w:val="TitleChar"/>
    <w:uiPriority w:val="10"/>
    <w:qFormat/>
    <w:rsid w:val="006E3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8BF"/>
    <w:pPr>
      <w:spacing w:before="160"/>
      <w:jc w:val="center"/>
    </w:pPr>
    <w:rPr>
      <w:i/>
      <w:iCs/>
      <w:color w:val="404040" w:themeColor="text1" w:themeTint="BF"/>
    </w:rPr>
  </w:style>
  <w:style w:type="character" w:customStyle="1" w:styleId="QuoteChar">
    <w:name w:val="Quote Char"/>
    <w:basedOn w:val="DefaultParagraphFont"/>
    <w:link w:val="Quote"/>
    <w:uiPriority w:val="29"/>
    <w:rsid w:val="006E38BF"/>
    <w:rPr>
      <w:i/>
      <w:iCs/>
      <w:color w:val="404040" w:themeColor="text1" w:themeTint="BF"/>
    </w:rPr>
  </w:style>
  <w:style w:type="paragraph" w:styleId="ListParagraph">
    <w:name w:val="List Paragraph"/>
    <w:basedOn w:val="Normal"/>
    <w:uiPriority w:val="34"/>
    <w:qFormat/>
    <w:rsid w:val="006E38BF"/>
    <w:pPr>
      <w:ind w:left="720"/>
      <w:contextualSpacing/>
    </w:pPr>
  </w:style>
  <w:style w:type="character" w:styleId="IntenseEmphasis">
    <w:name w:val="Intense Emphasis"/>
    <w:basedOn w:val="DefaultParagraphFont"/>
    <w:uiPriority w:val="21"/>
    <w:qFormat/>
    <w:rsid w:val="006E38BF"/>
    <w:rPr>
      <w:i/>
      <w:iCs/>
      <w:color w:val="2F5496" w:themeColor="accent1" w:themeShade="BF"/>
    </w:rPr>
  </w:style>
  <w:style w:type="paragraph" w:styleId="IntenseQuote">
    <w:name w:val="Intense Quote"/>
    <w:basedOn w:val="Normal"/>
    <w:next w:val="Normal"/>
    <w:link w:val="IntenseQuoteChar"/>
    <w:uiPriority w:val="30"/>
    <w:qFormat/>
    <w:rsid w:val="006E3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38BF"/>
    <w:rPr>
      <w:i/>
      <w:iCs/>
      <w:color w:val="2F5496" w:themeColor="accent1" w:themeShade="BF"/>
    </w:rPr>
  </w:style>
  <w:style w:type="character" w:styleId="IntenseReference">
    <w:name w:val="Intense Reference"/>
    <w:basedOn w:val="DefaultParagraphFont"/>
    <w:uiPriority w:val="32"/>
    <w:qFormat/>
    <w:rsid w:val="006E38BF"/>
    <w:rPr>
      <w:b/>
      <w:bCs/>
      <w:smallCaps/>
      <w:color w:val="2F5496" w:themeColor="accent1" w:themeShade="BF"/>
      <w:spacing w:val="5"/>
    </w:rPr>
  </w:style>
  <w:style w:type="table" w:customStyle="1" w:styleId="311">
    <w:name w:val="شبكة جدول311"/>
    <w:basedOn w:val="TableNormal"/>
    <w:uiPriority w:val="59"/>
    <w:rsid w:val="00BE4849"/>
    <w:pPr>
      <w:spacing w:after="0" w:line="240" w:lineRule="auto"/>
    </w:pPr>
    <w:rPr>
      <w:rFonts w:eastAsia="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شبكة جدول8"/>
    <w:basedOn w:val="TableNormal"/>
    <w:next w:val="TableGrid"/>
    <w:uiPriority w:val="39"/>
    <w:rsid w:val="00BE48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4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943237">
      <w:bodyDiv w:val="1"/>
      <w:marLeft w:val="0"/>
      <w:marRight w:val="0"/>
      <w:marTop w:val="0"/>
      <w:marBottom w:val="0"/>
      <w:divBdr>
        <w:top w:val="none" w:sz="0" w:space="0" w:color="auto"/>
        <w:left w:val="none" w:sz="0" w:space="0" w:color="auto"/>
        <w:bottom w:val="none" w:sz="0" w:space="0" w:color="auto"/>
        <w:right w:val="none" w:sz="0" w:space="0" w:color="auto"/>
      </w:divBdr>
      <w:divsChild>
        <w:div w:id="62918299">
          <w:marLeft w:val="0"/>
          <w:marRight w:val="0"/>
          <w:marTop w:val="0"/>
          <w:marBottom w:val="0"/>
          <w:divBdr>
            <w:top w:val="none" w:sz="0" w:space="0" w:color="auto"/>
            <w:left w:val="none" w:sz="0" w:space="0" w:color="auto"/>
            <w:bottom w:val="none" w:sz="0" w:space="0" w:color="auto"/>
            <w:right w:val="none" w:sz="0" w:space="0" w:color="auto"/>
          </w:divBdr>
          <w:divsChild>
            <w:div w:id="1146237182">
              <w:marLeft w:val="0"/>
              <w:marRight w:val="0"/>
              <w:marTop w:val="0"/>
              <w:marBottom w:val="0"/>
              <w:divBdr>
                <w:top w:val="none" w:sz="0" w:space="0" w:color="auto"/>
                <w:left w:val="none" w:sz="0" w:space="0" w:color="auto"/>
                <w:bottom w:val="none" w:sz="0" w:space="0" w:color="auto"/>
                <w:right w:val="none" w:sz="0" w:space="0" w:color="auto"/>
              </w:divBdr>
              <w:divsChild>
                <w:div w:id="481654500">
                  <w:marLeft w:val="0"/>
                  <w:marRight w:val="0"/>
                  <w:marTop w:val="0"/>
                  <w:marBottom w:val="0"/>
                  <w:divBdr>
                    <w:top w:val="none" w:sz="0" w:space="0" w:color="auto"/>
                    <w:left w:val="none" w:sz="0" w:space="0" w:color="auto"/>
                    <w:bottom w:val="none" w:sz="0" w:space="0" w:color="auto"/>
                    <w:right w:val="none" w:sz="0" w:space="0" w:color="auto"/>
                  </w:divBdr>
                  <w:divsChild>
                    <w:div w:id="1871065926">
                      <w:marLeft w:val="0"/>
                      <w:marRight w:val="0"/>
                      <w:marTop w:val="0"/>
                      <w:marBottom w:val="0"/>
                      <w:divBdr>
                        <w:top w:val="none" w:sz="0" w:space="0" w:color="auto"/>
                        <w:left w:val="none" w:sz="0" w:space="0" w:color="auto"/>
                        <w:bottom w:val="none" w:sz="0" w:space="0" w:color="auto"/>
                        <w:right w:val="none" w:sz="0" w:space="0" w:color="auto"/>
                      </w:divBdr>
                      <w:divsChild>
                        <w:div w:id="1248465824">
                          <w:marLeft w:val="0"/>
                          <w:marRight w:val="0"/>
                          <w:marTop w:val="0"/>
                          <w:marBottom w:val="0"/>
                          <w:divBdr>
                            <w:top w:val="none" w:sz="0" w:space="0" w:color="auto"/>
                            <w:left w:val="none" w:sz="0" w:space="0" w:color="auto"/>
                            <w:bottom w:val="none" w:sz="0" w:space="0" w:color="auto"/>
                            <w:right w:val="none" w:sz="0" w:space="0" w:color="auto"/>
                          </w:divBdr>
                          <w:divsChild>
                            <w:div w:id="1690331527">
                              <w:marLeft w:val="0"/>
                              <w:marRight w:val="0"/>
                              <w:marTop w:val="0"/>
                              <w:marBottom w:val="0"/>
                              <w:divBdr>
                                <w:top w:val="none" w:sz="0" w:space="0" w:color="auto"/>
                                <w:left w:val="none" w:sz="0" w:space="0" w:color="auto"/>
                                <w:bottom w:val="none" w:sz="0" w:space="0" w:color="auto"/>
                                <w:right w:val="none" w:sz="0" w:space="0" w:color="auto"/>
                              </w:divBdr>
                            </w:div>
                            <w:div w:id="243609065">
                              <w:marLeft w:val="0"/>
                              <w:marRight w:val="0"/>
                              <w:marTop w:val="0"/>
                              <w:marBottom w:val="0"/>
                              <w:divBdr>
                                <w:top w:val="none" w:sz="0" w:space="0" w:color="auto"/>
                                <w:left w:val="none" w:sz="0" w:space="0" w:color="auto"/>
                                <w:bottom w:val="none" w:sz="0" w:space="0" w:color="auto"/>
                                <w:right w:val="none" w:sz="0" w:space="0" w:color="auto"/>
                              </w:divBdr>
                            </w:div>
                            <w:div w:id="1481801506">
                              <w:marLeft w:val="0"/>
                              <w:marRight w:val="0"/>
                              <w:marTop w:val="0"/>
                              <w:marBottom w:val="0"/>
                              <w:divBdr>
                                <w:top w:val="none" w:sz="0" w:space="0" w:color="auto"/>
                                <w:left w:val="none" w:sz="0" w:space="0" w:color="auto"/>
                                <w:bottom w:val="none" w:sz="0" w:space="0" w:color="auto"/>
                                <w:right w:val="none" w:sz="0" w:space="0" w:color="auto"/>
                              </w:divBdr>
                            </w:div>
                            <w:div w:id="2025085381">
                              <w:marLeft w:val="0"/>
                              <w:marRight w:val="0"/>
                              <w:marTop w:val="0"/>
                              <w:marBottom w:val="0"/>
                              <w:divBdr>
                                <w:top w:val="none" w:sz="0" w:space="0" w:color="auto"/>
                                <w:left w:val="none" w:sz="0" w:space="0" w:color="auto"/>
                                <w:bottom w:val="none" w:sz="0" w:space="0" w:color="auto"/>
                                <w:right w:val="none" w:sz="0" w:space="0" w:color="auto"/>
                              </w:divBdr>
                            </w:div>
                            <w:div w:id="56754206">
                              <w:marLeft w:val="0"/>
                              <w:marRight w:val="0"/>
                              <w:marTop w:val="0"/>
                              <w:marBottom w:val="0"/>
                              <w:divBdr>
                                <w:top w:val="none" w:sz="0" w:space="0" w:color="auto"/>
                                <w:left w:val="none" w:sz="0" w:space="0" w:color="auto"/>
                                <w:bottom w:val="none" w:sz="0" w:space="0" w:color="auto"/>
                                <w:right w:val="none" w:sz="0" w:space="0" w:color="auto"/>
                              </w:divBdr>
                            </w:div>
                            <w:div w:id="168105589">
                              <w:marLeft w:val="0"/>
                              <w:marRight w:val="0"/>
                              <w:marTop w:val="0"/>
                              <w:marBottom w:val="0"/>
                              <w:divBdr>
                                <w:top w:val="none" w:sz="0" w:space="0" w:color="auto"/>
                                <w:left w:val="none" w:sz="0" w:space="0" w:color="auto"/>
                                <w:bottom w:val="none" w:sz="0" w:space="0" w:color="auto"/>
                                <w:right w:val="none" w:sz="0" w:space="0" w:color="auto"/>
                              </w:divBdr>
                            </w:div>
                            <w:div w:id="286546952">
                              <w:marLeft w:val="0"/>
                              <w:marRight w:val="0"/>
                              <w:marTop w:val="0"/>
                              <w:marBottom w:val="0"/>
                              <w:divBdr>
                                <w:top w:val="none" w:sz="0" w:space="0" w:color="auto"/>
                                <w:left w:val="none" w:sz="0" w:space="0" w:color="auto"/>
                                <w:bottom w:val="none" w:sz="0" w:space="0" w:color="auto"/>
                                <w:right w:val="none" w:sz="0" w:space="0" w:color="auto"/>
                              </w:divBdr>
                            </w:div>
                            <w:div w:id="856385047">
                              <w:marLeft w:val="0"/>
                              <w:marRight w:val="0"/>
                              <w:marTop w:val="0"/>
                              <w:marBottom w:val="0"/>
                              <w:divBdr>
                                <w:top w:val="none" w:sz="0" w:space="0" w:color="auto"/>
                                <w:left w:val="none" w:sz="0" w:space="0" w:color="auto"/>
                                <w:bottom w:val="none" w:sz="0" w:space="0" w:color="auto"/>
                                <w:right w:val="none" w:sz="0" w:space="0" w:color="auto"/>
                              </w:divBdr>
                            </w:div>
                            <w:div w:id="755978934">
                              <w:marLeft w:val="0"/>
                              <w:marRight w:val="0"/>
                              <w:marTop w:val="0"/>
                              <w:marBottom w:val="0"/>
                              <w:divBdr>
                                <w:top w:val="none" w:sz="0" w:space="0" w:color="auto"/>
                                <w:left w:val="none" w:sz="0" w:space="0" w:color="auto"/>
                                <w:bottom w:val="none" w:sz="0" w:space="0" w:color="auto"/>
                                <w:right w:val="none" w:sz="0" w:space="0" w:color="auto"/>
                              </w:divBdr>
                            </w:div>
                            <w:div w:id="843786061">
                              <w:marLeft w:val="0"/>
                              <w:marRight w:val="0"/>
                              <w:marTop w:val="0"/>
                              <w:marBottom w:val="0"/>
                              <w:divBdr>
                                <w:top w:val="none" w:sz="0" w:space="0" w:color="auto"/>
                                <w:left w:val="none" w:sz="0" w:space="0" w:color="auto"/>
                                <w:bottom w:val="none" w:sz="0" w:space="0" w:color="auto"/>
                                <w:right w:val="none" w:sz="0" w:space="0" w:color="auto"/>
                              </w:divBdr>
                            </w:div>
                            <w:div w:id="1492211279">
                              <w:marLeft w:val="0"/>
                              <w:marRight w:val="0"/>
                              <w:marTop w:val="0"/>
                              <w:marBottom w:val="0"/>
                              <w:divBdr>
                                <w:top w:val="none" w:sz="0" w:space="0" w:color="auto"/>
                                <w:left w:val="none" w:sz="0" w:space="0" w:color="auto"/>
                                <w:bottom w:val="none" w:sz="0" w:space="0" w:color="auto"/>
                                <w:right w:val="none" w:sz="0" w:space="0" w:color="auto"/>
                              </w:divBdr>
                            </w:div>
                            <w:div w:id="620307344">
                              <w:marLeft w:val="0"/>
                              <w:marRight w:val="0"/>
                              <w:marTop w:val="0"/>
                              <w:marBottom w:val="0"/>
                              <w:divBdr>
                                <w:top w:val="none" w:sz="0" w:space="0" w:color="auto"/>
                                <w:left w:val="none" w:sz="0" w:space="0" w:color="auto"/>
                                <w:bottom w:val="none" w:sz="0" w:space="0" w:color="auto"/>
                                <w:right w:val="none" w:sz="0" w:space="0" w:color="auto"/>
                              </w:divBdr>
                            </w:div>
                            <w:div w:id="1724908991">
                              <w:marLeft w:val="0"/>
                              <w:marRight w:val="0"/>
                              <w:marTop w:val="0"/>
                              <w:marBottom w:val="0"/>
                              <w:divBdr>
                                <w:top w:val="none" w:sz="0" w:space="0" w:color="auto"/>
                                <w:left w:val="none" w:sz="0" w:space="0" w:color="auto"/>
                                <w:bottom w:val="none" w:sz="0" w:space="0" w:color="auto"/>
                                <w:right w:val="none" w:sz="0" w:space="0" w:color="auto"/>
                              </w:divBdr>
                            </w:div>
                            <w:div w:id="2122406988">
                              <w:marLeft w:val="0"/>
                              <w:marRight w:val="0"/>
                              <w:marTop w:val="0"/>
                              <w:marBottom w:val="0"/>
                              <w:divBdr>
                                <w:top w:val="none" w:sz="0" w:space="0" w:color="auto"/>
                                <w:left w:val="none" w:sz="0" w:space="0" w:color="auto"/>
                                <w:bottom w:val="none" w:sz="0" w:space="0" w:color="auto"/>
                                <w:right w:val="none" w:sz="0" w:space="0" w:color="auto"/>
                              </w:divBdr>
                            </w:div>
                            <w:div w:id="1890074268">
                              <w:marLeft w:val="0"/>
                              <w:marRight w:val="0"/>
                              <w:marTop w:val="0"/>
                              <w:marBottom w:val="0"/>
                              <w:divBdr>
                                <w:top w:val="none" w:sz="0" w:space="0" w:color="auto"/>
                                <w:left w:val="none" w:sz="0" w:space="0" w:color="auto"/>
                                <w:bottom w:val="none" w:sz="0" w:space="0" w:color="auto"/>
                                <w:right w:val="none" w:sz="0" w:space="0" w:color="auto"/>
                              </w:divBdr>
                            </w:div>
                            <w:div w:id="52700098">
                              <w:marLeft w:val="0"/>
                              <w:marRight w:val="0"/>
                              <w:marTop w:val="0"/>
                              <w:marBottom w:val="0"/>
                              <w:divBdr>
                                <w:top w:val="none" w:sz="0" w:space="0" w:color="auto"/>
                                <w:left w:val="none" w:sz="0" w:space="0" w:color="auto"/>
                                <w:bottom w:val="none" w:sz="0" w:space="0" w:color="auto"/>
                                <w:right w:val="none" w:sz="0" w:space="0" w:color="auto"/>
                              </w:divBdr>
                            </w:div>
                            <w:div w:id="1691879976">
                              <w:marLeft w:val="0"/>
                              <w:marRight w:val="0"/>
                              <w:marTop w:val="0"/>
                              <w:marBottom w:val="0"/>
                              <w:divBdr>
                                <w:top w:val="none" w:sz="0" w:space="0" w:color="auto"/>
                                <w:left w:val="none" w:sz="0" w:space="0" w:color="auto"/>
                                <w:bottom w:val="none" w:sz="0" w:space="0" w:color="auto"/>
                                <w:right w:val="none" w:sz="0" w:space="0" w:color="auto"/>
                              </w:divBdr>
                            </w:div>
                            <w:div w:id="625738359">
                              <w:marLeft w:val="0"/>
                              <w:marRight w:val="0"/>
                              <w:marTop w:val="0"/>
                              <w:marBottom w:val="0"/>
                              <w:divBdr>
                                <w:top w:val="none" w:sz="0" w:space="0" w:color="auto"/>
                                <w:left w:val="none" w:sz="0" w:space="0" w:color="auto"/>
                                <w:bottom w:val="none" w:sz="0" w:space="0" w:color="auto"/>
                                <w:right w:val="none" w:sz="0" w:space="0" w:color="auto"/>
                              </w:divBdr>
                            </w:div>
                            <w:div w:id="5131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327039">
      <w:bodyDiv w:val="1"/>
      <w:marLeft w:val="0"/>
      <w:marRight w:val="0"/>
      <w:marTop w:val="0"/>
      <w:marBottom w:val="0"/>
      <w:divBdr>
        <w:top w:val="none" w:sz="0" w:space="0" w:color="auto"/>
        <w:left w:val="none" w:sz="0" w:space="0" w:color="auto"/>
        <w:bottom w:val="none" w:sz="0" w:space="0" w:color="auto"/>
        <w:right w:val="none" w:sz="0" w:space="0" w:color="auto"/>
      </w:divBdr>
      <w:divsChild>
        <w:div w:id="1322346618">
          <w:marLeft w:val="0"/>
          <w:marRight w:val="0"/>
          <w:marTop w:val="0"/>
          <w:marBottom w:val="0"/>
          <w:divBdr>
            <w:top w:val="none" w:sz="0" w:space="0" w:color="auto"/>
            <w:left w:val="none" w:sz="0" w:space="0" w:color="auto"/>
            <w:bottom w:val="none" w:sz="0" w:space="0" w:color="auto"/>
            <w:right w:val="none" w:sz="0" w:space="0" w:color="auto"/>
          </w:divBdr>
          <w:divsChild>
            <w:div w:id="1512450667">
              <w:marLeft w:val="0"/>
              <w:marRight w:val="0"/>
              <w:marTop w:val="0"/>
              <w:marBottom w:val="0"/>
              <w:divBdr>
                <w:top w:val="none" w:sz="0" w:space="0" w:color="auto"/>
                <w:left w:val="none" w:sz="0" w:space="0" w:color="auto"/>
                <w:bottom w:val="none" w:sz="0" w:space="0" w:color="auto"/>
                <w:right w:val="none" w:sz="0" w:space="0" w:color="auto"/>
              </w:divBdr>
              <w:divsChild>
                <w:div w:id="1915239474">
                  <w:marLeft w:val="0"/>
                  <w:marRight w:val="0"/>
                  <w:marTop w:val="0"/>
                  <w:marBottom w:val="0"/>
                  <w:divBdr>
                    <w:top w:val="none" w:sz="0" w:space="0" w:color="auto"/>
                    <w:left w:val="none" w:sz="0" w:space="0" w:color="auto"/>
                    <w:bottom w:val="none" w:sz="0" w:space="0" w:color="auto"/>
                    <w:right w:val="none" w:sz="0" w:space="0" w:color="auto"/>
                  </w:divBdr>
                  <w:divsChild>
                    <w:div w:id="1485506637">
                      <w:marLeft w:val="0"/>
                      <w:marRight w:val="0"/>
                      <w:marTop w:val="0"/>
                      <w:marBottom w:val="0"/>
                      <w:divBdr>
                        <w:top w:val="none" w:sz="0" w:space="0" w:color="auto"/>
                        <w:left w:val="none" w:sz="0" w:space="0" w:color="auto"/>
                        <w:bottom w:val="none" w:sz="0" w:space="0" w:color="auto"/>
                        <w:right w:val="none" w:sz="0" w:space="0" w:color="auto"/>
                      </w:divBdr>
                      <w:divsChild>
                        <w:div w:id="1832989512">
                          <w:marLeft w:val="0"/>
                          <w:marRight w:val="0"/>
                          <w:marTop w:val="0"/>
                          <w:marBottom w:val="0"/>
                          <w:divBdr>
                            <w:top w:val="none" w:sz="0" w:space="0" w:color="auto"/>
                            <w:left w:val="none" w:sz="0" w:space="0" w:color="auto"/>
                            <w:bottom w:val="none" w:sz="0" w:space="0" w:color="auto"/>
                            <w:right w:val="none" w:sz="0" w:space="0" w:color="auto"/>
                          </w:divBdr>
                          <w:divsChild>
                            <w:div w:id="645814636">
                              <w:marLeft w:val="0"/>
                              <w:marRight w:val="0"/>
                              <w:marTop w:val="0"/>
                              <w:marBottom w:val="0"/>
                              <w:divBdr>
                                <w:top w:val="none" w:sz="0" w:space="0" w:color="auto"/>
                                <w:left w:val="none" w:sz="0" w:space="0" w:color="auto"/>
                                <w:bottom w:val="none" w:sz="0" w:space="0" w:color="auto"/>
                                <w:right w:val="none" w:sz="0" w:space="0" w:color="auto"/>
                              </w:divBdr>
                            </w:div>
                            <w:div w:id="953441107">
                              <w:marLeft w:val="0"/>
                              <w:marRight w:val="0"/>
                              <w:marTop w:val="0"/>
                              <w:marBottom w:val="0"/>
                              <w:divBdr>
                                <w:top w:val="none" w:sz="0" w:space="0" w:color="auto"/>
                                <w:left w:val="none" w:sz="0" w:space="0" w:color="auto"/>
                                <w:bottom w:val="none" w:sz="0" w:space="0" w:color="auto"/>
                                <w:right w:val="none" w:sz="0" w:space="0" w:color="auto"/>
                              </w:divBdr>
                            </w:div>
                            <w:div w:id="354842546">
                              <w:marLeft w:val="0"/>
                              <w:marRight w:val="0"/>
                              <w:marTop w:val="0"/>
                              <w:marBottom w:val="0"/>
                              <w:divBdr>
                                <w:top w:val="none" w:sz="0" w:space="0" w:color="auto"/>
                                <w:left w:val="none" w:sz="0" w:space="0" w:color="auto"/>
                                <w:bottom w:val="none" w:sz="0" w:space="0" w:color="auto"/>
                                <w:right w:val="none" w:sz="0" w:space="0" w:color="auto"/>
                              </w:divBdr>
                            </w:div>
                            <w:div w:id="356396242">
                              <w:marLeft w:val="0"/>
                              <w:marRight w:val="0"/>
                              <w:marTop w:val="0"/>
                              <w:marBottom w:val="0"/>
                              <w:divBdr>
                                <w:top w:val="none" w:sz="0" w:space="0" w:color="auto"/>
                                <w:left w:val="none" w:sz="0" w:space="0" w:color="auto"/>
                                <w:bottom w:val="none" w:sz="0" w:space="0" w:color="auto"/>
                                <w:right w:val="none" w:sz="0" w:space="0" w:color="auto"/>
                              </w:divBdr>
                            </w:div>
                            <w:div w:id="335811246">
                              <w:marLeft w:val="0"/>
                              <w:marRight w:val="0"/>
                              <w:marTop w:val="0"/>
                              <w:marBottom w:val="0"/>
                              <w:divBdr>
                                <w:top w:val="none" w:sz="0" w:space="0" w:color="auto"/>
                                <w:left w:val="none" w:sz="0" w:space="0" w:color="auto"/>
                                <w:bottom w:val="none" w:sz="0" w:space="0" w:color="auto"/>
                                <w:right w:val="none" w:sz="0" w:space="0" w:color="auto"/>
                              </w:divBdr>
                            </w:div>
                            <w:div w:id="650329824">
                              <w:marLeft w:val="0"/>
                              <w:marRight w:val="0"/>
                              <w:marTop w:val="0"/>
                              <w:marBottom w:val="0"/>
                              <w:divBdr>
                                <w:top w:val="none" w:sz="0" w:space="0" w:color="auto"/>
                                <w:left w:val="none" w:sz="0" w:space="0" w:color="auto"/>
                                <w:bottom w:val="none" w:sz="0" w:space="0" w:color="auto"/>
                                <w:right w:val="none" w:sz="0" w:space="0" w:color="auto"/>
                              </w:divBdr>
                            </w:div>
                            <w:div w:id="616176593">
                              <w:marLeft w:val="0"/>
                              <w:marRight w:val="0"/>
                              <w:marTop w:val="0"/>
                              <w:marBottom w:val="0"/>
                              <w:divBdr>
                                <w:top w:val="none" w:sz="0" w:space="0" w:color="auto"/>
                                <w:left w:val="none" w:sz="0" w:space="0" w:color="auto"/>
                                <w:bottom w:val="none" w:sz="0" w:space="0" w:color="auto"/>
                                <w:right w:val="none" w:sz="0" w:space="0" w:color="auto"/>
                              </w:divBdr>
                            </w:div>
                            <w:div w:id="819493591">
                              <w:marLeft w:val="0"/>
                              <w:marRight w:val="0"/>
                              <w:marTop w:val="0"/>
                              <w:marBottom w:val="0"/>
                              <w:divBdr>
                                <w:top w:val="none" w:sz="0" w:space="0" w:color="auto"/>
                                <w:left w:val="none" w:sz="0" w:space="0" w:color="auto"/>
                                <w:bottom w:val="none" w:sz="0" w:space="0" w:color="auto"/>
                                <w:right w:val="none" w:sz="0" w:space="0" w:color="auto"/>
                              </w:divBdr>
                            </w:div>
                            <w:div w:id="813370997">
                              <w:marLeft w:val="0"/>
                              <w:marRight w:val="0"/>
                              <w:marTop w:val="0"/>
                              <w:marBottom w:val="0"/>
                              <w:divBdr>
                                <w:top w:val="none" w:sz="0" w:space="0" w:color="auto"/>
                                <w:left w:val="none" w:sz="0" w:space="0" w:color="auto"/>
                                <w:bottom w:val="none" w:sz="0" w:space="0" w:color="auto"/>
                                <w:right w:val="none" w:sz="0" w:space="0" w:color="auto"/>
                              </w:divBdr>
                            </w:div>
                            <w:div w:id="415829052">
                              <w:marLeft w:val="0"/>
                              <w:marRight w:val="0"/>
                              <w:marTop w:val="0"/>
                              <w:marBottom w:val="0"/>
                              <w:divBdr>
                                <w:top w:val="none" w:sz="0" w:space="0" w:color="auto"/>
                                <w:left w:val="none" w:sz="0" w:space="0" w:color="auto"/>
                                <w:bottom w:val="none" w:sz="0" w:space="0" w:color="auto"/>
                                <w:right w:val="none" w:sz="0" w:space="0" w:color="auto"/>
                              </w:divBdr>
                            </w:div>
                            <w:div w:id="1596984744">
                              <w:marLeft w:val="0"/>
                              <w:marRight w:val="0"/>
                              <w:marTop w:val="0"/>
                              <w:marBottom w:val="0"/>
                              <w:divBdr>
                                <w:top w:val="none" w:sz="0" w:space="0" w:color="auto"/>
                                <w:left w:val="none" w:sz="0" w:space="0" w:color="auto"/>
                                <w:bottom w:val="none" w:sz="0" w:space="0" w:color="auto"/>
                                <w:right w:val="none" w:sz="0" w:space="0" w:color="auto"/>
                              </w:divBdr>
                            </w:div>
                            <w:div w:id="2059352523">
                              <w:marLeft w:val="0"/>
                              <w:marRight w:val="0"/>
                              <w:marTop w:val="0"/>
                              <w:marBottom w:val="0"/>
                              <w:divBdr>
                                <w:top w:val="none" w:sz="0" w:space="0" w:color="auto"/>
                                <w:left w:val="none" w:sz="0" w:space="0" w:color="auto"/>
                                <w:bottom w:val="none" w:sz="0" w:space="0" w:color="auto"/>
                                <w:right w:val="none" w:sz="0" w:space="0" w:color="auto"/>
                              </w:divBdr>
                            </w:div>
                            <w:div w:id="1171601712">
                              <w:marLeft w:val="0"/>
                              <w:marRight w:val="0"/>
                              <w:marTop w:val="0"/>
                              <w:marBottom w:val="0"/>
                              <w:divBdr>
                                <w:top w:val="none" w:sz="0" w:space="0" w:color="auto"/>
                                <w:left w:val="none" w:sz="0" w:space="0" w:color="auto"/>
                                <w:bottom w:val="none" w:sz="0" w:space="0" w:color="auto"/>
                                <w:right w:val="none" w:sz="0" w:space="0" w:color="auto"/>
                              </w:divBdr>
                            </w:div>
                            <w:div w:id="2019307557">
                              <w:marLeft w:val="0"/>
                              <w:marRight w:val="0"/>
                              <w:marTop w:val="0"/>
                              <w:marBottom w:val="0"/>
                              <w:divBdr>
                                <w:top w:val="none" w:sz="0" w:space="0" w:color="auto"/>
                                <w:left w:val="none" w:sz="0" w:space="0" w:color="auto"/>
                                <w:bottom w:val="none" w:sz="0" w:space="0" w:color="auto"/>
                                <w:right w:val="none" w:sz="0" w:space="0" w:color="auto"/>
                              </w:divBdr>
                            </w:div>
                            <w:div w:id="16466291">
                              <w:marLeft w:val="0"/>
                              <w:marRight w:val="0"/>
                              <w:marTop w:val="0"/>
                              <w:marBottom w:val="0"/>
                              <w:divBdr>
                                <w:top w:val="none" w:sz="0" w:space="0" w:color="auto"/>
                                <w:left w:val="none" w:sz="0" w:space="0" w:color="auto"/>
                                <w:bottom w:val="none" w:sz="0" w:space="0" w:color="auto"/>
                                <w:right w:val="none" w:sz="0" w:space="0" w:color="auto"/>
                              </w:divBdr>
                            </w:div>
                            <w:div w:id="2106993574">
                              <w:marLeft w:val="0"/>
                              <w:marRight w:val="0"/>
                              <w:marTop w:val="0"/>
                              <w:marBottom w:val="0"/>
                              <w:divBdr>
                                <w:top w:val="none" w:sz="0" w:space="0" w:color="auto"/>
                                <w:left w:val="none" w:sz="0" w:space="0" w:color="auto"/>
                                <w:bottom w:val="none" w:sz="0" w:space="0" w:color="auto"/>
                                <w:right w:val="none" w:sz="0" w:space="0" w:color="auto"/>
                              </w:divBdr>
                            </w:div>
                            <w:div w:id="340477251">
                              <w:marLeft w:val="0"/>
                              <w:marRight w:val="0"/>
                              <w:marTop w:val="0"/>
                              <w:marBottom w:val="0"/>
                              <w:divBdr>
                                <w:top w:val="none" w:sz="0" w:space="0" w:color="auto"/>
                                <w:left w:val="none" w:sz="0" w:space="0" w:color="auto"/>
                                <w:bottom w:val="none" w:sz="0" w:space="0" w:color="auto"/>
                                <w:right w:val="none" w:sz="0" w:space="0" w:color="auto"/>
                              </w:divBdr>
                            </w:div>
                            <w:div w:id="1082722788">
                              <w:marLeft w:val="0"/>
                              <w:marRight w:val="0"/>
                              <w:marTop w:val="0"/>
                              <w:marBottom w:val="0"/>
                              <w:divBdr>
                                <w:top w:val="none" w:sz="0" w:space="0" w:color="auto"/>
                                <w:left w:val="none" w:sz="0" w:space="0" w:color="auto"/>
                                <w:bottom w:val="none" w:sz="0" w:space="0" w:color="auto"/>
                                <w:right w:val="none" w:sz="0" w:space="0" w:color="auto"/>
                              </w:divBdr>
                            </w:div>
                            <w:div w:id="1472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6387</Words>
  <Characters>36406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5</cp:revision>
  <dcterms:created xsi:type="dcterms:W3CDTF">2025-12-08T03:56:00Z</dcterms:created>
  <dcterms:modified xsi:type="dcterms:W3CDTF">2025-12-15T12:53:00Z</dcterms:modified>
</cp:coreProperties>
</file>