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22D13" w14:textId="77777777" w:rsidR="00754C9A" w:rsidRDefault="00754C9A" w:rsidP="00441B6F">
      <w:pPr>
        <w:pStyle w:val="Title"/>
        <w:spacing w:after="0"/>
        <w:jc w:val="both"/>
        <w:rPr>
          <w:rFonts w:ascii="Arial" w:hAnsi="Arial" w:cs="Arial"/>
        </w:rPr>
      </w:pPr>
    </w:p>
    <w:p w14:paraId="21A499CC" w14:textId="77777777" w:rsidR="00A3686B" w:rsidRPr="00A3686B" w:rsidRDefault="00A3686B" w:rsidP="00A3686B">
      <w:pPr>
        <w:spacing w:line="360" w:lineRule="auto"/>
        <w:jc w:val="center"/>
        <w:rPr>
          <w:rFonts w:ascii="Times New Roman" w:hAnsi="Times New Roman"/>
          <w:b/>
          <w:bCs/>
          <w:i/>
          <w:iCs/>
          <w:sz w:val="24"/>
          <w:szCs w:val="24"/>
          <w:u w:val="single"/>
        </w:rPr>
      </w:pPr>
      <w:r w:rsidRPr="00A3686B">
        <w:rPr>
          <w:rFonts w:ascii="Times New Roman" w:hAnsi="Times New Roman"/>
          <w:b/>
          <w:bCs/>
          <w:i/>
          <w:iCs/>
          <w:sz w:val="24"/>
          <w:szCs w:val="24"/>
          <w:u w:val="single"/>
        </w:rPr>
        <w:t xml:space="preserve">Case report </w:t>
      </w:r>
    </w:p>
    <w:p w14:paraId="36EE3090" w14:textId="6663EB85" w:rsidR="006A5440" w:rsidRDefault="006A5440" w:rsidP="006A5440">
      <w:pPr>
        <w:spacing w:line="360" w:lineRule="auto"/>
        <w:jc w:val="center"/>
        <w:rPr>
          <w:rFonts w:ascii="Times New Roman" w:hAnsi="Times New Roman"/>
          <w:sz w:val="24"/>
          <w:szCs w:val="24"/>
        </w:rPr>
      </w:pPr>
      <w:r w:rsidRPr="00430121">
        <w:rPr>
          <w:rFonts w:ascii="Times New Roman" w:hAnsi="Times New Roman"/>
          <w:b/>
          <w:bCs/>
          <w:sz w:val="24"/>
          <w:szCs w:val="24"/>
          <w:highlight w:val="yellow"/>
        </w:rPr>
        <w:t xml:space="preserve">Leukemia Cutis as an isolated extra-medullary blast crisis in Chronic Myeloid Leukemia: A rare case </w:t>
      </w:r>
      <w:r w:rsidR="00430121" w:rsidRPr="00430121">
        <w:rPr>
          <w:rFonts w:ascii="Times New Roman" w:hAnsi="Times New Roman"/>
          <w:b/>
          <w:bCs/>
          <w:sz w:val="24"/>
          <w:szCs w:val="24"/>
          <w:highlight w:val="yellow"/>
        </w:rPr>
        <w:t>report</w:t>
      </w:r>
    </w:p>
    <w:p w14:paraId="310029A0" w14:textId="77777777" w:rsidR="00A258C3" w:rsidRPr="00790ADA" w:rsidRDefault="00A258C3" w:rsidP="00441B6F">
      <w:pPr>
        <w:pStyle w:val="Author"/>
        <w:spacing w:line="240" w:lineRule="auto"/>
        <w:jc w:val="both"/>
        <w:rPr>
          <w:rFonts w:ascii="Arial" w:hAnsi="Arial" w:cs="Arial"/>
          <w:sz w:val="36"/>
        </w:rPr>
      </w:pPr>
    </w:p>
    <w:p w14:paraId="31FA43D3" w14:textId="77777777" w:rsidR="002C57D2" w:rsidRPr="00FB3A86" w:rsidRDefault="002C57D2" w:rsidP="00441B6F">
      <w:pPr>
        <w:pStyle w:val="Affiliation"/>
        <w:spacing w:after="0" w:line="240" w:lineRule="auto"/>
        <w:jc w:val="both"/>
        <w:rPr>
          <w:rFonts w:ascii="Arial" w:hAnsi="Arial" w:cs="Arial"/>
        </w:rPr>
      </w:pPr>
    </w:p>
    <w:p w14:paraId="6908D602" w14:textId="77777777" w:rsidR="00B01FCD" w:rsidRPr="00FB3A86" w:rsidRDefault="00E121D9" w:rsidP="00441B6F">
      <w:pPr>
        <w:pStyle w:val="Copyright"/>
        <w:spacing w:after="0" w:line="240" w:lineRule="auto"/>
        <w:jc w:val="both"/>
        <w:rPr>
          <w:rFonts w:ascii="Arial" w:hAnsi="Arial" w:cs="Arial"/>
        </w:rPr>
        <w:sectPr w:rsidR="00B01FCD" w:rsidRPr="00FB3A86" w:rsidSect="003A31D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C53B1AC">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1306FB32" w14:textId="0D55ADC1"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DDF794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4232A774" w14:textId="77777777" w:rsidTr="001E44FE">
        <w:tc>
          <w:tcPr>
            <w:tcW w:w="9576" w:type="dxa"/>
            <w:shd w:val="clear" w:color="auto" w:fill="F2F2F2"/>
          </w:tcPr>
          <w:p w14:paraId="76F222EC" w14:textId="211A2283" w:rsidR="00505F06" w:rsidRPr="00BA1B01" w:rsidRDefault="006A5440" w:rsidP="00441B6F">
            <w:pPr>
              <w:pStyle w:val="Body"/>
              <w:spacing w:after="0"/>
              <w:rPr>
                <w:rFonts w:ascii="Arial" w:eastAsia="Calibri" w:hAnsi="Arial" w:cs="Arial"/>
                <w:szCs w:val="22"/>
              </w:rPr>
            </w:pPr>
            <w:r w:rsidRPr="006A5440">
              <w:rPr>
                <w:rFonts w:ascii="Arial" w:eastAsia="Calibri" w:hAnsi="Arial" w:cs="Arial"/>
                <w:szCs w:val="22"/>
              </w:rPr>
              <w:t>Leukemia Cutis, characterized by infiltration of skin by leukemic cells leading to clinically recognizable coetaneous lesions, is a rare manifestation found in various underlying leukemias and sometimes as sole presentation. Its presence often correlates with underlying advanced stages of the disease and invariably associated with a dismal prognosis. Moreover, coetaneous leukemic proliferations often pose a diagnostic challenge. In this article, we report a rare case of biopsy proven leukemia cutis in a patient of chronic myeloid leukemia without bone marrow or other organ involvement, successfully treated with intensive chemotherapy. We emphasize the importance of early clinical identification, pathological diagnosis and apt initiation of definitive therapy.</w:t>
            </w:r>
          </w:p>
        </w:tc>
      </w:tr>
    </w:tbl>
    <w:p w14:paraId="2C4EF751" w14:textId="77777777" w:rsidR="00636EB2" w:rsidRDefault="00636EB2" w:rsidP="00441B6F">
      <w:pPr>
        <w:pStyle w:val="Body"/>
        <w:spacing w:after="0"/>
        <w:rPr>
          <w:rFonts w:ascii="Arial" w:hAnsi="Arial" w:cs="Arial"/>
          <w:i/>
        </w:rPr>
      </w:pPr>
    </w:p>
    <w:p w14:paraId="26C1F9B9" w14:textId="558827BD" w:rsidR="006A5440" w:rsidRPr="006A5440" w:rsidRDefault="00A24E7E" w:rsidP="006A5440">
      <w:pPr>
        <w:pStyle w:val="Body"/>
        <w:rPr>
          <w:rFonts w:ascii="Arial" w:hAnsi="Arial" w:cs="Arial"/>
          <w:i/>
          <w:lang w:val="en-IN"/>
        </w:rPr>
      </w:pPr>
      <w:r>
        <w:rPr>
          <w:rFonts w:ascii="Arial" w:hAnsi="Arial" w:cs="Arial"/>
          <w:i/>
        </w:rPr>
        <w:t xml:space="preserve">Keywords: </w:t>
      </w:r>
      <w:r w:rsidR="006A5440" w:rsidRPr="006A5440">
        <w:rPr>
          <w:rFonts w:ascii="Arial" w:hAnsi="Arial" w:cs="Arial"/>
          <w:i/>
          <w:lang w:val="en-IN"/>
        </w:rPr>
        <w:t xml:space="preserve">Chronic Myeloid </w:t>
      </w:r>
      <w:proofErr w:type="spellStart"/>
      <w:r w:rsidR="006A5440" w:rsidRPr="006A5440">
        <w:rPr>
          <w:rFonts w:ascii="Arial" w:hAnsi="Arial" w:cs="Arial"/>
          <w:i/>
          <w:lang w:val="en-IN"/>
        </w:rPr>
        <w:t>Leukemia</w:t>
      </w:r>
      <w:proofErr w:type="spellEnd"/>
      <w:r w:rsidR="006A5440" w:rsidRPr="006A5440">
        <w:rPr>
          <w:rFonts w:ascii="Arial" w:hAnsi="Arial" w:cs="Arial"/>
          <w:i/>
          <w:lang w:val="en-IN"/>
        </w:rPr>
        <w:t xml:space="preserve">, Skin lesions, </w:t>
      </w:r>
      <w:proofErr w:type="spellStart"/>
      <w:r w:rsidR="006A5440" w:rsidRPr="006A5440">
        <w:rPr>
          <w:rFonts w:ascii="Arial" w:hAnsi="Arial" w:cs="Arial"/>
          <w:i/>
          <w:lang w:val="en-IN"/>
        </w:rPr>
        <w:t>Leukemia</w:t>
      </w:r>
      <w:proofErr w:type="spellEnd"/>
      <w:r w:rsidR="006A5440" w:rsidRPr="006A5440">
        <w:rPr>
          <w:rFonts w:ascii="Arial" w:hAnsi="Arial" w:cs="Arial"/>
          <w:i/>
          <w:lang w:val="en-IN"/>
        </w:rPr>
        <w:t xml:space="preserve"> </w:t>
      </w:r>
      <w:r w:rsidR="00921987" w:rsidRPr="006A5440">
        <w:rPr>
          <w:rFonts w:ascii="Arial" w:hAnsi="Arial" w:cs="Arial"/>
          <w:i/>
          <w:lang w:val="en-IN"/>
        </w:rPr>
        <w:t>Cutis,</w:t>
      </w:r>
      <w:r w:rsidR="006A5440" w:rsidRPr="006A5440">
        <w:rPr>
          <w:rFonts w:ascii="Arial" w:hAnsi="Arial" w:cs="Arial"/>
          <w:i/>
          <w:lang w:val="en-IN"/>
        </w:rPr>
        <w:t xml:space="preserve"> Extra-medullary Blast Crisis</w:t>
      </w:r>
    </w:p>
    <w:p w14:paraId="6C72A0A9" w14:textId="7A95F5AF" w:rsidR="00A24E7E" w:rsidRPr="006A5440" w:rsidRDefault="00A24E7E" w:rsidP="00441B6F">
      <w:pPr>
        <w:pStyle w:val="Body"/>
        <w:spacing w:after="0"/>
        <w:rPr>
          <w:rFonts w:ascii="Arial" w:hAnsi="Arial" w:cs="Arial"/>
          <w:i/>
          <w:lang w:val="en-IN"/>
        </w:rPr>
      </w:pPr>
    </w:p>
    <w:p w14:paraId="048A631E" w14:textId="77777777" w:rsidR="00790ADA" w:rsidRDefault="00790ADA" w:rsidP="00441B6F">
      <w:pPr>
        <w:pStyle w:val="Body"/>
        <w:spacing w:after="0"/>
        <w:rPr>
          <w:rFonts w:ascii="Arial" w:hAnsi="Arial" w:cs="Arial"/>
          <w:i/>
        </w:rPr>
      </w:pPr>
    </w:p>
    <w:p w14:paraId="729278A1" w14:textId="77777777" w:rsidR="0024282C" w:rsidRDefault="0024282C" w:rsidP="00441B6F">
      <w:pPr>
        <w:pStyle w:val="Body"/>
        <w:spacing w:after="0"/>
        <w:rPr>
          <w:rFonts w:ascii="Arial" w:hAnsi="Arial" w:cs="Arial"/>
          <w:i/>
          <w:sz w:val="18"/>
        </w:rPr>
      </w:pPr>
    </w:p>
    <w:p w14:paraId="782AAD99" w14:textId="77777777" w:rsidR="00505F06" w:rsidRPr="00A24E7E" w:rsidRDefault="00505F06" w:rsidP="00441B6F">
      <w:pPr>
        <w:pStyle w:val="Body"/>
        <w:spacing w:after="0"/>
        <w:rPr>
          <w:rFonts w:ascii="Arial" w:hAnsi="Arial" w:cs="Arial"/>
          <w:i/>
        </w:rPr>
      </w:pPr>
    </w:p>
    <w:p w14:paraId="1852C331" w14:textId="1B5258C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6A5440">
        <w:rPr>
          <w:rFonts w:ascii="Arial" w:hAnsi="Arial" w:cs="Arial"/>
        </w:rPr>
        <w:t>:</w:t>
      </w:r>
    </w:p>
    <w:p w14:paraId="3A16E4FA" w14:textId="77777777" w:rsidR="00790ADA" w:rsidRPr="00FB3A86" w:rsidRDefault="00790ADA" w:rsidP="00441B6F">
      <w:pPr>
        <w:pStyle w:val="AbstHead"/>
        <w:spacing w:after="0"/>
        <w:jc w:val="both"/>
        <w:rPr>
          <w:rFonts w:ascii="Arial" w:hAnsi="Arial" w:cs="Arial"/>
        </w:rPr>
      </w:pPr>
    </w:p>
    <w:p w14:paraId="4434BAB2" w14:textId="2300E0A2" w:rsidR="006A5440" w:rsidRPr="006A5440" w:rsidRDefault="006A5440" w:rsidP="006A5440">
      <w:pPr>
        <w:pStyle w:val="Body"/>
        <w:rPr>
          <w:rFonts w:ascii="Arial" w:eastAsia="Calibri" w:hAnsi="Arial" w:cs="Arial"/>
          <w:szCs w:val="22"/>
          <w:lang w:val="en-IN"/>
        </w:rPr>
      </w:pPr>
      <w:proofErr w:type="spellStart"/>
      <w:r w:rsidRPr="006A5440">
        <w:rPr>
          <w:rFonts w:ascii="Arial" w:eastAsia="Calibri" w:hAnsi="Arial" w:cs="Arial"/>
          <w:szCs w:val="22"/>
          <w:lang w:val="en-IN"/>
        </w:rPr>
        <w:t>Leukemia</w:t>
      </w:r>
      <w:proofErr w:type="spellEnd"/>
      <w:r w:rsidRPr="006A5440">
        <w:rPr>
          <w:rFonts w:ascii="Arial" w:eastAsia="Calibri" w:hAnsi="Arial" w:cs="Arial"/>
          <w:szCs w:val="22"/>
          <w:lang w:val="en-IN"/>
        </w:rPr>
        <w:t xml:space="preserve"> Cutis (LC) refers to infiltration of epidermis, dermis &amp; subcutaneous tissue by neoplastic leukocytes and its precursors. Its variable clinical presentations make it difficult to distinguish from close differentials in various types of </w:t>
      </w:r>
      <w:proofErr w:type="spellStart"/>
      <w:r w:rsidRPr="006A5440">
        <w:rPr>
          <w:rFonts w:ascii="Arial" w:eastAsia="Calibri" w:hAnsi="Arial" w:cs="Arial"/>
          <w:szCs w:val="22"/>
          <w:lang w:val="en-IN"/>
        </w:rPr>
        <w:t>leukemias</w:t>
      </w:r>
      <w:proofErr w:type="spellEnd"/>
      <w:r w:rsidRPr="006A5440">
        <w:rPr>
          <w:rFonts w:ascii="Arial" w:eastAsia="Calibri" w:hAnsi="Arial" w:cs="Arial"/>
          <w:szCs w:val="22"/>
          <w:lang w:val="en-IN"/>
        </w:rPr>
        <w:t xml:space="preserve"> [1]. On microscopy most LCs show small blue round cell </w:t>
      </w:r>
      <w:r w:rsidR="00921987" w:rsidRPr="006A5440">
        <w:rPr>
          <w:rFonts w:ascii="Arial" w:eastAsia="Calibri" w:hAnsi="Arial" w:cs="Arial"/>
          <w:szCs w:val="22"/>
          <w:lang w:val="en-IN"/>
        </w:rPr>
        <w:t>tumour</w:t>
      </w:r>
      <w:r w:rsidRPr="006A5440">
        <w:rPr>
          <w:rFonts w:ascii="Arial" w:eastAsia="Calibri" w:hAnsi="Arial" w:cs="Arial"/>
          <w:szCs w:val="22"/>
          <w:lang w:val="en-IN"/>
        </w:rPr>
        <w:t xml:space="preserve"> morphology with perivascular &amp;/or </w:t>
      </w:r>
      <w:r w:rsidR="00921987" w:rsidRPr="006A5440">
        <w:rPr>
          <w:rFonts w:ascii="Arial" w:eastAsia="Calibri" w:hAnsi="Arial" w:cs="Arial"/>
          <w:szCs w:val="22"/>
          <w:lang w:val="en-IN"/>
        </w:rPr>
        <w:t>peri adnexal</w:t>
      </w:r>
      <w:r w:rsidRPr="006A5440">
        <w:rPr>
          <w:rFonts w:ascii="Arial" w:eastAsia="Calibri" w:hAnsi="Arial" w:cs="Arial"/>
          <w:szCs w:val="22"/>
          <w:lang w:val="en-IN"/>
        </w:rPr>
        <w:t xml:space="preserve"> pattern along with infiltration of blasts into dermis &amp; subcutis with sparing of upper papillary dermis i.e. </w:t>
      </w:r>
      <w:proofErr w:type="spellStart"/>
      <w:r w:rsidRPr="006A5440">
        <w:rPr>
          <w:rFonts w:ascii="Arial" w:eastAsia="Calibri" w:hAnsi="Arial" w:cs="Arial"/>
          <w:szCs w:val="22"/>
          <w:lang w:val="en-IN"/>
        </w:rPr>
        <w:t>Grenz</w:t>
      </w:r>
      <w:proofErr w:type="spellEnd"/>
      <w:r w:rsidRPr="006A5440">
        <w:rPr>
          <w:rFonts w:ascii="Arial" w:eastAsia="Calibri" w:hAnsi="Arial" w:cs="Arial"/>
          <w:szCs w:val="22"/>
          <w:lang w:val="en-IN"/>
        </w:rPr>
        <w:t xml:space="preserve"> zone. The exact pathology is still not well understood, but the theory of chemotaxis mediated migration of leukemic cells to skin via skin selective homing process is well accepted [2].</w:t>
      </w:r>
      <w:r w:rsidRPr="003613C0">
        <w:rPr>
          <w:rFonts w:ascii="Arial" w:eastAsia="Calibri" w:hAnsi="Arial" w:cs="Arial"/>
          <w:szCs w:val="22"/>
          <w:highlight w:val="yellow"/>
          <w:lang w:val="en-IN"/>
        </w:rPr>
        <w:t xml:space="preserve">Frequency of LC varies from 2-30% in different types of </w:t>
      </w:r>
      <w:proofErr w:type="spellStart"/>
      <w:r w:rsidRPr="003613C0">
        <w:rPr>
          <w:rFonts w:ascii="Arial" w:eastAsia="Calibri" w:hAnsi="Arial" w:cs="Arial"/>
          <w:szCs w:val="22"/>
          <w:highlight w:val="yellow"/>
          <w:lang w:val="en-IN"/>
        </w:rPr>
        <w:t>leukemias</w:t>
      </w:r>
      <w:proofErr w:type="spellEnd"/>
      <w:r w:rsidRPr="003613C0">
        <w:rPr>
          <w:rFonts w:ascii="Arial" w:eastAsia="Calibri" w:hAnsi="Arial" w:cs="Arial"/>
          <w:szCs w:val="22"/>
          <w:highlight w:val="yellow"/>
          <w:lang w:val="en-IN"/>
        </w:rPr>
        <w:t xml:space="preserve">, most frequent in congenital </w:t>
      </w:r>
      <w:proofErr w:type="spellStart"/>
      <w:r w:rsidRPr="003613C0">
        <w:rPr>
          <w:rFonts w:ascii="Arial" w:eastAsia="Calibri" w:hAnsi="Arial" w:cs="Arial"/>
          <w:szCs w:val="22"/>
          <w:highlight w:val="yellow"/>
          <w:lang w:val="en-IN"/>
        </w:rPr>
        <w:t>leukemias</w:t>
      </w:r>
      <w:proofErr w:type="spellEnd"/>
      <w:r w:rsidRPr="003613C0">
        <w:rPr>
          <w:rFonts w:ascii="Arial" w:eastAsia="Calibri" w:hAnsi="Arial" w:cs="Arial"/>
          <w:szCs w:val="22"/>
          <w:highlight w:val="yellow"/>
          <w:lang w:val="en-IN"/>
        </w:rPr>
        <w:t xml:space="preserve"> (25-30%) and acute myeloid </w:t>
      </w:r>
      <w:proofErr w:type="spellStart"/>
      <w:r w:rsidRPr="003613C0">
        <w:rPr>
          <w:rFonts w:ascii="Arial" w:eastAsia="Calibri" w:hAnsi="Arial" w:cs="Arial"/>
          <w:szCs w:val="22"/>
          <w:highlight w:val="yellow"/>
          <w:lang w:val="en-IN"/>
        </w:rPr>
        <w:t>leukemias</w:t>
      </w:r>
      <w:proofErr w:type="spellEnd"/>
      <w:r w:rsidRPr="003613C0">
        <w:rPr>
          <w:rFonts w:ascii="Arial" w:eastAsia="Calibri" w:hAnsi="Arial" w:cs="Arial"/>
          <w:szCs w:val="22"/>
          <w:highlight w:val="yellow"/>
          <w:lang w:val="en-IN"/>
        </w:rPr>
        <w:t xml:space="preserve"> (AML) [3].In AML, extra medullary involvement is found in almost 10% of cases, skin manifestations in the form of LC being the most common (approximately 2-3%) [4].Other leukemi</w:t>
      </w:r>
      <w:r w:rsidR="00921987">
        <w:rPr>
          <w:rFonts w:ascii="Arial" w:eastAsia="Calibri" w:hAnsi="Arial" w:cs="Arial"/>
          <w:szCs w:val="22"/>
          <w:highlight w:val="yellow"/>
          <w:lang w:val="en-IN"/>
        </w:rPr>
        <w:t>c</w:t>
      </w:r>
      <w:r w:rsidRPr="003613C0">
        <w:rPr>
          <w:rFonts w:ascii="Arial" w:eastAsia="Calibri" w:hAnsi="Arial" w:cs="Arial"/>
          <w:szCs w:val="22"/>
          <w:highlight w:val="yellow"/>
          <w:lang w:val="en-IN"/>
        </w:rPr>
        <w:t xml:space="preserve"> subtypes associated with higher incidence of LC include chronic Lymphoblastic </w:t>
      </w:r>
      <w:proofErr w:type="spellStart"/>
      <w:r w:rsidRPr="003613C0">
        <w:rPr>
          <w:rFonts w:ascii="Arial" w:eastAsia="Calibri" w:hAnsi="Arial" w:cs="Arial"/>
          <w:szCs w:val="22"/>
          <w:highlight w:val="yellow"/>
          <w:lang w:val="en-IN"/>
        </w:rPr>
        <w:t>leukemia</w:t>
      </w:r>
      <w:proofErr w:type="spellEnd"/>
      <w:r w:rsidRPr="003613C0">
        <w:rPr>
          <w:rFonts w:ascii="Arial" w:eastAsia="Calibri" w:hAnsi="Arial" w:cs="Arial"/>
          <w:szCs w:val="22"/>
          <w:highlight w:val="yellow"/>
          <w:lang w:val="en-IN"/>
        </w:rPr>
        <w:t xml:space="preserve"> (CLL), Acute lymphoblastic </w:t>
      </w:r>
      <w:proofErr w:type="spellStart"/>
      <w:r w:rsidRPr="003613C0">
        <w:rPr>
          <w:rFonts w:ascii="Arial" w:eastAsia="Calibri" w:hAnsi="Arial" w:cs="Arial"/>
          <w:szCs w:val="22"/>
          <w:highlight w:val="yellow"/>
          <w:lang w:val="en-IN"/>
        </w:rPr>
        <w:t>leukemia</w:t>
      </w:r>
      <w:proofErr w:type="spellEnd"/>
      <w:r w:rsidRPr="003613C0">
        <w:rPr>
          <w:rFonts w:ascii="Arial" w:eastAsia="Calibri" w:hAnsi="Arial" w:cs="Arial"/>
          <w:szCs w:val="22"/>
          <w:highlight w:val="yellow"/>
          <w:lang w:val="en-IN"/>
        </w:rPr>
        <w:t xml:space="preserve"> (ALL) &amp; T-cell </w:t>
      </w:r>
      <w:proofErr w:type="spellStart"/>
      <w:r w:rsidRPr="003613C0">
        <w:rPr>
          <w:rFonts w:ascii="Arial" w:eastAsia="Calibri" w:hAnsi="Arial" w:cs="Arial"/>
          <w:szCs w:val="22"/>
          <w:highlight w:val="yellow"/>
          <w:lang w:val="en-IN"/>
        </w:rPr>
        <w:t>leukemias</w:t>
      </w:r>
      <w:proofErr w:type="spellEnd"/>
      <w:r w:rsidRPr="003613C0">
        <w:rPr>
          <w:rFonts w:ascii="Arial" w:eastAsia="Calibri" w:hAnsi="Arial" w:cs="Arial"/>
          <w:szCs w:val="22"/>
          <w:highlight w:val="yellow"/>
          <w:lang w:val="en-IN"/>
        </w:rPr>
        <w:t xml:space="preserve"> and rarely in myelodysplastic syndrome (MDS),myeloproliferative neoplasms (MPN) including chronic myeloid </w:t>
      </w:r>
      <w:proofErr w:type="spellStart"/>
      <w:r w:rsidRPr="003613C0">
        <w:rPr>
          <w:rFonts w:ascii="Arial" w:eastAsia="Calibri" w:hAnsi="Arial" w:cs="Arial"/>
          <w:szCs w:val="22"/>
          <w:highlight w:val="yellow"/>
          <w:lang w:val="en-IN"/>
        </w:rPr>
        <w:t>leukemia</w:t>
      </w:r>
      <w:proofErr w:type="spellEnd"/>
      <w:r w:rsidRPr="003613C0">
        <w:rPr>
          <w:rFonts w:ascii="Arial" w:eastAsia="Calibri" w:hAnsi="Arial" w:cs="Arial"/>
          <w:szCs w:val="22"/>
          <w:highlight w:val="yellow"/>
          <w:lang w:val="en-IN"/>
        </w:rPr>
        <w:t xml:space="preserve"> (CML)</w:t>
      </w:r>
      <w:r w:rsidRPr="006A5440">
        <w:rPr>
          <w:rFonts w:ascii="Arial" w:eastAsia="Calibri" w:hAnsi="Arial" w:cs="Arial"/>
          <w:szCs w:val="22"/>
          <w:lang w:val="en-IN"/>
        </w:rPr>
        <w:t xml:space="preserve"> [4].LC usually represents an advanced disease , frequently involves other extramedullary sites as well and carries a poor prognosis [5].On the other hand, dermatological manifestations are present in almost 25-30% cases of </w:t>
      </w:r>
      <w:proofErr w:type="spellStart"/>
      <w:r w:rsidRPr="006A5440">
        <w:rPr>
          <w:rFonts w:ascii="Arial" w:eastAsia="Calibri" w:hAnsi="Arial" w:cs="Arial"/>
          <w:szCs w:val="22"/>
          <w:lang w:val="en-IN"/>
        </w:rPr>
        <w:t>leukemias</w:t>
      </w:r>
      <w:proofErr w:type="spellEnd"/>
      <w:r w:rsidRPr="006A5440">
        <w:rPr>
          <w:rFonts w:ascii="Arial" w:eastAsia="Calibri" w:hAnsi="Arial" w:cs="Arial"/>
          <w:szCs w:val="22"/>
          <w:lang w:val="en-IN"/>
        </w:rPr>
        <w:t xml:space="preserve"> and mostly include </w:t>
      </w:r>
      <w:proofErr w:type="spellStart"/>
      <w:r w:rsidR="00921987" w:rsidRPr="006A5440">
        <w:rPr>
          <w:rFonts w:ascii="Arial" w:eastAsia="Calibri" w:hAnsi="Arial" w:cs="Arial"/>
          <w:szCs w:val="22"/>
          <w:lang w:val="en-IN"/>
        </w:rPr>
        <w:t>Leukem</w:t>
      </w:r>
      <w:r w:rsidR="00921987">
        <w:rPr>
          <w:rFonts w:ascii="Arial" w:eastAsia="Calibri" w:hAnsi="Arial" w:cs="Arial"/>
          <w:szCs w:val="22"/>
          <w:lang w:val="en-IN"/>
        </w:rPr>
        <w:t>o</w:t>
      </w:r>
      <w:r w:rsidR="00921987" w:rsidRPr="006A5440">
        <w:rPr>
          <w:rFonts w:ascii="Arial" w:eastAsia="Calibri" w:hAnsi="Arial" w:cs="Arial"/>
          <w:szCs w:val="22"/>
          <w:lang w:val="en-IN"/>
        </w:rPr>
        <w:t>id</w:t>
      </w:r>
      <w:r w:rsidR="00921987">
        <w:rPr>
          <w:rFonts w:ascii="Arial" w:eastAsia="Calibri" w:hAnsi="Arial" w:cs="Arial"/>
          <w:szCs w:val="22"/>
          <w:lang w:val="en-IN"/>
        </w:rPr>
        <w:t>s</w:t>
      </w:r>
      <w:proofErr w:type="spellEnd"/>
      <w:r w:rsidRPr="006A5440">
        <w:rPr>
          <w:rFonts w:ascii="Arial" w:eastAsia="Calibri" w:hAnsi="Arial" w:cs="Arial"/>
          <w:szCs w:val="22"/>
          <w:lang w:val="en-IN"/>
        </w:rPr>
        <w:t xml:space="preserve"> like petechiae, purpura, erythema , infections etc. [1].Here we present a case of </w:t>
      </w:r>
      <w:r w:rsidR="00430121" w:rsidRPr="00430121">
        <w:rPr>
          <w:rFonts w:ascii="Arial" w:eastAsia="Calibri" w:hAnsi="Arial" w:cs="Arial"/>
          <w:szCs w:val="22"/>
          <w:highlight w:val="yellow"/>
          <w:lang w:val="en-IN"/>
        </w:rPr>
        <w:t>34 year old male , diagnosed as</w:t>
      </w:r>
      <w:r w:rsidR="00430121">
        <w:rPr>
          <w:rFonts w:ascii="Arial" w:eastAsia="Calibri" w:hAnsi="Arial" w:cs="Arial"/>
          <w:szCs w:val="22"/>
          <w:lang w:val="en-IN"/>
        </w:rPr>
        <w:t xml:space="preserve"> </w:t>
      </w:r>
      <w:r w:rsidRPr="006A5440">
        <w:rPr>
          <w:rFonts w:ascii="Arial" w:eastAsia="Calibri" w:hAnsi="Arial" w:cs="Arial"/>
          <w:szCs w:val="22"/>
          <w:lang w:val="en-IN"/>
        </w:rPr>
        <w:t>CML</w:t>
      </w:r>
      <w:r w:rsidR="00430121">
        <w:rPr>
          <w:rFonts w:ascii="Arial" w:eastAsia="Calibri" w:hAnsi="Arial" w:cs="Arial"/>
          <w:szCs w:val="22"/>
          <w:lang w:val="en-IN"/>
        </w:rPr>
        <w:t xml:space="preserve"> </w:t>
      </w:r>
      <w:r w:rsidR="00430121" w:rsidRPr="00430121">
        <w:rPr>
          <w:rFonts w:ascii="Arial" w:eastAsia="Calibri" w:hAnsi="Arial" w:cs="Arial"/>
          <w:szCs w:val="22"/>
          <w:highlight w:val="yellow"/>
          <w:lang w:val="en-IN"/>
        </w:rPr>
        <w:t xml:space="preserve">(without any circulating blasts in periphery or any excess blasts in Bone Marrow </w:t>
      </w:r>
      <w:proofErr w:type="spellStart"/>
      <w:r w:rsidR="00430121" w:rsidRPr="00430121">
        <w:rPr>
          <w:rFonts w:ascii="Arial" w:eastAsia="Calibri" w:hAnsi="Arial" w:cs="Arial"/>
          <w:szCs w:val="22"/>
          <w:highlight w:val="yellow"/>
          <w:lang w:val="en-IN"/>
        </w:rPr>
        <w:t>Biospy</w:t>
      </w:r>
      <w:proofErr w:type="spellEnd"/>
      <w:r w:rsidR="00430121" w:rsidRPr="00430121">
        <w:rPr>
          <w:rFonts w:ascii="Arial" w:eastAsia="Calibri" w:hAnsi="Arial" w:cs="Arial"/>
          <w:szCs w:val="22"/>
          <w:highlight w:val="yellow"/>
          <w:lang w:val="en-IN"/>
        </w:rPr>
        <w:t>)</w:t>
      </w:r>
      <w:r w:rsidRPr="006A5440">
        <w:rPr>
          <w:rFonts w:ascii="Arial" w:eastAsia="Calibri" w:hAnsi="Arial" w:cs="Arial"/>
          <w:szCs w:val="22"/>
          <w:lang w:val="en-IN"/>
        </w:rPr>
        <w:t xml:space="preserve"> </w:t>
      </w:r>
      <w:r w:rsidR="00430121">
        <w:rPr>
          <w:rFonts w:ascii="Arial" w:eastAsia="Calibri" w:hAnsi="Arial" w:cs="Arial"/>
          <w:szCs w:val="22"/>
          <w:lang w:val="en-IN"/>
        </w:rPr>
        <w:t xml:space="preserve">and later </w:t>
      </w:r>
      <w:r w:rsidRPr="006A5440">
        <w:rPr>
          <w:rFonts w:ascii="Arial" w:eastAsia="Calibri" w:hAnsi="Arial" w:cs="Arial"/>
          <w:szCs w:val="22"/>
          <w:lang w:val="en-IN"/>
        </w:rPr>
        <w:t>developing LC as sole extramedullary myeloid blast crisis</w:t>
      </w:r>
      <w:r w:rsidR="00430121">
        <w:rPr>
          <w:rFonts w:ascii="Arial" w:eastAsia="Calibri" w:hAnsi="Arial" w:cs="Arial"/>
          <w:szCs w:val="22"/>
          <w:lang w:val="en-IN"/>
        </w:rPr>
        <w:t xml:space="preserve"> </w:t>
      </w:r>
      <w:r w:rsidR="00430121" w:rsidRPr="00430121">
        <w:rPr>
          <w:rFonts w:ascii="Arial" w:eastAsia="Calibri" w:hAnsi="Arial" w:cs="Arial"/>
          <w:szCs w:val="22"/>
          <w:highlight w:val="yellow"/>
          <w:lang w:val="en-IN"/>
        </w:rPr>
        <w:t>(proven from skin biopsy and proper His</w:t>
      </w:r>
      <w:r w:rsidR="00921987">
        <w:rPr>
          <w:rFonts w:ascii="Arial" w:eastAsia="Calibri" w:hAnsi="Arial" w:cs="Arial"/>
          <w:szCs w:val="22"/>
          <w:highlight w:val="yellow"/>
          <w:lang w:val="en-IN"/>
        </w:rPr>
        <w:t>to</w:t>
      </w:r>
      <w:r w:rsidR="00430121" w:rsidRPr="00430121">
        <w:rPr>
          <w:rFonts w:ascii="Arial" w:eastAsia="Calibri" w:hAnsi="Arial" w:cs="Arial"/>
          <w:szCs w:val="22"/>
          <w:highlight w:val="yellow"/>
          <w:lang w:val="en-IN"/>
        </w:rPr>
        <w:t>pathological Examination with Immunohistochemistry)</w:t>
      </w:r>
      <w:r w:rsidRPr="006A5440">
        <w:rPr>
          <w:rFonts w:ascii="Arial" w:eastAsia="Calibri" w:hAnsi="Arial" w:cs="Arial"/>
          <w:szCs w:val="22"/>
          <w:lang w:val="en-IN"/>
        </w:rPr>
        <w:t xml:space="preserve"> and successfully treated with intensive chemotherapy.</w:t>
      </w:r>
    </w:p>
    <w:p w14:paraId="450BE4F2" w14:textId="35EB1761" w:rsidR="00790ADA" w:rsidRPr="00FB3A86" w:rsidRDefault="00790ADA" w:rsidP="006A5440">
      <w:pPr>
        <w:pStyle w:val="Body"/>
        <w:spacing w:after="0"/>
        <w:rPr>
          <w:rFonts w:ascii="Arial" w:hAnsi="Arial" w:cs="Arial"/>
        </w:rPr>
      </w:pPr>
    </w:p>
    <w:p w14:paraId="745AFD5D" w14:textId="36329480" w:rsidR="007F7B32" w:rsidRDefault="00902823" w:rsidP="00441B6F">
      <w:pPr>
        <w:pStyle w:val="AbstHead"/>
        <w:spacing w:after="0"/>
        <w:jc w:val="both"/>
        <w:rPr>
          <w:rFonts w:ascii="Arial" w:hAnsi="Arial" w:cs="Arial"/>
        </w:rPr>
      </w:pPr>
      <w:r>
        <w:rPr>
          <w:rFonts w:ascii="Arial" w:hAnsi="Arial" w:cs="Arial"/>
        </w:rPr>
        <w:t xml:space="preserve">2. </w:t>
      </w:r>
      <w:r w:rsidR="006A5440">
        <w:rPr>
          <w:rFonts w:ascii="Arial" w:hAnsi="Arial" w:cs="Arial"/>
        </w:rPr>
        <w:t xml:space="preserve">CASE </w:t>
      </w:r>
      <w:r w:rsidR="00921987">
        <w:rPr>
          <w:rFonts w:ascii="Arial" w:hAnsi="Arial" w:cs="Arial"/>
        </w:rPr>
        <w:t>REPORT:</w:t>
      </w:r>
    </w:p>
    <w:p w14:paraId="61B6D6BD" w14:textId="77777777" w:rsidR="00790ADA" w:rsidRPr="00FB3A86" w:rsidRDefault="00790ADA" w:rsidP="00441B6F">
      <w:pPr>
        <w:pStyle w:val="AbstHead"/>
        <w:spacing w:after="0"/>
        <w:jc w:val="both"/>
        <w:rPr>
          <w:rFonts w:ascii="Arial" w:hAnsi="Arial" w:cs="Arial"/>
        </w:rPr>
      </w:pPr>
    </w:p>
    <w:p w14:paraId="0DCB1F47" w14:textId="4AF9F536" w:rsidR="006A5440" w:rsidRPr="006A5440" w:rsidRDefault="006A5440" w:rsidP="006A5440">
      <w:pPr>
        <w:pStyle w:val="Body"/>
        <w:spacing w:after="0"/>
        <w:rPr>
          <w:rFonts w:ascii="Arial" w:hAnsi="Arial" w:cs="Arial"/>
          <w:lang w:val="en-IN"/>
        </w:rPr>
      </w:pPr>
      <w:r w:rsidRPr="006A5440">
        <w:rPr>
          <w:rFonts w:ascii="Arial" w:hAnsi="Arial" w:cs="Arial"/>
          <w:lang w:val="en-IN"/>
        </w:rPr>
        <w:t xml:space="preserve">A 34-year-old male with no known comorbidity presented with gradually progressive abdominal fullness, early satiety, weight loss over three months period; subsequently diagnosed as a case of CML-Chronic phase (CML-CP) 10 months </w:t>
      </w:r>
      <w:r w:rsidRPr="006A5440">
        <w:rPr>
          <w:rFonts w:ascii="Arial" w:hAnsi="Arial" w:cs="Arial"/>
          <w:lang w:val="en-IN"/>
        </w:rPr>
        <w:lastRenderedPageBreak/>
        <w:t>back and was put on 1</w:t>
      </w:r>
      <w:r w:rsidRPr="006A5440">
        <w:rPr>
          <w:rFonts w:ascii="Arial" w:hAnsi="Arial" w:cs="Arial"/>
          <w:vertAlign w:val="superscript"/>
          <w:lang w:val="en-IN"/>
        </w:rPr>
        <w:t>st</w:t>
      </w:r>
      <w:r w:rsidRPr="006A5440">
        <w:rPr>
          <w:rFonts w:ascii="Arial" w:hAnsi="Arial" w:cs="Arial"/>
          <w:lang w:val="en-IN"/>
        </w:rPr>
        <w:t xml:space="preserve"> generation tyrosine kinase inhibitor (TKI) imatinib 400 mg once daily. Two months after the initial diagnosis, he developed reddish discoloration of skin near the left flank of abdomen, which gradually leads to excoriation followed by ulceration. At this time, he also developed reddish nodule over left arm inner aspect, gradually increasing in size. On examination there was moderate pallor &amp; splenomegaly 4 cm below left costal margin. One granulomatous nodular skin lesion noted in left flank of approximately 5 x 6 cm size having central ulceration with everted &amp; necrotic margins (Fig. 1a</w:t>
      </w:r>
      <w:r w:rsidR="00921987" w:rsidRPr="006A5440">
        <w:rPr>
          <w:rFonts w:ascii="Arial" w:hAnsi="Arial" w:cs="Arial"/>
          <w:lang w:val="en-IN"/>
        </w:rPr>
        <w:t>). Two</w:t>
      </w:r>
      <w:r w:rsidRPr="006A5440">
        <w:rPr>
          <w:rFonts w:ascii="Arial" w:hAnsi="Arial" w:cs="Arial"/>
          <w:lang w:val="en-IN"/>
        </w:rPr>
        <w:t xml:space="preserve"> other nodular skin lesions also noted over left arm inner aspect (Fig. 1e</w:t>
      </w:r>
      <w:r w:rsidR="00921987" w:rsidRPr="006A5440">
        <w:rPr>
          <w:rFonts w:ascii="Arial" w:hAnsi="Arial" w:cs="Arial"/>
          <w:lang w:val="en-IN"/>
        </w:rPr>
        <w:t>). On</w:t>
      </w:r>
      <w:r w:rsidRPr="006A5440">
        <w:rPr>
          <w:rFonts w:ascii="Arial" w:hAnsi="Arial" w:cs="Arial"/>
          <w:lang w:val="en-IN"/>
        </w:rPr>
        <w:t xml:space="preserve"> Investigations, peripheral blood was free from blasts and further Bone Marrow Aspiration with biopsy revealed trilineage </w:t>
      </w:r>
      <w:proofErr w:type="spellStart"/>
      <w:r w:rsidRPr="006A5440">
        <w:rPr>
          <w:rFonts w:ascii="Arial" w:hAnsi="Arial" w:cs="Arial"/>
          <w:lang w:val="en-IN"/>
        </w:rPr>
        <w:t>hematopoiesis</w:t>
      </w:r>
      <w:proofErr w:type="spellEnd"/>
      <w:r w:rsidRPr="006A5440">
        <w:rPr>
          <w:rFonts w:ascii="Arial" w:hAnsi="Arial" w:cs="Arial"/>
          <w:lang w:val="en-IN"/>
        </w:rPr>
        <w:t xml:space="preserve">. For the skin lesions, differentials of LC, pyoderma gangrenosum, </w:t>
      </w:r>
      <w:proofErr w:type="spellStart"/>
      <w:r w:rsidR="00921987" w:rsidRPr="006A5440">
        <w:rPr>
          <w:rFonts w:ascii="Arial" w:hAnsi="Arial" w:cs="Arial"/>
          <w:lang w:val="en-IN"/>
        </w:rPr>
        <w:t>leukocytoclastic</w:t>
      </w:r>
      <w:proofErr w:type="spellEnd"/>
      <w:r w:rsidRPr="006A5440">
        <w:rPr>
          <w:rFonts w:ascii="Arial" w:hAnsi="Arial" w:cs="Arial"/>
          <w:lang w:val="en-IN"/>
        </w:rPr>
        <w:t xml:space="preserve"> vasculitis were considered and we proceeded with skin biopsy. Histopathological Examination revealed infiltration of dermis and epidermis by atypical mononuclear cell suggestive of myeloid precursor cells along with collection of immature myeloid cell in perineural and </w:t>
      </w:r>
      <w:r w:rsidR="00921987" w:rsidRPr="006A5440">
        <w:rPr>
          <w:rFonts w:ascii="Arial" w:hAnsi="Arial" w:cs="Arial"/>
          <w:lang w:val="en-IN"/>
        </w:rPr>
        <w:t>peri adnexal</w:t>
      </w:r>
      <w:r w:rsidRPr="006A5440">
        <w:rPr>
          <w:rFonts w:ascii="Arial" w:hAnsi="Arial" w:cs="Arial"/>
          <w:lang w:val="en-IN"/>
        </w:rPr>
        <w:t xml:space="preserve"> region of cuticular dermis (Fig. 2a, b).Immunohistochemical (IHC) analysis showed atypical cells focally positive for CD34, CD117, CD68 &amp; CD45 and </w:t>
      </w:r>
      <w:proofErr w:type="spellStart"/>
      <w:r w:rsidRPr="006A5440">
        <w:rPr>
          <w:rFonts w:ascii="Arial" w:hAnsi="Arial" w:cs="Arial"/>
          <w:lang w:val="en-IN"/>
        </w:rPr>
        <w:t>immunonegative</w:t>
      </w:r>
      <w:proofErr w:type="spellEnd"/>
      <w:r w:rsidRPr="006A5440">
        <w:rPr>
          <w:rFonts w:ascii="Arial" w:hAnsi="Arial" w:cs="Arial"/>
          <w:lang w:val="en-IN"/>
        </w:rPr>
        <w:t xml:space="preserve"> for cytokeratin, HMB 45, CD3 and CD20, consistent with the diagnosis of </w:t>
      </w:r>
      <w:proofErr w:type="spellStart"/>
      <w:r w:rsidRPr="006A5440">
        <w:rPr>
          <w:rFonts w:ascii="Arial" w:hAnsi="Arial" w:cs="Arial"/>
          <w:lang w:val="en-IN"/>
        </w:rPr>
        <w:t>leukemia</w:t>
      </w:r>
      <w:proofErr w:type="spellEnd"/>
      <w:r w:rsidRPr="006A5440">
        <w:rPr>
          <w:rFonts w:ascii="Arial" w:hAnsi="Arial" w:cs="Arial"/>
          <w:lang w:val="en-IN"/>
        </w:rPr>
        <w:t xml:space="preserve"> cutis/Myeloid sarcoma (Fig. 2c-h).To rule out central nervous system involvement, contrast enhanced magnetic resonance imaging of brain with spectroscopy was performed which was within normal limit and CSF was free from blasts.</w:t>
      </w:r>
    </w:p>
    <w:p w14:paraId="23E8D49B" w14:textId="3CFD875F" w:rsidR="00790ADA" w:rsidRDefault="006A5440" w:rsidP="006A5440">
      <w:pPr>
        <w:pStyle w:val="Body"/>
        <w:spacing w:after="0"/>
        <w:rPr>
          <w:rFonts w:ascii="Arial" w:hAnsi="Arial" w:cs="Arial"/>
          <w:lang w:val="en-IN"/>
        </w:rPr>
      </w:pPr>
      <w:r w:rsidRPr="006A5440">
        <w:rPr>
          <w:rFonts w:ascii="Arial" w:hAnsi="Arial" w:cs="Arial"/>
          <w:lang w:val="en-IN"/>
        </w:rPr>
        <w:t xml:space="preserve">A final diagnosis of isolated </w:t>
      </w:r>
      <w:r w:rsidRPr="003613C0">
        <w:rPr>
          <w:rFonts w:ascii="Arial" w:hAnsi="Arial" w:cs="Arial"/>
          <w:highlight w:val="yellow"/>
          <w:lang w:val="en-IN"/>
        </w:rPr>
        <w:t>extramedullary myeloid blast crisis in CML was made and patient was inducted with intensive systemic chemotherapy in the form of (3+7) regimen (</w:t>
      </w:r>
      <w:r w:rsidR="00921987" w:rsidRPr="003613C0">
        <w:rPr>
          <w:rFonts w:ascii="Arial" w:hAnsi="Arial" w:cs="Arial"/>
          <w:highlight w:val="yellow"/>
          <w:lang w:val="en-IN"/>
        </w:rPr>
        <w:t>daunorubicin</w:t>
      </w:r>
      <w:r w:rsidRPr="003613C0">
        <w:rPr>
          <w:rFonts w:ascii="Arial" w:hAnsi="Arial" w:cs="Arial"/>
          <w:highlight w:val="yellow"/>
          <w:lang w:val="en-IN"/>
        </w:rPr>
        <w:t xml:space="preserve"> 60mg/m</w:t>
      </w:r>
      <w:r w:rsidRPr="003613C0">
        <w:rPr>
          <w:rFonts w:ascii="Arial" w:hAnsi="Arial" w:cs="Arial"/>
          <w:highlight w:val="yellow"/>
          <w:vertAlign w:val="superscript"/>
          <w:lang w:val="en-IN"/>
        </w:rPr>
        <w:t>2</w:t>
      </w:r>
      <w:r w:rsidRPr="003613C0">
        <w:rPr>
          <w:rFonts w:ascii="Arial" w:hAnsi="Arial" w:cs="Arial"/>
          <w:highlight w:val="yellow"/>
          <w:lang w:val="en-IN"/>
        </w:rPr>
        <w:t xml:space="preserve"> for 3 days and cytarabine 100mg/m</w:t>
      </w:r>
      <w:r w:rsidRPr="003613C0">
        <w:rPr>
          <w:rFonts w:ascii="Arial" w:hAnsi="Arial" w:cs="Arial"/>
          <w:highlight w:val="yellow"/>
          <w:vertAlign w:val="superscript"/>
          <w:lang w:val="en-IN"/>
        </w:rPr>
        <w:t>2</w:t>
      </w:r>
      <w:r w:rsidRPr="003613C0">
        <w:rPr>
          <w:rFonts w:ascii="Arial" w:hAnsi="Arial" w:cs="Arial"/>
          <w:highlight w:val="yellow"/>
          <w:lang w:val="en-IN"/>
        </w:rPr>
        <w:t>/day over 7 days via continuous infusion) along with 2</w:t>
      </w:r>
      <w:r w:rsidRPr="003613C0">
        <w:rPr>
          <w:rFonts w:ascii="Arial" w:hAnsi="Arial" w:cs="Arial"/>
          <w:highlight w:val="yellow"/>
          <w:vertAlign w:val="superscript"/>
          <w:lang w:val="en-IN"/>
        </w:rPr>
        <w:t>nd</w:t>
      </w:r>
      <w:r w:rsidRPr="003613C0">
        <w:rPr>
          <w:rFonts w:ascii="Arial" w:hAnsi="Arial" w:cs="Arial"/>
          <w:highlight w:val="yellow"/>
          <w:lang w:val="en-IN"/>
        </w:rPr>
        <w:t xml:space="preserve"> generation TKI </w:t>
      </w:r>
      <w:proofErr w:type="spellStart"/>
      <w:r w:rsidRPr="003613C0">
        <w:rPr>
          <w:rFonts w:ascii="Arial" w:hAnsi="Arial" w:cs="Arial"/>
          <w:highlight w:val="yellow"/>
          <w:lang w:val="en-IN"/>
        </w:rPr>
        <w:t>dasatinib</w:t>
      </w:r>
      <w:proofErr w:type="spellEnd"/>
      <w:r w:rsidRPr="003613C0">
        <w:rPr>
          <w:rFonts w:ascii="Arial" w:hAnsi="Arial" w:cs="Arial"/>
          <w:highlight w:val="yellow"/>
          <w:lang w:val="en-IN"/>
        </w:rPr>
        <w:t xml:space="preserve"> 50mg once daily. The patient tolerated the chemotherapy well and his skin lesions gradually healed</w:t>
      </w:r>
      <w:r w:rsidRPr="006A5440">
        <w:rPr>
          <w:rFonts w:ascii="Arial" w:hAnsi="Arial" w:cs="Arial"/>
          <w:lang w:val="en-IN"/>
        </w:rPr>
        <w:t xml:space="preserve"> (Fig. 1b-d, f</w:t>
      </w:r>
      <w:r w:rsidR="00921987" w:rsidRPr="006A5440">
        <w:rPr>
          <w:rFonts w:ascii="Arial" w:hAnsi="Arial" w:cs="Arial"/>
          <w:lang w:val="en-IN"/>
        </w:rPr>
        <w:t>). Now</w:t>
      </w:r>
      <w:r w:rsidRPr="006A5440">
        <w:rPr>
          <w:rFonts w:ascii="Arial" w:hAnsi="Arial" w:cs="Arial"/>
          <w:lang w:val="en-IN"/>
        </w:rPr>
        <w:t xml:space="preserve"> the patient is being given consolidation with high dose cytarabine (</w:t>
      </w:r>
      <w:proofErr w:type="spellStart"/>
      <w:r w:rsidRPr="006A5440">
        <w:rPr>
          <w:rFonts w:ascii="Arial" w:hAnsi="Arial" w:cs="Arial"/>
          <w:lang w:val="en-IN"/>
        </w:rPr>
        <w:t>HiDAC</w:t>
      </w:r>
      <w:proofErr w:type="spellEnd"/>
      <w:r w:rsidRPr="006A5440">
        <w:rPr>
          <w:rFonts w:ascii="Arial" w:hAnsi="Arial" w:cs="Arial"/>
          <w:lang w:val="en-IN"/>
        </w:rPr>
        <w:t xml:space="preserve">) with </w:t>
      </w:r>
      <w:proofErr w:type="spellStart"/>
      <w:r w:rsidRPr="006A5440">
        <w:rPr>
          <w:rFonts w:ascii="Arial" w:hAnsi="Arial" w:cs="Arial"/>
          <w:lang w:val="en-IN"/>
        </w:rPr>
        <w:t>dasatinib</w:t>
      </w:r>
      <w:proofErr w:type="spellEnd"/>
      <w:r w:rsidRPr="006A5440">
        <w:rPr>
          <w:rFonts w:ascii="Arial" w:hAnsi="Arial" w:cs="Arial"/>
          <w:lang w:val="en-IN"/>
        </w:rPr>
        <w:t xml:space="preserve"> and performing well four months post LC diagnosis.</w:t>
      </w:r>
    </w:p>
    <w:p w14:paraId="2BD49441" w14:textId="77777777" w:rsidR="006A5440" w:rsidRPr="00FB3A86" w:rsidRDefault="006A5440" w:rsidP="006A5440">
      <w:pPr>
        <w:pStyle w:val="Body"/>
        <w:spacing w:after="0"/>
        <w:rPr>
          <w:rFonts w:ascii="Arial" w:hAnsi="Arial" w:cs="Arial"/>
        </w:rPr>
      </w:pPr>
    </w:p>
    <w:p w14:paraId="36310CAF" w14:textId="1A026624"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r w:rsidR="00987A78">
        <w:rPr>
          <w:rFonts w:ascii="Arial" w:hAnsi="Arial" w:cs="Arial"/>
        </w:rPr>
        <w:t>:</w:t>
      </w:r>
    </w:p>
    <w:p w14:paraId="12C06F44" w14:textId="77777777" w:rsidR="00790ADA" w:rsidRPr="00FB3A86" w:rsidRDefault="00790ADA" w:rsidP="00441B6F">
      <w:pPr>
        <w:pStyle w:val="Head1"/>
        <w:spacing w:after="0"/>
        <w:jc w:val="both"/>
        <w:rPr>
          <w:rFonts w:ascii="Arial" w:hAnsi="Arial" w:cs="Arial"/>
        </w:rPr>
      </w:pPr>
    </w:p>
    <w:p w14:paraId="61E5FF84" w14:textId="44C25D25" w:rsidR="006A5440" w:rsidRPr="006A5440" w:rsidRDefault="006A5440" w:rsidP="006A5440">
      <w:pPr>
        <w:pStyle w:val="Body"/>
        <w:spacing w:after="0"/>
        <w:rPr>
          <w:rFonts w:ascii="Arial" w:hAnsi="Arial" w:cs="Arial"/>
          <w:lang w:val="en-IN"/>
        </w:rPr>
      </w:pPr>
      <w:proofErr w:type="spellStart"/>
      <w:r w:rsidRPr="006A5440">
        <w:rPr>
          <w:rFonts w:ascii="Arial" w:hAnsi="Arial" w:cs="Arial"/>
          <w:lang w:val="en-IN"/>
        </w:rPr>
        <w:t>Leukemia</w:t>
      </w:r>
      <w:proofErr w:type="spellEnd"/>
      <w:r w:rsidRPr="006A5440">
        <w:rPr>
          <w:rFonts w:ascii="Arial" w:hAnsi="Arial" w:cs="Arial"/>
          <w:lang w:val="en-IN"/>
        </w:rPr>
        <w:t xml:space="preserve"> Cutis, though, usually diagnosed in the context of known </w:t>
      </w:r>
      <w:proofErr w:type="spellStart"/>
      <w:r w:rsidRPr="006A5440">
        <w:rPr>
          <w:rFonts w:ascii="Arial" w:hAnsi="Arial" w:cs="Arial"/>
          <w:lang w:val="en-IN"/>
        </w:rPr>
        <w:t>leukemia</w:t>
      </w:r>
      <w:proofErr w:type="spellEnd"/>
      <w:r w:rsidRPr="006A5440">
        <w:rPr>
          <w:rFonts w:ascii="Arial" w:hAnsi="Arial" w:cs="Arial"/>
          <w:lang w:val="en-IN"/>
        </w:rPr>
        <w:t xml:space="preserve"> (55-77% of cases) or during initial presentation (23-44% of cases) ,it might even precede systemic disease or may be the sole manifestation of the same (2-3% of cases) where it is termed as Aleukemic LC [3].</w:t>
      </w:r>
      <w:r w:rsidR="00195BDC" w:rsidRPr="00195BDC">
        <w:rPr>
          <w:rFonts w:ascii="Arial" w:hAnsi="Arial" w:cs="Arial"/>
          <w:highlight w:val="yellow"/>
          <w:lang w:val="en-IN"/>
        </w:rPr>
        <w:t xml:space="preserve">Virtually any </w:t>
      </w:r>
      <w:proofErr w:type="spellStart"/>
      <w:r w:rsidR="00195BDC" w:rsidRPr="00195BDC">
        <w:rPr>
          <w:rFonts w:ascii="Arial" w:hAnsi="Arial" w:cs="Arial"/>
          <w:highlight w:val="yellow"/>
          <w:lang w:val="en-IN"/>
        </w:rPr>
        <w:t>leukemia</w:t>
      </w:r>
      <w:proofErr w:type="spellEnd"/>
      <w:r w:rsidR="00195BDC" w:rsidRPr="00195BDC">
        <w:rPr>
          <w:rFonts w:ascii="Arial" w:hAnsi="Arial" w:cs="Arial"/>
          <w:highlight w:val="yellow"/>
          <w:lang w:val="en-IN"/>
        </w:rPr>
        <w:t xml:space="preserve"> can</w:t>
      </w:r>
      <w:r w:rsidR="00195BDC">
        <w:rPr>
          <w:rFonts w:ascii="Arial" w:hAnsi="Arial" w:cs="Arial"/>
          <w:lang w:val="en-IN"/>
        </w:rPr>
        <w:t xml:space="preserve"> </w:t>
      </w:r>
      <w:r w:rsidR="00195BDC" w:rsidRPr="00195BDC">
        <w:rPr>
          <w:rFonts w:ascii="Arial" w:hAnsi="Arial" w:cs="Arial"/>
          <w:highlight w:val="yellow"/>
          <w:lang w:val="en-IN"/>
        </w:rPr>
        <w:t>infiltrate skin</w:t>
      </w:r>
      <w:r w:rsidR="00195BDC" w:rsidRPr="00655F2C">
        <w:rPr>
          <w:rFonts w:ascii="Arial" w:hAnsi="Arial" w:cs="Arial"/>
          <w:highlight w:val="yellow"/>
          <w:lang w:val="en-IN"/>
        </w:rPr>
        <w:t>[1</w:t>
      </w:r>
      <w:r w:rsidR="00195BDC">
        <w:rPr>
          <w:rFonts w:ascii="Arial" w:hAnsi="Arial" w:cs="Arial"/>
          <w:highlight w:val="yellow"/>
          <w:lang w:val="en-IN"/>
        </w:rPr>
        <w:t>4</w:t>
      </w:r>
      <w:r w:rsidR="00195BDC" w:rsidRPr="00655F2C">
        <w:rPr>
          <w:rFonts w:ascii="Arial" w:hAnsi="Arial" w:cs="Arial"/>
          <w:highlight w:val="yellow"/>
          <w:lang w:val="en-IN"/>
        </w:rPr>
        <w:t>]</w:t>
      </w:r>
      <w:r w:rsidR="00195BDC">
        <w:rPr>
          <w:rFonts w:ascii="Arial" w:hAnsi="Arial" w:cs="Arial"/>
          <w:lang w:val="en-IN"/>
        </w:rPr>
        <w:t xml:space="preserve">.But, </w:t>
      </w:r>
      <w:r w:rsidRPr="006A5440">
        <w:rPr>
          <w:rFonts w:ascii="Arial" w:hAnsi="Arial" w:cs="Arial"/>
          <w:lang w:val="en-IN"/>
        </w:rPr>
        <w:t xml:space="preserve">Clinically &amp; histologically LC can be confused with a wide range of malignant (both </w:t>
      </w:r>
      <w:proofErr w:type="spellStart"/>
      <w:r w:rsidRPr="006A5440">
        <w:rPr>
          <w:rFonts w:ascii="Arial" w:hAnsi="Arial" w:cs="Arial"/>
          <w:lang w:val="en-IN"/>
        </w:rPr>
        <w:t>hematological</w:t>
      </w:r>
      <w:proofErr w:type="spellEnd"/>
      <w:r w:rsidRPr="006A5440">
        <w:rPr>
          <w:rFonts w:ascii="Arial" w:hAnsi="Arial" w:cs="Arial"/>
          <w:lang w:val="en-IN"/>
        </w:rPr>
        <w:t xml:space="preserve"> malignancies like sclerosing extramedullary hematopoietic </w:t>
      </w:r>
      <w:r w:rsidR="00921987" w:rsidRPr="006A5440">
        <w:rPr>
          <w:rFonts w:ascii="Arial" w:hAnsi="Arial" w:cs="Arial"/>
          <w:lang w:val="en-IN"/>
        </w:rPr>
        <w:t>tumour</w:t>
      </w:r>
      <w:r w:rsidRPr="006A5440">
        <w:rPr>
          <w:rFonts w:ascii="Arial" w:hAnsi="Arial" w:cs="Arial"/>
          <w:lang w:val="en-IN"/>
        </w:rPr>
        <w:t xml:space="preserve"> i.e. SEMHT, </w:t>
      </w:r>
      <w:proofErr w:type="spellStart"/>
      <w:r w:rsidRPr="006A5440">
        <w:rPr>
          <w:rFonts w:ascii="Arial" w:hAnsi="Arial" w:cs="Arial"/>
          <w:lang w:val="en-IN"/>
        </w:rPr>
        <w:t>blastic</w:t>
      </w:r>
      <w:proofErr w:type="spellEnd"/>
      <w:r w:rsidRPr="006A5440">
        <w:rPr>
          <w:rFonts w:ascii="Arial" w:hAnsi="Arial" w:cs="Arial"/>
          <w:lang w:val="en-IN"/>
        </w:rPr>
        <w:t xml:space="preserve"> plasmacytoid dendritic cell neoplasm i.e. BPDCN ; and non-</w:t>
      </w:r>
      <w:proofErr w:type="spellStart"/>
      <w:r w:rsidRPr="006A5440">
        <w:rPr>
          <w:rFonts w:ascii="Arial" w:hAnsi="Arial" w:cs="Arial"/>
          <w:lang w:val="en-IN"/>
        </w:rPr>
        <w:t>hematological</w:t>
      </w:r>
      <w:proofErr w:type="spellEnd"/>
      <w:r w:rsidRPr="006A5440">
        <w:rPr>
          <w:rFonts w:ascii="Arial" w:hAnsi="Arial" w:cs="Arial"/>
          <w:lang w:val="en-IN"/>
        </w:rPr>
        <w:t xml:space="preserve"> malignancies like </w:t>
      </w:r>
      <w:proofErr w:type="spellStart"/>
      <w:r w:rsidRPr="006A5440">
        <w:rPr>
          <w:rFonts w:ascii="Arial" w:hAnsi="Arial" w:cs="Arial"/>
          <w:lang w:val="en-IN"/>
        </w:rPr>
        <w:t>merkel</w:t>
      </w:r>
      <w:proofErr w:type="spellEnd"/>
      <w:r w:rsidRPr="006A5440">
        <w:rPr>
          <w:rFonts w:ascii="Arial" w:hAnsi="Arial" w:cs="Arial"/>
          <w:lang w:val="en-IN"/>
        </w:rPr>
        <w:t xml:space="preserve"> cell carcinoma, mesenchymal chondroblastoma etc.) [1]. and benign condition (like vasculitis, erythema nodosum, blistering dermatoses, herpesvirus disease etc.)  Hence the diagnosis of LC is often missed even after IHC </w:t>
      </w:r>
      <w:r w:rsidR="00921987" w:rsidRPr="006A5440">
        <w:rPr>
          <w:rFonts w:ascii="Arial" w:hAnsi="Arial" w:cs="Arial"/>
          <w:lang w:val="en-IN"/>
        </w:rPr>
        <w:t>as stains</w:t>
      </w:r>
      <w:r w:rsidRPr="006A5440">
        <w:rPr>
          <w:rFonts w:ascii="Arial" w:hAnsi="Arial" w:cs="Arial"/>
          <w:lang w:val="en-IN"/>
        </w:rPr>
        <w:t xml:space="preserve"> for </w:t>
      </w:r>
      <w:proofErr w:type="spellStart"/>
      <w:r w:rsidRPr="006A5440">
        <w:rPr>
          <w:rFonts w:ascii="Arial" w:hAnsi="Arial" w:cs="Arial"/>
          <w:lang w:val="en-IN"/>
        </w:rPr>
        <w:t>hematolymphoid</w:t>
      </w:r>
      <w:proofErr w:type="spellEnd"/>
      <w:r w:rsidRPr="006A5440">
        <w:rPr>
          <w:rFonts w:ascii="Arial" w:hAnsi="Arial" w:cs="Arial"/>
          <w:lang w:val="en-IN"/>
        </w:rPr>
        <w:t xml:space="preserve"> markers beyond CD45 (which may be dim or even negative in LC) are seldom performed [6]. First set of IHC markers in suspected LC should comprise &amp; characteristically reveal CD43+ CD45</w:t>
      </w:r>
      <w:r w:rsidR="00921987" w:rsidRPr="006A5440">
        <w:rPr>
          <w:rFonts w:ascii="Arial" w:hAnsi="Arial" w:cs="Arial"/>
          <w:lang w:val="en-IN"/>
        </w:rPr>
        <w:t>± INSM</w:t>
      </w:r>
      <w:r w:rsidRPr="006A5440">
        <w:rPr>
          <w:rFonts w:ascii="Arial" w:hAnsi="Arial" w:cs="Arial"/>
          <w:lang w:val="en-IN"/>
        </w:rPr>
        <w:t xml:space="preserve">1- Lysozyme± MPO± CK22- &amp; </w:t>
      </w:r>
      <w:proofErr w:type="spellStart"/>
      <w:r w:rsidRPr="006A5440">
        <w:rPr>
          <w:rFonts w:ascii="Arial" w:hAnsi="Arial" w:cs="Arial"/>
          <w:lang w:val="en-IN"/>
        </w:rPr>
        <w:t>TdT</w:t>
      </w:r>
      <w:proofErr w:type="spellEnd"/>
      <w:r w:rsidRPr="006A5440">
        <w:rPr>
          <w:rFonts w:ascii="Arial" w:hAnsi="Arial" w:cs="Arial"/>
          <w:lang w:val="en-IN"/>
        </w:rPr>
        <w:t xml:space="preserve">±. Further myeloid LC is </w:t>
      </w:r>
      <w:r w:rsidR="00921987" w:rsidRPr="006A5440">
        <w:rPr>
          <w:rFonts w:ascii="Arial" w:hAnsi="Arial" w:cs="Arial"/>
          <w:lang w:val="en-IN"/>
        </w:rPr>
        <w:t>favoured</w:t>
      </w:r>
      <w:r w:rsidRPr="006A5440">
        <w:rPr>
          <w:rFonts w:ascii="Arial" w:hAnsi="Arial" w:cs="Arial"/>
          <w:lang w:val="en-IN"/>
        </w:rPr>
        <w:t xml:space="preserve"> by positivity for CD14 CD68 CD117 lysozyme MPO or CD123/IRF8 with a negative CD3 CD20.As the final step, WHO-5/ICC 2022 diagnosis should be established [7].</w:t>
      </w:r>
    </w:p>
    <w:p w14:paraId="4F8861A4" w14:textId="46CD0EF0" w:rsidR="006A5440" w:rsidRPr="006A5440" w:rsidRDefault="006A5440" w:rsidP="006A5440">
      <w:pPr>
        <w:pStyle w:val="Body"/>
        <w:spacing w:after="0"/>
        <w:rPr>
          <w:rFonts w:ascii="Arial" w:hAnsi="Arial" w:cs="Arial"/>
          <w:lang w:val="en-IN"/>
        </w:rPr>
      </w:pPr>
      <w:r w:rsidRPr="00B2438F">
        <w:rPr>
          <w:rFonts w:ascii="Arial" w:hAnsi="Arial" w:cs="Arial"/>
          <w:highlight w:val="yellow"/>
          <w:lang w:val="en-IN"/>
        </w:rPr>
        <w:t xml:space="preserve">Skin infiltration in CML-CP is extremely rare, found in only 2-3% of cases and more common in </w:t>
      </w:r>
      <w:proofErr w:type="spellStart"/>
      <w:r w:rsidRPr="00B2438F">
        <w:rPr>
          <w:rFonts w:ascii="Arial" w:hAnsi="Arial" w:cs="Arial"/>
          <w:highlight w:val="yellow"/>
          <w:lang w:val="en-IN"/>
        </w:rPr>
        <w:t>blastic</w:t>
      </w:r>
      <w:proofErr w:type="spellEnd"/>
      <w:r w:rsidRPr="00B2438F">
        <w:rPr>
          <w:rFonts w:ascii="Arial" w:hAnsi="Arial" w:cs="Arial"/>
          <w:highlight w:val="yellow"/>
          <w:lang w:val="en-IN"/>
        </w:rPr>
        <w:t xml:space="preserve"> phase or might even precede blast crisis [8</w:t>
      </w:r>
      <w:r w:rsidR="00921987" w:rsidRPr="00B2438F">
        <w:rPr>
          <w:rFonts w:ascii="Arial" w:hAnsi="Arial" w:cs="Arial"/>
          <w:highlight w:val="yellow"/>
          <w:lang w:val="en-IN"/>
        </w:rPr>
        <w:t>]. In</w:t>
      </w:r>
      <w:r w:rsidRPr="00B2438F">
        <w:rPr>
          <w:rFonts w:ascii="Arial" w:hAnsi="Arial" w:cs="Arial"/>
          <w:highlight w:val="yellow"/>
          <w:lang w:val="en-IN"/>
        </w:rPr>
        <w:t xml:space="preserve"> the literature there are few reports of CML having LC which includes both lymphoblastoid as well as AML </w:t>
      </w:r>
      <w:proofErr w:type="spellStart"/>
      <w:r w:rsidRPr="00B2438F">
        <w:rPr>
          <w:rFonts w:ascii="Arial" w:hAnsi="Arial" w:cs="Arial"/>
          <w:highlight w:val="yellow"/>
          <w:lang w:val="en-IN"/>
        </w:rPr>
        <w:t>blastic</w:t>
      </w:r>
      <w:proofErr w:type="spellEnd"/>
      <w:r w:rsidRPr="00B2438F">
        <w:rPr>
          <w:rFonts w:ascii="Arial" w:hAnsi="Arial" w:cs="Arial"/>
          <w:highlight w:val="yellow"/>
          <w:lang w:val="en-IN"/>
        </w:rPr>
        <w:t xml:space="preserve"> transformation [9, 10].</w:t>
      </w:r>
      <w:r w:rsidRPr="006A5440">
        <w:rPr>
          <w:rFonts w:ascii="Arial" w:hAnsi="Arial" w:cs="Arial"/>
          <w:vertAlign w:val="superscript"/>
          <w:lang w:val="en-IN"/>
        </w:rPr>
        <w:t xml:space="preserve"> </w:t>
      </w:r>
      <w:r w:rsidRPr="00B2438F">
        <w:rPr>
          <w:rFonts w:ascii="Arial" w:hAnsi="Arial" w:cs="Arial"/>
          <w:highlight w:val="yellow"/>
          <w:lang w:val="en-IN"/>
        </w:rPr>
        <w:t xml:space="preserve">In a systematic review of 184 biopsy proven LC cases , CML constitutes only 2.7% of total cases ; overall average time of </w:t>
      </w:r>
      <w:proofErr w:type="spellStart"/>
      <w:r w:rsidRPr="00B2438F">
        <w:rPr>
          <w:rFonts w:ascii="Arial" w:hAnsi="Arial" w:cs="Arial"/>
          <w:highlight w:val="yellow"/>
          <w:lang w:val="en-IN"/>
        </w:rPr>
        <w:t>leukemia</w:t>
      </w:r>
      <w:proofErr w:type="spellEnd"/>
      <w:r w:rsidRPr="00B2438F">
        <w:rPr>
          <w:rFonts w:ascii="Arial" w:hAnsi="Arial" w:cs="Arial"/>
          <w:highlight w:val="yellow"/>
          <w:lang w:val="en-IN"/>
        </w:rPr>
        <w:t xml:space="preserve"> to LC diagnosis was 25.6 months (range 0-180 months), chemotherapy was the most common modality of treatment (81.9%)</w:t>
      </w:r>
      <w:r w:rsidRPr="006A5440">
        <w:rPr>
          <w:rFonts w:ascii="Arial" w:hAnsi="Arial" w:cs="Arial"/>
          <w:lang w:val="en-IN"/>
        </w:rPr>
        <w:t xml:space="preserve"> and with a 11 months mean follow up  duration (range 1 day -100 months), only 33.15% patients were alive having an average duration of </w:t>
      </w:r>
      <w:proofErr w:type="spellStart"/>
      <w:r w:rsidRPr="006A5440">
        <w:rPr>
          <w:rFonts w:ascii="Arial" w:hAnsi="Arial" w:cs="Arial"/>
          <w:lang w:val="en-IN"/>
        </w:rPr>
        <w:t>leukemia</w:t>
      </w:r>
      <w:proofErr w:type="spellEnd"/>
      <w:r w:rsidRPr="006A5440">
        <w:rPr>
          <w:rFonts w:ascii="Arial" w:hAnsi="Arial" w:cs="Arial"/>
          <w:lang w:val="en-IN"/>
        </w:rPr>
        <w:t xml:space="preserve"> diagnosis to death ranged from 1.75 – 10.3 months [4].</w:t>
      </w:r>
      <w:r w:rsidR="00655F2C" w:rsidRPr="00655F2C">
        <w:rPr>
          <w:rFonts w:ascii="Arial" w:hAnsi="Arial" w:cs="Arial"/>
          <w:highlight w:val="yellow"/>
          <w:lang w:val="en-IN"/>
        </w:rPr>
        <w:t xml:space="preserve">The frequency of LC might differ as per age and </w:t>
      </w:r>
      <w:proofErr w:type="spellStart"/>
      <w:r w:rsidR="00655F2C" w:rsidRPr="00655F2C">
        <w:rPr>
          <w:rFonts w:ascii="Arial" w:hAnsi="Arial" w:cs="Arial"/>
          <w:highlight w:val="yellow"/>
          <w:lang w:val="en-IN"/>
        </w:rPr>
        <w:t>leukemia</w:t>
      </w:r>
      <w:proofErr w:type="spellEnd"/>
      <w:r w:rsidR="00655F2C" w:rsidRPr="00655F2C">
        <w:rPr>
          <w:rFonts w:ascii="Arial" w:hAnsi="Arial" w:cs="Arial"/>
          <w:highlight w:val="yellow"/>
          <w:lang w:val="en-IN"/>
        </w:rPr>
        <w:t xml:space="preserve"> subtype [13],</w:t>
      </w:r>
      <w:r w:rsidR="00655F2C">
        <w:rPr>
          <w:rFonts w:ascii="Arial" w:hAnsi="Arial" w:cs="Arial"/>
          <w:lang w:val="en-IN"/>
        </w:rPr>
        <w:t xml:space="preserve">but </w:t>
      </w:r>
      <w:r w:rsidRPr="006A5440">
        <w:rPr>
          <w:rFonts w:ascii="Arial" w:hAnsi="Arial" w:cs="Arial"/>
          <w:lang w:val="en-IN"/>
        </w:rPr>
        <w:t>median survival of LC patients was 7.2 months</w:t>
      </w:r>
      <w:r w:rsidR="00655F2C">
        <w:rPr>
          <w:rFonts w:ascii="Arial" w:hAnsi="Arial" w:cs="Arial"/>
          <w:lang w:val="en-IN"/>
        </w:rPr>
        <w:t xml:space="preserve"> in a recent study</w:t>
      </w:r>
      <w:r w:rsidRPr="006A5440">
        <w:rPr>
          <w:rFonts w:ascii="Arial" w:hAnsi="Arial" w:cs="Arial"/>
          <w:lang w:val="en-IN"/>
        </w:rPr>
        <w:t xml:space="preserve">, with no statistically significant difference among underlying </w:t>
      </w:r>
      <w:proofErr w:type="spellStart"/>
      <w:r w:rsidRPr="006A5440">
        <w:rPr>
          <w:rFonts w:ascii="Arial" w:hAnsi="Arial" w:cs="Arial"/>
          <w:lang w:val="en-IN"/>
        </w:rPr>
        <w:t>leukemia</w:t>
      </w:r>
      <w:proofErr w:type="spellEnd"/>
      <w:r w:rsidRPr="006A5440">
        <w:rPr>
          <w:rFonts w:ascii="Arial" w:hAnsi="Arial" w:cs="Arial"/>
          <w:lang w:val="en-IN"/>
        </w:rPr>
        <w:t xml:space="preserve"> subtypes [11].In another study, 93% of LC patients died within 10 months of diagnosis [8].Therapeutic approach to LC encompasses systemic chemotherapy based on underlying </w:t>
      </w:r>
      <w:proofErr w:type="spellStart"/>
      <w:r w:rsidRPr="006A5440">
        <w:rPr>
          <w:rFonts w:ascii="Arial" w:hAnsi="Arial" w:cs="Arial"/>
          <w:lang w:val="en-IN"/>
        </w:rPr>
        <w:t>leukemia</w:t>
      </w:r>
      <w:proofErr w:type="spellEnd"/>
      <w:r w:rsidRPr="006A5440">
        <w:rPr>
          <w:rFonts w:ascii="Arial" w:hAnsi="Arial" w:cs="Arial"/>
          <w:lang w:val="en-IN"/>
        </w:rPr>
        <w:t>. In cases resistant to chemotherapy (or contraindicated), radiotherapy (total skin electron beam therapy) may achieve remission [12].</w:t>
      </w:r>
    </w:p>
    <w:p w14:paraId="5738BFFE" w14:textId="525354B8" w:rsidR="00C30A0F" w:rsidRPr="006A5440" w:rsidRDefault="00C30A0F" w:rsidP="00441B6F">
      <w:pPr>
        <w:pStyle w:val="Body"/>
        <w:spacing w:after="0"/>
        <w:rPr>
          <w:rFonts w:ascii="Arial" w:hAnsi="Arial" w:cs="Arial"/>
          <w:lang w:val="en-IN"/>
        </w:rPr>
      </w:pPr>
    </w:p>
    <w:p w14:paraId="372A5701" w14:textId="77777777" w:rsidR="00E053D0" w:rsidRDefault="00E053D0" w:rsidP="00441B6F">
      <w:pPr>
        <w:pStyle w:val="Body"/>
        <w:spacing w:after="0"/>
        <w:rPr>
          <w:rFonts w:ascii="Arial" w:hAnsi="Arial" w:cs="Arial"/>
        </w:rPr>
      </w:pPr>
    </w:p>
    <w:p w14:paraId="6E589222" w14:textId="77777777" w:rsidR="00790ADA" w:rsidRPr="00FB3A86" w:rsidRDefault="00790ADA" w:rsidP="00441B6F">
      <w:pPr>
        <w:pStyle w:val="Body"/>
        <w:spacing w:after="0"/>
        <w:rPr>
          <w:rFonts w:ascii="Arial" w:hAnsi="Arial" w:cs="Arial"/>
        </w:rPr>
      </w:pPr>
    </w:p>
    <w:p w14:paraId="56EB1B36" w14:textId="72D35B29"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r w:rsidR="00D80DC5">
        <w:rPr>
          <w:rFonts w:ascii="Arial" w:hAnsi="Arial" w:cs="Arial"/>
        </w:rPr>
        <w:t>:</w:t>
      </w:r>
      <w:bookmarkStart w:id="0" w:name="_GoBack"/>
      <w:bookmarkEnd w:id="0"/>
    </w:p>
    <w:p w14:paraId="147FC002" w14:textId="77777777" w:rsidR="00790ADA" w:rsidRPr="00FB3A86" w:rsidRDefault="00790ADA" w:rsidP="00441B6F">
      <w:pPr>
        <w:pStyle w:val="ConcHead"/>
        <w:spacing w:after="0"/>
        <w:jc w:val="both"/>
        <w:rPr>
          <w:rFonts w:ascii="Arial" w:hAnsi="Arial" w:cs="Arial"/>
        </w:rPr>
      </w:pPr>
    </w:p>
    <w:p w14:paraId="01CF49C0" w14:textId="77777777" w:rsidR="006A5440" w:rsidRPr="006A5440" w:rsidRDefault="006A5440" w:rsidP="006A5440">
      <w:pPr>
        <w:pStyle w:val="Body"/>
        <w:spacing w:after="0"/>
        <w:rPr>
          <w:rFonts w:ascii="Arial" w:hAnsi="Arial" w:cs="Arial"/>
          <w:lang w:val="en-IN"/>
        </w:rPr>
      </w:pPr>
      <w:r w:rsidRPr="006A5440">
        <w:rPr>
          <w:rFonts w:ascii="Arial" w:hAnsi="Arial" w:cs="Arial"/>
          <w:lang w:val="en-IN"/>
        </w:rPr>
        <w:t xml:space="preserve">As </w:t>
      </w:r>
      <w:proofErr w:type="spellStart"/>
      <w:r w:rsidRPr="006A5440">
        <w:rPr>
          <w:rFonts w:ascii="Arial" w:hAnsi="Arial" w:cs="Arial"/>
          <w:lang w:val="en-IN"/>
        </w:rPr>
        <w:t>Leukemia</w:t>
      </w:r>
      <w:proofErr w:type="spellEnd"/>
      <w:r w:rsidRPr="006A5440">
        <w:rPr>
          <w:rFonts w:ascii="Arial" w:hAnsi="Arial" w:cs="Arial"/>
          <w:lang w:val="en-IN"/>
        </w:rPr>
        <w:t xml:space="preserve"> Cutis is invariably associated with a dismal prognosis and its difficulty in diagnosis due to rarity, paucity of data and close mimicry with other differentials, Clinicians as well as pathologists should be very vigilant in suspected cases and should always advise skin biopsy before proceeding to any therapy. In clinically contextless LC cases, especially in aleukemic LC, an algorithm based diagnostic approach is, therefore, strongly recommended.  Early recognition and prompt initiation of appropriate chemotherapy might alter disease progression and prolong survival. </w:t>
      </w:r>
    </w:p>
    <w:p w14:paraId="42E4166C" w14:textId="77777777" w:rsidR="002B685A" w:rsidRDefault="002B685A" w:rsidP="00441B6F">
      <w:pPr>
        <w:pStyle w:val="ReferHead"/>
        <w:spacing w:after="0"/>
        <w:jc w:val="both"/>
        <w:rPr>
          <w:rFonts w:ascii="Arial" w:hAnsi="Arial" w:cs="Arial"/>
          <w:b w:val="0"/>
          <w:caps w:val="0"/>
          <w:sz w:val="20"/>
        </w:rPr>
      </w:pPr>
    </w:p>
    <w:p w14:paraId="433D068D"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173121F2" w14:textId="77777777" w:rsidR="002B685A" w:rsidRPr="002B685A" w:rsidRDefault="002B685A" w:rsidP="00441B6F">
      <w:pPr>
        <w:pStyle w:val="ReferHead"/>
        <w:spacing w:after="0"/>
        <w:jc w:val="both"/>
        <w:rPr>
          <w:rFonts w:ascii="Arial" w:hAnsi="Arial" w:cs="Arial"/>
          <w:bCs/>
        </w:rPr>
      </w:pPr>
    </w:p>
    <w:p w14:paraId="2AB1D0B2" w14:textId="37B4AA4C" w:rsidR="001A29D8" w:rsidRPr="000A086F" w:rsidRDefault="001A29D8" w:rsidP="00441B6F">
      <w:pPr>
        <w:pStyle w:val="ReferHead"/>
        <w:spacing w:after="0"/>
        <w:jc w:val="both"/>
        <w:rPr>
          <w:rFonts w:ascii="Arial" w:hAnsi="Arial" w:cs="Arial"/>
          <w:b w:val="0"/>
          <w:caps w:val="0"/>
          <w:sz w:val="20"/>
        </w:rPr>
      </w:pPr>
      <w:r w:rsidRPr="000A086F">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02A00054" w14:textId="77777777" w:rsidR="001A29D8" w:rsidRDefault="001A29D8" w:rsidP="00441B6F">
      <w:pPr>
        <w:pStyle w:val="ReferHead"/>
        <w:spacing w:after="0"/>
        <w:jc w:val="both"/>
        <w:rPr>
          <w:rFonts w:ascii="Arial" w:hAnsi="Arial" w:cs="Arial"/>
          <w:b w:val="0"/>
          <w:caps w:val="0"/>
          <w:sz w:val="20"/>
        </w:rPr>
      </w:pPr>
    </w:p>
    <w:p w14:paraId="4F394AD1" w14:textId="77777777" w:rsidR="005C784C" w:rsidRDefault="005C784C" w:rsidP="00441B6F">
      <w:pPr>
        <w:pStyle w:val="ReferHead"/>
        <w:spacing w:after="0"/>
        <w:jc w:val="both"/>
        <w:rPr>
          <w:rFonts w:ascii="Arial" w:hAnsi="Arial" w:cs="Arial"/>
          <w:b w:val="0"/>
          <w:caps w:val="0"/>
          <w:sz w:val="20"/>
        </w:rPr>
      </w:pPr>
    </w:p>
    <w:p w14:paraId="63F80586"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3CF8CF1B" w14:textId="77777777" w:rsidR="005C784C" w:rsidRPr="002B685A" w:rsidRDefault="005C784C" w:rsidP="00441B6F">
      <w:pPr>
        <w:pStyle w:val="ReferHead"/>
        <w:spacing w:after="0"/>
        <w:jc w:val="both"/>
        <w:rPr>
          <w:rFonts w:ascii="Arial" w:hAnsi="Arial" w:cs="Arial"/>
          <w:bCs/>
        </w:rPr>
      </w:pPr>
    </w:p>
    <w:p w14:paraId="676DF044" w14:textId="197C8857" w:rsidR="00B2438F" w:rsidRDefault="00DB446E" w:rsidP="00441B6F">
      <w:pPr>
        <w:pStyle w:val="ReferHead"/>
        <w:spacing w:after="0"/>
        <w:jc w:val="both"/>
        <w:rPr>
          <w:rFonts w:ascii="Arial" w:hAnsi="Arial" w:cs="Arial"/>
          <w:b w:val="0"/>
          <w:caps w:val="0"/>
          <w:sz w:val="20"/>
        </w:rPr>
      </w:pPr>
      <w:r w:rsidRPr="00DB446E">
        <w:rPr>
          <w:rFonts w:ascii="Arial" w:hAnsi="Arial" w:cs="Arial"/>
          <w:b w:val="0"/>
          <w:caps w:val="0"/>
          <w:sz w:val="20"/>
        </w:rPr>
        <w:t>As per international standards or university standards written ethical approval has been collected and preserved by the author(s).</w:t>
      </w:r>
    </w:p>
    <w:p w14:paraId="4E6F2D4E" w14:textId="77777777" w:rsidR="00B2438F" w:rsidRDefault="00B2438F" w:rsidP="00441B6F">
      <w:pPr>
        <w:pStyle w:val="ReferHead"/>
        <w:spacing w:after="0"/>
        <w:jc w:val="both"/>
        <w:rPr>
          <w:rFonts w:ascii="Arial" w:hAnsi="Arial" w:cs="Arial"/>
          <w:b w:val="0"/>
          <w:caps w:val="0"/>
          <w:sz w:val="20"/>
        </w:rPr>
      </w:pPr>
    </w:p>
    <w:p w14:paraId="53CF0916" w14:textId="4AC03FFD" w:rsidR="00B2438F" w:rsidRPr="00B2438F" w:rsidRDefault="00B2438F" w:rsidP="00441B6F">
      <w:pPr>
        <w:pStyle w:val="ReferHead"/>
        <w:spacing w:after="0"/>
        <w:jc w:val="both"/>
        <w:rPr>
          <w:rFonts w:ascii="Arial" w:hAnsi="Arial" w:cs="Arial"/>
          <w:b w:val="0"/>
          <w:caps w:val="0"/>
          <w:sz w:val="20"/>
          <w:highlight w:val="yellow"/>
        </w:rPr>
      </w:pPr>
      <w:proofErr w:type="gramStart"/>
      <w:r w:rsidRPr="00B2438F">
        <w:rPr>
          <w:rFonts w:ascii="Arial" w:hAnsi="Arial" w:cs="Arial"/>
          <w:b w:val="0"/>
          <w:caps w:val="0"/>
          <w:sz w:val="20"/>
          <w:highlight w:val="yellow"/>
        </w:rPr>
        <w:t>DISCLAIMER :</w:t>
      </w:r>
      <w:proofErr w:type="gramEnd"/>
    </w:p>
    <w:p w14:paraId="24183B69" w14:textId="012D2ABA" w:rsidR="00B2438F" w:rsidRDefault="00B2438F" w:rsidP="00441B6F">
      <w:pPr>
        <w:pStyle w:val="ReferHead"/>
        <w:spacing w:after="0"/>
        <w:jc w:val="both"/>
        <w:rPr>
          <w:rFonts w:ascii="Arial" w:hAnsi="Arial" w:cs="Arial"/>
          <w:b w:val="0"/>
          <w:caps w:val="0"/>
          <w:sz w:val="20"/>
        </w:rPr>
      </w:pPr>
      <w:r w:rsidRPr="00B2438F">
        <w:rPr>
          <w:rFonts w:ascii="Arial" w:hAnsi="Arial" w:cs="Arial"/>
          <w:b w:val="0"/>
          <w:caps w:val="0"/>
          <w:sz w:val="20"/>
          <w:highlight w:val="yellow"/>
        </w:rPr>
        <w:t xml:space="preserve">The Authors hereby declare that no forms of Artificial Intelligence (including any </w:t>
      </w:r>
      <w:proofErr w:type="gramStart"/>
      <w:r w:rsidRPr="00B2438F">
        <w:rPr>
          <w:rFonts w:ascii="Arial" w:hAnsi="Arial" w:cs="Arial"/>
          <w:b w:val="0"/>
          <w:caps w:val="0"/>
          <w:sz w:val="20"/>
          <w:highlight w:val="yellow"/>
        </w:rPr>
        <w:t>language based</w:t>
      </w:r>
      <w:proofErr w:type="gramEnd"/>
      <w:r w:rsidRPr="00B2438F">
        <w:rPr>
          <w:rFonts w:ascii="Arial" w:hAnsi="Arial" w:cs="Arial"/>
          <w:b w:val="0"/>
          <w:caps w:val="0"/>
          <w:sz w:val="20"/>
          <w:highlight w:val="yellow"/>
        </w:rPr>
        <w:t xml:space="preserve"> models or text to image generators) has been used while writing or editing this manuscript.</w:t>
      </w:r>
      <w:r>
        <w:rPr>
          <w:rFonts w:ascii="Arial" w:hAnsi="Arial" w:cs="Arial"/>
          <w:b w:val="0"/>
          <w:caps w:val="0"/>
          <w:sz w:val="20"/>
        </w:rPr>
        <w:t xml:space="preserve"> </w:t>
      </w:r>
    </w:p>
    <w:p w14:paraId="4BB28943" w14:textId="1B48B159" w:rsidR="007171B6" w:rsidRDefault="007171B6" w:rsidP="00441B6F">
      <w:pPr>
        <w:pStyle w:val="ReferHead"/>
        <w:spacing w:after="0"/>
        <w:jc w:val="both"/>
        <w:rPr>
          <w:rFonts w:ascii="Arial" w:hAnsi="Arial" w:cs="Arial"/>
        </w:rPr>
      </w:pPr>
    </w:p>
    <w:p w14:paraId="4EC86D49" w14:textId="7A156E12" w:rsidR="007171B6" w:rsidRDefault="007171B6" w:rsidP="00441B6F">
      <w:pPr>
        <w:pStyle w:val="ReferHead"/>
        <w:spacing w:after="0"/>
        <w:jc w:val="both"/>
        <w:rPr>
          <w:rFonts w:ascii="Arial" w:hAnsi="Arial" w:cs="Arial"/>
        </w:rPr>
      </w:pPr>
    </w:p>
    <w:p w14:paraId="232C9F9A" w14:textId="01F3A28D" w:rsidR="007171B6" w:rsidRDefault="007171B6" w:rsidP="00441B6F">
      <w:pPr>
        <w:pStyle w:val="ReferHead"/>
        <w:spacing w:after="0"/>
        <w:jc w:val="both"/>
        <w:rPr>
          <w:rFonts w:ascii="Arial" w:hAnsi="Arial" w:cs="Arial"/>
        </w:rPr>
      </w:pPr>
    </w:p>
    <w:p w14:paraId="7AAFB943" w14:textId="42632877" w:rsidR="007171B6" w:rsidRDefault="007171B6" w:rsidP="00441B6F">
      <w:pPr>
        <w:pStyle w:val="ReferHead"/>
        <w:spacing w:after="0"/>
        <w:jc w:val="both"/>
        <w:rPr>
          <w:rFonts w:ascii="Arial" w:hAnsi="Arial" w:cs="Arial"/>
        </w:rPr>
      </w:pPr>
    </w:p>
    <w:p w14:paraId="71144800" w14:textId="321B21FC" w:rsidR="007171B6" w:rsidRDefault="007171B6">
      <w:pPr>
        <w:rPr>
          <w:rFonts w:ascii="Arial" w:hAnsi="Arial" w:cs="Arial"/>
          <w:b/>
          <w:caps/>
          <w:sz w:val="22"/>
        </w:rPr>
      </w:pPr>
      <w:r>
        <w:rPr>
          <w:rFonts w:ascii="Arial" w:hAnsi="Arial" w:cs="Arial"/>
        </w:rPr>
        <w:br w:type="page"/>
      </w:r>
    </w:p>
    <w:p w14:paraId="562D2290" w14:textId="77777777" w:rsidR="00B01FCD" w:rsidRDefault="00B01FCD" w:rsidP="00441B6F">
      <w:pPr>
        <w:pStyle w:val="ReferHead"/>
        <w:spacing w:after="0"/>
        <w:jc w:val="both"/>
        <w:rPr>
          <w:rFonts w:ascii="Arial" w:hAnsi="Arial" w:cs="Arial"/>
        </w:rPr>
      </w:pPr>
      <w:r w:rsidRPr="00FB3A86">
        <w:rPr>
          <w:rFonts w:ascii="Arial" w:hAnsi="Arial" w:cs="Arial"/>
        </w:rPr>
        <w:lastRenderedPageBreak/>
        <w:t>References</w:t>
      </w:r>
    </w:p>
    <w:p w14:paraId="1C93E23B" w14:textId="77777777" w:rsidR="00790ADA" w:rsidRPr="00FB3A86" w:rsidRDefault="00790ADA" w:rsidP="00441B6F">
      <w:pPr>
        <w:pStyle w:val="ReferHead"/>
        <w:spacing w:after="0"/>
        <w:jc w:val="both"/>
        <w:rPr>
          <w:rFonts w:ascii="Arial" w:hAnsi="Arial" w:cs="Arial"/>
        </w:rPr>
      </w:pPr>
    </w:p>
    <w:p w14:paraId="06E21812" w14:textId="77777777" w:rsidR="000A086F" w:rsidRPr="000A086F" w:rsidRDefault="000A086F" w:rsidP="000A086F">
      <w:pPr>
        <w:pStyle w:val="Body"/>
        <w:numPr>
          <w:ilvl w:val="0"/>
          <w:numId w:val="31"/>
        </w:numPr>
        <w:spacing w:after="0"/>
        <w:jc w:val="left"/>
        <w:rPr>
          <w:lang w:val="en-IN"/>
        </w:rPr>
      </w:pPr>
      <w:r w:rsidRPr="000A086F">
        <w:rPr>
          <w:lang w:val="en-IN"/>
        </w:rPr>
        <w:t xml:space="preserve">Alex </w:t>
      </w:r>
      <w:proofErr w:type="spellStart"/>
      <w:r w:rsidRPr="000A086F">
        <w:rPr>
          <w:lang w:val="en-IN"/>
        </w:rPr>
        <w:t>Jenei</w:t>
      </w:r>
      <w:proofErr w:type="spellEnd"/>
      <w:r w:rsidRPr="000A086F">
        <w:rPr>
          <w:lang w:val="en-IN"/>
        </w:rPr>
        <w:t xml:space="preserve">, </w:t>
      </w:r>
      <w:proofErr w:type="spellStart"/>
      <w:r w:rsidRPr="000A086F">
        <w:rPr>
          <w:lang w:val="en-IN"/>
        </w:rPr>
        <w:t>Alexandar</w:t>
      </w:r>
      <w:proofErr w:type="spellEnd"/>
      <w:r w:rsidRPr="000A086F">
        <w:rPr>
          <w:lang w:val="en-IN"/>
        </w:rPr>
        <w:t xml:space="preserve"> </w:t>
      </w:r>
      <w:proofErr w:type="spellStart"/>
      <w:r w:rsidRPr="000A086F">
        <w:rPr>
          <w:lang w:val="en-IN"/>
        </w:rPr>
        <w:t>Tzankov</w:t>
      </w:r>
      <w:proofErr w:type="spellEnd"/>
      <w:r w:rsidRPr="000A086F">
        <w:rPr>
          <w:lang w:val="en-IN"/>
        </w:rPr>
        <w:t>, Diagnostic approach to </w:t>
      </w:r>
      <w:proofErr w:type="spellStart"/>
      <w:r w:rsidRPr="000A086F">
        <w:rPr>
          <w:i/>
          <w:iCs/>
          <w:lang w:val="en-IN"/>
        </w:rPr>
        <w:t>leukemia</w:t>
      </w:r>
      <w:proofErr w:type="spellEnd"/>
      <w:r w:rsidRPr="000A086F">
        <w:rPr>
          <w:i/>
          <w:iCs/>
          <w:lang w:val="en-IN"/>
        </w:rPr>
        <w:t xml:space="preserve"> cutis</w:t>
      </w:r>
      <w:r w:rsidRPr="000A086F">
        <w:rPr>
          <w:lang w:val="en-IN"/>
        </w:rPr>
        <w:t>: A differential diagnostic step-by-step algorithm, </w:t>
      </w:r>
      <w:r w:rsidRPr="000A086F">
        <w:rPr>
          <w:i/>
          <w:iCs/>
          <w:lang w:val="en-IN"/>
        </w:rPr>
        <w:t>American Journal of Clinical Pathology</w:t>
      </w:r>
      <w:r w:rsidRPr="000A086F">
        <w:rPr>
          <w:lang w:val="en-IN"/>
        </w:rPr>
        <w:t xml:space="preserve">, </w:t>
      </w:r>
      <w:proofErr w:type="gramStart"/>
      <w:r w:rsidRPr="000A086F">
        <w:rPr>
          <w:lang w:val="en-IN"/>
        </w:rPr>
        <w:t>2024;,</w:t>
      </w:r>
      <w:proofErr w:type="gramEnd"/>
      <w:r w:rsidRPr="000A086F">
        <w:rPr>
          <w:lang w:val="en-IN"/>
        </w:rPr>
        <w:t xml:space="preserve"> aqae133. </w:t>
      </w:r>
      <w:hyperlink r:id="rId14" w:history="1">
        <w:r w:rsidRPr="000A086F">
          <w:rPr>
            <w:rStyle w:val="Hyperlink"/>
            <w:lang w:val="en-IN"/>
          </w:rPr>
          <w:t>https://doi.org/10.1093/ajcp/aqae133</w:t>
        </w:r>
      </w:hyperlink>
    </w:p>
    <w:p w14:paraId="2AC21327" w14:textId="77777777" w:rsidR="000A086F" w:rsidRPr="000A086F" w:rsidRDefault="000A086F" w:rsidP="000A086F">
      <w:pPr>
        <w:pStyle w:val="Body"/>
        <w:numPr>
          <w:ilvl w:val="0"/>
          <w:numId w:val="31"/>
        </w:numPr>
        <w:spacing w:after="0"/>
        <w:jc w:val="left"/>
        <w:rPr>
          <w:lang w:val="en-IN"/>
        </w:rPr>
      </w:pPr>
      <w:r w:rsidRPr="000A086F">
        <w:rPr>
          <w:lang w:val="en-IN"/>
        </w:rPr>
        <w:t xml:space="preserve"> Cho-Vega JH, Medeiros LJ, Prieto VG, Vega F. </w:t>
      </w:r>
      <w:proofErr w:type="spellStart"/>
      <w:r w:rsidRPr="000A086F">
        <w:rPr>
          <w:lang w:val="en-IN"/>
        </w:rPr>
        <w:t>Leukemia</w:t>
      </w:r>
      <w:proofErr w:type="spellEnd"/>
      <w:r w:rsidRPr="000A086F">
        <w:rPr>
          <w:lang w:val="en-IN"/>
        </w:rPr>
        <w:t xml:space="preserve"> cutis. Am J Clin </w:t>
      </w:r>
      <w:proofErr w:type="spellStart"/>
      <w:r w:rsidRPr="000A086F">
        <w:rPr>
          <w:lang w:val="en-IN"/>
        </w:rPr>
        <w:t>Pathol</w:t>
      </w:r>
      <w:proofErr w:type="spellEnd"/>
      <w:r w:rsidRPr="000A086F">
        <w:rPr>
          <w:lang w:val="en-IN"/>
        </w:rPr>
        <w:t xml:space="preserve">. 2008;129(1):130-142. </w:t>
      </w:r>
      <w:hyperlink r:id="rId15" w:history="1">
        <w:r w:rsidRPr="000A086F">
          <w:rPr>
            <w:rStyle w:val="Hyperlink"/>
            <w:lang w:val="en-IN"/>
          </w:rPr>
          <w:t>https://doi.org/10.1309/WYACYWF6NGM3WBRT</w:t>
        </w:r>
      </w:hyperlink>
    </w:p>
    <w:p w14:paraId="726583E0" w14:textId="77777777" w:rsidR="000A086F" w:rsidRPr="000A086F" w:rsidRDefault="000A086F" w:rsidP="000A086F">
      <w:pPr>
        <w:pStyle w:val="Body"/>
        <w:numPr>
          <w:ilvl w:val="0"/>
          <w:numId w:val="31"/>
        </w:numPr>
        <w:spacing w:after="0"/>
        <w:jc w:val="left"/>
        <w:rPr>
          <w:lang w:val="en-IN"/>
        </w:rPr>
      </w:pPr>
      <w:r w:rsidRPr="000A086F">
        <w:rPr>
          <w:lang w:val="en-IN"/>
        </w:rPr>
        <w:t xml:space="preserve">Parsi, M.; Go, M.S.; Ahmed, A. </w:t>
      </w:r>
      <w:proofErr w:type="spellStart"/>
      <w:r w:rsidRPr="000A086F">
        <w:rPr>
          <w:lang w:val="en-IN"/>
        </w:rPr>
        <w:t>Leukemia</w:t>
      </w:r>
      <w:proofErr w:type="spellEnd"/>
      <w:r w:rsidRPr="000A086F">
        <w:rPr>
          <w:lang w:val="en-IN"/>
        </w:rPr>
        <w:t xml:space="preserve"> Cutis. </w:t>
      </w:r>
      <w:proofErr w:type="spellStart"/>
      <w:r w:rsidRPr="000A086F">
        <w:rPr>
          <w:lang w:val="en-IN"/>
        </w:rPr>
        <w:t>StatPearls</w:t>
      </w:r>
      <w:proofErr w:type="spellEnd"/>
      <w:r w:rsidRPr="000A086F">
        <w:rPr>
          <w:lang w:val="en-IN"/>
        </w:rPr>
        <w:t xml:space="preserve"> Publishing: Treasure Island, FL, USA, 2023. Available online: </w:t>
      </w:r>
      <w:hyperlink r:id="rId16" w:history="1">
        <w:r w:rsidRPr="000A086F">
          <w:rPr>
            <w:rStyle w:val="Hyperlink"/>
            <w:lang w:val="en-IN"/>
          </w:rPr>
          <w:t>https://www.ncbi.nlm.nih.gov/books/NBK541136/title</w:t>
        </w:r>
      </w:hyperlink>
      <w:r w:rsidRPr="000A086F">
        <w:rPr>
          <w:lang w:val="en-IN"/>
        </w:rPr>
        <w:t xml:space="preserve"> of </w:t>
      </w:r>
      <w:proofErr w:type="spellStart"/>
      <w:r w:rsidRPr="000A086F">
        <w:rPr>
          <w:lang w:val="en-IN"/>
        </w:rPr>
        <w:t>StatPearls</w:t>
      </w:r>
      <w:proofErr w:type="spellEnd"/>
      <w:r w:rsidRPr="000A086F">
        <w:rPr>
          <w:lang w:val="en-IN"/>
        </w:rPr>
        <w:t>. Accessed 16 Nov 2024.</w:t>
      </w:r>
    </w:p>
    <w:p w14:paraId="3B8117DE" w14:textId="77777777" w:rsidR="000A086F" w:rsidRPr="000A086F" w:rsidRDefault="000A086F" w:rsidP="000A086F">
      <w:pPr>
        <w:pStyle w:val="Body"/>
        <w:numPr>
          <w:ilvl w:val="0"/>
          <w:numId w:val="31"/>
        </w:numPr>
        <w:spacing w:after="0"/>
        <w:jc w:val="left"/>
        <w:rPr>
          <w:lang w:val="en-IN"/>
        </w:rPr>
      </w:pPr>
      <w:r w:rsidRPr="000A086F">
        <w:rPr>
          <w:lang w:val="en-IN"/>
        </w:rPr>
        <w:t xml:space="preserve">Dawood </w:t>
      </w:r>
      <w:proofErr w:type="spellStart"/>
      <w:r w:rsidRPr="000A086F">
        <w:rPr>
          <w:lang w:val="en-IN"/>
        </w:rPr>
        <w:t>Findakly</w:t>
      </w:r>
      <w:proofErr w:type="spellEnd"/>
      <w:r w:rsidRPr="000A086F">
        <w:rPr>
          <w:lang w:val="en-IN"/>
        </w:rPr>
        <w:t xml:space="preserve">; </w:t>
      </w:r>
      <w:proofErr w:type="spellStart"/>
      <w:r w:rsidRPr="000A086F">
        <w:rPr>
          <w:lang w:val="en-IN"/>
        </w:rPr>
        <w:t>Leukemia</w:t>
      </w:r>
      <w:proofErr w:type="spellEnd"/>
      <w:r w:rsidRPr="000A086F">
        <w:rPr>
          <w:lang w:val="en-IN"/>
        </w:rPr>
        <w:t xml:space="preserve"> Cutis: A Systematic Review. </w:t>
      </w:r>
      <w:r w:rsidRPr="000A086F">
        <w:rPr>
          <w:i/>
          <w:iCs/>
          <w:lang w:val="en-IN"/>
        </w:rPr>
        <w:t>Blood</w:t>
      </w:r>
      <w:r w:rsidRPr="000A086F">
        <w:rPr>
          <w:lang w:val="en-IN"/>
        </w:rPr>
        <w:t> 2020; 136 (Supplement 1): 1. </w:t>
      </w:r>
      <w:hyperlink r:id="rId17" w:tgtFrame="_blank" w:tooltip="Persistent link using digital object identifier" w:history="1">
        <w:r w:rsidRPr="000A086F">
          <w:rPr>
            <w:rStyle w:val="Hyperlink"/>
            <w:lang w:val="en-IN"/>
          </w:rPr>
          <w:t>https://doi.org/10.1182/blood-2020-134860</w:t>
        </w:r>
      </w:hyperlink>
    </w:p>
    <w:p w14:paraId="627D8446" w14:textId="77777777" w:rsidR="000A086F" w:rsidRPr="000A086F" w:rsidRDefault="000A086F" w:rsidP="000A086F">
      <w:pPr>
        <w:pStyle w:val="Body"/>
        <w:numPr>
          <w:ilvl w:val="0"/>
          <w:numId w:val="31"/>
        </w:numPr>
        <w:spacing w:after="0"/>
        <w:jc w:val="left"/>
        <w:rPr>
          <w:lang w:val="en-IN"/>
        </w:rPr>
      </w:pPr>
      <w:proofErr w:type="spellStart"/>
      <w:r w:rsidRPr="000A086F">
        <w:rPr>
          <w:lang w:val="en-IN"/>
        </w:rPr>
        <w:t>Robak</w:t>
      </w:r>
      <w:proofErr w:type="spellEnd"/>
      <w:r w:rsidRPr="000A086F">
        <w:rPr>
          <w:lang w:val="en-IN"/>
        </w:rPr>
        <w:t xml:space="preserve">, </w:t>
      </w:r>
      <w:proofErr w:type="spellStart"/>
      <w:proofErr w:type="gramStart"/>
      <w:r w:rsidRPr="000A086F">
        <w:rPr>
          <w:lang w:val="en-IN"/>
        </w:rPr>
        <w:t>E.;Braun</w:t>
      </w:r>
      <w:proofErr w:type="spellEnd"/>
      <w:proofErr w:type="gramEnd"/>
      <w:r w:rsidRPr="000A086F">
        <w:rPr>
          <w:lang w:val="en-IN"/>
        </w:rPr>
        <w:t xml:space="preserve">, M.; </w:t>
      </w:r>
      <w:proofErr w:type="spellStart"/>
      <w:r w:rsidRPr="000A086F">
        <w:rPr>
          <w:lang w:val="en-IN"/>
        </w:rPr>
        <w:t>Robak</w:t>
      </w:r>
      <w:proofErr w:type="spellEnd"/>
      <w:r w:rsidRPr="000A086F">
        <w:rPr>
          <w:lang w:val="en-IN"/>
        </w:rPr>
        <w:t xml:space="preserve">, T. </w:t>
      </w:r>
      <w:proofErr w:type="spellStart"/>
      <w:r w:rsidRPr="000A086F">
        <w:rPr>
          <w:lang w:val="en-IN"/>
        </w:rPr>
        <w:t>Leukemia</w:t>
      </w:r>
      <w:proofErr w:type="spellEnd"/>
      <w:r w:rsidRPr="000A086F">
        <w:rPr>
          <w:lang w:val="en-IN"/>
        </w:rPr>
        <w:t xml:space="preserve"> Cutis—The Current View on Pathogenesis, Diagnosis, and Treatment. Cancers 2023, 15, 5393. </w:t>
      </w:r>
      <w:hyperlink r:id="rId18" w:history="1">
        <w:r w:rsidRPr="000A086F">
          <w:rPr>
            <w:rStyle w:val="Hyperlink"/>
            <w:lang w:val="en-IN"/>
          </w:rPr>
          <w:t>https://doi.org/10.3390/cancers15225393</w:t>
        </w:r>
      </w:hyperlink>
    </w:p>
    <w:p w14:paraId="04486F77" w14:textId="77777777" w:rsidR="000A086F" w:rsidRPr="000A086F" w:rsidRDefault="000A086F" w:rsidP="000A086F">
      <w:pPr>
        <w:pStyle w:val="Body"/>
        <w:numPr>
          <w:ilvl w:val="0"/>
          <w:numId w:val="31"/>
        </w:numPr>
        <w:spacing w:after="0"/>
        <w:jc w:val="left"/>
        <w:rPr>
          <w:lang w:val="en-IN"/>
        </w:rPr>
      </w:pPr>
      <w:r w:rsidRPr="000A086F">
        <w:rPr>
          <w:lang w:val="da-DK"/>
        </w:rPr>
        <w:t xml:space="preserve">Xu G, Zhang H, Nong W, et al. </w:t>
      </w:r>
      <w:r w:rsidRPr="000A086F">
        <w:rPr>
          <w:lang w:val="en-IN"/>
        </w:rPr>
        <w:t xml:space="preserve">Isolated intracranial myeloid sarcoma mimicking malignant lymphoma: a diagnostic challenge and literature reviews. </w:t>
      </w:r>
      <w:proofErr w:type="spellStart"/>
      <w:r w:rsidRPr="000A086F">
        <w:rPr>
          <w:lang w:val="en-IN"/>
        </w:rPr>
        <w:t>Onco</w:t>
      </w:r>
      <w:proofErr w:type="spellEnd"/>
      <w:r w:rsidRPr="000A086F">
        <w:rPr>
          <w:lang w:val="en-IN"/>
        </w:rPr>
        <w:t xml:space="preserve"> Targets </w:t>
      </w:r>
      <w:proofErr w:type="spellStart"/>
      <w:r w:rsidRPr="000A086F">
        <w:rPr>
          <w:lang w:val="en-IN"/>
        </w:rPr>
        <w:t>Ther</w:t>
      </w:r>
      <w:proofErr w:type="spellEnd"/>
      <w:r w:rsidRPr="000A086F">
        <w:rPr>
          <w:lang w:val="en-IN"/>
        </w:rPr>
        <w:t xml:space="preserve">. </w:t>
      </w:r>
      <w:proofErr w:type="gramStart"/>
      <w:r w:rsidRPr="000A086F">
        <w:rPr>
          <w:lang w:val="en-IN"/>
        </w:rPr>
        <w:t>2020;13:6085</w:t>
      </w:r>
      <w:proofErr w:type="gramEnd"/>
      <w:r w:rsidRPr="000A086F">
        <w:rPr>
          <w:lang w:val="en-IN"/>
        </w:rPr>
        <w:t xml:space="preserve">-6092. </w:t>
      </w:r>
      <w:hyperlink r:id="rId19" w:history="1">
        <w:r w:rsidRPr="000A086F">
          <w:rPr>
            <w:rStyle w:val="Hyperlink"/>
            <w:lang w:val="en-IN"/>
          </w:rPr>
          <w:t>https://doi.org/10.2147/OTT.S245828</w:t>
        </w:r>
      </w:hyperlink>
    </w:p>
    <w:p w14:paraId="69E8C946" w14:textId="77777777" w:rsidR="000A086F" w:rsidRPr="000A086F" w:rsidRDefault="000A086F" w:rsidP="000A086F">
      <w:pPr>
        <w:pStyle w:val="Body"/>
        <w:numPr>
          <w:ilvl w:val="0"/>
          <w:numId w:val="31"/>
        </w:numPr>
        <w:spacing w:after="0"/>
        <w:jc w:val="left"/>
        <w:rPr>
          <w:lang w:val="en-IN"/>
        </w:rPr>
      </w:pPr>
      <w:r w:rsidRPr="000A086F">
        <w:rPr>
          <w:lang w:val="da-DK"/>
        </w:rPr>
        <w:t xml:space="preserve">Arber DA, Orazi A, Hasserjian RP, et al. </w:t>
      </w:r>
      <w:r w:rsidRPr="000A086F">
        <w:rPr>
          <w:lang w:val="en-IN"/>
        </w:rPr>
        <w:t xml:space="preserve">International Consensus Classification of Myeloid Neoplasms and Acute </w:t>
      </w:r>
      <w:proofErr w:type="spellStart"/>
      <w:r w:rsidRPr="000A086F">
        <w:rPr>
          <w:lang w:val="en-IN"/>
        </w:rPr>
        <w:t>Leukemias</w:t>
      </w:r>
      <w:proofErr w:type="spellEnd"/>
      <w:r w:rsidRPr="000A086F">
        <w:rPr>
          <w:lang w:val="en-IN"/>
        </w:rPr>
        <w:t xml:space="preserve">: integrating morphologic, clinical, and genomic data. Blood. 2022;140(11):1200-1228. </w:t>
      </w:r>
      <w:hyperlink r:id="rId20" w:history="1">
        <w:r w:rsidRPr="000A086F">
          <w:rPr>
            <w:rStyle w:val="Hyperlink"/>
            <w:lang w:val="en-IN"/>
          </w:rPr>
          <w:t>https://doi.org/10.1182/blood.2022015850</w:t>
        </w:r>
      </w:hyperlink>
    </w:p>
    <w:p w14:paraId="227E603E" w14:textId="77777777" w:rsidR="000A086F" w:rsidRPr="000A086F" w:rsidRDefault="000A086F" w:rsidP="000A086F">
      <w:pPr>
        <w:pStyle w:val="Body"/>
        <w:numPr>
          <w:ilvl w:val="0"/>
          <w:numId w:val="31"/>
        </w:numPr>
        <w:spacing w:after="0"/>
        <w:jc w:val="left"/>
        <w:rPr>
          <w:lang w:val="en-IN"/>
        </w:rPr>
      </w:pPr>
      <w:proofErr w:type="spellStart"/>
      <w:r w:rsidRPr="000A086F">
        <w:rPr>
          <w:lang w:val="en-IN"/>
        </w:rPr>
        <w:t>Yook</w:t>
      </w:r>
      <w:proofErr w:type="spellEnd"/>
      <w:r w:rsidRPr="000A086F">
        <w:rPr>
          <w:lang w:val="en-IN"/>
        </w:rPr>
        <w:t xml:space="preserve">, H.J.; Son, J.H.; Kim, Y.H.; Han, J.H.; Lee, J.H.; Park, Y.M.; Chung, N.G.; Kim, H.J.; Bang, C.H. Leukaemia Cutis: Clinical Features and Outcomes of 56 Patients. Acta </w:t>
      </w:r>
      <w:proofErr w:type="spellStart"/>
      <w:r w:rsidRPr="000A086F">
        <w:rPr>
          <w:lang w:val="en-IN"/>
        </w:rPr>
        <w:t>Derm</w:t>
      </w:r>
      <w:proofErr w:type="spellEnd"/>
      <w:r w:rsidRPr="000A086F">
        <w:rPr>
          <w:lang w:val="en-IN"/>
        </w:rPr>
        <w:t xml:space="preserve">. </w:t>
      </w:r>
      <w:proofErr w:type="spellStart"/>
      <w:r w:rsidRPr="000A086F">
        <w:rPr>
          <w:lang w:val="en-IN"/>
        </w:rPr>
        <w:t>Venereol</w:t>
      </w:r>
      <w:proofErr w:type="spellEnd"/>
      <w:r w:rsidRPr="000A086F">
        <w:rPr>
          <w:lang w:val="en-IN"/>
        </w:rPr>
        <w:t xml:space="preserve">. 2022, 102, adv00647. </w:t>
      </w:r>
      <w:hyperlink r:id="rId21" w:history="1">
        <w:r w:rsidRPr="000A086F">
          <w:rPr>
            <w:rStyle w:val="Hyperlink"/>
            <w:lang w:val="en-IN"/>
          </w:rPr>
          <w:t>https://doi.org/10.2340/actadv.v102.1123</w:t>
        </w:r>
      </w:hyperlink>
      <w:r w:rsidRPr="000A086F">
        <w:rPr>
          <w:lang w:val="en-IN"/>
        </w:rPr>
        <w:t xml:space="preserve"> </w:t>
      </w:r>
    </w:p>
    <w:p w14:paraId="653EEDE2" w14:textId="77777777" w:rsidR="000A086F" w:rsidRPr="000A086F" w:rsidRDefault="000A086F" w:rsidP="000A086F">
      <w:pPr>
        <w:pStyle w:val="Body"/>
        <w:numPr>
          <w:ilvl w:val="0"/>
          <w:numId w:val="31"/>
        </w:numPr>
        <w:spacing w:after="0"/>
        <w:jc w:val="left"/>
        <w:rPr>
          <w:lang w:val="en-IN"/>
        </w:rPr>
      </w:pPr>
      <w:proofErr w:type="spellStart"/>
      <w:r w:rsidRPr="000A086F">
        <w:rPr>
          <w:lang w:val="en-IN"/>
        </w:rPr>
        <w:t>Afroz</w:t>
      </w:r>
      <w:proofErr w:type="spellEnd"/>
      <w:r w:rsidRPr="000A086F">
        <w:rPr>
          <w:lang w:val="en-IN"/>
        </w:rPr>
        <w:t xml:space="preserve">, S.; </w:t>
      </w:r>
      <w:proofErr w:type="spellStart"/>
      <w:r w:rsidRPr="000A086F">
        <w:rPr>
          <w:lang w:val="en-IN"/>
        </w:rPr>
        <w:t>Ayub</w:t>
      </w:r>
      <w:proofErr w:type="spellEnd"/>
      <w:r w:rsidRPr="000A086F">
        <w:rPr>
          <w:lang w:val="en-IN"/>
        </w:rPr>
        <w:t xml:space="preserve">, M.; Joshi, U.; Mahapatra, E.; </w:t>
      </w:r>
      <w:proofErr w:type="spellStart"/>
      <w:r w:rsidRPr="000A086F">
        <w:rPr>
          <w:lang w:val="en-IN"/>
        </w:rPr>
        <w:t>Mba</w:t>
      </w:r>
      <w:proofErr w:type="spellEnd"/>
      <w:r w:rsidRPr="000A086F">
        <w:rPr>
          <w:lang w:val="en-IN"/>
        </w:rPr>
        <w:t xml:space="preserve">, B. </w:t>
      </w:r>
      <w:proofErr w:type="spellStart"/>
      <w:r w:rsidRPr="000A086F">
        <w:rPr>
          <w:lang w:val="en-IN"/>
        </w:rPr>
        <w:t>Leukemia</w:t>
      </w:r>
      <w:proofErr w:type="spellEnd"/>
      <w:r w:rsidRPr="000A086F">
        <w:rPr>
          <w:lang w:val="en-IN"/>
        </w:rPr>
        <w:t xml:space="preserve"> cutis: A rare presentation in chronic myeloid </w:t>
      </w:r>
      <w:proofErr w:type="spellStart"/>
      <w:r w:rsidRPr="000A086F">
        <w:rPr>
          <w:lang w:val="en-IN"/>
        </w:rPr>
        <w:t>leukemia</w:t>
      </w:r>
      <w:proofErr w:type="spellEnd"/>
      <w:r w:rsidRPr="000A086F">
        <w:rPr>
          <w:lang w:val="en-IN"/>
        </w:rPr>
        <w:t xml:space="preserve"> masquerading as cellulitis. In Proceedings of the Hospital Medicine, Orlando, FL, USA, April 2018; Abstract 431. Available online: </w:t>
      </w:r>
      <w:hyperlink r:id="rId22" w:history="1">
        <w:r w:rsidRPr="000A086F">
          <w:rPr>
            <w:rStyle w:val="Hyperlink"/>
            <w:lang w:val="en-IN"/>
          </w:rPr>
          <w:t>https://shmabstracts.org/title</w:t>
        </w:r>
      </w:hyperlink>
      <w:r w:rsidRPr="000A086F">
        <w:rPr>
          <w:lang w:val="en-IN"/>
        </w:rPr>
        <w:t xml:space="preserve"> of Abstracts. Accessed 30 Nov 2024.</w:t>
      </w:r>
    </w:p>
    <w:p w14:paraId="3A38DC41" w14:textId="77777777" w:rsidR="000A086F" w:rsidRPr="000A086F" w:rsidRDefault="000A086F" w:rsidP="000A086F">
      <w:pPr>
        <w:pStyle w:val="Body"/>
        <w:numPr>
          <w:ilvl w:val="0"/>
          <w:numId w:val="31"/>
        </w:numPr>
        <w:spacing w:after="0"/>
        <w:jc w:val="left"/>
        <w:rPr>
          <w:lang w:val="en-IN"/>
        </w:rPr>
      </w:pPr>
      <w:r w:rsidRPr="000A086F">
        <w:rPr>
          <w:lang w:val="en-IN"/>
        </w:rPr>
        <w:t xml:space="preserve">Qi, J.; Zhang, F.; Liu, Y.; Yao, J.; Xu, Y.; He, H. Extramedullary blast crisis of chronic myelogenous </w:t>
      </w:r>
      <w:proofErr w:type="spellStart"/>
      <w:r w:rsidRPr="000A086F">
        <w:rPr>
          <w:lang w:val="en-IN"/>
        </w:rPr>
        <w:t>leukemia</w:t>
      </w:r>
      <w:proofErr w:type="spellEnd"/>
      <w:r w:rsidRPr="000A086F">
        <w:rPr>
          <w:lang w:val="en-IN"/>
        </w:rPr>
        <w:t xml:space="preserve"> with a skin lesion: A case report and literature review. Am. J. </w:t>
      </w:r>
      <w:proofErr w:type="spellStart"/>
      <w:r w:rsidRPr="000A086F">
        <w:rPr>
          <w:lang w:val="en-IN"/>
        </w:rPr>
        <w:t>Dermatopathol</w:t>
      </w:r>
      <w:proofErr w:type="spellEnd"/>
      <w:r w:rsidRPr="000A086F">
        <w:rPr>
          <w:lang w:val="en-IN"/>
        </w:rPr>
        <w:t xml:space="preserve">. 2021, 43, 450–453. </w:t>
      </w:r>
      <w:hyperlink r:id="rId23" w:history="1">
        <w:r w:rsidRPr="000A086F">
          <w:rPr>
            <w:rStyle w:val="Hyperlink"/>
            <w:lang w:val="en-IN"/>
          </w:rPr>
          <w:t>https://doi.org/10.1097/dad.0000000000001897</w:t>
        </w:r>
      </w:hyperlink>
    </w:p>
    <w:p w14:paraId="32668BB2" w14:textId="77777777" w:rsidR="000A086F" w:rsidRPr="000A086F" w:rsidRDefault="000A086F" w:rsidP="000A086F">
      <w:pPr>
        <w:pStyle w:val="Body"/>
        <w:numPr>
          <w:ilvl w:val="0"/>
          <w:numId w:val="31"/>
        </w:numPr>
        <w:spacing w:after="0"/>
        <w:jc w:val="left"/>
        <w:rPr>
          <w:lang w:val="en-IN"/>
        </w:rPr>
      </w:pPr>
      <w:r w:rsidRPr="000A086F">
        <w:rPr>
          <w:lang w:val="en-IN"/>
        </w:rPr>
        <w:t xml:space="preserve">Chang, Y.W.; Lee, C.H.; Tseng, H.C. </w:t>
      </w:r>
      <w:proofErr w:type="spellStart"/>
      <w:r w:rsidRPr="000A086F">
        <w:rPr>
          <w:lang w:val="en-IN"/>
        </w:rPr>
        <w:t>Leukemia</w:t>
      </w:r>
      <w:proofErr w:type="spellEnd"/>
      <w:r w:rsidRPr="000A086F">
        <w:rPr>
          <w:lang w:val="en-IN"/>
        </w:rPr>
        <w:t xml:space="preserve"> cutis in a medical </w:t>
      </w:r>
      <w:proofErr w:type="spellStart"/>
      <w:r w:rsidRPr="000A086F">
        <w:rPr>
          <w:lang w:val="en-IN"/>
        </w:rPr>
        <w:t>center</w:t>
      </w:r>
      <w:proofErr w:type="spellEnd"/>
      <w:r w:rsidRPr="000A086F">
        <w:rPr>
          <w:lang w:val="en-IN"/>
        </w:rPr>
        <w:t xml:space="preserve"> in southern Taiwan: A retrospective study of 42 patients. J. </w:t>
      </w:r>
      <w:proofErr w:type="spellStart"/>
      <w:r w:rsidRPr="000A086F">
        <w:rPr>
          <w:lang w:val="en-IN"/>
        </w:rPr>
        <w:t>Formos</w:t>
      </w:r>
      <w:proofErr w:type="spellEnd"/>
      <w:r w:rsidRPr="000A086F">
        <w:rPr>
          <w:lang w:val="en-IN"/>
        </w:rPr>
        <w:t xml:space="preserve">. Med. Assoc. 2021, 120 Pt 1, 226–233. </w:t>
      </w:r>
      <w:hyperlink r:id="rId24" w:tgtFrame="_blank" w:tooltip="Persistent link using digital object identifier" w:history="1">
        <w:r w:rsidRPr="000A086F">
          <w:rPr>
            <w:rStyle w:val="Hyperlink"/>
            <w:lang w:val="en-IN"/>
          </w:rPr>
          <w:t>https://doi.org/10.1016/j.jfma.2020.04.025</w:t>
        </w:r>
      </w:hyperlink>
    </w:p>
    <w:p w14:paraId="2309FC97" w14:textId="77777777" w:rsidR="000A086F" w:rsidRPr="00655F2C" w:rsidRDefault="000A086F" w:rsidP="000A086F">
      <w:pPr>
        <w:pStyle w:val="Body"/>
        <w:numPr>
          <w:ilvl w:val="0"/>
          <w:numId w:val="31"/>
        </w:numPr>
        <w:spacing w:after="0"/>
        <w:jc w:val="left"/>
        <w:rPr>
          <w:lang w:val="en-IN"/>
        </w:rPr>
      </w:pPr>
      <w:r w:rsidRPr="000A086F">
        <w:rPr>
          <w:lang w:val="en-IN"/>
        </w:rPr>
        <w:t xml:space="preserve">Bakst RL, </w:t>
      </w:r>
      <w:proofErr w:type="spellStart"/>
      <w:r w:rsidRPr="000A086F">
        <w:rPr>
          <w:lang w:val="en-IN"/>
        </w:rPr>
        <w:t>Dabaja</w:t>
      </w:r>
      <w:proofErr w:type="spellEnd"/>
      <w:r w:rsidRPr="000A086F">
        <w:rPr>
          <w:lang w:val="en-IN"/>
        </w:rPr>
        <w:t xml:space="preserve"> BS, Specht LK, </w:t>
      </w:r>
      <w:proofErr w:type="spellStart"/>
      <w:r w:rsidRPr="000A086F">
        <w:rPr>
          <w:lang w:val="en-IN"/>
        </w:rPr>
        <w:t>Yahalom</w:t>
      </w:r>
      <w:proofErr w:type="spellEnd"/>
      <w:r w:rsidRPr="000A086F">
        <w:rPr>
          <w:lang w:val="en-IN"/>
        </w:rPr>
        <w:t xml:space="preserve"> J. Use of radiation in extramedullary </w:t>
      </w:r>
      <w:proofErr w:type="spellStart"/>
      <w:r w:rsidRPr="000A086F">
        <w:rPr>
          <w:lang w:val="en-IN"/>
        </w:rPr>
        <w:t>leukemia</w:t>
      </w:r>
      <w:proofErr w:type="spellEnd"/>
      <w:r w:rsidRPr="000A086F">
        <w:rPr>
          <w:lang w:val="en-IN"/>
        </w:rPr>
        <w:t xml:space="preserve">/chloroma: guidelines from the International Lymphoma Radiation Oncology Group. Int J </w:t>
      </w:r>
      <w:proofErr w:type="spellStart"/>
      <w:r w:rsidRPr="000A086F">
        <w:rPr>
          <w:lang w:val="en-IN"/>
        </w:rPr>
        <w:t>Radiat</w:t>
      </w:r>
      <w:proofErr w:type="spellEnd"/>
      <w:r w:rsidRPr="000A086F">
        <w:rPr>
          <w:lang w:val="en-IN"/>
        </w:rPr>
        <w:t xml:space="preserve"> Oncol </w:t>
      </w:r>
      <w:proofErr w:type="spellStart"/>
      <w:r w:rsidRPr="000A086F">
        <w:rPr>
          <w:lang w:val="en-IN"/>
        </w:rPr>
        <w:t>Biol</w:t>
      </w:r>
      <w:proofErr w:type="spellEnd"/>
      <w:r w:rsidRPr="000A086F">
        <w:rPr>
          <w:lang w:val="en-IN"/>
        </w:rPr>
        <w:t xml:space="preserve"> Phys. 2018;102(2):314-319. </w:t>
      </w:r>
      <w:hyperlink r:id="rId25" w:history="1">
        <w:r w:rsidRPr="000A086F">
          <w:rPr>
            <w:rStyle w:val="Hyperlink"/>
            <w:lang w:val="en-IN"/>
          </w:rPr>
          <w:t>https://doi.org/10.1016/j.ijrobp.2018.05.045</w:t>
        </w:r>
      </w:hyperlink>
    </w:p>
    <w:p w14:paraId="204D59A4" w14:textId="68579B89" w:rsidR="00655F2C" w:rsidRPr="00195BDC" w:rsidRDefault="00655F2C" w:rsidP="000A086F">
      <w:pPr>
        <w:pStyle w:val="Body"/>
        <w:numPr>
          <w:ilvl w:val="0"/>
          <w:numId w:val="31"/>
        </w:numPr>
        <w:spacing w:after="0"/>
        <w:jc w:val="left"/>
        <w:rPr>
          <w:highlight w:val="yellow"/>
          <w:lang w:val="en-IN"/>
        </w:rPr>
      </w:pPr>
      <w:r w:rsidRPr="00195BDC">
        <w:rPr>
          <w:highlight w:val="yellow"/>
        </w:rPr>
        <w:t xml:space="preserve">Wagner G, </w:t>
      </w:r>
      <w:proofErr w:type="spellStart"/>
      <w:r w:rsidRPr="00195BDC">
        <w:rPr>
          <w:highlight w:val="yellow"/>
        </w:rPr>
        <w:t>Fenchel</w:t>
      </w:r>
      <w:proofErr w:type="spellEnd"/>
      <w:r w:rsidRPr="00195BDC">
        <w:rPr>
          <w:highlight w:val="yellow"/>
        </w:rPr>
        <w:t xml:space="preserve"> K, Back W, Schulz A, Sachse MM. Leukemia cutis - epidemiology, clinical presentation, and differential diagnoses. J </w:t>
      </w:r>
      <w:proofErr w:type="spellStart"/>
      <w:r w:rsidRPr="00195BDC">
        <w:rPr>
          <w:highlight w:val="yellow"/>
        </w:rPr>
        <w:t>Dtsch</w:t>
      </w:r>
      <w:proofErr w:type="spellEnd"/>
      <w:r w:rsidRPr="00195BDC">
        <w:rPr>
          <w:highlight w:val="yellow"/>
        </w:rPr>
        <w:t xml:space="preserve"> Dermatol </w:t>
      </w:r>
      <w:proofErr w:type="spellStart"/>
      <w:r w:rsidRPr="00195BDC">
        <w:rPr>
          <w:highlight w:val="yellow"/>
        </w:rPr>
        <w:t>Ges</w:t>
      </w:r>
      <w:proofErr w:type="spellEnd"/>
      <w:r w:rsidRPr="00195BDC">
        <w:rPr>
          <w:highlight w:val="yellow"/>
        </w:rPr>
        <w:t xml:space="preserve">. 2012 Jan;10(1):27-36. </w:t>
      </w:r>
      <w:proofErr w:type="spellStart"/>
      <w:r w:rsidRPr="00195BDC">
        <w:rPr>
          <w:highlight w:val="yellow"/>
        </w:rPr>
        <w:t>doi</w:t>
      </w:r>
      <w:proofErr w:type="spellEnd"/>
      <w:r w:rsidRPr="00195BDC">
        <w:rPr>
          <w:highlight w:val="yellow"/>
        </w:rPr>
        <w:t>: 10.1111/j.1610-0387.2011.</w:t>
      </w:r>
      <w:proofErr w:type="gramStart"/>
      <w:r w:rsidRPr="00195BDC">
        <w:rPr>
          <w:highlight w:val="yellow"/>
        </w:rPr>
        <w:t>07842.x.</w:t>
      </w:r>
      <w:proofErr w:type="gramEnd"/>
      <w:r w:rsidRPr="00195BDC">
        <w:rPr>
          <w:highlight w:val="yellow"/>
        </w:rPr>
        <w:t xml:space="preserve"> </w:t>
      </w:r>
      <w:proofErr w:type="spellStart"/>
      <w:r w:rsidRPr="00195BDC">
        <w:rPr>
          <w:highlight w:val="yellow"/>
        </w:rPr>
        <w:t>Epub</w:t>
      </w:r>
      <w:proofErr w:type="spellEnd"/>
      <w:r w:rsidRPr="00195BDC">
        <w:rPr>
          <w:highlight w:val="yellow"/>
        </w:rPr>
        <w:t xml:space="preserve"> 2011 Nov 17</w:t>
      </w:r>
    </w:p>
    <w:p w14:paraId="237B9D8F" w14:textId="68C5BD82" w:rsidR="00195BDC" w:rsidRPr="00195BDC" w:rsidRDefault="00195BDC" w:rsidP="000A086F">
      <w:pPr>
        <w:pStyle w:val="Body"/>
        <w:numPr>
          <w:ilvl w:val="0"/>
          <w:numId w:val="31"/>
        </w:numPr>
        <w:spacing w:after="0"/>
        <w:jc w:val="left"/>
        <w:rPr>
          <w:highlight w:val="yellow"/>
          <w:lang w:val="en-IN"/>
        </w:rPr>
      </w:pPr>
      <w:r w:rsidRPr="00195BDC">
        <w:rPr>
          <w:highlight w:val="yellow"/>
        </w:rPr>
        <w:t xml:space="preserve">De </w:t>
      </w:r>
      <w:proofErr w:type="spellStart"/>
      <w:r w:rsidRPr="00195BDC">
        <w:rPr>
          <w:highlight w:val="yellow"/>
        </w:rPr>
        <w:t>Santis</w:t>
      </w:r>
      <w:proofErr w:type="spellEnd"/>
      <w:r w:rsidRPr="00195BDC">
        <w:rPr>
          <w:highlight w:val="yellow"/>
        </w:rPr>
        <w:t xml:space="preserve">, V.; </w:t>
      </w:r>
      <w:proofErr w:type="spellStart"/>
      <w:r w:rsidRPr="00195BDC">
        <w:rPr>
          <w:highlight w:val="yellow"/>
        </w:rPr>
        <w:t>Mariani</w:t>
      </w:r>
      <w:proofErr w:type="spellEnd"/>
      <w:r w:rsidRPr="00195BDC">
        <w:rPr>
          <w:highlight w:val="yellow"/>
        </w:rPr>
        <w:t xml:space="preserve">, S.; Pileggi, G.; </w:t>
      </w:r>
      <w:proofErr w:type="spellStart"/>
      <w:r w:rsidRPr="00195BDC">
        <w:rPr>
          <w:highlight w:val="yellow"/>
        </w:rPr>
        <w:t>Lubrano</w:t>
      </w:r>
      <w:proofErr w:type="spellEnd"/>
      <w:r w:rsidRPr="00195BDC">
        <w:rPr>
          <w:highlight w:val="yellow"/>
        </w:rPr>
        <w:t xml:space="preserve"> </w:t>
      </w:r>
      <w:proofErr w:type="spellStart"/>
      <w:r w:rsidRPr="00195BDC">
        <w:rPr>
          <w:highlight w:val="yellow"/>
        </w:rPr>
        <w:t>Lobianco</w:t>
      </w:r>
      <w:proofErr w:type="spellEnd"/>
      <w:r w:rsidRPr="00195BDC">
        <w:rPr>
          <w:highlight w:val="yellow"/>
        </w:rPr>
        <w:t xml:space="preserve">, F.; Conte, E.; </w:t>
      </w:r>
      <w:proofErr w:type="spellStart"/>
      <w:r w:rsidRPr="00195BDC">
        <w:rPr>
          <w:highlight w:val="yellow"/>
        </w:rPr>
        <w:t>Maiorana</w:t>
      </w:r>
      <w:proofErr w:type="spellEnd"/>
      <w:r w:rsidRPr="00195BDC">
        <w:rPr>
          <w:highlight w:val="yellow"/>
        </w:rPr>
        <w:t xml:space="preserve">, G.; </w:t>
      </w:r>
      <w:proofErr w:type="spellStart"/>
      <w:r w:rsidRPr="00195BDC">
        <w:rPr>
          <w:highlight w:val="yellow"/>
        </w:rPr>
        <w:t>Togni</w:t>
      </w:r>
      <w:proofErr w:type="spellEnd"/>
      <w:r w:rsidRPr="00195BDC">
        <w:rPr>
          <w:highlight w:val="yellow"/>
        </w:rPr>
        <w:t xml:space="preserve">, C.; </w:t>
      </w:r>
      <w:proofErr w:type="spellStart"/>
      <w:r w:rsidRPr="00195BDC">
        <w:rPr>
          <w:highlight w:val="yellow"/>
        </w:rPr>
        <w:t>Piedimonte</w:t>
      </w:r>
      <w:proofErr w:type="spellEnd"/>
      <w:r w:rsidRPr="00195BDC">
        <w:rPr>
          <w:highlight w:val="yellow"/>
        </w:rPr>
        <w:t xml:space="preserve">, M.; Di Napoli, A.; </w:t>
      </w:r>
      <w:proofErr w:type="spellStart"/>
      <w:r w:rsidRPr="00195BDC">
        <w:rPr>
          <w:highlight w:val="yellow"/>
        </w:rPr>
        <w:t>Persechino</w:t>
      </w:r>
      <w:proofErr w:type="spellEnd"/>
      <w:r w:rsidRPr="00195BDC">
        <w:rPr>
          <w:highlight w:val="yellow"/>
        </w:rPr>
        <w:t>, S.; et al. Leukemia Cutis, a Tricky Diagnosis: A Case Report and Literature Review. </w:t>
      </w:r>
      <w:proofErr w:type="spellStart"/>
      <w:r w:rsidRPr="00195BDC">
        <w:rPr>
          <w:i/>
          <w:iCs/>
          <w:highlight w:val="yellow"/>
        </w:rPr>
        <w:t>Hemato</w:t>
      </w:r>
      <w:proofErr w:type="spellEnd"/>
      <w:r w:rsidRPr="00195BDC">
        <w:rPr>
          <w:highlight w:val="yellow"/>
        </w:rPr>
        <w:t> </w:t>
      </w:r>
      <w:r w:rsidRPr="00195BDC">
        <w:rPr>
          <w:b/>
          <w:bCs/>
          <w:highlight w:val="yellow"/>
        </w:rPr>
        <w:t>2025</w:t>
      </w:r>
      <w:r w:rsidRPr="00195BDC">
        <w:rPr>
          <w:highlight w:val="yellow"/>
        </w:rPr>
        <w:t>, </w:t>
      </w:r>
      <w:r w:rsidRPr="00195BDC">
        <w:rPr>
          <w:i/>
          <w:iCs/>
          <w:highlight w:val="yellow"/>
        </w:rPr>
        <w:t>6</w:t>
      </w:r>
      <w:r w:rsidRPr="00195BDC">
        <w:rPr>
          <w:highlight w:val="yellow"/>
        </w:rPr>
        <w:t>, 38. https://doi.org/10.3390/hemato6040038</w:t>
      </w:r>
    </w:p>
    <w:p w14:paraId="55AC0A73" w14:textId="77777777" w:rsidR="00441B6F" w:rsidRDefault="00441B6F" w:rsidP="00441B6F">
      <w:pPr>
        <w:pStyle w:val="Body"/>
        <w:spacing w:after="0"/>
        <w:jc w:val="left"/>
      </w:pPr>
    </w:p>
    <w:p w14:paraId="4419C33B" w14:textId="77777777" w:rsidR="00441B6F" w:rsidRDefault="00441B6F" w:rsidP="00441B6F">
      <w:pPr>
        <w:pStyle w:val="Body"/>
        <w:spacing w:after="0"/>
        <w:jc w:val="left"/>
        <w:rPr>
          <w:rFonts w:ascii="Arial" w:hAnsi="Arial" w:cs="Arial"/>
        </w:rPr>
      </w:pPr>
    </w:p>
    <w:p w14:paraId="2B638607" w14:textId="77777777" w:rsidR="00B01FCD" w:rsidRPr="00FB3A86" w:rsidRDefault="00B01FCD" w:rsidP="00441B6F">
      <w:pPr>
        <w:pStyle w:val="Reference"/>
        <w:numPr>
          <w:ilvl w:val="0"/>
          <w:numId w:val="0"/>
        </w:numPr>
        <w:spacing w:line="240" w:lineRule="auto"/>
        <w:rPr>
          <w:rFonts w:ascii="Arial" w:hAnsi="Arial" w:cs="Arial"/>
        </w:rPr>
      </w:pPr>
    </w:p>
    <w:p w14:paraId="70ECEE98" w14:textId="4DB9EAEE" w:rsidR="00B01FCD" w:rsidRDefault="00BD1A6E" w:rsidP="00441B6F">
      <w:pPr>
        <w:pStyle w:val="Appendix"/>
        <w:spacing w:after="0"/>
        <w:jc w:val="both"/>
        <w:rPr>
          <w:rFonts w:ascii="Arial" w:hAnsi="Arial" w:cs="Arial"/>
          <w:b w:val="0"/>
        </w:rPr>
      </w:pPr>
      <w:r>
        <w:rPr>
          <w:noProof/>
        </w:rPr>
        <w:lastRenderedPageBreak/>
        <w:drawing>
          <wp:inline distT="0" distB="0" distL="0" distR="0" wp14:anchorId="1650FF89" wp14:editId="44AEF326">
            <wp:extent cx="6858000" cy="3436620"/>
            <wp:effectExtent l="0" t="0" r="0" b="0"/>
            <wp:docPr id="526433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0" cy="3436620"/>
                    </a:xfrm>
                    <a:prstGeom prst="rect">
                      <a:avLst/>
                    </a:prstGeom>
                    <a:noFill/>
                    <a:ln>
                      <a:noFill/>
                    </a:ln>
                  </pic:spPr>
                </pic:pic>
              </a:graphicData>
            </a:graphic>
          </wp:inline>
        </w:drawing>
      </w:r>
    </w:p>
    <w:p w14:paraId="69A81201" w14:textId="77777777" w:rsidR="00BD1A6E" w:rsidRDefault="00BD1A6E" w:rsidP="00441B6F">
      <w:pPr>
        <w:pStyle w:val="Appendix"/>
        <w:spacing w:after="0"/>
        <w:jc w:val="both"/>
        <w:rPr>
          <w:rFonts w:ascii="Arial" w:hAnsi="Arial" w:cs="Arial"/>
          <w:b w:val="0"/>
        </w:rPr>
      </w:pPr>
    </w:p>
    <w:p w14:paraId="530B1747" w14:textId="77777777" w:rsidR="00BD1A6E" w:rsidRDefault="00BD1A6E" w:rsidP="00441B6F">
      <w:pPr>
        <w:pStyle w:val="Appendix"/>
        <w:spacing w:after="0"/>
        <w:jc w:val="both"/>
        <w:rPr>
          <w:rFonts w:ascii="Arial" w:hAnsi="Arial" w:cs="Arial"/>
          <w:b w:val="0"/>
        </w:rPr>
      </w:pPr>
    </w:p>
    <w:p w14:paraId="715260C8" w14:textId="77777777" w:rsidR="00BD1A6E" w:rsidRDefault="00BD1A6E" w:rsidP="00BD1A6E">
      <w:pPr>
        <w:jc w:val="both"/>
        <w:rPr>
          <w:rFonts w:ascii="Arial" w:hAnsi="Arial" w:cs="Arial"/>
        </w:rPr>
      </w:pPr>
      <w:r w:rsidRPr="00A54F24">
        <w:rPr>
          <w:rFonts w:ascii="Arial" w:hAnsi="Arial" w:cs="Arial"/>
          <w:b/>
          <w:bCs/>
        </w:rPr>
        <w:t xml:space="preserve">Fig. 1 : Images of the skin lesions and gradual resolution with treatment </w:t>
      </w:r>
      <w:r w:rsidRPr="00A54F24">
        <w:rPr>
          <w:rFonts w:ascii="Arial" w:hAnsi="Arial" w:cs="Arial"/>
        </w:rPr>
        <w:t>a. initial skin lesions at left flank having central ulceration with everted &amp; necrotic margins with perilesional erythema ; b. 2 weeks post intensive therapy central ulceration area being replaced by granulation tissue and appearance of blacking scar formation ; c. post (3+7) induction at day 28, showing resolution of ulceration with stages of healing ; d. post 1</w:t>
      </w:r>
      <w:r w:rsidRPr="00A54F24">
        <w:rPr>
          <w:rFonts w:ascii="Arial" w:hAnsi="Arial" w:cs="Arial"/>
          <w:vertAlign w:val="superscript"/>
        </w:rPr>
        <w:t>st</w:t>
      </w:r>
      <w:r w:rsidRPr="00A54F24">
        <w:rPr>
          <w:rFonts w:ascii="Arial" w:hAnsi="Arial" w:cs="Arial"/>
        </w:rPr>
        <w:t xml:space="preserve"> consolidation , healed ulcer with scar and appearance of healthy skin margin ; e. nodular skin lesions at presentation in left arm inner aspect ; f. disappearance of nodules post chemotherapy</w:t>
      </w:r>
      <w:r>
        <w:rPr>
          <w:rFonts w:ascii="Arial" w:hAnsi="Arial" w:cs="Arial"/>
        </w:rPr>
        <w:t>.</w:t>
      </w:r>
    </w:p>
    <w:p w14:paraId="7F2AF0ED" w14:textId="77777777" w:rsidR="00BD1A6E" w:rsidRDefault="00BD1A6E" w:rsidP="00441B6F">
      <w:pPr>
        <w:pStyle w:val="Appendix"/>
        <w:spacing w:after="0"/>
        <w:jc w:val="both"/>
        <w:rPr>
          <w:rFonts w:ascii="Arial" w:hAnsi="Arial" w:cs="Arial"/>
          <w:b w:val="0"/>
        </w:rPr>
      </w:pPr>
    </w:p>
    <w:p w14:paraId="4F512FBE" w14:textId="77777777" w:rsidR="00BD1A6E" w:rsidRDefault="00BD1A6E" w:rsidP="00441B6F">
      <w:pPr>
        <w:pStyle w:val="Appendix"/>
        <w:spacing w:after="0"/>
        <w:jc w:val="both"/>
        <w:rPr>
          <w:noProof/>
        </w:rPr>
      </w:pPr>
    </w:p>
    <w:p w14:paraId="6414DE21" w14:textId="12B54628" w:rsidR="00BD1A6E" w:rsidRDefault="00BD1A6E" w:rsidP="00441B6F">
      <w:pPr>
        <w:pStyle w:val="Appendix"/>
        <w:spacing w:after="0"/>
        <w:jc w:val="both"/>
        <w:rPr>
          <w:rFonts w:ascii="Arial" w:hAnsi="Arial" w:cs="Arial"/>
          <w:b w:val="0"/>
        </w:rPr>
      </w:pPr>
      <w:r>
        <w:rPr>
          <w:noProof/>
        </w:rPr>
        <w:drawing>
          <wp:inline distT="0" distB="0" distL="0" distR="0" wp14:anchorId="20485335" wp14:editId="18350289">
            <wp:extent cx="6858000" cy="2944495"/>
            <wp:effectExtent l="0" t="0" r="0" b="0"/>
            <wp:docPr id="1352516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0" cy="2944495"/>
                    </a:xfrm>
                    <a:prstGeom prst="rect">
                      <a:avLst/>
                    </a:prstGeom>
                    <a:noFill/>
                    <a:ln>
                      <a:noFill/>
                    </a:ln>
                  </pic:spPr>
                </pic:pic>
              </a:graphicData>
            </a:graphic>
          </wp:inline>
        </w:drawing>
      </w:r>
    </w:p>
    <w:p w14:paraId="3683242A" w14:textId="77777777" w:rsidR="00BD1A6E" w:rsidRPr="00904FA7" w:rsidRDefault="00BD1A6E" w:rsidP="00BD1A6E">
      <w:pPr>
        <w:jc w:val="both"/>
        <w:rPr>
          <w:rFonts w:ascii="Arial" w:hAnsi="Arial" w:cs="Arial"/>
        </w:rPr>
      </w:pPr>
      <w:r w:rsidRPr="00A54F24">
        <w:rPr>
          <w:rFonts w:ascii="Arial" w:hAnsi="Arial" w:cs="Arial"/>
          <w:b/>
          <w:bCs/>
        </w:rPr>
        <w:t xml:space="preserve">Fig. </w:t>
      </w:r>
      <w:proofErr w:type="gramStart"/>
      <w:r>
        <w:rPr>
          <w:rFonts w:ascii="Arial" w:hAnsi="Arial" w:cs="Arial"/>
          <w:b/>
          <w:bCs/>
        </w:rPr>
        <w:t>2</w:t>
      </w:r>
      <w:r w:rsidRPr="00A54F24">
        <w:rPr>
          <w:rFonts w:ascii="Arial" w:hAnsi="Arial" w:cs="Arial"/>
          <w:b/>
          <w:bCs/>
        </w:rPr>
        <w:t xml:space="preserve"> :</w:t>
      </w:r>
      <w:proofErr w:type="gramEnd"/>
      <w:r w:rsidRPr="00A54F24">
        <w:rPr>
          <w:rFonts w:ascii="Arial" w:hAnsi="Arial" w:cs="Arial"/>
          <w:b/>
          <w:bCs/>
        </w:rPr>
        <w:t xml:space="preserve"> </w:t>
      </w:r>
      <w:proofErr w:type="spellStart"/>
      <w:r>
        <w:rPr>
          <w:rFonts w:ascii="Arial" w:hAnsi="Arial" w:cs="Arial"/>
          <w:b/>
          <w:bCs/>
        </w:rPr>
        <w:t>Histo</w:t>
      </w:r>
      <w:proofErr w:type="spellEnd"/>
      <w:r>
        <w:rPr>
          <w:rFonts w:ascii="Arial" w:hAnsi="Arial" w:cs="Arial"/>
          <w:b/>
          <w:bCs/>
        </w:rPr>
        <w:t xml:space="preserve">-microscopic description of the lesion </w:t>
      </w:r>
      <w:proofErr w:type="spellStart"/>
      <w:r>
        <w:rPr>
          <w:rFonts w:ascii="Arial" w:hAnsi="Arial" w:cs="Arial"/>
        </w:rPr>
        <w:t>a,b</w:t>
      </w:r>
      <w:proofErr w:type="spellEnd"/>
      <w:r>
        <w:rPr>
          <w:rFonts w:ascii="Arial" w:hAnsi="Arial" w:cs="Arial"/>
        </w:rPr>
        <w:t xml:space="preserve">. Punch biopsy of lesion on H &amp; E stain (a on 10X &amp; b on 40X) shows skin covered tissue with intact epidermis &amp; dermis. Dermis shows infiltration by atypical cells in single </w:t>
      </w:r>
      <w:proofErr w:type="spellStart"/>
      <w:proofErr w:type="gramStart"/>
      <w:r>
        <w:rPr>
          <w:rFonts w:ascii="Arial" w:hAnsi="Arial" w:cs="Arial"/>
        </w:rPr>
        <w:t>files.Cells</w:t>
      </w:r>
      <w:proofErr w:type="spellEnd"/>
      <w:proofErr w:type="gramEnd"/>
      <w:r>
        <w:rPr>
          <w:rFonts w:ascii="Arial" w:hAnsi="Arial" w:cs="Arial"/>
        </w:rPr>
        <w:t xml:space="preserve"> are hyperchromatic with high N:C </w:t>
      </w:r>
      <w:proofErr w:type="spellStart"/>
      <w:r>
        <w:rPr>
          <w:rFonts w:ascii="Arial" w:hAnsi="Arial" w:cs="Arial"/>
        </w:rPr>
        <w:t>ratio.Occasional</w:t>
      </w:r>
      <w:proofErr w:type="spellEnd"/>
      <w:r>
        <w:rPr>
          <w:rFonts w:ascii="Arial" w:hAnsi="Arial" w:cs="Arial"/>
        </w:rPr>
        <w:t xml:space="preserve"> cells show vacuolated cytoplasm, epidermis is free of infiltration by atypical cells; Further Immunohistochemistry shows these cells are </w:t>
      </w:r>
      <w:proofErr w:type="spellStart"/>
      <w:r>
        <w:rPr>
          <w:rFonts w:ascii="Arial" w:hAnsi="Arial" w:cs="Arial"/>
        </w:rPr>
        <w:t>immunopositive</w:t>
      </w:r>
      <w:proofErr w:type="spellEnd"/>
      <w:r>
        <w:rPr>
          <w:rFonts w:ascii="Arial" w:hAnsi="Arial" w:cs="Arial"/>
        </w:rPr>
        <w:t xml:space="preserve"> focally for CD34 (c), CD68 (d) CD45 (e) &amp; CD117 (f)  and negative for HMB-45 (g) Cytokeratin (h).</w:t>
      </w:r>
    </w:p>
    <w:p w14:paraId="082278D3" w14:textId="77777777" w:rsidR="00BD1A6E" w:rsidRPr="00FB3A86" w:rsidRDefault="00BD1A6E" w:rsidP="00441B6F">
      <w:pPr>
        <w:pStyle w:val="Appendix"/>
        <w:spacing w:after="0"/>
        <w:jc w:val="both"/>
        <w:rPr>
          <w:rFonts w:ascii="Arial" w:hAnsi="Arial" w:cs="Arial"/>
          <w:b w:val="0"/>
        </w:rPr>
      </w:pPr>
    </w:p>
    <w:sectPr w:rsidR="00BD1A6E" w:rsidRPr="00FB3A86" w:rsidSect="003A31DB">
      <w:headerReference w:type="even" r:id="rId28"/>
      <w:headerReference w:type="default" r:id="rId29"/>
      <w:footerReference w:type="default" r:id="rId30"/>
      <w:headerReference w:type="first" r:id="rId3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930EED" w14:textId="77777777" w:rsidR="00E121D9" w:rsidRDefault="00E121D9" w:rsidP="00C37E61">
      <w:r>
        <w:separator/>
      </w:r>
    </w:p>
  </w:endnote>
  <w:endnote w:type="continuationSeparator" w:id="0">
    <w:p w14:paraId="27FF8F04" w14:textId="77777777" w:rsidR="00E121D9" w:rsidRDefault="00E121D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D4AE6" w14:textId="77777777" w:rsidR="003A31DB" w:rsidRDefault="003A31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2829B" w14:textId="77777777" w:rsidR="003A31DB" w:rsidRDefault="003A31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FAF08" w14:textId="77777777" w:rsidR="009E048A" w:rsidRDefault="009E048A">
    <w:pPr>
      <w:pStyle w:val="Footer"/>
      <w:rPr>
        <w:rFonts w:ascii="Arial" w:hAnsi="Arial" w:cs="Arial"/>
        <w:sz w:val="16"/>
      </w:rPr>
    </w:pPr>
  </w:p>
  <w:p w14:paraId="029A9BE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05C9AA9" w14:textId="77777777" w:rsidR="009E048A" w:rsidRDefault="009E048A">
    <w:pPr>
      <w:pStyle w:val="Footer"/>
      <w:rPr>
        <w:rFonts w:ascii="Arial" w:hAnsi="Arial" w:cs="Arial"/>
        <w:sz w:val="16"/>
      </w:rPr>
    </w:pPr>
  </w:p>
  <w:p w14:paraId="7BA5E46A"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DEC8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F188B" w14:textId="77777777" w:rsidR="00E121D9" w:rsidRDefault="00E121D9" w:rsidP="00C37E61">
      <w:r>
        <w:separator/>
      </w:r>
    </w:p>
  </w:footnote>
  <w:footnote w:type="continuationSeparator" w:id="0">
    <w:p w14:paraId="1DBF8097" w14:textId="77777777" w:rsidR="00E121D9" w:rsidRDefault="00E121D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EBEB8" w14:textId="0D73D331" w:rsidR="003A31DB" w:rsidRDefault="00E121D9">
    <w:pPr>
      <w:pStyle w:val="Header"/>
    </w:pPr>
    <w:r>
      <w:rPr>
        <w:noProof/>
      </w:rPr>
      <w:pict w14:anchorId="55BEA2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929157"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B0D90" w14:textId="55D07DE2" w:rsidR="003A31DB" w:rsidRDefault="00E121D9">
    <w:pPr>
      <w:pStyle w:val="Header"/>
    </w:pPr>
    <w:r>
      <w:rPr>
        <w:noProof/>
      </w:rPr>
      <w:pict w14:anchorId="50E0A9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929158"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FB28E" w14:textId="6840DB95" w:rsidR="00296529" w:rsidRPr="00296529" w:rsidRDefault="00E121D9" w:rsidP="00296529">
    <w:pPr>
      <w:ind w:left="2160"/>
      <w:jc w:val="center"/>
      <w:rPr>
        <w:rFonts w:ascii="Times New Roman" w:eastAsia="Calibri" w:hAnsi="Times New Roman"/>
        <w:i/>
        <w:sz w:val="18"/>
        <w:szCs w:val="22"/>
      </w:rPr>
    </w:pPr>
    <w:r>
      <w:rPr>
        <w:noProof/>
      </w:rPr>
      <w:pict w14:anchorId="6167DA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929156"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1519F3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355F29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347B2F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0A9852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266C1D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B278C0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0F2A" w14:textId="2F709E1E" w:rsidR="003A31DB" w:rsidRDefault="00E121D9">
    <w:pPr>
      <w:pStyle w:val="Header"/>
    </w:pPr>
    <w:r>
      <w:rPr>
        <w:noProof/>
      </w:rPr>
      <w:pict w14:anchorId="43304F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929160"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8D238" w14:textId="2EC2585A" w:rsidR="003A31DB" w:rsidRDefault="00E121D9">
    <w:pPr>
      <w:pStyle w:val="Header"/>
    </w:pPr>
    <w:r>
      <w:rPr>
        <w:noProof/>
      </w:rPr>
      <w:pict w14:anchorId="5DD0CF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929161"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547B8" w14:textId="224B963B" w:rsidR="003A31DB" w:rsidRDefault="00E121D9">
    <w:pPr>
      <w:pStyle w:val="Header"/>
    </w:pPr>
    <w:r>
      <w:rPr>
        <w:noProof/>
      </w:rPr>
      <w:pict w14:anchorId="30E027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929159"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9B1A12"/>
    <w:multiLevelType w:val="multilevel"/>
    <w:tmpl w:val="A9E8DD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9"/>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7FE5"/>
    <w:rsid w:val="00030174"/>
    <w:rsid w:val="0004579C"/>
    <w:rsid w:val="00053A5A"/>
    <w:rsid w:val="000A086F"/>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95BDC"/>
    <w:rsid w:val="001A29D8"/>
    <w:rsid w:val="001A5CAA"/>
    <w:rsid w:val="001B0427"/>
    <w:rsid w:val="001D3A51"/>
    <w:rsid w:val="001D636B"/>
    <w:rsid w:val="001E10D2"/>
    <w:rsid w:val="001E25B4"/>
    <w:rsid w:val="001E44FE"/>
    <w:rsid w:val="00200595"/>
    <w:rsid w:val="00204835"/>
    <w:rsid w:val="002253E8"/>
    <w:rsid w:val="00231920"/>
    <w:rsid w:val="0023195C"/>
    <w:rsid w:val="0024282C"/>
    <w:rsid w:val="002460DC"/>
    <w:rsid w:val="00250985"/>
    <w:rsid w:val="002556F6"/>
    <w:rsid w:val="002768B2"/>
    <w:rsid w:val="00283105"/>
    <w:rsid w:val="00284C4C"/>
    <w:rsid w:val="00287E68"/>
    <w:rsid w:val="0029041D"/>
    <w:rsid w:val="00296529"/>
    <w:rsid w:val="002B27FB"/>
    <w:rsid w:val="002B685A"/>
    <w:rsid w:val="002C57D2"/>
    <w:rsid w:val="002E0D56"/>
    <w:rsid w:val="00315186"/>
    <w:rsid w:val="00320F6C"/>
    <w:rsid w:val="0033343E"/>
    <w:rsid w:val="003512C2"/>
    <w:rsid w:val="003613C0"/>
    <w:rsid w:val="00371FB6"/>
    <w:rsid w:val="003763C1"/>
    <w:rsid w:val="00376BBE"/>
    <w:rsid w:val="0039224F"/>
    <w:rsid w:val="003A31DB"/>
    <w:rsid w:val="003A43A4"/>
    <w:rsid w:val="003A7E18"/>
    <w:rsid w:val="003C4C86"/>
    <w:rsid w:val="003C6258"/>
    <w:rsid w:val="003E2904"/>
    <w:rsid w:val="00401927"/>
    <w:rsid w:val="0041027F"/>
    <w:rsid w:val="00412475"/>
    <w:rsid w:val="00423789"/>
    <w:rsid w:val="00430121"/>
    <w:rsid w:val="00440F43"/>
    <w:rsid w:val="00441B6F"/>
    <w:rsid w:val="00446221"/>
    <w:rsid w:val="00450E62"/>
    <w:rsid w:val="004539DB"/>
    <w:rsid w:val="00471A80"/>
    <w:rsid w:val="004D305E"/>
    <w:rsid w:val="004D4277"/>
    <w:rsid w:val="004F3106"/>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55F2C"/>
    <w:rsid w:val="0066510A"/>
    <w:rsid w:val="00673F9F"/>
    <w:rsid w:val="00686953"/>
    <w:rsid w:val="00687DEA"/>
    <w:rsid w:val="00687E67"/>
    <w:rsid w:val="006967F7"/>
    <w:rsid w:val="006A250C"/>
    <w:rsid w:val="006A5440"/>
    <w:rsid w:val="006B21D3"/>
    <w:rsid w:val="006B57D0"/>
    <w:rsid w:val="006D30FF"/>
    <w:rsid w:val="006D6940"/>
    <w:rsid w:val="006F11EC"/>
    <w:rsid w:val="0070082C"/>
    <w:rsid w:val="007171B6"/>
    <w:rsid w:val="007369E6"/>
    <w:rsid w:val="00746E59"/>
    <w:rsid w:val="00754C9A"/>
    <w:rsid w:val="0075599A"/>
    <w:rsid w:val="00761D52"/>
    <w:rsid w:val="0077749E"/>
    <w:rsid w:val="00790ADA"/>
    <w:rsid w:val="007D2288"/>
    <w:rsid w:val="007E088F"/>
    <w:rsid w:val="007F7B32"/>
    <w:rsid w:val="00804BC2"/>
    <w:rsid w:val="0081431A"/>
    <w:rsid w:val="00815542"/>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1987"/>
    <w:rsid w:val="00927834"/>
    <w:rsid w:val="009500A6"/>
    <w:rsid w:val="00957C18"/>
    <w:rsid w:val="009659BA"/>
    <w:rsid w:val="00983040"/>
    <w:rsid w:val="00987A78"/>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3686B"/>
    <w:rsid w:val="00A51431"/>
    <w:rsid w:val="00A539AD"/>
    <w:rsid w:val="00A82D86"/>
    <w:rsid w:val="00A94063"/>
    <w:rsid w:val="00AA6219"/>
    <w:rsid w:val="00AA74E0"/>
    <w:rsid w:val="00AB703F"/>
    <w:rsid w:val="00AC27E5"/>
    <w:rsid w:val="00AC6BB8"/>
    <w:rsid w:val="00AE008F"/>
    <w:rsid w:val="00AF47F8"/>
    <w:rsid w:val="00B01FCD"/>
    <w:rsid w:val="00B1776C"/>
    <w:rsid w:val="00B2438F"/>
    <w:rsid w:val="00B52583"/>
    <w:rsid w:val="00B52896"/>
    <w:rsid w:val="00B95236"/>
    <w:rsid w:val="00B96BD9"/>
    <w:rsid w:val="00BA1B01"/>
    <w:rsid w:val="00BA2641"/>
    <w:rsid w:val="00BB37AA"/>
    <w:rsid w:val="00BC53A0"/>
    <w:rsid w:val="00BD1A6E"/>
    <w:rsid w:val="00BE62AD"/>
    <w:rsid w:val="00BF121F"/>
    <w:rsid w:val="00BF1F80"/>
    <w:rsid w:val="00C166EF"/>
    <w:rsid w:val="00C17EB0"/>
    <w:rsid w:val="00C27F5F"/>
    <w:rsid w:val="00C30A0F"/>
    <w:rsid w:val="00C37E61"/>
    <w:rsid w:val="00C60CFA"/>
    <w:rsid w:val="00C70F1B"/>
    <w:rsid w:val="00C71A47"/>
    <w:rsid w:val="00C7464C"/>
    <w:rsid w:val="00C84488"/>
    <w:rsid w:val="00C85588"/>
    <w:rsid w:val="00CD6755"/>
    <w:rsid w:val="00CD6856"/>
    <w:rsid w:val="00CE0089"/>
    <w:rsid w:val="00CE793C"/>
    <w:rsid w:val="00CF193C"/>
    <w:rsid w:val="00D173F1"/>
    <w:rsid w:val="00D74CB0"/>
    <w:rsid w:val="00D80DC5"/>
    <w:rsid w:val="00D8295D"/>
    <w:rsid w:val="00DB24DC"/>
    <w:rsid w:val="00DB446E"/>
    <w:rsid w:val="00DC2A65"/>
    <w:rsid w:val="00DE15F0"/>
    <w:rsid w:val="00DE5663"/>
    <w:rsid w:val="00DE78AA"/>
    <w:rsid w:val="00E053D0"/>
    <w:rsid w:val="00E121D9"/>
    <w:rsid w:val="00E15994"/>
    <w:rsid w:val="00E21D27"/>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300A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5135638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3390/cancers15225393" TargetMode="External"/><Relationship Id="rId26"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yperlink" Target="https://doi.org/10.2340/actadv.v102.1123"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182/blood-2020-134860" TargetMode="External"/><Relationship Id="rId25" Type="http://schemas.openxmlformats.org/officeDocument/2006/relationships/hyperlink" Target="https://doi.org/10.1016/j.ijrobp.2018.05.045"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cbi.nlm.nih.gov/books/NBK541136/title" TargetMode="External"/><Relationship Id="rId20" Type="http://schemas.openxmlformats.org/officeDocument/2006/relationships/hyperlink" Target="https://doi.org/10.1182/blood.2022015850"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jfma.2020.04.025"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309/WYACYWF6NGM3WBRT" TargetMode="External"/><Relationship Id="rId23" Type="http://schemas.openxmlformats.org/officeDocument/2006/relationships/hyperlink" Target="https://doi.org/10.1097/dad.0000000000001897" TargetMode="External"/><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s://doi.org/10.2147/OTT.S245828" TargetMode="Externa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1093/ajcp/aqae133" TargetMode="External"/><Relationship Id="rId22" Type="http://schemas.openxmlformats.org/officeDocument/2006/relationships/hyperlink" Target="https://shmabstracts.org/title" TargetMode="External"/><Relationship Id="rId27" Type="http://schemas.openxmlformats.org/officeDocument/2006/relationships/image" Target="media/image2.jpeg"/><Relationship Id="rId30" Type="http://schemas.openxmlformats.org/officeDocument/2006/relationships/footer" Target="footer4.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285E4-E5E7-4323-AF96-1A0C18015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72</TotalTime>
  <Pages>5</Pages>
  <Words>2167</Words>
  <Characters>12358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14497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23</cp:revision>
  <cp:lastPrinted>1999-07-06T11:00:00Z</cp:lastPrinted>
  <dcterms:created xsi:type="dcterms:W3CDTF">2014-10-25T14:34:00Z</dcterms:created>
  <dcterms:modified xsi:type="dcterms:W3CDTF">2025-11-29T07:45:00Z</dcterms:modified>
</cp:coreProperties>
</file>