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8E0AA" w14:textId="18227BB7" w:rsidR="005C2A56" w:rsidRDefault="005C2A56" w:rsidP="000C5F25">
      <w:pPr>
        <w:pStyle w:val="Author"/>
        <w:spacing w:line="240" w:lineRule="auto"/>
        <w:rPr>
          <w:rFonts w:ascii="Arial" w:hAnsi="Arial" w:cs="Arial"/>
          <w:bCs/>
          <w:iCs/>
          <w:kern w:val="28"/>
          <w:sz w:val="36"/>
        </w:rPr>
      </w:pPr>
      <w:r w:rsidRPr="005C2A56">
        <w:rPr>
          <w:rFonts w:ascii="Arial" w:hAnsi="Arial" w:cs="Arial"/>
          <w:bCs/>
          <w:i/>
          <w:iCs/>
          <w:kern w:val="28"/>
          <w:sz w:val="36"/>
          <w:u w:val="single"/>
        </w:rPr>
        <w:t>Original Research Article</w:t>
      </w:r>
    </w:p>
    <w:p w14:paraId="66F1CBDA" w14:textId="054AC446" w:rsidR="00A258C3" w:rsidRPr="00B634DE" w:rsidRDefault="003230C0" w:rsidP="000C5F25">
      <w:pPr>
        <w:pStyle w:val="Author"/>
        <w:spacing w:line="240" w:lineRule="auto"/>
        <w:rPr>
          <w:rFonts w:ascii="Arial" w:hAnsi="Arial" w:cs="Arial"/>
          <w:bCs/>
          <w:iCs/>
          <w:kern w:val="28"/>
          <w:sz w:val="36"/>
        </w:rPr>
      </w:pPr>
      <w:r w:rsidRPr="00B634DE">
        <w:rPr>
          <w:rFonts w:ascii="Arial" w:hAnsi="Arial" w:cs="Arial"/>
          <w:bCs/>
          <w:iCs/>
          <w:kern w:val="28"/>
          <w:sz w:val="36"/>
        </w:rPr>
        <w:t>Carboxymethyl Cellulose Enhances the Quality of Sugar-Free Ginger-Milk Powder Produced by Foam-Mat Drying</w:t>
      </w:r>
    </w:p>
    <w:p w14:paraId="59C8B648" w14:textId="77777777" w:rsidR="00862B9C" w:rsidRPr="00B634DE" w:rsidRDefault="00862B9C" w:rsidP="000C5F25">
      <w:pPr>
        <w:pStyle w:val="Author"/>
        <w:spacing w:line="240" w:lineRule="auto"/>
        <w:rPr>
          <w:rFonts w:ascii="Arial" w:hAnsi="Arial" w:cs="Arial"/>
          <w:color w:val="000000" w:themeColor="text1"/>
          <w:sz w:val="36"/>
        </w:rPr>
      </w:pPr>
    </w:p>
    <w:p w14:paraId="0197B11B" w14:textId="77777777" w:rsidR="005C2A56" w:rsidRPr="00B634DE" w:rsidRDefault="005C2A56" w:rsidP="000C5F25">
      <w:pPr>
        <w:pStyle w:val="Affiliation"/>
        <w:spacing w:after="0" w:line="240" w:lineRule="auto"/>
        <w:rPr>
          <w:rFonts w:ascii="Arial" w:hAnsi="Arial" w:cs="Arial"/>
          <w:i/>
        </w:rPr>
      </w:pPr>
    </w:p>
    <w:p w14:paraId="640B8927" w14:textId="162A2DF2" w:rsidR="00B01FCD" w:rsidRPr="00B634DE" w:rsidRDefault="00B65791" w:rsidP="00441B6F">
      <w:pPr>
        <w:pStyle w:val="Copyright"/>
        <w:spacing w:after="0" w:line="240" w:lineRule="auto"/>
        <w:jc w:val="both"/>
        <w:rPr>
          <w:rFonts w:ascii="Arial" w:hAnsi="Arial" w:cs="Arial"/>
        </w:rPr>
        <w:sectPr w:rsidR="00B01FCD" w:rsidRPr="00B634DE" w:rsidSect="00222922">
          <w:headerReference w:type="even" r:id="rId8"/>
          <w:headerReference w:type="default" r:id="rId9"/>
          <w:headerReference w:type="first" r:id="rId10"/>
          <w:pgSz w:w="12240" w:h="15840" w:code="1"/>
          <w:pgMar w:top="1440" w:right="2016" w:bottom="2016" w:left="2016" w:header="720" w:footer="1296" w:gutter="0"/>
          <w:lnNumType w:countBy="1" w:restart="continuous"/>
          <w:cols w:space="720"/>
          <w:docGrid w:linePitch="272"/>
        </w:sectPr>
      </w:pPr>
      <w:r w:rsidRPr="00B634DE">
        <w:rPr>
          <w:rFonts w:ascii="Arial" w:hAnsi="Arial" w:cs="Arial"/>
          <w:noProof/>
        </w:rPr>
        <mc:AlternateContent>
          <mc:Choice Requires="wps">
            <w:drawing>
              <wp:inline distT="0" distB="0" distL="0" distR="0" wp14:anchorId="36FBD005" wp14:editId="2776DDDD">
                <wp:extent cx="5303520" cy="635"/>
                <wp:effectExtent l="17145" t="10795" r="13335" b="17780"/>
                <wp:docPr id="93019159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291D23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B634DE">
        <w:rPr>
          <w:rFonts w:ascii="Arial" w:hAnsi="Arial" w:cs="Arial"/>
        </w:rPr>
        <w:t>.</w:t>
      </w:r>
    </w:p>
    <w:p w14:paraId="299991FC" w14:textId="04CF3A9F" w:rsidR="00B01FCD" w:rsidRPr="00B634DE" w:rsidRDefault="00B01FCD" w:rsidP="00441B6F">
      <w:pPr>
        <w:pStyle w:val="AbstHead"/>
        <w:spacing w:after="0"/>
        <w:jc w:val="both"/>
        <w:rPr>
          <w:rFonts w:ascii="Arial" w:hAnsi="Arial" w:cs="Arial"/>
        </w:rPr>
      </w:pPr>
      <w:r w:rsidRPr="00B634DE">
        <w:rPr>
          <w:rFonts w:ascii="Arial" w:hAnsi="Arial" w:cs="Arial"/>
        </w:rPr>
        <w:t>ABSTRACT</w:t>
      </w:r>
      <w:r w:rsidR="0066510A" w:rsidRPr="00B634DE">
        <w:rPr>
          <w:rFonts w:ascii="Arial" w:hAnsi="Arial" w:cs="Arial"/>
        </w:rPr>
        <w:t xml:space="preserve"> </w:t>
      </w:r>
    </w:p>
    <w:p w14:paraId="03822AD8" w14:textId="77777777" w:rsidR="00790ADA" w:rsidRPr="00B634DE"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B634DE" w14:paraId="7FB0CDFE" w14:textId="77777777" w:rsidTr="001E44FE">
        <w:tc>
          <w:tcPr>
            <w:tcW w:w="9576" w:type="dxa"/>
            <w:shd w:val="clear" w:color="auto" w:fill="F2F2F2"/>
          </w:tcPr>
          <w:p w14:paraId="004BBAE4" w14:textId="59D87F33" w:rsidR="00BA1B01" w:rsidRPr="00B634DE" w:rsidRDefault="00BA1B01" w:rsidP="00441B6F">
            <w:pPr>
              <w:pStyle w:val="Body"/>
              <w:spacing w:after="0"/>
              <w:rPr>
                <w:rFonts w:ascii="Arial" w:eastAsia="Calibri" w:hAnsi="Arial" w:cs="Arial"/>
                <w:szCs w:val="22"/>
              </w:rPr>
            </w:pPr>
            <w:r w:rsidRPr="00B634DE">
              <w:rPr>
                <w:rFonts w:ascii="Arial" w:eastAsia="Calibri" w:hAnsi="Arial" w:cs="Arial"/>
                <w:b/>
                <w:szCs w:val="22"/>
              </w:rPr>
              <w:t xml:space="preserve">Aims: </w:t>
            </w:r>
            <w:r w:rsidR="000C5F25" w:rsidRPr="00B634DE">
              <w:rPr>
                <w:rFonts w:ascii="Arial" w:eastAsia="Calibri" w:hAnsi="Arial" w:cs="Arial"/>
                <w:bCs/>
                <w:szCs w:val="22"/>
              </w:rPr>
              <w:t>T</w:t>
            </w:r>
            <w:r w:rsidR="000C5F25" w:rsidRPr="00B634DE">
              <w:rPr>
                <w:rFonts w:ascii="Arial" w:eastAsia="Calibri" w:hAnsi="Arial" w:cs="Arial"/>
                <w:szCs w:val="22"/>
              </w:rPr>
              <w:t xml:space="preserve">o </w:t>
            </w:r>
            <w:r w:rsidR="00862B9C" w:rsidRPr="00B634DE">
              <w:rPr>
                <w:rFonts w:ascii="Arial" w:eastAsia="Calibri" w:hAnsi="Arial" w:cs="Arial"/>
                <w:szCs w:val="22"/>
              </w:rPr>
              <w:t>evaluate</w:t>
            </w:r>
            <w:r w:rsidR="000C5F25" w:rsidRPr="00B634DE">
              <w:rPr>
                <w:rFonts w:ascii="Arial" w:eastAsia="Calibri" w:hAnsi="Arial" w:cs="Arial"/>
                <w:szCs w:val="22"/>
              </w:rPr>
              <w:t xml:space="preserve"> the effect</w:t>
            </w:r>
            <w:r w:rsidR="00862B9C" w:rsidRPr="00B634DE">
              <w:rPr>
                <w:rFonts w:ascii="Arial" w:eastAsia="Calibri" w:hAnsi="Arial" w:cs="Arial"/>
                <w:szCs w:val="22"/>
              </w:rPr>
              <w:t>s</w:t>
            </w:r>
            <w:r w:rsidR="000C5F25" w:rsidRPr="00B634DE">
              <w:rPr>
                <w:rFonts w:ascii="Arial" w:eastAsia="Calibri" w:hAnsi="Arial" w:cs="Arial"/>
                <w:szCs w:val="22"/>
              </w:rPr>
              <w:t xml:space="preserve"> of </w:t>
            </w:r>
            <w:r w:rsidR="00AC1AD5" w:rsidRPr="00B634DE">
              <w:rPr>
                <w:rFonts w:ascii="Arial" w:eastAsia="Calibri" w:hAnsi="Arial" w:cs="Arial"/>
                <w:szCs w:val="22"/>
              </w:rPr>
              <w:t>different</w:t>
            </w:r>
            <w:r w:rsidR="00862B9C" w:rsidRPr="00B634DE">
              <w:rPr>
                <w:rFonts w:ascii="Arial" w:eastAsia="Calibri" w:hAnsi="Arial" w:cs="Arial"/>
                <w:szCs w:val="22"/>
              </w:rPr>
              <w:t xml:space="preserve"> concentrations</w:t>
            </w:r>
            <w:r w:rsidR="000C5F25" w:rsidRPr="00B634DE">
              <w:rPr>
                <w:rFonts w:ascii="Arial" w:eastAsia="Calibri" w:hAnsi="Arial" w:cs="Arial"/>
                <w:szCs w:val="22"/>
              </w:rPr>
              <w:t xml:space="preserve"> of carboxymethyl cellulose (CMC) </w:t>
            </w:r>
            <w:r w:rsidR="00862B9C" w:rsidRPr="00B634DE">
              <w:rPr>
                <w:rFonts w:ascii="Arial" w:eastAsia="Calibri" w:hAnsi="Arial" w:cs="Arial"/>
                <w:szCs w:val="22"/>
              </w:rPr>
              <w:t xml:space="preserve">and gum Arabic </w:t>
            </w:r>
            <w:r w:rsidR="000C5F25" w:rsidRPr="00B634DE">
              <w:rPr>
                <w:rFonts w:ascii="Arial" w:eastAsia="Calibri" w:hAnsi="Arial" w:cs="Arial"/>
                <w:szCs w:val="22"/>
              </w:rPr>
              <w:t>as stabilizers on</w:t>
            </w:r>
            <w:r w:rsidR="00862B9C" w:rsidRPr="00B634DE">
              <w:rPr>
                <w:rFonts w:ascii="Arial" w:eastAsia="Calibri" w:hAnsi="Arial" w:cs="Arial"/>
                <w:szCs w:val="22"/>
              </w:rPr>
              <w:t xml:space="preserve"> the</w:t>
            </w:r>
            <w:r w:rsidR="000C5F25" w:rsidRPr="00B634DE">
              <w:rPr>
                <w:rFonts w:ascii="Arial" w:eastAsia="Calibri" w:hAnsi="Arial" w:cs="Arial"/>
                <w:szCs w:val="22"/>
              </w:rPr>
              <w:t xml:space="preserve"> quality attributes of</w:t>
            </w:r>
            <w:r w:rsidR="00AC1AD5" w:rsidRPr="00B634DE">
              <w:rPr>
                <w:rFonts w:ascii="Arial" w:eastAsia="Calibri" w:hAnsi="Arial" w:cs="Arial"/>
                <w:szCs w:val="22"/>
              </w:rPr>
              <w:t xml:space="preserve"> </w:t>
            </w:r>
            <w:r w:rsidR="000C5F25" w:rsidRPr="00B634DE">
              <w:rPr>
                <w:rFonts w:ascii="Arial" w:eastAsia="Calibri" w:hAnsi="Arial" w:cs="Arial"/>
                <w:szCs w:val="22"/>
              </w:rPr>
              <w:t>ginger</w:t>
            </w:r>
            <w:r w:rsidR="0010299C" w:rsidRPr="00B634DE">
              <w:rPr>
                <w:rFonts w:ascii="Arial" w:eastAsia="Calibri" w:hAnsi="Arial" w:cs="Arial"/>
                <w:szCs w:val="22"/>
              </w:rPr>
              <w:t>-</w:t>
            </w:r>
            <w:r w:rsidR="000C5F25" w:rsidRPr="00B634DE">
              <w:rPr>
                <w:rFonts w:ascii="Arial" w:eastAsia="Calibri" w:hAnsi="Arial" w:cs="Arial"/>
                <w:szCs w:val="22"/>
              </w:rPr>
              <w:t xml:space="preserve">milk powder </w:t>
            </w:r>
            <w:r w:rsidR="00AC1AD5" w:rsidRPr="00B634DE">
              <w:rPr>
                <w:rFonts w:ascii="Arial" w:eastAsia="Calibri" w:hAnsi="Arial" w:cs="Arial"/>
                <w:szCs w:val="22"/>
              </w:rPr>
              <w:t>produced using</w:t>
            </w:r>
            <w:r w:rsidR="000C5F25" w:rsidRPr="00B634DE">
              <w:rPr>
                <w:rFonts w:ascii="Arial" w:eastAsia="Calibri" w:hAnsi="Arial" w:cs="Arial"/>
                <w:szCs w:val="22"/>
              </w:rPr>
              <w:t xml:space="preserve"> </w:t>
            </w:r>
            <w:r w:rsidR="00862B9C" w:rsidRPr="00B634DE">
              <w:rPr>
                <w:rFonts w:ascii="Arial" w:eastAsia="Calibri" w:hAnsi="Arial" w:cs="Arial"/>
                <w:szCs w:val="22"/>
              </w:rPr>
              <w:t xml:space="preserve">the </w:t>
            </w:r>
            <w:r w:rsidR="000C5F25" w:rsidRPr="00B634DE">
              <w:rPr>
                <w:rFonts w:ascii="Arial" w:eastAsia="Calibri" w:hAnsi="Arial" w:cs="Arial"/>
                <w:szCs w:val="22"/>
              </w:rPr>
              <w:t>foam-mat drying</w:t>
            </w:r>
            <w:r w:rsidR="00862B9C" w:rsidRPr="00B634DE">
              <w:rPr>
                <w:rFonts w:ascii="Arial" w:eastAsia="Calibri" w:hAnsi="Arial" w:cs="Arial"/>
                <w:szCs w:val="22"/>
              </w:rPr>
              <w:t xml:space="preserve"> method</w:t>
            </w:r>
            <w:r w:rsidRPr="00B634DE">
              <w:rPr>
                <w:rFonts w:ascii="Arial" w:eastAsia="Calibri" w:hAnsi="Arial" w:cs="Arial"/>
                <w:szCs w:val="22"/>
              </w:rPr>
              <w:t>.</w:t>
            </w:r>
          </w:p>
          <w:p w14:paraId="744D73E6" w14:textId="6C19C092" w:rsidR="00BA1B01" w:rsidRPr="00B634DE" w:rsidRDefault="00BA1B01" w:rsidP="00441B6F">
            <w:pPr>
              <w:pStyle w:val="Body"/>
              <w:spacing w:after="0"/>
              <w:rPr>
                <w:rFonts w:ascii="Arial" w:eastAsia="Calibri" w:hAnsi="Arial" w:cs="Arial"/>
                <w:szCs w:val="22"/>
              </w:rPr>
            </w:pPr>
            <w:r w:rsidRPr="00B634DE">
              <w:rPr>
                <w:rFonts w:ascii="Arial" w:eastAsia="Calibri" w:hAnsi="Arial" w:cs="Arial"/>
                <w:b/>
                <w:szCs w:val="22"/>
              </w:rPr>
              <w:t>Study design:</w:t>
            </w:r>
            <w:r w:rsidRPr="00B634DE">
              <w:rPr>
                <w:rFonts w:ascii="Arial" w:eastAsia="Calibri" w:hAnsi="Arial" w:cs="Arial"/>
                <w:szCs w:val="22"/>
              </w:rPr>
              <w:t xml:space="preserve"> </w:t>
            </w:r>
            <w:r w:rsidR="003230C0" w:rsidRPr="00B634DE">
              <w:rPr>
                <w:rFonts w:ascii="Arial" w:eastAsia="Calibri" w:hAnsi="Arial" w:cs="Arial"/>
                <w:szCs w:val="22"/>
              </w:rPr>
              <w:t>A completely randomized design (CRD) was employed, consisting of seven formulations: one control without stabilizer (K), three CMC treatments at 1–3% (F1–F3), and three gum Arabic treatments at 1–3% (F4–F6).</w:t>
            </w:r>
          </w:p>
          <w:p w14:paraId="4A9AF08A" w14:textId="43F4FDBD" w:rsidR="00AC1AD5" w:rsidRPr="00B634DE" w:rsidRDefault="00BA1B01" w:rsidP="00441B6F">
            <w:pPr>
              <w:pStyle w:val="Body"/>
              <w:spacing w:after="0"/>
              <w:rPr>
                <w:rFonts w:ascii="Arial" w:eastAsia="Calibri" w:hAnsi="Arial" w:cs="Arial"/>
                <w:szCs w:val="22"/>
              </w:rPr>
            </w:pPr>
            <w:r w:rsidRPr="00B634DE">
              <w:rPr>
                <w:rFonts w:ascii="Arial" w:eastAsia="Calibri" w:hAnsi="Arial" w:cs="Arial"/>
                <w:b/>
                <w:szCs w:val="22"/>
              </w:rPr>
              <w:t>Place and Duration of Study:</w:t>
            </w:r>
            <w:r w:rsidRPr="00B634DE">
              <w:rPr>
                <w:rFonts w:ascii="Arial" w:eastAsia="Calibri" w:hAnsi="Arial" w:cs="Arial"/>
                <w:szCs w:val="22"/>
              </w:rPr>
              <w:t xml:space="preserve"> </w:t>
            </w:r>
            <w:r w:rsidR="00AC1AD5" w:rsidRPr="00B634DE">
              <w:rPr>
                <w:rFonts w:ascii="Arial" w:eastAsia="Calibri" w:hAnsi="Arial" w:cs="Arial"/>
                <w:szCs w:val="22"/>
              </w:rPr>
              <w:t xml:space="preserve">Natural Product Pharmacy Laboratory, </w:t>
            </w:r>
            <w:proofErr w:type="spellStart"/>
            <w:r w:rsidR="00AC1AD5" w:rsidRPr="00B634DE">
              <w:rPr>
                <w:rFonts w:ascii="Arial" w:eastAsia="Calibri" w:hAnsi="Arial" w:cs="Arial"/>
                <w:szCs w:val="22"/>
              </w:rPr>
              <w:t>Notokusumo</w:t>
            </w:r>
            <w:proofErr w:type="spellEnd"/>
            <w:r w:rsidR="00AC1AD5" w:rsidRPr="00B634DE">
              <w:rPr>
                <w:rFonts w:ascii="Arial" w:eastAsia="Calibri" w:hAnsi="Arial" w:cs="Arial"/>
                <w:szCs w:val="22"/>
              </w:rPr>
              <w:t xml:space="preserve"> Yogyakarta College of Health Sciences</w:t>
            </w:r>
            <w:r w:rsidR="009F08DE" w:rsidRPr="00B634DE">
              <w:rPr>
                <w:rFonts w:ascii="Arial" w:eastAsia="Calibri" w:hAnsi="Arial" w:cs="Arial"/>
                <w:szCs w:val="22"/>
              </w:rPr>
              <w:t>;</w:t>
            </w:r>
            <w:r w:rsidR="00AC1AD5" w:rsidRPr="00B634DE">
              <w:rPr>
                <w:rFonts w:ascii="Arial" w:eastAsia="Calibri" w:hAnsi="Arial" w:cs="Arial"/>
                <w:szCs w:val="22"/>
              </w:rPr>
              <w:t xml:space="preserve"> conducted from April to June 2025.</w:t>
            </w:r>
          </w:p>
          <w:p w14:paraId="4C8356EE" w14:textId="042254EA" w:rsidR="00F50267" w:rsidRPr="00B634DE" w:rsidRDefault="00BA1B01" w:rsidP="00441B6F">
            <w:pPr>
              <w:pStyle w:val="Body"/>
              <w:spacing w:after="0"/>
              <w:rPr>
                <w:rFonts w:ascii="Arial" w:eastAsia="Calibri" w:hAnsi="Arial" w:cs="Arial"/>
                <w:szCs w:val="22"/>
              </w:rPr>
            </w:pPr>
            <w:r w:rsidRPr="00B634DE">
              <w:rPr>
                <w:rFonts w:ascii="Arial" w:eastAsia="Calibri" w:hAnsi="Arial" w:cs="Arial"/>
                <w:b/>
                <w:bCs/>
                <w:szCs w:val="22"/>
              </w:rPr>
              <w:t>Methodology:</w:t>
            </w:r>
            <w:r w:rsidRPr="00B634DE">
              <w:rPr>
                <w:rFonts w:ascii="Arial" w:eastAsia="Calibri" w:hAnsi="Arial" w:cs="Arial"/>
                <w:szCs w:val="22"/>
              </w:rPr>
              <w:t xml:space="preserve"> </w:t>
            </w:r>
            <w:r w:rsidR="003230C0" w:rsidRPr="00B634DE">
              <w:rPr>
                <w:rFonts w:ascii="Arial" w:eastAsia="Calibri" w:hAnsi="Arial" w:cs="Arial"/>
                <w:szCs w:val="22"/>
              </w:rPr>
              <w:t>Foam-mat drying was applied to prepare sugar-free ginger milk formulations containing varying concentrations of CMC or gum Arabic (1–3%). After homogenization and foaming using egg white, the mixtures were dried and powdered. The resulting samples were assessed for foam stability, density, color, moisture content, dissolution rate, pH, sensory acceptance, and FTIR spectroscopy. The formulation demonstrating the best overall properties, particularly in foam stability and color, was selected</w:t>
            </w:r>
            <w:r w:rsidR="00F50267" w:rsidRPr="00B634DE">
              <w:rPr>
                <w:rFonts w:ascii="Arial" w:eastAsia="Calibri" w:hAnsi="Arial" w:cs="Arial"/>
                <w:szCs w:val="22"/>
              </w:rPr>
              <w:t>.</w:t>
            </w:r>
          </w:p>
          <w:p w14:paraId="742E4E06" w14:textId="4AA16B94" w:rsidR="00BA1B01" w:rsidRPr="00B634DE" w:rsidRDefault="00BA1B01" w:rsidP="00441B6F">
            <w:pPr>
              <w:pStyle w:val="Body"/>
              <w:spacing w:after="0"/>
              <w:rPr>
                <w:rFonts w:ascii="Arial" w:eastAsia="Calibri" w:hAnsi="Arial" w:cs="Arial"/>
                <w:szCs w:val="22"/>
              </w:rPr>
            </w:pPr>
            <w:r w:rsidRPr="00B634DE">
              <w:rPr>
                <w:rFonts w:ascii="Arial" w:eastAsia="Calibri" w:hAnsi="Arial" w:cs="Arial"/>
                <w:b/>
                <w:bCs/>
                <w:szCs w:val="22"/>
              </w:rPr>
              <w:t>Results:</w:t>
            </w:r>
            <w:r w:rsidRPr="00B634DE">
              <w:rPr>
                <w:rFonts w:ascii="Arial" w:eastAsia="Calibri" w:hAnsi="Arial" w:cs="Arial"/>
                <w:szCs w:val="22"/>
              </w:rPr>
              <w:t xml:space="preserve"> </w:t>
            </w:r>
            <w:r w:rsidR="003230C0" w:rsidRPr="00B634DE">
              <w:rPr>
                <w:rFonts w:ascii="Arial" w:eastAsia="Calibri" w:hAnsi="Arial" w:cs="Arial"/>
                <w:szCs w:val="22"/>
              </w:rPr>
              <w:t>The quality parameters were significantly influenced by both stabilizers. Notably, gum Arabic treatments failed to form stable foam, whereas CMC produced stable foam across all concentrations. The 3% CMC (F3) formulation showed preferable characteristics with good foam stability and thick appearance, bright color (L = 81.55), moderate moisture content of 6.72%, and neutral pH of 7.38. Although sensory analysis showed negligible effects between samples, the F3 formulation achieved the highest color preference score</w:t>
            </w:r>
            <w:r w:rsidR="00166147" w:rsidRPr="00B634DE">
              <w:rPr>
                <w:rFonts w:ascii="Arial" w:eastAsia="Calibri" w:hAnsi="Arial" w:cs="Arial"/>
                <w:szCs w:val="22"/>
              </w:rPr>
              <w:t>.</w:t>
            </w:r>
            <w:r w:rsidR="00824D3E" w:rsidRPr="00B634DE">
              <w:rPr>
                <w:rFonts w:ascii="Arial" w:eastAsia="Calibri" w:hAnsi="Arial" w:cs="Arial"/>
                <w:szCs w:val="22"/>
              </w:rPr>
              <w:t xml:space="preserve"> </w:t>
            </w:r>
          </w:p>
          <w:p w14:paraId="16F2E7BC" w14:textId="49AC6B1B" w:rsidR="00505F06" w:rsidRPr="00B634DE" w:rsidRDefault="00BA1B01" w:rsidP="00441B6F">
            <w:pPr>
              <w:pStyle w:val="Body"/>
              <w:spacing w:after="0"/>
              <w:rPr>
                <w:rFonts w:ascii="Arial" w:eastAsia="Calibri" w:hAnsi="Arial" w:cs="Arial"/>
                <w:szCs w:val="22"/>
              </w:rPr>
            </w:pPr>
            <w:r w:rsidRPr="00B634DE">
              <w:rPr>
                <w:rFonts w:ascii="Arial" w:eastAsia="Calibri" w:hAnsi="Arial" w:cs="Arial"/>
                <w:b/>
                <w:bCs/>
                <w:szCs w:val="22"/>
              </w:rPr>
              <w:t>Conclusion:</w:t>
            </w:r>
            <w:r w:rsidRPr="00B634DE">
              <w:rPr>
                <w:rFonts w:ascii="Arial" w:eastAsia="Calibri" w:hAnsi="Arial" w:cs="Arial"/>
                <w:szCs w:val="22"/>
              </w:rPr>
              <w:t xml:space="preserve"> </w:t>
            </w:r>
            <w:r w:rsidR="003230C0" w:rsidRPr="00B634DE">
              <w:rPr>
                <w:rFonts w:ascii="Arial" w:eastAsia="Calibri" w:hAnsi="Arial" w:cs="Arial"/>
                <w:szCs w:val="22"/>
              </w:rPr>
              <w:t>Foam-mat drying with 3% CMC is a potentially applicable method to produce high-quality sugar-free ginger-milk powder, offering a practical, cost-effective alternative for SMEs.</w:t>
            </w:r>
          </w:p>
        </w:tc>
      </w:tr>
    </w:tbl>
    <w:p w14:paraId="3CDB7A0B" w14:textId="77777777" w:rsidR="00636EB2" w:rsidRPr="00B634DE" w:rsidRDefault="00636EB2" w:rsidP="00441B6F">
      <w:pPr>
        <w:pStyle w:val="Body"/>
        <w:spacing w:after="0"/>
        <w:rPr>
          <w:rFonts w:ascii="Arial" w:hAnsi="Arial" w:cs="Arial"/>
          <w:i/>
        </w:rPr>
      </w:pPr>
    </w:p>
    <w:p w14:paraId="4AE5B9B5" w14:textId="351FB5AF" w:rsidR="00A24E7E" w:rsidRPr="00B634DE" w:rsidRDefault="00A24E7E" w:rsidP="00441B6F">
      <w:pPr>
        <w:pStyle w:val="Body"/>
        <w:spacing w:after="0"/>
        <w:rPr>
          <w:rFonts w:ascii="Arial" w:hAnsi="Arial" w:cs="Arial"/>
          <w:i/>
        </w:rPr>
      </w:pPr>
      <w:r w:rsidRPr="00B634DE">
        <w:rPr>
          <w:rFonts w:ascii="Arial" w:hAnsi="Arial" w:cs="Arial"/>
          <w:i/>
        </w:rPr>
        <w:t xml:space="preserve">Keywords: </w:t>
      </w:r>
      <w:r w:rsidR="007F65B2" w:rsidRPr="00B634DE">
        <w:rPr>
          <w:rFonts w:ascii="Arial" w:hAnsi="Arial" w:cs="Arial"/>
          <w:i/>
        </w:rPr>
        <w:t xml:space="preserve">Carboxymethyl cellulose; </w:t>
      </w:r>
      <w:r w:rsidR="00036F7B" w:rsidRPr="00B634DE">
        <w:rPr>
          <w:rFonts w:ascii="Arial" w:hAnsi="Arial" w:cs="Arial"/>
          <w:i/>
        </w:rPr>
        <w:t>foam-mat</w:t>
      </w:r>
      <w:r w:rsidR="007F65B2" w:rsidRPr="00B634DE">
        <w:rPr>
          <w:rFonts w:ascii="Arial" w:hAnsi="Arial" w:cs="Arial"/>
          <w:i/>
        </w:rPr>
        <w:t xml:space="preserve"> drying; ginger milk powder, gum Arabic; physicochemical properties; sensory analysis.</w:t>
      </w:r>
    </w:p>
    <w:p w14:paraId="6A123A0E" w14:textId="77777777" w:rsidR="00790ADA" w:rsidRPr="00B634DE" w:rsidRDefault="00790ADA" w:rsidP="00441B6F">
      <w:pPr>
        <w:pStyle w:val="Body"/>
        <w:spacing w:after="0"/>
        <w:rPr>
          <w:rFonts w:ascii="Arial" w:hAnsi="Arial" w:cs="Arial"/>
          <w:i/>
        </w:rPr>
      </w:pPr>
    </w:p>
    <w:p w14:paraId="31D3ECB9" w14:textId="212FE955" w:rsidR="007F7B32" w:rsidRPr="00B634DE" w:rsidRDefault="00B01FCD" w:rsidP="00530638">
      <w:pPr>
        <w:pStyle w:val="INTRO"/>
        <w:spacing w:line="480" w:lineRule="auto"/>
      </w:pPr>
      <w:r w:rsidRPr="00B634DE">
        <w:t>INTRODUCTION</w:t>
      </w:r>
    </w:p>
    <w:p w14:paraId="58CD5B69" w14:textId="5233E7CC" w:rsidR="007F65B2" w:rsidRPr="00B634DE" w:rsidRDefault="007F65B2" w:rsidP="00530638">
      <w:pPr>
        <w:pStyle w:val="Body"/>
        <w:spacing w:after="0" w:line="480" w:lineRule="auto"/>
        <w:ind w:firstLine="567"/>
        <w:rPr>
          <w:rFonts w:ascii="Arial" w:hAnsi="Arial" w:cs="Arial"/>
        </w:rPr>
      </w:pPr>
      <w:r w:rsidRPr="00B634DE">
        <w:rPr>
          <w:rFonts w:ascii="Arial" w:hAnsi="Arial" w:cs="Arial"/>
        </w:rPr>
        <w:t>Ginger (</w:t>
      </w:r>
      <w:proofErr w:type="spellStart"/>
      <w:r w:rsidRPr="00B634DE">
        <w:rPr>
          <w:rFonts w:ascii="Arial" w:hAnsi="Arial" w:cs="Arial"/>
          <w:i/>
          <w:iCs/>
        </w:rPr>
        <w:t>Zingiber</w:t>
      </w:r>
      <w:proofErr w:type="spellEnd"/>
      <w:r w:rsidRPr="00B634DE">
        <w:rPr>
          <w:rFonts w:ascii="Arial" w:hAnsi="Arial" w:cs="Arial"/>
          <w:i/>
          <w:iCs/>
        </w:rPr>
        <w:t xml:space="preserve"> </w:t>
      </w:r>
      <w:proofErr w:type="spellStart"/>
      <w:r w:rsidRPr="00B634DE">
        <w:rPr>
          <w:rFonts w:ascii="Arial" w:hAnsi="Arial" w:cs="Arial"/>
          <w:i/>
          <w:iCs/>
        </w:rPr>
        <w:t>officinale</w:t>
      </w:r>
      <w:proofErr w:type="spellEnd"/>
      <w:r w:rsidRPr="00B634DE">
        <w:rPr>
          <w:rFonts w:ascii="Arial" w:hAnsi="Arial" w:cs="Arial"/>
        </w:rPr>
        <w:t xml:space="preserve"> Roscoe), a spice plant belongs to the </w:t>
      </w:r>
      <w:proofErr w:type="spellStart"/>
      <w:r w:rsidRPr="00B634DE">
        <w:rPr>
          <w:rFonts w:ascii="Arial" w:hAnsi="Arial" w:cs="Arial"/>
          <w:i/>
          <w:iCs/>
        </w:rPr>
        <w:t>Zingiberaceae</w:t>
      </w:r>
      <w:proofErr w:type="spellEnd"/>
      <w:r w:rsidRPr="00B634DE">
        <w:rPr>
          <w:rFonts w:ascii="Arial" w:hAnsi="Arial" w:cs="Arial"/>
        </w:rPr>
        <w:t xml:space="preserve"> family, is widely cultivated in tropical and subtropical regions including Indonesia. It contains various bioactive compounds such as gingerol, shogaol, and zingerone, which possess various pharmacological activities including anti-inflammatory, antioxidant, antimicrobial, and immunomodulatory effects (</w:t>
      </w:r>
      <w:proofErr w:type="spellStart"/>
      <w:r w:rsidRPr="00B634DE">
        <w:rPr>
          <w:rFonts w:ascii="Arial" w:hAnsi="Arial" w:cs="Arial"/>
        </w:rPr>
        <w:t>Ahnafani</w:t>
      </w:r>
      <w:proofErr w:type="spellEnd"/>
      <w:r w:rsidRPr="00B634DE">
        <w:rPr>
          <w:rFonts w:ascii="Arial" w:hAnsi="Arial" w:cs="Arial"/>
        </w:rPr>
        <w:t xml:space="preserve"> et al., 2024). Indonesia ranks among the world’s largest </w:t>
      </w:r>
      <w:r w:rsidRPr="00B634DE">
        <w:rPr>
          <w:rFonts w:ascii="Arial" w:hAnsi="Arial" w:cs="Arial"/>
        </w:rPr>
        <w:lastRenderedPageBreak/>
        <w:t>ginger-producing countries, with a total production of 307.24 thousand tons in 2021 (Central Statistical Bureau, 2024). Ginger is traditionally processed into various food and beverage products in Indonesia. One of the most popular ginger products is ginger-milk powder valued as functional properties of ginger and the nutritional benefits of milk.</w:t>
      </w:r>
    </w:p>
    <w:p w14:paraId="5938BF48" w14:textId="3525CE29" w:rsidR="007F65B2" w:rsidRPr="007F65B2" w:rsidRDefault="007F65B2" w:rsidP="00530638">
      <w:pPr>
        <w:pStyle w:val="Body"/>
        <w:spacing w:after="0" w:line="480" w:lineRule="auto"/>
        <w:ind w:firstLine="567"/>
        <w:rPr>
          <w:rFonts w:ascii="Arial" w:hAnsi="Arial" w:cs="Arial"/>
        </w:rPr>
      </w:pPr>
      <w:r w:rsidRPr="00B634DE">
        <w:rPr>
          <w:rFonts w:ascii="Arial" w:hAnsi="Arial" w:cs="Arial"/>
        </w:rPr>
        <w:t>Traditionally, ginger-milk powder is produced using the sugar-crystallization</w:t>
      </w:r>
      <w:r w:rsidRPr="007F65B2">
        <w:rPr>
          <w:rFonts w:ascii="Arial" w:hAnsi="Arial" w:cs="Arial"/>
        </w:rPr>
        <w:t xml:space="preserve"> method, which depends on sugar as a catalyst during heating to form crystalline solids. In this process, ginger extract or juice is mixed with milk and sugar, heated for a certain period to </w:t>
      </w:r>
      <w:r w:rsidR="00B470FA" w:rsidRPr="007F65B2">
        <w:rPr>
          <w:rFonts w:ascii="Arial" w:hAnsi="Arial" w:cs="Arial"/>
        </w:rPr>
        <w:t>initiate</w:t>
      </w:r>
      <w:r w:rsidRPr="007F65B2">
        <w:rPr>
          <w:rFonts w:ascii="Arial" w:hAnsi="Arial" w:cs="Arial"/>
        </w:rPr>
        <w:t xml:space="preserve"> crystallization, and then the mixture is ground into a coarse powder (</w:t>
      </w:r>
      <w:proofErr w:type="spellStart"/>
      <w:r w:rsidRPr="007F65B2">
        <w:rPr>
          <w:rFonts w:ascii="Arial" w:hAnsi="Arial" w:cs="Arial"/>
        </w:rPr>
        <w:t>Aslamiyah</w:t>
      </w:r>
      <w:proofErr w:type="spellEnd"/>
      <w:r w:rsidRPr="007F65B2">
        <w:rPr>
          <w:rFonts w:ascii="Arial" w:hAnsi="Arial" w:cs="Arial"/>
        </w:rPr>
        <w:t xml:space="preserve"> et al., 2019). However, this technique presents several limitations, particularly for small and medium-sized enterprises (SMEs) that are seeking to develop healthier, sugar-free formulations. Because sugar is indispensable in the crystallization process, SMEs face challenges in innovating product formulations for low-sugar or sugar-free markets, which are increasingly demanded by health-conscious consumers (Chang, 2020). Moreover, the resulting product usually exhibit</w:t>
      </w:r>
      <w:r w:rsidR="00B04403">
        <w:rPr>
          <w:rFonts w:ascii="Arial" w:hAnsi="Arial" w:cs="Arial"/>
        </w:rPr>
        <w:t>s</w:t>
      </w:r>
      <w:r w:rsidRPr="007F65B2">
        <w:rPr>
          <w:rFonts w:ascii="Arial" w:hAnsi="Arial" w:cs="Arial"/>
        </w:rPr>
        <w:t xml:space="preserve"> coarse texture, non-uniform dispersion, and poor aroma retention, reducing its overall sensory quality and market competitiveness (</w:t>
      </w:r>
      <w:proofErr w:type="spellStart"/>
      <w:r w:rsidRPr="007F65B2">
        <w:rPr>
          <w:rFonts w:ascii="Arial" w:hAnsi="Arial" w:cs="Arial"/>
        </w:rPr>
        <w:t>BehnamNik</w:t>
      </w:r>
      <w:proofErr w:type="spellEnd"/>
      <w:r w:rsidRPr="007F65B2">
        <w:rPr>
          <w:rFonts w:ascii="Arial" w:hAnsi="Arial" w:cs="Arial"/>
        </w:rPr>
        <w:t xml:space="preserve"> and </w:t>
      </w:r>
      <w:proofErr w:type="spellStart"/>
      <w:r w:rsidRPr="007F65B2">
        <w:rPr>
          <w:rFonts w:ascii="Arial" w:hAnsi="Arial" w:cs="Arial"/>
        </w:rPr>
        <w:t>Vazifedoost</w:t>
      </w:r>
      <w:proofErr w:type="spellEnd"/>
      <w:r w:rsidRPr="007F65B2">
        <w:rPr>
          <w:rFonts w:ascii="Arial" w:hAnsi="Arial" w:cs="Arial"/>
        </w:rPr>
        <w:t>, 2020).</w:t>
      </w:r>
    </w:p>
    <w:p w14:paraId="710F1BD3" w14:textId="59F65057" w:rsidR="007F65B2" w:rsidRPr="007F65B2" w:rsidRDefault="007F65B2" w:rsidP="00530638">
      <w:pPr>
        <w:pStyle w:val="Body"/>
        <w:spacing w:after="0" w:line="480" w:lineRule="auto"/>
        <w:ind w:firstLine="567"/>
        <w:rPr>
          <w:rFonts w:ascii="Arial" w:hAnsi="Arial" w:cs="Arial"/>
        </w:rPr>
      </w:pPr>
      <w:r w:rsidRPr="007F65B2">
        <w:rPr>
          <w:rFonts w:ascii="Arial" w:hAnsi="Arial" w:cs="Arial"/>
        </w:rPr>
        <w:t>Alternative drying technologies, such as freeze-drying, spray drying, and foam-mat drying, have been explored to improve powder quality. While freeze drying and spray drying can produce fine and homogeneous powders, these technologies require expensive equipment, high energy input, and specialized facilities, making them not feasible for small-scale processors (</w:t>
      </w:r>
      <w:proofErr w:type="spellStart"/>
      <w:r w:rsidRPr="007F65B2">
        <w:rPr>
          <w:rFonts w:ascii="Arial" w:hAnsi="Arial" w:cs="Arial"/>
        </w:rPr>
        <w:t>Ciurzyńska</w:t>
      </w:r>
      <w:proofErr w:type="spellEnd"/>
      <w:r w:rsidRPr="007F65B2">
        <w:rPr>
          <w:rFonts w:ascii="Arial" w:hAnsi="Arial" w:cs="Arial"/>
        </w:rPr>
        <w:t xml:space="preserve"> and </w:t>
      </w:r>
      <w:proofErr w:type="spellStart"/>
      <w:r w:rsidRPr="007F65B2">
        <w:rPr>
          <w:rFonts w:ascii="Arial" w:hAnsi="Arial" w:cs="Arial"/>
        </w:rPr>
        <w:t>Lenart</w:t>
      </w:r>
      <w:proofErr w:type="spellEnd"/>
      <w:r w:rsidRPr="007F65B2">
        <w:rPr>
          <w:rFonts w:ascii="Arial" w:hAnsi="Arial" w:cs="Arial"/>
        </w:rPr>
        <w:t>, 2011). Consequently, SMEs face a substantial technological gap, as they are unable to adopt high-cost industrial drying methods while remaining constrained by the limitations of traditional sugar-based processing. To overcome these challenges, the foam-mat drying method offers a cost-effective, energy-efficient, and adaptable alternative that is well suited for SME-scale production (</w:t>
      </w:r>
      <w:proofErr w:type="spellStart"/>
      <w:r w:rsidRPr="007F65B2">
        <w:rPr>
          <w:rFonts w:ascii="Arial" w:hAnsi="Arial" w:cs="Arial"/>
        </w:rPr>
        <w:t>Sangamitra</w:t>
      </w:r>
      <w:proofErr w:type="spellEnd"/>
      <w:r w:rsidRPr="007F65B2">
        <w:rPr>
          <w:rFonts w:ascii="Arial" w:hAnsi="Arial" w:cs="Arial"/>
        </w:rPr>
        <w:t xml:space="preserve"> et al., </w:t>
      </w:r>
      <w:proofErr w:type="gramStart"/>
      <w:r w:rsidRPr="007F65B2">
        <w:rPr>
          <w:rFonts w:ascii="Arial" w:hAnsi="Arial" w:cs="Arial"/>
        </w:rPr>
        <w:t>2015;.</w:t>
      </w:r>
      <w:proofErr w:type="gramEnd"/>
    </w:p>
    <w:p w14:paraId="6BAB525B" w14:textId="4CA9A2DE" w:rsidR="007F65B2" w:rsidRPr="007F65B2" w:rsidRDefault="00BF47C6" w:rsidP="00530638">
      <w:pPr>
        <w:pStyle w:val="Body"/>
        <w:spacing w:after="0" w:line="480" w:lineRule="auto"/>
        <w:ind w:firstLine="567"/>
        <w:rPr>
          <w:rFonts w:ascii="Arial" w:hAnsi="Arial" w:cs="Arial"/>
        </w:rPr>
      </w:pPr>
      <w:r w:rsidRPr="00BF47C6">
        <w:rPr>
          <w:rFonts w:ascii="Arial" w:hAnsi="Arial" w:cs="Arial"/>
        </w:rPr>
        <w:t>Foam-mat drying is a gentle process that removes water from a whipped, foam-like food using hot air. A foaming agent is first added to the liquid or semi-liquid food to create the foam</w:t>
      </w:r>
      <w:r>
        <w:rPr>
          <w:rFonts w:ascii="Arial" w:hAnsi="Arial" w:cs="Arial"/>
        </w:rPr>
        <w:t xml:space="preserve"> (Reis et al., 2021)</w:t>
      </w:r>
      <w:r w:rsidRPr="00BF47C6">
        <w:rPr>
          <w:rFonts w:ascii="Arial" w:hAnsi="Arial" w:cs="Arial"/>
        </w:rPr>
        <w:t>.</w:t>
      </w:r>
      <w:r w:rsidRPr="00BF47C6" w:rsidDel="00BF47C6">
        <w:rPr>
          <w:rFonts w:ascii="Arial" w:hAnsi="Arial" w:cs="Arial"/>
        </w:rPr>
        <w:t xml:space="preserve"> </w:t>
      </w:r>
      <w:r w:rsidR="007F65B2" w:rsidRPr="007F65B2">
        <w:rPr>
          <w:rFonts w:ascii="Arial" w:hAnsi="Arial" w:cs="Arial"/>
        </w:rPr>
        <w:t xml:space="preserve">Commonly this process uses foaming agents such as Tween 80 or egg </w:t>
      </w:r>
      <w:r w:rsidR="007F65B2" w:rsidRPr="007F65B2">
        <w:rPr>
          <w:rFonts w:ascii="Arial" w:hAnsi="Arial" w:cs="Arial"/>
        </w:rPr>
        <w:lastRenderedPageBreak/>
        <w:t xml:space="preserve">whites, while stabilizers like maltodextrin, gum Arabic, gelatin, and CMC are used to help preserve foam stability. This method offers several technological advantages, as it accelerates drying by increasing the surface area exposed to air, operates at relatively low temperatures, and helps preserve the color, aroma, and nutritional quality of the product. Furthermore, foam-mat drying produces powders with low moisture content, high solubility, and non-agglomerated textures. This method provides a practical and </w:t>
      </w:r>
      <w:r w:rsidR="00B04403" w:rsidRPr="007F65B2">
        <w:rPr>
          <w:rFonts w:ascii="Arial" w:hAnsi="Arial" w:cs="Arial"/>
        </w:rPr>
        <w:t>cost-effective</w:t>
      </w:r>
      <w:r w:rsidR="007F65B2" w:rsidRPr="007F65B2">
        <w:rPr>
          <w:rFonts w:ascii="Arial" w:hAnsi="Arial" w:cs="Arial"/>
        </w:rPr>
        <w:t xml:space="preserve"> approach for SMEs in the beverage powder sector (Hardy and </w:t>
      </w:r>
      <w:proofErr w:type="spellStart"/>
      <w:r w:rsidR="007F65B2" w:rsidRPr="007F65B2">
        <w:rPr>
          <w:rFonts w:ascii="Arial" w:hAnsi="Arial" w:cs="Arial"/>
        </w:rPr>
        <w:t>Jideani</w:t>
      </w:r>
      <w:proofErr w:type="spellEnd"/>
      <w:r w:rsidR="007F65B2" w:rsidRPr="007F65B2">
        <w:rPr>
          <w:rFonts w:ascii="Arial" w:hAnsi="Arial" w:cs="Arial"/>
        </w:rPr>
        <w:t>, 2017).</w:t>
      </w:r>
    </w:p>
    <w:p w14:paraId="26834BB2" w14:textId="5E536336" w:rsidR="007F65B2" w:rsidRPr="007F65B2" w:rsidRDefault="007F65B2" w:rsidP="00530638">
      <w:pPr>
        <w:pStyle w:val="Body"/>
        <w:spacing w:after="0" w:line="480" w:lineRule="auto"/>
        <w:ind w:firstLine="567"/>
        <w:rPr>
          <w:rFonts w:ascii="Arial" w:hAnsi="Arial" w:cs="Arial"/>
        </w:rPr>
      </w:pPr>
      <w:r w:rsidRPr="007F65B2">
        <w:rPr>
          <w:rFonts w:ascii="Arial" w:hAnsi="Arial" w:cs="Arial"/>
        </w:rPr>
        <w:t xml:space="preserve">The appropriate selection of foaming agents and stabilizers is important to meet the quality specifications of the product in foam-mat drying. Various studies have reported this model as suitable in various dietary matrices. </w:t>
      </w:r>
      <w:proofErr w:type="spellStart"/>
      <w:r w:rsidRPr="007F65B2">
        <w:rPr>
          <w:rFonts w:ascii="Arial" w:hAnsi="Arial" w:cs="Arial"/>
        </w:rPr>
        <w:t>Hariyadi</w:t>
      </w:r>
      <w:proofErr w:type="spellEnd"/>
      <w:r w:rsidRPr="007F65B2">
        <w:rPr>
          <w:rFonts w:ascii="Arial" w:hAnsi="Arial" w:cs="Arial"/>
        </w:rPr>
        <w:t xml:space="preserve"> (2019) carried out research with tween- 80 and dextrin as a foaming agent and stabilizer which produced low moisture powder with a nice color. </w:t>
      </w:r>
      <w:r w:rsidR="00935CC1" w:rsidRPr="00935CC1">
        <w:rPr>
          <w:rFonts w:ascii="Arial" w:hAnsi="Arial" w:cs="Arial"/>
        </w:rPr>
        <w:t>A study by Martha et al. (2024) demonstrated that using maltodextrin as a carrier to dry bitter melon (</w:t>
      </w:r>
      <w:r w:rsidR="00935CC1" w:rsidRPr="00222922">
        <w:rPr>
          <w:rFonts w:ascii="Arial" w:hAnsi="Arial" w:cs="Arial"/>
          <w:i/>
          <w:iCs/>
        </w:rPr>
        <w:t xml:space="preserve">Momordica </w:t>
      </w:r>
      <w:proofErr w:type="spellStart"/>
      <w:r w:rsidR="00935CC1" w:rsidRPr="00222922">
        <w:rPr>
          <w:rFonts w:ascii="Arial" w:hAnsi="Arial" w:cs="Arial"/>
          <w:i/>
          <w:iCs/>
        </w:rPr>
        <w:t>charantia</w:t>
      </w:r>
      <w:proofErr w:type="spellEnd"/>
      <w:r w:rsidR="00935CC1" w:rsidRPr="00935CC1">
        <w:rPr>
          <w:rFonts w:ascii="Arial" w:hAnsi="Arial" w:cs="Arial"/>
        </w:rPr>
        <w:t>) extract resulted in the best preservation of its chemical and biological properties</w:t>
      </w:r>
      <w:r w:rsidRPr="007F65B2">
        <w:rPr>
          <w:rFonts w:ascii="Arial" w:hAnsi="Arial" w:cs="Arial"/>
        </w:rPr>
        <w:t xml:space="preserve">. </w:t>
      </w:r>
      <w:r w:rsidR="00935CC1">
        <w:rPr>
          <w:rFonts w:ascii="Arial" w:hAnsi="Arial" w:cs="Arial"/>
        </w:rPr>
        <w:t xml:space="preserve">Moreover, </w:t>
      </w:r>
      <w:proofErr w:type="spellStart"/>
      <w:r w:rsidRPr="007F65B2">
        <w:rPr>
          <w:rFonts w:ascii="Arial" w:hAnsi="Arial" w:cs="Arial"/>
        </w:rPr>
        <w:t>Bustman</w:t>
      </w:r>
      <w:proofErr w:type="spellEnd"/>
      <w:r w:rsidRPr="007F65B2">
        <w:rPr>
          <w:rFonts w:ascii="Arial" w:hAnsi="Arial" w:cs="Arial"/>
        </w:rPr>
        <w:t xml:space="preserve"> et al. (2022) used foam-mat drying for instant coffee husk beverage with ginger extract, in obtaining drink stability and solubility enhancement during storage. These results suggest that the choice of a suitable stabilizer is important for enhancing the foam structure, drying rate and quality of product.</w:t>
      </w:r>
    </w:p>
    <w:p w14:paraId="15FBAF07" w14:textId="3B72F65E" w:rsidR="007F65B2" w:rsidRPr="007F65B2" w:rsidRDefault="00D6488E" w:rsidP="00530638">
      <w:pPr>
        <w:pStyle w:val="Body"/>
        <w:spacing w:after="0" w:line="480" w:lineRule="auto"/>
        <w:ind w:firstLine="567"/>
        <w:rPr>
          <w:rFonts w:ascii="Arial" w:hAnsi="Arial" w:cs="Arial"/>
        </w:rPr>
      </w:pPr>
      <w:r w:rsidRPr="00D6488E">
        <w:rPr>
          <w:rFonts w:ascii="Arial" w:hAnsi="Arial" w:cs="Arial"/>
        </w:rPr>
        <w:t xml:space="preserve">CMC is an anionic polysaccharide produced by chemically modifying cellulose, a linear polymer of </w:t>
      </w:r>
      <w:proofErr w:type="spellStart"/>
      <w:r w:rsidRPr="00D6488E">
        <w:rPr>
          <w:rFonts w:ascii="Arial" w:hAnsi="Arial" w:cs="Arial"/>
        </w:rPr>
        <w:t>anhydro</w:t>
      </w:r>
      <w:proofErr w:type="spellEnd"/>
      <w:r w:rsidRPr="00D6488E">
        <w:rPr>
          <w:rFonts w:ascii="Arial" w:hAnsi="Arial" w:cs="Arial"/>
        </w:rPr>
        <w:t>-glucose, to make it soluble in water</w:t>
      </w:r>
      <w:r>
        <w:rPr>
          <w:rFonts w:ascii="Arial" w:hAnsi="Arial" w:cs="Arial"/>
        </w:rPr>
        <w:t xml:space="preserve"> (Rahman et al., 2021)</w:t>
      </w:r>
      <w:r w:rsidRPr="00D6488E">
        <w:rPr>
          <w:rFonts w:ascii="Arial" w:hAnsi="Arial" w:cs="Arial"/>
        </w:rPr>
        <w:t>.</w:t>
      </w:r>
      <w:r w:rsidR="00C9239E">
        <w:rPr>
          <w:rFonts w:ascii="Arial" w:hAnsi="Arial" w:cs="Arial"/>
        </w:rPr>
        <w:t xml:space="preserve"> </w:t>
      </w:r>
      <w:r w:rsidR="00C9239E" w:rsidRPr="00C9239E">
        <w:rPr>
          <w:rFonts w:ascii="Arial" w:hAnsi="Arial" w:cs="Arial"/>
        </w:rPr>
        <w:t>It has been reported that the addition of CMC enhances foam stability and reduces both structural collapse and liquid drainage</w:t>
      </w:r>
      <w:r w:rsidR="00C9239E">
        <w:rPr>
          <w:rFonts w:ascii="Arial" w:hAnsi="Arial" w:cs="Arial"/>
        </w:rPr>
        <w:t xml:space="preserve"> (</w:t>
      </w:r>
      <w:proofErr w:type="spellStart"/>
      <w:r w:rsidR="00C9239E" w:rsidRPr="00C9239E">
        <w:rPr>
          <w:rFonts w:ascii="Arial" w:hAnsi="Arial" w:cs="Arial"/>
        </w:rPr>
        <w:t>Warepam</w:t>
      </w:r>
      <w:proofErr w:type="spellEnd"/>
      <w:r w:rsidR="00C9239E">
        <w:rPr>
          <w:rFonts w:ascii="Arial" w:hAnsi="Arial" w:cs="Arial"/>
        </w:rPr>
        <w:t xml:space="preserve"> and Jena 2022).</w:t>
      </w:r>
      <w:r w:rsidR="007F65B2" w:rsidRPr="007F65B2">
        <w:rPr>
          <w:rFonts w:ascii="Arial" w:hAnsi="Arial" w:cs="Arial"/>
        </w:rPr>
        <w:t xml:space="preserve"> </w:t>
      </w:r>
      <w:r w:rsidR="002A027A" w:rsidRPr="002A027A">
        <w:rPr>
          <w:rFonts w:ascii="Arial" w:hAnsi="Arial" w:cs="Arial"/>
        </w:rPr>
        <w:t xml:space="preserve">On the other hand, gums like gum </w:t>
      </w:r>
      <w:r w:rsidR="00B04403">
        <w:rPr>
          <w:rFonts w:ascii="Arial" w:hAnsi="Arial" w:cs="Arial"/>
        </w:rPr>
        <w:t xml:space="preserve">Arabic </w:t>
      </w:r>
      <w:r w:rsidR="002A027A" w:rsidRPr="002A027A">
        <w:rPr>
          <w:rFonts w:ascii="Arial" w:hAnsi="Arial" w:cs="Arial"/>
        </w:rPr>
        <w:t>are both foaming and emulsifying agents. They stabilize systems by moving to the interfaces between air-water and oil-water</w:t>
      </w:r>
      <w:r w:rsidR="002A027A">
        <w:rPr>
          <w:rFonts w:ascii="Arial" w:hAnsi="Arial" w:cs="Arial"/>
        </w:rPr>
        <w:t xml:space="preserve"> (Amid et al., 2013).</w:t>
      </w:r>
      <w:r w:rsidR="007F65B2" w:rsidRPr="007F65B2">
        <w:rPr>
          <w:rFonts w:ascii="Arial" w:hAnsi="Arial" w:cs="Arial"/>
        </w:rPr>
        <w:t xml:space="preserve"> </w:t>
      </w:r>
      <w:r w:rsidR="00935CC1" w:rsidRPr="00935CC1">
        <w:rPr>
          <w:rFonts w:ascii="Arial" w:hAnsi="Arial" w:cs="Arial"/>
        </w:rPr>
        <w:t>This allows to find out which of these 2 stabilizers is more potent for maintaining such physicochemical and sensory properties of sugar-free ginger milk powder at the same concentration levels</w:t>
      </w:r>
      <w:r w:rsidR="00935CC1">
        <w:rPr>
          <w:rFonts w:ascii="Arial" w:hAnsi="Arial" w:cs="Arial"/>
        </w:rPr>
        <w:t>.</w:t>
      </w:r>
    </w:p>
    <w:p w14:paraId="10E3F8A3" w14:textId="5A6F565F" w:rsidR="007F65B2" w:rsidRDefault="007F65B2" w:rsidP="00530638">
      <w:pPr>
        <w:pStyle w:val="Body"/>
        <w:spacing w:after="0" w:line="480" w:lineRule="auto"/>
        <w:ind w:firstLine="567"/>
        <w:rPr>
          <w:rFonts w:ascii="Arial" w:hAnsi="Arial" w:cs="Arial"/>
        </w:rPr>
      </w:pPr>
      <w:r w:rsidRPr="007F65B2">
        <w:rPr>
          <w:rFonts w:ascii="Arial" w:hAnsi="Arial" w:cs="Arial"/>
        </w:rPr>
        <w:t xml:space="preserve">Accordingly, the aim of this study is to </w:t>
      </w:r>
      <w:r w:rsidR="008E6B07">
        <w:rPr>
          <w:rFonts w:ascii="Arial" w:hAnsi="Arial" w:cs="Arial"/>
        </w:rPr>
        <w:t>evaluate</w:t>
      </w:r>
      <w:r w:rsidR="008E6B07" w:rsidRPr="007F65B2">
        <w:rPr>
          <w:rFonts w:ascii="Arial" w:hAnsi="Arial" w:cs="Arial"/>
        </w:rPr>
        <w:t xml:space="preserve"> </w:t>
      </w:r>
      <w:r w:rsidRPr="007F65B2">
        <w:rPr>
          <w:rFonts w:ascii="Arial" w:hAnsi="Arial" w:cs="Arial"/>
        </w:rPr>
        <w:t xml:space="preserve">the effect of various amounts of </w:t>
      </w:r>
      <w:r w:rsidR="001F2334">
        <w:rPr>
          <w:rFonts w:ascii="Arial" w:hAnsi="Arial" w:cs="Arial"/>
        </w:rPr>
        <w:t xml:space="preserve">gum </w:t>
      </w:r>
      <w:r w:rsidRPr="007F65B2">
        <w:rPr>
          <w:rFonts w:ascii="Arial" w:hAnsi="Arial" w:cs="Arial"/>
        </w:rPr>
        <w:t>Arabic and CMC as stabilizers on quality attributes of ginger</w:t>
      </w:r>
      <w:r w:rsidR="002E0570">
        <w:rPr>
          <w:rFonts w:ascii="Arial" w:hAnsi="Arial" w:cs="Arial"/>
        </w:rPr>
        <w:t>-</w:t>
      </w:r>
      <w:r w:rsidRPr="007F65B2">
        <w:rPr>
          <w:rFonts w:ascii="Arial" w:hAnsi="Arial" w:cs="Arial"/>
        </w:rPr>
        <w:t xml:space="preserve">milk powder made by foam-mat </w:t>
      </w:r>
      <w:r w:rsidRPr="007F65B2">
        <w:rPr>
          <w:rFonts w:ascii="Arial" w:hAnsi="Arial" w:cs="Arial"/>
        </w:rPr>
        <w:lastRenderedPageBreak/>
        <w:t xml:space="preserve">drying. In addition, the effect of different </w:t>
      </w:r>
      <w:r w:rsidR="002E0570" w:rsidRPr="007F65B2">
        <w:rPr>
          <w:rFonts w:ascii="Arial" w:hAnsi="Arial" w:cs="Arial"/>
        </w:rPr>
        <w:t>stabilizer</w:t>
      </w:r>
      <w:r w:rsidRPr="007F65B2">
        <w:rPr>
          <w:rFonts w:ascii="Arial" w:hAnsi="Arial" w:cs="Arial"/>
        </w:rPr>
        <w:t xml:space="preserve"> types and concentrations on foam characteristics, physicochemical properties</w:t>
      </w:r>
      <w:r w:rsidR="002E0570">
        <w:rPr>
          <w:rFonts w:ascii="Arial" w:hAnsi="Arial" w:cs="Arial"/>
        </w:rPr>
        <w:t>,</w:t>
      </w:r>
      <w:r w:rsidRPr="007F65B2">
        <w:rPr>
          <w:rFonts w:ascii="Arial" w:hAnsi="Arial" w:cs="Arial"/>
        </w:rPr>
        <w:t xml:space="preserve"> and sensory acceptance ginger</w:t>
      </w:r>
      <w:r w:rsidR="002E0570">
        <w:rPr>
          <w:rFonts w:ascii="Arial" w:hAnsi="Arial" w:cs="Arial"/>
        </w:rPr>
        <w:t>-</w:t>
      </w:r>
      <w:r w:rsidRPr="007F65B2">
        <w:rPr>
          <w:rFonts w:ascii="Arial" w:hAnsi="Arial" w:cs="Arial"/>
        </w:rPr>
        <w:t xml:space="preserve">milk powder </w:t>
      </w:r>
      <w:r w:rsidR="006941BB">
        <w:rPr>
          <w:rFonts w:ascii="Arial" w:hAnsi="Arial" w:cs="Arial"/>
        </w:rPr>
        <w:t>was</w:t>
      </w:r>
      <w:r w:rsidRPr="007F65B2">
        <w:rPr>
          <w:rFonts w:ascii="Arial" w:hAnsi="Arial" w:cs="Arial"/>
        </w:rPr>
        <w:t xml:space="preserve"> investigated. The </w:t>
      </w:r>
      <w:r w:rsidR="002E0570" w:rsidRPr="007F65B2">
        <w:rPr>
          <w:rFonts w:ascii="Arial" w:hAnsi="Arial" w:cs="Arial"/>
        </w:rPr>
        <w:t>result</w:t>
      </w:r>
      <w:r w:rsidRPr="007F65B2">
        <w:rPr>
          <w:rFonts w:ascii="Arial" w:hAnsi="Arial" w:cs="Arial"/>
        </w:rPr>
        <w:t xml:space="preserve"> of this study </w:t>
      </w:r>
      <w:r w:rsidR="002E0570">
        <w:rPr>
          <w:rFonts w:ascii="Arial" w:hAnsi="Arial" w:cs="Arial"/>
        </w:rPr>
        <w:t>provides</w:t>
      </w:r>
      <w:r w:rsidRPr="007F65B2">
        <w:rPr>
          <w:rFonts w:ascii="Arial" w:hAnsi="Arial" w:cs="Arial"/>
        </w:rPr>
        <w:t xml:space="preserve"> valuable information for SMEs processing ginger</w:t>
      </w:r>
      <w:r w:rsidRPr="007F65B2">
        <w:rPr>
          <w:rFonts w:ascii="Cambria Math" w:hAnsi="Cambria Math" w:cs="Cambria Math"/>
        </w:rPr>
        <w:t>‐</w:t>
      </w:r>
      <w:r w:rsidRPr="007F65B2">
        <w:rPr>
          <w:rFonts w:ascii="Arial" w:hAnsi="Arial" w:cs="Arial"/>
        </w:rPr>
        <w:t>based beverage to select proper stabilizers with intention to produce high quality products with cost</w:t>
      </w:r>
      <w:r w:rsidRPr="007F65B2">
        <w:rPr>
          <w:rFonts w:ascii="Cambria Math" w:hAnsi="Cambria Math" w:cs="Cambria Math"/>
        </w:rPr>
        <w:t>‐</w:t>
      </w:r>
      <w:r w:rsidRPr="007F65B2">
        <w:rPr>
          <w:rFonts w:ascii="Arial" w:hAnsi="Arial" w:cs="Arial"/>
        </w:rPr>
        <w:t>effective drying process.</w:t>
      </w:r>
    </w:p>
    <w:p w14:paraId="5F1CEE84" w14:textId="44B7903D" w:rsidR="00962894" w:rsidRDefault="00902823" w:rsidP="00530638">
      <w:pPr>
        <w:pStyle w:val="INTRO"/>
        <w:spacing w:line="480" w:lineRule="auto"/>
      </w:pPr>
      <w:r>
        <w:t>material and method</w:t>
      </w:r>
      <w:r w:rsidR="00000F8F">
        <w:t xml:space="preserve">s </w:t>
      </w:r>
      <w:bookmarkStart w:id="0" w:name="_Hlk212105096"/>
    </w:p>
    <w:bookmarkEnd w:id="0"/>
    <w:p w14:paraId="43364165" w14:textId="49D3F457" w:rsidR="00962894" w:rsidRDefault="00962894" w:rsidP="00530638">
      <w:pPr>
        <w:pStyle w:val="Research"/>
        <w:spacing w:line="480" w:lineRule="auto"/>
      </w:pPr>
      <w:r w:rsidRPr="00962894">
        <w:t>Research Location and Materials</w:t>
      </w:r>
    </w:p>
    <w:p w14:paraId="5DB8335C" w14:textId="588AE1F1" w:rsidR="00962894" w:rsidRPr="00962894" w:rsidRDefault="00962894" w:rsidP="00530638">
      <w:pPr>
        <w:spacing w:line="480" w:lineRule="auto"/>
        <w:ind w:firstLine="720"/>
        <w:jc w:val="both"/>
        <w:rPr>
          <w:rFonts w:ascii="Arial" w:eastAsia="Calibri" w:hAnsi="Arial" w:cs="Arial"/>
          <w:lang w:val="en-ID"/>
        </w:rPr>
      </w:pPr>
      <w:r w:rsidRPr="00962894">
        <w:rPr>
          <w:rFonts w:ascii="Arial" w:eastAsia="Calibri" w:hAnsi="Arial" w:cs="Arial"/>
        </w:rPr>
        <w:t xml:space="preserve">This study was conducted at the Natural Product Pharmacy Laboratory, </w:t>
      </w:r>
      <w:proofErr w:type="spellStart"/>
      <w:r w:rsidRPr="00962894">
        <w:rPr>
          <w:rFonts w:ascii="Arial" w:eastAsia="Calibri" w:hAnsi="Arial" w:cs="Arial"/>
        </w:rPr>
        <w:t>Notokusumo</w:t>
      </w:r>
      <w:proofErr w:type="spellEnd"/>
      <w:r w:rsidRPr="00962894">
        <w:rPr>
          <w:rFonts w:ascii="Arial" w:eastAsia="Calibri" w:hAnsi="Arial" w:cs="Arial"/>
        </w:rPr>
        <w:t xml:space="preserve"> Yogyakarta College of Health Sciences, </w:t>
      </w:r>
      <w:proofErr w:type="spellStart"/>
      <w:r w:rsidRPr="00962894">
        <w:rPr>
          <w:rFonts w:ascii="Arial" w:eastAsia="Calibri" w:hAnsi="Arial" w:cs="Arial"/>
        </w:rPr>
        <w:t>Tegalrejo</w:t>
      </w:r>
      <w:proofErr w:type="spellEnd"/>
      <w:r w:rsidRPr="00962894">
        <w:rPr>
          <w:rFonts w:ascii="Arial" w:eastAsia="Calibri" w:hAnsi="Arial" w:cs="Arial"/>
        </w:rPr>
        <w:t xml:space="preserve">, Yogyakarta, Indonesia. All experimental work, including sample preparation, foam-mat drying, and physicochemical analyses, was performed in a temperature-controlled laboratory (25 ± 2 °C) from April to June 2025. All materials used to produce ginger-milk powder in this study were commercially sourced. Fresh ginger rhizomes were obtained from a ginger farm in </w:t>
      </w:r>
      <w:proofErr w:type="spellStart"/>
      <w:r w:rsidRPr="00962894">
        <w:rPr>
          <w:rFonts w:ascii="Arial" w:eastAsia="Calibri" w:hAnsi="Arial" w:cs="Arial"/>
        </w:rPr>
        <w:t>Sleman</w:t>
      </w:r>
      <w:proofErr w:type="spellEnd"/>
      <w:r w:rsidRPr="00962894">
        <w:rPr>
          <w:rFonts w:ascii="Arial" w:eastAsia="Calibri" w:hAnsi="Arial" w:cs="Arial"/>
        </w:rPr>
        <w:t xml:space="preserve">, Yogyakarta. Pasteurized cow’s milk was procured from dairy farmers in </w:t>
      </w:r>
      <w:proofErr w:type="spellStart"/>
      <w:r w:rsidRPr="00962894">
        <w:rPr>
          <w:rFonts w:ascii="Arial" w:eastAsia="Calibri" w:hAnsi="Arial" w:cs="Arial"/>
        </w:rPr>
        <w:t>Kaliurang</w:t>
      </w:r>
      <w:proofErr w:type="spellEnd"/>
      <w:r w:rsidRPr="00962894">
        <w:rPr>
          <w:rFonts w:ascii="Arial" w:eastAsia="Calibri" w:hAnsi="Arial" w:cs="Arial"/>
        </w:rPr>
        <w:t>, Yogyakarta. Eggs were purchased from a supermarket in Yogyakarta, whereas CMC and gum Arabic were supplied by PT. Ingredion Indonesia (Jakarta, Indonesia).</w:t>
      </w:r>
    </w:p>
    <w:p w14:paraId="0D0886CB" w14:textId="77777777" w:rsidR="00962894" w:rsidRPr="00962894" w:rsidRDefault="00962894" w:rsidP="00530638">
      <w:pPr>
        <w:pStyle w:val="Research"/>
        <w:spacing w:line="480" w:lineRule="auto"/>
      </w:pPr>
      <w:r w:rsidRPr="00962894">
        <w:t>Formulation and Research Design</w:t>
      </w:r>
    </w:p>
    <w:p w14:paraId="1B27D1DF" w14:textId="77777777" w:rsidR="00962894" w:rsidRPr="00962894" w:rsidRDefault="00962894" w:rsidP="00530638">
      <w:pPr>
        <w:tabs>
          <w:tab w:val="left" w:pos="2946"/>
        </w:tabs>
        <w:spacing w:line="480" w:lineRule="auto"/>
        <w:ind w:firstLine="720"/>
        <w:jc w:val="both"/>
        <w:rPr>
          <w:rFonts w:ascii="Arial" w:eastAsia="Calibri" w:hAnsi="Arial" w:cs="Arial"/>
        </w:rPr>
      </w:pPr>
      <w:r w:rsidRPr="00962894">
        <w:rPr>
          <w:rFonts w:ascii="Arial" w:eastAsia="Calibri" w:hAnsi="Arial" w:cs="Arial"/>
        </w:rPr>
        <w:t>Table 1 shows seven formulations used in this study, comprising one control (K) without stabilizer and six treatments (F1–F6) with different stabilizer type (CMC or GA) and concentration (1–3% w/w). The base formulation contained ginger extract 15% (w/w), egg white 20% (w/w), and pasteurized milk 45% (w/w). Water was added as needed to reach 100% (w/w) for each formulation. The experimental design employed a completely randomized design (CRD) with three replicates per formulation. Response variables included foam density, foam stability, color, moisture content, dissolution time, FTIR spectra, and sensory profiles.</w:t>
      </w:r>
    </w:p>
    <w:p w14:paraId="7A2C68D8" w14:textId="13F9D2E0" w:rsidR="00962894" w:rsidRPr="00962894" w:rsidRDefault="00962894" w:rsidP="00962894">
      <w:pPr>
        <w:pStyle w:val="Caption"/>
        <w:rPr>
          <w:rFonts w:eastAsia="Calibri" w:cs="Arial"/>
          <w:szCs w:val="20"/>
        </w:rPr>
      </w:pPr>
      <w:r>
        <w:t xml:space="preserve">Table </w:t>
      </w:r>
      <w:fldSimple w:instr=" SEQ Table \* ARABIC ">
        <w:r w:rsidR="002C1B4C">
          <w:rPr>
            <w:noProof/>
          </w:rPr>
          <w:t>1</w:t>
        </w:r>
      </w:fldSimple>
      <w:r>
        <w:t xml:space="preserve">. </w:t>
      </w:r>
      <w:r w:rsidRPr="00962894">
        <w:rPr>
          <w:rFonts w:eastAsia="Calibri" w:cs="Arial"/>
          <w:szCs w:val="20"/>
        </w:rPr>
        <w:t>Ingredients of ginger milk powder formulations</w:t>
      </w:r>
    </w:p>
    <w:tbl>
      <w:tblPr>
        <w:tblStyle w:val="TableGrid"/>
        <w:tblW w:w="82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851"/>
        <w:gridCol w:w="850"/>
        <w:gridCol w:w="851"/>
        <w:gridCol w:w="850"/>
        <w:gridCol w:w="851"/>
        <w:gridCol w:w="850"/>
        <w:gridCol w:w="851"/>
      </w:tblGrid>
      <w:tr w:rsidR="00962894" w:rsidRPr="00962894" w14:paraId="3A72C2B7" w14:textId="77777777" w:rsidTr="00A65210">
        <w:trPr>
          <w:jc w:val="center"/>
        </w:trPr>
        <w:tc>
          <w:tcPr>
            <w:tcW w:w="2263" w:type="dxa"/>
            <w:vMerge w:val="restart"/>
            <w:tcBorders>
              <w:top w:val="single" w:sz="4" w:space="0" w:color="auto"/>
              <w:left w:val="nil"/>
              <w:bottom w:val="single" w:sz="4" w:space="0" w:color="auto"/>
              <w:right w:val="nil"/>
            </w:tcBorders>
            <w:vAlign w:val="center"/>
            <w:hideMark/>
          </w:tcPr>
          <w:p w14:paraId="14BF324A" w14:textId="77777777" w:rsidR="00962894" w:rsidRPr="00962894" w:rsidRDefault="00962894" w:rsidP="00A65210">
            <w:pPr>
              <w:tabs>
                <w:tab w:val="left" w:pos="1752"/>
              </w:tabs>
              <w:jc w:val="center"/>
              <w:rPr>
                <w:rFonts w:ascii="Arial" w:hAnsi="Arial" w:cs="Arial"/>
                <w:b/>
                <w:bCs/>
                <w:sz w:val="20"/>
                <w:szCs w:val="20"/>
              </w:rPr>
            </w:pPr>
            <w:r w:rsidRPr="00962894">
              <w:rPr>
                <w:rFonts w:ascii="Arial" w:hAnsi="Arial" w:cs="Arial"/>
                <w:b/>
                <w:bCs/>
                <w:sz w:val="20"/>
                <w:szCs w:val="20"/>
              </w:rPr>
              <w:lastRenderedPageBreak/>
              <w:t>Ingredients</w:t>
            </w:r>
          </w:p>
        </w:tc>
        <w:tc>
          <w:tcPr>
            <w:tcW w:w="5954" w:type="dxa"/>
            <w:gridSpan w:val="7"/>
            <w:tcBorders>
              <w:top w:val="single" w:sz="4" w:space="0" w:color="auto"/>
              <w:left w:val="nil"/>
              <w:bottom w:val="single" w:sz="4" w:space="0" w:color="auto"/>
              <w:right w:val="nil"/>
            </w:tcBorders>
            <w:hideMark/>
          </w:tcPr>
          <w:p w14:paraId="05F8F244" w14:textId="77777777" w:rsidR="00962894" w:rsidRPr="00962894" w:rsidRDefault="00962894" w:rsidP="00962894">
            <w:pPr>
              <w:tabs>
                <w:tab w:val="left" w:pos="1752"/>
              </w:tabs>
              <w:jc w:val="center"/>
              <w:rPr>
                <w:rFonts w:ascii="Arial" w:hAnsi="Arial" w:cs="Arial"/>
                <w:b/>
                <w:bCs/>
                <w:sz w:val="20"/>
                <w:szCs w:val="20"/>
              </w:rPr>
            </w:pPr>
            <w:r w:rsidRPr="00962894">
              <w:rPr>
                <w:rFonts w:ascii="Arial" w:hAnsi="Arial" w:cs="Arial"/>
                <w:b/>
                <w:bCs/>
                <w:sz w:val="20"/>
                <w:szCs w:val="20"/>
              </w:rPr>
              <w:t>Formulations</w:t>
            </w:r>
          </w:p>
        </w:tc>
      </w:tr>
      <w:tr w:rsidR="00962894" w:rsidRPr="00962894" w14:paraId="30B51C66" w14:textId="77777777">
        <w:trPr>
          <w:jc w:val="center"/>
        </w:trPr>
        <w:tc>
          <w:tcPr>
            <w:tcW w:w="0" w:type="auto"/>
            <w:vMerge/>
            <w:tcBorders>
              <w:top w:val="single" w:sz="4" w:space="0" w:color="auto"/>
              <w:left w:val="nil"/>
              <w:bottom w:val="single" w:sz="4" w:space="0" w:color="auto"/>
              <w:right w:val="nil"/>
            </w:tcBorders>
            <w:vAlign w:val="center"/>
            <w:hideMark/>
          </w:tcPr>
          <w:p w14:paraId="5FA4C02B" w14:textId="77777777" w:rsidR="00962894" w:rsidRPr="00962894" w:rsidRDefault="00962894" w:rsidP="00962894">
            <w:pPr>
              <w:rPr>
                <w:rFonts w:ascii="Arial" w:hAnsi="Arial" w:cs="Arial"/>
                <w:b/>
                <w:bCs/>
                <w:sz w:val="20"/>
                <w:szCs w:val="20"/>
              </w:rPr>
            </w:pPr>
          </w:p>
        </w:tc>
        <w:tc>
          <w:tcPr>
            <w:tcW w:w="851" w:type="dxa"/>
            <w:tcBorders>
              <w:top w:val="single" w:sz="4" w:space="0" w:color="auto"/>
              <w:left w:val="nil"/>
              <w:bottom w:val="single" w:sz="4" w:space="0" w:color="auto"/>
              <w:right w:val="nil"/>
            </w:tcBorders>
            <w:hideMark/>
          </w:tcPr>
          <w:p w14:paraId="4E6D1BB8" w14:textId="77777777" w:rsidR="00962894" w:rsidRPr="00962894" w:rsidRDefault="00962894" w:rsidP="00962894">
            <w:pPr>
              <w:tabs>
                <w:tab w:val="left" w:pos="1752"/>
              </w:tabs>
              <w:jc w:val="center"/>
              <w:rPr>
                <w:rFonts w:ascii="Arial" w:hAnsi="Arial" w:cs="Arial"/>
                <w:b/>
                <w:bCs/>
                <w:sz w:val="20"/>
                <w:szCs w:val="20"/>
              </w:rPr>
            </w:pPr>
            <w:r w:rsidRPr="00962894">
              <w:rPr>
                <w:rFonts w:ascii="Arial" w:hAnsi="Arial" w:cs="Arial"/>
                <w:b/>
                <w:bCs/>
                <w:sz w:val="20"/>
                <w:szCs w:val="20"/>
              </w:rPr>
              <w:t>K</w:t>
            </w:r>
          </w:p>
        </w:tc>
        <w:tc>
          <w:tcPr>
            <w:tcW w:w="850" w:type="dxa"/>
            <w:tcBorders>
              <w:top w:val="single" w:sz="4" w:space="0" w:color="auto"/>
              <w:left w:val="nil"/>
              <w:bottom w:val="single" w:sz="4" w:space="0" w:color="auto"/>
              <w:right w:val="nil"/>
            </w:tcBorders>
            <w:hideMark/>
          </w:tcPr>
          <w:p w14:paraId="4ACD437A" w14:textId="77777777" w:rsidR="00962894" w:rsidRPr="00962894" w:rsidRDefault="00962894" w:rsidP="00962894">
            <w:pPr>
              <w:tabs>
                <w:tab w:val="left" w:pos="1752"/>
              </w:tabs>
              <w:jc w:val="center"/>
              <w:rPr>
                <w:rFonts w:ascii="Arial" w:hAnsi="Arial" w:cs="Arial"/>
                <w:b/>
                <w:bCs/>
                <w:sz w:val="20"/>
                <w:szCs w:val="20"/>
              </w:rPr>
            </w:pPr>
            <w:r w:rsidRPr="00962894">
              <w:rPr>
                <w:rFonts w:ascii="Arial" w:hAnsi="Arial" w:cs="Arial"/>
                <w:b/>
                <w:bCs/>
                <w:sz w:val="20"/>
                <w:szCs w:val="20"/>
              </w:rPr>
              <w:t>F1</w:t>
            </w:r>
          </w:p>
        </w:tc>
        <w:tc>
          <w:tcPr>
            <w:tcW w:w="851" w:type="dxa"/>
            <w:tcBorders>
              <w:top w:val="single" w:sz="4" w:space="0" w:color="auto"/>
              <w:left w:val="nil"/>
              <w:bottom w:val="single" w:sz="4" w:space="0" w:color="auto"/>
              <w:right w:val="nil"/>
            </w:tcBorders>
            <w:hideMark/>
          </w:tcPr>
          <w:p w14:paraId="3FA26CCC" w14:textId="77777777" w:rsidR="00962894" w:rsidRPr="00962894" w:rsidRDefault="00962894" w:rsidP="00962894">
            <w:pPr>
              <w:tabs>
                <w:tab w:val="left" w:pos="1752"/>
              </w:tabs>
              <w:jc w:val="center"/>
              <w:rPr>
                <w:rFonts w:ascii="Arial" w:hAnsi="Arial" w:cs="Arial"/>
                <w:b/>
                <w:bCs/>
                <w:sz w:val="20"/>
                <w:szCs w:val="20"/>
              </w:rPr>
            </w:pPr>
            <w:r w:rsidRPr="00962894">
              <w:rPr>
                <w:rFonts w:ascii="Arial" w:hAnsi="Arial" w:cs="Arial"/>
                <w:b/>
                <w:bCs/>
                <w:sz w:val="20"/>
                <w:szCs w:val="20"/>
              </w:rPr>
              <w:t>F2</w:t>
            </w:r>
          </w:p>
        </w:tc>
        <w:tc>
          <w:tcPr>
            <w:tcW w:w="850" w:type="dxa"/>
            <w:tcBorders>
              <w:top w:val="single" w:sz="4" w:space="0" w:color="auto"/>
              <w:left w:val="nil"/>
              <w:bottom w:val="single" w:sz="4" w:space="0" w:color="auto"/>
              <w:right w:val="nil"/>
            </w:tcBorders>
            <w:hideMark/>
          </w:tcPr>
          <w:p w14:paraId="5534A0E7" w14:textId="77777777" w:rsidR="00962894" w:rsidRPr="00962894" w:rsidRDefault="00962894" w:rsidP="00962894">
            <w:pPr>
              <w:tabs>
                <w:tab w:val="left" w:pos="1752"/>
              </w:tabs>
              <w:jc w:val="center"/>
              <w:rPr>
                <w:rFonts w:ascii="Arial" w:hAnsi="Arial" w:cs="Arial"/>
                <w:b/>
                <w:bCs/>
                <w:sz w:val="20"/>
                <w:szCs w:val="20"/>
              </w:rPr>
            </w:pPr>
            <w:r w:rsidRPr="00962894">
              <w:rPr>
                <w:rFonts w:ascii="Arial" w:hAnsi="Arial" w:cs="Arial"/>
                <w:b/>
                <w:bCs/>
                <w:sz w:val="20"/>
                <w:szCs w:val="20"/>
              </w:rPr>
              <w:t>F3</w:t>
            </w:r>
          </w:p>
        </w:tc>
        <w:tc>
          <w:tcPr>
            <w:tcW w:w="851" w:type="dxa"/>
            <w:tcBorders>
              <w:top w:val="single" w:sz="4" w:space="0" w:color="auto"/>
              <w:left w:val="nil"/>
              <w:bottom w:val="single" w:sz="4" w:space="0" w:color="auto"/>
              <w:right w:val="nil"/>
            </w:tcBorders>
            <w:hideMark/>
          </w:tcPr>
          <w:p w14:paraId="5F0DB31B" w14:textId="77777777" w:rsidR="00962894" w:rsidRPr="00962894" w:rsidRDefault="00962894" w:rsidP="00962894">
            <w:pPr>
              <w:tabs>
                <w:tab w:val="left" w:pos="1752"/>
              </w:tabs>
              <w:jc w:val="center"/>
              <w:rPr>
                <w:rFonts w:ascii="Arial" w:hAnsi="Arial" w:cs="Arial"/>
                <w:b/>
                <w:bCs/>
                <w:sz w:val="20"/>
                <w:szCs w:val="20"/>
              </w:rPr>
            </w:pPr>
            <w:r w:rsidRPr="00962894">
              <w:rPr>
                <w:rFonts w:ascii="Arial" w:hAnsi="Arial" w:cs="Arial"/>
                <w:b/>
                <w:bCs/>
                <w:sz w:val="20"/>
                <w:szCs w:val="20"/>
              </w:rPr>
              <w:t>F4</w:t>
            </w:r>
          </w:p>
        </w:tc>
        <w:tc>
          <w:tcPr>
            <w:tcW w:w="850" w:type="dxa"/>
            <w:tcBorders>
              <w:top w:val="single" w:sz="4" w:space="0" w:color="auto"/>
              <w:left w:val="nil"/>
              <w:bottom w:val="single" w:sz="4" w:space="0" w:color="auto"/>
              <w:right w:val="nil"/>
            </w:tcBorders>
            <w:hideMark/>
          </w:tcPr>
          <w:p w14:paraId="2B9CEFF2" w14:textId="77777777" w:rsidR="00962894" w:rsidRPr="00962894" w:rsidRDefault="00962894" w:rsidP="00962894">
            <w:pPr>
              <w:tabs>
                <w:tab w:val="left" w:pos="1752"/>
              </w:tabs>
              <w:jc w:val="center"/>
              <w:rPr>
                <w:rFonts w:ascii="Arial" w:hAnsi="Arial" w:cs="Arial"/>
                <w:b/>
                <w:bCs/>
                <w:sz w:val="20"/>
                <w:szCs w:val="20"/>
              </w:rPr>
            </w:pPr>
            <w:r w:rsidRPr="00962894">
              <w:rPr>
                <w:rFonts w:ascii="Arial" w:hAnsi="Arial" w:cs="Arial"/>
                <w:b/>
                <w:bCs/>
                <w:sz w:val="20"/>
                <w:szCs w:val="20"/>
              </w:rPr>
              <w:t>F5</w:t>
            </w:r>
          </w:p>
        </w:tc>
        <w:tc>
          <w:tcPr>
            <w:tcW w:w="851" w:type="dxa"/>
            <w:tcBorders>
              <w:top w:val="single" w:sz="4" w:space="0" w:color="auto"/>
              <w:left w:val="nil"/>
              <w:bottom w:val="single" w:sz="4" w:space="0" w:color="auto"/>
              <w:right w:val="nil"/>
            </w:tcBorders>
            <w:hideMark/>
          </w:tcPr>
          <w:p w14:paraId="3EADE849" w14:textId="77777777" w:rsidR="00962894" w:rsidRPr="00962894" w:rsidRDefault="00962894" w:rsidP="00962894">
            <w:pPr>
              <w:tabs>
                <w:tab w:val="left" w:pos="1752"/>
              </w:tabs>
              <w:jc w:val="center"/>
              <w:rPr>
                <w:rFonts w:ascii="Arial" w:hAnsi="Arial" w:cs="Arial"/>
                <w:b/>
                <w:bCs/>
                <w:sz w:val="20"/>
                <w:szCs w:val="20"/>
              </w:rPr>
            </w:pPr>
            <w:r w:rsidRPr="00962894">
              <w:rPr>
                <w:rFonts w:ascii="Arial" w:hAnsi="Arial" w:cs="Arial"/>
                <w:b/>
                <w:bCs/>
                <w:sz w:val="20"/>
                <w:szCs w:val="20"/>
              </w:rPr>
              <w:t>F6</w:t>
            </w:r>
          </w:p>
        </w:tc>
      </w:tr>
      <w:tr w:rsidR="00962894" w:rsidRPr="00962894" w14:paraId="60DD507C" w14:textId="77777777">
        <w:trPr>
          <w:jc w:val="center"/>
        </w:trPr>
        <w:tc>
          <w:tcPr>
            <w:tcW w:w="2263" w:type="dxa"/>
            <w:tcBorders>
              <w:top w:val="single" w:sz="4" w:space="0" w:color="auto"/>
              <w:left w:val="nil"/>
              <w:bottom w:val="nil"/>
              <w:right w:val="nil"/>
            </w:tcBorders>
            <w:hideMark/>
          </w:tcPr>
          <w:p w14:paraId="2F0F53C4" w14:textId="77777777" w:rsidR="00962894" w:rsidRPr="00962894" w:rsidRDefault="00962894" w:rsidP="00962894">
            <w:pPr>
              <w:tabs>
                <w:tab w:val="left" w:pos="1752"/>
              </w:tabs>
              <w:jc w:val="both"/>
              <w:rPr>
                <w:rFonts w:ascii="Arial" w:hAnsi="Arial" w:cs="Arial"/>
                <w:sz w:val="20"/>
                <w:szCs w:val="20"/>
              </w:rPr>
            </w:pPr>
            <w:r w:rsidRPr="00962894">
              <w:rPr>
                <w:rFonts w:ascii="Arial" w:hAnsi="Arial" w:cs="Arial"/>
                <w:sz w:val="20"/>
                <w:szCs w:val="20"/>
              </w:rPr>
              <w:t>CMC (%)</w:t>
            </w:r>
          </w:p>
        </w:tc>
        <w:tc>
          <w:tcPr>
            <w:tcW w:w="851" w:type="dxa"/>
            <w:tcBorders>
              <w:top w:val="single" w:sz="4" w:space="0" w:color="auto"/>
              <w:left w:val="nil"/>
              <w:bottom w:val="nil"/>
              <w:right w:val="nil"/>
            </w:tcBorders>
            <w:hideMark/>
          </w:tcPr>
          <w:p w14:paraId="7A0D5074"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 xml:space="preserve">0.00 </w:t>
            </w:r>
          </w:p>
        </w:tc>
        <w:tc>
          <w:tcPr>
            <w:tcW w:w="850" w:type="dxa"/>
            <w:tcBorders>
              <w:top w:val="single" w:sz="4" w:space="0" w:color="auto"/>
              <w:left w:val="nil"/>
              <w:bottom w:val="nil"/>
              <w:right w:val="nil"/>
            </w:tcBorders>
            <w:hideMark/>
          </w:tcPr>
          <w:p w14:paraId="6BD47291"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1.00</w:t>
            </w:r>
          </w:p>
        </w:tc>
        <w:tc>
          <w:tcPr>
            <w:tcW w:w="851" w:type="dxa"/>
            <w:tcBorders>
              <w:top w:val="single" w:sz="4" w:space="0" w:color="auto"/>
              <w:left w:val="nil"/>
              <w:bottom w:val="nil"/>
              <w:right w:val="nil"/>
            </w:tcBorders>
            <w:hideMark/>
          </w:tcPr>
          <w:p w14:paraId="503C0B67"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2.00</w:t>
            </w:r>
          </w:p>
        </w:tc>
        <w:tc>
          <w:tcPr>
            <w:tcW w:w="850" w:type="dxa"/>
            <w:tcBorders>
              <w:top w:val="single" w:sz="4" w:space="0" w:color="auto"/>
              <w:left w:val="nil"/>
              <w:bottom w:val="nil"/>
              <w:right w:val="nil"/>
            </w:tcBorders>
            <w:hideMark/>
          </w:tcPr>
          <w:p w14:paraId="2A8E4975"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3.00</w:t>
            </w:r>
          </w:p>
        </w:tc>
        <w:tc>
          <w:tcPr>
            <w:tcW w:w="851" w:type="dxa"/>
            <w:tcBorders>
              <w:top w:val="single" w:sz="4" w:space="0" w:color="auto"/>
              <w:left w:val="nil"/>
              <w:bottom w:val="nil"/>
              <w:right w:val="nil"/>
            </w:tcBorders>
            <w:hideMark/>
          </w:tcPr>
          <w:p w14:paraId="2FA4DB95"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0.00</w:t>
            </w:r>
          </w:p>
        </w:tc>
        <w:tc>
          <w:tcPr>
            <w:tcW w:w="850" w:type="dxa"/>
            <w:tcBorders>
              <w:top w:val="single" w:sz="4" w:space="0" w:color="auto"/>
              <w:left w:val="nil"/>
              <w:bottom w:val="nil"/>
              <w:right w:val="nil"/>
            </w:tcBorders>
            <w:hideMark/>
          </w:tcPr>
          <w:p w14:paraId="6288A0F1"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0.00</w:t>
            </w:r>
          </w:p>
        </w:tc>
        <w:tc>
          <w:tcPr>
            <w:tcW w:w="851" w:type="dxa"/>
            <w:tcBorders>
              <w:top w:val="single" w:sz="4" w:space="0" w:color="auto"/>
              <w:left w:val="nil"/>
              <w:bottom w:val="nil"/>
              <w:right w:val="nil"/>
            </w:tcBorders>
            <w:hideMark/>
          </w:tcPr>
          <w:p w14:paraId="2E933823"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0.00</w:t>
            </w:r>
          </w:p>
        </w:tc>
      </w:tr>
      <w:tr w:rsidR="00962894" w:rsidRPr="00962894" w14:paraId="6032BE89" w14:textId="77777777">
        <w:trPr>
          <w:jc w:val="center"/>
        </w:trPr>
        <w:tc>
          <w:tcPr>
            <w:tcW w:w="2263" w:type="dxa"/>
            <w:hideMark/>
          </w:tcPr>
          <w:p w14:paraId="2565809C" w14:textId="77777777" w:rsidR="00962894" w:rsidRPr="00962894" w:rsidRDefault="00962894" w:rsidP="00962894">
            <w:pPr>
              <w:tabs>
                <w:tab w:val="left" w:pos="1752"/>
              </w:tabs>
              <w:jc w:val="both"/>
              <w:rPr>
                <w:rFonts w:ascii="Arial" w:hAnsi="Arial" w:cs="Arial"/>
                <w:sz w:val="20"/>
                <w:szCs w:val="20"/>
              </w:rPr>
            </w:pPr>
            <w:r w:rsidRPr="00962894">
              <w:rPr>
                <w:rFonts w:ascii="Arial" w:hAnsi="Arial" w:cs="Arial"/>
                <w:sz w:val="20"/>
                <w:szCs w:val="20"/>
              </w:rPr>
              <w:t>Gum Arabic (%)</w:t>
            </w:r>
          </w:p>
        </w:tc>
        <w:tc>
          <w:tcPr>
            <w:tcW w:w="851" w:type="dxa"/>
            <w:hideMark/>
          </w:tcPr>
          <w:p w14:paraId="4203B92A"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 xml:space="preserve">0.00 </w:t>
            </w:r>
          </w:p>
        </w:tc>
        <w:tc>
          <w:tcPr>
            <w:tcW w:w="850" w:type="dxa"/>
            <w:hideMark/>
          </w:tcPr>
          <w:p w14:paraId="23E34797"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0.00</w:t>
            </w:r>
          </w:p>
        </w:tc>
        <w:tc>
          <w:tcPr>
            <w:tcW w:w="851" w:type="dxa"/>
            <w:hideMark/>
          </w:tcPr>
          <w:p w14:paraId="613E42B2"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0.00</w:t>
            </w:r>
          </w:p>
        </w:tc>
        <w:tc>
          <w:tcPr>
            <w:tcW w:w="850" w:type="dxa"/>
            <w:hideMark/>
          </w:tcPr>
          <w:p w14:paraId="2C919483"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0.00</w:t>
            </w:r>
          </w:p>
        </w:tc>
        <w:tc>
          <w:tcPr>
            <w:tcW w:w="851" w:type="dxa"/>
            <w:hideMark/>
          </w:tcPr>
          <w:p w14:paraId="67FB2401"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1.00</w:t>
            </w:r>
          </w:p>
        </w:tc>
        <w:tc>
          <w:tcPr>
            <w:tcW w:w="850" w:type="dxa"/>
            <w:hideMark/>
          </w:tcPr>
          <w:p w14:paraId="28A11FF8"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2.00</w:t>
            </w:r>
          </w:p>
        </w:tc>
        <w:tc>
          <w:tcPr>
            <w:tcW w:w="851" w:type="dxa"/>
            <w:hideMark/>
          </w:tcPr>
          <w:p w14:paraId="48542C42"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3.00</w:t>
            </w:r>
          </w:p>
        </w:tc>
      </w:tr>
      <w:tr w:rsidR="00962894" w:rsidRPr="00962894" w14:paraId="7D55C9E0" w14:textId="77777777">
        <w:trPr>
          <w:jc w:val="center"/>
        </w:trPr>
        <w:tc>
          <w:tcPr>
            <w:tcW w:w="2263" w:type="dxa"/>
            <w:hideMark/>
          </w:tcPr>
          <w:p w14:paraId="15C47074" w14:textId="77777777" w:rsidR="00962894" w:rsidRPr="00962894" w:rsidRDefault="00962894" w:rsidP="00962894">
            <w:pPr>
              <w:tabs>
                <w:tab w:val="left" w:pos="1752"/>
              </w:tabs>
              <w:jc w:val="both"/>
              <w:rPr>
                <w:rFonts w:ascii="Arial" w:hAnsi="Arial" w:cs="Arial"/>
                <w:sz w:val="20"/>
                <w:szCs w:val="20"/>
              </w:rPr>
            </w:pPr>
            <w:r w:rsidRPr="00962894">
              <w:rPr>
                <w:rFonts w:ascii="Arial" w:hAnsi="Arial" w:cs="Arial"/>
                <w:sz w:val="20"/>
                <w:szCs w:val="20"/>
              </w:rPr>
              <w:t>Ginger Extract (%)</w:t>
            </w:r>
          </w:p>
        </w:tc>
        <w:tc>
          <w:tcPr>
            <w:tcW w:w="851" w:type="dxa"/>
            <w:hideMark/>
          </w:tcPr>
          <w:p w14:paraId="2C1ACE16"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 xml:space="preserve">15.00 </w:t>
            </w:r>
          </w:p>
        </w:tc>
        <w:tc>
          <w:tcPr>
            <w:tcW w:w="850" w:type="dxa"/>
            <w:hideMark/>
          </w:tcPr>
          <w:p w14:paraId="1B60E176"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15.00</w:t>
            </w:r>
          </w:p>
        </w:tc>
        <w:tc>
          <w:tcPr>
            <w:tcW w:w="851" w:type="dxa"/>
            <w:hideMark/>
          </w:tcPr>
          <w:p w14:paraId="6EB61992"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15.00</w:t>
            </w:r>
          </w:p>
        </w:tc>
        <w:tc>
          <w:tcPr>
            <w:tcW w:w="850" w:type="dxa"/>
            <w:hideMark/>
          </w:tcPr>
          <w:p w14:paraId="5AFFEE99"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15.00</w:t>
            </w:r>
          </w:p>
        </w:tc>
        <w:tc>
          <w:tcPr>
            <w:tcW w:w="851" w:type="dxa"/>
            <w:hideMark/>
          </w:tcPr>
          <w:p w14:paraId="27714777"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15.00</w:t>
            </w:r>
          </w:p>
        </w:tc>
        <w:tc>
          <w:tcPr>
            <w:tcW w:w="850" w:type="dxa"/>
            <w:hideMark/>
          </w:tcPr>
          <w:p w14:paraId="3FCF5894"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15.00</w:t>
            </w:r>
          </w:p>
        </w:tc>
        <w:tc>
          <w:tcPr>
            <w:tcW w:w="851" w:type="dxa"/>
            <w:hideMark/>
          </w:tcPr>
          <w:p w14:paraId="1085F006"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15.00</w:t>
            </w:r>
          </w:p>
        </w:tc>
      </w:tr>
      <w:tr w:rsidR="00962894" w:rsidRPr="00962894" w14:paraId="3AC6495B" w14:textId="77777777">
        <w:trPr>
          <w:jc w:val="center"/>
        </w:trPr>
        <w:tc>
          <w:tcPr>
            <w:tcW w:w="2263" w:type="dxa"/>
            <w:hideMark/>
          </w:tcPr>
          <w:p w14:paraId="5F2EA350" w14:textId="77777777" w:rsidR="00962894" w:rsidRPr="00962894" w:rsidRDefault="00962894" w:rsidP="00962894">
            <w:pPr>
              <w:tabs>
                <w:tab w:val="left" w:pos="1752"/>
              </w:tabs>
              <w:jc w:val="both"/>
              <w:rPr>
                <w:rFonts w:ascii="Arial" w:hAnsi="Arial" w:cs="Arial"/>
                <w:sz w:val="20"/>
                <w:szCs w:val="20"/>
              </w:rPr>
            </w:pPr>
            <w:r w:rsidRPr="00962894">
              <w:rPr>
                <w:rFonts w:ascii="Arial" w:hAnsi="Arial" w:cs="Arial"/>
                <w:sz w:val="20"/>
                <w:szCs w:val="20"/>
              </w:rPr>
              <w:t>White Egg (%)</w:t>
            </w:r>
          </w:p>
        </w:tc>
        <w:tc>
          <w:tcPr>
            <w:tcW w:w="851" w:type="dxa"/>
            <w:hideMark/>
          </w:tcPr>
          <w:p w14:paraId="1B3C2788"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 xml:space="preserve">20.00 </w:t>
            </w:r>
          </w:p>
        </w:tc>
        <w:tc>
          <w:tcPr>
            <w:tcW w:w="850" w:type="dxa"/>
            <w:hideMark/>
          </w:tcPr>
          <w:p w14:paraId="6DC53C5C"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20.00</w:t>
            </w:r>
          </w:p>
        </w:tc>
        <w:tc>
          <w:tcPr>
            <w:tcW w:w="851" w:type="dxa"/>
            <w:hideMark/>
          </w:tcPr>
          <w:p w14:paraId="42A978DA"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20.00</w:t>
            </w:r>
          </w:p>
        </w:tc>
        <w:tc>
          <w:tcPr>
            <w:tcW w:w="850" w:type="dxa"/>
            <w:hideMark/>
          </w:tcPr>
          <w:p w14:paraId="7A8E1E88"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20.00</w:t>
            </w:r>
          </w:p>
        </w:tc>
        <w:tc>
          <w:tcPr>
            <w:tcW w:w="851" w:type="dxa"/>
            <w:hideMark/>
          </w:tcPr>
          <w:p w14:paraId="3936315B"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20.00</w:t>
            </w:r>
          </w:p>
        </w:tc>
        <w:tc>
          <w:tcPr>
            <w:tcW w:w="850" w:type="dxa"/>
            <w:hideMark/>
          </w:tcPr>
          <w:p w14:paraId="6F1043E7"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20.00</w:t>
            </w:r>
          </w:p>
        </w:tc>
        <w:tc>
          <w:tcPr>
            <w:tcW w:w="851" w:type="dxa"/>
            <w:hideMark/>
          </w:tcPr>
          <w:p w14:paraId="5E09D892"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20.00</w:t>
            </w:r>
          </w:p>
        </w:tc>
      </w:tr>
      <w:tr w:rsidR="00962894" w:rsidRPr="00962894" w14:paraId="0619632B" w14:textId="77777777">
        <w:trPr>
          <w:jc w:val="center"/>
        </w:trPr>
        <w:tc>
          <w:tcPr>
            <w:tcW w:w="2263" w:type="dxa"/>
            <w:hideMark/>
          </w:tcPr>
          <w:p w14:paraId="63F90C9C" w14:textId="77777777" w:rsidR="00962894" w:rsidRPr="00962894" w:rsidRDefault="00962894" w:rsidP="00962894">
            <w:pPr>
              <w:tabs>
                <w:tab w:val="left" w:pos="1752"/>
              </w:tabs>
              <w:jc w:val="both"/>
              <w:rPr>
                <w:rFonts w:ascii="Arial" w:hAnsi="Arial" w:cs="Arial"/>
                <w:sz w:val="20"/>
                <w:szCs w:val="20"/>
              </w:rPr>
            </w:pPr>
            <w:r w:rsidRPr="00962894">
              <w:rPr>
                <w:rFonts w:ascii="Arial" w:hAnsi="Arial" w:cs="Arial"/>
                <w:sz w:val="20"/>
                <w:szCs w:val="20"/>
              </w:rPr>
              <w:t>Pasteurized Milk (%)</w:t>
            </w:r>
          </w:p>
        </w:tc>
        <w:tc>
          <w:tcPr>
            <w:tcW w:w="851" w:type="dxa"/>
            <w:hideMark/>
          </w:tcPr>
          <w:p w14:paraId="6465B3BB"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 xml:space="preserve">45.00 </w:t>
            </w:r>
          </w:p>
        </w:tc>
        <w:tc>
          <w:tcPr>
            <w:tcW w:w="850" w:type="dxa"/>
            <w:hideMark/>
          </w:tcPr>
          <w:p w14:paraId="2CACFED3"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45.00</w:t>
            </w:r>
          </w:p>
        </w:tc>
        <w:tc>
          <w:tcPr>
            <w:tcW w:w="851" w:type="dxa"/>
            <w:hideMark/>
          </w:tcPr>
          <w:p w14:paraId="03B8C218"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45.00</w:t>
            </w:r>
          </w:p>
        </w:tc>
        <w:tc>
          <w:tcPr>
            <w:tcW w:w="850" w:type="dxa"/>
            <w:hideMark/>
          </w:tcPr>
          <w:p w14:paraId="61FAB33C"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45.00</w:t>
            </w:r>
          </w:p>
        </w:tc>
        <w:tc>
          <w:tcPr>
            <w:tcW w:w="851" w:type="dxa"/>
            <w:hideMark/>
          </w:tcPr>
          <w:p w14:paraId="69BAFE8E"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45.00</w:t>
            </w:r>
          </w:p>
        </w:tc>
        <w:tc>
          <w:tcPr>
            <w:tcW w:w="850" w:type="dxa"/>
            <w:hideMark/>
          </w:tcPr>
          <w:p w14:paraId="45C46DCB"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45.00</w:t>
            </w:r>
          </w:p>
        </w:tc>
        <w:tc>
          <w:tcPr>
            <w:tcW w:w="851" w:type="dxa"/>
            <w:hideMark/>
          </w:tcPr>
          <w:p w14:paraId="1BB4E748" w14:textId="77777777" w:rsidR="00962894" w:rsidRPr="00962894" w:rsidRDefault="00962894" w:rsidP="00962894">
            <w:pPr>
              <w:tabs>
                <w:tab w:val="left" w:pos="1752"/>
              </w:tabs>
              <w:jc w:val="center"/>
              <w:rPr>
                <w:rFonts w:ascii="Arial" w:hAnsi="Arial" w:cs="Arial"/>
                <w:sz w:val="20"/>
                <w:szCs w:val="20"/>
              </w:rPr>
            </w:pPr>
            <w:r w:rsidRPr="00962894">
              <w:rPr>
                <w:rFonts w:ascii="Arial" w:hAnsi="Arial" w:cs="Arial"/>
                <w:sz w:val="20"/>
                <w:szCs w:val="20"/>
              </w:rPr>
              <w:t>45.00</w:t>
            </w:r>
          </w:p>
        </w:tc>
      </w:tr>
      <w:tr w:rsidR="00962894" w:rsidRPr="00962894" w14:paraId="0F6F4D13" w14:textId="77777777">
        <w:trPr>
          <w:jc w:val="center"/>
        </w:trPr>
        <w:tc>
          <w:tcPr>
            <w:tcW w:w="2263" w:type="dxa"/>
            <w:tcBorders>
              <w:top w:val="nil"/>
              <w:left w:val="nil"/>
              <w:bottom w:val="single" w:sz="4" w:space="0" w:color="auto"/>
              <w:right w:val="nil"/>
            </w:tcBorders>
            <w:hideMark/>
          </w:tcPr>
          <w:p w14:paraId="16FE09F8" w14:textId="77777777" w:rsidR="00962894" w:rsidRPr="00962894" w:rsidRDefault="00962894" w:rsidP="00962894">
            <w:pPr>
              <w:tabs>
                <w:tab w:val="left" w:pos="1752"/>
              </w:tabs>
              <w:jc w:val="both"/>
              <w:rPr>
                <w:rFonts w:ascii="Arial" w:hAnsi="Arial" w:cs="Arial"/>
                <w:sz w:val="20"/>
                <w:szCs w:val="20"/>
              </w:rPr>
            </w:pPr>
            <w:r w:rsidRPr="00962894">
              <w:rPr>
                <w:rFonts w:ascii="Arial" w:hAnsi="Arial" w:cs="Arial"/>
                <w:sz w:val="20"/>
                <w:szCs w:val="20"/>
              </w:rPr>
              <w:t>Water (%)</w:t>
            </w:r>
          </w:p>
        </w:tc>
        <w:tc>
          <w:tcPr>
            <w:tcW w:w="851" w:type="dxa"/>
            <w:tcBorders>
              <w:top w:val="nil"/>
              <w:left w:val="nil"/>
              <w:bottom w:val="single" w:sz="4" w:space="0" w:color="auto"/>
              <w:right w:val="nil"/>
            </w:tcBorders>
            <w:hideMark/>
          </w:tcPr>
          <w:p w14:paraId="2AD11C0D" w14:textId="77777777" w:rsidR="00962894" w:rsidRPr="00962894" w:rsidRDefault="00962894" w:rsidP="00962894">
            <w:pPr>
              <w:tabs>
                <w:tab w:val="left" w:pos="1752"/>
              </w:tabs>
              <w:jc w:val="center"/>
              <w:rPr>
                <w:rFonts w:ascii="Arial" w:hAnsi="Arial" w:cs="Arial"/>
                <w:sz w:val="20"/>
                <w:szCs w:val="20"/>
              </w:rPr>
            </w:pPr>
            <w:proofErr w:type="spellStart"/>
            <w:r w:rsidRPr="00962894">
              <w:rPr>
                <w:rFonts w:ascii="Arial" w:hAnsi="Arial" w:cs="Arial"/>
                <w:sz w:val="20"/>
                <w:szCs w:val="20"/>
              </w:rPr>
              <w:t>q.s</w:t>
            </w:r>
            <w:proofErr w:type="spellEnd"/>
            <w:r w:rsidRPr="00962894">
              <w:rPr>
                <w:rFonts w:ascii="Arial" w:hAnsi="Arial" w:cs="Arial"/>
                <w:sz w:val="20"/>
                <w:szCs w:val="20"/>
              </w:rPr>
              <w:t>.</w:t>
            </w:r>
          </w:p>
        </w:tc>
        <w:tc>
          <w:tcPr>
            <w:tcW w:w="850" w:type="dxa"/>
            <w:tcBorders>
              <w:top w:val="nil"/>
              <w:left w:val="nil"/>
              <w:bottom w:val="single" w:sz="4" w:space="0" w:color="auto"/>
              <w:right w:val="nil"/>
            </w:tcBorders>
            <w:hideMark/>
          </w:tcPr>
          <w:p w14:paraId="332DF7F7" w14:textId="77777777" w:rsidR="00962894" w:rsidRPr="00962894" w:rsidRDefault="00962894" w:rsidP="00962894">
            <w:pPr>
              <w:tabs>
                <w:tab w:val="left" w:pos="1752"/>
              </w:tabs>
              <w:jc w:val="center"/>
              <w:rPr>
                <w:rFonts w:ascii="Arial" w:hAnsi="Arial" w:cs="Arial"/>
                <w:sz w:val="20"/>
                <w:szCs w:val="20"/>
              </w:rPr>
            </w:pPr>
            <w:proofErr w:type="spellStart"/>
            <w:r w:rsidRPr="00962894">
              <w:rPr>
                <w:rFonts w:ascii="Arial" w:hAnsi="Arial" w:cs="Arial"/>
                <w:sz w:val="20"/>
                <w:szCs w:val="20"/>
              </w:rPr>
              <w:t>q.s</w:t>
            </w:r>
            <w:proofErr w:type="spellEnd"/>
            <w:r w:rsidRPr="00962894">
              <w:rPr>
                <w:rFonts w:ascii="Arial" w:hAnsi="Arial" w:cs="Arial"/>
                <w:sz w:val="20"/>
                <w:szCs w:val="20"/>
              </w:rPr>
              <w:t>.</w:t>
            </w:r>
          </w:p>
        </w:tc>
        <w:tc>
          <w:tcPr>
            <w:tcW w:w="851" w:type="dxa"/>
            <w:tcBorders>
              <w:top w:val="nil"/>
              <w:left w:val="nil"/>
              <w:bottom w:val="single" w:sz="4" w:space="0" w:color="auto"/>
              <w:right w:val="nil"/>
            </w:tcBorders>
            <w:hideMark/>
          </w:tcPr>
          <w:p w14:paraId="058E7F06" w14:textId="77777777" w:rsidR="00962894" w:rsidRPr="00962894" w:rsidRDefault="00962894" w:rsidP="00962894">
            <w:pPr>
              <w:tabs>
                <w:tab w:val="left" w:pos="1752"/>
              </w:tabs>
              <w:jc w:val="center"/>
              <w:rPr>
                <w:rFonts w:ascii="Arial" w:hAnsi="Arial" w:cs="Arial"/>
                <w:sz w:val="20"/>
                <w:szCs w:val="20"/>
              </w:rPr>
            </w:pPr>
            <w:proofErr w:type="spellStart"/>
            <w:r w:rsidRPr="00962894">
              <w:rPr>
                <w:rFonts w:ascii="Arial" w:hAnsi="Arial" w:cs="Arial"/>
                <w:sz w:val="20"/>
                <w:szCs w:val="20"/>
              </w:rPr>
              <w:t>q.s</w:t>
            </w:r>
            <w:proofErr w:type="spellEnd"/>
            <w:r w:rsidRPr="00962894">
              <w:rPr>
                <w:rFonts w:ascii="Arial" w:hAnsi="Arial" w:cs="Arial"/>
                <w:sz w:val="20"/>
                <w:szCs w:val="20"/>
              </w:rPr>
              <w:t>.</w:t>
            </w:r>
          </w:p>
        </w:tc>
        <w:tc>
          <w:tcPr>
            <w:tcW w:w="850" w:type="dxa"/>
            <w:tcBorders>
              <w:top w:val="nil"/>
              <w:left w:val="nil"/>
              <w:bottom w:val="single" w:sz="4" w:space="0" w:color="auto"/>
              <w:right w:val="nil"/>
            </w:tcBorders>
            <w:hideMark/>
          </w:tcPr>
          <w:p w14:paraId="46ABB6D0" w14:textId="77777777" w:rsidR="00962894" w:rsidRPr="00962894" w:rsidRDefault="00962894" w:rsidP="00962894">
            <w:pPr>
              <w:tabs>
                <w:tab w:val="left" w:pos="1752"/>
              </w:tabs>
              <w:jc w:val="center"/>
              <w:rPr>
                <w:rFonts w:ascii="Arial" w:hAnsi="Arial" w:cs="Arial"/>
                <w:sz w:val="20"/>
                <w:szCs w:val="20"/>
              </w:rPr>
            </w:pPr>
            <w:proofErr w:type="spellStart"/>
            <w:r w:rsidRPr="00962894">
              <w:rPr>
                <w:rFonts w:ascii="Arial" w:hAnsi="Arial" w:cs="Arial"/>
                <w:sz w:val="20"/>
                <w:szCs w:val="20"/>
              </w:rPr>
              <w:t>q.s</w:t>
            </w:r>
            <w:proofErr w:type="spellEnd"/>
            <w:r w:rsidRPr="00962894">
              <w:rPr>
                <w:rFonts w:ascii="Arial" w:hAnsi="Arial" w:cs="Arial"/>
                <w:sz w:val="20"/>
                <w:szCs w:val="20"/>
              </w:rPr>
              <w:t>.</w:t>
            </w:r>
          </w:p>
        </w:tc>
        <w:tc>
          <w:tcPr>
            <w:tcW w:w="851" w:type="dxa"/>
            <w:tcBorders>
              <w:top w:val="nil"/>
              <w:left w:val="nil"/>
              <w:bottom w:val="single" w:sz="4" w:space="0" w:color="auto"/>
              <w:right w:val="nil"/>
            </w:tcBorders>
            <w:hideMark/>
          </w:tcPr>
          <w:p w14:paraId="449114CA" w14:textId="77777777" w:rsidR="00962894" w:rsidRPr="00962894" w:rsidRDefault="00962894" w:rsidP="00962894">
            <w:pPr>
              <w:tabs>
                <w:tab w:val="left" w:pos="1752"/>
              </w:tabs>
              <w:jc w:val="center"/>
              <w:rPr>
                <w:rFonts w:ascii="Arial" w:hAnsi="Arial" w:cs="Arial"/>
                <w:sz w:val="20"/>
                <w:szCs w:val="20"/>
              </w:rPr>
            </w:pPr>
            <w:proofErr w:type="spellStart"/>
            <w:r w:rsidRPr="00962894">
              <w:rPr>
                <w:rFonts w:ascii="Arial" w:hAnsi="Arial" w:cs="Arial"/>
                <w:sz w:val="20"/>
                <w:szCs w:val="20"/>
              </w:rPr>
              <w:t>q.s</w:t>
            </w:r>
            <w:proofErr w:type="spellEnd"/>
            <w:r w:rsidRPr="00962894">
              <w:rPr>
                <w:rFonts w:ascii="Arial" w:hAnsi="Arial" w:cs="Arial"/>
                <w:sz w:val="20"/>
                <w:szCs w:val="20"/>
              </w:rPr>
              <w:t>.</w:t>
            </w:r>
          </w:p>
        </w:tc>
        <w:tc>
          <w:tcPr>
            <w:tcW w:w="850" w:type="dxa"/>
            <w:tcBorders>
              <w:top w:val="nil"/>
              <w:left w:val="nil"/>
              <w:bottom w:val="single" w:sz="4" w:space="0" w:color="auto"/>
              <w:right w:val="nil"/>
            </w:tcBorders>
            <w:hideMark/>
          </w:tcPr>
          <w:p w14:paraId="0CD77150" w14:textId="77777777" w:rsidR="00962894" w:rsidRPr="00962894" w:rsidRDefault="00962894" w:rsidP="00962894">
            <w:pPr>
              <w:tabs>
                <w:tab w:val="left" w:pos="1752"/>
              </w:tabs>
              <w:jc w:val="center"/>
              <w:rPr>
                <w:rFonts w:ascii="Arial" w:hAnsi="Arial" w:cs="Arial"/>
                <w:sz w:val="20"/>
                <w:szCs w:val="20"/>
              </w:rPr>
            </w:pPr>
            <w:proofErr w:type="spellStart"/>
            <w:r w:rsidRPr="00962894">
              <w:rPr>
                <w:rFonts w:ascii="Arial" w:hAnsi="Arial" w:cs="Arial"/>
                <w:sz w:val="20"/>
                <w:szCs w:val="20"/>
              </w:rPr>
              <w:t>q.s</w:t>
            </w:r>
            <w:proofErr w:type="spellEnd"/>
            <w:r w:rsidRPr="00962894">
              <w:rPr>
                <w:rFonts w:ascii="Arial" w:hAnsi="Arial" w:cs="Arial"/>
                <w:sz w:val="20"/>
                <w:szCs w:val="20"/>
              </w:rPr>
              <w:t>.</w:t>
            </w:r>
          </w:p>
        </w:tc>
        <w:tc>
          <w:tcPr>
            <w:tcW w:w="851" w:type="dxa"/>
            <w:tcBorders>
              <w:top w:val="nil"/>
              <w:left w:val="nil"/>
              <w:bottom w:val="single" w:sz="4" w:space="0" w:color="auto"/>
              <w:right w:val="nil"/>
            </w:tcBorders>
            <w:hideMark/>
          </w:tcPr>
          <w:p w14:paraId="4022BB11" w14:textId="77777777" w:rsidR="00962894" w:rsidRPr="00962894" w:rsidRDefault="00962894" w:rsidP="00962894">
            <w:pPr>
              <w:tabs>
                <w:tab w:val="left" w:pos="1752"/>
              </w:tabs>
              <w:jc w:val="center"/>
              <w:rPr>
                <w:rFonts w:ascii="Arial" w:hAnsi="Arial" w:cs="Arial"/>
                <w:sz w:val="20"/>
                <w:szCs w:val="20"/>
              </w:rPr>
            </w:pPr>
            <w:proofErr w:type="spellStart"/>
            <w:r w:rsidRPr="00962894">
              <w:rPr>
                <w:rFonts w:ascii="Arial" w:hAnsi="Arial" w:cs="Arial"/>
                <w:sz w:val="20"/>
                <w:szCs w:val="20"/>
              </w:rPr>
              <w:t>q.s</w:t>
            </w:r>
            <w:proofErr w:type="spellEnd"/>
            <w:r w:rsidRPr="00962894">
              <w:rPr>
                <w:rFonts w:ascii="Arial" w:hAnsi="Arial" w:cs="Arial"/>
                <w:sz w:val="20"/>
                <w:szCs w:val="20"/>
              </w:rPr>
              <w:t>.</w:t>
            </w:r>
          </w:p>
        </w:tc>
      </w:tr>
    </w:tbl>
    <w:p w14:paraId="3BEC99D6" w14:textId="630AC1BA" w:rsidR="00962894" w:rsidRPr="005B50EA" w:rsidRDefault="005B50EA" w:rsidP="00962894">
      <w:pPr>
        <w:tabs>
          <w:tab w:val="left" w:pos="2946"/>
        </w:tabs>
        <w:jc w:val="both"/>
        <w:rPr>
          <w:rFonts w:ascii="Arial" w:eastAsia="Calibri" w:hAnsi="Arial" w:cs="Arial"/>
          <w:i/>
          <w:iCs/>
          <w:sz w:val="18"/>
          <w:szCs w:val="18"/>
        </w:rPr>
      </w:pPr>
      <w:r>
        <w:rPr>
          <w:rFonts w:ascii="Arial" w:eastAsia="Calibri" w:hAnsi="Arial" w:cs="Arial"/>
          <w:i/>
          <w:iCs/>
          <w:sz w:val="18"/>
          <w:szCs w:val="18"/>
        </w:rPr>
        <w:t>*</w:t>
      </w:r>
      <w:proofErr w:type="spellStart"/>
      <w:r w:rsidR="00962894" w:rsidRPr="005B50EA">
        <w:rPr>
          <w:rFonts w:ascii="Arial" w:eastAsia="Calibri" w:hAnsi="Arial" w:cs="Arial"/>
          <w:i/>
          <w:iCs/>
          <w:sz w:val="18"/>
          <w:szCs w:val="18"/>
        </w:rPr>
        <w:t>q.s</w:t>
      </w:r>
      <w:proofErr w:type="spellEnd"/>
      <w:r w:rsidR="00962894" w:rsidRPr="005B50EA">
        <w:rPr>
          <w:rFonts w:ascii="Arial" w:eastAsia="Calibri" w:hAnsi="Arial" w:cs="Arial"/>
          <w:i/>
          <w:iCs/>
          <w:sz w:val="18"/>
          <w:szCs w:val="18"/>
        </w:rPr>
        <w:t xml:space="preserve">. = water was added quantum </w:t>
      </w:r>
      <w:proofErr w:type="spellStart"/>
      <w:r w:rsidR="00962894" w:rsidRPr="005B50EA">
        <w:rPr>
          <w:rFonts w:ascii="Arial" w:eastAsia="Calibri" w:hAnsi="Arial" w:cs="Arial"/>
          <w:i/>
          <w:iCs/>
          <w:sz w:val="18"/>
          <w:szCs w:val="18"/>
        </w:rPr>
        <w:t>satis</w:t>
      </w:r>
      <w:proofErr w:type="spellEnd"/>
      <w:r w:rsidR="00962894" w:rsidRPr="005B50EA">
        <w:rPr>
          <w:rFonts w:ascii="Arial" w:eastAsia="Calibri" w:hAnsi="Arial" w:cs="Arial"/>
          <w:i/>
          <w:iCs/>
          <w:sz w:val="18"/>
          <w:szCs w:val="18"/>
        </w:rPr>
        <w:t xml:space="preserve"> to 100% (w/w)</w:t>
      </w:r>
      <w:r w:rsidR="00D378C1">
        <w:rPr>
          <w:rFonts w:ascii="Arial" w:eastAsia="Calibri" w:hAnsi="Arial" w:cs="Arial"/>
          <w:i/>
          <w:iCs/>
          <w:sz w:val="18"/>
          <w:szCs w:val="18"/>
        </w:rPr>
        <w:t xml:space="preserve">. </w:t>
      </w:r>
      <w:r w:rsidR="00D378C1" w:rsidRPr="00222922">
        <w:rPr>
          <w:rFonts w:eastAsia="Calibri"/>
          <w:i/>
          <w:iCs/>
          <w:sz w:val="18"/>
          <w:szCs w:val="18"/>
          <w:highlight w:val="green"/>
        </w:rPr>
        <w:t>Source:</w:t>
      </w:r>
      <w:r w:rsidR="00D378C1" w:rsidRPr="00222922">
        <w:rPr>
          <w:rFonts w:ascii="Arial" w:eastAsia="Calibri" w:hAnsi="Arial" w:cs="Arial"/>
          <w:i/>
          <w:iCs/>
          <w:sz w:val="18"/>
          <w:szCs w:val="18"/>
          <w:highlight w:val="green"/>
        </w:rPr>
        <w:t xml:space="preserve"> </w:t>
      </w:r>
      <w:r w:rsidR="005610A4">
        <w:rPr>
          <w:rFonts w:ascii="Arial" w:eastAsia="Calibri" w:hAnsi="Arial" w:cs="Arial"/>
          <w:i/>
          <w:iCs/>
          <w:sz w:val="18"/>
          <w:szCs w:val="18"/>
          <w:highlight w:val="green"/>
        </w:rPr>
        <w:t>Experimental formulations developed</w:t>
      </w:r>
      <w:r w:rsidR="00D378C1" w:rsidRPr="00222922">
        <w:rPr>
          <w:rFonts w:ascii="Arial" w:eastAsia="Calibri" w:hAnsi="Arial" w:cs="Arial"/>
          <w:i/>
          <w:iCs/>
          <w:sz w:val="18"/>
          <w:szCs w:val="18"/>
          <w:highlight w:val="green"/>
        </w:rPr>
        <w:t xml:space="preserve"> in the present study (2025)</w:t>
      </w:r>
      <w:r w:rsidR="005610A4">
        <w:rPr>
          <w:rFonts w:ascii="Arial" w:eastAsia="Calibri" w:hAnsi="Arial" w:cs="Arial"/>
          <w:i/>
          <w:iCs/>
          <w:sz w:val="18"/>
          <w:szCs w:val="18"/>
        </w:rPr>
        <w:t>.</w:t>
      </w:r>
    </w:p>
    <w:p w14:paraId="7ED6689A" w14:textId="77777777" w:rsidR="00962894" w:rsidRPr="00962894" w:rsidRDefault="00962894" w:rsidP="00962894">
      <w:pPr>
        <w:tabs>
          <w:tab w:val="left" w:pos="2946"/>
        </w:tabs>
        <w:ind w:firstLine="720"/>
        <w:jc w:val="both"/>
        <w:rPr>
          <w:rFonts w:ascii="Arial" w:eastAsia="Calibri" w:hAnsi="Arial" w:cs="Arial"/>
        </w:rPr>
      </w:pPr>
    </w:p>
    <w:p w14:paraId="0277CF30" w14:textId="77777777" w:rsidR="00962894" w:rsidRPr="00962894" w:rsidRDefault="00962894" w:rsidP="00962894">
      <w:pPr>
        <w:tabs>
          <w:tab w:val="left" w:pos="2946"/>
        </w:tabs>
        <w:ind w:firstLine="720"/>
        <w:jc w:val="both"/>
        <w:rPr>
          <w:rFonts w:ascii="Arial" w:eastAsia="Calibri" w:hAnsi="Arial" w:cs="Arial"/>
        </w:rPr>
      </w:pPr>
    </w:p>
    <w:p w14:paraId="49542600" w14:textId="06CB2760" w:rsidR="00962894" w:rsidRDefault="00962894" w:rsidP="00A65210">
      <w:pPr>
        <w:tabs>
          <w:tab w:val="left" w:pos="2946"/>
        </w:tabs>
        <w:jc w:val="both"/>
        <w:rPr>
          <w:rFonts w:ascii="Arial" w:eastAsia="Calibri" w:hAnsi="Arial" w:cs="Arial"/>
        </w:rPr>
      </w:pPr>
      <w:r w:rsidRPr="00962894">
        <w:rPr>
          <w:rFonts w:ascii="Arial" w:hAnsi="Arial" w:cs="Arial"/>
          <w:noProof/>
        </w:rPr>
        <w:drawing>
          <wp:inline distT="0" distB="0" distL="0" distR="0" wp14:anchorId="174BEE3F" wp14:editId="5D7732D3">
            <wp:extent cx="5010150" cy="5279591"/>
            <wp:effectExtent l="0" t="0" r="0" b="0"/>
            <wp:docPr id="719306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4927" cy="5284625"/>
                    </a:xfrm>
                    <a:prstGeom prst="rect">
                      <a:avLst/>
                    </a:prstGeom>
                    <a:noFill/>
                    <a:ln>
                      <a:noFill/>
                    </a:ln>
                  </pic:spPr>
                </pic:pic>
              </a:graphicData>
            </a:graphic>
          </wp:inline>
        </w:drawing>
      </w:r>
    </w:p>
    <w:p w14:paraId="400A9E74" w14:textId="77777777" w:rsidR="00F5154A" w:rsidRDefault="00F5154A" w:rsidP="00F5154A">
      <w:pPr>
        <w:tabs>
          <w:tab w:val="left" w:pos="1812"/>
          <w:tab w:val="center" w:pos="4104"/>
        </w:tabs>
        <w:spacing w:line="360" w:lineRule="auto"/>
        <w:jc w:val="center"/>
        <w:rPr>
          <w:rStyle w:val="Strong"/>
          <w:rFonts w:ascii="Arial" w:hAnsi="Arial" w:cs="Arial"/>
          <w:b w:val="0"/>
          <w:bCs w:val="0"/>
        </w:rPr>
      </w:pPr>
    </w:p>
    <w:p w14:paraId="77C128C1" w14:textId="4BCCA5A5" w:rsidR="00F5154A" w:rsidRPr="001518B1" w:rsidRDefault="00F5154A" w:rsidP="00222922">
      <w:pPr>
        <w:tabs>
          <w:tab w:val="left" w:pos="1812"/>
          <w:tab w:val="center" w:pos="4104"/>
        </w:tabs>
        <w:spacing w:line="360" w:lineRule="auto"/>
        <w:jc w:val="center"/>
        <w:rPr>
          <w:rFonts w:ascii="Arial" w:eastAsia="Calibri" w:hAnsi="Arial" w:cs="Arial"/>
        </w:rPr>
      </w:pPr>
    </w:p>
    <w:p w14:paraId="3C42A55F" w14:textId="67C246C1" w:rsidR="00962894" w:rsidRPr="00962894" w:rsidRDefault="005B50EA" w:rsidP="00222922">
      <w:pPr>
        <w:pStyle w:val="Caption"/>
        <w:tabs>
          <w:tab w:val="right" w:pos="8208"/>
        </w:tabs>
        <w:rPr>
          <w:rFonts w:eastAsia="Calibri" w:cs="Arial"/>
          <w:szCs w:val="20"/>
        </w:rPr>
      </w:pPr>
      <w:r>
        <w:t xml:space="preserve">Fig.  </w:t>
      </w:r>
      <w:fldSimple w:instr=" SEQ Fig._ \* ARABIC ">
        <w:r w:rsidR="00F61A34">
          <w:rPr>
            <w:noProof/>
          </w:rPr>
          <w:t>1</w:t>
        </w:r>
      </w:fldSimple>
      <w:r>
        <w:t xml:space="preserve">. </w:t>
      </w:r>
      <w:r w:rsidR="00962894" w:rsidRPr="00962894">
        <w:rPr>
          <w:rFonts w:eastAsia="Calibri" w:cs="Arial"/>
          <w:szCs w:val="20"/>
        </w:rPr>
        <w:t>Process workflow for ginger milk powder production using foam-mat drying</w:t>
      </w:r>
      <w:r w:rsidR="00A97093">
        <w:rPr>
          <w:rFonts w:eastAsia="Calibri" w:cs="Arial"/>
          <w:szCs w:val="20"/>
        </w:rPr>
        <w:t xml:space="preserve">. </w:t>
      </w:r>
      <w:r w:rsidR="00A97093" w:rsidRPr="00222922">
        <w:rPr>
          <w:rFonts w:eastAsia="Calibri" w:cs="Arial"/>
          <w:szCs w:val="20"/>
          <w:highlight w:val="green"/>
        </w:rPr>
        <w:t>Source: Developed by the author for this study (2025).</w:t>
      </w:r>
    </w:p>
    <w:p w14:paraId="63601796" w14:textId="77777777" w:rsidR="007171FF" w:rsidRDefault="007171FF" w:rsidP="00530638">
      <w:pPr>
        <w:spacing w:line="480" w:lineRule="auto"/>
        <w:ind w:firstLine="720"/>
        <w:jc w:val="both"/>
        <w:rPr>
          <w:rFonts w:ascii="Arial" w:eastAsia="Calibri" w:hAnsi="Arial" w:cs="Arial"/>
        </w:rPr>
      </w:pPr>
    </w:p>
    <w:p w14:paraId="14DBE197" w14:textId="2E6211EC" w:rsidR="00962894" w:rsidRPr="00962894" w:rsidRDefault="00962894" w:rsidP="00530638">
      <w:pPr>
        <w:spacing w:line="480" w:lineRule="auto"/>
        <w:ind w:firstLine="720"/>
        <w:jc w:val="both"/>
        <w:rPr>
          <w:rFonts w:ascii="Arial" w:eastAsia="Calibri" w:hAnsi="Arial" w:cs="Arial"/>
        </w:rPr>
      </w:pPr>
      <w:r w:rsidRPr="00962894">
        <w:rPr>
          <w:rFonts w:ascii="Arial" w:eastAsia="Calibri" w:hAnsi="Arial" w:cs="Arial"/>
        </w:rPr>
        <w:t xml:space="preserve">Figure 1 provides an overview of the study workflow. The ginger extract was prepared by selecting fresh and healthy ginger rhizomes. The samples were then washed with tap water, peeled, and rinsed several times. Exactly 100 g of peeled ginger were then homogenized with 100 mL of water (1:1, w/v) in a kitchen blender (model HR2223, Philips, Jakarta, Indonesia) until uniform. The resulting slurry was pressed through a filter cloth into a graduated cylinder and subsequently clarified by gravity filtration through filter paper to yield a clear, residue-free extract following the method reported by </w:t>
      </w:r>
      <w:proofErr w:type="spellStart"/>
      <w:r w:rsidRPr="00962894">
        <w:rPr>
          <w:rFonts w:ascii="Arial" w:eastAsia="Calibri" w:hAnsi="Arial" w:cs="Arial"/>
        </w:rPr>
        <w:t>Wulandari</w:t>
      </w:r>
      <w:proofErr w:type="spellEnd"/>
      <w:r w:rsidRPr="00962894">
        <w:rPr>
          <w:rFonts w:ascii="Arial" w:eastAsia="Calibri" w:hAnsi="Arial" w:cs="Arial"/>
        </w:rPr>
        <w:t xml:space="preserve"> &amp; </w:t>
      </w:r>
      <w:proofErr w:type="spellStart"/>
      <w:r w:rsidRPr="00962894">
        <w:rPr>
          <w:rFonts w:ascii="Arial" w:eastAsia="Calibri" w:hAnsi="Arial" w:cs="Arial"/>
        </w:rPr>
        <w:t>Swasono</w:t>
      </w:r>
      <w:proofErr w:type="spellEnd"/>
      <w:r w:rsidRPr="00962894">
        <w:rPr>
          <w:rFonts w:ascii="Arial" w:eastAsia="Calibri" w:hAnsi="Arial" w:cs="Arial"/>
        </w:rPr>
        <w:t xml:space="preserve"> (2022). Next, the foam-mat mixture was prepared, spread, and dried under controlled conditions, followed by milling to obtain ginger milk powder. The product obtained from this process was then subjected to physicochemical characterization and sensory evaluation. Statistical analysis was performed to interpret the results of the experiment and identify significant differences among treatments.</w:t>
      </w:r>
    </w:p>
    <w:p w14:paraId="526A208A" w14:textId="3A1C092A" w:rsidR="00962894" w:rsidRPr="00962894" w:rsidRDefault="00962894" w:rsidP="00530638">
      <w:pPr>
        <w:pStyle w:val="Research"/>
        <w:spacing w:line="480" w:lineRule="auto"/>
      </w:pPr>
      <w:bookmarkStart w:id="1" w:name="_Hlk212105116"/>
      <w:r w:rsidRPr="00962894">
        <w:t xml:space="preserve">Foam-mat </w:t>
      </w:r>
      <w:r w:rsidR="00036F7B" w:rsidRPr="00962894">
        <w:t xml:space="preserve">Preparation </w:t>
      </w:r>
      <w:r w:rsidRPr="00962894">
        <w:t xml:space="preserve">and </w:t>
      </w:r>
      <w:r w:rsidR="00036F7B" w:rsidRPr="00962894">
        <w:t>Drying</w:t>
      </w:r>
    </w:p>
    <w:bookmarkEnd w:id="1"/>
    <w:p w14:paraId="4C6F414C" w14:textId="07772F29" w:rsidR="00962894" w:rsidRPr="00962894" w:rsidRDefault="005B50EA" w:rsidP="00530638">
      <w:pPr>
        <w:pStyle w:val="ListParagraph"/>
        <w:spacing w:after="0" w:line="480" w:lineRule="auto"/>
        <w:ind w:left="0"/>
        <w:jc w:val="both"/>
        <w:rPr>
          <w:rFonts w:ascii="Arial" w:eastAsia="Calibri" w:hAnsi="Arial" w:cs="Arial"/>
          <w:kern w:val="0"/>
          <w:sz w:val="20"/>
          <w:szCs w:val="20"/>
        </w:rPr>
      </w:pPr>
      <w:r>
        <w:rPr>
          <w:rFonts w:ascii="Arial" w:eastAsia="Calibri" w:hAnsi="Arial" w:cs="Arial"/>
          <w:kern w:val="0"/>
          <w:sz w:val="20"/>
          <w:szCs w:val="20"/>
        </w:rPr>
        <w:tab/>
      </w:r>
      <w:r w:rsidR="00962894" w:rsidRPr="00962894">
        <w:rPr>
          <w:rFonts w:ascii="Arial" w:eastAsia="Calibri" w:hAnsi="Arial" w:cs="Arial"/>
          <w:kern w:val="0"/>
          <w:sz w:val="20"/>
          <w:szCs w:val="20"/>
        </w:rPr>
        <w:t>Ginger extract was mixed with pasteurized cow milk in the ratio of</w:t>
      </w:r>
      <w:r w:rsidR="00962894" w:rsidRPr="00962894">
        <w:rPr>
          <w:rFonts w:ascii="Arial" w:eastAsia="Calibri" w:hAnsi="Arial" w:cs="Arial"/>
          <w:kern w:val="0"/>
          <w:sz w:val="20"/>
          <w:szCs w:val="20"/>
        </w:rPr>
        <w:t> </w:t>
      </w:r>
      <w:r w:rsidR="00962894" w:rsidRPr="00962894">
        <w:rPr>
          <w:rFonts w:ascii="Arial" w:eastAsia="Calibri" w:hAnsi="Arial" w:cs="Arial"/>
          <w:kern w:val="0"/>
          <w:sz w:val="20"/>
          <w:szCs w:val="20"/>
        </w:rPr>
        <w:t>1:3 (v/v). Egg white was added and</w:t>
      </w:r>
      <w:r w:rsidR="00962894" w:rsidRPr="00962894">
        <w:rPr>
          <w:rFonts w:ascii="Arial" w:eastAsia="Calibri" w:hAnsi="Arial" w:cs="Arial"/>
          <w:kern w:val="0"/>
          <w:sz w:val="20"/>
          <w:szCs w:val="20"/>
        </w:rPr>
        <w:t> </w:t>
      </w:r>
      <w:r w:rsidR="00962894" w:rsidRPr="00962894">
        <w:rPr>
          <w:rFonts w:ascii="Arial" w:eastAsia="Calibri" w:hAnsi="Arial" w:cs="Arial"/>
          <w:kern w:val="0"/>
          <w:sz w:val="20"/>
          <w:szCs w:val="20"/>
        </w:rPr>
        <w:t>then a stabilizer (CMC or gum Arabic) was subsequently introduced to the slurry according to the pre-determined formulation, as written in Table 1. The mixture was foamed using a kitchen mixer type (HR7922/90, Philip, Jakarta, Indonesia) by increasing speed of the machine to obtain fine foam with minimal large bubbles</w:t>
      </w:r>
      <w:r w:rsidR="00962894" w:rsidRPr="00962894">
        <w:rPr>
          <w:rFonts w:ascii="Arial" w:eastAsia="Calibri" w:hAnsi="Arial" w:cs="Arial"/>
          <w:kern w:val="0"/>
          <w:sz w:val="20"/>
          <w:szCs w:val="20"/>
        </w:rPr>
        <w:t> </w:t>
      </w:r>
      <w:r w:rsidR="00962894" w:rsidRPr="00962894">
        <w:rPr>
          <w:rFonts w:ascii="Arial" w:eastAsia="Calibri" w:hAnsi="Arial" w:cs="Arial"/>
          <w:kern w:val="0"/>
          <w:sz w:val="20"/>
          <w:szCs w:val="20"/>
        </w:rPr>
        <w:t>and forming stiff peaks. The</w:t>
      </w:r>
      <w:r w:rsidR="00962894" w:rsidRPr="00962894">
        <w:rPr>
          <w:rFonts w:ascii="Arial" w:eastAsia="Calibri" w:hAnsi="Arial" w:cs="Arial"/>
          <w:kern w:val="0"/>
          <w:sz w:val="20"/>
          <w:szCs w:val="20"/>
        </w:rPr>
        <w:t> </w:t>
      </w:r>
      <w:r w:rsidR="00962894" w:rsidRPr="00962894">
        <w:rPr>
          <w:rFonts w:ascii="Arial" w:eastAsia="Calibri" w:hAnsi="Arial" w:cs="Arial"/>
          <w:kern w:val="0"/>
          <w:sz w:val="20"/>
          <w:szCs w:val="20"/>
        </w:rPr>
        <w:t>recovered foam were uniformly spread onto trays (depth 1–3mm) and oven dried at 65 °C for 24 h to remove as much moisture as possible while maintaining minimal thermal damage or case hardening. After drying, the sheets were cooled at ambient temperature, milled and sifted through a</w:t>
      </w:r>
      <w:r w:rsidR="00962894" w:rsidRPr="00962894">
        <w:rPr>
          <w:rFonts w:ascii="Arial" w:eastAsia="Calibri" w:hAnsi="Arial" w:cs="Arial"/>
          <w:kern w:val="0"/>
          <w:sz w:val="20"/>
          <w:szCs w:val="20"/>
        </w:rPr>
        <w:t> </w:t>
      </w:r>
      <w:r w:rsidR="00962894" w:rsidRPr="00962894">
        <w:rPr>
          <w:rFonts w:ascii="Arial" w:eastAsia="Calibri" w:hAnsi="Arial" w:cs="Arial"/>
          <w:kern w:val="0"/>
          <w:sz w:val="20"/>
          <w:szCs w:val="20"/>
        </w:rPr>
        <w:t>120-mesh screen to obtain a fine powder (</w:t>
      </w:r>
      <w:proofErr w:type="spellStart"/>
      <w:r w:rsidR="00962894" w:rsidRPr="00962894">
        <w:rPr>
          <w:rFonts w:ascii="Arial" w:eastAsia="Calibri" w:hAnsi="Arial" w:cs="Arial"/>
          <w:kern w:val="0"/>
          <w:sz w:val="20"/>
          <w:szCs w:val="20"/>
        </w:rPr>
        <w:t>Indrianti</w:t>
      </w:r>
      <w:proofErr w:type="spellEnd"/>
      <w:r w:rsidR="00962894" w:rsidRPr="00962894">
        <w:rPr>
          <w:rFonts w:ascii="Arial" w:eastAsia="Calibri" w:hAnsi="Arial" w:cs="Arial"/>
          <w:kern w:val="0"/>
          <w:sz w:val="20"/>
          <w:szCs w:val="20"/>
        </w:rPr>
        <w:t xml:space="preserve"> et al., 2023; </w:t>
      </w:r>
      <w:proofErr w:type="spellStart"/>
      <w:r w:rsidR="00962894" w:rsidRPr="00962894">
        <w:rPr>
          <w:rFonts w:ascii="Arial" w:eastAsia="Calibri" w:hAnsi="Arial" w:cs="Arial"/>
          <w:kern w:val="0"/>
          <w:sz w:val="20"/>
          <w:szCs w:val="20"/>
        </w:rPr>
        <w:t>Kurniasari</w:t>
      </w:r>
      <w:proofErr w:type="spellEnd"/>
      <w:r w:rsidR="00962894" w:rsidRPr="00962894">
        <w:rPr>
          <w:rFonts w:ascii="Arial" w:eastAsia="Calibri" w:hAnsi="Arial" w:cs="Arial"/>
          <w:kern w:val="0"/>
          <w:sz w:val="20"/>
          <w:szCs w:val="20"/>
        </w:rPr>
        <w:t xml:space="preserve"> et al., 2019).</w:t>
      </w:r>
    </w:p>
    <w:p w14:paraId="325C936C" w14:textId="77777777" w:rsidR="00962894" w:rsidRPr="00962894" w:rsidRDefault="00962894" w:rsidP="00530638">
      <w:pPr>
        <w:pStyle w:val="Research"/>
        <w:spacing w:line="480" w:lineRule="auto"/>
      </w:pPr>
      <w:bookmarkStart w:id="2" w:name="_Hlk212105143"/>
      <w:r w:rsidRPr="00962894">
        <w:t>Physicochemical and Sensory Properties</w:t>
      </w:r>
    </w:p>
    <w:p w14:paraId="24907000" w14:textId="2829A09E" w:rsidR="00962894" w:rsidRPr="00962894" w:rsidRDefault="00962894" w:rsidP="00530638">
      <w:pPr>
        <w:pStyle w:val="Foam"/>
        <w:spacing w:line="480" w:lineRule="auto"/>
      </w:pPr>
      <w:r w:rsidRPr="00962894">
        <w:t xml:space="preserve">Foam </w:t>
      </w:r>
      <w:r w:rsidR="005B50EA">
        <w:t>d</w:t>
      </w:r>
      <w:r w:rsidRPr="00962894">
        <w:t>ensity</w:t>
      </w:r>
    </w:p>
    <w:bookmarkEnd w:id="2"/>
    <w:p w14:paraId="54257AB4" w14:textId="46FE4FB9" w:rsidR="00962894" w:rsidRPr="00962894" w:rsidRDefault="004A71AD" w:rsidP="00530638">
      <w:pPr>
        <w:spacing w:line="480" w:lineRule="auto"/>
        <w:ind w:firstLine="720"/>
        <w:jc w:val="both"/>
        <w:rPr>
          <w:rFonts w:ascii="Arial" w:eastAsia="Calibri" w:hAnsi="Arial" w:cs="Arial"/>
        </w:rPr>
      </w:pPr>
      <w:r w:rsidRPr="004A71AD">
        <w:rPr>
          <w:rFonts w:ascii="Arial" w:eastAsia="Calibri" w:hAnsi="Arial" w:cs="Arial"/>
        </w:rPr>
        <w:lastRenderedPageBreak/>
        <w:t xml:space="preserve">Foam density of the ginger-milk foam was measured according the method reported previously by </w:t>
      </w:r>
      <w:proofErr w:type="spellStart"/>
      <w:r w:rsidRPr="004A71AD">
        <w:rPr>
          <w:rFonts w:ascii="Arial" w:eastAsia="Calibri" w:hAnsi="Arial" w:cs="Arial"/>
        </w:rPr>
        <w:t>Affandi</w:t>
      </w:r>
      <w:proofErr w:type="spellEnd"/>
      <w:r w:rsidRPr="004A71AD">
        <w:rPr>
          <w:rFonts w:ascii="Arial" w:eastAsia="Calibri" w:hAnsi="Arial" w:cs="Arial"/>
        </w:rPr>
        <w:t xml:space="preserve"> et al. (2017).</w:t>
      </w:r>
      <w:r>
        <w:rPr>
          <w:rFonts w:ascii="Arial" w:eastAsia="Calibri" w:hAnsi="Arial" w:cs="Arial"/>
        </w:rPr>
        <w:t xml:space="preserve"> A</w:t>
      </w:r>
      <w:r w:rsidR="00962894" w:rsidRPr="00962894">
        <w:rPr>
          <w:rFonts w:ascii="Arial" w:eastAsia="Calibri" w:hAnsi="Arial" w:cs="Arial"/>
        </w:rPr>
        <w:t> </w:t>
      </w:r>
      <w:r w:rsidR="00962894" w:rsidRPr="00962894">
        <w:rPr>
          <w:rFonts w:ascii="Arial" w:eastAsia="Calibri" w:hAnsi="Arial" w:cs="Arial"/>
        </w:rPr>
        <w:t>weighed empty glass beaker was partially filled with foam (up to 50 mL) and reweighed. The density of the foam</w:t>
      </w:r>
      <w:r w:rsidR="00962894" w:rsidRPr="00962894">
        <w:rPr>
          <w:rFonts w:ascii="Arial" w:eastAsia="Calibri" w:hAnsi="Arial" w:cs="Arial"/>
        </w:rPr>
        <w:t> </w:t>
      </w:r>
      <w:r w:rsidR="00962894" w:rsidRPr="00962894">
        <w:rPr>
          <w:rFonts w:ascii="Arial" w:eastAsia="Calibri" w:hAnsi="Arial" w:cs="Arial"/>
        </w:rPr>
        <w:t>was expressed as mass per unit volume and calculated by:</w:t>
      </w:r>
    </w:p>
    <w:p w14:paraId="24EAF3C5" w14:textId="681A8619" w:rsidR="00962894" w:rsidRPr="00962894" w:rsidRDefault="00962894" w:rsidP="00D21F0E">
      <w:pPr>
        <w:spacing w:line="480" w:lineRule="auto"/>
        <w:ind w:left="1418"/>
        <w:jc w:val="both"/>
        <w:rPr>
          <w:rFonts w:ascii="Arial" w:eastAsia="Calibri" w:hAnsi="Arial" w:cs="Arial"/>
        </w:rPr>
      </w:pPr>
      <m:oMath>
        <m:r>
          <m:rPr>
            <m:sty m:val="p"/>
          </m:rPr>
          <w:rPr>
            <w:rFonts w:ascii="Cambria Math" w:eastAsia="Calibri" w:hAnsi="Cambria Math" w:cs="Arial"/>
          </w:rPr>
          <m:t>Foam density (g/mL)</m:t>
        </m:r>
        <m:r>
          <w:rPr>
            <w:rFonts w:ascii="Cambria Math" w:eastAsia="Calibri" w:hAnsi="Cambria Math" w:cs="Arial"/>
          </w:rPr>
          <m:t>=</m:t>
        </m:r>
        <m:f>
          <m:fPr>
            <m:ctrlPr>
              <w:rPr>
                <w:rFonts w:ascii="Cambria Math" w:eastAsia="Calibri" w:hAnsi="Cambria Math" w:cs="Arial"/>
                <w:i/>
              </w:rPr>
            </m:ctrlPr>
          </m:fPr>
          <m:num>
            <m:sSub>
              <m:sSubPr>
                <m:ctrlPr>
                  <w:rPr>
                    <w:rFonts w:ascii="Cambria Math" w:eastAsia="Calibri" w:hAnsi="Cambria Math" w:cs="Arial"/>
                    <w:i/>
                  </w:rPr>
                </m:ctrlPr>
              </m:sSubPr>
              <m:e>
                <m:r>
                  <w:rPr>
                    <w:rFonts w:ascii="Cambria Math" w:eastAsia="Calibri" w:hAnsi="Cambria Math" w:cs="Arial"/>
                  </w:rPr>
                  <m:t>m</m:t>
                </m:r>
              </m:e>
              <m:sub>
                <m:r>
                  <w:rPr>
                    <w:rFonts w:ascii="Cambria Math" w:eastAsia="Calibri" w:hAnsi="Cambria Math" w:cs="Arial"/>
                  </w:rPr>
                  <m:t>foam</m:t>
                </m:r>
              </m:sub>
            </m:sSub>
          </m:num>
          <m:den>
            <m:sSub>
              <m:sSubPr>
                <m:ctrlPr>
                  <w:rPr>
                    <w:rFonts w:ascii="Cambria Math" w:eastAsia="Calibri" w:hAnsi="Cambria Math" w:cs="Arial"/>
                    <w:i/>
                  </w:rPr>
                </m:ctrlPr>
              </m:sSubPr>
              <m:e>
                <m:r>
                  <w:rPr>
                    <w:rFonts w:ascii="Cambria Math" w:eastAsia="Calibri" w:hAnsi="Cambria Math" w:cs="Arial"/>
                  </w:rPr>
                  <m:t>V</m:t>
                </m:r>
              </m:e>
              <m:sub>
                <m:r>
                  <w:rPr>
                    <w:rFonts w:ascii="Cambria Math" w:eastAsia="Calibri" w:hAnsi="Cambria Math" w:cs="Arial"/>
                  </w:rPr>
                  <m:t>foam</m:t>
                </m:r>
              </m:sub>
            </m:sSub>
          </m:den>
        </m:f>
      </m:oMath>
      <w:r w:rsidRPr="00962894">
        <w:rPr>
          <w:rFonts w:ascii="Arial" w:eastAsia="Calibri" w:hAnsi="Arial" w:cs="Arial"/>
        </w:rPr>
        <w:t xml:space="preserve">   ………………………………………</w:t>
      </w:r>
      <w:r w:rsidR="00766425">
        <w:rPr>
          <w:rFonts w:ascii="Arial" w:eastAsia="Calibri" w:hAnsi="Arial" w:cs="Arial"/>
        </w:rPr>
        <w:tab/>
      </w:r>
      <w:r w:rsidR="00766425">
        <w:rPr>
          <w:rFonts w:ascii="Arial" w:eastAsia="Calibri" w:hAnsi="Arial" w:cs="Arial"/>
        </w:rPr>
        <w:tab/>
      </w:r>
      <w:r w:rsidRPr="005B50EA">
        <w:rPr>
          <w:rFonts w:ascii="Arial" w:eastAsia="Calibri" w:hAnsi="Arial" w:cs="Arial"/>
        </w:rPr>
        <w:t>(1)</w:t>
      </w:r>
    </w:p>
    <w:p w14:paraId="00E567B1" w14:textId="77777777" w:rsidR="00962894" w:rsidRDefault="00962894" w:rsidP="00530638">
      <w:pPr>
        <w:spacing w:line="480" w:lineRule="auto"/>
        <w:jc w:val="both"/>
        <w:rPr>
          <w:rFonts w:ascii="Arial" w:eastAsia="Calibri" w:hAnsi="Arial" w:cs="Arial"/>
        </w:rPr>
      </w:pPr>
      <w:r w:rsidRPr="00962894">
        <w:rPr>
          <w:rFonts w:ascii="Arial" w:eastAsia="Calibri" w:hAnsi="Arial" w:cs="Arial"/>
        </w:rPr>
        <w:t xml:space="preserve">Where </w:t>
      </w:r>
      <w:proofErr w:type="spellStart"/>
      <w:r w:rsidRPr="00962894">
        <w:rPr>
          <w:rFonts w:ascii="Arial" w:eastAsia="Calibri" w:hAnsi="Arial" w:cs="Arial"/>
        </w:rPr>
        <w:t>m</w:t>
      </w:r>
      <w:r w:rsidRPr="00962894">
        <w:rPr>
          <w:rFonts w:ascii="Arial" w:eastAsia="Calibri" w:hAnsi="Arial" w:cs="Arial"/>
          <w:vertAlign w:val="subscript"/>
        </w:rPr>
        <w:t>foam</w:t>
      </w:r>
      <w:proofErr w:type="spellEnd"/>
      <w:r w:rsidRPr="00962894">
        <w:rPr>
          <w:rFonts w:ascii="Arial" w:eastAsia="Calibri" w:hAnsi="Arial" w:cs="Arial"/>
        </w:rPr>
        <w:t>: post-tare reading (foam</w:t>
      </w:r>
      <w:r w:rsidRPr="00962894">
        <w:rPr>
          <w:rFonts w:ascii="Arial" w:eastAsia="Calibri" w:hAnsi="Arial" w:cs="Arial"/>
        </w:rPr>
        <w:t> </w:t>
      </w:r>
      <w:r w:rsidRPr="00962894">
        <w:rPr>
          <w:rFonts w:ascii="Arial" w:eastAsia="Calibri" w:hAnsi="Arial" w:cs="Arial"/>
        </w:rPr>
        <w:t xml:space="preserve">mass) and </w:t>
      </w:r>
      <w:proofErr w:type="spellStart"/>
      <w:r w:rsidRPr="00962894">
        <w:rPr>
          <w:rFonts w:ascii="Arial" w:eastAsia="Calibri" w:hAnsi="Arial" w:cs="Arial"/>
        </w:rPr>
        <w:t>V</w:t>
      </w:r>
      <w:r w:rsidRPr="00962894">
        <w:rPr>
          <w:rFonts w:ascii="Arial" w:eastAsia="Calibri" w:hAnsi="Arial" w:cs="Arial"/>
          <w:vertAlign w:val="subscript"/>
        </w:rPr>
        <w:t>foam</w:t>
      </w:r>
      <w:proofErr w:type="spellEnd"/>
      <w:r w:rsidRPr="00962894">
        <w:rPr>
          <w:rFonts w:ascii="Arial" w:eastAsia="Calibri" w:hAnsi="Arial" w:cs="Arial"/>
        </w:rPr>
        <w:t>: volume of the beaker (50 ml).</w:t>
      </w:r>
    </w:p>
    <w:p w14:paraId="08D4BFE3" w14:textId="77777777" w:rsidR="007171FF" w:rsidRPr="00962894" w:rsidRDefault="007171FF" w:rsidP="00530638">
      <w:pPr>
        <w:spacing w:line="480" w:lineRule="auto"/>
        <w:jc w:val="both"/>
        <w:rPr>
          <w:rFonts w:ascii="Arial" w:eastAsia="Calibri" w:hAnsi="Arial" w:cs="Arial"/>
        </w:rPr>
      </w:pPr>
    </w:p>
    <w:p w14:paraId="35CF8F0B" w14:textId="05C28F92" w:rsidR="00962894" w:rsidRPr="00962894" w:rsidRDefault="00962894" w:rsidP="00530638">
      <w:pPr>
        <w:pStyle w:val="Foam"/>
        <w:spacing w:line="480" w:lineRule="auto"/>
      </w:pPr>
      <w:bookmarkStart w:id="3" w:name="_Hlk212105152"/>
      <w:r w:rsidRPr="00962894">
        <w:t xml:space="preserve">Foam </w:t>
      </w:r>
      <w:r w:rsidR="008226D1" w:rsidRPr="00962894">
        <w:t>stability</w:t>
      </w:r>
    </w:p>
    <w:bookmarkEnd w:id="3"/>
    <w:p w14:paraId="76AF6E30" w14:textId="77777777" w:rsidR="00962894" w:rsidRPr="00962894" w:rsidRDefault="00962894" w:rsidP="00530638">
      <w:pPr>
        <w:spacing w:line="480" w:lineRule="auto"/>
        <w:jc w:val="both"/>
        <w:rPr>
          <w:rFonts w:ascii="Arial" w:eastAsia="Calibri" w:hAnsi="Arial" w:cs="Arial"/>
        </w:rPr>
      </w:pPr>
      <w:r w:rsidRPr="00962894">
        <w:rPr>
          <w:rFonts w:ascii="Arial" w:eastAsia="Calibri" w:hAnsi="Arial" w:cs="Arial"/>
        </w:rPr>
        <w:tab/>
        <w:t>The foam stability was determined using the method</w:t>
      </w:r>
      <w:r w:rsidRPr="00962894">
        <w:rPr>
          <w:rFonts w:ascii="Arial" w:eastAsia="Calibri" w:hAnsi="Arial" w:cs="Arial"/>
        </w:rPr>
        <w:t> </w:t>
      </w:r>
      <w:r w:rsidRPr="00962894">
        <w:rPr>
          <w:rFonts w:ascii="Arial" w:eastAsia="Calibri" w:hAnsi="Arial" w:cs="Arial"/>
        </w:rPr>
        <w:t xml:space="preserve">described in </w:t>
      </w:r>
      <w:proofErr w:type="spellStart"/>
      <w:r w:rsidRPr="00962894">
        <w:rPr>
          <w:rFonts w:ascii="Arial" w:eastAsia="Calibri" w:hAnsi="Arial" w:cs="Arial"/>
        </w:rPr>
        <w:t>Affandi</w:t>
      </w:r>
      <w:proofErr w:type="spellEnd"/>
      <w:r w:rsidRPr="00962894">
        <w:rPr>
          <w:rFonts w:ascii="Arial" w:eastAsia="Calibri" w:hAnsi="Arial" w:cs="Arial"/>
        </w:rPr>
        <w:t xml:space="preserve"> et al. (2017). The newly prepared foam was introduced into 100 mL graduated cylinder, and</w:t>
      </w:r>
      <w:r w:rsidRPr="00962894">
        <w:rPr>
          <w:rFonts w:ascii="Arial" w:eastAsia="Calibri" w:hAnsi="Arial" w:cs="Arial"/>
        </w:rPr>
        <w:t> </w:t>
      </w:r>
      <w:r w:rsidRPr="00962894">
        <w:rPr>
          <w:rFonts w:ascii="Arial" w:eastAsia="Calibri" w:hAnsi="Arial" w:cs="Arial"/>
        </w:rPr>
        <w:t>then the decrease of volume after 45 minutes. A stability percentage that is higher designates with increased</w:t>
      </w:r>
      <w:r w:rsidRPr="00962894">
        <w:rPr>
          <w:rFonts w:ascii="Arial" w:eastAsia="Calibri" w:hAnsi="Arial" w:cs="Arial"/>
        </w:rPr>
        <w:t> </w:t>
      </w:r>
      <w:r w:rsidRPr="00962894">
        <w:rPr>
          <w:rFonts w:ascii="Arial" w:eastAsia="Calibri" w:hAnsi="Arial" w:cs="Arial"/>
        </w:rPr>
        <w:t>foam retention. The foam (%) stability was the calculated as</w:t>
      </w:r>
      <w:r w:rsidRPr="00962894">
        <w:rPr>
          <w:rFonts w:ascii="Arial" w:eastAsia="Calibri" w:hAnsi="Arial" w:cs="Arial"/>
        </w:rPr>
        <w:t> </w:t>
      </w:r>
      <w:r w:rsidRPr="00962894">
        <w:rPr>
          <w:rFonts w:ascii="Arial" w:eastAsia="Calibri" w:hAnsi="Arial" w:cs="Arial"/>
        </w:rPr>
        <w:t>follow:</w:t>
      </w:r>
    </w:p>
    <w:p w14:paraId="33FA0FAD" w14:textId="54F33868" w:rsidR="00962894" w:rsidRPr="00962894" w:rsidRDefault="00962894" w:rsidP="00D21F0E">
      <w:pPr>
        <w:spacing w:line="480" w:lineRule="auto"/>
        <w:ind w:left="851"/>
        <w:jc w:val="both"/>
        <w:rPr>
          <w:rFonts w:ascii="Arial" w:eastAsia="Calibri" w:hAnsi="Arial" w:cs="Arial"/>
        </w:rPr>
      </w:pPr>
      <m:oMath>
        <m:r>
          <m:rPr>
            <m:sty m:val="p"/>
          </m:rPr>
          <w:rPr>
            <w:rFonts w:ascii="Cambria Math" w:eastAsia="Calibri" w:hAnsi="Cambria Math" w:cs="Arial"/>
          </w:rPr>
          <m:t>Foam Stability</m:t>
        </m:r>
        <m:r>
          <w:rPr>
            <w:rFonts w:ascii="Cambria Math" w:eastAsia="Calibri" w:hAnsi="Cambria Math" w:cs="Arial"/>
          </w:rPr>
          <m:t xml:space="preserve"> (%)=</m:t>
        </m:r>
        <m:f>
          <m:fPr>
            <m:ctrlPr>
              <w:rPr>
                <w:rFonts w:ascii="Cambria Math" w:eastAsia="Calibri" w:hAnsi="Cambria Math" w:cs="Arial"/>
                <w:i/>
              </w:rPr>
            </m:ctrlPr>
          </m:fPr>
          <m:num>
            <m:sSub>
              <m:sSubPr>
                <m:ctrlPr>
                  <w:rPr>
                    <w:rFonts w:ascii="Cambria Math" w:eastAsia="Calibri" w:hAnsi="Cambria Math" w:cs="Arial"/>
                    <w:i/>
                  </w:rPr>
                </m:ctrlPr>
              </m:sSubPr>
              <m:e>
                <m:r>
                  <w:rPr>
                    <w:rFonts w:ascii="Cambria Math" w:eastAsia="Calibri" w:hAnsi="Cambria Math" w:cs="Arial"/>
                  </w:rPr>
                  <m:t>V</m:t>
                </m:r>
              </m:e>
              <m:sub>
                <m:r>
                  <w:rPr>
                    <w:rFonts w:ascii="Cambria Math" w:eastAsia="Calibri" w:hAnsi="Cambria Math" w:cs="Arial"/>
                  </w:rPr>
                  <m:t>45</m:t>
                </m:r>
              </m:sub>
            </m:sSub>
          </m:num>
          <m:den>
            <m:sSub>
              <m:sSubPr>
                <m:ctrlPr>
                  <w:rPr>
                    <w:rFonts w:ascii="Cambria Math" w:eastAsia="Calibri" w:hAnsi="Cambria Math" w:cs="Arial"/>
                    <w:i/>
                  </w:rPr>
                </m:ctrlPr>
              </m:sSubPr>
              <m:e>
                <m:r>
                  <w:rPr>
                    <w:rFonts w:ascii="Cambria Math" w:eastAsia="Calibri" w:hAnsi="Cambria Math" w:cs="Arial"/>
                  </w:rPr>
                  <m:t>V</m:t>
                </m:r>
              </m:e>
              <m:sub>
                <m:r>
                  <w:rPr>
                    <w:rFonts w:ascii="Cambria Math" w:eastAsia="Calibri" w:hAnsi="Cambria Math" w:cs="Arial"/>
                  </w:rPr>
                  <m:t>0</m:t>
                </m:r>
              </m:sub>
            </m:sSub>
          </m:den>
        </m:f>
        <m:r>
          <w:rPr>
            <w:rFonts w:ascii="Cambria Math" w:eastAsia="Calibri" w:hAnsi="Cambria Math" w:cs="Arial"/>
          </w:rPr>
          <m:t>x 100%</m:t>
        </m:r>
      </m:oMath>
      <w:r w:rsidRPr="00766425">
        <w:rPr>
          <w:rFonts w:ascii="Arial" w:eastAsia="Calibri" w:hAnsi="Arial" w:cs="Arial"/>
        </w:rPr>
        <w:t>..............................................................</w:t>
      </w:r>
      <w:r w:rsidR="00766425">
        <w:rPr>
          <w:rFonts w:ascii="Arial" w:eastAsia="Calibri" w:hAnsi="Arial" w:cs="Arial"/>
        </w:rPr>
        <w:tab/>
      </w:r>
      <w:r w:rsidR="00D21F0E">
        <w:rPr>
          <w:rFonts w:ascii="Arial" w:eastAsia="Calibri" w:hAnsi="Arial" w:cs="Arial"/>
        </w:rPr>
        <w:tab/>
      </w:r>
      <w:r w:rsidRPr="00766425">
        <w:rPr>
          <w:rFonts w:ascii="Arial" w:eastAsia="Calibri" w:hAnsi="Arial" w:cs="Arial"/>
        </w:rPr>
        <w:t>(2)</w:t>
      </w:r>
    </w:p>
    <w:p w14:paraId="57910088" w14:textId="77777777" w:rsidR="00962894" w:rsidRPr="00962894" w:rsidRDefault="00962894" w:rsidP="00530638">
      <w:pPr>
        <w:spacing w:line="480" w:lineRule="auto"/>
        <w:jc w:val="both"/>
        <w:rPr>
          <w:rFonts w:ascii="Arial" w:eastAsia="Calibri" w:hAnsi="Arial" w:cs="Arial"/>
        </w:rPr>
      </w:pPr>
      <w:r w:rsidRPr="00962894">
        <w:rPr>
          <w:rFonts w:ascii="Arial" w:eastAsia="Calibri" w:hAnsi="Arial" w:cs="Arial"/>
        </w:rPr>
        <w:t>Where V</w:t>
      </w:r>
      <w:r w:rsidRPr="00962894">
        <w:rPr>
          <w:rFonts w:ascii="Arial" w:eastAsia="Calibri" w:hAnsi="Arial" w:cs="Arial"/>
          <w:vertAlign w:val="subscript"/>
        </w:rPr>
        <w:t>0</w:t>
      </w:r>
      <w:r w:rsidRPr="00962894">
        <w:rPr>
          <w:rFonts w:ascii="Arial" w:eastAsia="Calibri" w:hAnsi="Arial" w:cs="Arial"/>
        </w:rPr>
        <w:t xml:space="preserve"> was the volume of foam initially and V</w:t>
      </w:r>
      <w:r w:rsidRPr="00962894">
        <w:rPr>
          <w:rFonts w:ascii="Arial" w:eastAsia="Calibri" w:hAnsi="Arial" w:cs="Arial"/>
          <w:vertAlign w:val="subscript"/>
        </w:rPr>
        <w:t>45</w:t>
      </w:r>
      <w:r w:rsidRPr="00962894">
        <w:rPr>
          <w:rFonts w:ascii="Arial" w:eastAsia="Calibri" w:hAnsi="Arial" w:cs="Arial"/>
        </w:rPr>
        <w:t xml:space="preserve"> the volume</w:t>
      </w:r>
      <w:r w:rsidRPr="00962894">
        <w:rPr>
          <w:rFonts w:ascii="Arial" w:eastAsia="Calibri" w:hAnsi="Arial" w:cs="Arial"/>
        </w:rPr>
        <w:t> </w:t>
      </w:r>
      <w:r w:rsidRPr="00962894">
        <w:rPr>
          <w:rFonts w:ascii="Arial" w:eastAsia="Calibri" w:hAnsi="Arial" w:cs="Arial"/>
        </w:rPr>
        <w:t>of foam after 45 minutes.</w:t>
      </w:r>
    </w:p>
    <w:p w14:paraId="326A9592" w14:textId="453246E1" w:rsidR="00962894" w:rsidRPr="00962894" w:rsidRDefault="00962894" w:rsidP="00530638">
      <w:pPr>
        <w:pStyle w:val="Foam"/>
        <w:spacing w:line="480" w:lineRule="auto"/>
      </w:pPr>
      <w:bookmarkStart w:id="4" w:name="_Hlk212105161"/>
      <w:r w:rsidRPr="00962894">
        <w:t>Color</w:t>
      </w:r>
      <w:bookmarkEnd w:id="4"/>
      <w:r w:rsidRPr="00962894">
        <w:t xml:space="preserve"> </w:t>
      </w:r>
      <w:r w:rsidR="008226D1" w:rsidRPr="00962894">
        <w:t>measurement</w:t>
      </w:r>
    </w:p>
    <w:p w14:paraId="3DF8C1CE" w14:textId="047C1BC6" w:rsidR="00962894" w:rsidRPr="00962894" w:rsidRDefault="00962894" w:rsidP="00530638">
      <w:pPr>
        <w:pStyle w:val="ListParagraph"/>
        <w:spacing w:after="0" w:line="480" w:lineRule="auto"/>
        <w:ind w:left="0"/>
        <w:jc w:val="both"/>
        <w:rPr>
          <w:rFonts w:ascii="Arial" w:eastAsia="Calibri" w:hAnsi="Arial" w:cs="Arial"/>
          <w:kern w:val="0"/>
          <w:sz w:val="20"/>
          <w:szCs w:val="20"/>
          <w:lang w:val="en-US"/>
        </w:rPr>
      </w:pPr>
      <w:r w:rsidRPr="00962894">
        <w:rPr>
          <w:rFonts w:ascii="Arial" w:eastAsia="Calibri" w:hAnsi="Arial" w:cs="Arial"/>
          <w:kern w:val="0"/>
          <w:sz w:val="20"/>
          <w:szCs w:val="20"/>
          <w:lang w:val="en-US"/>
        </w:rPr>
        <w:tab/>
      </w:r>
      <w:r w:rsidR="0094607E">
        <w:rPr>
          <w:rFonts w:ascii="Arial" w:eastAsia="Calibri" w:hAnsi="Arial" w:cs="Arial"/>
          <w:kern w:val="0"/>
          <w:sz w:val="20"/>
          <w:szCs w:val="20"/>
          <w:lang w:val="en-US"/>
        </w:rPr>
        <w:t>The c</w:t>
      </w:r>
      <w:r w:rsidRPr="00962894">
        <w:rPr>
          <w:rFonts w:ascii="Arial" w:eastAsia="Calibri" w:hAnsi="Arial" w:cs="Arial"/>
          <w:kern w:val="0"/>
          <w:sz w:val="20"/>
          <w:szCs w:val="20"/>
          <w:lang w:val="en-US"/>
        </w:rPr>
        <w:t>olor of the ginger-milk powder was determined by</w:t>
      </w:r>
      <w:r w:rsidRPr="00962894">
        <w:rPr>
          <w:rFonts w:ascii="Arial" w:eastAsia="Calibri" w:hAnsi="Arial" w:cs="Arial"/>
          <w:kern w:val="0"/>
          <w:sz w:val="20"/>
          <w:szCs w:val="20"/>
          <w:lang w:val="en-US"/>
        </w:rPr>
        <w:t> </w:t>
      </w:r>
      <w:r w:rsidRPr="00962894">
        <w:rPr>
          <w:rFonts w:ascii="Arial" w:eastAsia="Calibri" w:hAnsi="Arial" w:cs="Arial"/>
          <w:kern w:val="0"/>
          <w:sz w:val="20"/>
          <w:szCs w:val="20"/>
          <w:lang w:val="en-US"/>
        </w:rPr>
        <w:t>a Konica Minolta colorimeter (Konica Minolta, Osaka, Japan) with reference to CIE Lab* color space under a D65 standard illuminant and 10° observer angle. The sample of ginger-milk powder was</w:t>
      </w:r>
      <w:r w:rsidRPr="00962894">
        <w:rPr>
          <w:rFonts w:ascii="Arial" w:eastAsia="Calibri" w:hAnsi="Arial" w:cs="Arial"/>
          <w:kern w:val="0"/>
          <w:sz w:val="20"/>
          <w:szCs w:val="20"/>
          <w:lang w:val="en-US"/>
        </w:rPr>
        <w:t> </w:t>
      </w:r>
      <w:r w:rsidRPr="00962894">
        <w:rPr>
          <w:rFonts w:ascii="Arial" w:eastAsia="Calibri" w:hAnsi="Arial" w:cs="Arial"/>
          <w:kern w:val="0"/>
          <w:sz w:val="20"/>
          <w:szCs w:val="20"/>
          <w:lang w:val="en-US"/>
        </w:rPr>
        <w:t>poured into the sample cup and leveled to obtain an even surface. Observations were made at different locations in the cup with</w:t>
      </w:r>
      <w:r w:rsidRPr="00962894">
        <w:rPr>
          <w:rFonts w:ascii="Arial" w:eastAsia="Calibri" w:hAnsi="Arial" w:cs="Arial"/>
          <w:kern w:val="0"/>
          <w:sz w:val="20"/>
          <w:szCs w:val="20"/>
          <w:lang w:val="en-US"/>
        </w:rPr>
        <w:t> </w:t>
      </w:r>
      <w:r w:rsidRPr="00962894">
        <w:rPr>
          <w:rFonts w:ascii="Arial" w:eastAsia="Calibri" w:hAnsi="Arial" w:cs="Arial"/>
          <w:kern w:val="0"/>
          <w:sz w:val="20"/>
          <w:szCs w:val="20"/>
          <w:lang w:val="en-US"/>
        </w:rPr>
        <w:t>rotation to minimize heterogeneity effects under controlled lighting and ambient temperature conditions (</w:t>
      </w:r>
      <w:proofErr w:type="spellStart"/>
      <w:r w:rsidRPr="00962894">
        <w:rPr>
          <w:rFonts w:ascii="Arial" w:eastAsia="Calibri" w:hAnsi="Arial" w:cs="Arial"/>
          <w:kern w:val="0"/>
          <w:sz w:val="20"/>
          <w:szCs w:val="20"/>
          <w:lang w:val="en-US"/>
        </w:rPr>
        <w:t>Risema</w:t>
      </w:r>
      <w:proofErr w:type="spellEnd"/>
      <w:r w:rsidRPr="00962894">
        <w:rPr>
          <w:rFonts w:ascii="Arial" w:eastAsia="Calibri" w:hAnsi="Arial" w:cs="Arial"/>
          <w:kern w:val="0"/>
          <w:sz w:val="20"/>
          <w:szCs w:val="20"/>
          <w:lang w:val="en-US"/>
        </w:rPr>
        <w:t>, 2023).</w:t>
      </w:r>
    </w:p>
    <w:p w14:paraId="42B55B95" w14:textId="160514A6" w:rsidR="00962894" w:rsidRPr="00962894" w:rsidRDefault="00962894" w:rsidP="00530638">
      <w:pPr>
        <w:pStyle w:val="Foam"/>
        <w:spacing w:line="480" w:lineRule="auto"/>
      </w:pPr>
      <w:bookmarkStart w:id="5" w:name="_Hlk212105169"/>
      <w:r w:rsidRPr="00962894">
        <w:t xml:space="preserve"> Moisture </w:t>
      </w:r>
      <w:r w:rsidR="008226D1" w:rsidRPr="00962894">
        <w:t>content measurements</w:t>
      </w:r>
    </w:p>
    <w:bookmarkEnd w:id="5"/>
    <w:p w14:paraId="4287486F" w14:textId="301D47E5" w:rsidR="00962894" w:rsidRPr="00962894" w:rsidRDefault="00962894" w:rsidP="00530638">
      <w:pPr>
        <w:pStyle w:val="ListParagraph"/>
        <w:spacing w:after="0" w:line="480" w:lineRule="auto"/>
        <w:ind w:left="0"/>
        <w:jc w:val="both"/>
        <w:rPr>
          <w:rFonts w:ascii="Arial" w:eastAsia="Calibri" w:hAnsi="Arial" w:cs="Arial"/>
          <w:kern w:val="0"/>
          <w:sz w:val="20"/>
          <w:szCs w:val="20"/>
          <w:lang w:val="en-US"/>
        </w:rPr>
      </w:pPr>
      <w:r w:rsidRPr="00962894">
        <w:rPr>
          <w:rFonts w:ascii="Arial" w:eastAsia="Calibri" w:hAnsi="Arial" w:cs="Arial"/>
          <w:kern w:val="0"/>
          <w:sz w:val="20"/>
          <w:szCs w:val="20"/>
          <w:lang w:val="en-US"/>
        </w:rPr>
        <w:tab/>
        <w:t>The moisture content of ginger-milk powder was measured using a halogen moisture analyzer (MD-610A, Fujian, China) at 105 °C.</w:t>
      </w:r>
      <w:r w:rsidRPr="00962894">
        <w:rPr>
          <w:rFonts w:ascii="Arial" w:eastAsia="Calibri" w:hAnsi="Arial" w:cs="Arial"/>
          <w:kern w:val="0"/>
          <w:sz w:val="20"/>
          <w:szCs w:val="20"/>
          <w:lang w:val="en-US"/>
        </w:rPr>
        <w:t> </w:t>
      </w:r>
      <w:r w:rsidRPr="00962894">
        <w:rPr>
          <w:rFonts w:ascii="Arial" w:eastAsia="Calibri" w:hAnsi="Arial" w:cs="Arial"/>
          <w:kern w:val="0"/>
          <w:sz w:val="20"/>
          <w:szCs w:val="20"/>
          <w:lang w:val="en-US"/>
        </w:rPr>
        <w:t xml:space="preserve">Approximately 3.00 g of the sample was placed in sample pan with the lid well sealed and then weighed to determine the percentage of </w:t>
      </w:r>
      <w:r w:rsidRPr="00962894">
        <w:rPr>
          <w:rFonts w:ascii="Arial" w:eastAsia="Calibri" w:hAnsi="Arial" w:cs="Arial"/>
          <w:kern w:val="0"/>
          <w:sz w:val="20"/>
          <w:szCs w:val="20"/>
          <w:lang w:val="en-US"/>
        </w:rPr>
        <w:lastRenderedPageBreak/>
        <w:t>moisture when mass stabilization occurred (about 3–5 min). Instant</w:t>
      </w:r>
      <w:r w:rsidRPr="00962894">
        <w:rPr>
          <w:rFonts w:ascii="Arial" w:eastAsia="Calibri" w:hAnsi="Arial" w:cs="Arial"/>
          <w:kern w:val="0"/>
          <w:sz w:val="20"/>
          <w:szCs w:val="20"/>
          <w:lang w:val="en-US"/>
        </w:rPr>
        <w:t> </w:t>
      </w:r>
      <w:r w:rsidRPr="00962894">
        <w:rPr>
          <w:rFonts w:ascii="Arial" w:eastAsia="Calibri" w:hAnsi="Arial" w:cs="Arial"/>
          <w:kern w:val="0"/>
          <w:sz w:val="20"/>
          <w:szCs w:val="20"/>
          <w:lang w:val="en-US"/>
        </w:rPr>
        <w:t>powder beverage (flavored) shall not exceed 10% moisture content as per SNI 3722:2018 (Sanjaya, 2022).</w:t>
      </w:r>
    </w:p>
    <w:p w14:paraId="23771B78" w14:textId="02105488" w:rsidR="00962894" w:rsidRPr="00962894" w:rsidRDefault="00962894" w:rsidP="00530638">
      <w:pPr>
        <w:pStyle w:val="Foam"/>
        <w:spacing w:line="480" w:lineRule="auto"/>
      </w:pPr>
      <w:bookmarkStart w:id="6" w:name="_Hlk212105176"/>
      <w:r w:rsidRPr="00962894">
        <w:t xml:space="preserve">Dissolution </w:t>
      </w:r>
      <w:r w:rsidR="008226D1" w:rsidRPr="00962894">
        <w:t>time test</w:t>
      </w:r>
    </w:p>
    <w:bookmarkEnd w:id="6"/>
    <w:p w14:paraId="2B6594A0" w14:textId="77777777" w:rsidR="00962894" w:rsidRPr="00962894" w:rsidRDefault="00962894" w:rsidP="00530638">
      <w:pPr>
        <w:spacing w:line="480" w:lineRule="auto"/>
        <w:ind w:firstLine="720"/>
        <w:jc w:val="both"/>
        <w:rPr>
          <w:rFonts w:ascii="Arial" w:eastAsia="Calibri" w:hAnsi="Arial" w:cs="Arial"/>
        </w:rPr>
      </w:pPr>
      <w:r w:rsidRPr="00962894">
        <w:rPr>
          <w:rFonts w:ascii="Arial" w:eastAsia="Calibri" w:hAnsi="Arial" w:cs="Arial"/>
        </w:rPr>
        <w:t>The dissolution time was assessed by dispersing 2.00 g of ginger-milk powder in 20 mL of water at 45 °C, while continuously stirring.  The measurement started immediately upon the interaction of the powder and water.  The purpose was established as the creation of a visually uniform solution devoid of discernible particles.  The duration was documented, and each measurement was performed in triplicate.  (</w:t>
      </w:r>
      <w:proofErr w:type="spellStart"/>
      <w:r w:rsidRPr="00962894">
        <w:rPr>
          <w:rFonts w:ascii="Arial" w:eastAsia="Calibri" w:hAnsi="Arial" w:cs="Arial"/>
        </w:rPr>
        <w:t>Husnani</w:t>
      </w:r>
      <w:proofErr w:type="spellEnd"/>
      <w:r w:rsidRPr="00962894">
        <w:rPr>
          <w:rFonts w:ascii="Arial" w:eastAsia="Calibri" w:hAnsi="Arial" w:cs="Arial"/>
        </w:rPr>
        <w:t xml:space="preserve"> &amp; </w:t>
      </w:r>
      <w:proofErr w:type="spellStart"/>
      <w:r w:rsidRPr="00962894">
        <w:rPr>
          <w:rFonts w:ascii="Arial" w:eastAsia="Calibri" w:hAnsi="Arial" w:cs="Arial"/>
        </w:rPr>
        <w:t>Zulfitri</w:t>
      </w:r>
      <w:proofErr w:type="spellEnd"/>
      <w:r w:rsidRPr="00962894">
        <w:rPr>
          <w:rFonts w:ascii="Arial" w:eastAsia="Calibri" w:hAnsi="Arial" w:cs="Arial"/>
        </w:rPr>
        <w:t>, 2022).</w:t>
      </w:r>
    </w:p>
    <w:p w14:paraId="68D05418" w14:textId="060FD8B2" w:rsidR="00962894" w:rsidRPr="00962894" w:rsidRDefault="00962894" w:rsidP="00530638">
      <w:pPr>
        <w:pStyle w:val="Foam"/>
        <w:spacing w:line="480" w:lineRule="auto"/>
      </w:pPr>
      <w:bookmarkStart w:id="7" w:name="_Hlk212105184"/>
      <w:r w:rsidRPr="00962894">
        <w:t xml:space="preserve"> FTIR (Fourier Transform Infrared) </w:t>
      </w:r>
      <w:r w:rsidR="008226D1" w:rsidRPr="00962894">
        <w:t>spectroscopy</w:t>
      </w:r>
    </w:p>
    <w:bookmarkEnd w:id="7"/>
    <w:p w14:paraId="1B370F23" w14:textId="03565F55" w:rsidR="00962894" w:rsidRPr="00962894" w:rsidRDefault="00962894" w:rsidP="00530638">
      <w:pPr>
        <w:pStyle w:val="ListParagraph"/>
        <w:spacing w:after="0" w:line="480" w:lineRule="auto"/>
        <w:ind w:left="0"/>
        <w:jc w:val="both"/>
        <w:rPr>
          <w:rFonts w:ascii="Arial" w:hAnsi="Arial" w:cs="Arial"/>
          <w:sz w:val="20"/>
          <w:szCs w:val="20"/>
          <w:lang w:val="en-US"/>
        </w:rPr>
      </w:pPr>
      <w:r w:rsidRPr="00962894">
        <w:rPr>
          <w:rFonts w:ascii="Arial" w:hAnsi="Arial" w:cs="Arial"/>
          <w:sz w:val="20"/>
          <w:szCs w:val="20"/>
          <w:lang w:val="en-US"/>
        </w:rPr>
        <w:tab/>
      </w:r>
      <w:r w:rsidRPr="00962894">
        <w:rPr>
          <w:rFonts w:ascii="Arial" w:hAnsi="Arial" w:cs="Arial"/>
          <w:sz w:val="20"/>
          <w:szCs w:val="20"/>
        </w:rPr>
        <w:t>Functional chemical groups were identified using FTIR</w:t>
      </w:r>
      <w:r w:rsidR="0094607E">
        <w:rPr>
          <w:rFonts w:ascii="Arial" w:hAnsi="Arial" w:cs="Arial"/>
          <w:sz w:val="20"/>
          <w:szCs w:val="20"/>
        </w:rPr>
        <w:t xml:space="preserve"> </w:t>
      </w:r>
      <w:r w:rsidRPr="00962894">
        <w:rPr>
          <w:rFonts w:ascii="Arial" w:hAnsi="Arial" w:cs="Arial"/>
          <w:sz w:val="20"/>
          <w:szCs w:val="20"/>
        </w:rPr>
        <w:t>following a previously protocol (</w:t>
      </w:r>
      <w:proofErr w:type="spellStart"/>
      <w:r w:rsidRPr="00962894">
        <w:rPr>
          <w:rFonts w:ascii="Arial" w:hAnsi="Arial" w:cs="Arial"/>
          <w:sz w:val="20"/>
          <w:szCs w:val="20"/>
        </w:rPr>
        <w:t>Nuryandani</w:t>
      </w:r>
      <w:proofErr w:type="spellEnd"/>
      <w:r w:rsidRPr="00962894">
        <w:rPr>
          <w:rFonts w:ascii="Arial" w:hAnsi="Arial" w:cs="Arial"/>
          <w:sz w:val="20"/>
          <w:szCs w:val="20"/>
        </w:rPr>
        <w:t xml:space="preserve"> et al., 2024). Ginger-milk powder samples were </w:t>
      </w:r>
      <w:r w:rsidR="0094607E" w:rsidRPr="00962894">
        <w:rPr>
          <w:rFonts w:ascii="Arial" w:hAnsi="Arial" w:cs="Arial"/>
          <w:sz w:val="20"/>
          <w:szCs w:val="20"/>
        </w:rPr>
        <w:t>analysed</w:t>
      </w:r>
      <w:r w:rsidRPr="00962894">
        <w:rPr>
          <w:rFonts w:ascii="Arial" w:hAnsi="Arial" w:cs="Arial"/>
          <w:sz w:val="20"/>
          <w:szCs w:val="20"/>
        </w:rPr>
        <w:t xml:space="preserve"> directly in attenuated total reflectance (ATR) mode with an FTIR system (Bruker A7.8; Bruker </w:t>
      </w:r>
      <w:proofErr w:type="spellStart"/>
      <w:r w:rsidRPr="00962894">
        <w:rPr>
          <w:rFonts w:ascii="Arial" w:hAnsi="Arial" w:cs="Arial"/>
          <w:sz w:val="20"/>
          <w:szCs w:val="20"/>
        </w:rPr>
        <w:t>Optik</w:t>
      </w:r>
      <w:proofErr w:type="spellEnd"/>
      <w:r w:rsidRPr="00962894">
        <w:rPr>
          <w:rFonts w:ascii="Arial" w:hAnsi="Arial" w:cs="Arial"/>
          <w:sz w:val="20"/>
          <w:szCs w:val="20"/>
        </w:rPr>
        <w:t xml:space="preserve"> GmbH, </w:t>
      </w:r>
      <w:proofErr w:type="spellStart"/>
      <w:r w:rsidRPr="00962894">
        <w:rPr>
          <w:rFonts w:ascii="Arial" w:hAnsi="Arial" w:cs="Arial"/>
          <w:sz w:val="20"/>
          <w:szCs w:val="20"/>
        </w:rPr>
        <w:t>Ettlingen</w:t>
      </w:r>
      <w:proofErr w:type="spellEnd"/>
      <w:r w:rsidRPr="00962894">
        <w:rPr>
          <w:rFonts w:ascii="Arial" w:hAnsi="Arial" w:cs="Arial"/>
          <w:sz w:val="20"/>
          <w:szCs w:val="20"/>
        </w:rPr>
        <w:t>, Germany). Spectra were acquired over the range of 4000–4</w:t>
      </w:r>
      <w:r w:rsidR="00C405D7">
        <w:rPr>
          <w:rFonts w:ascii="Arial" w:hAnsi="Arial" w:cs="Arial"/>
          <w:sz w:val="20"/>
          <w:szCs w:val="20"/>
        </w:rPr>
        <w:t>9</w:t>
      </w:r>
      <w:r w:rsidRPr="00962894">
        <w:rPr>
          <w:rFonts w:ascii="Arial" w:hAnsi="Arial" w:cs="Arial"/>
          <w:sz w:val="20"/>
          <w:szCs w:val="20"/>
        </w:rPr>
        <w:t>0 cm</w:t>
      </w:r>
      <w:r w:rsidRPr="00962894">
        <w:rPr>
          <w:rFonts w:ascii="Cambria Math" w:hAnsi="Cambria Math" w:cs="Cambria Math"/>
          <w:sz w:val="20"/>
          <w:szCs w:val="20"/>
        </w:rPr>
        <w:t>⁻</w:t>
      </w:r>
      <w:r w:rsidRPr="00962894">
        <w:rPr>
          <w:rFonts w:ascii="Arial" w:hAnsi="Arial" w:cs="Arial"/>
          <w:sz w:val="20"/>
          <w:szCs w:val="20"/>
        </w:rPr>
        <w:t xml:space="preserve">¹ at room temperature and presented as percent transmittance (%T). Each sample was scanned in triplicate. </w:t>
      </w:r>
    </w:p>
    <w:p w14:paraId="51EC624A" w14:textId="4E91F5EA" w:rsidR="00962894" w:rsidRPr="00962894" w:rsidRDefault="00962894" w:rsidP="00530638">
      <w:pPr>
        <w:pStyle w:val="Foam"/>
        <w:spacing w:line="480" w:lineRule="auto"/>
      </w:pPr>
      <w:bookmarkStart w:id="8" w:name="_Hlk212105190"/>
      <w:r w:rsidRPr="00962894">
        <w:t xml:space="preserve">Sensory </w:t>
      </w:r>
      <w:r w:rsidR="008226D1" w:rsidRPr="00962894">
        <w:t>evaluation</w:t>
      </w:r>
    </w:p>
    <w:bookmarkEnd w:id="8"/>
    <w:p w14:paraId="748386E6" w14:textId="622409DF" w:rsidR="00962894" w:rsidRPr="00962894" w:rsidRDefault="00962894" w:rsidP="00530638">
      <w:pPr>
        <w:spacing w:line="480" w:lineRule="auto"/>
        <w:ind w:firstLine="720"/>
        <w:jc w:val="both"/>
        <w:rPr>
          <w:rFonts w:ascii="Arial" w:eastAsia="Calibri" w:hAnsi="Arial" w:cs="Arial"/>
        </w:rPr>
      </w:pPr>
      <w:r w:rsidRPr="00962894">
        <w:rPr>
          <w:rFonts w:ascii="Arial" w:eastAsia="Calibri" w:hAnsi="Arial" w:cs="Arial"/>
        </w:rPr>
        <w:t xml:space="preserve">Sensory evaluation encompassed a descriptive organoleptic evaluation and a hedonic test and has been received approval from the Ethics Committee of The College of Health Sciences of </w:t>
      </w:r>
      <w:proofErr w:type="spellStart"/>
      <w:r w:rsidRPr="00962894">
        <w:rPr>
          <w:rFonts w:ascii="Arial" w:eastAsia="Calibri" w:hAnsi="Arial" w:cs="Arial"/>
        </w:rPr>
        <w:t>Guna</w:t>
      </w:r>
      <w:proofErr w:type="spellEnd"/>
      <w:r w:rsidRPr="00962894">
        <w:rPr>
          <w:rFonts w:ascii="Arial" w:eastAsia="Calibri" w:hAnsi="Arial" w:cs="Arial"/>
        </w:rPr>
        <w:t xml:space="preserve"> </w:t>
      </w:r>
      <w:proofErr w:type="spellStart"/>
      <w:r w:rsidRPr="00962894">
        <w:rPr>
          <w:rFonts w:ascii="Arial" w:eastAsia="Calibri" w:hAnsi="Arial" w:cs="Arial"/>
        </w:rPr>
        <w:t>Bangsa</w:t>
      </w:r>
      <w:proofErr w:type="spellEnd"/>
      <w:r w:rsidRPr="00962894">
        <w:rPr>
          <w:rFonts w:ascii="Arial" w:eastAsia="Calibri" w:hAnsi="Arial" w:cs="Arial"/>
        </w:rPr>
        <w:t xml:space="preserve"> Yogyakarta</w:t>
      </w:r>
      <w:r w:rsidR="00C405D7">
        <w:rPr>
          <w:rFonts w:ascii="Arial" w:eastAsia="Calibri" w:hAnsi="Arial" w:cs="Arial"/>
        </w:rPr>
        <w:t xml:space="preserve"> (</w:t>
      </w:r>
      <w:r w:rsidR="00C405D7" w:rsidRPr="00222922">
        <w:rPr>
          <w:rFonts w:ascii="Arial" w:eastAsia="Calibri" w:hAnsi="Arial" w:cs="Arial"/>
          <w:i/>
          <w:iCs/>
        </w:rPr>
        <w:t xml:space="preserve">STIKES </w:t>
      </w:r>
      <w:proofErr w:type="spellStart"/>
      <w:r w:rsidR="00C405D7" w:rsidRPr="00222922">
        <w:rPr>
          <w:rFonts w:ascii="Arial" w:eastAsia="Calibri" w:hAnsi="Arial" w:cs="Arial"/>
          <w:i/>
          <w:iCs/>
        </w:rPr>
        <w:t>Guna</w:t>
      </w:r>
      <w:proofErr w:type="spellEnd"/>
      <w:r w:rsidR="00C405D7" w:rsidRPr="00222922">
        <w:rPr>
          <w:rFonts w:ascii="Arial" w:eastAsia="Calibri" w:hAnsi="Arial" w:cs="Arial"/>
          <w:i/>
          <w:iCs/>
        </w:rPr>
        <w:t xml:space="preserve"> </w:t>
      </w:r>
      <w:proofErr w:type="spellStart"/>
      <w:r w:rsidR="00C405D7" w:rsidRPr="00222922">
        <w:rPr>
          <w:rFonts w:ascii="Arial" w:eastAsia="Calibri" w:hAnsi="Arial" w:cs="Arial"/>
          <w:i/>
          <w:iCs/>
        </w:rPr>
        <w:t>Bangsa</w:t>
      </w:r>
      <w:proofErr w:type="spellEnd"/>
      <w:r w:rsidR="00C405D7" w:rsidRPr="00222922">
        <w:rPr>
          <w:rFonts w:ascii="Arial" w:eastAsia="Calibri" w:hAnsi="Arial" w:cs="Arial"/>
          <w:i/>
          <w:iCs/>
        </w:rPr>
        <w:t xml:space="preserve"> Yogyakarta</w:t>
      </w:r>
      <w:r w:rsidR="00C405D7">
        <w:rPr>
          <w:rFonts w:ascii="Arial" w:eastAsia="Calibri" w:hAnsi="Arial" w:cs="Arial"/>
        </w:rPr>
        <w:t>)</w:t>
      </w:r>
      <w:r w:rsidRPr="00962894">
        <w:rPr>
          <w:rFonts w:ascii="Arial" w:eastAsia="Calibri" w:hAnsi="Arial" w:cs="Arial"/>
        </w:rPr>
        <w:t xml:space="preserve"> (No. 039/KEPK/VII/2025). Following the method reported by </w:t>
      </w:r>
      <w:proofErr w:type="spellStart"/>
      <w:r w:rsidRPr="00962894">
        <w:rPr>
          <w:rFonts w:ascii="Arial" w:hAnsi="Arial" w:cs="Arial"/>
        </w:rPr>
        <w:t>Wulandari</w:t>
      </w:r>
      <w:proofErr w:type="spellEnd"/>
      <w:r w:rsidRPr="00962894">
        <w:rPr>
          <w:rFonts w:ascii="Arial" w:hAnsi="Arial" w:cs="Arial"/>
        </w:rPr>
        <w:t xml:space="preserve"> &amp; </w:t>
      </w:r>
      <w:proofErr w:type="spellStart"/>
      <w:r w:rsidRPr="00962894">
        <w:rPr>
          <w:rFonts w:ascii="Arial" w:hAnsi="Arial" w:cs="Arial"/>
        </w:rPr>
        <w:t>Swasono</w:t>
      </w:r>
      <w:proofErr w:type="spellEnd"/>
      <w:r w:rsidRPr="00962894">
        <w:rPr>
          <w:rFonts w:ascii="Arial" w:hAnsi="Arial" w:cs="Arial"/>
        </w:rPr>
        <w:t xml:space="preserve"> (2022)</w:t>
      </w:r>
      <w:r w:rsidRPr="00962894">
        <w:rPr>
          <w:rFonts w:ascii="Arial" w:eastAsia="Calibri" w:hAnsi="Arial" w:cs="Arial"/>
        </w:rPr>
        <w:t xml:space="preserve">, panelists qualitatively evaluated color, aroma, taste, and powder texture of the ginger-milk powder prepared for serving (reconstituted in warm water) and presented in opaque cups with blinded treatment codes, with assessments conducted in a randomized sequence under standardized lighting and ambient conditions. Descriptive reference terms included color </w:t>
      </w:r>
      <w:r w:rsidRPr="00962894">
        <w:rPr>
          <w:rFonts w:ascii="Arial" w:eastAsia="Calibri" w:hAnsi="Arial" w:cs="Arial"/>
        </w:rPr>
        <w:lastRenderedPageBreak/>
        <w:t>brightness and homogeneity, ginger-related aroma with milky notes, warm/spicy ginger taste, background milky notes, any egg-white aftertaste, and powder texture fineness/softness.</w:t>
      </w:r>
    </w:p>
    <w:p w14:paraId="74DB1379" w14:textId="77777777" w:rsidR="00962894" w:rsidRDefault="00962894" w:rsidP="00530638">
      <w:pPr>
        <w:spacing w:line="480" w:lineRule="auto"/>
        <w:ind w:firstLine="720"/>
        <w:jc w:val="both"/>
        <w:rPr>
          <w:rFonts w:ascii="Arial" w:eastAsia="Calibri" w:hAnsi="Arial" w:cs="Arial"/>
        </w:rPr>
      </w:pPr>
      <w:r w:rsidRPr="00962894">
        <w:rPr>
          <w:rFonts w:ascii="Arial" w:eastAsia="Calibri" w:hAnsi="Arial" w:cs="Arial"/>
        </w:rPr>
        <w:t xml:space="preserve">For consumer preference, a hedonic test adapted from </w:t>
      </w:r>
      <w:r w:rsidRPr="00962894">
        <w:rPr>
          <w:rFonts w:ascii="Arial" w:hAnsi="Arial" w:cs="Arial"/>
        </w:rPr>
        <w:t>Putri et al. (2020)</w:t>
      </w:r>
      <w:r w:rsidRPr="00962894">
        <w:rPr>
          <w:rFonts w:ascii="Arial" w:eastAsia="Calibri" w:hAnsi="Arial" w:cs="Arial"/>
        </w:rPr>
        <w:t xml:space="preserve"> involved 30 untrained panelists who rated color, aroma, taste, powder texture, and overall liking on a 6-point scale (1 = very dislike to 6 = very like). Samples were served in randomized order with blind codes in a clean environment with controlled lighting and temperature. All subjects granted informed consent, and confidentiality was respected.</w:t>
      </w:r>
    </w:p>
    <w:p w14:paraId="04173BC7" w14:textId="77777777" w:rsidR="007171FF" w:rsidRPr="00962894" w:rsidRDefault="007171FF" w:rsidP="00530638">
      <w:pPr>
        <w:spacing w:line="480" w:lineRule="auto"/>
        <w:ind w:firstLine="720"/>
        <w:jc w:val="both"/>
        <w:rPr>
          <w:rFonts w:ascii="Arial" w:eastAsia="Calibri" w:hAnsi="Arial" w:cs="Arial"/>
        </w:rPr>
      </w:pPr>
    </w:p>
    <w:p w14:paraId="3B695ED2" w14:textId="77777777" w:rsidR="00962894" w:rsidRPr="00962894" w:rsidRDefault="00962894" w:rsidP="00530638">
      <w:pPr>
        <w:pStyle w:val="Research"/>
        <w:spacing w:line="480" w:lineRule="auto"/>
      </w:pPr>
      <w:bookmarkStart w:id="9" w:name="_Hlk212105199"/>
      <w:r w:rsidRPr="00962894">
        <w:t>Statistical Analysis</w:t>
      </w:r>
    </w:p>
    <w:bookmarkEnd w:id="9"/>
    <w:p w14:paraId="546760AD" w14:textId="7E5616F1" w:rsidR="00962894" w:rsidRPr="00962894" w:rsidRDefault="00962894" w:rsidP="00530638">
      <w:pPr>
        <w:pStyle w:val="ListParagraph"/>
        <w:spacing w:after="0" w:line="480" w:lineRule="auto"/>
        <w:ind w:left="66"/>
        <w:jc w:val="both"/>
        <w:rPr>
          <w:rFonts w:ascii="Arial" w:eastAsia="Calibri" w:hAnsi="Arial" w:cs="Arial"/>
          <w:kern w:val="0"/>
          <w:sz w:val="20"/>
          <w:szCs w:val="20"/>
          <w:lang w:val="en-US"/>
        </w:rPr>
      </w:pPr>
      <w:r w:rsidRPr="00962894">
        <w:rPr>
          <w:rFonts w:ascii="Arial" w:eastAsia="Calibri" w:hAnsi="Arial" w:cs="Arial"/>
          <w:kern w:val="0"/>
          <w:sz w:val="20"/>
          <w:szCs w:val="20"/>
          <w:lang w:val="en-US"/>
        </w:rPr>
        <w:tab/>
      </w:r>
      <w:r w:rsidRPr="00962894">
        <w:rPr>
          <w:rFonts w:ascii="Arial" w:eastAsia="Calibri" w:hAnsi="Arial" w:cs="Arial"/>
          <w:kern w:val="0"/>
          <w:sz w:val="20"/>
          <w:szCs w:val="20"/>
        </w:rPr>
        <w:t xml:space="preserve">Statistical analyses were conducted using SPSS version 27 (IBM Corp., Armonk, NY, USA). Data screening employed descriptive statistics and the Shapiro–Wilk test for normality (α = 0.05). Parametric data were analysed with one-way ANOVA, whereas non-parametric data were </w:t>
      </w:r>
      <w:proofErr w:type="spellStart"/>
      <w:r w:rsidRPr="00962894">
        <w:rPr>
          <w:rFonts w:ascii="Arial" w:eastAsia="Calibri" w:hAnsi="Arial" w:cs="Arial"/>
          <w:kern w:val="0"/>
          <w:sz w:val="20"/>
          <w:szCs w:val="20"/>
        </w:rPr>
        <w:t>analy</w:t>
      </w:r>
      <w:r w:rsidR="006C7121">
        <w:rPr>
          <w:rFonts w:ascii="Arial" w:eastAsia="Calibri" w:hAnsi="Arial" w:cs="Arial"/>
          <w:kern w:val="0"/>
          <w:sz w:val="20"/>
          <w:szCs w:val="20"/>
        </w:rPr>
        <w:t>z</w:t>
      </w:r>
      <w:r w:rsidRPr="00962894">
        <w:rPr>
          <w:rFonts w:ascii="Arial" w:eastAsia="Calibri" w:hAnsi="Arial" w:cs="Arial"/>
          <w:kern w:val="0"/>
          <w:sz w:val="20"/>
          <w:szCs w:val="20"/>
        </w:rPr>
        <w:t>ed</w:t>
      </w:r>
      <w:proofErr w:type="spellEnd"/>
      <w:r w:rsidRPr="00962894">
        <w:rPr>
          <w:rFonts w:ascii="Arial" w:eastAsia="Calibri" w:hAnsi="Arial" w:cs="Arial"/>
          <w:kern w:val="0"/>
          <w:sz w:val="20"/>
          <w:szCs w:val="20"/>
        </w:rPr>
        <w:t xml:space="preserve"> with the Kruskal–</w:t>
      </w:r>
      <w:proofErr w:type="spellStart"/>
      <w:r w:rsidRPr="00962894">
        <w:rPr>
          <w:rFonts w:ascii="Arial" w:eastAsia="Calibri" w:hAnsi="Arial" w:cs="Arial"/>
          <w:kern w:val="0"/>
          <w:sz w:val="20"/>
          <w:szCs w:val="20"/>
        </w:rPr>
        <w:t>Walli’s</w:t>
      </w:r>
      <w:proofErr w:type="spellEnd"/>
      <w:r w:rsidRPr="00962894">
        <w:rPr>
          <w:rFonts w:ascii="Arial" w:eastAsia="Calibri" w:hAnsi="Arial" w:cs="Arial"/>
          <w:kern w:val="0"/>
          <w:sz w:val="20"/>
          <w:szCs w:val="20"/>
        </w:rPr>
        <w:t xml:space="preserve"> test. In cases where significant overall effects were detected (p &lt; 0.05), post</w:t>
      </w:r>
      <w:r w:rsidR="006C7121">
        <w:rPr>
          <w:rFonts w:ascii="Arial" w:eastAsia="Calibri" w:hAnsi="Arial" w:cs="Arial"/>
          <w:kern w:val="0"/>
          <w:sz w:val="20"/>
          <w:szCs w:val="20"/>
        </w:rPr>
        <w:t>-</w:t>
      </w:r>
      <w:r w:rsidRPr="00962894">
        <w:rPr>
          <w:rFonts w:ascii="Arial" w:eastAsia="Calibri" w:hAnsi="Arial" w:cs="Arial"/>
          <w:kern w:val="0"/>
          <w:sz w:val="20"/>
          <w:szCs w:val="20"/>
        </w:rPr>
        <w:t>hoc comparisons were performed using Tukey’s Honestly Significant Difference test (ANOVA) or Dunn’s test with Bonferroni correction (Kruskal–Wallis).</w:t>
      </w:r>
    </w:p>
    <w:p w14:paraId="498A6657" w14:textId="72BA1F39" w:rsidR="00902823" w:rsidRDefault="00000F8F" w:rsidP="00530638">
      <w:pPr>
        <w:pStyle w:val="INTRO"/>
        <w:spacing w:line="480" w:lineRule="auto"/>
      </w:pPr>
      <w:r>
        <w:t>results and discussion</w:t>
      </w:r>
    </w:p>
    <w:p w14:paraId="429D92F6" w14:textId="77777777" w:rsidR="008226D1" w:rsidRPr="008226D1" w:rsidRDefault="008226D1" w:rsidP="00530638">
      <w:pPr>
        <w:pStyle w:val="Char"/>
        <w:spacing w:line="480" w:lineRule="auto"/>
      </w:pPr>
      <w:r w:rsidRPr="008226D1">
        <w:t>Foam Characteristics</w:t>
      </w:r>
    </w:p>
    <w:p w14:paraId="7986D53F" w14:textId="5432ECBF" w:rsidR="00677556" w:rsidRDefault="00677556" w:rsidP="00530638">
      <w:pPr>
        <w:spacing w:line="480" w:lineRule="auto"/>
        <w:ind w:firstLine="720"/>
        <w:jc w:val="both"/>
        <w:rPr>
          <w:rFonts w:ascii="Arial" w:hAnsi="Arial" w:cs="Arial"/>
        </w:rPr>
      </w:pPr>
      <w:r w:rsidRPr="00677556">
        <w:rPr>
          <w:rFonts w:ascii="Arial" w:hAnsi="Arial" w:cs="Arial"/>
        </w:rPr>
        <w:t>Foam characteristics, physicochemical properties</w:t>
      </w:r>
      <w:r w:rsidRPr="00677556">
        <w:rPr>
          <w:rFonts w:ascii="Arial" w:hAnsi="Arial" w:cs="Arial"/>
        </w:rPr>
        <w:t> </w:t>
      </w:r>
      <w:r w:rsidRPr="00677556">
        <w:rPr>
          <w:rFonts w:ascii="Arial" w:hAnsi="Arial" w:cs="Arial"/>
        </w:rPr>
        <w:t>and sensory attribute</w:t>
      </w:r>
      <w:r w:rsidR="006C7121">
        <w:rPr>
          <w:rFonts w:ascii="Arial" w:hAnsi="Arial" w:cs="Arial"/>
        </w:rPr>
        <w:t>s</w:t>
      </w:r>
      <w:r w:rsidRPr="00677556">
        <w:rPr>
          <w:rFonts w:ascii="Arial" w:hAnsi="Arial" w:cs="Arial"/>
        </w:rPr>
        <w:t xml:space="preserve"> of ginger-milk powder </w:t>
      </w:r>
      <w:r w:rsidR="006C7121">
        <w:rPr>
          <w:rFonts w:ascii="Arial" w:hAnsi="Arial" w:cs="Arial"/>
        </w:rPr>
        <w:t>produced</w:t>
      </w:r>
      <w:r w:rsidRPr="00677556">
        <w:rPr>
          <w:rFonts w:ascii="Arial" w:hAnsi="Arial" w:cs="Arial"/>
        </w:rPr>
        <w:t xml:space="preserve"> the foam-mat drying was investigated as influenced by type (CMC and gum Arabic) and concentration of stabilizer</w:t>
      </w:r>
      <w:r w:rsidR="006C7121">
        <w:rPr>
          <w:rFonts w:ascii="Arial" w:hAnsi="Arial" w:cs="Arial"/>
        </w:rPr>
        <w:t>s</w:t>
      </w:r>
      <w:r w:rsidRPr="00677556">
        <w:rPr>
          <w:rFonts w:ascii="Arial" w:hAnsi="Arial" w:cs="Arial"/>
        </w:rPr>
        <w:t xml:space="preserve">. </w:t>
      </w:r>
      <w:r w:rsidR="006C7121">
        <w:rPr>
          <w:rFonts w:ascii="Arial" w:hAnsi="Arial" w:cs="Arial"/>
        </w:rPr>
        <w:t>The r</w:t>
      </w:r>
      <w:r w:rsidRPr="00677556">
        <w:rPr>
          <w:rFonts w:ascii="Arial" w:hAnsi="Arial" w:cs="Arial"/>
        </w:rPr>
        <w:t>esults revealed that the addition of CMC and gum Arabic as stabilizers influenced</w:t>
      </w:r>
      <w:r w:rsidRPr="00677556">
        <w:rPr>
          <w:rFonts w:ascii="Arial" w:hAnsi="Arial" w:cs="Arial"/>
        </w:rPr>
        <w:t> </w:t>
      </w:r>
      <w:r w:rsidRPr="00677556">
        <w:rPr>
          <w:rFonts w:ascii="Arial" w:hAnsi="Arial" w:cs="Arial"/>
        </w:rPr>
        <w:t xml:space="preserve">foam properties, </w:t>
      </w:r>
      <w:r w:rsidR="003F0883" w:rsidRPr="00677556">
        <w:rPr>
          <w:rFonts w:ascii="Arial" w:hAnsi="Arial" w:cs="Arial"/>
        </w:rPr>
        <w:t>color</w:t>
      </w:r>
      <w:r w:rsidRPr="00677556">
        <w:rPr>
          <w:rFonts w:ascii="Arial" w:hAnsi="Arial" w:cs="Arial"/>
        </w:rPr>
        <w:t>, moisture content</w:t>
      </w:r>
      <w:r w:rsidR="006C7121">
        <w:rPr>
          <w:rFonts w:ascii="Arial" w:hAnsi="Arial" w:cs="Arial"/>
        </w:rPr>
        <w:t>,</w:t>
      </w:r>
      <w:r w:rsidRPr="00677556">
        <w:rPr>
          <w:rFonts w:ascii="Arial" w:hAnsi="Arial" w:cs="Arial"/>
        </w:rPr>
        <w:t xml:space="preserve"> solubility</w:t>
      </w:r>
      <w:r w:rsidR="006C7121">
        <w:rPr>
          <w:rFonts w:ascii="Arial" w:hAnsi="Arial" w:cs="Arial"/>
        </w:rPr>
        <w:t>,</w:t>
      </w:r>
      <w:r w:rsidRPr="00677556">
        <w:rPr>
          <w:rFonts w:ascii="Arial" w:hAnsi="Arial" w:cs="Arial"/>
        </w:rPr>
        <w:t xml:space="preserve"> and sensory acceptation. </w:t>
      </w:r>
      <w:r w:rsidRPr="008226D1">
        <w:rPr>
          <w:rFonts w:ascii="Arial" w:hAnsi="Arial" w:cs="Arial"/>
        </w:rPr>
        <w:t xml:space="preserve">It showed that foam formed only in the </w:t>
      </w:r>
      <w:r w:rsidRPr="008226D1">
        <w:rPr>
          <w:rStyle w:val="Strong"/>
          <w:rFonts w:ascii="Arial" w:hAnsi="Arial" w:cs="Arial"/>
          <w:b w:val="0"/>
          <w:bCs w:val="0"/>
        </w:rPr>
        <w:t>CMC treatments (F1–F3; 1–3%)</w:t>
      </w:r>
      <w:r w:rsidRPr="008226D1">
        <w:rPr>
          <w:rFonts w:ascii="Arial" w:hAnsi="Arial" w:cs="Arial"/>
          <w:b/>
          <w:bCs/>
        </w:rPr>
        <w:t>,</w:t>
      </w:r>
      <w:r w:rsidRPr="008226D1">
        <w:rPr>
          <w:rFonts w:ascii="Arial" w:hAnsi="Arial" w:cs="Arial"/>
        </w:rPr>
        <w:t xml:space="preserve"> whereas the control (K) and gum Arabic treatments (F4–F6;1–3%) produced no foam</w:t>
      </w:r>
      <w:r w:rsidR="008E6B07">
        <w:rPr>
          <w:rFonts w:ascii="Arial" w:hAnsi="Arial" w:cs="Arial"/>
        </w:rPr>
        <w:t xml:space="preserve"> (Fig. 2)</w:t>
      </w:r>
      <w:r w:rsidRPr="008226D1">
        <w:rPr>
          <w:rFonts w:ascii="Arial" w:hAnsi="Arial" w:cs="Arial"/>
        </w:rPr>
        <w:t>.</w:t>
      </w:r>
      <w:r>
        <w:rPr>
          <w:rFonts w:ascii="Arial" w:hAnsi="Arial" w:cs="Arial"/>
        </w:rPr>
        <w:t xml:space="preserve"> The </w:t>
      </w:r>
      <w:r w:rsidRPr="00677556">
        <w:rPr>
          <w:rFonts w:ascii="Arial" w:hAnsi="Arial" w:cs="Arial"/>
        </w:rPr>
        <w:t>CMC was superior to gum Arabic in maintaining the stability of foam-mat system</w:t>
      </w:r>
      <w:r w:rsidRPr="00677556">
        <w:rPr>
          <w:rFonts w:ascii="Arial" w:hAnsi="Arial" w:cs="Arial"/>
        </w:rPr>
        <w:t> </w:t>
      </w:r>
      <w:r w:rsidRPr="00677556">
        <w:rPr>
          <w:rFonts w:ascii="Arial" w:hAnsi="Arial" w:cs="Arial"/>
        </w:rPr>
        <w:lastRenderedPageBreak/>
        <w:t>during drying process. CMC ha</w:t>
      </w:r>
      <w:r w:rsidR="001B584B">
        <w:rPr>
          <w:rFonts w:ascii="Arial" w:hAnsi="Arial" w:cs="Arial"/>
        </w:rPr>
        <w:t>d</w:t>
      </w:r>
      <w:r w:rsidRPr="00677556">
        <w:rPr>
          <w:rFonts w:ascii="Arial" w:hAnsi="Arial" w:cs="Arial"/>
        </w:rPr>
        <w:t xml:space="preserve"> the ability to form stable foam at low concentrations (1%), which highlight</w:t>
      </w:r>
      <w:r w:rsidR="008E6B07">
        <w:rPr>
          <w:rFonts w:ascii="Arial" w:hAnsi="Arial" w:cs="Arial"/>
        </w:rPr>
        <w:t>ed</w:t>
      </w:r>
      <w:r w:rsidRPr="00677556">
        <w:rPr>
          <w:rFonts w:ascii="Arial" w:hAnsi="Arial" w:cs="Arial"/>
        </w:rPr>
        <w:t xml:space="preserve"> its good properties in film formation and viscosity, contributing to the enhancement of interface stability and</w:t>
      </w:r>
      <w:r w:rsidRPr="00677556">
        <w:rPr>
          <w:rFonts w:ascii="Arial" w:hAnsi="Arial" w:cs="Arial"/>
        </w:rPr>
        <w:t> </w:t>
      </w:r>
      <w:r w:rsidRPr="00677556">
        <w:rPr>
          <w:rFonts w:ascii="Arial" w:hAnsi="Arial" w:cs="Arial"/>
        </w:rPr>
        <w:t>prevention of bubble coalescence.</w:t>
      </w:r>
      <w:r w:rsidR="001646A0">
        <w:rPr>
          <w:rFonts w:ascii="Arial" w:hAnsi="Arial" w:cs="Arial"/>
        </w:rPr>
        <w:t xml:space="preserve"> </w:t>
      </w:r>
    </w:p>
    <w:p w14:paraId="496F88D5" w14:textId="40B1390C" w:rsidR="001646A0" w:rsidRDefault="00247CFA" w:rsidP="00530638">
      <w:pPr>
        <w:spacing w:line="480" w:lineRule="auto"/>
        <w:ind w:firstLine="720"/>
        <w:jc w:val="both"/>
        <w:rPr>
          <w:rFonts w:ascii="Arial" w:hAnsi="Arial" w:cs="Arial"/>
        </w:rPr>
      </w:pPr>
      <w:r>
        <w:rPr>
          <w:rFonts w:ascii="Arial" w:hAnsi="Arial" w:cs="Arial"/>
          <w:noProof/>
        </w:rPr>
        <w:drawing>
          <wp:inline distT="0" distB="0" distL="0" distR="0" wp14:anchorId="517A8C74" wp14:editId="1A00B783">
            <wp:extent cx="4572635" cy="2712720"/>
            <wp:effectExtent l="0" t="0" r="0" b="0"/>
            <wp:docPr id="18853732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635" cy="2712720"/>
                    </a:xfrm>
                    <a:prstGeom prst="rect">
                      <a:avLst/>
                    </a:prstGeom>
                    <a:noFill/>
                  </pic:spPr>
                </pic:pic>
              </a:graphicData>
            </a:graphic>
          </wp:inline>
        </w:drawing>
      </w:r>
    </w:p>
    <w:p w14:paraId="3094F898" w14:textId="02EEB9BD" w:rsidR="00601C3A" w:rsidRPr="008226D1" w:rsidRDefault="00601C3A" w:rsidP="00530638">
      <w:pPr>
        <w:pStyle w:val="Caption"/>
        <w:jc w:val="both"/>
        <w:rPr>
          <w:rFonts w:eastAsia="Calibri" w:cs="Arial"/>
        </w:rPr>
      </w:pPr>
      <w:r>
        <w:t xml:space="preserve">Fig.  </w:t>
      </w:r>
      <w:fldSimple w:instr=" SEQ Fig._ \* ARABIC ">
        <w:r w:rsidR="00F61A34">
          <w:rPr>
            <w:noProof/>
          </w:rPr>
          <w:t>2</w:t>
        </w:r>
      </w:fldSimple>
      <w:r>
        <w:t xml:space="preserve">. </w:t>
      </w:r>
      <w:r w:rsidRPr="008226D1">
        <w:rPr>
          <w:rFonts w:eastAsia="Calibri" w:cs="Arial"/>
        </w:rPr>
        <w:t>Foam-formation ability of foam-mat–dried ginger-milk powder formulations. Bars show the proportion of replicates that formed foam (n = 3). Identical letters denote no significant differences among CMC treatments (Kruskal–Wallis with Dunn’s test, Bonferroni correction, α = 0.05).</w:t>
      </w:r>
      <w:r w:rsidR="00A97093">
        <w:rPr>
          <w:rFonts w:eastAsia="Calibri" w:cs="Arial"/>
        </w:rPr>
        <w:t xml:space="preserve"> </w:t>
      </w:r>
      <w:r w:rsidR="00A97093" w:rsidRPr="00222922">
        <w:rPr>
          <w:rFonts w:eastAsia="Calibri" w:cs="Arial"/>
          <w:highlight w:val="green"/>
        </w:rPr>
        <w:t>Source: Data generated in the present study (2025).</w:t>
      </w:r>
      <w:r w:rsidR="00A97093" w:rsidRPr="00A97093">
        <w:rPr>
          <w:rFonts w:eastAsia="Calibri" w:cs="Arial"/>
        </w:rPr>
        <w:tab/>
      </w:r>
    </w:p>
    <w:p w14:paraId="0DD81BB7" w14:textId="40077E3E" w:rsidR="00677556" w:rsidRPr="003F0883" w:rsidRDefault="00532D78" w:rsidP="00530638">
      <w:pPr>
        <w:spacing w:line="480" w:lineRule="auto"/>
        <w:ind w:firstLine="720"/>
        <w:jc w:val="both"/>
        <w:rPr>
          <w:rStyle w:val="Emphasis"/>
          <w:rFonts w:ascii="Arial" w:hAnsi="Arial" w:cs="Arial"/>
          <w:i w:val="0"/>
          <w:iCs w:val="0"/>
        </w:rPr>
      </w:pPr>
      <w:r>
        <w:rPr>
          <w:rFonts w:ascii="Arial" w:hAnsi="Arial" w:cs="Arial"/>
        </w:rPr>
        <w:t>While</w:t>
      </w:r>
      <w:r w:rsidR="00601C3A">
        <w:rPr>
          <w:rFonts w:ascii="Arial" w:hAnsi="Arial" w:cs="Arial"/>
        </w:rPr>
        <w:t xml:space="preserve"> t</w:t>
      </w:r>
      <w:r w:rsidR="00677556" w:rsidRPr="00677556">
        <w:rPr>
          <w:rFonts w:ascii="Arial" w:hAnsi="Arial" w:cs="Arial"/>
        </w:rPr>
        <w:t xml:space="preserve">he density and stability of foam augmented in accordance </w:t>
      </w:r>
      <w:r w:rsidR="00072AD8" w:rsidRPr="00677556">
        <w:rPr>
          <w:rFonts w:ascii="Arial" w:hAnsi="Arial" w:cs="Arial"/>
        </w:rPr>
        <w:t>with</w:t>
      </w:r>
      <w:r w:rsidR="00677556" w:rsidRPr="00677556">
        <w:rPr>
          <w:rFonts w:ascii="Arial" w:hAnsi="Arial" w:cs="Arial"/>
        </w:rPr>
        <w:t xml:space="preserve"> the</w:t>
      </w:r>
      <w:r w:rsidR="00677556" w:rsidRPr="00677556">
        <w:rPr>
          <w:rFonts w:ascii="Arial" w:hAnsi="Arial" w:cs="Arial"/>
        </w:rPr>
        <w:t> </w:t>
      </w:r>
      <w:r w:rsidR="00677556" w:rsidRPr="00677556">
        <w:rPr>
          <w:rFonts w:ascii="Arial" w:hAnsi="Arial" w:cs="Arial"/>
        </w:rPr>
        <w:t>CMC concentration, obtaining for the 3% formulation (F3</w:t>
      </w:r>
      <w:r w:rsidR="00601C3A">
        <w:rPr>
          <w:rFonts w:ascii="Arial" w:hAnsi="Arial" w:cs="Arial"/>
        </w:rPr>
        <w:t xml:space="preserve">, </w:t>
      </w:r>
      <w:r w:rsidR="00601C3A" w:rsidRPr="00601C3A">
        <w:rPr>
          <w:rFonts w:ascii="Arial" w:hAnsi="Arial" w:cs="Arial"/>
        </w:rPr>
        <w:t>1.064 ± 0.009 g/mL</w:t>
      </w:r>
      <w:r w:rsidR="00677556" w:rsidRPr="00677556">
        <w:rPr>
          <w:rFonts w:ascii="Arial" w:hAnsi="Arial" w:cs="Arial"/>
        </w:rPr>
        <w:t>) the highest consistency and durability</w:t>
      </w:r>
      <w:r w:rsidR="00601C3A">
        <w:rPr>
          <w:rFonts w:ascii="Arial" w:hAnsi="Arial" w:cs="Arial"/>
        </w:rPr>
        <w:t xml:space="preserve"> (</w:t>
      </w:r>
      <w:r w:rsidR="00601C3A" w:rsidRPr="003F0883">
        <w:rPr>
          <w:rFonts w:ascii="Arial" w:hAnsi="Arial" w:cs="Arial"/>
        </w:rPr>
        <w:t>Fig. 3</w:t>
      </w:r>
      <w:r w:rsidR="00601C3A" w:rsidRPr="00222922">
        <w:rPr>
          <w:rFonts w:ascii="Arial" w:hAnsi="Arial" w:cs="Arial"/>
          <w:highlight w:val="magenta"/>
        </w:rPr>
        <w:t>)</w:t>
      </w:r>
      <w:r w:rsidR="00677556" w:rsidRPr="00222922">
        <w:rPr>
          <w:rFonts w:ascii="Arial" w:hAnsi="Arial" w:cs="Arial"/>
          <w:highlight w:val="magenta"/>
        </w:rPr>
        <w:t xml:space="preserve">. </w:t>
      </w:r>
      <w:r w:rsidR="00072AD8" w:rsidRPr="00222922">
        <w:rPr>
          <w:rFonts w:ascii="Arial" w:hAnsi="Arial" w:cs="Arial"/>
          <w:highlight w:val="magenta"/>
        </w:rPr>
        <w:t>In this milk–egg protein system, gum Arabic did not produce stable foam, likely because its film-forming ability alone was insufficient to stabilize air bubbles without the support of additional surfactant components</w:t>
      </w:r>
      <w:r w:rsidR="00677556" w:rsidRPr="00222922">
        <w:rPr>
          <w:rFonts w:ascii="Arial" w:hAnsi="Arial" w:cs="Arial"/>
          <w:highlight w:val="magenta"/>
        </w:rPr>
        <w:t>.</w:t>
      </w:r>
      <w:r w:rsidR="00677556" w:rsidRPr="003F0883">
        <w:rPr>
          <w:rFonts w:ascii="Arial" w:hAnsi="Arial" w:cs="Arial"/>
        </w:rPr>
        <w:t xml:space="preserve"> Tan et al. (2021) and </w:t>
      </w:r>
      <w:proofErr w:type="spellStart"/>
      <w:r w:rsidR="00677556" w:rsidRPr="003F0883">
        <w:rPr>
          <w:rFonts w:ascii="Arial" w:hAnsi="Arial" w:cs="Arial"/>
        </w:rPr>
        <w:t>Martihandini</w:t>
      </w:r>
      <w:proofErr w:type="spellEnd"/>
      <w:r w:rsidR="00677556" w:rsidRPr="003F0883">
        <w:rPr>
          <w:rFonts w:ascii="Arial" w:hAnsi="Arial" w:cs="Arial"/>
        </w:rPr>
        <w:t xml:space="preserve"> &amp; </w:t>
      </w:r>
      <w:proofErr w:type="spellStart"/>
      <w:r w:rsidR="00677556" w:rsidRPr="003F0883">
        <w:rPr>
          <w:rFonts w:ascii="Arial" w:hAnsi="Arial" w:cs="Arial"/>
        </w:rPr>
        <w:t>Handayani</w:t>
      </w:r>
      <w:proofErr w:type="spellEnd"/>
      <w:r w:rsidR="00677556" w:rsidRPr="003F0883">
        <w:rPr>
          <w:rFonts w:ascii="Arial" w:hAnsi="Arial" w:cs="Arial"/>
        </w:rPr>
        <w:t xml:space="preserve"> (2025) </w:t>
      </w:r>
      <w:r w:rsidR="00121532">
        <w:rPr>
          <w:rFonts w:ascii="Arial" w:hAnsi="Arial" w:cs="Arial"/>
        </w:rPr>
        <w:t>showed</w:t>
      </w:r>
      <w:r w:rsidR="00677556" w:rsidRPr="003F0883">
        <w:rPr>
          <w:rFonts w:ascii="Arial" w:hAnsi="Arial" w:cs="Arial"/>
        </w:rPr>
        <w:t xml:space="preserve"> that higher gum Arabic concentrations or secondary </w:t>
      </w:r>
      <w:r w:rsidR="003F0883" w:rsidRPr="003F0883">
        <w:rPr>
          <w:rFonts w:ascii="Arial" w:hAnsi="Arial" w:cs="Arial"/>
        </w:rPr>
        <w:t>stabilizer</w:t>
      </w:r>
      <w:r w:rsidR="00677556" w:rsidRPr="003F0883">
        <w:rPr>
          <w:rFonts w:ascii="Arial" w:hAnsi="Arial" w:cs="Arial"/>
        </w:rPr>
        <w:t xml:space="preserve"> incorporation was required to reach a foam stability comparable to that of the</w:t>
      </w:r>
      <w:r w:rsidR="00677556" w:rsidRPr="003F0883">
        <w:rPr>
          <w:rFonts w:ascii="Arial" w:hAnsi="Arial" w:cs="Arial"/>
        </w:rPr>
        <w:t> </w:t>
      </w:r>
      <w:r w:rsidR="00677556" w:rsidRPr="003F0883">
        <w:rPr>
          <w:rFonts w:ascii="Arial" w:hAnsi="Arial" w:cs="Arial"/>
        </w:rPr>
        <w:t>control. Consequently, CMC</w:t>
      </w:r>
      <w:r w:rsidR="00677556" w:rsidRPr="003F0883">
        <w:rPr>
          <w:rFonts w:ascii="Arial" w:hAnsi="Arial" w:cs="Arial"/>
        </w:rPr>
        <w:t> </w:t>
      </w:r>
      <w:r w:rsidR="00677556" w:rsidRPr="003F0883">
        <w:rPr>
          <w:rFonts w:ascii="Arial" w:hAnsi="Arial" w:cs="Arial"/>
        </w:rPr>
        <w:t xml:space="preserve">proved to be a superior stabilizing agent for the foam-mat drying of protein-polysaccharide matrices such as </w:t>
      </w:r>
      <w:r w:rsidR="00601C3A" w:rsidRPr="003F0883">
        <w:rPr>
          <w:rFonts w:ascii="Arial" w:hAnsi="Arial" w:cs="Arial"/>
        </w:rPr>
        <w:t>milk</w:t>
      </w:r>
      <w:r w:rsidR="00677556" w:rsidRPr="003F0883">
        <w:rPr>
          <w:rFonts w:ascii="Arial" w:hAnsi="Arial" w:cs="Arial"/>
        </w:rPr>
        <w:t>-ginger formulations</w:t>
      </w:r>
      <w:r w:rsidR="006C7121">
        <w:rPr>
          <w:rFonts w:ascii="Arial" w:hAnsi="Arial" w:cs="Arial"/>
        </w:rPr>
        <w:t xml:space="preserve"> in the same concentration as gum Arabic</w:t>
      </w:r>
      <w:r w:rsidR="00915C11">
        <w:rPr>
          <w:rFonts w:ascii="Arial" w:hAnsi="Arial" w:cs="Arial"/>
        </w:rPr>
        <w:t>.</w:t>
      </w:r>
    </w:p>
    <w:p w14:paraId="4BC6DB08" w14:textId="436F0FC3" w:rsidR="008226D1" w:rsidRPr="008226D1" w:rsidRDefault="001B584B" w:rsidP="00222922">
      <w:pPr>
        <w:spacing w:line="480" w:lineRule="auto"/>
        <w:ind w:firstLine="720"/>
        <w:jc w:val="both"/>
        <w:rPr>
          <w:rFonts w:ascii="Arial" w:eastAsia="Calibri" w:hAnsi="Arial" w:cs="Arial"/>
          <w:b/>
          <w:bCs/>
        </w:rPr>
      </w:pPr>
      <w:r>
        <w:rPr>
          <w:rFonts w:ascii="Arial" w:eastAsia="Calibri" w:hAnsi="Arial" w:cs="Arial"/>
        </w:rPr>
        <w:lastRenderedPageBreak/>
        <w:t>Moreover</w:t>
      </w:r>
      <w:r w:rsidR="00601C3A" w:rsidRPr="003F0883">
        <w:rPr>
          <w:rFonts w:ascii="Arial" w:eastAsia="Calibri" w:hAnsi="Arial" w:cs="Arial"/>
        </w:rPr>
        <w:t xml:space="preserve">, the stability of the foam is very important in retaining shape during drying and in protecting from drying damage heat sensitive constituents. </w:t>
      </w:r>
      <w:r w:rsidR="00601C3A" w:rsidRPr="00601C3A">
        <w:rPr>
          <w:rFonts w:ascii="Arial" w:eastAsia="Calibri" w:hAnsi="Arial" w:cs="Arial"/>
        </w:rPr>
        <w:t>To this end, 3% CMC</w:t>
      </w:r>
      <w:r w:rsidR="00915C11">
        <w:rPr>
          <w:rFonts w:ascii="Arial" w:eastAsia="Calibri" w:hAnsi="Arial" w:cs="Arial"/>
        </w:rPr>
        <w:t xml:space="preserve"> (F4)</w:t>
      </w:r>
      <w:r w:rsidR="00601C3A" w:rsidRPr="00601C3A">
        <w:rPr>
          <w:rFonts w:ascii="Arial" w:eastAsia="Calibri" w:hAnsi="Arial" w:cs="Arial"/>
        </w:rPr>
        <w:t xml:space="preserve"> gave the </w:t>
      </w:r>
      <w:r w:rsidR="00EF2DC2" w:rsidRPr="00601C3A">
        <w:rPr>
          <w:rFonts w:ascii="Arial" w:eastAsia="Calibri" w:hAnsi="Arial" w:cs="Arial"/>
        </w:rPr>
        <w:t>best-balanced</w:t>
      </w:r>
      <w:r w:rsidR="00601C3A" w:rsidRPr="00601C3A">
        <w:rPr>
          <w:rFonts w:ascii="Arial" w:eastAsia="Calibri" w:hAnsi="Arial" w:cs="Arial"/>
        </w:rPr>
        <w:t xml:space="preserve"> stability of foam that inhibits matrix structure and collapse upon dehydration</w:t>
      </w:r>
      <w:r w:rsidR="00601C3A">
        <w:rPr>
          <w:rFonts w:ascii="Arial" w:eastAsia="Calibri" w:hAnsi="Arial" w:cs="Arial"/>
        </w:rPr>
        <w:t xml:space="preserve"> </w:t>
      </w:r>
      <w:r w:rsidR="00121532" w:rsidRPr="003F0883">
        <w:rPr>
          <w:rFonts w:ascii="Arial" w:eastAsia="Calibri" w:hAnsi="Arial" w:cs="Arial"/>
        </w:rPr>
        <w:t>(Fig. 4)</w:t>
      </w:r>
      <w:r w:rsidR="00601C3A" w:rsidRPr="00601C3A">
        <w:rPr>
          <w:rFonts w:ascii="Arial" w:eastAsia="Calibri" w:hAnsi="Arial" w:cs="Arial"/>
        </w:rPr>
        <w:t xml:space="preserve">. The results </w:t>
      </w:r>
      <w:r w:rsidR="00121532">
        <w:rPr>
          <w:rFonts w:ascii="Arial" w:eastAsia="Calibri" w:hAnsi="Arial" w:cs="Arial"/>
        </w:rPr>
        <w:t>were</w:t>
      </w:r>
      <w:r w:rsidR="00121532" w:rsidRPr="00601C3A">
        <w:rPr>
          <w:rFonts w:ascii="Arial" w:eastAsia="Calibri" w:hAnsi="Arial" w:cs="Arial"/>
        </w:rPr>
        <w:t xml:space="preserve"> </w:t>
      </w:r>
      <w:r w:rsidR="00601C3A" w:rsidRPr="00601C3A">
        <w:rPr>
          <w:rFonts w:ascii="Arial" w:eastAsia="Calibri" w:hAnsi="Arial" w:cs="Arial"/>
        </w:rPr>
        <w:t xml:space="preserve">consistent with </w:t>
      </w:r>
      <w:r w:rsidR="00915C11">
        <w:rPr>
          <w:rFonts w:ascii="Arial" w:eastAsia="Calibri" w:hAnsi="Arial" w:cs="Arial"/>
        </w:rPr>
        <w:t>the</w:t>
      </w:r>
      <w:r w:rsidR="00601C3A" w:rsidRPr="00601C3A">
        <w:rPr>
          <w:rFonts w:ascii="Arial" w:eastAsia="Calibri" w:hAnsi="Arial" w:cs="Arial"/>
        </w:rPr>
        <w:t xml:space="preserve"> </w:t>
      </w:r>
      <w:proofErr w:type="spellStart"/>
      <w:r w:rsidR="00601C3A" w:rsidRPr="00601C3A">
        <w:rPr>
          <w:rFonts w:ascii="Arial" w:eastAsia="Calibri" w:hAnsi="Arial" w:cs="Arial"/>
        </w:rPr>
        <w:t>Chaipoot</w:t>
      </w:r>
      <w:proofErr w:type="spellEnd"/>
      <w:r w:rsidR="00601C3A" w:rsidRPr="00601C3A">
        <w:rPr>
          <w:rFonts w:ascii="Arial" w:eastAsia="Calibri" w:hAnsi="Arial" w:cs="Arial"/>
        </w:rPr>
        <w:t xml:space="preserve"> et al. (2024)</w:t>
      </w:r>
      <w:r w:rsidR="00915C11">
        <w:rPr>
          <w:rFonts w:ascii="Arial" w:eastAsia="Calibri" w:hAnsi="Arial" w:cs="Arial"/>
        </w:rPr>
        <w:t xml:space="preserve"> report</w:t>
      </w:r>
      <w:r w:rsidR="00601C3A" w:rsidRPr="00601C3A">
        <w:rPr>
          <w:rFonts w:ascii="Arial" w:eastAsia="Calibri" w:hAnsi="Arial" w:cs="Arial"/>
        </w:rPr>
        <w:t>, who pointed out that stable foam increase</w:t>
      </w:r>
      <w:r w:rsidR="00121532">
        <w:rPr>
          <w:rFonts w:ascii="Arial" w:eastAsia="Calibri" w:hAnsi="Arial" w:cs="Arial"/>
        </w:rPr>
        <w:t>d</w:t>
      </w:r>
      <w:r w:rsidR="00601C3A" w:rsidRPr="00601C3A">
        <w:rPr>
          <w:rFonts w:ascii="Arial" w:eastAsia="Calibri" w:hAnsi="Arial" w:cs="Arial"/>
        </w:rPr>
        <w:t xml:space="preserve"> the drying and has better color, texture, and rehydration of the products. </w:t>
      </w:r>
      <w:r w:rsidR="00121532">
        <w:rPr>
          <w:rFonts w:ascii="Arial" w:eastAsia="Calibri" w:hAnsi="Arial" w:cs="Arial"/>
        </w:rPr>
        <w:t>In addition, t</w:t>
      </w:r>
      <w:r w:rsidR="00121532" w:rsidRPr="00121532">
        <w:rPr>
          <w:rFonts w:ascii="Arial" w:eastAsia="Calibri" w:hAnsi="Arial" w:cs="Arial"/>
        </w:rPr>
        <w:t>he use of CMC resulted in a compact and stable foam, which in turn yielded a higher quality powder with superior physical characteristics.</w:t>
      </w:r>
    </w:p>
    <w:p w14:paraId="74782723" w14:textId="6FF15C8C" w:rsidR="00601C3A" w:rsidRDefault="00601C3A" w:rsidP="00601C3A">
      <w:pPr>
        <w:jc w:val="center"/>
        <w:rPr>
          <w:rFonts w:ascii="Times New Roman" w:eastAsia="Calibri" w:hAnsi="Times New Roman"/>
        </w:rPr>
      </w:pPr>
      <w:r>
        <w:rPr>
          <w:rFonts w:ascii="Times New Roman" w:hAnsi="Times New Roman"/>
          <w:noProof/>
        </w:rPr>
        <w:drawing>
          <wp:inline distT="0" distB="0" distL="0" distR="0" wp14:anchorId="06689065" wp14:editId="068CA80D">
            <wp:extent cx="4057650" cy="2286000"/>
            <wp:effectExtent l="0" t="0" r="0" b="0"/>
            <wp:docPr id="1077101269" name="Chart 5">
              <a:extLst xmlns:a="http://schemas.openxmlformats.org/drawingml/2006/main">
                <a:ext uri="{FF2B5EF4-FFF2-40B4-BE49-F238E27FC236}">
                  <a16:creationId xmlns:a16="http://schemas.microsoft.com/office/drawing/2014/main" id="{9D4F1BBD-78E6-060A-D489-769A15A5D7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826F9D" w14:textId="60513C67" w:rsidR="00601C3A" w:rsidRPr="00601C3A" w:rsidRDefault="00601C3A" w:rsidP="00601C3A">
      <w:pPr>
        <w:pStyle w:val="Caption"/>
        <w:jc w:val="both"/>
        <w:rPr>
          <w:rFonts w:eastAsia="Calibri" w:cs="Arial"/>
        </w:rPr>
      </w:pPr>
      <w:r>
        <w:t xml:space="preserve">Fig.  </w:t>
      </w:r>
      <w:fldSimple w:instr=" SEQ Fig._ \* ARABIC ">
        <w:r w:rsidR="00F61A34">
          <w:rPr>
            <w:noProof/>
          </w:rPr>
          <w:t>3</w:t>
        </w:r>
      </w:fldSimple>
      <w:r>
        <w:t xml:space="preserve">. </w:t>
      </w:r>
      <w:r w:rsidRPr="00601C3A">
        <w:rPr>
          <w:rFonts w:eastAsia="Calibri" w:cs="Arial"/>
        </w:rPr>
        <w:t>Foam density of foam-mat–dried ginger-milk powder (mean ± SD, n = 3). Different superscript letters denote significant differences (Kruskal–Wallis, p &lt; 0.05; Dunn’s test with Bonferroni correction)</w:t>
      </w:r>
      <w:r w:rsidR="00325F89">
        <w:rPr>
          <w:rFonts w:eastAsia="Calibri" w:cs="Arial"/>
        </w:rPr>
        <w:t xml:space="preserve"> </w:t>
      </w:r>
      <w:r w:rsidR="00325F89" w:rsidRPr="00CD35C2">
        <w:rPr>
          <w:rFonts w:eastAsia="Calibri" w:cs="Arial"/>
          <w:highlight w:val="green"/>
        </w:rPr>
        <w:t>Source: Data generated in the present study (2025).</w:t>
      </w:r>
    </w:p>
    <w:p w14:paraId="5F1B4E6E" w14:textId="33CB818E" w:rsidR="00601C3A" w:rsidRDefault="00601C3A" w:rsidP="00601C3A">
      <w:pPr>
        <w:jc w:val="center"/>
        <w:rPr>
          <w:rFonts w:ascii="Times New Roman" w:eastAsia="Calibri" w:hAnsi="Times New Roman"/>
        </w:rPr>
      </w:pPr>
      <w:r>
        <w:rPr>
          <w:rFonts w:ascii="Times New Roman" w:hAnsi="Times New Roman"/>
          <w:noProof/>
        </w:rPr>
        <w:drawing>
          <wp:inline distT="0" distB="0" distL="0" distR="0" wp14:anchorId="519BBFD6" wp14:editId="1EFF8460">
            <wp:extent cx="3460750" cy="2044322"/>
            <wp:effectExtent l="0" t="0" r="6350" b="0"/>
            <wp:docPr id="175384006" name="Chart 6">
              <a:extLst xmlns:a="http://schemas.openxmlformats.org/drawingml/2006/main">
                <a:ext uri="{FF2B5EF4-FFF2-40B4-BE49-F238E27FC236}">
                  <a16:creationId xmlns:a16="http://schemas.microsoft.com/office/drawing/2014/main" id="{5C51D7FF-5901-6174-A2C8-E20FB1A6F6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59CBC0F" w14:textId="7E2F2E69" w:rsidR="00601C3A" w:rsidRPr="00601C3A" w:rsidRDefault="00601C3A" w:rsidP="00601C3A">
      <w:pPr>
        <w:pStyle w:val="Caption"/>
        <w:jc w:val="both"/>
        <w:rPr>
          <w:rFonts w:eastAsia="Calibri" w:cs="Arial"/>
        </w:rPr>
      </w:pPr>
      <w:r>
        <w:t xml:space="preserve">Fig.  </w:t>
      </w:r>
      <w:fldSimple w:instr=" SEQ Fig._ \* ARABIC ">
        <w:r w:rsidR="00F61A34">
          <w:rPr>
            <w:noProof/>
          </w:rPr>
          <w:t>4</w:t>
        </w:r>
      </w:fldSimple>
      <w:r>
        <w:t xml:space="preserve">. </w:t>
      </w:r>
      <w:r w:rsidRPr="00601C3A">
        <w:rPr>
          <w:rFonts w:eastAsia="Calibri" w:cs="Arial"/>
        </w:rPr>
        <w:t>Foam stability of ginger-milk powder formulations. Data were presented as mean ± standard deviation (SD) for n = 3. Different superscript letters indicate significant differences among treatments (p &lt; 0.05) according to the Kruskal–Wallis test followed by Dunn’s test with Bonferroni correction.</w:t>
      </w:r>
      <w:r w:rsidR="00325F89">
        <w:rPr>
          <w:rFonts w:eastAsia="Calibri" w:cs="Arial"/>
        </w:rPr>
        <w:t xml:space="preserve"> </w:t>
      </w:r>
      <w:r w:rsidR="00325F89" w:rsidRPr="00CD35C2">
        <w:rPr>
          <w:rFonts w:eastAsia="Calibri" w:cs="Arial"/>
          <w:highlight w:val="green"/>
        </w:rPr>
        <w:t>Source: Data generated in the present study (2025).</w:t>
      </w:r>
    </w:p>
    <w:p w14:paraId="13347FC1" w14:textId="77777777" w:rsidR="007E4183" w:rsidRPr="007E4183" w:rsidRDefault="007E4183" w:rsidP="007E4183">
      <w:pPr>
        <w:pStyle w:val="Char"/>
      </w:pPr>
      <w:r w:rsidRPr="007E4183">
        <w:lastRenderedPageBreak/>
        <w:t>Evaluation of Ginger Milk Powder Quality</w:t>
      </w:r>
    </w:p>
    <w:p w14:paraId="1DB2A0E1" w14:textId="2C8EC5C7" w:rsidR="00863BD3" w:rsidRDefault="007E4183" w:rsidP="00530638">
      <w:pPr>
        <w:pStyle w:val="Color"/>
        <w:spacing w:line="480" w:lineRule="auto"/>
      </w:pPr>
      <w:r w:rsidRPr="007E4183">
        <w:t xml:space="preserve">Colorimetric </w:t>
      </w:r>
      <w:r>
        <w:t>p</w:t>
      </w:r>
      <w:r w:rsidRPr="007E4183">
        <w:t>roperties</w:t>
      </w:r>
    </w:p>
    <w:p w14:paraId="680F9335" w14:textId="31FAB359" w:rsidR="008226D1" w:rsidRPr="00F9310C" w:rsidRDefault="007E4183" w:rsidP="00530638">
      <w:pPr>
        <w:pStyle w:val="Body"/>
        <w:spacing w:after="0" w:line="480" w:lineRule="auto"/>
        <w:rPr>
          <w:rFonts w:ascii="Arial" w:hAnsi="Arial" w:cs="Arial"/>
        </w:rPr>
      </w:pPr>
      <w:r>
        <w:rPr>
          <w:rFonts w:ascii="Times New Roman" w:hAnsi="Times New Roman"/>
        </w:rPr>
        <w:tab/>
      </w:r>
      <w:r w:rsidRPr="00F9310C">
        <w:rPr>
          <w:rFonts w:ascii="Arial" w:hAnsi="Arial" w:cs="Arial"/>
        </w:rPr>
        <w:t xml:space="preserve">The </w:t>
      </w:r>
      <w:r w:rsidR="00915C11">
        <w:rPr>
          <w:rFonts w:ascii="Arial" w:hAnsi="Arial" w:cs="Arial"/>
        </w:rPr>
        <w:t>type</w:t>
      </w:r>
      <w:r w:rsidR="00915C11" w:rsidRPr="00F9310C">
        <w:rPr>
          <w:rFonts w:ascii="Arial" w:hAnsi="Arial" w:cs="Arial"/>
        </w:rPr>
        <w:t xml:space="preserve"> </w:t>
      </w:r>
      <w:r w:rsidRPr="00F9310C">
        <w:rPr>
          <w:rFonts w:ascii="Arial" w:hAnsi="Arial" w:cs="Arial"/>
        </w:rPr>
        <w:t>and concentration of the stabilizers</w:t>
      </w:r>
      <w:r w:rsidRPr="00F9310C">
        <w:rPr>
          <w:rFonts w:ascii="Arial" w:hAnsi="Arial" w:cs="Arial"/>
        </w:rPr>
        <w:t> </w:t>
      </w:r>
      <w:r w:rsidRPr="00F9310C">
        <w:rPr>
          <w:rFonts w:ascii="Arial" w:hAnsi="Arial" w:cs="Arial"/>
        </w:rPr>
        <w:t>influenced the color L</w:t>
      </w:r>
      <w:r w:rsidR="00E67D84">
        <w:rPr>
          <w:rFonts w:ascii="Arial" w:hAnsi="Arial" w:cs="Arial"/>
        </w:rPr>
        <w:t>*</w:t>
      </w:r>
      <w:r w:rsidRPr="00F9310C">
        <w:rPr>
          <w:rFonts w:ascii="Arial" w:hAnsi="Arial" w:cs="Arial"/>
        </w:rPr>
        <w:t>, a</w:t>
      </w:r>
      <w:r w:rsidR="00E67D84">
        <w:rPr>
          <w:rFonts w:ascii="Arial" w:hAnsi="Arial" w:cs="Arial"/>
        </w:rPr>
        <w:t>*</w:t>
      </w:r>
      <w:r w:rsidRPr="00F9310C">
        <w:rPr>
          <w:rFonts w:ascii="Arial" w:hAnsi="Arial" w:cs="Arial"/>
        </w:rPr>
        <w:t>, and b* values of the powders produced. The overall effect of the addition of 1–3% CMC</w:t>
      </w:r>
      <w:r w:rsidR="00CD1B52">
        <w:rPr>
          <w:rFonts w:ascii="Arial" w:hAnsi="Arial" w:cs="Arial"/>
        </w:rPr>
        <w:t xml:space="preserve"> (F1-F3)</w:t>
      </w:r>
      <w:r w:rsidRPr="00F9310C">
        <w:rPr>
          <w:rFonts w:ascii="Arial" w:hAnsi="Arial" w:cs="Arial"/>
        </w:rPr>
        <w:t xml:space="preserve"> in formulations was an increase in the L* (lightness) </w:t>
      </w:r>
      <w:r w:rsidR="00F9310C" w:rsidRPr="003F0883">
        <w:rPr>
          <w:rFonts w:ascii="Arial" w:hAnsi="Arial" w:cs="Arial"/>
        </w:rPr>
        <w:t>(Table 2)</w:t>
      </w:r>
      <w:r w:rsidRPr="003F0883">
        <w:rPr>
          <w:rFonts w:ascii="Arial" w:hAnsi="Arial" w:cs="Arial"/>
        </w:rPr>
        <w:t xml:space="preserve">, </w:t>
      </w:r>
      <w:r w:rsidRPr="00F9310C">
        <w:rPr>
          <w:rFonts w:ascii="Arial" w:hAnsi="Arial" w:cs="Arial"/>
        </w:rPr>
        <w:t xml:space="preserve">indicating improved lightness and visual clarity, as well as decreased a* and b* values, </w:t>
      </w:r>
      <w:r w:rsidR="00EF2DC2">
        <w:rPr>
          <w:rFonts w:ascii="Arial" w:hAnsi="Arial" w:cs="Arial"/>
        </w:rPr>
        <w:t>showing</w:t>
      </w:r>
      <w:r w:rsidRPr="00F9310C">
        <w:rPr>
          <w:rFonts w:ascii="Arial" w:hAnsi="Arial" w:cs="Arial"/>
        </w:rPr>
        <w:t xml:space="preserve"> </w:t>
      </w:r>
      <w:r w:rsidR="00511EA9">
        <w:rPr>
          <w:rFonts w:ascii="Arial" w:hAnsi="Arial" w:cs="Arial"/>
        </w:rPr>
        <w:t xml:space="preserve">a </w:t>
      </w:r>
      <w:r w:rsidRPr="00F9310C">
        <w:rPr>
          <w:rFonts w:ascii="Arial" w:hAnsi="Arial" w:cs="Arial"/>
        </w:rPr>
        <w:t>reduced redness and yellowness,</w:t>
      </w:r>
      <w:r w:rsidRPr="00F9310C">
        <w:rPr>
          <w:rFonts w:ascii="Arial" w:hAnsi="Arial" w:cs="Arial"/>
        </w:rPr>
        <w:t> </w:t>
      </w:r>
      <w:r w:rsidRPr="00F9310C">
        <w:rPr>
          <w:rFonts w:ascii="Arial" w:hAnsi="Arial" w:cs="Arial"/>
        </w:rPr>
        <w:t xml:space="preserve">respectively. </w:t>
      </w:r>
      <w:bookmarkStart w:id="10" w:name="_Hlk215338452"/>
      <w:r w:rsidR="009C0036" w:rsidRPr="00222922">
        <w:rPr>
          <w:highlight w:val="magenta"/>
        </w:rPr>
        <w:t>Similarly, the gum Arabic formulations (F4–F6) were darker than the CMC samples but still lighter than the control, as shown by their intermediate L* values. Their slightly higher b* values also gave a more yellow tone. Overall, CMC produced the lightest and least yellow powders, whereas gum Arabic resulted in powders that were moderately darker and slightly more yellow than CMC but not as dark as the control</w:t>
      </w:r>
      <w:bookmarkEnd w:id="10"/>
      <w:r w:rsidRPr="00F9310C">
        <w:rPr>
          <w:rFonts w:ascii="Arial" w:hAnsi="Arial" w:cs="Arial"/>
        </w:rPr>
        <w:t xml:space="preserve">. </w:t>
      </w:r>
      <w:r w:rsidR="008313B2">
        <w:rPr>
          <w:rFonts w:ascii="Arial" w:hAnsi="Arial" w:cs="Arial"/>
        </w:rPr>
        <w:t>These r</w:t>
      </w:r>
      <w:r w:rsidRPr="00F9310C">
        <w:rPr>
          <w:rFonts w:ascii="Arial" w:hAnsi="Arial" w:cs="Arial"/>
        </w:rPr>
        <w:t xml:space="preserve">esults </w:t>
      </w:r>
      <w:r w:rsidR="00A95F95">
        <w:rPr>
          <w:rFonts w:ascii="Arial" w:hAnsi="Arial" w:cs="Arial"/>
        </w:rPr>
        <w:t>were</w:t>
      </w:r>
      <w:r w:rsidR="00A95F95" w:rsidRPr="00F9310C">
        <w:rPr>
          <w:rFonts w:ascii="Arial" w:hAnsi="Arial" w:cs="Arial"/>
        </w:rPr>
        <w:t xml:space="preserve"> </w:t>
      </w:r>
      <w:r w:rsidRPr="00F9310C">
        <w:rPr>
          <w:rFonts w:ascii="Arial" w:hAnsi="Arial" w:cs="Arial"/>
        </w:rPr>
        <w:t>similar to</w:t>
      </w:r>
      <w:r w:rsidRPr="00F9310C">
        <w:rPr>
          <w:rFonts w:ascii="Arial" w:hAnsi="Arial" w:cs="Arial"/>
        </w:rPr>
        <w:t> </w:t>
      </w:r>
      <w:proofErr w:type="spellStart"/>
      <w:r w:rsidRPr="00F9310C">
        <w:rPr>
          <w:rFonts w:ascii="Arial" w:hAnsi="Arial" w:cs="Arial"/>
        </w:rPr>
        <w:t>Intariani</w:t>
      </w:r>
      <w:proofErr w:type="spellEnd"/>
      <w:r w:rsidRPr="00F9310C">
        <w:rPr>
          <w:rFonts w:ascii="Arial" w:hAnsi="Arial" w:cs="Arial"/>
        </w:rPr>
        <w:t xml:space="preserve"> et al. (2022)</w:t>
      </w:r>
      <w:r w:rsidRPr="00F9310C">
        <w:rPr>
          <w:rFonts w:ascii="Arial" w:hAnsi="Arial" w:cs="Arial"/>
        </w:rPr>
        <w:t> </w:t>
      </w:r>
      <w:r w:rsidRPr="00F9310C">
        <w:rPr>
          <w:rFonts w:ascii="Arial" w:hAnsi="Arial" w:cs="Arial"/>
        </w:rPr>
        <w:t xml:space="preserve">and </w:t>
      </w:r>
      <w:proofErr w:type="spellStart"/>
      <w:r w:rsidRPr="00F9310C">
        <w:rPr>
          <w:rFonts w:ascii="Arial" w:hAnsi="Arial" w:cs="Arial"/>
        </w:rPr>
        <w:t>Risema</w:t>
      </w:r>
      <w:proofErr w:type="spellEnd"/>
      <w:r w:rsidRPr="00F9310C">
        <w:rPr>
          <w:rFonts w:ascii="Arial" w:hAnsi="Arial" w:cs="Arial"/>
        </w:rPr>
        <w:t xml:space="preserve"> (2023)</w:t>
      </w:r>
      <w:r w:rsidR="00A95F95">
        <w:rPr>
          <w:rFonts w:ascii="Arial" w:hAnsi="Arial" w:cs="Arial"/>
        </w:rPr>
        <w:t xml:space="preserve"> studies</w:t>
      </w:r>
      <w:r w:rsidRPr="00F9310C">
        <w:rPr>
          <w:rFonts w:ascii="Arial" w:hAnsi="Arial" w:cs="Arial"/>
        </w:rPr>
        <w:t>, who reported that CMC enhance</w:t>
      </w:r>
      <w:r w:rsidR="00E67D84">
        <w:rPr>
          <w:rFonts w:ascii="Arial" w:hAnsi="Arial" w:cs="Arial"/>
        </w:rPr>
        <w:t>d</w:t>
      </w:r>
      <w:r w:rsidRPr="00F9310C">
        <w:rPr>
          <w:rFonts w:ascii="Arial" w:hAnsi="Arial" w:cs="Arial"/>
        </w:rPr>
        <w:t xml:space="preserve"> brightness and color homogeneity in foam-mat-dried articles by forming a heat-resistant film which protects natural pigment from thermal destruction. The increase of L</w:t>
      </w:r>
      <w:r w:rsidR="00E67D84">
        <w:rPr>
          <w:rFonts w:ascii="Arial" w:hAnsi="Arial" w:cs="Arial"/>
        </w:rPr>
        <w:t>*</w:t>
      </w:r>
      <w:r w:rsidRPr="00F9310C">
        <w:rPr>
          <w:rFonts w:ascii="Arial" w:hAnsi="Arial" w:cs="Arial"/>
        </w:rPr>
        <w:t>, a*, b</w:t>
      </w:r>
      <w:r w:rsidR="00E67D84">
        <w:rPr>
          <w:rFonts w:ascii="Arial" w:hAnsi="Arial" w:cs="Arial"/>
        </w:rPr>
        <w:t>*</w:t>
      </w:r>
      <w:r w:rsidRPr="00F9310C">
        <w:rPr>
          <w:rFonts w:ascii="Arial" w:hAnsi="Arial" w:cs="Arial"/>
        </w:rPr>
        <w:t xml:space="preserve"> properties due to CMC indicate</w:t>
      </w:r>
      <w:r w:rsidR="00E67D84">
        <w:rPr>
          <w:rFonts w:ascii="Arial" w:hAnsi="Arial" w:cs="Arial"/>
        </w:rPr>
        <w:t>d</w:t>
      </w:r>
      <w:r w:rsidRPr="00F9310C">
        <w:rPr>
          <w:rFonts w:ascii="Arial" w:hAnsi="Arial" w:cs="Arial"/>
        </w:rPr>
        <w:t xml:space="preserve"> its functional superiority over</w:t>
      </w:r>
      <w:r w:rsidRPr="00F9310C">
        <w:rPr>
          <w:rFonts w:ascii="Arial" w:hAnsi="Arial" w:cs="Arial"/>
        </w:rPr>
        <w:t> </w:t>
      </w:r>
      <w:r w:rsidRPr="00F9310C">
        <w:rPr>
          <w:rFonts w:ascii="Arial" w:hAnsi="Arial" w:cs="Arial"/>
        </w:rPr>
        <w:t>the stabilizer.</w:t>
      </w:r>
    </w:p>
    <w:p w14:paraId="47693B9A" w14:textId="33BD08FF" w:rsidR="00F9310C" w:rsidRPr="00F9310C" w:rsidRDefault="00F9310C" w:rsidP="00530638">
      <w:pPr>
        <w:pStyle w:val="Body"/>
        <w:spacing w:after="0" w:line="480" w:lineRule="auto"/>
        <w:rPr>
          <w:rFonts w:ascii="Arial" w:hAnsi="Arial" w:cs="Arial"/>
        </w:rPr>
      </w:pPr>
      <w:r>
        <w:rPr>
          <w:rFonts w:ascii="Times New Roman" w:hAnsi="Times New Roman"/>
        </w:rPr>
        <w:tab/>
      </w:r>
      <w:r w:rsidRPr="00F9310C">
        <w:rPr>
          <w:rFonts w:ascii="Arial" w:hAnsi="Arial" w:cs="Arial"/>
        </w:rPr>
        <w:t xml:space="preserve">In addition, </w:t>
      </w:r>
      <w:r w:rsidR="001D10B6">
        <w:rPr>
          <w:rFonts w:ascii="Arial" w:hAnsi="Arial" w:cs="Arial"/>
        </w:rPr>
        <w:t>t</w:t>
      </w:r>
      <w:r w:rsidRPr="00F9310C">
        <w:rPr>
          <w:rFonts w:ascii="Arial" w:hAnsi="Arial" w:cs="Arial"/>
        </w:rPr>
        <w:t>he highest</w:t>
      </w:r>
      <w:r w:rsidRPr="00F9310C">
        <w:rPr>
          <w:rFonts w:ascii="Arial" w:hAnsi="Arial" w:cs="Arial"/>
        </w:rPr>
        <w:t> </w:t>
      </w:r>
      <w:r w:rsidRPr="00F9310C">
        <w:rPr>
          <w:rFonts w:ascii="Arial" w:hAnsi="Arial" w:cs="Arial"/>
        </w:rPr>
        <w:t xml:space="preserve">moisture content (6.72%) was found in the F3 (3% CMC), which although higher than the other treatments, </w:t>
      </w:r>
      <w:r w:rsidR="001D10B6">
        <w:rPr>
          <w:rFonts w:ascii="Arial" w:hAnsi="Arial" w:cs="Arial"/>
        </w:rPr>
        <w:t>was</w:t>
      </w:r>
      <w:r w:rsidR="001D10B6" w:rsidRPr="00F9310C">
        <w:rPr>
          <w:rFonts w:ascii="Arial" w:hAnsi="Arial" w:cs="Arial"/>
        </w:rPr>
        <w:t xml:space="preserve"> </w:t>
      </w:r>
      <w:r w:rsidRPr="00F9310C">
        <w:rPr>
          <w:rFonts w:ascii="Arial" w:hAnsi="Arial" w:cs="Arial"/>
        </w:rPr>
        <w:t>still in accordance with acceptable limits as imposed by Indonesian National Standard (SNI 3722:2018). Higher residual moisture in F3 probably resulted from its higher foam structure or tighter solid contents that hindered water</w:t>
      </w:r>
      <w:r w:rsidRPr="00F9310C">
        <w:rPr>
          <w:rFonts w:ascii="Arial" w:hAnsi="Arial" w:cs="Arial"/>
        </w:rPr>
        <w:t> </w:t>
      </w:r>
      <w:r w:rsidRPr="00F9310C">
        <w:rPr>
          <w:rFonts w:ascii="Arial" w:hAnsi="Arial" w:cs="Arial"/>
        </w:rPr>
        <w:t xml:space="preserve">evaporation during drying. This finding is consistent with the research conducted by Loan &amp; Tai (2023) and </w:t>
      </w:r>
      <w:proofErr w:type="spellStart"/>
      <w:r w:rsidRPr="00F9310C">
        <w:rPr>
          <w:rFonts w:ascii="Arial" w:hAnsi="Arial" w:cs="Arial"/>
        </w:rPr>
        <w:t>Rianti</w:t>
      </w:r>
      <w:proofErr w:type="spellEnd"/>
      <w:r w:rsidRPr="00F9310C">
        <w:rPr>
          <w:rFonts w:ascii="Arial" w:hAnsi="Arial" w:cs="Arial"/>
        </w:rPr>
        <w:t xml:space="preserve"> (2025), which reported that an increase in foam density usually reduce</w:t>
      </w:r>
      <w:r w:rsidR="00121532">
        <w:rPr>
          <w:rFonts w:ascii="Arial" w:hAnsi="Arial" w:cs="Arial"/>
        </w:rPr>
        <w:t>d</w:t>
      </w:r>
      <w:r w:rsidRPr="00F9310C">
        <w:rPr>
          <w:rFonts w:ascii="Arial" w:hAnsi="Arial" w:cs="Arial"/>
        </w:rPr>
        <w:t xml:space="preserve"> the drying rate but leads to higher levels</w:t>
      </w:r>
      <w:r w:rsidRPr="00F9310C">
        <w:rPr>
          <w:rFonts w:ascii="Arial" w:hAnsi="Arial" w:cs="Arial"/>
        </w:rPr>
        <w:t> </w:t>
      </w:r>
      <w:r w:rsidRPr="00F9310C">
        <w:rPr>
          <w:rFonts w:ascii="Arial" w:hAnsi="Arial" w:cs="Arial"/>
        </w:rPr>
        <w:t>of product rehydration and texture. In contrast, gum Arabic gave decreased moisture contents due to its instability foam and</w:t>
      </w:r>
      <w:r w:rsidRPr="00F9310C">
        <w:rPr>
          <w:rFonts w:ascii="Arial" w:hAnsi="Arial" w:cs="Arial"/>
        </w:rPr>
        <w:t> </w:t>
      </w:r>
      <w:r w:rsidRPr="00F9310C">
        <w:rPr>
          <w:rFonts w:ascii="Arial" w:hAnsi="Arial" w:cs="Arial"/>
        </w:rPr>
        <w:t>allowed for a faster drying rate but lower homogeneity.</w:t>
      </w:r>
    </w:p>
    <w:p w14:paraId="316A7000" w14:textId="280C0F58" w:rsidR="007E4183" w:rsidRPr="001B584B" w:rsidRDefault="007E4183" w:rsidP="007E4183">
      <w:pPr>
        <w:pStyle w:val="Caption"/>
        <w:ind w:right="2254"/>
        <w:jc w:val="both"/>
        <w:rPr>
          <w:rFonts w:cs="Arial"/>
          <w:shd w:val="clear" w:color="auto" w:fill="FFFFFF"/>
        </w:rPr>
      </w:pPr>
      <w:r>
        <w:t xml:space="preserve">Table </w:t>
      </w:r>
      <w:fldSimple w:instr=" SEQ Table \* ARABIC ">
        <w:r w:rsidR="002C1B4C">
          <w:rPr>
            <w:noProof/>
          </w:rPr>
          <w:t>2</w:t>
        </w:r>
      </w:fldSimple>
      <w:r>
        <w:t xml:space="preserve">. </w:t>
      </w:r>
      <w:r w:rsidR="00ED61B4" w:rsidRPr="001B584B">
        <w:rPr>
          <w:rFonts w:cs="Arial"/>
          <w:shd w:val="clear" w:color="auto" w:fill="FFFFFF"/>
        </w:rPr>
        <w:t>Color</w:t>
      </w:r>
      <w:r w:rsidRPr="001B584B">
        <w:rPr>
          <w:rFonts w:cs="Arial"/>
          <w:shd w:val="clear" w:color="auto" w:fill="FFFFFF"/>
        </w:rPr>
        <w:t xml:space="preserve"> parameters (L</w:t>
      </w:r>
      <w:r w:rsidRPr="001B584B">
        <w:rPr>
          <w:rStyle w:val="Emphasis"/>
          <w:rFonts w:cs="Arial"/>
          <w:shd w:val="clear" w:color="auto" w:fill="FFFFFF"/>
        </w:rPr>
        <w:t>, a</w:t>
      </w:r>
      <w:r w:rsidRPr="001B584B">
        <w:rPr>
          <w:rFonts w:cs="Arial"/>
          <w:shd w:val="clear" w:color="auto" w:fill="FFFFFF"/>
        </w:rPr>
        <w:t>, b*) of ginger milk powder with different types and concentrations of stabilizers</w:t>
      </w:r>
    </w:p>
    <w:tbl>
      <w:tblPr>
        <w:tblW w:w="8133" w:type="dxa"/>
        <w:tblBorders>
          <w:top w:val="single" w:sz="4" w:space="0" w:color="auto"/>
          <w:bottom w:val="single" w:sz="4" w:space="0" w:color="auto"/>
        </w:tblBorders>
        <w:tblLook w:val="04A0" w:firstRow="1" w:lastRow="0" w:firstColumn="1" w:lastColumn="0" w:noHBand="0" w:noVBand="1"/>
      </w:tblPr>
      <w:tblGrid>
        <w:gridCol w:w="928"/>
        <w:gridCol w:w="2505"/>
        <w:gridCol w:w="2268"/>
        <w:gridCol w:w="2432"/>
      </w:tblGrid>
      <w:tr w:rsidR="007E4183" w:rsidRPr="00021C4C" w14:paraId="0EEAB139" w14:textId="77777777" w:rsidTr="00F8094C">
        <w:trPr>
          <w:trHeight w:val="308"/>
        </w:trPr>
        <w:tc>
          <w:tcPr>
            <w:tcW w:w="928" w:type="dxa"/>
            <w:tcBorders>
              <w:top w:val="single" w:sz="4" w:space="0" w:color="auto"/>
              <w:bottom w:val="single" w:sz="4" w:space="0" w:color="auto"/>
            </w:tcBorders>
            <w:vAlign w:val="center"/>
            <w:hideMark/>
          </w:tcPr>
          <w:p w14:paraId="5B57821F" w14:textId="77777777" w:rsidR="007E4183" w:rsidRPr="00021C4C" w:rsidRDefault="007E4183">
            <w:pPr>
              <w:jc w:val="center"/>
              <w:rPr>
                <w:rFonts w:ascii="Arial" w:hAnsi="Arial" w:cs="Arial"/>
                <w:b/>
                <w:bCs/>
                <w:lang w:val="en-ID" w:eastAsia="en-ID"/>
              </w:rPr>
            </w:pPr>
            <w:r w:rsidRPr="00021C4C">
              <w:rPr>
                <w:rFonts w:ascii="Arial" w:hAnsi="Arial" w:cs="Arial"/>
                <w:b/>
                <w:bCs/>
                <w:lang w:eastAsia="en-ID"/>
              </w:rPr>
              <w:t>Sample</w:t>
            </w:r>
          </w:p>
        </w:tc>
        <w:tc>
          <w:tcPr>
            <w:tcW w:w="2505" w:type="dxa"/>
            <w:tcBorders>
              <w:top w:val="single" w:sz="4" w:space="0" w:color="auto"/>
              <w:bottom w:val="single" w:sz="4" w:space="0" w:color="auto"/>
            </w:tcBorders>
            <w:vAlign w:val="center"/>
            <w:hideMark/>
          </w:tcPr>
          <w:p w14:paraId="4727BC19" w14:textId="77777777" w:rsidR="007E4183" w:rsidRPr="00021C4C" w:rsidRDefault="007E4183">
            <w:pPr>
              <w:jc w:val="center"/>
              <w:rPr>
                <w:rFonts w:ascii="Arial" w:hAnsi="Arial" w:cs="Arial"/>
                <w:b/>
                <w:bCs/>
                <w:lang w:eastAsia="en-ID"/>
              </w:rPr>
            </w:pPr>
            <w:r w:rsidRPr="00021C4C">
              <w:rPr>
                <w:rFonts w:ascii="Arial" w:hAnsi="Arial" w:cs="Arial"/>
                <w:b/>
                <w:bCs/>
                <w:lang w:eastAsia="en-ID"/>
              </w:rPr>
              <w:t xml:space="preserve">L* </w:t>
            </w:r>
          </w:p>
        </w:tc>
        <w:tc>
          <w:tcPr>
            <w:tcW w:w="2268" w:type="dxa"/>
            <w:tcBorders>
              <w:top w:val="single" w:sz="4" w:space="0" w:color="auto"/>
              <w:bottom w:val="single" w:sz="4" w:space="0" w:color="auto"/>
            </w:tcBorders>
            <w:vAlign w:val="center"/>
            <w:hideMark/>
          </w:tcPr>
          <w:p w14:paraId="5A67E6F1" w14:textId="77777777" w:rsidR="007E4183" w:rsidRPr="00021C4C" w:rsidRDefault="007E4183">
            <w:pPr>
              <w:jc w:val="center"/>
              <w:rPr>
                <w:rFonts w:ascii="Arial" w:hAnsi="Arial" w:cs="Arial"/>
                <w:b/>
                <w:bCs/>
                <w:lang w:eastAsia="en-ID"/>
              </w:rPr>
            </w:pPr>
            <w:r w:rsidRPr="00021C4C">
              <w:rPr>
                <w:rFonts w:ascii="Arial" w:hAnsi="Arial" w:cs="Arial"/>
                <w:b/>
                <w:bCs/>
                <w:lang w:eastAsia="en-ID"/>
              </w:rPr>
              <w:t xml:space="preserve">a* </w:t>
            </w:r>
          </w:p>
        </w:tc>
        <w:tc>
          <w:tcPr>
            <w:tcW w:w="2432" w:type="dxa"/>
            <w:tcBorders>
              <w:top w:val="single" w:sz="4" w:space="0" w:color="auto"/>
              <w:bottom w:val="single" w:sz="4" w:space="0" w:color="auto"/>
            </w:tcBorders>
            <w:vAlign w:val="center"/>
            <w:hideMark/>
          </w:tcPr>
          <w:p w14:paraId="5F139FEA" w14:textId="77777777" w:rsidR="007E4183" w:rsidRPr="00021C4C" w:rsidRDefault="007E4183">
            <w:pPr>
              <w:jc w:val="center"/>
              <w:rPr>
                <w:rFonts w:ascii="Arial" w:hAnsi="Arial" w:cs="Arial"/>
                <w:b/>
                <w:bCs/>
                <w:lang w:eastAsia="en-ID"/>
              </w:rPr>
            </w:pPr>
            <w:r w:rsidRPr="00021C4C">
              <w:rPr>
                <w:rFonts w:ascii="Arial" w:hAnsi="Arial" w:cs="Arial"/>
                <w:b/>
                <w:bCs/>
                <w:lang w:eastAsia="en-ID"/>
              </w:rPr>
              <w:t xml:space="preserve">b* </w:t>
            </w:r>
          </w:p>
        </w:tc>
      </w:tr>
      <w:tr w:rsidR="007E4183" w:rsidRPr="00021C4C" w14:paraId="00C205B2" w14:textId="77777777" w:rsidTr="00F8094C">
        <w:trPr>
          <w:trHeight w:val="305"/>
        </w:trPr>
        <w:tc>
          <w:tcPr>
            <w:tcW w:w="928" w:type="dxa"/>
            <w:tcBorders>
              <w:top w:val="single" w:sz="4" w:space="0" w:color="auto"/>
            </w:tcBorders>
            <w:vAlign w:val="center"/>
            <w:hideMark/>
          </w:tcPr>
          <w:p w14:paraId="5C9D89AF" w14:textId="77777777" w:rsidR="007E4183" w:rsidRPr="00FD0FFB" w:rsidRDefault="007E4183">
            <w:pPr>
              <w:jc w:val="center"/>
              <w:rPr>
                <w:rFonts w:ascii="Arial" w:hAnsi="Arial" w:cs="Arial"/>
                <w:lang w:eastAsia="en-ID"/>
              </w:rPr>
            </w:pPr>
            <w:r w:rsidRPr="00FD0FFB">
              <w:rPr>
                <w:rFonts w:ascii="Arial" w:hAnsi="Arial" w:cs="Arial"/>
                <w:lang w:eastAsia="en-ID"/>
              </w:rPr>
              <w:t xml:space="preserve">K </w:t>
            </w:r>
          </w:p>
        </w:tc>
        <w:tc>
          <w:tcPr>
            <w:tcW w:w="2505" w:type="dxa"/>
            <w:tcBorders>
              <w:top w:val="single" w:sz="4" w:space="0" w:color="auto"/>
            </w:tcBorders>
            <w:shd w:val="clear" w:color="auto" w:fill="FFFFFF"/>
            <w:noWrap/>
            <w:hideMark/>
          </w:tcPr>
          <w:p w14:paraId="22B7DE56" w14:textId="77777777" w:rsidR="007E4183" w:rsidRPr="00021C4C" w:rsidRDefault="007E4183">
            <w:pPr>
              <w:jc w:val="center"/>
              <w:rPr>
                <w:rFonts w:ascii="Arial" w:hAnsi="Arial" w:cs="Arial"/>
                <w:lang w:eastAsia="en-ID"/>
              </w:rPr>
            </w:pPr>
            <w:r w:rsidRPr="00021C4C">
              <w:rPr>
                <w:rFonts w:ascii="Arial" w:hAnsi="Arial" w:cs="Arial"/>
                <w:lang w:eastAsia="en-ID"/>
              </w:rPr>
              <w:t>77.62±0.12</w:t>
            </w:r>
            <w:r w:rsidRPr="00021C4C">
              <w:rPr>
                <w:rFonts w:ascii="Arial" w:hAnsi="Arial" w:cs="Arial"/>
                <w:vertAlign w:val="superscript"/>
                <w:lang w:eastAsia="en-ID"/>
              </w:rPr>
              <w:t>a</w:t>
            </w:r>
          </w:p>
        </w:tc>
        <w:tc>
          <w:tcPr>
            <w:tcW w:w="2268" w:type="dxa"/>
            <w:tcBorders>
              <w:top w:val="single" w:sz="4" w:space="0" w:color="auto"/>
            </w:tcBorders>
            <w:shd w:val="clear" w:color="auto" w:fill="FFFFFF"/>
            <w:noWrap/>
            <w:hideMark/>
          </w:tcPr>
          <w:p w14:paraId="02D941F8" w14:textId="77777777" w:rsidR="007E4183" w:rsidRPr="00021C4C" w:rsidRDefault="007E4183">
            <w:pPr>
              <w:jc w:val="center"/>
              <w:rPr>
                <w:rFonts w:ascii="Arial" w:hAnsi="Arial" w:cs="Arial"/>
                <w:lang w:eastAsia="en-ID"/>
              </w:rPr>
            </w:pPr>
            <w:r w:rsidRPr="00021C4C">
              <w:rPr>
                <w:rFonts w:ascii="Arial" w:hAnsi="Arial" w:cs="Arial"/>
                <w:lang w:eastAsia="en-ID"/>
              </w:rPr>
              <w:t>7.28±0.01</w:t>
            </w:r>
            <w:r w:rsidRPr="00021C4C">
              <w:rPr>
                <w:rFonts w:ascii="Arial" w:hAnsi="Arial" w:cs="Arial"/>
                <w:vertAlign w:val="superscript"/>
                <w:lang w:eastAsia="en-ID"/>
              </w:rPr>
              <w:t>a</w:t>
            </w:r>
          </w:p>
        </w:tc>
        <w:tc>
          <w:tcPr>
            <w:tcW w:w="2432" w:type="dxa"/>
            <w:tcBorders>
              <w:top w:val="single" w:sz="4" w:space="0" w:color="auto"/>
            </w:tcBorders>
            <w:shd w:val="clear" w:color="auto" w:fill="FFFFFF"/>
            <w:noWrap/>
            <w:hideMark/>
          </w:tcPr>
          <w:p w14:paraId="63C46776" w14:textId="77777777" w:rsidR="007E4183" w:rsidRPr="00021C4C" w:rsidRDefault="007E4183">
            <w:pPr>
              <w:jc w:val="center"/>
              <w:rPr>
                <w:rFonts w:ascii="Arial" w:hAnsi="Arial" w:cs="Arial"/>
                <w:lang w:eastAsia="en-ID"/>
              </w:rPr>
            </w:pPr>
            <w:r w:rsidRPr="00021C4C">
              <w:rPr>
                <w:rFonts w:ascii="Arial" w:hAnsi="Arial" w:cs="Arial"/>
                <w:lang w:eastAsia="en-ID"/>
              </w:rPr>
              <w:t>32.45±0.26</w:t>
            </w:r>
            <w:r w:rsidRPr="00021C4C">
              <w:rPr>
                <w:rFonts w:ascii="Arial" w:hAnsi="Arial" w:cs="Arial"/>
                <w:vertAlign w:val="superscript"/>
                <w:lang w:eastAsia="en-ID"/>
              </w:rPr>
              <w:t>a</w:t>
            </w:r>
          </w:p>
        </w:tc>
      </w:tr>
      <w:tr w:rsidR="00F8094C" w:rsidRPr="00021C4C" w14:paraId="0BE46D8E" w14:textId="77777777" w:rsidTr="00222922">
        <w:trPr>
          <w:trHeight w:val="294"/>
        </w:trPr>
        <w:tc>
          <w:tcPr>
            <w:tcW w:w="928" w:type="dxa"/>
            <w:vAlign w:val="center"/>
            <w:hideMark/>
          </w:tcPr>
          <w:p w14:paraId="2E613064" w14:textId="77777777" w:rsidR="00F8094C" w:rsidRPr="00222922" w:rsidRDefault="00F8094C" w:rsidP="00F8094C">
            <w:pPr>
              <w:jc w:val="center"/>
              <w:rPr>
                <w:rFonts w:ascii="Arial" w:hAnsi="Arial" w:cs="Arial"/>
                <w:highlight w:val="magenta"/>
                <w:lang w:eastAsia="en-ID"/>
              </w:rPr>
            </w:pPr>
            <w:r w:rsidRPr="00222922">
              <w:rPr>
                <w:rFonts w:ascii="Arial" w:hAnsi="Arial" w:cs="Arial"/>
                <w:highlight w:val="magenta"/>
                <w:lang w:eastAsia="en-ID"/>
              </w:rPr>
              <w:lastRenderedPageBreak/>
              <w:t xml:space="preserve">F1 </w:t>
            </w:r>
          </w:p>
        </w:tc>
        <w:tc>
          <w:tcPr>
            <w:tcW w:w="2505" w:type="dxa"/>
            <w:shd w:val="clear" w:color="auto" w:fill="FFFFFF"/>
            <w:noWrap/>
          </w:tcPr>
          <w:p w14:paraId="618A450B" w14:textId="34AA882A" w:rsidR="00F8094C" w:rsidRPr="00222922" w:rsidRDefault="00F8094C" w:rsidP="00222922">
            <w:pPr>
              <w:tabs>
                <w:tab w:val="center" w:pos="776"/>
              </w:tabs>
              <w:rPr>
                <w:rFonts w:ascii="Arial" w:hAnsi="Arial" w:cs="Arial"/>
                <w:highlight w:val="magenta"/>
                <w:lang w:eastAsia="en-ID"/>
              </w:rPr>
            </w:pPr>
            <w:r w:rsidRPr="000104D9">
              <w:rPr>
                <w:rFonts w:ascii="Arial" w:hAnsi="Arial" w:cs="Arial"/>
                <w:highlight w:val="magenta"/>
                <w:lang w:eastAsia="en-ID"/>
              </w:rPr>
              <w:t xml:space="preserve">           83.06±0.05</w:t>
            </w:r>
            <w:r w:rsidRPr="000104D9">
              <w:rPr>
                <w:rFonts w:ascii="Arial" w:hAnsi="Arial" w:cs="Arial"/>
                <w:highlight w:val="magenta"/>
                <w:vertAlign w:val="superscript"/>
                <w:lang w:eastAsia="en-ID"/>
              </w:rPr>
              <w:t>ab</w:t>
            </w:r>
          </w:p>
        </w:tc>
        <w:tc>
          <w:tcPr>
            <w:tcW w:w="2268" w:type="dxa"/>
            <w:shd w:val="clear" w:color="auto" w:fill="FFFFFF"/>
            <w:noWrap/>
          </w:tcPr>
          <w:p w14:paraId="10879EBD" w14:textId="7EBEE18C" w:rsidR="00F8094C" w:rsidRPr="00222922" w:rsidRDefault="00F8094C" w:rsidP="00F8094C">
            <w:pPr>
              <w:jc w:val="center"/>
              <w:rPr>
                <w:rFonts w:ascii="Arial" w:hAnsi="Arial" w:cs="Arial"/>
                <w:highlight w:val="magenta"/>
                <w:lang w:eastAsia="en-ID"/>
              </w:rPr>
            </w:pPr>
            <w:r w:rsidRPr="000104D9">
              <w:rPr>
                <w:rFonts w:ascii="Arial" w:hAnsi="Arial" w:cs="Arial"/>
                <w:highlight w:val="magenta"/>
                <w:lang w:eastAsia="en-ID"/>
              </w:rPr>
              <w:t>4.84±0.01</w:t>
            </w:r>
            <w:r w:rsidRPr="000104D9">
              <w:rPr>
                <w:rFonts w:ascii="Arial" w:hAnsi="Arial" w:cs="Arial"/>
                <w:highlight w:val="magenta"/>
                <w:vertAlign w:val="superscript"/>
                <w:lang w:eastAsia="en-ID"/>
              </w:rPr>
              <w:t>d</w:t>
            </w:r>
          </w:p>
        </w:tc>
        <w:tc>
          <w:tcPr>
            <w:tcW w:w="2432" w:type="dxa"/>
            <w:shd w:val="clear" w:color="auto" w:fill="FFFFFF"/>
            <w:noWrap/>
          </w:tcPr>
          <w:p w14:paraId="3DE16B76" w14:textId="4F3ADFDB" w:rsidR="00F8094C" w:rsidRPr="00222922" w:rsidRDefault="00F8094C" w:rsidP="00F8094C">
            <w:pPr>
              <w:jc w:val="center"/>
              <w:rPr>
                <w:rFonts w:ascii="Arial" w:hAnsi="Arial" w:cs="Arial"/>
                <w:highlight w:val="magenta"/>
                <w:lang w:eastAsia="en-ID"/>
              </w:rPr>
            </w:pPr>
            <w:r w:rsidRPr="000104D9">
              <w:rPr>
                <w:rFonts w:ascii="Arial" w:hAnsi="Arial" w:cs="Arial"/>
                <w:highlight w:val="magenta"/>
                <w:lang w:eastAsia="en-ID"/>
              </w:rPr>
              <w:t>26.78±0.24</w:t>
            </w:r>
            <w:r w:rsidRPr="000104D9">
              <w:rPr>
                <w:rFonts w:ascii="Arial" w:hAnsi="Arial" w:cs="Arial"/>
                <w:highlight w:val="magenta"/>
                <w:vertAlign w:val="superscript"/>
                <w:lang w:eastAsia="en-ID"/>
              </w:rPr>
              <w:t>ab</w:t>
            </w:r>
          </w:p>
        </w:tc>
      </w:tr>
      <w:tr w:rsidR="00F8094C" w:rsidRPr="00021C4C" w14:paraId="1D27465A" w14:textId="77777777" w:rsidTr="00222922">
        <w:trPr>
          <w:trHeight w:val="294"/>
        </w:trPr>
        <w:tc>
          <w:tcPr>
            <w:tcW w:w="928" w:type="dxa"/>
            <w:vAlign w:val="center"/>
            <w:hideMark/>
          </w:tcPr>
          <w:p w14:paraId="554B9256" w14:textId="77777777" w:rsidR="00F8094C" w:rsidRPr="00222922" w:rsidRDefault="00F8094C" w:rsidP="00F8094C">
            <w:pPr>
              <w:jc w:val="center"/>
              <w:rPr>
                <w:rFonts w:ascii="Arial" w:hAnsi="Arial" w:cs="Arial"/>
                <w:highlight w:val="magenta"/>
                <w:lang w:eastAsia="en-ID"/>
              </w:rPr>
            </w:pPr>
            <w:r w:rsidRPr="00222922">
              <w:rPr>
                <w:rFonts w:ascii="Arial" w:hAnsi="Arial" w:cs="Arial"/>
                <w:highlight w:val="magenta"/>
                <w:lang w:eastAsia="en-ID"/>
              </w:rPr>
              <w:t xml:space="preserve">F2 </w:t>
            </w:r>
          </w:p>
        </w:tc>
        <w:tc>
          <w:tcPr>
            <w:tcW w:w="2505" w:type="dxa"/>
            <w:shd w:val="clear" w:color="auto" w:fill="FFFFFF"/>
            <w:noWrap/>
          </w:tcPr>
          <w:p w14:paraId="4F39DE75" w14:textId="4D422420" w:rsidR="00F8094C" w:rsidRPr="00222922" w:rsidRDefault="00F8094C" w:rsidP="00F8094C">
            <w:pPr>
              <w:jc w:val="center"/>
              <w:rPr>
                <w:rFonts w:ascii="Arial" w:hAnsi="Arial" w:cs="Arial"/>
                <w:highlight w:val="magenta"/>
                <w:lang w:eastAsia="en-ID"/>
              </w:rPr>
            </w:pPr>
            <w:r w:rsidRPr="000104D9">
              <w:rPr>
                <w:rFonts w:ascii="Arial" w:hAnsi="Arial" w:cs="Arial"/>
                <w:highlight w:val="magenta"/>
                <w:lang w:eastAsia="en-ID"/>
              </w:rPr>
              <w:t>83.71±0.01</w:t>
            </w:r>
            <w:r w:rsidRPr="000104D9">
              <w:rPr>
                <w:rFonts w:ascii="Arial" w:hAnsi="Arial" w:cs="Arial"/>
                <w:highlight w:val="magenta"/>
                <w:vertAlign w:val="superscript"/>
                <w:lang w:eastAsia="en-ID"/>
              </w:rPr>
              <w:t>b</w:t>
            </w:r>
          </w:p>
        </w:tc>
        <w:tc>
          <w:tcPr>
            <w:tcW w:w="2268" w:type="dxa"/>
            <w:shd w:val="clear" w:color="auto" w:fill="FFFFFF"/>
            <w:noWrap/>
          </w:tcPr>
          <w:p w14:paraId="7A1819F3" w14:textId="691D552D" w:rsidR="00F8094C" w:rsidRPr="00222922" w:rsidRDefault="00F8094C" w:rsidP="00F8094C">
            <w:pPr>
              <w:jc w:val="center"/>
              <w:rPr>
                <w:rFonts w:ascii="Arial" w:hAnsi="Arial" w:cs="Arial"/>
                <w:highlight w:val="magenta"/>
                <w:lang w:eastAsia="en-ID"/>
              </w:rPr>
            </w:pPr>
            <w:r w:rsidRPr="000104D9">
              <w:rPr>
                <w:rFonts w:ascii="Arial" w:hAnsi="Arial" w:cs="Arial"/>
                <w:highlight w:val="magenta"/>
                <w:lang w:eastAsia="en-ID"/>
              </w:rPr>
              <w:t>4.36±0.04</w:t>
            </w:r>
            <w:r w:rsidRPr="000104D9">
              <w:rPr>
                <w:rFonts w:ascii="Arial" w:hAnsi="Arial" w:cs="Arial"/>
                <w:highlight w:val="magenta"/>
                <w:vertAlign w:val="superscript"/>
                <w:lang w:eastAsia="en-ID"/>
              </w:rPr>
              <w:t>cd</w:t>
            </w:r>
          </w:p>
        </w:tc>
        <w:tc>
          <w:tcPr>
            <w:tcW w:w="2432" w:type="dxa"/>
            <w:shd w:val="clear" w:color="auto" w:fill="FFFFFF"/>
            <w:noWrap/>
          </w:tcPr>
          <w:p w14:paraId="09A86B41" w14:textId="76E0DD35" w:rsidR="00F8094C" w:rsidRPr="00222922" w:rsidRDefault="00F8094C" w:rsidP="00F8094C">
            <w:pPr>
              <w:jc w:val="center"/>
              <w:rPr>
                <w:rFonts w:ascii="Arial" w:hAnsi="Arial" w:cs="Arial"/>
                <w:highlight w:val="magenta"/>
                <w:lang w:eastAsia="en-ID"/>
              </w:rPr>
            </w:pPr>
            <w:r w:rsidRPr="000104D9">
              <w:rPr>
                <w:rFonts w:ascii="Arial" w:hAnsi="Arial" w:cs="Arial"/>
                <w:highlight w:val="magenta"/>
                <w:lang w:eastAsia="en-ID"/>
              </w:rPr>
              <w:t>26.8±0.46</w:t>
            </w:r>
            <w:r w:rsidRPr="000104D9">
              <w:rPr>
                <w:rFonts w:ascii="Arial" w:hAnsi="Arial" w:cs="Arial"/>
                <w:highlight w:val="magenta"/>
                <w:vertAlign w:val="superscript"/>
                <w:lang w:eastAsia="en-ID"/>
              </w:rPr>
              <w:t>bc</w:t>
            </w:r>
          </w:p>
        </w:tc>
      </w:tr>
      <w:tr w:rsidR="00F8094C" w:rsidRPr="00021C4C" w14:paraId="3C4BC434" w14:textId="77777777" w:rsidTr="00222922">
        <w:trPr>
          <w:trHeight w:val="294"/>
        </w:trPr>
        <w:tc>
          <w:tcPr>
            <w:tcW w:w="928" w:type="dxa"/>
            <w:vAlign w:val="center"/>
            <w:hideMark/>
          </w:tcPr>
          <w:p w14:paraId="06C2A4D8" w14:textId="77777777" w:rsidR="00F8094C" w:rsidRPr="00222922" w:rsidRDefault="00F8094C" w:rsidP="00F8094C">
            <w:pPr>
              <w:jc w:val="center"/>
              <w:rPr>
                <w:rFonts w:ascii="Arial" w:hAnsi="Arial" w:cs="Arial"/>
                <w:highlight w:val="magenta"/>
                <w:lang w:eastAsia="en-ID"/>
              </w:rPr>
            </w:pPr>
            <w:r w:rsidRPr="00222922">
              <w:rPr>
                <w:rFonts w:ascii="Arial" w:hAnsi="Arial" w:cs="Arial"/>
                <w:highlight w:val="magenta"/>
                <w:lang w:eastAsia="en-ID"/>
              </w:rPr>
              <w:t xml:space="preserve">F3 </w:t>
            </w:r>
          </w:p>
        </w:tc>
        <w:tc>
          <w:tcPr>
            <w:tcW w:w="2505" w:type="dxa"/>
            <w:shd w:val="clear" w:color="auto" w:fill="FFFFFF"/>
            <w:noWrap/>
          </w:tcPr>
          <w:p w14:paraId="743AA425" w14:textId="482B43CA" w:rsidR="00F8094C" w:rsidRPr="00222922" w:rsidRDefault="00F8094C" w:rsidP="00F8094C">
            <w:pPr>
              <w:jc w:val="center"/>
              <w:rPr>
                <w:rFonts w:ascii="Arial" w:hAnsi="Arial" w:cs="Arial"/>
                <w:highlight w:val="magenta"/>
                <w:lang w:eastAsia="en-ID"/>
              </w:rPr>
            </w:pPr>
            <w:r w:rsidRPr="000104D9">
              <w:rPr>
                <w:rFonts w:ascii="Arial" w:hAnsi="Arial" w:cs="Arial"/>
                <w:highlight w:val="magenta"/>
                <w:lang w:eastAsia="en-ID"/>
              </w:rPr>
              <w:t>85.05±0.03</w:t>
            </w:r>
            <w:r w:rsidRPr="000104D9">
              <w:rPr>
                <w:rFonts w:ascii="Arial" w:hAnsi="Arial" w:cs="Arial"/>
                <w:highlight w:val="magenta"/>
                <w:vertAlign w:val="superscript"/>
                <w:lang w:eastAsia="en-ID"/>
              </w:rPr>
              <w:t>b</w:t>
            </w:r>
          </w:p>
        </w:tc>
        <w:tc>
          <w:tcPr>
            <w:tcW w:w="2268" w:type="dxa"/>
            <w:shd w:val="clear" w:color="auto" w:fill="FFFFFF"/>
            <w:noWrap/>
          </w:tcPr>
          <w:p w14:paraId="08B809B2" w14:textId="762D2CDF" w:rsidR="00F8094C" w:rsidRPr="00222922" w:rsidRDefault="00F8094C" w:rsidP="00F8094C">
            <w:pPr>
              <w:jc w:val="center"/>
              <w:rPr>
                <w:rFonts w:ascii="Arial" w:hAnsi="Arial" w:cs="Arial"/>
                <w:highlight w:val="magenta"/>
                <w:lang w:eastAsia="en-ID"/>
              </w:rPr>
            </w:pPr>
            <w:r w:rsidRPr="000104D9">
              <w:rPr>
                <w:rFonts w:ascii="Arial" w:hAnsi="Arial" w:cs="Arial"/>
                <w:highlight w:val="magenta"/>
                <w:lang w:eastAsia="en-ID"/>
              </w:rPr>
              <w:t>3.85±0.02</w:t>
            </w:r>
            <w:r w:rsidRPr="000104D9">
              <w:rPr>
                <w:rFonts w:ascii="Arial" w:hAnsi="Arial" w:cs="Arial"/>
                <w:highlight w:val="magenta"/>
                <w:vertAlign w:val="superscript"/>
                <w:lang w:eastAsia="en-ID"/>
              </w:rPr>
              <w:t>ab</w:t>
            </w:r>
          </w:p>
        </w:tc>
        <w:tc>
          <w:tcPr>
            <w:tcW w:w="2432" w:type="dxa"/>
            <w:shd w:val="clear" w:color="auto" w:fill="FFFFFF"/>
            <w:noWrap/>
          </w:tcPr>
          <w:p w14:paraId="175894A9" w14:textId="520A45DE" w:rsidR="00F8094C" w:rsidRPr="00222922" w:rsidRDefault="00F8094C" w:rsidP="00F8094C">
            <w:pPr>
              <w:jc w:val="center"/>
              <w:rPr>
                <w:rFonts w:ascii="Arial" w:hAnsi="Arial" w:cs="Arial"/>
                <w:highlight w:val="magenta"/>
                <w:lang w:eastAsia="en-ID"/>
              </w:rPr>
            </w:pPr>
            <w:r w:rsidRPr="000104D9">
              <w:rPr>
                <w:rFonts w:ascii="Arial" w:hAnsi="Arial" w:cs="Arial"/>
                <w:highlight w:val="magenta"/>
                <w:lang w:eastAsia="en-ID"/>
              </w:rPr>
              <w:t>25.75±0.36</w:t>
            </w:r>
            <w:r w:rsidRPr="000104D9">
              <w:rPr>
                <w:rFonts w:ascii="Arial" w:hAnsi="Arial" w:cs="Arial"/>
                <w:highlight w:val="magenta"/>
                <w:vertAlign w:val="superscript"/>
                <w:lang w:eastAsia="en-ID"/>
              </w:rPr>
              <w:t>c</w:t>
            </w:r>
          </w:p>
        </w:tc>
      </w:tr>
      <w:tr w:rsidR="00F8094C" w:rsidRPr="00021C4C" w14:paraId="2F875DC9" w14:textId="77777777" w:rsidTr="00222922">
        <w:trPr>
          <w:trHeight w:val="237"/>
        </w:trPr>
        <w:tc>
          <w:tcPr>
            <w:tcW w:w="928" w:type="dxa"/>
            <w:vAlign w:val="center"/>
            <w:hideMark/>
          </w:tcPr>
          <w:p w14:paraId="41B2CA32" w14:textId="77777777" w:rsidR="00F8094C" w:rsidRPr="00222922" w:rsidRDefault="00F8094C" w:rsidP="00F8094C">
            <w:pPr>
              <w:jc w:val="center"/>
              <w:rPr>
                <w:rFonts w:ascii="Arial" w:hAnsi="Arial" w:cs="Arial"/>
                <w:highlight w:val="magenta"/>
                <w:lang w:eastAsia="en-ID"/>
              </w:rPr>
            </w:pPr>
            <w:r w:rsidRPr="00222922">
              <w:rPr>
                <w:rFonts w:ascii="Arial" w:hAnsi="Arial" w:cs="Arial"/>
                <w:highlight w:val="magenta"/>
                <w:lang w:eastAsia="en-ID"/>
              </w:rPr>
              <w:t>F4</w:t>
            </w:r>
          </w:p>
        </w:tc>
        <w:tc>
          <w:tcPr>
            <w:tcW w:w="2505" w:type="dxa"/>
            <w:shd w:val="clear" w:color="auto" w:fill="FFFFFF"/>
            <w:noWrap/>
          </w:tcPr>
          <w:p w14:paraId="0303A8B3" w14:textId="4E0AB7EF" w:rsidR="00F8094C" w:rsidRPr="00222922" w:rsidRDefault="00F8094C" w:rsidP="00F8094C">
            <w:pPr>
              <w:jc w:val="center"/>
              <w:rPr>
                <w:rFonts w:ascii="Arial" w:hAnsi="Arial" w:cs="Arial"/>
                <w:highlight w:val="magenta"/>
                <w:lang w:eastAsia="en-ID"/>
              </w:rPr>
            </w:pPr>
            <w:r w:rsidRPr="00222922">
              <w:rPr>
                <w:rFonts w:ascii="Arial" w:hAnsi="Arial" w:cs="Arial"/>
                <w:highlight w:val="magenta"/>
                <w:lang w:eastAsia="en-ID"/>
              </w:rPr>
              <w:t>81.10±0.18</w:t>
            </w:r>
            <w:r w:rsidRPr="00222922">
              <w:rPr>
                <w:rFonts w:ascii="Arial" w:hAnsi="Arial" w:cs="Arial"/>
                <w:highlight w:val="magenta"/>
                <w:vertAlign w:val="superscript"/>
                <w:lang w:eastAsia="en-ID"/>
              </w:rPr>
              <w:t>ab</w:t>
            </w:r>
          </w:p>
        </w:tc>
        <w:tc>
          <w:tcPr>
            <w:tcW w:w="2268" w:type="dxa"/>
            <w:shd w:val="clear" w:color="auto" w:fill="FFFFFF"/>
            <w:noWrap/>
          </w:tcPr>
          <w:p w14:paraId="3E6B87E9" w14:textId="6EDC6DAF" w:rsidR="00F8094C" w:rsidRPr="00222922" w:rsidRDefault="00F8094C" w:rsidP="00F8094C">
            <w:pPr>
              <w:jc w:val="center"/>
              <w:rPr>
                <w:rFonts w:ascii="Arial" w:hAnsi="Arial" w:cs="Arial"/>
                <w:highlight w:val="magenta"/>
                <w:lang w:eastAsia="en-ID"/>
              </w:rPr>
            </w:pPr>
            <w:r w:rsidRPr="00222922">
              <w:rPr>
                <w:rFonts w:ascii="Arial" w:hAnsi="Arial" w:cs="Arial"/>
                <w:highlight w:val="magenta"/>
                <w:lang w:eastAsia="en-ID"/>
              </w:rPr>
              <w:t>3.99±0.03</w:t>
            </w:r>
            <w:r w:rsidRPr="00222922">
              <w:rPr>
                <w:rFonts w:ascii="Arial" w:hAnsi="Arial" w:cs="Arial"/>
                <w:highlight w:val="magenta"/>
                <w:vertAlign w:val="superscript"/>
                <w:lang w:eastAsia="en-ID"/>
              </w:rPr>
              <w:t>ab</w:t>
            </w:r>
          </w:p>
        </w:tc>
        <w:tc>
          <w:tcPr>
            <w:tcW w:w="2432" w:type="dxa"/>
            <w:shd w:val="clear" w:color="auto" w:fill="FFFFFF"/>
            <w:noWrap/>
          </w:tcPr>
          <w:p w14:paraId="3E49C7EB" w14:textId="63EF7F1C" w:rsidR="00F8094C" w:rsidRPr="00222922" w:rsidRDefault="00F8094C" w:rsidP="00F8094C">
            <w:pPr>
              <w:jc w:val="center"/>
              <w:rPr>
                <w:rFonts w:ascii="Arial" w:hAnsi="Arial" w:cs="Arial"/>
                <w:highlight w:val="magenta"/>
                <w:lang w:eastAsia="en-ID"/>
              </w:rPr>
            </w:pPr>
            <w:r w:rsidRPr="00222922">
              <w:rPr>
                <w:rFonts w:ascii="Arial" w:hAnsi="Arial" w:cs="Arial"/>
                <w:highlight w:val="magenta"/>
                <w:lang w:eastAsia="en-ID"/>
              </w:rPr>
              <w:t>27.04±0.16</w:t>
            </w:r>
            <w:r w:rsidRPr="00222922">
              <w:rPr>
                <w:rFonts w:ascii="Arial" w:hAnsi="Arial" w:cs="Arial"/>
                <w:highlight w:val="magenta"/>
                <w:vertAlign w:val="superscript"/>
                <w:lang w:eastAsia="en-ID"/>
              </w:rPr>
              <w:t>b</w:t>
            </w:r>
          </w:p>
        </w:tc>
      </w:tr>
      <w:tr w:rsidR="00F8094C" w:rsidRPr="00021C4C" w14:paraId="750B2BAE" w14:textId="77777777" w:rsidTr="00222922">
        <w:trPr>
          <w:trHeight w:val="282"/>
        </w:trPr>
        <w:tc>
          <w:tcPr>
            <w:tcW w:w="928" w:type="dxa"/>
            <w:vAlign w:val="center"/>
            <w:hideMark/>
          </w:tcPr>
          <w:p w14:paraId="7725B292" w14:textId="77777777" w:rsidR="00F8094C" w:rsidRPr="00222922" w:rsidRDefault="00F8094C" w:rsidP="00F8094C">
            <w:pPr>
              <w:jc w:val="center"/>
              <w:rPr>
                <w:rFonts w:ascii="Arial" w:hAnsi="Arial" w:cs="Arial"/>
                <w:highlight w:val="magenta"/>
                <w:lang w:eastAsia="en-ID"/>
              </w:rPr>
            </w:pPr>
            <w:r w:rsidRPr="00222922">
              <w:rPr>
                <w:rFonts w:ascii="Arial" w:hAnsi="Arial" w:cs="Arial"/>
                <w:highlight w:val="magenta"/>
                <w:lang w:eastAsia="en-ID"/>
              </w:rPr>
              <w:t xml:space="preserve">F5 </w:t>
            </w:r>
          </w:p>
        </w:tc>
        <w:tc>
          <w:tcPr>
            <w:tcW w:w="2505" w:type="dxa"/>
            <w:shd w:val="clear" w:color="auto" w:fill="FFFFFF"/>
            <w:noWrap/>
          </w:tcPr>
          <w:p w14:paraId="7C4080F9" w14:textId="02D6E09E" w:rsidR="00F8094C" w:rsidRPr="00222922" w:rsidRDefault="00F8094C" w:rsidP="00F8094C">
            <w:pPr>
              <w:jc w:val="center"/>
              <w:rPr>
                <w:rFonts w:ascii="Arial" w:hAnsi="Arial" w:cs="Arial"/>
                <w:highlight w:val="magenta"/>
                <w:lang w:eastAsia="en-ID"/>
              </w:rPr>
            </w:pPr>
            <w:r w:rsidRPr="00222922">
              <w:rPr>
                <w:rFonts w:ascii="Arial" w:hAnsi="Arial" w:cs="Arial"/>
                <w:highlight w:val="magenta"/>
                <w:lang w:eastAsia="en-ID"/>
              </w:rPr>
              <w:t>80.75±0.25</w:t>
            </w:r>
            <w:r w:rsidRPr="00222922">
              <w:rPr>
                <w:rFonts w:ascii="Arial" w:hAnsi="Arial" w:cs="Arial"/>
                <w:highlight w:val="magenta"/>
                <w:vertAlign w:val="superscript"/>
                <w:lang w:eastAsia="en-ID"/>
              </w:rPr>
              <w:t>ab</w:t>
            </w:r>
          </w:p>
        </w:tc>
        <w:tc>
          <w:tcPr>
            <w:tcW w:w="2268" w:type="dxa"/>
            <w:shd w:val="clear" w:color="auto" w:fill="FFFFFF"/>
            <w:noWrap/>
          </w:tcPr>
          <w:p w14:paraId="51A0CD10" w14:textId="5A5C72D3" w:rsidR="00F8094C" w:rsidRPr="00222922" w:rsidRDefault="00F8094C" w:rsidP="00F8094C">
            <w:pPr>
              <w:jc w:val="center"/>
              <w:rPr>
                <w:rFonts w:ascii="Arial" w:hAnsi="Arial" w:cs="Arial"/>
                <w:highlight w:val="magenta"/>
                <w:lang w:eastAsia="en-ID"/>
              </w:rPr>
            </w:pPr>
            <w:r w:rsidRPr="00222922">
              <w:rPr>
                <w:rFonts w:ascii="Arial" w:hAnsi="Arial" w:cs="Arial"/>
                <w:highlight w:val="magenta"/>
                <w:lang w:eastAsia="en-ID"/>
              </w:rPr>
              <w:t>3.54±0.03</w:t>
            </w:r>
            <w:r w:rsidRPr="00222922">
              <w:rPr>
                <w:rFonts w:ascii="Arial" w:hAnsi="Arial" w:cs="Arial"/>
                <w:highlight w:val="magenta"/>
                <w:vertAlign w:val="superscript"/>
                <w:lang w:eastAsia="en-ID"/>
              </w:rPr>
              <w:t>bc</w:t>
            </w:r>
          </w:p>
        </w:tc>
        <w:tc>
          <w:tcPr>
            <w:tcW w:w="2432" w:type="dxa"/>
            <w:shd w:val="clear" w:color="auto" w:fill="FFFFFF"/>
            <w:noWrap/>
          </w:tcPr>
          <w:p w14:paraId="20E7BB5A" w14:textId="58D2E385" w:rsidR="00F8094C" w:rsidRPr="00222922" w:rsidRDefault="00F8094C" w:rsidP="00F8094C">
            <w:pPr>
              <w:jc w:val="center"/>
              <w:rPr>
                <w:rFonts w:ascii="Arial" w:hAnsi="Arial" w:cs="Arial"/>
                <w:highlight w:val="magenta"/>
                <w:lang w:eastAsia="en-ID"/>
              </w:rPr>
            </w:pPr>
            <w:r w:rsidRPr="00222922">
              <w:rPr>
                <w:rFonts w:ascii="Arial" w:hAnsi="Arial" w:cs="Arial"/>
                <w:highlight w:val="magenta"/>
                <w:lang w:eastAsia="en-ID"/>
              </w:rPr>
              <w:t>26.34±0.39</w:t>
            </w:r>
            <w:r w:rsidRPr="00222922">
              <w:rPr>
                <w:rFonts w:ascii="Arial" w:hAnsi="Arial" w:cs="Arial"/>
                <w:highlight w:val="magenta"/>
                <w:vertAlign w:val="superscript"/>
                <w:lang w:eastAsia="en-ID"/>
              </w:rPr>
              <w:t>ab</w:t>
            </w:r>
          </w:p>
        </w:tc>
      </w:tr>
      <w:tr w:rsidR="00F8094C" w:rsidRPr="00021C4C" w14:paraId="7D761650" w14:textId="77777777" w:rsidTr="00222922">
        <w:trPr>
          <w:trHeight w:val="273"/>
        </w:trPr>
        <w:tc>
          <w:tcPr>
            <w:tcW w:w="928" w:type="dxa"/>
            <w:vAlign w:val="center"/>
            <w:hideMark/>
          </w:tcPr>
          <w:p w14:paraId="4897B70F" w14:textId="77777777" w:rsidR="00F8094C" w:rsidRPr="00222922" w:rsidRDefault="00F8094C" w:rsidP="00F8094C">
            <w:pPr>
              <w:jc w:val="center"/>
              <w:rPr>
                <w:rFonts w:ascii="Arial" w:hAnsi="Arial" w:cs="Arial"/>
                <w:highlight w:val="magenta"/>
                <w:lang w:eastAsia="en-ID"/>
              </w:rPr>
            </w:pPr>
            <w:r w:rsidRPr="00222922">
              <w:rPr>
                <w:rFonts w:ascii="Arial" w:hAnsi="Arial" w:cs="Arial"/>
                <w:highlight w:val="magenta"/>
                <w:lang w:eastAsia="en-ID"/>
              </w:rPr>
              <w:t>F6</w:t>
            </w:r>
          </w:p>
        </w:tc>
        <w:tc>
          <w:tcPr>
            <w:tcW w:w="2505" w:type="dxa"/>
            <w:shd w:val="clear" w:color="auto" w:fill="FFFFFF"/>
            <w:noWrap/>
          </w:tcPr>
          <w:p w14:paraId="7F56963C" w14:textId="246E5E50" w:rsidR="00F8094C" w:rsidRPr="00222922" w:rsidRDefault="00F8094C" w:rsidP="00F8094C">
            <w:pPr>
              <w:jc w:val="center"/>
              <w:rPr>
                <w:rFonts w:ascii="Arial" w:hAnsi="Arial" w:cs="Arial"/>
                <w:highlight w:val="magenta"/>
                <w:lang w:eastAsia="en-ID"/>
              </w:rPr>
            </w:pPr>
            <w:r w:rsidRPr="00222922">
              <w:rPr>
                <w:rFonts w:ascii="Arial" w:hAnsi="Arial" w:cs="Arial"/>
                <w:highlight w:val="magenta"/>
                <w:lang w:eastAsia="en-ID"/>
              </w:rPr>
              <w:t>81.28±0.20</w:t>
            </w:r>
            <w:r w:rsidRPr="00222922">
              <w:rPr>
                <w:rFonts w:ascii="Arial" w:hAnsi="Arial" w:cs="Arial"/>
                <w:highlight w:val="magenta"/>
                <w:vertAlign w:val="superscript"/>
                <w:lang w:eastAsia="en-ID"/>
              </w:rPr>
              <w:t>ab</w:t>
            </w:r>
          </w:p>
        </w:tc>
        <w:tc>
          <w:tcPr>
            <w:tcW w:w="2268" w:type="dxa"/>
            <w:shd w:val="clear" w:color="auto" w:fill="FFFFFF"/>
            <w:noWrap/>
          </w:tcPr>
          <w:p w14:paraId="37CE6931" w14:textId="5594DA50" w:rsidR="00F8094C" w:rsidRPr="00222922" w:rsidRDefault="00F8094C" w:rsidP="00F8094C">
            <w:pPr>
              <w:jc w:val="center"/>
              <w:rPr>
                <w:rFonts w:ascii="Arial" w:hAnsi="Arial" w:cs="Arial"/>
                <w:highlight w:val="magenta"/>
                <w:lang w:eastAsia="en-ID"/>
              </w:rPr>
            </w:pPr>
            <w:r w:rsidRPr="00222922">
              <w:rPr>
                <w:rFonts w:ascii="Arial" w:hAnsi="Arial" w:cs="Arial"/>
                <w:highlight w:val="magenta"/>
                <w:lang w:eastAsia="en-ID"/>
              </w:rPr>
              <w:t>3.1±0.03</w:t>
            </w:r>
            <w:r w:rsidRPr="00222922">
              <w:rPr>
                <w:rFonts w:ascii="Arial" w:hAnsi="Arial" w:cs="Arial"/>
                <w:highlight w:val="magenta"/>
                <w:vertAlign w:val="superscript"/>
                <w:lang w:eastAsia="en-ID"/>
              </w:rPr>
              <w:t>cd</w:t>
            </w:r>
          </w:p>
        </w:tc>
        <w:tc>
          <w:tcPr>
            <w:tcW w:w="2432" w:type="dxa"/>
            <w:shd w:val="clear" w:color="auto" w:fill="FFFFFF"/>
            <w:noWrap/>
          </w:tcPr>
          <w:p w14:paraId="04A65E23" w14:textId="604BB1C5" w:rsidR="00F8094C" w:rsidRPr="00222922" w:rsidRDefault="00F8094C" w:rsidP="00F8094C">
            <w:pPr>
              <w:jc w:val="center"/>
              <w:rPr>
                <w:rFonts w:ascii="Arial" w:hAnsi="Arial" w:cs="Arial"/>
                <w:highlight w:val="magenta"/>
                <w:lang w:eastAsia="en-ID"/>
              </w:rPr>
            </w:pPr>
            <w:r w:rsidRPr="00222922">
              <w:rPr>
                <w:rFonts w:ascii="Arial" w:hAnsi="Arial" w:cs="Arial"/>
                <w:highlight w:val="magenta"/>
                <w:lang w:eastAsia="en-ID"/>
              </w:rPr>
              <w:t>23.89±0.29</w:t>
            </w:r>
            <w:r w:rsidRPr="00222922">
              <w:rPr>
                <w:rFonts w:ascii="Arial" w:hAnsi="Arial" w:cs="Arial"/>
                <w:highlight w:val="magenta"/>
                <w:vertAlign w:val="superscript"/>
                <w:lang w:eastAsia="en-ID"/>
              </w:rPr>
              <w:t>c</w:t>
            </w:r>
          </w:p>
        </w:tc>
      </w:tr>
    </w:tbl>
    <w:p w14:paraId="44186128" w14:textId="5098F93C" w:rsidR="007E4183" w:rsidRPr="00222922" w:rsidRDefault="007E4183" w:rsidP="007E4183">
      <w:pPr>
        <w:ind w:right="2254"/>
        <w:jc w:val="both"/>
        <w:rPr>
          <w:rFonts w:ascii="Arial" w:eastAsia="Calibri" w:hAnsi="Arial" w:cs="Arial"/>
          <w:i/>
          <w:iCs/>
          <w:sz w:val="18"/>
          <w:szCs w:val="18"/>
        </w:rPr>
      </w:pPr>
      <w:r w:rsidRPr="00A65210">
        <w:rPr>
          <w:rFonts w:ascii="Arial" w:eastAsia="Calibri" w:hAnsi="Arial" w:cs="Arial"/>
          <w:i/>
          <w:iCs/>
          <w:sz w:val="18"/>
          <w:szCs w:val="18"/>
        </w:rPr>
        <w:t>*The data were presented</w:t>
      </w:r>
      <w:r w:rsidRPr="00A65210">
        <w:rPr>
          <w:rFonts w:ascii="Arial" w:eastAsia="Calibri" w:hAnsi="Arial" w:cs="Arial"/>
          <w:i/>
          <w:iCs/>
          <w:sz w:val="18"/>
          <w:szCs w:val="18"/>
        </w:rPr>
        <w:t> </w:t>
      </w:r>
      <w:r w:rsidRPr="00A65210">
        <w:rPr>
          <w:rFonts w:ascii="Arial" w:eastAsia="Calibri" w:hAnsi="Arial" w:cs="Arial"/>
          <w:i/>
          <w:iCs/>
          <w:sz w:val="18"/>
          <w:szCs w:val="18"/>
        </w:rPr>
        <w:t>as mean ± SD (n=3). Means</w:t>
      </w:r>
      <w:r w:rsidRPr="00A65210">
        <w:rPr>
          <w:rFonts w:ascii="Arial" w:eastAsia="Calibri" w:hAnsi="Arial" w:cs="Arial"/>
          <w:i/>
          <w:iCs/>
          <w:sz w:val="18"/>
          <w:szCs w:val="18"/>
        </w:rPr>
        <w:t> </w:t>
      </w:r>
      <w:r w:rsidRPr="00A65210">
        <w:rPr>
          <w:rFonts w:ascii="Arial" w:eastAsia="Calibri" w:hAnsi="Arial" w:cs="Arial"/>
          <w:i/>
          <w:iCs/>
          <w:sz w:val="18"/>
          <w:szCs w:val="18"/>
        </w:rPr>
        <w:t>followed by different letters in the same column were significantly different (p &lt; 0.05) when determined using Kruskal-</w:t>
      </w:r>
      <w:r w:rsidR="004A37B2" w:rsidRPr="00A65210">
        <w:rPr>
          <w:rFonts w:ascii="Arial" w:eastAsia="Calibri" w:hAnsi="Arial" w:cs="Arial"/>
          <w:i/>
          <w:iCs/>
          <w:sz w:val="18"/>
          <w:szCs w:val="18"/>
        </w:rPr>
        <w:t>Wallis’s</w:t>
      </w:r>
      <w:r w:rsidRPr="00A65210">
        <w:rPr>
          <w:rFonts w:ascii="Arial" w:eastAsia="Calibri" w:hAnsi="Arial" w:cs="Arial"/>
          <w:i/>
          <w:iCs/>
          <w:sz w:val="18"/>
          <w:szCs w:val="18"/>
        </w:rPr>
        <w:t xml:space="preserve"> </w:t>
      </w:r>
      <w:r w:rsidR="004A37B2" w:rsidRPr="00A65210">
        <w:rPr>
          <w:rFonts w:ascii="Arial" w:eastAsia="Calibri" w:hAnsi="Arial" w:cs="Arial"/>
          <w:i/>
          <w:iCs/>
          <w:sz w:val="18"/>
          <w:szCs w:val="18"/>
        </w:rPr>
        <w:t>test, and</w:t>
      </w:r>
      <w:r w:rsidRPr="00A65210">
        <w:rPr>
          <w:rFonts w:ascii="Arial" w:eastAsia="Calibri" w:hAnsi="Arial" w:cs="Arial"/>
          <w:i/>
          <w:iCs/>
          <w:sz w:val="18"/>
          <w:szCs w:val="18"/>
        </w:rPr>
        <w:t xml:space="preserve"> further analyzed using Dunn's test with a Bonferroni correction</w:t>
      </w:r>
      <w:r w:rsidRPr="003F0883">
        <w:rPr>
          <w:rFonts w:ascii="Arial" w:eastAsia="Calibri" w:hAnsi="Arial" w:cs="Arial"/>
          <w:sz w:val="18"/>
          <w:szCs w:val="18"/>
        </w:rPr>
        <w:t>.</w:t>
      </w:r>
      <w:r w:rsidR="00D378C1">
        <w:rPr>
          <w:rFonts w:ascii="Arial" w:eastAsia="Calibri" w:hAnsi="Arial" w:cs="Arial"/>
          <w:sz w:val="18"/>
          <w:szCs w:val="18"/>
        </w:rPr>
        <w:t xml:space="preserve"> </w:t>
      </w:r>
      <w:r w:rsidR="00D378C1" w:rsidRPr="00222922">
        <w:rPr>
          <w:rFonts w:ascii="Arial" w:eastAsia="Calibri" w:hAnsi="Arial" w:cs="Arial"/>
          <w:i/>
          <w:iCs/>
          <w:sz w:val="18"/>
          <w:szCs w:val="18"/>
          <w:highlight w:val="green"/>
        </w:rPr>
        <w:t>Source: Data generated in the present study (2025)</w:t>
      </w:r>
      <w:r w:rsidR="004A37B2" w:rsidRPr="00222922">
        <w:rPr>
          <w:rFonts w:ascii="Arial" w:eastAsia="Calibri" w:hAnsi="Arial" w:cs="Arial"/>
          <w:i/>
          <w:iCs/>
          <w:sz w:val="18"/>
          <w:szCs w:val="18"/>
          <w:highlight w:val="green"/>
        </w:rPr>
        <w:t>.</w:t>
      </w:r>
    </w:p>
    <w:p w14:paraId="7B3B7211" w14:textId="77777777" w:rsidR="00CE1AF2" w:rsidRDefault="00CE1AF2" w:rsidP="00441B6F">
      <w:pPr>
        <w:pStyle w:val="Body"/>
        <w:spacing w:after="0"/>
        <w:rPr>
          <w:rFonts w:ascii="Times New Roman" w:hAnsi="Times New Roman"/>
        </w:rPr>
      </w:pPr>
    </w:p>
    <w:p w14:paraId="75CFD051" w14:textId="6300F0A8" w:rsidR="007E4183" w:rsidRDefault="00F9310C" w:rsidP="00F9310C">
      <w:pPr>
        <w:pStyle w:val="Color"/>
      </w:pPr>
      <w:r w:rsidRPr="00F9310C">
        <w:t>Dissolution time tests</w:t>
      </w:r>
    </w:p>
    <w:p w14:paraId="5D106EBF" w14:textId="51005DC1" w:rsidR="00F9310C" w:rsidRPr="00F9310C" w:rsidRDefault="00F9310C" w:rsidP="00021C4C">
      <w:pPr>
        <w:pStyle w:val="Body"/>
        <w:spacing w:after="0" w:line="480" w:lineRule="auto"/>
        <w:rPr>
          <w:rFonts w:ascii="Arial" w:hAnsi="Arial" w:cs="Arial"/>
        </w:rPr>
      </w:pPr>
      <w:r>
        <w:rPr>
          <w:rFonts w:ascii="Arial" w:hAnsi="Arial" w:cs="Arial"/>
        </w:rPr>
        <w:tab/>
      </w:r>
      <w:r w:rsidRPr="00F9310C">
        <w:rPr>
          <w:rFonts w:ascii="Arial" w:hAnsi="Arial" w:cs="Arial"/>
        </w:rPr>
        <w:t>Furthermore, dissolving time results</w:t>
      </w:r>
      <w:r>
        <w:rPr>
          <w:rFonts w:ascii="Arial" w:hAnsi="Arial" w:cs="Arial"/>
        </w:rPr>
        <w:t xml:space="preserve"> </w:t>
      </w:r>
      <w:r w:rsidRPr="00F9310C">
        <w:rPr>
          <w:rFonts w:ascii="Arial" w:hAnsi="Arial" w:cs="Arial"/>
        </w:rPr>
        <w:t xml:space="preserve">showed that the amount of stabilizer used had a </w:t>
      </w:r>
      <w:r w:rsidR="00915C11">
        <w:rPr>
          <w:rFonts w:ascii="Arial" w:hAnsi="Arial" w:cs="Arial"/>
        </w:rPr>
        <w:t>significant</w:t>
      </w:r>
      <w:r w:rsidRPr="00F9310C">
        <w:rPr>
          <w:rFonts w:ascii="Arial" w:hAnsi="Arial" w:cs="Arial"/>
        </w:rPr>
        <w:t xml:space="preserve"> impact on rehydration characteristic. Increase in the CMC concentration slowed down dissolving time due to its hydrophilic and gelation ability that prevents penetration of water into the powder </w:t>
      </w:r>
      <w:r w:rsidR="00121532">
        <w:rPr>
          <w:rFonts w:ascii="Arial" w:hAnsi="Arial" w:cs="Arial"/>
        </w:rPr>
        <w:t>matrix</w:t>
      </w:r>
      <w:r w:rsidRPr="00F9310C">
        <w:rPr>
          <w:rFonts w:ascii="Arial" w:hAnsi="Arial" w:cs="Arial"/>
        </w:rPr>
        <w:t xml:space="preserve">. </w:t>
      </w:r>
      <w:r w:rsidR="00BA3BBE" w:rsidRPr="00BA3BBE">
        <w:rPr>
          <w:rFonts w:ascii="Arial" w:hAnsi="Arial" w:cs="Arial"/>
        </w:rPr>
        <w:t>Dissolution times remained under 300 seconds only in the 1% CMC sample (F1)</w:t>
      </w:r>
      <w:r w:rsidR="00BA3BBE">
        <w:rPr>
          <w:rFonts w:ascii="Arial" w:hAnsi="Arial" w:cs="Arial"/>
        </w:rPr>
        <w:t xml:space="preserve">, </w:t>
      </w:r>
      <w:r w:rsidR="00BA3BBE" w:rsidRPr="00BA3BBE">
        <w:rPr>
          <w:rFonts w:ascii="Arial" w:hAnsi="Arial" w:cs="Arial"/>
        </w:rPr>
        <w:t>whereas increased concentrations surpassed this limit</w:t>
      </w:r>
      <w:r w:rsidR="00BA3BBE">
        <w:rPr>
          <w:rFonts w:ascii="Arial" w:hAnsi="Arial" w:cs="Arial"/>
        </w:rPr>
        <w:t>.</w:t>
      </w:r>
      <w:r w:rsidRPr="00F9310C">
        <w:rPr>
          <w:rFonts w:ascii="Arial" w:hAnsi="Arial" w:cs="Arial"/>
        </w:rPr>
        <w:t xml:space="preserve"> On the contrary, gum Arabic showed lower dissolution times due to its better solubility and lower viscosity. This observation is also consistent with the results in Abbasi &amp; </w:t>
      </w:r>
      <w:proofErr w:type="spellStart"/>
      <w:r w:rsidRPr="00F9310C">
        <w:rPr>
          <w:rFonts w:ascii="Arial" w:hAnsi="Arial" w:cs="Arial"/>
        </w:rPr>
        <w:t>Azizpour</w:t>
      </w:r>
      <w:proofErr w:type="spellEnd"/>
      <w:r w:rsidRPr="00F9310C">
        <w:rPr>
          <w:rFonts w:ascii="Arial" w:hAnsi="Arial" w:cs="Arial"/>
        </w:rPr>
        <w:t xml:space="preserve"> (2016), Hossain et al. (2021), and </w:t>
      </w:r>
      <w:proofErr w:type="spellStart"/>
      <w:r w:rsidRPr="00F9310C">
        <w:rPr>
          <w:rFonts w:ascii="Arial" w:hAnsi="Arial" w:cs="Arial"/>
        </w:rPr>
        <w:t>Roslandet</w:t>
      </w:r>
      <w:proofErr w:type="spellEnd"/>
      <w:r w:rsidRPr="00F9310C">
        <w:rPr>
          <w:rFonts w:ascii="Arial" w:hAnsi="Arial" w:cs="Arial"/>
        </w:rPr>
        <w:t xml:space="preserve"> </w:t>
      </w:r>
      <w:r w:rsidR="001B584B">
        <w:rPr>
          <w:rFonts w:ascii="Arial" w:hAnsi="Arial" w:cs="Arial"/>
        </w:rPr>
        <w:t xml:space="preserve">et </w:t>
      </w:r>
      <w:r w:rsidRPr="00F9310C">
        <w:rPr>
          <w:rFonts w:ascii="Arial" w:hAnsi="Arial" w:cs="Arial"/>
        </w:rPr>
        <w:t>al. (2020), who reported that high-viscosity stabilizers reduced solubility but increased product cohesiveness.</w:t>
      </w:r>
    </w:p>
    <w:p w14:paraId="2B02FCA6" w14:textId="77777777" w:rsidR="007E4183" w:rsidRPr="00FB3A86" w:rsidRDefault="007E4183" w:rsidP="00441B6F">
      <w:pPr>
        <w:pStyle w:val="Body"/>
        <w:spacing w:after="0"/>
        <w:rPr>
          <w:rFonts w:ascii="Arial" w:hAnsi="Arial" w:cs="Arial"/>
        </w:rPr>
      </w:pPr>
    </w:p>
    <w:p w14:paraId="7595091F" w14:textId="21836E0A" w:rsidR="00F9310C" w:rsidRDefault="00F9310C" w:rsidP="00F9310C">
      <w:pPr>
        <w:spacing w:line="360" w:lineRule="auto"/>
        <w:jc w:val="center"/>
        <w:rPr>
          <w:rFonts w:ascii="Times New Roman" w:eastAsia="Calibri" w:hAnsi="Times New Roman"/>
        </w:rPr>
      </w:pPr>
      <w:r>
        <w:rPr>
          <w:rFonts w:ascii="Times New Roman" w:eastAsia="Calibri" w:hAnsi="Times New Roman"/>
          <w:noProof/>
        </w:rPr>
        <w:drawing>
          <wp:inline distT="0" distB="0" distL="0" distR="0" wp14:anchorId="503753C2" wp14:editId="0135E225">
            <wp:extent cx="3778250" cy="2343150"/>
            <wp:effectExtent l="0" t="0" r="0" b="0"/>
            <wp:docPr id="1365967658" name="Chart 7">
              <a:extLst xmlns:a="http://schemas.openxmlformats.org/drawingml/2006/main">
                <a:ext uri="{FF2B5EF4-FFF2-40B4-BE49-F238E27FC236}">
                  <a16:creationId xmlns:a16="http://schemas.microsoft.com/office/drawing/2014/main" id="{3068A605-6780-6CA2-1B88-29B089503B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18BEDAF" w14:textId="08ABA39C" w:rsidR="00F9310C" w:rsidRPr="00F9310C" w:rsidRDefault="00F9310C" w:rsidP="00F9310C">
      <w:pPr>
        <w:pStyle w:val="Caption"/>
        <w:rPr>
          <w:rFonts w:eastAsia="Calibri" w:cs="Arial"/>
        </w:rPr>
      </w:pPr>
      <w:r>
        <w:t xml:space="preserve">Fig.  </w:t>
      </w:r>
      <w:fldSimple w:instr=" SEQ Fig._ \* ARABIC ">
        <w:r w:rsidR="00F61A34">
          <w:rPr>
            <w:noProof/>
          </w:rPr>
          <w:t>5</w:t>
        </w:r>
      </w:fldSimple>
      <w:r>
        <w:t xml:space="preserve">. </w:t>
      </w:r>
      <w:r w:rsidRPr="00F9310C">
        <w:rPr>
          <w:rFonts w:eastAsia="Calibri" w:cs="Arial"/>
        </w:rPr>
        <w:t>Dissolution time of</w:t>
      </w:r>
      <w:r w:rsidRPr="00F9310C">
        <w:rPr>
          <w:rFonts w:eastAsia="Calibri" w:cs="Arial"/>
        </w:rPr>
        <w:t> </w:t>
      </w:r>
      <w:r w:rsidRPr="00F9310C">
        <w:rPr>
          <w:rFonts w:eastAsia="Calibri" w:cs="Arial"/>
        </w:rPr>
        <w:t>ginger milk powder preparations. Values</w:t>
      </w:r>
      <w:r w:rsidRPr="00F9310C">
        <w:rPr>
          <w:rFonts w:eastAsia="Calibri" w:cs="Arial"/>
        </w:rPr>
        <w:t> </w:t>
      </w:r>
      <w:r w:rsidRPr="00F9310C">
        <w:rPr>
          <w:rFonts w:eastAsia="Calibri" w:cs="Arial"/>
        </w:rPr>
        <w:t>are the mean ± standard deviation (n= 3). Bars with different letters indicate</w:t>
      </w:r>
      <w:r w:rsidRPr="00F9310C">
        <w:rPr>
          <w:rFonts w:eastAsia="Calibri" w:cs="Arial"/>
        </w:rPr>
        <w:t> </w:t>
      </w:r>
      <w:r w:rsidRPr="00F9310C">
        <w:rPr>
          <w:rFonts w:eastAsia="Calibri" w:cs="Arial"/>
        </w:rPr>
        <w:t>significant difference (p &lt; 0.01) by Tukey’s HSD test.</w:t>
      </w:r>
      <w:r w:rsidR="004A37B2">
        <w:rPr>
          <w:rFonts w:eastAsia="Calibri" w:cs="Arial"/>
        </w:rPr>
        <w:t xml:space="preserve"> </w:t>
      </w:r>
      <w:r w:rsidR="004A37B2" w:rsidRPr="00222922">
        <w:rPr>
          <w:rFonts w:eastAsia="Calibri" w:cs="Arial"/>
          <w:highlight w:val="green"/>
        </w:rPr>
        <w:t>Source: Data generated in the present study (2025).</w:t>
      </w:r>
    </w:p>
    <w:p w14:paraId="4C2C0603" w14:textId="77777777" w:rsidR="00F9310C" w:rsidRDefault="00F9310C" w:rsidP="00F9310C">
      <w:pPr>
        <w:pStyle w:val="Color"/>
        <w:rPr>
          <w:rFonts w:eastAsia="Calibri"/>
        </w:rPr>
      </w:pPr>
      <w:r>
        <w:rPr>
          <w:rFonts w:eastAsia="Calibri"/>
        </w:rPr>
        <w:lastRenderedPageBreak/>
        <w:t xml:space="preserve">pH </w:t>
      </w:r>
    </w:p>
    <w:p w14:paraId="46B44A7E" w14:textId="23A3C6DD" w:rsidR="00F9310C" w:rsidRPr="00F9310C" w:rsidRDefault="00F9310C" w:rsidP="00530638">
      <w:pPr>
        <w:pStyle w:val="Color"/>
        <w:numPr>
          <w:ilvl w:val="0"/>
          <w:numId w:val="0"/>
        </w:numPr>
        <w:spacing w:line="480" w:lineRule="auto"/>
        <w:rPr>
          <w:rFonts w:eastAsia="Calibri"/>
          <w:b w:val="0"/>
          <w:bCs/>
        </w:rPr>
      </w:pPr>
      <w:r>
        <w:rPr>
          <w:rFonts w:eastAsia="Calibri"/>
          <w:b w:val="0"/>
          <w:bCs/>
        </w:rPr>
        <w:tab/>
      </w:r>
      <w:r w:rsidRPr="00F9310C">
        <w:rPr>
          <w:rFonts w:eastAsia="Calibri"/>
          <w:b w:val="0"/>
          <w:bCs/>
        </w:rPr>
        <w:t>Similarly, the pH values varied according to the type of stabilizer used</w:t>
      </w:r>
      <w:r w:rsidR="003C6F5F">
        <w:rPr>
          <w:rFonts w:eastAsia="Calibri"/>
          <w:b w:val="0"/>
          <w:bCs/>
        </w:rPr>
        <w:t xml:space="preserve"> </w:t>
      </w:r>
      <w:r w:rsidR="003C6F5F" w:rsidRPr="003F0883">
        <w:rPr>
          <w:rFonts w:eastAsia="Calibri"/>
          <w:b w:val="0"/>
          <w:bCs/>
        </w:rPr>
        <w:t>(Fig. 6)</w:t>
      </w:r>
      <w:r w:rsidRPr="003F0883">
        <w:rPr>
          <w:rFonts w:eastAsia="Calibri"/>
          <w:b w:val="0"/>
          <w:bCs/>
        </w:rPr>
        <w:t xml:space="preserve">. </w:t>
      </w:r>
      <w:r w:rsidRPr="00F9310C">
        <w:rPr>
          <w:rFonts w:eastAsia="Calibri"/>
          <w:b w:val="0"/>
          <w:bCs/>
        </w:rPr>
        <w:t xml:space="preserve">CMC-containing formulations had moderately higher pH values, indicative of relatively alkaline predisposition. This may be due to the existence of anionic carboxylate groups, which can interact with milk proteins. On the other hand, gum Arabic had an almost neutral pH consistent with its nonionic </w:t>
      </w:r>
      <w:r w:rsidR="001B584B">
        <w:rPr>
          <w:rFonts w:eastAsia="Calibri"/>
          <w:b w:val="0"/>
          <w:bCs/>
        </w:rPr>
        <w:t>and inert properties</w:t>
      </w:r>
      <w:r w:rsidRPr="00F9310C">
        <w:rPr>
          <w:rFonts w:eastAsia="Calibri"/>
          <w:b w:val="0"/>
          <w:bCs/>
        </w:rPr>
        <w:t>. The results were</w:t>
      </w:r>
      <w:r w:rsidR="00BA3BBE">
        <w:rPr>
          <w:rFonts w:eastAsia="Calibri"/>
          <w:b w:val="0"/>
          <w:bCs/>
        </w:rPr>
        <w:t xml:space="preserve"> </w:t>
      </w:r>
      <w:r w:rsidRPr="00F9310C">
        <w:rPr>
          <w:rFonts w:eastAsia="Calibri"/>
          <w:b w:val="0"/>
          <w:bCs/>
        </w:rPr>
        <w:t xml:space="preserve">consistent with the study of Mohamed et al. (2025), which stated that gum Arabic primarily acted as a physical stabilizer and had no significant impact on </w:t>
      </w:r>
      <w:proofErr w:type="spellStart"/>
      <w:r w:rsidRPr="00F9310C">
        <w:rPr>
          <w:rFonts w:eastAsia="Calibri"/>
          <w:b w:val="0"/>
          <w:bCs/>
        </w:rPr>
        <w:t>pH</w:t>
      </w:r>
      <w:r>
        <w:rPr>
          <w:rFonts w:eastAsia="Calibri"/>
          <w:b w:val="0"/>
          <w:bCs/>
        </w:rPr>
        <w:t>.</w:t>
      </w:r>
      <w:proofErr w:type="spellEnd"/>
      <w:r>
        <w:rPr>
          <w:rFonts w:eastAsia="Calibri"/>
          <w:b w:val="0"/>
          <w:bCs/>
        </w:rPr>
        <w:t xml:space="preserve"> </w:t>
      </w:r>
    </w:p>
    <w:p w14:paraId="50E1328C" w14:textId="150C1C43" w:rsidR="00F9310C" w:rsidRDefault="00F9310C">
      <w:pPr>
        <w:spacing w:line="360" w:lineRule="auto"/>
        <w:jc w:val="center"/>
        <w:rPr>
          <w:rFonts w:ascii="Times New Roman" w:eastAsia="Calibri" w:hAnsi="Times New Roman"/>
          <w:b/>
          <w:bCs/>
        </w:rPr>
      </w:pPr>
      <w:r>
        <w:rPr>
          <w:rFonts w:ascii="Times New Roman" w:eastAsia="Calibri" w:hAnsi="Times New Roman"/>
          <w:noProof/>
        </w:rPr>
        <w:drawing>
          <wp:inline distT="0" distB="0" distL="0" distR="0" wp14:anchorId="0FF1F8C4" wp14:editId="22823FD2">
            <wp:extent cx="3778250" cy="2343150"/>
            <wp:effectExtent l="0" t="0" r="0" b="0"/>
            <wp:docPr id="724798543" name="Chart 8">
              <a:extLst xmlns:a="http://schemas.openxmlformats.org/drawingml/2006/main">
                <a:ext uri="{FF2B5EF4-FFF2-40B4-BE49-F238E27FC236}">
                  <a16:creationId xmlns:a16="http://schemas.microsoft.com/office/drawing/2014/main" id="{E1615A03-4341-1ED2-FE24-ED99543F83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D3EBF4D" w14:textId="77777777" w:rsidR="005A35EB" w:rsidRPr="00601C3A" w:rsidRDefault="00F9310C" w:rsidP="005A35EB">
      <w:pPr>
        <w:pStyle w:val="Caption"/>
        <w:jc w:val="both"/>
        <w:rPr>
          <w:rFonts w:eastAsia="Calibri" w:cs="Arial"/>
        </w:rPr>
      </w:pPr>
      <w:r>
        <w:t xml:space="preserve">Fig.  </w:t>
      </w:r>
      <w:fldSimple w:instr=" SEQ Fig._ \* ARABIC ">
        <w:r w:rsidR="00F61A34">
          <w:rPr>
            <w:noProof/>
          </w:rPr>
          <w:t>6</w:t>
        </w:r>
      </w:fldSimple>
      <w:r>
        <w:t xml:space="preserve">. </w:t>
      </w:r>
      <w:r w:rsidRPr="00F9310C">
        <w:rPr>
          <w:rFonts w:cs="Arial"/>
          <w:shd w:val="clear" w:color="auto" w:fill="FFFFFF"/>
        </w:rPr>
        <w:t>pH values of ginger milk powder formulations. Data were presented as mean ± standard deviation (n=3). Bars with different letters indicate statistically significant differences (p &lt; 0.01) as determined by Tukey's HSD test.</w:t>
      </w:r>
      <w:r w:rsidR="005A35EB">
        <w:rPr>
          <w:rFonts w:cs="Arial"/>
          <w:shd w:val="clear" w:color="auto" w:fill="FFFFFF"/>
        </w:rPr>
        <w:t xml:space="preserve"> </w:t>
      </w:r>
      <w:r w:rsidR="005A35EB" w:rsidRPr="00CD35C2">
        <w:rPr>
          <w:rFonts w:eastAsia="Calibri" w:cs="Arial"/>
          <w:highlight w:val="green"/>
        </w:rPr>
        <w:t>Source: Data generated in the present study (2025).</w:t>
      </w:r>
    </w:p>
    <w:p w14:paraId="6A5CF94D" w14:textId="0B3DAF70" w:rsidR="00F9310C" w:rsidRDefault="00F9310C" w:rsidP="00F9310C">
      <w:pPr>
        <w:pStyle w:val="Caption"/>
        <w:jc w:val="both"/>
        <w:rPr>
          <w:rFonts w:cs="Arial"/>
          <w:shd w:val="clear" w:color="auto" w:fill="FFFFFF"/>
        </w:rPr>
      </w:pPr>
    </w:p>
    <w:p w14:paraId="30164D69" w14:textId="7D4E5638" w:rsidR="003C6F5F" w:rsidRDefault="003C6F5F" w:rsidP="003C6F5F">
      <w:pPr>
        <w:pStyle w:val="Color"/>
        <w:rPr>
          <w:rFonts w:eastAsia="Calibri"/>
          <w:lang w:val="en-ID"/>
        </w:rPr>
      </w:pPr>
      <w:r w:rsidRPr="003C6F5F">
        <w:rPr>
          <w:rFonts w:eastAsia="Calibri"/>
          <w:lang w:val="en-ID"/>
        </w:rPr>
        <w:t>FTIR</w:t>
      </w:r>
      <w:r>
        <w:rPr>
          <w:rFonts w:eastAsia="Calibri"/>
          <w:lang w:val="en-ID"/>
        </w:rPr>
        <w:t xml:space="preserve"> of </w:t>
      </w:r>
      <w:r w:rsidRPr="003C6F5F">
        <w:rPr>
          <w:rFonts w:eastAsia="Calibri"/>
          <w:lang w:val="en-ID"/>
        </w:rPr>
        <w:t>ginger milk powder</w:t>
      </w:r>
    </w:p>
    <w:p w14:paraId="5D666538" w14:textId="36478483" w:rsidR="003C6F5F" w:rsidRDefault="003F0883" w:rsidP="00530638">
      <w:pPr>
        <w:pStyle w:val="Color"/>
        <w:numPr>
          <w:ilvl w:val="0"/>
          <w:numId w:val="0"/>
        </w:numPr>
        <w:spacing w:before="0" w:after="0" w:line="480" w:lineRule="auto"/>
        <w:rPr>
          <w:rFonts w:eastAsia="Calibri"/>
          <w:b w:val="0"/>
          <w:bCs/>
          <w:lang w:val="en-ID"/>
        </w:rPr>
      </w:pPr>
      <w:r>
        <w:rPr>
          <w:rFonts w:eastAsia="Calibri"/>
          <w:b w:val="0"/>
          <w:bCs/>
          <w:lang w:val="en-ID"/>
        </w:rPr>
        <w:tab/>
      </w:r>
      <w:r w:rsidR="003C6F5F" w:rsidRPr="003C6F5F">
        <w:rPr>
          <w:rFonts w:eastAsia="Calibri"/>
          <w:b w:val="0"/>
          <w:bCs/>
          <w:lang w:val="en-ID"/>
        </w:rPr>
        <w:t xml:space="preserve">The FTIR spectra of ginger milk powder formulations are shown in </w:t>
      </w:r>
      <w:r w:rsidR="003C6F5F" w:rsidRPr="003F0883">
        <w:rPr>
          <w:rFonts w:eastAsia="Calibri"/>
          <w:b w:val="0"/>
          <w:bCs/>
          <w:lang w:val="en-ID"/>
        </w:rPr>
        <w:t xml:space="preserve">Figure 7. </w:t>
      </w:r>
      <w:r w:rsidR="003C6F5F" w:rsidRPr="003C6F5F">
        <w:rPr>
          <w:rFonts w:eastAsia="Calibri"/>
          <w:b w:val="0"/>
          <w:bCs/>
          <w:lang w:val="en-ID"/>
        </w:rPr>
        <w:t>The spectra showed multiple characteristic absorption bands linked to chemical functional groups from the major constituents of ginger-milk powder ingredient such as proteins, carbohydrates, and phenolic compounds. A broad band spectrum near 3272 cm</w:t>
      </w:r>
      <w:r w:rsidR="003C6F5F" w:rsidRPr="003C6F5F">
        <w:rPr>
          <w:rFonts w:ascii="Cambria Math" w:eastAsia="Calibri" w:hAnsi="Cambria Math" w:cs="Cambria Math"/>
          <w:b w:val="0"/>
          <w:bCs/>
          <w:lang w:val="en-ID"/>
        </w:rPr>
        <w:t>⁻</w:t>
      </w:r>
      <w:r w:rsidR="003C6F5F" w:rsidRPr="003C6F5F">
        <w:rPr>
          <w:rFonts w:eastAsia="Calibri"/>
          <w:b w:val="0"/>
          <w:bCs/>
          <w:lang w:val="en-ID"/>
        </w:rPr>
        <w:t xml:space="preserve">¹ was observed in all formulations, associated with O–H stretching vibrations might be originating from hydroxyl groups in polysaccharides (CMC and gum Arabic) and phenolics in the ginger extract.  Bands </w:t>
      </w:r>
      <w:r w:rsidR="003C6F5F" w:rsidRPr="003C6F5F">
        <w:rPr>
          <w:rFonts w:eastAsia="Calibri"/>
          <w:b w:val="0"/>
          <w:bCs/>
          <w:lang w:val="en-ID"/>
        </w:rPr>
        <w:lastRenderedPageBreak/>
        <w:t>at 2919 cm</w:t>
      </w:r>
      <w:r w:rsidR="003C6F5F" w:rsidRPr="003C6F5F">
        <w:rPr>
          <w:rFonts w:ascii="Cambria Math" w:eastAsia="Calibri" w:hAnsi="Cambria Math" w:cs="Cambria Math"/>
          <w:b w:val="0"/>
          <w:bCs/>
          <w:lang w:val="en-ID"/>
        </w:rPr>
        <w:t>⁻</w:t>
      </w:r>
      <w:r w:rsidR="003C6F5F" w:rsidRPr="003C6F5F">
        <w:rPr>
          <w:rFonts w:eastAsia="Calibri"/>
          <w:b w:val="0"/>
          <w:bCs/>
          <w:lang w:val="en-ID"/>
        </w:rPr>
        <w:t>¹ and 2852 cm</w:t>
      </w:r>
      <w:r w:rsidR="003C6F5F" w:rsidRPr="003C6F5F">
        <w:rPr>
          <w:rFonts w:ascii="Cambria Math" w:eastAsia="Calibri" w:hAnsi="Cambria Math" w:cs="Cambria Math"/>
          <w:b w:val="0"/>
          <w:bCs/>
          <w:lang w:val="en-ID"/>
        </w:rPr>
        <w:t>⁻</w:t>
      </w:r>
      <w:r w:rsidR="003C6F5F" w:rsidRPr="003C6F5F">
        <w:rPr>
          <w:rFonts w:eastAsia="Calibri"/>
          <w:b w:val="0"/>
          <w:bCs/>
          <w:lang w:val="en-ID"/>
        </w:rPr>
        <w:t>¹ were corresponded to C–H stretching of aliphatic –CH</w:t>
      </w:r>
      <w:r w:rsidR="003C6F5F" w:rsidRPr="003C6F5F">
        <w:rPr>
          <w:rFonts w:ascii="Cambria Math" w:eastAsia="Calibri" w:hAnsi="Cambria Math" w:cs="Cambria Math"/>
          <w:b w:val="0"/>
          <w:bCs/>
          <w:lang w:val="en-ID"/>
        </w:rPr>
        <w:t>₂</w:t>
      </w:r>
      <w:r w:rsidR="003C6F5F" w:rsidRPr="003C6F5F">
        <w:rPr>
          <w:rFonts w:eastAsia="Calibri"/>
          <w:b w:val="0"/>
          <w:bCs/>
          <w:lang w:val="en-ID"/>
        </w:rPr>
        <w:t xml:space="preserve"> and –CH</w:t>
      </w:r>
      <w:r w:rsidR="003C6F5F" w:rsidRPr="003C6F5F">
        <w:rPr>
          <w:rFonts w:ascii="Cambria Math" w:eastAsia="Calibri" w:hAnsi="Cambria Math" w:cs="Cambria Math"/>
          <w:b w:val="0"/>
          <w:bCs/>
          <w:lang w:val="en-ID"/>
        </w:rPr>
        <w:t>₃</w:t>
      </w:r>
      <w:r w:rsidR="003C6F5F" w:rsidRPr="003C6F5F">
        <w:rPr>
          <w:rFonts w:eastAsia="Calibri"/>
          <w:b w:val="0"/>
          <w:bCs/>
          <w:lang w:val="en-ID"/>
        </w:rPr>
        <w:t xml:space="preserve"> groups, while the band at 1743 cm</w:t>
      </w:r>
      <w:r w:rsidR="003C6F5F" w:rsidRPr="003C6F5F">
        <w:rPr>
          <w:rFonts w:ascii="Cambria Math" w:eastAsia="Calibri" w:hAnsi="Cambria Math" w:cs="Cambria Math"/>
          <w:b w:val="0"/>
          <w:bCs/>
          <w:lang w:val="en-ID"/>
        </w:rPr>
        <w:t>⁻</w:t>
      </w:r>
      <w:r w:rsidR="003C6F5F" w:rsidRPr="003C6F5F">
        <w:rPr>
          <w:rFonts w:eastAsia="Calibri"/>
          <w:b w:val="0"/>
          <w:bCs/>
          <w:lang w:val="en-ID"/>
        </w:rPr>
        <w:t>¹ indicated a carbonyl (C=O) group, likely from ester or carboxylic functionalities. Additionally, bands around 1633 cm</w:t>
      </w:r>
      <w:r w:rsidR="003C6F5F" w:rsidRPr="003C6F5F">
        <w:rPr>
          <w:rFonts w:ascii="Cambria Math" w:eastAsia="Calibri" w:hAnsi="Cambria Math" w:cs="Cambria Math"/>
          <w:b w:val="0"/>
          <w:bCs/>
          <w:lang w:val="en-ID"/>
        </w:rPr>
        <w:t>⁻</w:t>
      </w:r>
      <w:r w:rsidR="003C6F5F" w:rsidRPr="003C6F5F">
        <w:rPr>
          <w:rFonts w:eastAsia="Calibri"/>
          <w:b w:val="0"/>
          <w:bCs/>
          <w:lang w:val="en-ID"/>
        </w:rPr>
        <w:t>¹ and 1540 cm</w:t>
      </w:r>
      <w:r w:rsidR="003C6F5F" w:rsidRPr="003C6F5F">
        <w:rPr>
          <w:rFonts w:ascii="Cambria Math" w:eastAsia="Calibri" w:hAnsi="Cambria Math" w:cs="Cambria Math"/>
          <w:b w:val="0"/>
          <w:bCs/>
          <w:lang w:val="en-ID"/>
        </w:rPr>
        <w:t>⁻</w:t>
      </w:r>
      <w:r w:rsidR="003C6F5F" w:rsidRPr="003C6F5F">
        <w:rPr>
          <w:rFonts w:eastAsia="Calibri"/>
          <w:b w:val="0"/>
          <w:bCs/>
          <w:lang w:val="en-ID"/>
        </w:rPr>
        <w:t>¹ were attributed to Amide I (C=O stretching) and Amide II (N–H bending and C–N stretching) vibrations, respectively, indicating protein contributions from egg white and milk.</w:t>
      </w:r>
      <w:r w:rsidR="003C6F5F">
        <w:rPr>
          <w:rFonts w:eastAsia="Calibri"/>
          <w:b w:val="0"/>
          <w:bCs/>
          <w:lang w:val="en-ID"/>
        </w:rPr>
        <w:t xml:space="preserve"> </w:t>
      </w:r>
      <w:r w:rsidR="003C6F5F" w:rsidRPr="003C6F5F">
        <w:rPr>
          <w:rFonts w:eastAsia="Calibri"/>
          <w:b w:val="0"/>
          <w:bCs/>
          <w:lang w:val="en-ID"/>
        </w:rPr>
        <w:t>A strong peak at around 1029 cm</w:t>
      </w:r>
      <w:r w:rsidR="003C6F5F" w:rsidRPr="003C6F5F">
        <w:rPr>
          <w:rFonts w:ascii="Cambria Math" w:eastAsia="Calibri" w:hAnsi="Cambria Math" w:cs="Cambria Math"/>
          <w:b w:val="0"/>
          <w:bCs/>
          <w:lang w:val="en-ID"/>
        </w:rPr>
        <w:t>⁻</w:t>
      </w:r>
      <w:r w:rsidR="003C6F5F" w:rsidRPr="003C6F5F">
        <w:rPr>
          <w:rFonts w:eastAsia="Calibri"/>
          <w:b w:val="0"/>
          <w:bCs/>
          <w:lang w:val="en-ID"/>
        </w:rPr>
        <w:t xml:space="preserve">¹ attributed to C–O–C and C–O stretching vibrations characteristic of polysaccharide structures, was an evidence for the presence of stabilizers (CMC and gum- Arabic) in the final prepared formulations. In general, all the formulations (F1–F6) showed spectral features comparable with control and no significant variation in intensities and slight </w:t>
      </w:r>
      <w:r>
        <w:rPr>
          <w:rFonts w:eastAsia="Calibri"/>
          <w:b w:val="0"/>
          <w:bCs/>
          <w:lang w:val="en-ID"/>
        </w:rPr>
        <w:t>peak</w:t>
      </w:r>
      <w:r w:rsidR="003C6F5F" w:rsidRPr="003C6F5F">
        <w:rPr>
          <w:rFonts w:eastAsia="Calibri"/>
          <w:b w:val="0"/>
          <w:bCs/>
          <w:lang w:val="en-ID"/>
        </w:rPr>
        <w:t xml:space="preserve"> shifts noticed, which </w:t>
      </w:r>
      <w:r w:rsidR="00BA3BBE">
        <w:rPr>
          <w:rFonts w:eastAsia="Calibri"/>
          <w:b w:val="0"/>
          <w:bCs/>
          <w:lang w:val="en-ID"/>
        </w:rPr>
        <w:t>was</w:t>
      </w:r>
      <w:r w:rsidR="00BA3BBE" w:rsidRPr="003C6F5F">
        <w:rPr>
          <w:rFonts w:eastAsia="Calibri"/>
          <w:b w:val="0"/>
          <w:bCs/>
          <w:lang w:val="en-ID"/>
        </w:rPr>
        <w:t xml:space="preserve"> </w:t>
      </w:r>
      <w:r w:rsidR="003C6F5F" w:rsidRPr="003C6F5F">
        <w:rPr>
          <w:rFonts w:eastAsia="Calibri"/>
          <w:b w:val="0"/>
          <w:bCs/>
          <w:lang w:val="en-ID"/>
        </w:rPr>
        <w:t>representing some sort of molecular interaction between the components during drying.</w:t>
      </w:r>
      <w:r w:rsidR="003C6F5F">
        <w:rPr>
          <w:rFonts w:eastAsia="Calibri"/>
          <w:b w:val="0"/>
          <w:bCs/>
          <w:lang w:val="en-ID"/>
        </w:rPr>
        <w:t xml:space="preserve"> </w:t>
      </w:r>
      <w:r w:rsidR="003C6F5F" w:rsidRPr="003C6F5F">
        <w:rPr>
          <w:b w:val="0"/>
          <w:bCs/>
        </w:rPr>
        <w:t>Furthermore,</w:t>
      </w:r>
      <w:r w:rsidR="003C6F5F">
        <w:rPr>
          <w:b w:val="0"/>
          <w:bCs/>
        </w:rPr>
        <w:t xml:space="preserve"> the v</w:t>
      </w:r>
      <w:r w:rsidR="003C6F5F" w:rsidRPr="003C6F5F">
        <w:rPr>
          <w:b w:val="0"/>
          <w:bCs/>
        </w:rPr>
        <w:t>ariations in band intensities observed indicated that non-covalent interactions, such as hydrogen bonding and electrostatic forces, between CMC or</w:t>
      </w:r>
      <w:r w:rsidR="003C6F5F" w:rsidRPr="003C6F5F">
        <w:rPr>
          <w:b w:val="0"/>
          <w:bCs/>
        </w:rPr>
        <w:t> </w:t>
      </w:r>
      <w:r w:rsidR="003C6F5F" w:rsidRPr="003C6F5F">
        <w:rPr>
          <w:b w:val="0"/>
          <w:bCs/>
        </w:rPr>
        <w:t>gum Arabic with milk–egg proteins were present. The</w:t>
      </w:r>
      <w:r w:rsidR="003C6F5F" w:rsidRPr="003C6F5F">
        <w:rPr>
          <w:b w:val="0"/>
          <w:bCs/>
        </w:rPr>
        <w:t> </w:t>
      </w:r>
      <w:r w:rsidR="003C6F5F" w:rsidRPr="003C6F5F">
        <w:rPr>
          <w:b w:val="0"/>
          <w:bCs/>
        </w:rPr>
        <w:t xml:space="preserve">results </w:t>
      </w:r>
      <w:r w:rsidR="00BA3BBE">
        <w:rPr>
          <w:b w:val="0"/>
          <w:bCs/>
        </w:rPr>
        <w:t>are</w:t>
      </w:r>
      <w:r w:rsidR="00BA3BBE" w:rsidRPr="003C6F5F">
        <w:rPr>
          <w:b w:val="0"/>
          <w:bCs/>
        </w:rPr>
        <w:t xml:space="preserve"> </w:t>
      </w:r>
      <w:r w:rsidR="003C6F5F" w:rsidRPr="003C6F5F">
        <w:rPr>
          <w:b w:val="0"/>
          <w:bCs/>
        </w:rPr>
        <w:t xml:space="preserve">consistent with those of </w:t>
      </w:r>
      <w:proofErr w:type="spellStart"/>
      <w:r w:rsidR="003C6F5F" w:rsidRPr="003C6F5F">
        <w:rPr>
          <w:b w:val="0"/>
          <w:bCs/>
        </w:rPr>
        <w:t>Nooshkam</w:t>
      </w:r>
      <w:proofErr w:type="spellEnd"/>
      <w:r w:rsidR="003C6F5F" w:rsidRPr="003C6F5F">
        <w:rPr>
          <w:b w:val="0"/>
          <w:bCs/>
        </w:rPr>
        <w:t xml:space="preserve"> et al. (2023) and Rosenberg et al. (2024) who stated that these</w:t>
      </w:r>
      <w:r w:rsidR="003C6F5F" w:rsidRPr="003C6F5F">
        <w:rPr>
          <w:b w:val="0"/>
          <w:bCs/>
        </w:rPr>
        <w:t> </w:t>
      </w:r>
      <w:r w:rsidR="003C6F5F" w:rsidRPr="003C6F5F">
        <w:rPr>
          <w:b w:val="0"/>
          <w:bCs/>
        </w:rPr>
        <w:t xml:space="preserve">interactions </w:t>
      </w:r>
      <w:r w:rsidR="00D0696C">
        <w:rPr>
          <w:b w:val="0"/>
          <w:bCs/>
        </w:rPr>
        <w:t xml:space="preserve">might be </w:t>
      </w:r>
      <w:r w:rsidR="003C6F5F" w:rsidRPr="003C6F5F">
        <w:rPr>
          <w:b w:val="0"/>
          <w:bCs/>
        </w:rPr>
        <w:t>promote viscoelasticity and foam film formation, producing greater stability and powder reconstitution</w:t>
      </w:r>
      <w:r w:rsidR="003C6F5F">
        <w:rPr>
          <w:rFonts w:ascii="Times New Roman" w:hAnsi="Times New Roman" w:cs="Times New Roman"/>
        </w:rPr>
        <w:t>.</w:t>
      </w:r>
    </w:p>
    <w:p w14:paraId="476789AB" w14:textId="1C81D1DF" w:rsidR="003C6F5F" w:rsidRDefault="003C6F5F" w:rsidP="00FD0FFB">
      <w:pPr>
        <w:spacing w:line="360" w:lineRule="auto"/>
        <w:jc w:val="center"/>
        <w:rPr>
          <w:rFonts w:ascii="Times New Roman" w:eastAsia="Calibri" w:hAnsi="Times New Roman"/>
        </w:rPr>
      </w:pPr>
      <w:r>
        <w:rPr>
          <w:rFonts w:ascii="Times New Roman" w:eastAsia="Calibri" w:hAnsi="Times New Roman"/>
          <w:noProof/>
        </w:rPr>
        <w:lastRenderedPageBreak/>
        <w:drawing>
          <wp:inline distT="0" distB="0" distL="0" distR="0" wp14:anchorId="346FFDC7" wp14:editId="4BB35FA4">
            <wp:extent cx="5378908" cy="3263900"/>
            <wp:effectExtent l="0" t="0" r="0" b="0"/>
            <wp:docPr id="15627661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0484" cy="3276992"/>
                    </a:xfrm>
                    <a:prstGeom prst="rect">
                      <a:avLst/>
                    </a:prstGeom>
                    <a:noFill/>
                    <a:ln>
                      <a:noFill/>
                    </a:ln>
                  </pic:spPr>
                </pic:pic>
              </a:graphicData>
            </a:graphic>
          </wp:inline>
        </w:drawing>
      </w:r>
    </w:p>
    <w:p w14:paraId="7ECE2D49" w14:textId="3E408108" w:rsidR="005A35EB" w:rsidRPr="00601C3A" w:rsidRDefault="003C6F5F" w:rsidP="005A35EB">
      <w:pPr>
        <w:pStyle w:val="Caption"/>
        <w:jc w:val="both"/>
        <w:rPr>
          <w:rFonts w:eastAsia="Calibri" w:cs="Arial"/>
        </w:rPr>
      </w:pPr>
      <w:r>
        <w:t xml:space="preserve">Fig.  </w:t>
      </w:r>
      <w:fldSimple w:instr=" SEQ Fig._ \* ARABIC ">
        <w:r w:rsidR="00F61A34">
          <w:rPr>
            <w:noProof/>
          </w:rPr>
          <w:t>7</w:t>
        </w:r>
      </w:fldSimple>
      <w:r>
        <w:t xml:space="preserve">. </w:t>
      </w:r>
      <w:r w:rsidRPr="003C6F5F">
        <w:rPr>
          <w:rFonts w:cs="Arial"/>
        </w:rPr>
        <w:t>FTIR-spectra of the dried ginger-milk powder with CMC and gum Arabic as a stabilizer at various</w:t>
      </w:r>
      <w:r w:rsidRPr="003C6F5F">
        <w:rPr>
          <w:rFonts w:cs="Arial"/>
        </w:rPr>
        <w:t> </w:t>
      </w:r>
      <w:r w:rsidRPr="003C6F5F">
        <w:rPr>
          <w:rFonts w:cs="Arial"/>
        </w:rPr>
        <w:t>concentrations.</w:t>
      </w:r>
      <w:r w:rsidR="005A35EB">
        <w:rPr>
          <w:rFonts w:cs="Arial"/>
        </w:rPr>
        <w:t xml:space="preserve"> </w:t>
      </w:r>
      <w:r w:rsidR="005A35EB" w:rsidRPr="00CD35C2">
        <w:rPr>
          <w:rFonts w:eastAsia="Calibri" w:cs="Arial"/>
          <w:highlight w:val="green"/>
        </w:rPr>
        <w:t>Source: Data generated in the present study (2025).</w:t>
      </w:r>
    </w:p>
    <w:p w14:paraId="6A193ECF" w14:textId="46AC42FA" w:rsidR="003C6F5F" w:rsidRDefault="003C6F5F" w:rsidP="003C6F5F">
      <w:pPr>
        <w:pStyle w:val="Caption"/>
        <w:rPr>
          <w:rFonts w:eastAsia="Calibri" w:cs="Arial"/>
        </w:rPr>
      </w:pPr>
    </w:p>
    <w:p w14:paraId="25E7DF19" w14:textId="77777777" w:rsidR="003043FA" w:rsidRPr="003043FA" w:rsidRDefault="003043FA" w:rsidP="00222922">
      <w:pPr>
        <w:rPr>
          <w:rFonts w:eastAsia="Calibri"/>
        </w:rPr>
      </w:pPr>
    </w:p>
    <w:p w14:paraId="4CC2D1F4" w14:textId="1ED3D7D8" w:rsidR="003C6F5F" w:rsidRDefault="002C1B4C" w:rsidP="002C1B4C">
      <w:pPr>
        <w:pStyle w:val="Char"/>
        <w:rPr>
          <w:rFonts w:eastAsia="Calibri"/>
          <w:lang w:val="en-ID"/>
        </w:rPr>
      </w:pPr>
      <w:r>
        <w:rPr>
          <w:rFonts w:eastAsia="Calibri"/>
        </w:rPr>
        <w:t>Sensory Analysis</w:t>
      </w:r>
    </w:p>
    <w:p w14:paraId="5497421A" w14:textId="1A7402D0" w:rsidR="003C6F5F" w:rsidRDefault="002C1B4C" w:rsidP="00530638">
      <w:pPr>
        <w:pStyle w:val="Color"/>
        <w:numPr>
          <w:ilvl w:val="0"/>
          <w:numId w:val="0"/>
        </w:numPr>
        <w:spacing w:line="480" w:lineRule="auto"/>
        <w:rPr>
          <w:rFonts w:eastAsia="Calibri"/>
          <w:b w:val="0"/>
          <w:bCs/>
        </w:rPr>
      </w:pPr>
      <w:r>
        <w:rPr>
          <w:rFonts w:eastAsia="Calibri"/>
          <w:b w:val="0"/>
          <w:bCs/>
        </w:rPr>
        <w:tab/>
      </w:r>
      <w:r w:rsidRPr="002C1B4C">
        <w:rPr>
          <w:rFonts w:eastAsia="Calibri"/>
          <w:b w:val="0"/>
          <w:bCs/>
        </w:rPr>
        <w:t>The color, odor, taste and texture of milk ginger formulations were evaluated by</w:t>
      </w:r>
      <w:r w:rsidRPr="002C1B4C">
        <w:rPr>
          <w:rFonts w:eastAsia="Calibri"/>
          <w:b w:val="0"/>
          <w:bCs/>
        </w:rPr>
        <w:t> </w:t>
      </w:r>
      <w:r w:rsidRPr="002C1B4C">
        <w:rPr>
          <w:rFonts w:eastAsia="Calibri"/>
          <w:b w:val="0"/>
          <w:bCs/>
        </w:rPr>
        <w:t>descriptive sensory evaluation</w:t>
      </w:r>
      <w:r>
        <w:rPr>
          <w:rFonts w:eastAsia="Calibri"/>
          <w:b w:val="0"/>
          <w:bCs/>
        </w:rPr>
        <w:t xml:space="preserve"> (</w:t>
      </w:r>
      <w:r w:rsidRPr="003F0883">
        <w:rPr>
          <w:rFonts w:eastAsia="Calibri"/>
          <w:b w:val="0"/>
          <w:bCs/>
        </w:rPr>
        <w:t>Table 3</w:t>
      </w:r>
      <w:r w:rsidR="00F61A34" w:rsidRPr="003F0883">
        <w:rPr>
          <w:rFonts w:eastAsia="Calibri"/>
          <w:b w:val="0"/>
          <w:bCs/>
        </w:rPr>
        <w:t xml:space="preserve"> and Fig. 8</w:t>
      </w:r>
      <w:r w:rsidRPr="003F0883">
        <w:rPr>
          <w:rFonts w:eastAsia="Calibri"/>
          <w:b w:val="0"/>
          <w:bCs/>
        </w:rPr>
        <w:t xml:space="preserve">). </w:t>
      </w:r>
      <w:r w:rsidR="00F61A34" w:rsidRPr="00F61A34">
        <w:rPr>
          <w:rFonts w:eastAsia="Calibri"/>
          <w:b w:val="0"/>
          <w:bCs/>
        </w:rPr>
        <w:t xml:space="preserve">The control sample exhibited lighter </w:t>
      </w:r>
      <w:r w:rsidR="003F0883" w:rsidRPr="00F61A34">
        <w:rPr>
          <w:rFonts w:eastAsia="Calibri"/>
          <w:b w:val="0"/>
          <w:bCs/>
        </w:rPr>
        <w:t>color</w:t>
      </w:r>
      <w:r w:rsidR="00D0696C">
        <w:rPr>
          <w:rFonts w:eastAsia="Calibri"/>
          <w:b w:val="0"/>
          <w:bCs/>
        </w:rPr>
        <w:t xml:space="preserve"> than gum Arabic formulation but darker than CMC formulation. It also exhibited</w:t>
      </w:r>
      <w:r w:rsidR="00F61A34" w:rsidRPr="00F61A34">
        <w:rPr>
          <w:rFonts w:eastAsia="Calibri"/>
          <w:b w:val="0"/>
          <w:bCs/>
        </w:rPr>
        <w:t xml:space="preserve"> non-uniform hardness</w:t>
      </w:r>
      <w:r w:rsidR="00D0696C">
        <w:rPr>
          <w:rFonts w:eastAsia="Calibri"/>
          <w:b w:val="0"/>
          <w:bCs/>
        </w:rPr>
        <w:t>.</w:t>
      </w:r>
      <w:r w:rsidR="00F61A34" w:rsidRPr="00F61A34">
        <w:rPr>
          <w:rFonts w:eastAsia="Calibri"/>
          <w:b w:val="0"/>
          <w:bCs/>
        </w:rPr>
        <w:t xml:space="preserve"> However, samples with 1–3% gum Arabic tended to give darker coating </w:t>
      </w:r>
      <w:r w:rsidR="003F0883" w:rsidRPr="00F61A34">
        <w:rPr>
          <w:rFonts w:eastAsia="Calibri"/>
          <w:b w:val="0"/>
          <w:bCs/>
        </w:rPr>
        <w:t>colors</w:t>
      </w:r>
      <w:r w:rsidR="00F61A34" w:rsidRPr="00F61A34">
        <w:rPr>
          <w:rFonts w:eastAsia="Calibri"/>
          <w:b w:val="0"/>
          <w:bCs/>
        </w:rPr>
        <w:t>.</w:t>
      </w:r>
      <w:r w:rsidR="00F61A34">
        <w:rPr>
          <w:rFonts w:eastAsia="Calibri"/>
          <w:b w:val="0"/>
          <w:bCs/>
        </w:rPr>
        <w:t xml:space="preserve"> </w:t>
      </w:r>
      <w:r w:rsidR="00C70810" w:rsidRPr="00222922">
        <w:rPr>
          <w:rFonts w:eastAsia="Calibri"/>
          <w:b w:val="0"/>
          <w:bCs/>
          <w:highlight w:val="magenta"/>
        </w:rPr>
        <w:t>Statistical analysis indicated significant differences (p &lt; 0.05) among several sensory attributes across formulations.</w:t>
      </w:r>
      <w:r w:rsidRPr="002C1B4C">
        <w:rPr>
          <w:rFonts w:eastAsia="Calibri"/>
          <w:b w:val="0"/>
          <w:bCs/>
        </w:rPr>
        <w:t xml:space="preserve"> CMC 3% (F3) exhibited the best score for color preference, which was consistent with their bright and uniform appearance. F4 (1% gum Arabic) showed the most convenient </w:t>
      </w:r>
      <w:r w:rsidR="00F61A34" w:rsidRPr="002C1B4C">
        <w:rPr>
          <w:rFonts w:eastAsia="Calibri"/>
          <w:b w:val="0"/>
          <w:bCs/>
        </w:rPr>
        <w:t>odor</w:t>
      </w:r>
      <w:r w:rsidRPr="002C1B4C">
        <w:rPr>
          <w:rFonts w:eastAsia="Calibri"/>
          <w:b w:val="0"/>
          <w:bCs/>
        </w:rPr>
        <w:t xml:space="preserve">, indicating that moderate amount of gum Arabic effectively retained volatile components. The maximum taste scores, which indicated perception of good flavor intensity were obtained by F1 (CMC 1%) and F6 (gum Arabic 3%). F2 (CMC, 2%) was the most preferred in terms of texture, with a smooth and palatable mouth feel. However, although </w:t>
      </w:r>
      <w:r w:rsidRPr="002C1B4C">
        <w:rPr>
          <w:rFonts w:eastAsia="Calibri"/>
          <w:b w:val="0"/>
          <w:bCs/>
        </w:rPr>
        <w:lastRenderedPageBreak/>
        <w:t>the sample F5 (gum Arabic 2%) showed better general acceptability, its technological characteristics related to foam density and stability were worse than those of F3. This indicate</w:t>
      </w:r>
      <w:r w:rsidR="00BA3BBE">
        <w:rPr>
          <w:rFonts w:eastAsia="Calibri"/>
          <w:b w:val="0"/>
          <w:bCs/>
        </w:rPr>
        <w:t>d</w:t>
      </w:r>
      <w:r w:rsidRPr="002C1B4C">
        <w:rPr>
          <w:rFonts w:eastAsia="Calibri"/>
          <w:b w:val="0"/>
          <w:bCs/>
        </w:rPr>
        <w:t xml:space="preserve"> that gum Arabic </w:t>
      </w:r>
      <w:r w:rsidR="003F0883" w:rsidRPr="002C1B4C">
        <w:rPr>
          <w:rFonts w:eastAsia="Calibri"/>
          <w:b w:val="0"/>
          <w:bCs/>
        </w:rPr>
        <w:t>favored</w:t>
      </w:r>
      <w:r w:rsidRPr="002C1B4C">
        <w:rPr>
          <w:rFonts w:eastAsia="Calibri"/>
          <w:b w:val="0"/>
          <w:bCs/>
        </w:rPr>
        <w:t xml:space="preserve"> sensory acceptability but could not as much bring an improvement in product physical stability than CMC. The joint evaluation of sensory and physicochemical parameters confirm</w:t>
      </w:r>
      <w:r w:rsidR="00BA3BBE">
        <w:rPr>
          <w:rFonts w:eastAsia="Calibri"/>
          <w:b w:val="0"/>
          <w:bCs/>
        </w:rPr>
        <w:t>ed</w:t>
      </w:r>
      <w:r w:rsidRPr="002C1B4C">
        <w:rPr>
          <w:rFonts w:eastAsia="Calibri"/>
          <w:b w:val="0"/>
          <w:bCs/>
        </w:rPr>
        <w:t xml:space="preserve"> that CMC </w:t>
      </w:r>
      <w:r w:rsidR="00BA3BBE">
        <w:rPr>
          <w:rFonts w:eastAsia="Calibri"/>
          <w:b w:val="0"/>
          <w:bCs/>
        </w:rPr>
        <w:t>could</w:t>
      </w:r>
      <w:r w:rsidR="00BA3BBE" w:rsidRPr="002C1B4C">
        <w:rPr>
          <w:rFonts w:eastAsia="Calibri"/>
          <w:b w:val="0"/>
          <w:bCs/>
        </w:rPr>
        <w:t xml:space="preserve"> </w:t>
      </w:r>
      <w:r w:rsidRPr="002C1B4C">
        <w:rPr>
          <w:rFonts w:eastAsia="Calibri"/>
          <w:b w:val="0"/>
          <w:bCs/>
        </w:rPr>
        <w:t xml:space="preserve">be used as the best stabilizer for </w:t>
      </w:r>
      <w:r w:rsidRPr="00222922">
        <w:rPr>
          <w:rFonts w:eastAsia="Calibri"/>
          <w:b w:val="0"/>
          <w:bCs/>
          <w:highlight w:val="magenta"/>
        </w:rPr>
        <w:t>preparation of good-quality ginger-milk powder</w:t>
      </w:r>
      <w:r w:rsidR="00D0696C" w:rsidRPr="00222922">
        <w:rPr>
          <w:rFonts w:eastAsia="Calibri"/>
          <w:b w:val="0"/>
          <w:bCs/>
          <w:highlight w:val="magenta"/>
        </w:rPr>
        <w:t xml:space="preserve"> at the concentration 1-3% w/w.</w:t>
      </w:r>
    </w:p>
    <w:p w14:paraId="054F27C6" w14:textId="726C6A4E" w:rsidR="002C1B4C" w:rsidRPr="00F61A34" w:rsidRDefault="002C1B4C" w:rsidP="00F61A34">
      <w:pPr>
        <w:pStyle w:val="Caption"/>
        <w:jc w:val="both"/>
        <w:rPr>
          <w:rFonts w:eastAsia="Calibri" w:cs="Arial"/>
        </w:rPr>
      </w:pPr>
      <w:r>
        <w:t xml:space="preserve">Table </w:t>
      </w:r>
      <w:fldSimple w:instr=" SEQ Table \* ARABIC ">
        <w:r>
          <w:rPr>
            <w:noProof/>
          </w:rPr>
          <w:t>3</w:t>
        </w:r>
      </w:fldSimple>
      <w:r>
        <w:t xml:space="preserve">. </w:t>
      </w:r>
      <w:r w:rsidRPr="00F61A34">
        <w:rPr>
          <w:rFonts w:eastAsia="Calibri" w:cs="Arial"/>
        </w:rPr>
        <w:t>Sensory descriptive analysis of color attribute in</w:t>
      </w:r>
      <w:r w:rsidRPr="00F61A34">
        <w:rPr>
          <w:rFonts w:eastAsia="Calibri" w:cs="Arial"/>
        </w:rPr>
        <w:t> </w:t>
      </w:r>
      <w:r w:rsidRPr="00F61A34">
        <w:rPr>
          <w:rFonts w:eastAsia="Calibri" w:cs="Arial"/>
        </w:rPr>
        <w:t>ginger-milk powder combinations</w:t>
      </w:r>
    </w:p>
    <w:tbl>
      <w:tblPr>
        <w:tblStyle w:val="TableGrid"/>
        <w:tblW w:w="850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2264"/>
        <w:gridCol w:w="1354"/>
        <w:gridCol w:w="3900"/>
      </w:tblGrid>
      <w:tr w:rsidR="002C1B4C" w:rsidRPr="003F0883" w14:paraId="4A003315" w14:textId="77777777" w:rsidTr="00036F7B">
        <w:tc>
          <w:tcPr>
            <w:tcW w:w="987" w:type="dxa"/>
            <w:tcBorders>
              <w:top w:val="single" w:sz="4" w:space="0" w:color="auto"/>
              <w:left w:val="nil"/>
              <w:bottom w:val="single" w:sz="4" w:space="0" w:color="auto"/>
              <w:right w:val="nil"/>
            </w:tcBorders>
            <w:vAlign w:val="center"/>
            <w:hideMark/>
          </w:tcPr>
          <w:p w14:paraId="48B59BCA" w14:textId="42AA2E51" w:rsidR="002C1B4C" w:rsidRPr="003F0883" w:rsidRDefault="002D1385" w:rsidP="00036F7B">
            <w:pPr>
              <w:spacing w:line="360" w:lineRule="auto"/>
              <w:jc w:val="center"/>
              <w:rPr>
                <w:rFonts w:ascii="Arial" w:hAnsi="Arial" w:cs="Arial"/>
                <w:b/>
                <w:bCs/>
                <w:sz w:val="20"/>
                <w:szCs w:val="20"/>
              </w:rPr>
            </w:pPr>
            <w:r>
              <w:rPr>
                <w:rFonts w:ascii="Arial" w:hAnsi="Arial" w:cs="Arial"/>
                <w:b/>
                <w:bCs/>
                <w:sz w:val="20"/>
                <w:szCs w:val="20"/>
              </w:rPr>
              <w:t>Sample</w:t>
            </w:r>
          </w:p>
        </w:tc>
        <w:tc>
          <w:tcPr>
            <w:tcW w:w="2264" w:type="dxa"/>
            <w:tcBorders>
              <w:top w:val="single" w:sz="4" w:space="0" w:color="auto"/>
              <w:left w:val="nil"/>
              <w:bottom w:val="single" w:sz="4" w:space="0" w:color="auto"/>
              <w:right w:val="nil"/>
            </w:tcBorders>
            <w:vAlign w:val="center"/>
            <w:hideMark/>
          </w:tcPr>
          <w:p w14:paraId="7A266B72" w14:textId="77777777" w:rsidR="002C1B4C" w:rsidRPr="003F0883" w:rsidRDefault="002C1B4C" w:rsidP="00036F7B">
            <w:pPr>
              <w:spacing w:line="360" w:lineRule="auto"/>
              <w:jc w:val="center"/>
              <w:rPr>
                <w:rFonts w:ascii="Arial" w:hAnsi="Arial" w:cs="Arial"/>
                <w:b/>
                <w:bCs/>
                <w:sz w:val="20"/>
                <w:szCs w:val="20"/>
              </w:rPr>
            </w:pPr>
            <w:r w:rsidRPr="003F0883">
              <w:rPr>
                <w:rFonts w:ascii="Arial" w:hAnsi="Arial" w:cs="Arial"/>
                <w:b/>
                <w:bCs/>
                <w:sz w:val="20"/>
                <w:szCs w:val="20"/>
              </w:rPr>
              <w:t>Treatment</w:t>
            </w:r>
          </w:p>
        </w:tc>
        <w:tc>
          <w:tcPr>
            <w:tcW w:w="1354" w:type="dxa"/>
            <w:tcBorders>
              <w:top w:val="single" w:sz="4" w:space="0" w:color="auto"/>
              <w:left w:val="nil"/>
              <w:bottom w:val="single" w:sz="4" w:space="0" w:color="auto"/>
              <w:right w:val="nil"/>
            </w:tcBorders>
            <w:vAlign w:val="center"/>
            <w:hideMark/>
          </w:tcPr>
          <w:p w14:paraId="2EF4F72A" w14:textId="77777777" w:rsidR="002C1B4C" w:rsidRPr="003F0883" w:rsidRDefault="002C1B4C" w:rsidP="00036F7B">
            <w:pPr>
              <w:spacing w:line="360" w:lineRule="auto"/>
              <w:jc w:val="center"/>
              <w:rPr>
                <w:rFonts w:ascii="Arial" w:hAnsi="Arial" w:cs="Arial"/>
                <w:b/>
                <w:bCs/>
                <w:sz w:val="20"/>
                <w:szCs w:val="20"/>
              </w:rPr>
            </w:pPr>
            <w:r w:rsidRPr="003F0883">
              <w:rPr>
                <w:rFonts w:ascii="Arial" w:hAnsi="Arial" w:cs="Arial"/>
                <w:b/>
                <w:bCs/>
                <w:sz w:val="20"/>
                <w:szCs w:val="20"/>
              </w:rPr>
              <w:t>Photograph</w:t>
            </w:r>
          </w:p>
        </w:tc>
        <w:tc>
          <w:tcPr>
            <w:tcW w:w="3900" w:type="dxa"/>
            <w:tcBorders>
              <w:top w:val="single" w:sz="4" w:space="0" w:color="auto"/>
              <w:left w:val="nil"/>
              <w:bottom w:val="single" w:sz="4" w:space="0" w:color="auto"/>
              <w:right w:val="nil"/>
            </w:tcBorders>
            <w:vAlign w:val="center"/>
            <w:hideMark/>
          </w:tcPr>
          <w:p w14:paraId="06BADEC0" w14:textId="5ADE1EA5" w:rsidR="002C1B4C" w:rsidRPr="003F0883" w:rsidRDefault="002C1B4C" w:rsidP="00036F7B">
            <w:pPr>
              <w:spacing w:line="360" w:lineRule="auto"/>
              <w:jc w:val="center"/>
              <w:rPr>
                <w:rFonts w:ascii="Arial" w:hAnsi="Arial" w:cs="Arial"/>
                <w:b/>
                <w:bCs/>
                <w:sz w:val="20"/>
                <w:szCs w:val="20"/>
              </w:rPr>
            </w:pPr>
            <w:r w:rsidRPr="003F0883">
              <w:rPr>
                <w:rFonts w:ascii="Arial" w:hAnsi="Arial" w:cs="Arial"/>
                <w:b/>
                <w:bCs/>
                <w:sz w:val="20"/>
                <w:szCs w:val="20"/>
              </w:rPr>
              <w:t>Observation of color appearance</w:t>
            </w:r>
          </w:p>
        </w:tc>
      </w:tr>
      <w:tr w:rsidR="002C1B4C" w:rsidRPr="003F0883" w14:paraId="5BAEB7E8" w14:textId="77777777" w:rsidTr="00FD0FFB">
        <w:tc>
          <w:tcPr>
            <w:tcW w:w="987" w:type="dxa"/>
            <w:tcBorders>
              <w:top w:val="single" w:sz="4" w:space="0" w:color="auto"/>
              <w:left w:val="nil"/>
              <w:bottom w:val="nil"/>
              <w:right w:val="nil"/>
            </w:tcBorders>
            <w:hideMark/>
          </w:tcPr>
          <w:p w14:paraId="04B4837A" w14:textId="77777777" w:rsidR="002C1B4C" w:rsidRPr="003F0883" w:rsidRDefault="002C1B4C">
            <w:pPr>
              <w:spacing w:line="360" w:lineRule="auto"/>
              <w:jc w:val="center"/>
              <w:rPr>
                <w:rFonts w:ascii="Arial" w:hAnsi="Arial" w:cs="Arial"/>
                <w:sz w:val="20"/>
                <w:szCs w:val="20"/>
              </w:rPr>
            </w:pPr>
            <w:r w:rsidRPr="003F0883">
              <w:rPr>
                <w:rFonts w:ascii="Arial" w:hAnsi="Arial" w:cs="Arial"/>
                <w:sz w:val="20"/>
                <w:szCs w:val="20"/>
              </w:rPr>
              <w:t>K</w:t>
            </w:r>
          </w:p>
        </w:tc>
        <w:tc>
          <w:tcPr>
            <w:tcW w:w="2264" w:type="dxa"/>
            <w:tcBorders>
              <w:top w:val="single" w:sz="4" w:space="0" w:color="auto"/>
              <w:left w:val="nil"/>
              <w:bottom w:val="nil"/>
              <w:right w:val="nil"/>
            </w:tcBorders>
            <w:hideMark/>
          </w:tcPr>
          <w:p w14:paraId="1C248071" w14:textId="77777777" w:rsidR="002C1B4C" w:rsidRPr="003F0883" w:rsidRDefault="002C1B4C" w:rsidP="00FD0FFB">
            <w:pPr>
              <w:spacing w:line="360" w:lineRule="auto"/>
              <w:jc w:val="center"/>
              <w:rPr>
                <w:rFonts w:ascii="Arial" w:hAnsi="Arial" w:cs="Arial"/>
                <w:sz w:val="20"/>
                <w:szCs w:val="20"/>
              </w:rPr>
            </w:pPr>
            <w:r w:rsidRPr="003F0883">
              <w:rPr>
                <w:rFonts w:ascii="Arial" w:eastAsia="Times New Roman" w:hAnsi="Arial" w:cs="Arial"/>
                <w:sz w:val="20"/>
                <w:szCs w:val="20"/>
              </w:rPr>
              <w:t>Control (0 %)</w:t>
            </w:r>
          </w:p>
        </w:tc>
        <w:tc>
          <w:tcPr>
            <w:tcW w:w="1354" w:type="dxa"/>
            <w:tcBorders>
              <w:top w:val="single" w:sz="4" w:space="0" w:color="auto"/>
              <w:left w:val="nil"/>
              <w:bottom w:val="nil"/>
              <w:right w:val="nil"/>
            </w:tcBorders>
            <w:hideMark/>
          </w:tcPr>
          <w:p w14:paraId="3F602D77" w14:textId="496587A2" w:rsidR="002C1B4C" w:rsidRPr="003F0883" w:rsidRDefault="002C1B4C">
            <w:pPr>
              <w:spacing w:line="360" w:lineRule="auto"/>
              <w:jc w:val="center"/>
              <w:rPr>
                <w:rFonts w:ascii="Arial" w:hAnsi="Arial" w:cs="Arial"/>
                <w:sz w:val="20"/>
                <w:szCs w:val="20"/>
              </w:rPr>
            </w:pPr>
            <w:r w:rsidRPr="003F0883">
              <w:rPr>
                <w:rFonts w:ascii="Arial" w:hAnsi="Arial" w:cs="Arial"/>
                <w:noProof/>
              </w:rPr>
              <w:drawing>
                <wp:inline distT="0" distB="0" distL="0" distR="0" wp14:anchorId="1A845BE9" wp14:editId="5E785519">
                  <wp:extent cx="622300" cy="609600"/>
                  <wp:effectExtent l="0" t="0" r="0" b="0"/>
                  <wp:docPr id="679361409" name="Picture 16" descr="A white bowl with brown powder in it&#10;&#10;AI-generated content may be incorrect."/>
                  <wp:cNvGraphicFramePr/>
                  <a:graphic xmlns:a="http://schemas.openxmlformats.org/drawingml/2006/main">
                    <a:graphicData uri="http://schemas.openxmlformats.org/drawingml/2006/picture">
                      <pic:pic xmlns:pic="http://schemas.openxmlformats.org/drawingml/2006/picture">
                        <pic:nvPicPr>
                          <pic:cNvPr id="679361409" name="Picture 1" descr="A white bowl with brown powder in it&#10;&#10;AI-generated content may be incorrect."/>
                          <pic:cNvPicPr>
                            <a:picLocks noChangeAspect="1"/>
                          </pic:cNvPicPr>
                        </pic:nvPicPr>
                        <pic:blipFill rotWithShape="1">
                          <a:blip r:embed="rId18" cstate="print">
                            <a:extLst>
                              <a:ext uri="{28A0092B-C50C-407E-A947-70E740481C1C}">
                                <a14:useLocalDpi xmlns:a14="http://schemas.microsoft.com/office/drawing/2010/main" val="0"/>
                              </a:ext>
                            </a:extLst>
                          </a:blip>
                          <a:srcRect l="28106" t="35867" r="31619" b="34266"/>
                          <a:stretch>
                            <a:fillRect/>
                          </a:stretch>
                        </pic:blipFill>
                        <pic:spPr bwMode="auto">
                          <a:xfrm>
                            <a:off x="0" y="0"/>
                            <a:ext cx="621030" cy="611505"/>
                          </a:xfrm>
                          <a:prstGeom prst="ellipse">
                            <a:avLst/>
                          </a:prstGeom>
                          <a:ln>
                            <a:noFill/>
                          </a:ln>
                          <a:extLst>
                            <a:ext uri="{53640926-AAD7-44D8-BBD7-CCE9431645EC}">
                              <a14:shadowObscured xmlns:a14="http://schemas.microsoft.com/office/drawing/2010/main"/>
                            </a:ext>
                          </a:extLst>
                        </pic:spPr>
                      </pic:pic>
                    </a:graphicData>
                  </a:graphic>
                </wp:inline>
              </w:drawing>
            </w:r>
          </w:p>
        </w:tc>
        <w:tc>
          <w:tcPr>
            <w:tcW w:w="3900" w:type="dxa"/>
            <w:tcBorders>
              <w:top w:val="single" w:sz="4" w:space="0" w:color="auto"/>
              <w:left w:val="nil"/>
              <w:bottom w:val="nil"/>
              <w:right w:val="nil"/>
            </w:tcBorders>
            <w:hideMark/>
          </w:tcPr>
          <w:p w14:paraId="67BD13D5" w14:textId="77777777" w:rsidR="002C1B4C" w:rsidRPr="003F0883" w:rsidRDefault="002C1B4C" w:rsidP="00FD0FFB">
            <w:pPr>
              <w:spacing w:line="360" w:lineRule="auto"/>
              <w:rPr>
                <w:rFonts w:ascii="Arial" w:hAnsi="Arial" w:cs="Arial"/>
                <w:sz w:val="20"/>
                <w:szCs w:val="20"/>
              </w:rPr>
            </w:pPr>
            <w:r w:rsidRPr="003F0883">
              <w:rPr>
                <w:rFonts w:ascii="Arial" w:hAnsi="Arial" w:cs="Arial"/>
                <w:sz w:val="20"/>
                <w:szCs w:val="20"/>
              </w:rPr>
              <w:t>Pale and less homogeneous</w:t>
            </w:r>
          </w:p>
        </w:tc>
      </w:tr>
      <w:tr w:rsidR="002C1B4C" w:rsidRPr="003F0883" w14:paraId="68EB4A40" w14:textId="77777777" w:rsidTr="00FD0FFB">
        <w:tc>
          <w:tcPr>
            <w:tcW w:w="987" w:type="dxa"/>
            <w:tcBorders>
              <w:top w:val="nil"/>
              <w:left w:val="nil"/>
              <w:bottom w:val="nil"/>
              <w:right w:val="nil"/>
            </w:tcBorders>
            <w:hideMark/>
          </w:tcPr>
          <w:p w14:paraId="58D21DD7" w14:textId="77777777" w:rsidR="002C1B4C" w:rsidRPr="003F0883" w:rsidRDefault="002C1B4C">
            <w:pPr>
              <w:spacing w:line="360" w:lineRule="auto"/>
              <w:jc w:val="center"/>
              <w:rPr>
                <w:rFonts w:ascii="Arial" w:hAnsi="Arial" w:cs="Arial"/>
                <w:sz w:val="20"/>
                <w:szCs w:val="20"/>
              </w:rPr>
            </w:pPr>
            <w:r w:rsidRPr="003F0883">
              <w:rPr>
                <w:rFonts w:ascii="Arial" w:hAnsi="Arial" w:cs="Arial"/>
                <w:sz w:val="20"/>
                <w:szCs w:val="20"/>
              </w:rPr>
              <w:t>F1</w:t>
            </w:r>
          </w:p>
        </w:tc>
        <w:tc>
          <w:tcPr>
            <w:tcW w:w="2264" w:type="dxa"/>
            <w:tcBorders>
              <w:top w:val="nil"/>
              <w:left w:val="nil"/>
              <w:bottom w:val="nil"/>
              <w:right w:val="nil"/>
            </w:tcBorders>
            <w:hideMark/>
          </w:tcPr>
          <w:p w14:paraId="0FCFA3CA" w14:textId="77777777" w:rsidR="002C1B4C" w:rsidRPr="003F0883" w:rsidRDefault="002C1B4C" w:rsidP="00FD0FFB">
            <w:pPr>
              <w:spacing w:line="360" w:lineRule="auto"/>
              <w:jc w:val="center"/>
              <w:rPr>
                <w:rFonts w:ascii="Arial" w:hAnsi="Arial" w:cs="Arial"/>
                <w:sz w:val="20"/>
                <w:szCs w:val="20"/>
              </w:rPr>
            </w:pPr>
            <w:r w:rsidRPr="003F0883">
              <w:rPr>
                <w:rFonts w:ascii="Arial" w:eastAsia="Times New Roman" w:hAnsi="Arial" w:cs="Arial"/>
                <w:sz w:val="20"/>
                <w:szCs w:val="20"/>
              </w:rPr>
              <w:t>CMC 1 %</w:t>
            </w:r>
          </w:p>
        </w:tc>
        <w:tc>
          <w:tcPr>
            <w:tcW w:w="1354" w:type="dxa"/>
            <w:tcBorders>
              <w:top w:val="nil"/>
              <w:left w:val="nil"/>
              <w:bottom w:val="nil"/>
              <w:right w:val="nil"/>
            </w:tcBorders>
            <w:hideMark/>
          </w:tcPr>
          <w:p w14:paraId="2BCB3854" w14:textId="3CD7E1E1" w:rsidR="002C1B4C" w:rsidRPr="003F0883" w:rsidRDefault="002C1B4C">
            <w:pPr>
              <w:spacing w:line="360" w:lineRule="auto"/>
              <w:jc w:val="center"/>
              <w:rPr>
                <w:rFonts w:ascii="Arial" w:hAnsi="Arial" w:cs="Arial"/>
                <w:sz w:val="20"/>
                <w:szCs w:val="20"/>
              </w:rPr>
            </w:pPr>
            <w:r w:rsidRPr="003F0883">
              <w:rPr>
                <w:rFonts w:ascii="Arial" w:hAnsi="Arial" w:cs="Arial"/>
                <w:noProof/>
              </w:rPr>
              <w:drawing>
                <wp:inline distT="0" distB="0" distL="0" distR="0" wp14:anchorId="62C6C7F1" wp14:editId="4E62BC1F">
                  <wp:extent cx="660400" cy="647700"/>
                  <wp:effectExtent l="0" t="0" r="0" b="0"/>
                  <wp:docPr id="607732742" name="Picture 15" descr="A bowl of powdered food&#10;&#10;AI-generated content may be incorrect."/>
                  <wp:cNvGraphicFramePr/>
                  <a:graphic xmlns:a="http://schemas.openxmlformats.org/drawingml/2006/main">
                    <a:graphicData uri="http://schemas.openxmlformats.org/drawingml/2006/picture">
                      <pic:pic xmlns:pic="http://schemas.openxmlformats.org/drawingml/2006/picture">
                        <pic:nvPicPr>
                          <pic:cNvPr id="607732742" name="Picture 3" descr="A bowl of powdered food&#10;&#10;AI-generated content may be incorrect."/>
                          <pic:cNvPicPr>
                            <a:picLocks noChangeAspect="1"/>
                          </pic:cNvPicPr>
                        </pic:nvPicPr>
                        <pic:blipFill rotWithShape="1">
                          <a:blip r:embed="rId19" cstate="print">
                            <a:extLst>
                              <a:ext uri="{28A0092B-C50C-407E-A947-70E740481C1C}">
                                <a14:useLocalDpi xmlns:a14="http://schemas.microsoft.com/office/drawing/2010/main" val="0"/>
                              </a:ext>
                            </a:extLst>
                          </a:blip>
                          <a:srcRect l="17744" t="32729" r="31568" b="39120"/>
                          <a:stretch>
                            <a:fillRect/>
                          </a:stretch>
                        </pic:blipFill>
                        <pic:spPr bwMode="auto">
                          <a:xfrm>
                            <a:off x="0" y="0"/>
                            <a:ext cx="656590" cy="647700"/>
                          </a:xfrm>
                          <a:prstGeom prst="ellipse">
                            <a:avLst/>
                          </a:prstGeom>
                          <a:noFill/>
                          <a:ln>
                            <a:noFill/>
                          </a:ln>
                          <a:extLst>
                            <a:ext uri="{53640926-AAD7-44D8-BBD7-CCE9431645EC}">
                              <a14:shadowObscured xmlns:a14="http://schemas.microsoft.com/office/drawing/2010/main"/>
                            </a:ext>
                          </a:extLst>
                        </pic:spPr>
                      </pic:pic>
                    </a:graphicData>
                  </a:graphic>
                </wp:inline>
              </w:drawing>
            </w:r>
          </w:p>
        </w:tc>
        <w:tc>
          <w:tcPr>
            <w:tcW w:w="3900" w:type="dxa"/>
            <w:tcBorders>
              <w:top w:val="nil"/>
              <w:left w:val="nil"/>
              <w:bottom w:val="nil"/>
              <w:right w:val="nil"/>
            </w:tcBorders>
            <w:hideMark/>
          </w:tcPr>
          <w:p w14:paraId="2E3CADFB" w14:textId="77777777" w:rsidR="002C1B4C" w:rsidRPr="003F0883" w:rsidRDefault="002C1B4C" w:rsidP="00FD0FFB">
            <w:pPr>
              <w:spacing w:line="360" w:lineRule="auto"/>
              <w:rPr>
                <w:rFonts w:ascii="Arial" w:hAnsi="Arial" w:cs="Arial"/>
                <w:sz w:val="20"/>
                <w:szCs w:val="20"/>
              </w:rPr>
            </w:pPr>
            <w:r w:rsidRPr="003F0883">
              <w:rPr>
                <w:rFonts w:ascii="Arial" w:hAnsi="Arial" w:cs="Arial"/>
                <w:sz w:val="20"/>
                <w:szCs w:val="20"/>
              </w:rPr>
              <w:t>Brighter and more uniform color</w:t>
            </w:r>
          </w:p>
        </w:tc>
      </w:tr>
      <w:tr w:rsidR="002C1B4C" w:rsidRPr="003F0883" w14:paraId="714B52E9" w14:textId="77777777" w:rsidTr="00FD0FFB">
        <w:tc>
          <w:tcPr>
            <w:tcW w:w="987" w:type="dxa"/>
            <w:tcBorders>
              <w:top w:val="nil"/>
              <w:left w:val="nil"/>
              <w:bottom w:val="nil"/>
              <w:right w:val="nil"/>
            </w:tcBorders>
            <w:hideMark/>
          </w:tcPr>
          <w:p w14:paraId="258C71D0" w14:textId="77777777" w:rsidR="002C1B4C" w:rsidRPr="003F0883" w:rsidRDefault="002C1B4C">
            <w:pPr>
              <w:spacing w:line="360" w:lineRule="auto"/>
              <w:jc w:val="center"/>
              <w:rPr>
                <w:rFonts w:ascii="Arial" w:hAnsi="Arial" w:cs="Arial"/>
                <w:sz w:val="20"/>
                <w:szCs w:val="20"/>
              </w:rPr>
            </w:pPr>
            <w:r w:rsidRPr="003F0883">
              <w:rPr>
                <w:rFonts w:ascii="Arial" w:hAnsi="Arial" w:cs="Arial"/>
                <w:sz w:val="20"/>
                <w:szCs w:val="20"/>
              </w:rPr>
              <w:t>F2</w:t>
            </w:r>
          </w:p>
        </w:tc>
        <w:tc>
          <w:tcPr>
            <w:tcW w:w="2264" w:type="dxa"/>
            <w:tcBorders>
              <w:top w:val="nil"/>
              <w:left w:val="nil"/>
              <w:bottom w:val="nil"/>
              <w:right w:val="nil"/>
            </w:tcBorders>
            <w:hideMark/>
          </w:tcPr>
          <w:p w14:paraId="17F6F602" w14:textId="77777777" w:rsidR="002C1B4C" w:rsidRPr="003F0883" w:rsidRDefault="002C1B4C" w:rsidP="00FD0FFB">
            <w:pPr>
              <w:spacing w:line="360" w:lineRule="auto"/>
              <w:jc w:val="center"/>
              <w:rPr>
                <w:rFonts w:ascii="Arial" w:hAnsi="Arial" w:cs="Arial"/>
                <w:sz w:val="20"/>
                <w:szCs w:val="20"/>
              </w:rPr>
            </w:pPr>
            <w:r w:rsidRPr="003F0883">
              <w:rPr>
                <w:rFonts w:ascii="Arial" w:eastAsia="Times New Roman" w:hAnsi="Arial" w:cs="Arial"/>
                <w:sz w:val="20"/>
                <w:szCs w:val="20"/>
              </w:rPr>
              <w:t>CMC 2 %</w:t>
            </w:r>
          </w:p>
        </w:tc>
        <w:tc>
          <w:tcPr>
            <w:tcW w:w="1354" w:type="dxa"/>
            <w:tcBorders>
              <w:top w:val="nil"/>
              <w:left w:val="nil"/>
              <w:bottom w:val="nil"/>
              <w:right w:val="nil"/>
            </w:tcBorders>
            <w:hideMark/>
          </w:tcPr>
          <w:p w14:paraId="78485C1A" w14:textId="571DC8B7" w:rsidR="002C1B4C" w:rsidRPr="003F0883" w:rsidRDefault="002C1B4C">
            <w:pPr>
              <w:spacing w:line="360" w:lineRule="auto"/>
              <w:jc w:val="center"/>
              <w:rPr>
                <w:rFonts w:ascii="Arial" w:hAnsi="Arial" w:cs="Arial"/>
                <w:sz w:val="20"/>
                <w:szCs w:val="20"/>
              </w:rPr>
            </w:pPr>
            <w:r w:rsidRPr="003F0883">
              <w:rPr>
                <w:rFonts w:ascii="Arial" w:hAnsi="Arial" w:cs="Arial"/>
                <w:noProof/>
              </w:rPr>
              <w:drawing>
                <wp:inline distT="0" distB="0" distL="0" distR="0" wp14:anchorId="7EF161A2" wp14:editId="315CFB34">
                  <wp:extent cx="654050" cy="647700"/>
                  <wp:effectExtent l="0" t="0" r="0" b="0"/>
                  <wp:docPr id="1505319441" name="Picture 14" descr="A bowl of yellow powder&#10;&#10;AI-generated content may be incorrect."/>
                  <wp:cNvGraphicFramePr/>
                  <a:graphic xmlns:a="http://schemas.openxmlformats.org/drawingml/2006/main">
                    <a:graphicData uri="http://schemas.openxmlformats.org/drawingml/2006/picture">
                      <pic:pic xmlns:pic="http://schemas.openxmlformats.org/drawingml/2006/picture">
                        <pic:nvPicPr>
                          <pic:cNvPr id="1505319441" name="Picture 1" descr="A bowl of yellow powder&#10;&#10;AI-generated content may be incorrect."/>
                          <pic:cNvPicPr>
                            <a:picLocks noChangeAspect="1"/>
                          </pic:cNvPicPr>
                        </pic:nvPicPr>
                        <pic:blipFill rotWithShape="1">
                          <a:blip r:embed="rId20" cstate="print">
                            <a:extLst>
                              <a:ext uri="{28A0092B-C50C-407E-A947-70E740481C1C}">
                                <a14:useLocalDpi xmlns:a14="http://schemas.microsoft.com/office/drawing/2010/main" val="0"/>
                              </a:ext>
                            </a:extLst>
                          </a:blip>
                          <a:srcRect l="27827" t="24786" r="27796" b="31039"/>
                          <a:stretch>
                            <a:fillRect/>
                          </a:stretch>
                        </pic:blipFill>
                        <pic:spPr bwMode="auto">
                          <a:xfrm>
                            <a:off x="0" y="0"/>
                            <a:ext cx="650875" cy="647700"/>
                          </a:xfrm>
                          <a:prstGeom prst="ellipse">
                            <a:avLst/>
                          </a:prstGeom>
                          <a:noFill/>
                          <a:ln>
                            <a:noFill/>
                          </a:ln>
                          <a:extLst>
                            <a:ext uri="{53640926-AAD7-44D8-BBD7-CCE9431645EC}">
                              <a14:shadowObscured xmlns:a14="http://schemas.microsoft.com/office/drawing/2010/main"/>
                            </a:ext>
                          </a:extLst>
                        </pic:spPr>
                      </pic:pic>
                    </a:graphicData>
                  </a:graphic>
                </wp:inline>
              </w:drawing>
            </w:r>
          </w:p>
        </w:tc>
        <w:tc>
          <w:tcPr>
            <w:tcW w:w="3900" w:type="dxa"/>
            <w:tcBorders>
              <w:top w:val="nil"/>
              <w:left w:val="nil"/>
              <w:bottom w:val="nil"/>
              <w:right w:val="nil"/>
            </w:tcBorders>
            <w:hideMark/>
          </w:tcPr>
          <w:p w14:paraId="0B024630" w14:textId="77777777" w:rsidR="002C1B4C" w:rsidRPr="003F0883" w:rsidRDefault="002C1B4C" w:rsidP="00FD0FFB">
            <w:pPr>
              <w:spacing w:line="360" w:lineRule="auto"/>
              <w:rPr>
                <w:rFonts w:ascii="Arial" w:hAnsi="Arial" w:cs="Arial"/>
                <w:sz w:val="20"/>
                <w:szCs w:val="20"/>
              </w:rPr>
            </w:pPr>
            <w:r w:rsidRPr="003F0883">
              <w:rPr>
                <w:rFonts w:ascii="Arial" w:eastAsia="Times New Roman" w:hAnsi="Arial" w:cs="Arial"/>
                <w:sz w:val="20"/>
                <w:szCs w:val="20"/>
              </w:rPr>
              <w:t>Bright and uniform color</w:t>
            </w:r>
          </w:p>
        </w:tc>
      </w:tr>
      <w:tr w:rsidR="002C1B4C" w:rsidRPr="003F0883" w14:paraId="4AE699EF" w14:textId="77777777" w:rsidTr="00FD0FFB">
        <w:tc>
          <w:tcPr>
            <w:tcW w:w="987" w:type="dxa"/>
            <w:tcBorders>
              <w:top w:val="nil"/>
              <w:left w:val="nil"/>
              <w:bottom w:val="nil"/>
              <w:right w:val="nil"/>
            </w:tcBorders>
            <w:hideMark/>
          </w:tcPr>
          <w:p w14:paraId="71B8ACAD" w14:textId="77777777" w:rsidR="002C1B4C" w:rsidRPr="003F0883" w:rsidRDefault="002C1B4C">
            <w:pPr>
              <w:spacing w:line="360" w:lineRule="auto"/>
              <w:jc w:val="center"/>
              <w:rPr>
                <w:rFonts w:ascii="Arial" w:hAnsi="Arial" w:cs="Arial"/>
                <w:sz w:val="20"/>
                <w:szCs w:val="20"/>
              </w:rPr>
            </w:pPr>
            <w:r w:rsidRPr="003F0883">
              <w:rPr>
                <w:rFonts w:ascii="Arial" w:hAnsi="Arial" w:cs="Arial"/>
                <w:sz w:val="20"/>
                <w:szCs w:val="20"/>
              </w:rPr>
              <w:t>F3</w:t>
            </w:r>
          </w:p>
        </w:tc>
        <w:tc>
          <w:tcPr>
            <w:tcW w:w="2264" w:type="dxa"/>
            <w:tcBorders>
              <w:top w:val="nil"/>
              <w:left w:val="nil"/>
              <w:bottom w:val="nil"/>
              <w:right w:val="nil"/>
            </w:tcBorders>
            <w:hideMark/>
          </w:tcPr>
          <w:p w14:paraId="2F5F931A" w14:textId="77777777" w:rsidR="002C1B4C" w:rsidRDefault="002C1B4C" w:rsidP="00FD0FFB">
            <w:pPr>
              <w:spacing w:line="360" w:lineRule="auto"/>
              <w:jc w:val="center"/>
              <w:rPr>
                <w:rFonts w:ascii="Arial" w:eastAsia="Times New Roman" w:hAnsi="Arial" w:cs="Arial"/>
                <w:sz w:val="20"/>
                <w:szCs w:val="20"/>
              </w:rPr>
            </w:pPr>
            <w:r w:rsidRPr="003F0883">
              <w:rPr>
                <w:rFonts w:ascii="Arial" w:eastAsia="Times New Roman" w:hAnsi="Arial" w:cs="Arial"/>
                <w:sz w:val="20"/>
                <w:szCs w:val="20"/>
              </w:rPr>
              <w:t>CMC 3 %</w:t>
            </w:r>
          </w:p>
          <w:p w14:paraId="54C568C0" w14:textId="77777777" w:rsidR="0004653E" w:rsidRPr="0004653E" w:rsidRDefault="0004653E" w:rsidP="0004653E">
            <w:pPr>
              <w:jc w:val="right"/>
              <w:rPr>
                <w:rFonts w:ascii="Arial" w:hAnsi="Arial" w:cs="Arial"/>
                <w:sz w:val="20"/>
                <w:szCs w:val="20"/>
              </w:rPr>
            </w:pPr>
          </w:p>
        </w:tc>
        <w:tc>
          <w:tcPr>
            <w:tcW w:w="1354" w:type="dxa"/>
            <w:tcBorders>
              <w:top w:val="nil"/>
              <w:left w:val="nil"/>
              <w:bottom w:val="nil"/>
              <w:right w:val="nil"/>
            </w:tcBorders>
            <w:hideMark/>
          </w:tcPr>
          <w:p w14:paraId="2A39E9B8" w14:textId="77777777" w:rsidR="002C1B4C" w:rsidRDefault="002C1B4C">
            <w:pPr>
              <w:spacing w:line="360" w:lineRule="auto"/>
              <w:jc w:val="center"/>
              <w:rPr>
                <w:rFonts w:ascii="Arial" w:hAnsi="Arial" w:cs="Arial"/>
                <w:sz w:val="20"/>
                <w:szCs w:val="20"/>
              </w:rPr>
            </w:pPr>
            <w:r w:rsidRPr="003F0883">
              <w:rPr>
                <w:rFonts w:ascii="Arial" w:hAnsi="Arial" w:cs="Arial"/>
                <w:noProof/>
              </w:rPr>
              <w:drawing>
                <wp:inline distT="0" distB="0" distL="0" distR="0" wp14:anchorId="0D3B7213" wp14:editId="15C788B4">
                  <wp:extent cx="679450" cy="647700"/>
                  <wp:effectExtent l="0" t="0" r="0" b="0"/>
                  <wp:docPr id="907250625" name="Picture 13" descr="A close-up of a container of powder&#10;&#10;AI-generated content may be incorrect."/>
                  <wp:cNvGraphicFramePr/>
                  <a:graphic xmlns:a="http://schemas.openxmlformats.org/drawingml/2006/main">
                    <a:graphicData uri="http://schemas.openxmlformats.org/drawingml/2006/picture">
                      <pic:pic xmlns:pic="http://schemas.openxmlformats.org/drawingml/2006/picture">
                        <pic:nvPicPr>
                          <pic:cNvPr id="907250625" name="Picture 2" descr="A close-up of a container of powder&#10;&#10;AI-generated content may be incorrect."/>
                          <pic:cNvPicPr>
                            <a:picLocks noChangeAspect="1"/>
                          </pic:cNvPicPr>
                        </pic:nvPicPr>
                        <pic:blipFill rotWithShape="1">
                          <a:blip r:embed="rId21" cstate="print">
                            <a:extLst>
                              <a:ext uri="{28A0092B-C50C-407E-A947-70E740481C1C}">
                                <a14:useLocalDpi xmlns:a14="http://schemas.microsoft.com/office/drawing/2010/main" val="0"/>
                              </a:ext>
                            </a:extLst>
                          </a:blip>
                          <a:srcRect l="19654" t="34083" r="24795" b="35957"/>
                          <a:stretch>
                            <a:fillRect/>
                          </a:stretch>
                        </pic:blipFill>
                        <pic:spPr bwMode="auto">
                          <a:xfrm>
                            <a:off x="0" y="0"/>
                            <a:ext cx="675640" cy="647700"/>
                          </a:xfrm>
                          <a:prstGeom prst="ellipse">
                            <a:avLst/>
                          </a:prstGeom>
                          <a:noFill/>
                          <a:ln>
                            <a:noFill/>
                          </a:ln>
                          <a:extLst>
                            <a:ext uri="{53640926-AAD7-44D8-BBD7-CCE9431645EC}">
                              <a14:shadowObscured xmlns:a14="http://schemas.microsoft.com/office/drawing/2010/main"/>
                            </a:ext>
                          </a:extLst>
                        </pic:spPr>
                      </pic:pic>
                    </a:graphicData>
                  </a:graphic>
                </wp:inline>
              </w:drawing>
            </w:r>
          </w:p>
          <w:p w14:paraId="345069FD" w14:textId="0AC7FD3B" w:rsidR="0004653E" w:rsidRPr="0004653E" w:rsidRDefault="0004653E" w:rsidP="0004653E">
            <w:pPr>
              <w:tabs>
                <w:tab w:val="left" w:pos="1135"/>
              </w:tabs>
              <w:rPr>
                <w:rFonts w:ascii="Arial" w:hAnsi="Arial" w:cs="Arial"/>
                <w:sz w:val="20"/>
                <w:szCs w:val="20"/>
              </w:rPr>
            </w:pPr>
            <w:r>
              <w:rPr>
                <w:rFonts w:ascii="Arial" w:hAnsi="Arial" w:cs="Arial"/>
                <w:sz w:val="20"/>
                <w:szCs w:val="20"/>
              </w:rPr>
              <w:tab/>
            </w:r>
          </w:p>
        </w:tc>
        <w:tc>
          <w:tcPr>
            <w:tcW w:w="3900" w:type="dxa"/>
            <w:tcBorders>
              <w:top w:val="nil"/>
              <w:left w:val="nil"/>
              <w:bottom w:val="nil"/>
              <w:right w:val="nil"/>
            </w:tcBorders>
            <w:hideMark/>
          </w:tcPr>
          <w:p w14:paraId="0BFED964" w14:textId="77777777" w:rsidR="002C1B4C" w:rsidRPr="003F0883" w:rsidRDefault="002C1B4C" w:rsidP="00FD0FFB">
            <w:pPr>
              <w:spacing w:line="360" w:lineRule="auto"/>
              <w:rPr>
                <w:rFonts w:ascii="Arial" w:hAnsi="Arial" w:cs="Arial"/>
                <w:sz w:val="20"/>
                <w:szCs w:val="20"/>
              </w:rPr>
            </w:pPr>
            <w:r w:rsidRPr="003F0883">
              <w:rPr>
                <w:rFonts w:ascii="Arial" w:eastAsia="Times New Roman" w:hAnsi="Arial" w:cs="Arial"/>
                <w:sz w:val="20"/>
                <w:szCs w:val="20"/>
              </w:rPr>
              <w:t>Brightest and most uniform color</w:t>
            </w:r>
          </w:p>
        </w:tc>
      </w:tr>
      <w:tr w:rsidR="002C1B4C" w:rsidRPr="003F0883" w14:paraId="50F5E355" w14:textId="77777777" w:rsidTr="00FD0FFB">
        <w:tc>
          <w:tcPr>
            <w:tcW w:w="987" w:type="dxa"/>
            <w:tcBorders>
              <w:top w:val="nil"/>
              <w:left w:val="nil"/>
              <w:bottom w:val="nil"/>
              <w:right w:val="nil"/>
            </w:tcBorders>
            <w:hideMark/>
          </w:tcPr>
          <w:p w14:paraId="0BAC400B" w14:textId="77777777" w:rsidR="002C1B4C" w:rsidRPr="003F0883" w:rsidRDefault="002C1B4C">
            <w:pPr>
              <w:spacing w:line="360" w:lineRule="auto"/>
              <w:jc w:val="center"/>
              <w:rPr>
                <w:rFonts w:ascii="Arial" w:hAnsi="Arial" w:cs="Arial"/>
                <w:sz w:val="20"/>
                <w:szCs w:val="20"/>
              </w:rPr>
            </w:pPr>
            <w:r w:rsidRPr="003F0883">
              <w:rPr>
                <w:rFonts w:ascii="Arial" w:hAnsi="Arial" w:cs="Arial"/>
                <w:sz w:val="20"/>
                <w:szCs w:val="20"/>
              </w:rPr>
              <w:t>F4</w:t>
            </w:r>
          </w:p>
        </w:tc>
        <w:tc>
          <w:tcPr>
            <w:tcW w:w="2264" w:type="dxa"/>
            <w:tcBorders>
              <w:top w:val="nil"/>
              <w:left w:val="nil"/>
              <w:bottom w:val="nil"/>
              <w:right w:val="nil"/>
            </w:tcBorders>
            <w:hideMark/>
          </w:tcPr>
          <w:p w14:paraId="6A218DC8" w14:textId="77777777" w:rsidR="002C1B4C" w:rsidRPr="003F0883" w:rsidRDefault="002C1B4C" w:rsidP="00FD0FFB">
            <w:pPr>
              <w:spacing w:line="360" w:lineRule="auto"/>
              <w:jc w:val="center"/>
              <w:rPr>
                <w:rFonts w:ascii="Arial" w:hAnsi="Arial" w:cs="Arial"/>
                <w:sz w:val="20"/>
                <w:szCs w:val="20"/>
              </w:rPr>
            </w:pPr>
            <w:r w:rsidRPr="003F0883">
              <w:rPr>
                <w:rFonts w:ascii="Arial" w:eastAsia="Times New Roman" w:hAnsi="Arial" w:cs="Arial"/>
                <w:sz w:val="20"/>
                <w:szCs w:val="20"/>
              </w:rPr>
              <w:t>Gum Arabic 1 %</w:t>
            </w:r>
          </w:p>
        </w:tc>
        <w:tc>
          <w:tcPr>
            <w:tcW w:w="1354" w:type="dxa"/>
            <w:tcBorders>
              <w:top w:val="nil"/>
              <w:left w:val="nil"/>
              <w:bottom w:val="nil"/>
              <w:right w:val="nil"/>
            </w:tcBorders>
            <w:hideMark/>
          </w:tcPr>
          <w:p w14:paraId="24491CCE" w14:textId="15E13C0F" w:rsidR="002C1B4C" w:rsidRPr="003F0883" w:rsidRDefault="002C1B4C">
            <w:pPr>
              <w:spacing w:line="360" w:lineRule="auto"/>
              <w:jc w:val="center"/>
              <w:rPr>
                <w:rFonts w:ascii="Arial" w:hAnsi="Arial" w:cs="Arial"/>
                <w:sz w:val="20"/>
                <w:szCs w:val="20"/>
              </w:rPr>
            </w:pPr>
            <w:r w:rsidRPr="003F0883">
              <w:rPr>
                <w:rFonts w:ascii="Arial" w:hAnsi="Arial" w:cs="Arial"/>
                <w:noProof/>
              </w:rPr>
              <w:drawing>
                <wp:inline distT="0" distB="0" distL="0" distR="0" wp14:anchorId="3C93FDDF" wp14:editId="38970D2D">
                  <wp:extent cx="679450" cy="647700"/>
                  <wp:effectExtent l="0" t="0" r="6350" b="0"/>
                  <wp:docPr id="1874525027" name="Picture 12" descr="A bowl of powdered food&#10;&#10;AI-generated content may be incorrect."/>
                  <wp:cNvGraphicFramePr/>
                  <a:graphic xmlns:a="http://schemas.openxmlformats.org/drawingml/2006/main">
                    <a:graphicData uri="http://schemas.openxmlformats.org/drawingml/2006/picture">
                      <pic:pic xmlns:pic="http://schemas.openxmlformats.org/drawingml/2006/picture">
                        <pic:nvPicPr>
                          <pic:cNvPr id="1874525027" name="Picture 3" descr="A bowl of powdered food&#10;&#10;AI-generated content may be incorrect."/>
                          <pic:cNvPicPr>
                            <a:picLocks noChangeAspect="1"/>
                          </pic:cNvPicPr>
                        </pic:nvPicPr>
                        <pic:blipFill rotWithShape="1">
                          <a:blip r:embed="rId22" cstate="print">
                            <a:extLst>
                              <a:ext uri="{28A0092B-C50C-407E-A947-70E740481C1C}">
                                <a14:useLocalDpi xmlns:a14="http://schemas.microsoft.com/office/drawing/2010/main" val="0"/>
                              </a:ext>
                            </a:extLst>
                          </a:blip>
                          <a:srcRect l="20228" t="25992" r="21783" b="32392"/>
                          <a:stretch>
                            <a:fillRect/>
                          </a:stretch>
                        </pic:blipFill>
                        <pic:spPr bwMode="auto">
                          <a:xfrm>
                            <a:off x="0" y="0"/>
                            <a:ext cx="679450" cy="647700"/>
                          </a:xfrm>
                          <a:prstGeom prst="ellipse">
                            <a:avLst/>
                          </a:prstGeom>
                          <a:ln>
                            <a:noFill/>
                          </a:ln>
                          <a:extLst>
                            <a:ext uri="{53640926-AAD7-44D8-BBD7-CCE9431645EC}">
                              <a14:shadowObscured xmlns:a14="http://schemas.microsoft.com/office/drawing/2010/main"/>
                            </a:ext>
                          </a:extLst>
                        </pic:spPr>
                      </pic:pic>
                    </a:graphicData>
                  </a:graphic>
                </wp:inline>
              </w:drawing>
            </w:r>
          </w:p>
        </w:tc>
        <w:tc>
          <w:tcPr>
            <w:tcW w:w="3900" w:type="dxa"/>
            <w:tcBorders>
              <w:top w:val="nil"/>
              <w:left w:val="nil"/>
              <w:bottom w:val="nil"/>
              <w:right w:val="nil"/>
            </w:tcBorders>
            <w:hideMark/>
          </w:tcPr>
          <w:p w14:paraId="23E2DAF0" w14:textId="77777777" w:rsidR="002C1B4C" w:rsidRPr="003F0883" w:rsidRDefault="002C1B4C" w:rsidP="00FD0FFB">
            <w:pPr>
              <w:spacing w:line="360" w:lineRule="auto"/>
              <w:rPr>
                <w:rFonts w:ascii="Arial" w:hAnsi="Arial" w:cs="Arial"/>
                <w:sz w:val="20"/>
                <w:szCs w:val="20"/>
              </w:rPr>
            </w:pPr>
            <w:r w:rsidRPr="003F0883">
              <w:rPr>
                <w:rFonts w:ascii="Arial" w:eastAsia="Times New Roman" w:hAnsi="Arial" w:cs="Arial"/>
                <w:sz w:val="20"/>
                <w:szCs w:val="20"/>
              </w:rPr>
              <w:t>Slightly darker than control</w:t>
            </w:r>
          </w:p>
        </w:tc>
      </w:tr>
      <w:tr w:rsidR="002C1B4C" w:rsidRPr="003F0883" w14:paraId="301F5910" w14:textId="77777777" w:rsidTr="00FD0FFB">
        <w:tc>
          <w:tcPr>
            <w:tcW w:w="987" w:type="dxa"/>
            <w:tcBorders>
              <w:top w:val="nil"/>
              <w:left w:val="nil"/>
              <w:bottom w:val="nil"/>
              <w:right w:val="nil"/>
            </w:tcBorders>
            <w:hideMark/>
          </w:tcPr>
          <w:p w14:paraId="041F0BEC" w14:textId="77777777" w:rsidR="002C1B4C" w:rsidRPr="003F0883" w:rsidRDefault="002C1B4C">
            <w:pPr>
              <w:spacing w:line="360" w:lineRule="auto"/>
              <w:jc w:val="center"/>
              <w:rPr>
                <w:rFonts w:ascii="Arial" w:hAnsi="Arial" w:cs="Arial"/>
                <w:sz w:val="20"/>
                <w:szCs w:val="20"/>
              </w:rPr>
            </w:pPr>
            <w:r w:rsidRPr="003F0883">
              <w:rPr>
                <w:rFonts w:ascii="Arial" w:hAnsi="Arial" w:cs="Arial"/>
                <w:sz w:val="20"/>
                <w:szCs w:val="20"/>
              </w:rPr>
              <w:t>F5</w:t>
            </w:r>
          </w:p>
        </w:tc>
        <w:tc>
          <w:tcPr>
            <w:tcW w:w="2264" w:type="dxa"/>
            <w:tcBorders>
              <w:top w:val="nil"/>
              <w:left w:val="nil"/>
              <w:bottom w:val="nil"/>
              <w:right w:val="nil"/>
            </w:tcBorders>
            <w:hideMark/>
          </w:tcPr>
          <w:p w14:paraId="3619209F" w14:textId="77777777" w:rsidR="002C1B4C" w:rsidRPr="003F0883" w:rsidRDefault="002C1B4C" w:rsidP="00FD0FFB">
            <w:pPr>
              <w:spacing w:line="360" w:lineRule="auto"/>
              <w:jc w:val="center"/>
              <w:rPr>
                <w:rFonts w:ascii="Arial" w:hAnsi="Arial" w:cs="Arial"/>
                <w:sz w:val="20"/>
                <w:szCs w:val="20"/>
              </w:rPr>
            </w:pPr>
            <w:r w:rsidRPr="003F0883">
              <w:rPr>
                <w:rFonts w:ascii="Arial" w:eastAsia="Times New Roman" w:hAnsi="Arial" w:cs="Arial"/>
                <w:sz w:val="20"/>
                <w:szCs w:val="20"/>
              </w:rPr>
              <w:t>Gum Arabic 2 %</w:t>
            </w:r>
          </w:p>
        </w:tc>
        <w:tc>
          <w:tcPr>
            <w:tcW w:w="1354" w:type="dxa"/>
            <w:tcBorders>
              <w:top w:val="nil"/>
              <w:left w:val="nil"/>
              <w:bottom w:val="nil"/>
              <w:right w:val="nil"/>
            </w:tcBorders>
            <w:hideMark/>
          </w:tcPr>
          <w:p w14:paraId="7D053CF7" w14:textId="7D107F23" w:rsidR="002C1B4C" w:rsidRPr="003F0883" w:rsidRDefault="002C1B4C">
            <w:pPr>
              <w:spacing w:line="360" w:lineRule="auto"/>
              <w:jc w:val="center"/>
              <w:rPr>
                <w:rFonts w:ascii="Arial" w:hAnsi="Arial" w:cs="Arial"/>
                <w:sz w:val="20"/>
                <w:szCs w:val="20"/>
              </w:rPr>
            </w:pPr>
            <w:r w:rsidRPr="003F0883">
              <w:rPr>
                <w:rFonts w:ascii="Arial" w:hAnsi="Arial" w:cs="Arial"/>
                <w:noProof/>
              </w:rPr>
              <w:drawing>
                <wp:inline distT="0" distB="0" distL="0" distR="0" wp14:anchorId="147F2BFB" wp14:editId="58D4F6E4">
                  <wp:extent cx="679450" cy="647700"/>
                  <wp:effectExtent l="0" t="0" r="6350" b="0"/>
                  <wp:docPr id="1679690775" name="Picture 11" descr="A white powder in a container&#10;&#10;AI-generated content may be incorrect."/>
                  <wp:cNvGraphicFramePr/>
                  <a:graphic xmlns:a="http://schemas.openxmlformats.org/drawingml/2006/main">
                    <a:graphicData uri="http://schemas.openxmlformats.org/drawingml/2006/picture">
                      <pic:pic xmlns:pic="http://schemas.openxmlformats.org/drawingml/2006/picture">
                        <pic:nvPicPr>
                          <pic:cNvPr id="1679690775" name="Picture 2" descr="A white powder in a container&#10;&#10;AI-generated content may be incorrect."/>
                          <pic:cNvPicPr>
                            <a:picLocks noChangeAspect="1"/>
                          </pic:cNvPicPr>
                        </pic:nvPicPr>
                        <pic:blipFill rotWithShape="1">
                          <a:blip r:embed="rId23" cstate="print">
                            <a:extLst>
                              <a:ext uri="{28A0092B-C50C-407E-A947-70E740481C1C}">
                                <a14:useLocalDpi xmlns:a14="http://schemas.microsoft.com/office/drawing/2010/main" val="0"/>
                              </a:ext>
                            </a:extLst>
                          </a:blip>
                          <a:srcRect l="20837" t="27630" r="16983" b="27639"/>
                          <a:stretch>
                            <a:fillRect/>
                          </a:stretch>
                        </pic:blipFill>
                        <pic:spPr bwMode="auto">
                          <a:xfrm>
                            <a:off x="0" y="0"/>
                            <a:ext cx="678180" cy="647700"/>
                          </a:xfrm>
                          <a:prstGeom prst="ellipse">
                            <a:avLst/>
                          </a:prstGeom>
                          <a:ln>
                            <a:noFill/>
                          </a:ln>
                          <a:extLst>
                            <a:ext uri="{53640926-AAD7-44D8-BBD7-CCE9431645EC}">
                              <a14:shadowObscured xmlns:a14="http://schemas.microsoft.com/office/drawing/2010/main"/>
                            </a:ext>
                          </a:extLst>
                        </pic:spPr>
                      </pic:pic>
                    </a:graphicData>
                  </a:graphic>
                </wp:inline>
              </w:drawing>
            </w:r>
          </w:p>
        </w:tc>
        <w:tc>
          <w:tcPr>
            <w:tcW w:w="3900" w:type="dxa"/>
            <w:tcBorders>
              <w:top w:val="nil"/>
              <w:left w:val="nil"/>
              <w:bottom w:val="nil"/>
              <w:right w:val="nil"/>
            </w:tcBorders>
            <w:hideMark/>
          </w:tcPr>
          <w:p w14:paraId="4D00BB54" w14:textId="77777777" w:rsidR="002C1B4C" w:rsidRPr="003F0883" w:rsidRDefault="002C1B4C" w:rsidP="00FD0FFB">
            <w:pPr>
              <w:spacing w:line="360" w:lineRule="auto"/>
              <w:rPr>
                <w:rFonts w:ascii="Arial" w:hAnsi="Arial" w:cs="Arial"/>
                <w:sz w:val="20"/>
                <w:szCs w:val="20"/>
              </w:rPr>
            </w:pPr>
            <w:r w:rsidRPr="003F0883">
              <w:rPr>
                <w:rFonts w:ascii="Arial" w:eastAsia="Times New Roman" w:hAnsi="Arial" w:cs="Arial"/>
                <w:sz w:val="20"/>
                <w:szCs w:val="20"/>
              </w:rPr>
              <w:t>Dark brownish tone</w:t>
            </w:r>
          </w:p>
        </w:tc>
      </w:tr>
      <w:tr w:rsidR="002C1B4C" w:rsidRPr="003F0883" w14:paraId="1DBA1C1D" w14:textId="77777777" w:rsidTr="00222922">
        <w:tc>
          <w:tcPr>
            <w:tcW w:w="987" w:type="dxa"/>
            <w:tcBorders>
              <w:top w:val="nil"/>
              <w:left w:val="nil"/>
              <w:bottom w:val="single" w:sz="4" w:space="0" w:color="auto"/>
              <w:right w:val="nil"/>
            </w:tcBorders>
            <w:hideMark/>
          </w:tcPr>
          <w:p w14:paraId="3DA88298" w14:textId="77777777" w:rsidR="002C1B4C" w:rsidRPr="003F0883" w:rsidRDefault="002C1B4C">
            <w:pPr>
              <w:spacing w:line="360" w:lineRule="auto"/>
              <w:jc w:val="center"/>
              <w:rPr>
                <w:rFonts w:ascii="Arial" w:hAnsi="Arial" w:cs="Arial"/>
                <w:sz w:val="20"/>
                <w:szCs w:val="20"/>
              </w:rPr>
            </w:pPr>
            <w:r w:rsidRPr="003F0883">
              <w:rPr>
                <w:rFonts w:ascii="Arial" w:hAnsi="Arial" w:cs="Arial"/>
                <w:sz w:val="20"/>
                <w:szCs w:val="20"/>
              </w:rPr>
              <w:t>F6</w:t>
            </w:r>
          </w:p>
        </w:tc>
        <w:tc>
          <w:tcPr>
            <w:tcW w:w="2264" w:type="dxa"/>
            <w:tcBorders>
              <w:top w:val="nil"/>
              <w:left w:val="nil"/>
              <w:bottom w:val="single" w:sz="4" w:space="0" w:color="auto"/>
              <w:right w:val="nil"/>
            </w:tcBorders>
            <w:hideMark/>
          </w:tcPr>
          <w:p w14:paraId="04A6DB83" w14:textId="77777777" w:rsidR="002C1B4C" w:rsidRPr="003F0883" w:rsidRDefault="002C1B4C" w:rsidP="00FD0FFB">
            <w:pPr>
              <w:spacing w:line="360" w:lineRule="auto"/>
              <w:jc w:val="center"/>
              <w:rPr>
                <w:rFonts w:ascii="Arial" w:hAnsi="Arial" w:cs="Arial"/>
                <w:sz w:val="20"/>
                <w:szCs w:val="20"/>
              </w:rPr>
            </w:pPr>
            <w:r w:rsidRPr="003F0883">
              <w:rPr>
                <w:rFonts w:ascii="Arial" w:eastAsia="Times New Roman" w:hAnsi="Arial" w:cs="Arial"/>
                <w:sz w:val="20"/>
                <w:szCs w:val="20"/>
              </w:rPr>
              <w:t>Gum Arabic 3 %</w:t>
            </w:r>
          </w:p>
        </w:tc>
        <w:tc>
          <w:tcPr>
            <w:tcW w:w="1354" w:type="dxa"/>
            <w:tcBorders>
              <w:top w:val="nil"/>
              <w:left w:val="nil"/>
              <w:bottom w:val="single" w:sz="4" w:space="0" w:color="auto"/>
              <w:right w:val="nil"/>
            </w:tcBorders>
            <w:hideMark/>
          </w:tcPr>
          <w:p w14:paraId="103FDF59" w14:textId="6F9CB25D" w:rsidR="002C1B4C" w:rsidRPr="003F0883" w:rsidRDefault="00B6122A">
            <w:pPr>
              <w:spacing w:line="360" w:lineRule="auto"/>
              <w:jc w:val="center"/>
              <w:rPr>
                <w:rFonts w:ascii="Arial" w:hAnsi="Arial" w:cs="Arial"/>
                <w:sz w:val="20"/>
                <w:szCs w:val="20"/>
              </w:rPr>
            </w:pPr>
            <w:r>
              <w:rPr>
                <w:noProof/>
              </w:rPr>
              <w:drawing>
                <wp:inline distT="0" distB="0" distL="0" distR="0" wp14:anchorId="384CE02B" wp14:editId="443EEDC7">
                  <wp:extent cx="647700" cy="647700"/>
                  <wp:effectExtent l="0" t="0" r="0" b="0"/>
                  <wp:docPr id="89836023" name="Picture 8" descr="A close up of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6023" name="Picture 8" descr="A close up of a circle&#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3900" w:type="dxa"/>
            <w:tcBorders>
              <w:top w:val="nil"/>
              <w:left w:val="nil"/>
              <w:bottom w:val="single" w:sz="4" w:space="0" w:color="auto"/>
              <w:right w:val="nil"/>
            </w:tcBorders>
            <w:hideMark/>
          </w:tcPr>
          <w:p w14:paraId="7D6819FE" w14:textId="77777777" w:rsidR="002C1B4C" w:rsidRPr="003F0883" w:rsidRDefault="002C1B4C" w:rsidP="00FD0FFB">
            <w:pPr>
              <w:spacing w:line="360" w:lineRule="auto"/>
              <w:rPr>
                <w:rFonts w:ascii="Arial" w:hAnsi="Arial" w:cs="Arial"/>
                <w:sz w:val="20"/>
                <w:szCs w:val="20"/>
              </w:rPr>
            </w:pPr>
            <w:r w:rsidRPr="003F0883">
              <w:rPr>
                <w:rFonts w:ascii="Arial" w:eastAsia="Times New Roman" w:hAnsi="Arial" w:cs="Arial"/>
                <w:sz w:val="20"/>
                <w:szCs w:val="20"/>
              </w:rPr>
              <w:t>Darkest color among treatments</w:t>
            </w:r>
          </w:p>
        </w:tc>
      </w:tr>
      <w:tr w:rsidR="00D378C1" w:rsidRPr="003F0883" w14:paraId="34C92A8C" w14:textId="77777777" w:rsidTr="00A911AB">
        <w:tc>
          <w:tcPr>
            <w:tcW w:w="8505" w:type="dxa"/>
            <w:gridSpan w:val="4"/>
            <w:tcBorders>
              <w:top w:val="single" w:sz="4" w:space="0" w:color="auto"/>
              <w:left w:val="nil"/>
              <w:bottom w:val="nil"/>
              <w:right w:val="nil"/>
            </w:tcBorders>
          </w:tcPr>
          <w:p w14:paraId="01B234EC" w14:textId="2E562FD1" w:rsidR="00C33176" w:rsidRPr="00222922" w:rsidRDefault="00C33176" w:rsidP="00222922">
            <w:pPr>
              <w:pStyle w:val="Caption"/>
              <w:tabs>
                <w:tab w:val="left" w:pos="5748"/>
              </w:tabs>
              <w:jc w:val="both"/>
              <w:rPr>
                <w:rFonts w:cs="Arial"/>
                <w:b w:val="0"/>
                <w:bCs/>
                <w:sz w:val="20"/>
                <w:szCs w:val="16"/>
              </w:rPr>
            </w:pPr>
            <w:r w:rsidRPr="00222922">
              <w:rPr>
                <w:rFonts w:cs="Arial"/>
                <w:b w:val="0"/>
                <w:bCs/>
                <w:szCs w:val="16"/>
                <w:highlight w:val="green"/>
              </w:rPr>
              <w:lastRenderedPageBreak/>
              <w:t>Source: Data generated in the present study (2025).</w:t>
            </w:r>
            <w:r w:rsidR="005B296D" w:rsidRPr="001C52B9">
              <w:rPr>
                <w:rFonts w:cs="Arial"/>
                <w:b w:val="0"/>
                <w:bCs/>
                <w:szCs w:val="16"/>
                <w:highlight w:val="green"/>
              </w:rPr>
              <w:tab/>
            </w:r>
          </w:p>
          <w:p w14:paraId="5F2BF7AA" w14:textId="69737A97" w:rsidR="00D378C1" w:rsidRPr="00222922" w:rsidRDefault="00D378C1" w:rsidP="00FD0FFB">
            <w:pPr>
              <w:spacing w:line="360" w:lineRule="auto"/>
              <w:rPr>
                <w:rFonts w:ascii="Arial" w:hAnsi="Arial" w:cs="Arial"/>
                <w:sz w:val="20"/>
                <w:szCs w:val="20"/>
              </w:rPr>
            </w:pPr>
          </w:p>
        </w:tc>
      </w:tr>
    </w:tbl>
    <w:p w14:paraId="302BD258" w14:textId="133C7AD8" w:rsidR="00F61A34" w:rsidRDefault="00F61A34" w:rsidP="00F61A34">
      <w:pPr>
        <w:tabs>
          <w:tab w:val="left" w:pos="2856"/>
        </w:tabs>
        <w:spacing w:line="480" w:lineRule="auto"/>
        <w:jc w:val="center"/>
        <w:rPr>
          <w:rFonts w:ascii="Times New Roman" w:eastAsia="Calibri" w:hAnsi="Times New Roman"/>
          <w:b/>
          <w:bCs/>
        </w:rPr>
      </w:pPr>
      <w:r>
        <w:rPr>
          <w:rFonts w:ascii="Times New Roman" w:hAnsi="Times New Roman"/>
          <w:noProof/>
        </w:rPr>
        <w:drawing>
          <wp:inline distT="0" distB="0" distL="0" distR="0" wp14:anchorId="24B43396" wp14:editId="75B1B7AE">
            <wp:extent cx="5194300" cy="3003550"/>
            <wp:effectExtent l="0" t="0" r="6350" b="6350"/>
            <wp:docPr id="37642083" name="Chart 17">
              <a:extLst xmlns:a="http://schemas.openxmlformats.org/drawingml/2006/main">
                <a:ext uri="{FF2B5EF4-FFF2-40B4-BE49-F238E27FC236}">
                  <a16:creationId xmlns:a16="http://schemas.microsoft.com/office/drawing/2014/main" id="{44F6F624-A619-0243-E317-025F521D70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C67A814" w14:textId="51CBED54" w:rsidR="00C33176" w:rsidRPr="00601C3A" w:rsidRDefault="00F61A34" w:rsidP="00C33176">
      <w:pPr>
        <w:pStyle w:val="Caption"/>
        <w:jc w:val="both"/>
        <w:rPr>
          <w:rFonts w:eastAsia="Calibri" w:cs="Arial"/>
        </w:rPr>
      </w:pPr>
      <w:r>
        <w:t xml:space="preserve">Fig.  </w:t>
      </w:r>
      <w:fldSimple w:instr=" SEQ Fig._ \* ARABIC ">
        <w:r>
          <w:rPr>
            <w:noProof/>
          </w:rPr>
          <w:t>8</w:t>
        </w:r>
      </w:fldSimple>
      <w:r>
        <w:t xml:space="preserve">. </w:t>
      </w:r>
      <w:r w:rsidRPr="00F61A34">
        <w:rPr>
          <w:rFonts w:eastAsia="Calibri" w:cs="Arial"/>
          <w:szCs w:val="20"/>
        </w:rPr>
        <w:t>A radar chart of sensory analysis of milk–ginger powder prepared by foam-mat drying with different stabilizers. These include</w:t>
      </w:r>
      <w:r w:rsidR="00036F7B">
        <w:rPr>
          <w:rFonts w:eastAsia="Calibri" w:cs="Arial"/>
          <w:szCs w:val="20"/>
        </w:rPr>
        <w:t>d</w:t>
      </w:r>
      <w:r w:rsidRPr="00F61A34">
        <w:rPr>
          <w:rFonts w:eastAsia="Calibri" w:cs="Arial"/>
          <w:szCs w:val="20"/>
        </w:rPr>
        <w:t xml:space="preserve"> color, aroma, taste, texture and overall acceptability rated on a 6-point hedonic scale (1 = dislike extremely; 6</w:t>
      </w:r>
      <w:r w:rsidRPr="00F61A34">
        <w:rPr>
          <w:rFonts w:eastAsia="Calibri" w:cs="Arial"/>
          <w:szCs w:val="20"/>
        </w:rPr>
        <w:t> </w:t>
      </w:r>
      <w:r w:rsidRPr="00F61A34">
        <w:rPr>
          <w:rFonts w:eastAsia="Calibri" w:cs="Arial"/>
          <w:szCs w:val="20"/>
        </w:rPr>
        <w:t>= like extremely). K indicates control; F1-F3 represent</w:t>
      </w:r>
      <w:r w:rsidR="00036F7B">
        <w:rPr>
          <w:rFonts w:eastAsia="Calibri" w:cs="Arial"/>
          <w:szCs w:val="20"/>
        </w:rPr>
        <w:t>ed</w:t>
      </w:r>
      <w:r w:rsidRPr="00F61A34">
        <w:rPr>
          <w:rFonts w:eastAsia="Calibri" w:cs="Arial"/>
          <w:szCs w:val="20"/>
        </w:rPr>
        <w:t xml:space="preserve"> 1%-3% CMC concentrations; and F4-F6 indicate</w:t>
      </w:r>
      <w:r w:rsidR="00036F7B">
        <w:rPr>
          <w:rFonts w:eastAsia="Calibri" w:cs="Arial"/>
          <w:szCs w:val="20"/>
        </w:rPr>
        <w:t>d</w:t>
      </w:r>
      <w:r w:rsidRPr="00F61A34">
        <w:rPr>
          <w:rFonts w:eastAsia="Calibri" w:cs="Arial"/>
          <w:szCs w:val="20"/>
        </w:rPr>
        <w:t xml:space="preserve"> concentrations</w:t>
      </w:r>
      <w:r w:rsidRPr="00F61A34">
        <w:rPr>
          <w:rFonts w:eastAsia="Calibri" w:cs="Arial"/>
          <w:szCs w:val="20"/>
        </w:rPr>
        <w:t> </w:t>
      </w:r>
      <w:r w:rsidRPr="00F61A34">
        <w:rPr>
          <w:rFonts w:eastAsia="Calibri" w:cs="Arial"/>
          <w:szCs w:val="20"/>
        </w:rPr>
        <w:t>of gum Arabic at 1-3%.</w:t>
      </w:r>
      <w:r w:rsidR="00C33176">
        <w:rPr>
          <w:rFonts w:eastAsia="Calibri" w:cs="Arial"/>
          <w:szCs w:val="20"/>
        </w:rPr>
        <w:t xml:space="preserve"> </w:t>
      </w:r>
      <w:r w:rsidR="00C33176" w:rsidRPr="00CD35C2">
        <w:rPr>
          <w:rFonts w:eastAsia="Calibri" w:cs="Arial"/>
          <w:highlight w:val="green"/>
        </w:rPr>
        <w:t>Source: Data generated in the present study (2025).</w:t>
      </w:r>
    </w:p>
    <w:p w14:paraId="1C313893" w14:textId="3FA7D68A" w:rsidR="00F61A34" w:rsidRPr="00F61A34" w:rsidRDefault="00F61A34" w:rsidP="00F61A34">
      <w:pPr>
        <w:pStyle w:val="Caption"/>
        <w:jc w:val="both"/>
        <w:rPr>
          <w:rFonts w:eastAsia="Calibri" w:cs="Arial"/>
          <w:b w:val="0"/>
          <w:szCs w:val="20"/>
        </w:rPr>
      </w:pPr>
    </w:p>
    <w:p w14:paraId="6816F2D6" w14:textId="1594F740" w:rsidR="003C6F5F" w:rsidRPr="00F61A34" w:rsidRDefault="00F61A34" w:rsidP="00530638">
      <w:pPr>
        <w:pStyle w:val="Color"/>
        <w:numPr>
          <w:ilvl w:val="0"/>
          <w:numId w:val="0"/>
        </w:numPr>
        <w:spacing w:line="480" w:lineRule="auto"/>
        <w:rPr>
          <w:rFonts w:eastAsia="Calibri"/>
          <w:b w:val="0"/>
          <w:bCs/>
          <w:lang w:val="en-ID"/>
        </w:rPr>
      </w:pPr>
      <w:r>
        <w:rPr>
          <w:b w:val="0"/>
          <w:bCs/>
        </w:rPr>
        <w:tab/>
      </w:r>
      <w:r w:rsidR="00BA3BBE">
        <w:rPr>
          <w:b w:val="0"/>
          <w:bCs/>
        </w:rPr>
        <w:t>Generally</w:t>
      </w:r>
      <w:r>
        <w:rPr>
          <w:b w:val="0"/>
          <w:bCs/>
        </w:rPr>
        <w:t xml:space="preserve">, </w:t>
      </w:r>
      <w:r w:rsidR="0096128B">
        <w:rPr>
          <w:b w:val="0"/>
          <w:bCs/>
        </w:rPr>
        <w:t xml:space="preserve">the </w:t>
      </w:r>
      <w:r>
        <w:rPr>
          <w:b w:val="0"/>
          <w:bCs/>
        </w:rPr>
        <w:t>r</w:t>
      </w:r>
      <w:r w:rsidRPr="00F61A34">
        <w:rPr>
          <w:b w:val="0"/>
          <w:bCs/>
        </w:rPr>
        <w:t xml:space="preserve">esults showed that CMC was able to give foam more stable than gum Arabic and had a better </w:t>
      </w:r>
      <w:r w:rsidR="001B584B" w:rsidRPr="00F61A34">
        <w:rPr>
          <w:b w:val="0"/>
          <w:bCs/>
        </w:rPr>
        <w:t>color</w:t>
      </w:r>
      <w:r w:rsidRPr="00F61A34">
        <w:rPr>
          <w:b w:val="0"/>
          <w:bCs/>
        </w:rPr>
        <w:t xml:space="preserve"> and moisture retention</w:t>
      </w:r>
      <w:r w:rsidRPr="00F61A34">
        <w:rPr>
          <w:b w:val="0"/>
          <w:bCs/>
        </w:rPr>
        <w:t> </w:t>
      </w:r>
      <w:r w:rsidRPr="00F61A34">
        <w:rPr>
          <w:b w:val="0"/>
          <w:bCs/>
        </w:rPr>
        <w:t>capacity, as well as the powder structure of ginger milk powder</w:t>
      </w:r>
      <w:r w:rsidR="0096128B">
        <w:rPr>
          <w:b w:val="0"/>
          <w:bCs/>
        </w:rPr>
        <w:t xml:space="preserve"> at the 1-3 % of dose</w:t>
      </w:r>
      <w:r w:rsidRPr="00F61A34">
        <w:rPr>
          <w:b w:val="0"/>
          <w:bCs/>
        </w:rPr>
        <w:t>. When used at low concentration</w:t>
      </w:r>
      <w:r w:rsidRPr="00F61A34">
        <w:rPr>
          <w:b w:val="0"/>
          <w:bCs/>
        </w:rPr>
        <w:t> </w:t>
      </w:r>
      <w:r w:rsidR="00BA3BBE">
        <w:rPr>
          <w:b w:val="0"/>
          <w:bCs/>
        </w:rPr>
        <w:t xml:space="preserve">of </w:t>
      </w:r>
      <w:r w:rsidR="001B584B">
        <w:rPr>
          <w:b w:val="0"/>
          <w:bCs/>
        </w:rPr>
        <w:t>g</w:t>
      </w:r>
      <w:r w:rsidRPr="00F61A34">
        <w:rPr>
          <w:b w:val="0"/>
          <w:bCs/>
        </w:rPr>
        <w:t>um Arabic enhance</w:t>
      </w:r>
      <w:r w:rsidR="00BA3BBE">
        <w:rPr>
          <w:b w:val="0"/>
          <w:bCs/>
        </w:rPr>
        <w:t>d</w:t>
      </w:r>
      <w:r w:rsidRPr="00F61A34">
        <w:rPr>
          <w:b w:val="0"/>
          <w:bCs/>
        </w:rPr>
        <w:t xml:space="preserve"> the perception of aroma and flavor; however, its poor foam-forming properties restrict</w:t>
      </w:r>
      <w:r w:rsidR="00BA3BBE">
        <w:rPr>
          <w:b w:val="0"/>
          <w:bCs/>
        </w:rPr>
        <w:t>ed</w:t>
      </w:r>
      <w:r w:rsidRPr="00F61A34">
        <w:rPr>
          <w:b w:val="0"/>
          <w:bCs/>
        </w:rPr>
        <w:t xml:space="preserve"> it as a main </w:t>
      </w:r>
      <w:r w:rsidR="001B584B" w:rsidRPr="00F61A34">
        <w:rPr>
          <w:b w:val="0"/>
          <w:bCs/>
        </w:rPr>
        <w:t>stabilizer</w:t>
      </w:r>
      <w:r w:rsidRPr="00F61A34">
        <w:rPr>
          <w:b w:val="0"/>
          <w:bCs/>
        </w:rPr>
        <w:t xml:space="preserve">. Therefore, by incorporating the technical and sensory aspects together, it </w:t>
      </w:r>
      <w:r w:rsidR="00BA3BBE">
        <w:rPr>
          <w:b w:val="0"/>
          <w:bCs/>
        </w:rPr>
        <w:t>could be</w:t>
      </w:r>
      <w:r w:rsidRPr="00F61A34">
        <w:rPr>
          <w:b w:val="0"/>
          <w:bCs/>
        </w:rPr>
        <w:t xml:space="preserve"> </w:t>
      </w:r>
      <w:r w:rsidR="00BA3BBE">
        <w:rPr>
          <w:b w:val="0"/>
          <w:bCs/>
        </w:rPr>
        <w:t>revealed</w:t>
      </w:r>
      <w:r w:rsidR="00BA3BBE" w:rsidRPr="00F61A34">
        <w:rPr>
          <w:b w:val="0"/>
          <w:bCs/>
        </w:rPr>
        <w:t xml:space="preserve"> </w:t>
      </w:r>
      <w:r w:rsidRPr="00F61A34">
        <w:rPr>
          <w:b w:val="0"/>
          <w:bCs/>
        </w:rPr>
        <w:t>that of</w:t>
      </w:r>
      <w:r w:rsidRPr="00F61A34">
        <w:rPr>
          <w:b w:val="0"/>
          <w:bCs/>
        </w:rPr>
        <w:t> </w:t>
      </w:r>
      <w:r w:rsidRPr="00F61A34">
        <w:rPr>
          <w:b w:val="0"/>
          <w:bCs/>
        </w:rPr>
        <w:t xml:space="preserve">3% CMC concentration </w:t>
      </w:r>
      <w:r w:rsidR="00BA3BBE">
        <w:rPr>
          <w:b w:val="0"/>
          <w:bCs/>
        </w:rPr>
        <w:t>was</w:t>
      </w:r>
      <w:r w:rsidR="00BA3BBE" w:rsidRPr="00F61A34">
        <w:rPr>
          <w:b w:val="0"/>
          <w:bCs/>
        </w:rPr>
        <w:t xml:space="preserve"> </w:t>
      </w:r>
      <w:r w:rsidRPr="00F61A34">
        <w:rPr>
          <w:b w:val="0"/>
          <w:bCs/>
        </w:rPr>
        <w:t>being found to be the best formulation for small</w:t>
      </w:r>
      <w:r w:rsidR="001B584B">
        <w:rPr>
          <w:b w:val="0"/>
          <w:bCs/>
        </w:rPr>
        <w:t xml:space="preserve"> to </w:t>
      </w:r>
      <w:r w:rsidRPr="00F61A34">
        <w:rPr>
          <w:b w:val="0"/>
          <w:bCs/>
        </w:rPr>
        <w:t xml:space="preserve">medium scale production of </w:t>
      </w:r>
      <w:r w:rsidR="001B584B">
        <w:rPr>
          <w:b w:val="0"/>
          <w:bCs/>
        </w:rPr>
        <w:t>sugar free</w:t>
      </w:r>
      <w:r w:rsidRPr="00F61A34">
        <w:rPr>
          <w:b w:val="0"/>
          <w:bCs/>
        </w:rPr>
        <w:t xml:space="preserve"> ginger-milk powder using foam</w:t>
      </w:r>
      <w:r w:rsidR="00CF1B46">
        <w:rPr>
          <w:b w:val="0"/>
          <w:bCs/>
        </w:rPr>
        <w:t>-</w:t>
      </w:r>
      <w:r w:rsidRPr="00F61A34">
        <w:rPr>
          <w:b w:val="0"/>
          <w:bCs/>
        </w:rPr>
        <w:t>mat drying technique.</w:t>
      </w:r>
    </w:p>
    <w:p w14:paraId="6312176D" w14:textId="77777777" w:rsidR="00B01FCD" w:rsidRDefault="00000F8F" w:rsidP="002D095D">
      <w:pPr>
        <w:pStyle w:val="ConcHead"/>
        <w:spacing w:after="0" w:line="480" w:lineRule="auto"/>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18E007DA" w14:textId="794333FA" w:rsidR="00F61A34" w:rsidRDefault="00CF1B46" w:rsidP="002D095D">
      <w:pPr>
        <w:pStyle w:val="AcknHead"/>
        <w:spacing w:line="480" w:lineRule="auto"/>
        <w:jc w:val="both"/>
        <w:rPr>
          <w:rFonts w:ascii="Arial" w:hAnsi="Arial" w:cs="Arial"/>
          <w:b w:val="0"/>
          <w:caps w:val="0"/>
          <w:sz w:val="20"/>
        </w:rPr>
      </w:pPr>
      <w:r>
        <w:rPr>
          <w:rFonts w:ascii="Arial" w:hAnsi="Arial" w:cs="Arial"/>
          <w:b w:val="0"/>
          <w:caps w:val="0"/>
          <w:sz w:val="20"/>
        </w:rPr>
        <w:tab/>
      </w:r>
      <w:r w:rsidR="00F61A34" w:rsidRPr="00F61A34">
        <w:rPr>
          <w:rFonts w:ascii="Arial" w:hAnsi="Arial" w:cs="Arial"/>
          <w:b w:val="0"/>
          <w:caps w:val="0"/>
          <w:sz w:val="20"/>
        </w:rPr>
        <w:t xml:space="preserve">The type and concentration of the stabilizer had a </w:t>
      </w:r>
      <w:r w:rsidR="00284F92">
        <w:rPr>
          <w:rFonts w:ascii="Arial" w:hAnsi="Arial" w:cs="Arial"/>
          <w:b w:val="0"/>
          <w:caps w:val="0"/>
          <w:sz w:val="20"/>
        </w:rPr>
        <w:t>significant</w:t>
      </w:r>
      <w:r w:rsidR="00F61A34" w:rsidRPr="00F61A34">
        <w:rPr>
          <w:rFonts w:ascii="Arial" w:hAnsi="Arial" w:cs="Arial"/>
          <w:b w:val="0"/>
          <w:caps w:val="0"/>
          <w:sz w:val="20"/>
        </w:rPr>
        <w:t xml:space="preserve"> effect on the foam properties, physicochemi</w:t>
      </w:r>
      <w:r w:rsidR="00284F92">
        <w:rPr>
          <w:rFonts w:ascii="Arial" w:hAnsi="Arial" w:cs="Arial"/>
          <w:b w:val="0"/>
          <w:caps w:val="0"/>
          <w:sz w:val="20"/>
        </w:rPr>
        <w:t>cal</w:t>
      </w:r>
      <w:r w:rsidR="00F61A34" w:rsidRPr="00F61A34">
        <w:rPr>
          <w:rFonts w:ascii="Arial" w:hAnsi="Arial" w:cs="Arial"/>
          <w:b w:val="0"/>
          <w:caps w:val="0"/>
          <w:sz w:val="20"/>
        </w:rPr>
        <w:t xml:space="preserve"> properties, and sensory </w:t>
      </w:r>
      <w:r w:rsidR="00284F92">
        <w:rPr>
          <w:rFonts w:ascii="Arial" w:hAnsi="Arial" w:cs="Arial"/>
          <w:b w:val="0"/>
          <w:caps w:val="0"/>
          <w:sz w:val="20"/>
        </w:rPr>
        <w:t>attributes</w:t>
      </w:r>
      <w:r w:rsidR="00F61A34" w:rsidRPr="00F61A34">
        <w:rPr>
          <w:rFonts w:ascii="Arial" w:hAnsi="Arial" w:cs="Arial"/>
          <w:b w:val="0"/>
          <w:caps w:val="0"/>
          <w:sz w:val="20"/>
        </w:rPr>
        <w:t xml:space="preserve"> of ginger-milk powder prepared via foam-mat drying. </w:t>
      </w:r>
      <w:r w:rsidR="00284F92">
        <w:rPr>
          <w:rFonts w:ascii="Arial" w:hAnsi="Arial" w:cs="Arial"/>
          <w:b w:val="0"/>
          <w:caps w:val="0"/>
          <w:sz w:val="20"/>
        </w:rPr>
        <w:t>This study revealed that f</w:t>
      </w:r>
      <w:r w:rsidR="00F61A34" w:rsidRPr="00F61A34">
        <w:rPr>
          <w:rFonts w:ascii="Arial" w:hAnsi="Arial" w:cs="Arial"/>
          <w:b w:val="0"/>
          <w:caps w:val="0"/>
          <w:sz w:val="20"/>
        </w:rPr>
        <w:t xml:space="preserve">oam properties including foam stability, density and brightness of CMC </w:t>
      </w:r>
      <w:r w:rsidR="00284F92">
        <w:rPr>
          <w:rFonts w:ascii="Arial" w:hAnsi="Arial" w:cs="Arial"/>
          <w:b w:val="0"/>
          <w:caps w:val="0"/>
          <w:sz w:val="20"/>
        </w:rPr>
        <w:t xml:space="preserve">treatment </w:t>
      </w:r>
      <w:r w:rsidR="00F61A34" w:rsidRPr="00F61A34">
        <w:rPr>
          <w:rFonts w:ascii="Arial" w:hAnsi="Arial" w:cs="Arial"/>
          <w:b w:val="0"/>
          <w:caps w:val="0"/>
          <w:sz w:val="20"/>
        </w:rPr>
        <w:t xml:space="preserve">were improved in comparison with </w:t>
      </w:r>
      <w:r>
        <w:rPr>
          <w:rFonts w:ascii="Arial" w:hAnsi="Arial" w:cs="Arial"/>
          <w:b w:val="0"/>
          <w:caps w:val="0"/>
          <w:sz w:val="20"/>
        </w:rPr>
        <w:t xml:space="preserve">gum </w:t>
      </w:r>
      <w:r w:rsidR="00F61A34" w:rsidRPr="00F61A34">
        <w:rPr>
          <w:rFonts w:ascii="Arial" w:hAnsi="Arial" w:cs="Arial"/>
          <w:b w:val="0"/>
          <w:caps w:val="0"/>
          <w:sz w:val="20"/>
        </w:rPr>
        <w:t>A</w:t>
      </w:r>
      <w:r>
        <w:rPr>
          <w:rFonts w:ascii="Arial" w:hAnsi="Arial" w:cs="Arial"/>
          <w:b w:val="0"/>
          <w:caps w:val="0"/>
          <w:sz w:val="20"/>
        </w:rPr>
        <w:t>rabic</w:t>
      </w:r>
      <w:r w:rsidR="00ED4472">
        <w:rPr>
          <w:rFonts w:ascii="Arial" w:hAnsi="Arial" w:cs="Arial"/>
          <w:b w:val="0"/>
          <w:caps w:val="0"/>
          <w:sz w:val="20"/>
        </w:rPr>
        <w:t xml:space="preserve"> at the concentration 1-3 % w/w</w:t>
      </w:r>
      <w:r w:rsidR="00F61A34" w:rsidRPr="00F61A34">
        <w:rPr>
          <w:rFonts w:ascii="Arial" w:hAnsi="Arial" w:cs="Arial"/>
          <w:b w:val="0"/>
          <w:caps w:val="0"/>
          <w:sz w:val="20"/>
        </w:rPr>
        <w:t>. The addition of this stabilizer increased homogeneity, moisture and sensor</w:t>
      </w:r>
      <w:r w:rsidR="00284F92">
        <w:rPr>
          <w:rFonts w:ascii="Arial" w:hAnsi="Arial" w:cs="Arial"/>
          <w:b w:val="0"/>
          <w:caps w:val="0"/>
          <w:sz w:val="20"/>
        </w:rPr>
        <w:t>y</w:t>
      </w:r>
      <w:r w:rsidR="00F61A34" w:rsidRPr="00F61A34">
        <w:rPr>
          <w:rFonts w:ascii="Arial" w:hAnsi="Arial" w:cs="Arial"/>
          <w:b w:val="0"/>
          <w:caps w:val="0"/>
          <w:sz w:val="20"/>
        </w:rPr>
        <w:t xml:space="preserve"> </w:t>
      </w:r>
      <w:r w:rsidR="00284F92">
        <w:rPr>
          <w:rFonts w:ascii="Arial" w:hAnsi="Arial" w:cs="Arial"/>
          <w:b w:val="0"/>
          <w:caps w:val="0"/>
          <w:sz w:val="20"/>
        </w:rPr>
        <w:t>properties</w:t>
      </w:r>
      <w:r w:rsidR="00F61A34" w:rsidRPr="00F61A34">
        <w:rPr>
          <w:rFonts w:ascii="Arial" w:hAnsi="Arial" w:cs="Arial"/>
          <w:b w:val="0"/>
          <w:caps w:val="0"/>
          <w:sz w:val="20"/>
        </w:rPr>
        <w:t xml:space="preserve">. </w:t>
      </w:r>
      <w:r w:rsidR="00284F92">
        <w:rPr>
          <w:rFonts w:ascii="Arial" w:hAnsi="Arial" w:cs="Arial"/>
          <w:b w:val="0"/>
          <w:caps w:val="0"/>
          <w:sz w:val="20"/>
        </w:rPr>
        <w:t>Particularly, t</w:t>
      </w:r>
      <w:r w:rsidR="00F61A34" w:rsidRPr="00F61A34">
        <w:rPr>
          <w:rFonts w:ascii="Arial" w:hAnsi="Arial" w:cs="Arial"/>
          <w:b w:val="0"/>
          <w:caps w:val="0"/>
          <w:sz w:val="20"/>
        </w:rPr>
        <w:t xml:space="preserve">he 3% CMC formulation </w:t>
      </w:r>
      <w:r>
        <w:rPr>
          <w:rFonts w:ascii="Arial" w:hAnsi="Arial" w:cs="Arial"/>
          <w:b w:val="0"/>
          <w:caps w:val="0"/>
          <w:sz w:val="20"/>
        </w:rPr>
        <w:t>(</w:t>
      </w:r>
      <w:r w:rsidR="00F61A34" w:rsidRPr="00F61A34">
        <w:rPr>
          <w:rFonts w:ascii="Arial" w:hAnsi="Arial" w:cs="Arial"/>
          <w:b w:val="0"/>
          <w:caps w:val="0"/>
          <w:sz w:val="20"/>
        </w:rPr>
        <w:t>F3</w:t>
      </w:r>
      <w:r>
        <w:rPr>
          <w:rFonts w:ascii="Arial" w:hAnsi="Arial" w:cs="Arial"/>
          <w:b w:val="0"/>
          <w:caps w:val="0"/>
          <w:sz w:val="20"/>
        </w:rPr>
        <w:t>)</w:t>
      </w:r>
      <w:r w:rsidR="00F61A34" w:rsidRPr="00F61A34">
        <w:rPr>
          <w:rFonts w:ascii="Arial" w:hAnsi="Arial" w:cs="Arial"/>
          <w:b w:val="0"/>
          <w:caps w:val="0"/>
          <w:sz w:val="20"/>
        </w:rPr>
        <w:t xml:space="preserve"> displayed the most optimal features regarding all the parameters evaluated, including foam properties, color consistency, ability of reconstitution and global sensory acceptability. Gum Arabic based treatment at relatively mild concentrations (1–2%) could successfully </w:t>
      </w:r>
      <w:r w:rsidR="00B46D4F" w:rsidRPr="00F61A34">
        <w:rPr>
          <w:rFonts w:ascii="Arial" w:hAnsi="Arial" w:cs="Arial"/>
          <w:b w:val="0"/>
          <w:caps w:val="0"/>
          <w:sz w:val="20"/>
        </w:rPr>
        <w:t>improve</w:t>
      </w:r>
      <w:r w:rsidR="00F61A34" w:rsidRPr="00F61A34">
        <w:rPr>
          <w:rFonts w:ascii="Arial" w:hAnsi="Arial" w:cs="Arial"/>
          <w:b w:val="0"/>
          <w:caps w:val="0"/>
          <w:sz w:val="20"/>
        </w:rPr>
        <w:t xml:space="preserve"> aroma and flavor balance, although maintenance of foam integrity and structural stability appeared to be less effective.</w:t>
      </w:r>
      <w:r w:rsidR="00F61A34">
        <w:rPr>
          <w:rFonts w:ascii="Arial" w:hAnsi="Arial" w:cs="Arial"/>
          <w:b w:val="0"/>
          <w:caps w:val="0"/>
          <w:sz w:val="20"/>
        </w:rPr>
        <w:t xml:space="preserve"> </w:t>
      </w:r>
      <w:r w:rsidR="00F61A34" w:rsidRPr="00F61A34">
        <w:rPr>
          <w:rFonts w:ascii="Arial" w:hAnsi="Arial" w:cs="Arial"/>
          <w:b w:val="0"/>
          <w:caps w:val="0"/>
          <w:sz w:val="20"/>
        </w:rPr>
        <w:t xml:space="preserve">Consequently, </w:t>
      </w:r>
      <w:r w:rsidR="00284F92">
        <w:rPr>
          <w:rFonts w:ascii="Arial" w:hAnsi="Arial" w:cs="Arial"/>
          <w:b w:val="0"/>
          <w:caps w:val="0"/>
          <w:sz w:val="20"/>
        </w:rPr>
        <w:t>the F3 formulation</w:t>
      </w:r>
      <w:r w:rsidR="00F61A34" w:rsidRPr="00F61A34">
        <w:rPr>
          <w:rFonts w:ascii="Arial" w:hAnsi="Arial" w:cs="Arial"/>
          <w:b w:val="0"/>
          <w:caps w:val="0"/>
          <w:sz w:val="20"/>
        </w:rPr>
        <w:t xml:space="preserve"> </w:t>
      </w:r>
      <w:r w:rsidR="00284F92">
        <w:rPr>
          <w:rFonts w:ascii="Arial" w:hAnsi="Arial" w:cs="Arial"/>
          <w:b w:val="0"/>
          <w:caps w:val="0"/>
          <w:sz w:val="20"/>
        </w:rPr>
        <w:t>(</w:t>
      </w:r>
      <w:r w:rsidR="00F61A34" w:rsidRPr="00F61A34">
        <w:rPr>
          <w:rFonts w:ascii="Arial" w:hAnsi="Arial" w:cs="Arial"/>
          <w:b w:val="0"/>
          <w:caps w:val="0"/>
          <w:sz w:val="20"/>
        </w:rPr>
        <w:t>3% CMC</w:t>
      </w:r>
      <w:r w:rsidR="00284F92">
        <w:rPr>
          <w:rFonts w:ascii="Arial" w:hAnsi="Arial" w:cs="Arial"/>
          <w:b w:val="0"/>
          <w:caps w:val="0"/>
          <w:sz w:val="20"/>
        </w:rPr>
        <w:t>)</w:t>
      </w:r>
      <w:r w:rsidR="00F61A34" w:rsidRPr="00F61A34">
        <w:rPr>
          <w:rFonts w:ascii="Arial" w:hAnsi="Arial" w:cs="Arial"/>
          <w:b w:val="0"/>
          <w:caps w:val="0"/>
          <w:sz w:val="20"/>
        </w:rPr>
        <w:t xml:space="preserve"> </w:t>
      </w:r>
      <w:r w:rsidR="00AE09A9">
        <w:rPr>
          <w:rFonts w:ascii="Arial" w:hAnsi="Arial" w:cs="Arial"/>
          <w:b w:val="0"/>
          <w:caps w:val="0"/>
          <w:sz w:val="20"/>
        </w:rPr>
        <w:t xml:space="preserve">was </w:t>
      </w:r>
      <w:r w:rsidR="00565641">
        <w:rPr>
          <w:rFonts w:ascii="Arial" w:hAnsi="Arial" w:cs="Arial"/>
          <w:b w:val="0"/>
          <w:caps w:val="0"/>
          <w:sz w:val="20"/>
        </w:rPr>
        <w:t>identified</w:t>
      </w:r>
      <w:r w:rsidR="00F61A34">
        <w:rPr>
          <w:rFonts w:ascii="Arial" w:hAnsi="Arial" w:cs="Arial"/>
          <w:b w:val="0"/>
          <w:caps w:val="0"/>
          <w:sz w:val="20"/>
        </w:rPr>
        <w:t xml:space="preserve"> </w:t>
      </w:r>
      <w:r w:rsidR="00F61A34" w:rsidRPr="00F61A34">
        <w:rPr>
          <w:rFonts w:ascii="Arial" w:hAnsi="Arial" w:cs="Arial"/>
          <w:b w:val="0"/>
          <w:caps w:val="0"/>
          <w:sz w:val="20"/>
        </w:rPr>
        <w:t xml:space="preserve">as the optimal stabilizer for </w:t>
      </w:r>
      <w:r w:rsidR="00565641">
        <w:rPr>
          <w:rFonts w:ascii="Arial" w:hAnsi="Arial" w:cs="Arial"/>
          <w:b w:val="0"/>
          <w:caps w:val="0"/>
          <w:sz w:val="20"/>
        </w:rPr>
        <w:t>producing</w:t>
      </w:r>
      <w:r w:rsidR="00F61A34" w:rsidRPr="00F61A34">
        <w:rPr>
          <w:rFonts w:ascii="Arial" w:hAnsi="Arial" w:cs="Arial"/>
          <w:b w:val="0"/>
          <w:caps w:val="0"/>
          <w:sz w:val="20"/>
        </w:rPr>
        <w:t xml:space="preserve"> of high-quality, sugar-free ginger</w:t>
      </w:r>
      <w:r w:rsidR="00565641">
        <w:rPr>
          <w:rFonts w:ascii="Arial" w:hAnsi="Arial" w:cs="Arial"/>
          <w:b w:val="0"/>
          <w:caps w:val="0"/>
          <w:sz w:val="20"/>
        </w:rPr>
        <w:t xml:space="preserve"> </w:t>
      </w:r>
      <w:r w:rsidR="00F61A34" w:rsidRPr="00F61A34">
        <w:rPr>
          <w:rFonts w:ascii="Arial" w:hAnsi="Arial" w:cs="Arial"/>
          <w:b w:val="0"/>
          <w:caps w:val="0"/>
          <w:sz w:val="20"/>
        </w:rPr>
        <w:t>milk powder suitable for small- and medium-scale manufacturing.</w:t>
      </w:r>
    </w:p>
    <w:p w14:paraId="3550BA89" w14:textId="6A48DAAE" w:rsidR="005C784C" w:rsidRPr="00766425" w:rsidRDefault="005C784C" w:rsidP="00441B6F">
      <w:pPr>
        <w:pStyle w:val="ReferHead"/>
        <w:spacing w:after="0"/>
        <w:jc w:val="both"/>
        <w:rPr>
          <w:rFonts w:ascii="Arial" w:hAnsi="Arial" w:cs="Arial"/>
          <w:bCs/>
        </w:rPr>
      </w:pPr>
      <w:r w:rsidRPr="00766425">
        <w:rPr>
          <w:rFonts w:ascii="Arial" w:hAnsi="Arial" w:cs="Arial"/>
          <w:bCs/>
        </w:rPr>
        <w:t>Ethical approval</w:t>
      </w:r>
    </w:p>
    <w:p w14:paraId="7510E764" w14:textId="77777777" w:rsidR="005C784C" w:rsidRPr="002B685A" w:rsidRDefault="005C784C" w:rsidP="00441B6F">
      <w:pPr>
        <w:pStyle w:val="ReferHead"/>
        <w:spacing w:after="0"/>
        <w:jc w:val="both"/>
        <w:rPr>
          <w:rFonts w:ascii="Arial" w:hAnsi="Arial" w:cs="Arial"/>
          <w:bCs/>
        </w:rPr>
      </w:pPr>
    </w:p>
    <w:p w14:paraId="0550D2EB" w14:textId="71732C74" w:rsidR="00F54FDF" w:rsidRDefault="00CF1B46" w:rsidP="00A319F7">
      <w:pPr>
        <w:pStyle w:val="ReferHead"/>
        <w:spacing w:after="0" w:line="480" w:lineRule="auto"/>
        <w:jc w:val="both"/>
        <w:rPr>
          <w:rFonts w:ascii="Arial" w:hAnsi="Arial" w:cs="Arial"/>
          <w:b w:val="0"/>
          <w:caps w:val="0"/>
          <w:sz w:val="20"/>
        </w:rPr>
      </w:pPr>
      <w:r>
        <w:rPr>
          <w:rFonts w:ascii="Arial" w:hAnsi="Arial" w:cs="Arial"/>
          <w:b w:val="0"/>
          <w:caps w:val="0"/>
          <w:sz w:val="20"/>
        </w:rPr>
        <w:tab/>
      </w:r>
      <w:r w:rsidR="00A319F7" w:rsidRPr="00A319F7">
        <w:rPr>
          <w:rFonts w:ascii="Arial" w:hAnsi="Arial" w:cs="Arial"/>
          <w:b w:val="0"/>
          <w:caps w:val="0"/>
          <w:sz w:val="20"/>
        </w:rPr>
        <w:t xml:space="preserve">This study, which involved sensory analysis with human panelists, received ethical approval from the Ethics Committee of the College of Health Sciences </w:t>
      </w:r>
      <w:proofErr w:type="spellStart"/>
      <w:r w:rsidR="00A319F7" w:rsidRPr="00A319F7">
        <w:rPr>
          <w:rFonts w:ascii="Arial" w:hAnsi="Arial" w:cs="Arial"/>
          <w:b w:val="0"/>
          <w:i/>
          <w:iCs/>
          <w:caps w:val="0"/>
          <w:sz w:val="20"/>
        </w:rPr>
        <w:t>Guna</w:t>
      </w:r>
      <w:proofErr w:type="spellEnd"/>
      <w:r w:rsidR="00A319F7" w:rsidRPr="00A319F7">
        <w:rPr>
          <w:rFonts w:ascii="Arial" w:hAnsi="Arial" w:cs="Arial"/>
          <w:b w:val="0"/>
          <w:i/>
          <w:iCs/>
          <w:caps w:val="0"/>
          <w:sz w:val="20"/>
        </w:rPr>
        <w:t xml:space="preserve"> </w:t>
      </w:r>
      <w:proofErr w:type="spellStart"/>
      <w:r w:rsidR="00A319F7" w:rsidRPr="00A319F7">
        <w:rPr>
          <w:rFonts w:ascii="Arial" w:hAnsi="Arial" w:cs="Arial"/>
          <w:b w:val="0"/>
          <w:i/>
          <w:iCs/>
          <w:caps w:val="0"/>
          <w:sz w:val="20"/>
        </w:rPr>
        <w:t>Bangsa</w:t>
      </w:r>
      <w:proofErr w:type="spellEnd"/>
      <w:r w:rsidR="00A319F7" w:rsidRPr="00A319F7">
        <w:rPr>
          <w:rFonts w:ascii="Arial" w:hAnsi="Arial" w:cs="Arial"/>
          <w:b w:val="0"/>
          <w:caps w:val="0"/>
          <w:sz w:val="20"/>
        </w:rPr>
        <w:t xml:space="preserve"> Yogyakarta</w:t>
      </w:r>
      <w:r w:rsidR="008F7027">
        <w:rPr>
          <w:rFonts w:ascii="Arial" w:hAnsi="Arial" w:cs="Arial"/>
          <w:b w:val="0"/>
          <w:caps w:val="0"/>
          <w:sz w:val="20"/>
        </w:rPr>
        <w:t xml:space="preserve"> (</w:t>
      </w:r>
      <w:r w:rsidR="008F7027" w:rsidRPr="008B1DEB">
        <w:rPr>
          <w:rFonts w:ascii="Arial" w:hAnsi="Arial" w:cs="Arial"/>
          <w:b w:val="0"/>
          <w:i/>
          <w:iCs/>
          <w:caps w:val="0"/>
          <w:sz w:val="20"/>
        </w:rPr>
        <w:t xml:space="preserve">STIKES </w:t>
      </w:r>
      <w:proofErr w:type="spellStart"/>
      <w:r w:rsidR="008F7027" w:rsidRPr="008B1DEB">
        <w:rPr>
          <w:rFonts w:ascii="Arial" w:hAnsi="Arial" w:cs="Arial"/>
          <w:b w:val="0"/>
          <w:i/>
          <w:iCs/>
          <w:caps w:val="0"/>
          <w:sz w:val="20"/>
        </w:rPr>
        <w:t>Guna</w:t>
      </w:r>
      <w:proofErr w:type="spellEnd"/>
      <w:r w:rsidR="008F7027" w:rsidRPr="008B1DEB">
        <w:rPr>
          <w:rFonts w:ascii="Arial" w:hAnsi="Arial" w:cs="Arial"/>
          <w:b w:val="0"/>
          <w:i/>
          <w:iCs/>
          <w:caps w:val="0"/>
          <w:sz w:val="20"/>
        </w:rPr>
        <w:t xml:space="preserve"> </w:t>
      </w:r>
      <w:proofErr w:type="spellStart"/>
      <w:r w:rsidR="008F7027" w:rsidRPr="008B1DEB">
        <w:rPr>
          <w:rFonts w:ascii="Arial" w:hAnsi="Arial" w:cs="Arial"/>
          <w:b w:val="0"/>
          <w:i/>
          <w:iCs/>
          <w:caps w:val="0"/>
          <w:sz w:val="20"/>
        </w:rPr>
        <w:t>Bangsa</w:t>
      </w:r>
      <w:proofErr w:type="spellEnd"/>
      <w:r w:rsidR="008F7027">
        <w:rPr>
          <w:rFonts w:ascii="Arial" w:hAnsi="Arial" w:cs="Arial"/>
          <w:b w:val="0"/>
          <w:caps w:val="0"/>
          <w:sz w:val="20"/>
        </w:rPr>
        <w:t>)</w:t>
      </w:r>
      <w:r w:rsidR="00A319F7" w:rsidRPr="00A319F7">
        <w:rPr>
          <w:rFonts w:ascii="Arial" w:hAnsi="Arial" w:cs="Arial"/>
          <w:b w:val="0"/>
          <w:caps w:val="0"/>
          <w:sz w:val="20"/>
        </w:rPr>
        <w:t>, with Approval Number 039/KEPK/VII/2025.</w:t>
      </w:r>
    </w:p>
    <w:p w14:paraId="47332C63" w14:textId="77777777" w:rsidR="00B46D4F" w:rsidRDefault="00B46D4F" w:rsidP="00A319F7">
      <w:pPr>
        <w:pStyle w:val="ReferHead"/>
        <w:spacing w:after="0" w:line="480" w:lineRule="auto"/>
        <w:jc w:val="both"/>
        <w:rPr>
          <w:rFonts w:ascii="Arial" w:hAnsi="Arial" w:cs="Arial"/>
          <w:b w:val="0"/>
          <w:caps w:val="0"/>
          <w:sz w:val="20"/>
        </w:rPr>
      </w:pPr>
    </w:p>
    <w:p w14:paraId="13B0402D" w14:textId="77777777" w:rsidR="007507AC" w:rsidRDefault="007507AC" w:rsidP="007507AC">
      <w:pPr>
        <w:jc w:val="both"/>
        <w:outlineLvl w:val="0"/>
        <w:rPr>
          <w:rFonts w:ascii="Arial" w:hAnsi="Arial" w:cs="Arial"/>
          <w:b/>
          <w:bCs/>
        </w:rPr>
      </w:pPr>
      <w:r w:rsidRPr="003A29C6">
        <w:rPr>
          <w:rFonts w:ascii="Arial" w:hAnsi="Arial" w:cs="Arial"/>
          <w:b/>
          <w:bCs/>
        </w:rPr>
        <w:t>COMPETING INTERESTS DISCLAIMER:</w:t>
      </w:r>
    </w:p>
    <w:p w14:paraId="28567F0E" w14:textId="77777777" w:rsidR="002B6633" w:rsidRPr="003A29C6" w:rsidRDefault="002B6633" w:rsidP="007507AC">
      <w:pPr>
        <w:jc w:val="both"/>
        <w:outlineLvl w:val="0"/>
        <w:rPr>
          <w:rFonts w:ascii="Arial" w:hAnsi="Arial" w:cs="Arial"/>
        </w:rPr>
      </w:pPr>
    </w:p>
    <w:p w14:paraId="6B9AA77B" w14:textId="35B4581F" w:rsidR="007507AC" w:rsidRPr="00222922" w:rsidRDefault="007507AC" w:rsidP="00222922">
      <w:pPr>
        <w:spacing w:line="480" w:lineRule="auto"/>
        <w:rPr>
          <w:rFonts w:ascii="Arial" w:hAnsi="Arial" w:cs="Arial"/>
        </w:rPr>
      </w:pPr>
      <w:r w:rsidRPr="00222922">
        <w:rPr>
          <w:rFonts w:ascii="Arial" w:hAnsi="Arial" w:cs="Arial"/>
        </w:rPr>
        <w:t>Authors have declared that they have no known competing financial interests OR non-financial interests OR personal relationships that could have appeared to influence the work reported in this paper.</w:t>
      </w:r>
    </w:p>
    <w:p w14:paraId="62A56125" w14:textId="7D8CB802" w:rsidR="00250BF0" w:rsidRDefault="00250BF0" w:rsidP="007507AC"/>
    <w:p w14:paraId="1A7C1054" w14:textId="00B08FC8" w:rsidR="00250BF0" w:rsidRPr="00222922" w:rsidRDefault="00B46D4F" w:rsidP="007507AC">
      <w:pPr>
        <w:rPr>
          <w:rFonts w:ascii="Arial" w:hAnsi="Arial" w:cs="Arial"/>
          <w:b/>
          <w:bCs/>
        </w:rPr>
      </w:pPr>
      <w:r w:rsidRPr="00222922">
        <w:rPr>
          <w:rFonts w:ascii="Arial" w:hAnsi="Arial" w:cs="Arial"/>
          <w:b/>
          <w:bCs/>
        </w:rPr>
        <w:t>AI USAGE DISCLAIMER</w:t>
      </w:r>
    </w:p>
    <w:p w14:paraId="40805D98" w14:textId="1793565B" w:rsidR="00250BF0" w:rsidRPr="00222922" w:rsidRDefault="00250BF0" w:rsidP="007507AC">
      <w:pPr>
        <w:rPr>
          <w:sz w:val="22"/>
          <w:szCs w:val="22"/>
        </w:rPr>
      </w:pPr>
    </w:p>
    <w:p w14:paraId="2B0A35EB" w14:textId="77777777" w:rsidR="0055617C" w:rsidRPr="00222922" w:rsidRDefault="0055617C" w:rsidP="00222922">
      <w:pPr>
        <w:jc w:val="both"/>
        <w:rPr>
          <w:rFonts w:ascii="Arial" w:hAnsi="Arial" w:cs="Arial"/>
        </w:rPr>
      </w:pPr>
      <w:bookmarkStart w:id="11" w:name="_Hlk197682619"/>
      <w:bookmarkStart w:id="12" w:name="_Hlk180402183"/>
      <w:bookmarkStart w:id="13" w:name="_Hlk183680988"/>
      <w:bookmarkStart w:id="14" w:name="_Hlk197351200"/>
      <w:r w:rsidRPr="00222922">
        <w:rPr>
          <w:rFonts w:ascii="Arial" w:hAnsi="Arial" w:cs="Arial"/>
        </w:rPr>
        <w:t>The authors declare that generative AI technology (</w:t>
      </w:r>
      <w:proofErr w:type="spellStart"/>
      <w:r w:rsidRPr="00222922">
        <w:rPr>
          <w:rFonts w:ascii="Arial" w:hAnsi="Arial" w:cs="Arial"/>
        </w:rPr>
        <w:t>ChatGPT</w:t>
      </w:r>
      <w:proofErr w:type="spellEnd"/>
      <w:r w:rsidRPr="00222922">
        <w:rPr>
          <w:rFonts w:ascii="Arial" w:hAnsi="Arial" w:cs="Arial"/>
        </w:rPr>
        <w:t xml:space="preserve">, </w:t>
      </w:r>
      <w:proofErr w:type="spellStart"/>
      <w:r w:rsidRPr="00222922">
        <w:rPr>
          <w:rFonts w:ascii="Arial" w:hAnsi="Arial" w:cs="Arial"/>
        </w:rPr>
        <w:t>OpenAI</w:t>
      </w:r>
      <w:proofErr w:type="spellEnd"/>
      <w:r w:rsidRPr="00222922">
        <w:rPr>
          <w:rFonts w:ascii="Arial" w:hAnsi="Arial" w:cs="Arial"/>
        </w:rPr>
        <w:t xml:space="preserve">) was used solely for language editing and improving clarity in the manuscript. No AI tools were used to generate, analyze, or interpret scientific data. All content, results, and conclusions are entirely the </w:t>
      </w:r>
      <w:r w:rsidRPr="00222922">
        <w:rPr>
          <w:rFonts w:ascii="Arial" w:hAnsi="Arial" w:cs="Arial"/>
        </w:rPr>
        <w:lastRenderedPageBreak/>
        <w:t>authors’ own work. The authors have carefully reviewed, verified, and approved all AI-assisted edits.</w:t>
      </w:r>
    </w:p>
    <w:p w14:paraId="41C34A1E" w14:textId="77777777" w:rsidR="0055617C" w:rsidRPr="00222922" w:rsidRDefault="0055617C" w:rsidP="0055617C">
      <w:pPr>
        <w:rPr>
          <w:rFonts w:ascii="Arial" w:hAnsi="Arial" w:cs="Arial"/>
        </w:rPr>
      </w:pPr>
    </w:p>
    <w:p w14:paraId="31E0A091" w14:textId="0787E083" w:rsidR="00250BF0" w:rsidRPr="00222922" w:rsidRDefault="0055617C" w:rsidP="007507AC">
      <w:pPr>
        <w:rPr>
          <w:rFonts w:ascii="Arial" w:hAnsi="Arial" w:cs="Arial"/>
        </w:rPr>
      </w:pPr>
      <w:r w:rsidRPr="00222922">
        <w:rPr>
          <w:rFonts w:ascii="Arial" w:hAnsi="Arial" w:cs="Arial"/>
        </w:rPr>
        <w:t>Details of AI usage:</w:t>
      </w:r>
      <w:r>
        <w:rPr>
          <w:rFonts w:ascii="Arial" w:hAnsi="Arial" w:cs="Arial"/>
        </w:rPr>
        <w:t xml:space="preserve"> (1) </w:t>
      </w:r>
      <w:r w:rsidRPr="00222922">
        <w:rPr>
          <w:rFonts w:ascii="Arial" w:hAnsi="Arial" w:cs="Arial"/>
        </w:rPr>
        <w:t>Language polishing, grammar correction, and clarity improvement</w:t>
      </w:r>
      <w:r>
        <w:rPr>
          <w:rFonts w:ascii="Arial" w:hAnsi="Arial" w:cs="Arial"/>
        </w:rPr>
        <w:t xml:space="preserve">, and (2) </w:t>
      </w:r>
      <w:r w:rsidRPr="00222922">
        <w:rPr>
          <w:rFonts w:ascii="Arial" w:hAnsi="Arial" w:cs="Arial"/>
        </w:rPr>
        <w:t>Rewriting sentences for coherence while preserving scientific meaning.</w:t>
      </w:r>
      <w:bookmarkEnd w:id="11"/>
      <w:bookmarkEnd w:id="12"/>
      <w:bookmarkEnd w:id="13"/>
      <w:bookmarkEnd w:id="14"/>
    </w:p>
    <w:p w14:paraId="1A8A9342" w14:textId="77777777" w:rsidR="00F4692D" w:rsidRPr="0055617C" w:rsidRDefault="00F4692D" w:rsidP="00222922">
      <w:pPr>
        <w:pStyle w:val="ReferHead"/>
        <w:spacing w:after="0" w:line="480" w:lineRule="auto"/>
        <w:jc w:val="center"/>
        <w:rPr>
          <w:rFonts w:ascii="Arial" w:hAnsi="Arial" w:cs="Arial"/>
          <w:b w:val="0"/>
          <w:caps w:val="0"/>
          <w:sz w:val="20"/>
        </w:rPr>
      </w:pPr>
    </w:p>
    <w:p w14:paraId="5DB606DB" w14:textId="77777777" w:rsidR="00A319F7" w:rsidRDefault="00A319F7" w:rsidP="00A319F7">
      <w:pPr>
        <w:pStyle w:val="ReferHead"/>
        <w:spacing w:after="0" w:line="480" w:lineRule="auto"/>
        <w:jc w:val="both"/>
        <w:rPr>
          <w:rFonts w:ascii="Arial" w:hAnsi="Arial" w:cs="Arial"/>
          <w:b w:val="0"/>
          <w:caps w:val="0"/>
          <w:sz w:val="20"/>
        </w:rPr>
      </w:pPr>
    </w:p>
    <w:p w14:paraId="194F8C8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BCFC468" w14:textId="77777777" w:rsidR="00790ADA" w:rsidRPr="00FB3A86" w:rsidRDefault="00790ADA" w:rsidP="00441B6F">
      <w:pPr>
        <w:pStyle w:val="ReferHead"/>
        <w:spacing w:after="0"/>
        <w:jc w:val="both"/>
        <w:rPr>
          <w:rFonts w:ascii="Arial" w:hAnsi="Arial" w:cs="Arial"/>
        </w:rPr>
      </w:pPr>
    </w:p>
    <w:p w14:paraId="233F0F96" w14:textId="78EDC7B6" w:rsidR="00E12746" w:rsidRDefault="00E12746" w:rsidP="00E12746">
      <w:pPr>
        <w:pStyle w:val="Body"/>
        <w:spacing w:after="0"/>
        <w:ind w:left="709" w:hanging="709"/>
      </w:pPr>
      <w:r>
        <w:t xml:space="preserve">Abbasi, E., &amp; </w:t>
      </w:r>
      <w:proofErr w:type="spellStart"/>
      <w:r>
        <w:t>Azizpour</w:t>
      </w:r>
      <w:proofErr w:type="spellEnd"/>
      <w:r>
        <w:t xml:space="preserve">, M. (2016). Evaluation of physicochemical properties of foam mat dried sour cherry powder. LWT - Food Science and Technology, 68, 105–110. </w:t>
      </w:r>
      <w:hyperlink r:id="rId26" w:history="1">
        <w:r w:rsidR="001C52B9" w:rsidRPr="00B05451">
          <w:rPr>
            <w:rStyle w:val="Hyperlink"/>
          </w:rPr>
          <w:t>https://doi.org/10.1016/j.lwt.2015.12.004</w:t>
        </w:r>
      </w:hyperlink>
    </w:p>
    <w:p w14:paraId="4545BA72" w14:textId="77777777" w:rsidR="00E12746" w:rsidRDefault="00E12746" w:rsidP="00E12746">
      <w:pPr>
        <w:pStyle w:val="Body"/>
        <w:spacing w:after="0"/>
        <w:ind w:left="709" w:hanging="709"/>
      </w:pPr>
      <w:proofErr w:type="spellStart"/>
      <w:r>
        <w:t>Affandi</w:t>
      </w:r>
      <w:proofErr w:type="spellEnd"/>
      <w:r>
        <w:t xml:space="preserve">, N., </w:t>
      </w:r>
      <w:proofErr w:type="spellStart"/>
      <w:r>
        <w:t>Zzaman</w:t>
      </w:r>
      <w:proofErr w:type="spellEnd"/>
      <w:r>
        <w:t xml:space="preserve">, W., Yang, T., &amp; </w:t>
      </w:r>
      <w:proofErr w:type="spellStart"/>
      <w:r>
        <w:t>Easa</w:t>
      </w:r>
      <w:proofErr w:type="spellEnd"/>
      <w:r>
        <w:t>, A. (2017). Production of Nigella sativa beverage powder under foam mat drying using egg albumen as a foaming agent. Beverages, 3(1), 9. https://doi.org/10.3390/beverages3010009</w:t>
      </w:r>
    </w:p>
    <w:p w14:paraId="1F0E6FCC" w14:textId="77777777" w:rsidR="00E12746" w:rsidRDefault="00E12746" w:rsidP="00E12746">
      <w:pPr>
        <w:pStyle w:val="Body"/>
        <w:spacing w:after="0"/>
        <w:ind w:left="709" w:hanging="709"/>
      </w:pPr>
      <w:proofErr w:type="spellStart"/>
      <w:r>
        <w:t>Ahnafani</w:t>
      </w:r>
      <w:proofErr w:type="spellEnd"/>
      <w:r>
        <w:t xml:space="preserve">, M. N., </w:t>
      </w:r>
      <w:proofErr w:type="spellStart"/>
      <w:r>
        <w:t>Nasiroh</w:t>
      </w:r>
      <w:proofErr w:type="spellEnd"/>
      <w:r>
        <w:t xml:space="preserve">, N., </w:t>
      </w:r>
      <w:proofErr w:type="spellStart"/>
      <w:r>
        <w:t>Aulia</w:t>
      </w:r>
      <w:proofErr w:type="spellEnd"/>
      <w:r>
        <w:t xml:space="preserve">, N., Lestari, N. L. M., </w:t>
      </w:r>
      <w:proofErr w:type="spellStart"/>
      <w:r>
        <w:t>Ngongo</w:t>
      </w:r>
      <w:proofErr w:type="spellEnd"/>
      <w:r>
        <w:t xml:space="preserve">, M., &amp; Hakim, A. R. (2024). </w:t>
      </w:r>
      <w:proofErr w:type="spellStart"/>
      <w:r>
        <w:t>Jahe</w:t>
      </w:r>
      <w:proofErr w:type="spellEnd"/>
      <w:r>
        <w:t xml:space="preserve"> (</w:t>
      </w:r>
      <w:proofErr w:type="spellStart"/>
      <w:r>
        <w:t>Zingiber</w:t>
      </w:r>
      <w:proofErr w:type="spellEnd"/>
      <w:r>
        <w:t xml:space="preserve"> </w:t>
      </w:r>
      <w:proofErr w:type="spellStart"/>
      <w:r>
        <w:t>officinale</w:t>
      </w:r>
      <w:proofErr w:type="spellEnd"/>
      <w:r>
        <w:t xml:space="preserve">): </w:t>
      </w:r>
      <w:proofErr w:type="spellStart"/>
      <w:r>
        <w:t>Tinjauan</w:t>
      </w:r>
      <w:proofErr w:type="spellEnd"/>
      <w:r>
        <w:t xml:space="preserve"> </w:t>
      </w:r>
      <w:proofErr w:type="spellStart"/>
      <w:r>
        <w:t>fitokimia</w:t>
      </w:r>
      <w:proofErr w:type="spellEnd"/>
      <w:r>
        <w:t xml:space="preserve">, </w:t>
      </w:r>
      <w:proofErr w:type="spellStart"/>
      <w:r>
        <w:t>farmakologi</w:t>
      </w:r>
      <w:proofErr w:type="spellEnd"/>
      <w:r>
        <w:t xml:space="preserve">, dan </w:t>
      </w:r>
      <w:proofErr w:type="spellStart"/>
      <w:r>
        <w:t>toksikologi</w:t>
      </w:r>
      <w:proofErr w:type="spellEnd"/>
      <w:r>
        <w:t xml:space="preserve"> [Ginger (</w:t>
      </w:r>
      <w:proofErr w:type="spellStart"/>
      <w:r>
        <w:t>Zingiber</w:t>
      </w:r>
      <w:proofErr w:type="spellEnd"/>
      <w:r>
        <w:t xml:space="preserve"> </w:t>
      </w:r>
      <w:proofErr w:type="spellStart"/>
      <w:r>
        <w:t>officinale</w:t>
      </w:r>
      <w:proofErr w:type="spellEnd"/>
      <w:r>
        <w:t xml:space="preserve">): A review of phytochemistry, pharmacology, and toxicology]. </w:t>
      </w:r>
      <w:proofErr w:type="spellStart"/>
      <w:r>
        <w:t>Jurnal</w:t>
      </w:r>
      <w:proofErr w:type="spellEnd"/>
      <w:r>
        <w:t xml:space="preserve"> </w:t>
      </w:r>
      <w:proofErr w:type="spellStart"/>
      <w:r>
        <w:t>Ilmu</w:t>
      </w:r>
      <w:proofErr w:type="spellEnd"/>
      <w:r>
        <w:t xml:space="preserve"> </w:t>
      </w:r>
      <w:proofErr w:type="spellStart"/>
      <w:r>
        <w:t>Kedokteran</w:t>
      </w:r>
      <w:proofErr w:type="spellEnd"/>
      <w:r>
        <w:t xml:space="preserve"> dan </w:t>
      </w:r>
      <w:proofErr w:type="spellStart"/>
      <w:r>
        <w:t>Kesehatan</w:t>
      </w:r>
      <w:proofErr w:type="spellEnd"/>
      <w:r>
        <w:t>, 11(10), 1992–1998.</w:t>
      </w:r>
    </w:p>
    <w:p w14:paraId="339AC631" w14:textId="19A32EB0" w:rsidR="002A027A" w:rsidRDefault="002A027A" w:rsidP="00E12746">
      <w:pPr>
        <w:pStyle w:val="Body"/>
        <w:spacing w:after="0"/>
        <w:ind w:left="709" w:hanging="709"/>
      </w:pPr>
      <w:r w:rsidRPr="002A027A">
        <w:t xml:space="preserve">Amid, B. T., </w:t>
      </w:r>
      <w:proofErr w:type="spellStart"/>
      <w:r w:rsidRPr="002A027A">
        <w:t>Mirhosseini</w:t>
      </w:r>
      <w:proofErr w:type="spellEnd"/>
      <w:r w:rsidRPr="002A027A">
        <w:t xml:space="preserve">, H., </w:t>
      </w:r>
      <w:proofErr w:type="spellStart"/>
      <w:r w:rsidRPr="002A027A">
        <w:t>Poorazarang</w:t>
      </w:r>
      <w:proofErr w:type="spellEnd"/>
      <w:r w:rsidRPr="002A027A">
        <w:t>, H., &amp; Mortazavi, S. A. (2013). Implications of partial conjugation of whey protein isolate to durian seed gum through Maillard reactions: foaming properties, water holding capacity and interfacial activity. Molecules (Basel, Switzerland), 18(12), 15110–15125. https://doi.org/10.3390/molecules181215110</w:t>
      </w:r>
    </w:p>
    <w:p w14:paraId="07E3AA6C" w14:textId="33AA25C0" w:rsidR="00E12746" w:rsidRDefault="00E12746" w:rsidP="00E12746">
      <w:pPr>
        <w:pStyle w:val="Body"/>
        <w:spacing w:after="0"/>
        <w:ind w:left="709" w:hanging="709"/>
      </w:pPr>
      <w:proofErr w:type="spellStart"/>
      <w:r>
        <w:t>Aslamiyah</w:t>
      </w:r>
      <w:proofErr w:type="spellEnd"/>
      <w:r>
        <w:t xml:space="preserve">, N. A. A., Anastasia, D. S., &amp; </w:t>
      </w:r>
      <w:proofErr w:type="spellStart"/>
      <w:r>
        <w:t>Luliana</w:t>
      </w:r>
      <w:proofErr w:type="spellEnd"/>
      <w:r>
        <w:t>, S. (20</w:t>
      </w:r>
      <w:r w:rsidR="00057531">
        <w:t>22</w:t>
      </w:r>
      <w:r>
        <w:t xml:space="preserve">). </w:t>
      </w:r>
      <w:proofErr w:type="spellStart"/>
      <w:r>
        <w:t>Metode-metode</w:t>
      </w:r>
      <w:proofErr w:type="spellEnd"/>
      <w:r>
        <w:t xml:space="preserve"> </w:t>
      </w:r>
      <w:proofErr w:type="spellStart"/>
      <w:r>
        <w:t>pembuatan</w:t>
      </w:r>
      <w:proofErr w:type="spellEnd"/>
      <w:r>
        <w:t xml:space="preserve"> </w:t>
      </w:r>
      <w:proofErr w:type="spellStart"/>
      <w:r>
        <w:t>minuman</w:t>
      </w:r>
      <w:proofErr w:type="spellEnd"/>
      <w:r>
        <w:t xml:space="preserve"> </w:t>
      </w:r>
      <w:proofErr w:type="spellStart"/>
      <w:r>
        <w:t>serbuk</w:t>
      </w:r>
      <w:proofErr w:type="spellEnd"/>
      <w:r>
        <w:t xml:space="preserve"> </w:t>
      </w:r>
      <w:proofErr w:type="spellStart"/>
      <w:r>
        <w:t>instan</w:t>
      </w:r>
      <w:proofErr w:type="spellEnd"/>
      <w:r>
        <w:t xml:space="preserve"> [Methods of producing instant beverage powder]. </w:t>
      </w:r>
      <w:proofErr w:type="spellStart"/>
      <w:r>
        <w:t>Jurnal</w:t>
      </w:r>
      <w:proofErr w:type="spellEnd"/>
      <w:r>
        <w:t xml:space="preserve"> </w:t>
      </w:r>
      <w:proofErr w:type="spellStart"/>
      <w:r>
        <w:t>Mahasiswa</w:t>
      </w:r>
      <w:proofErr w:type="spellEnd"/>
      <w:r>
        <w:t xml:space="preserve"> </w:t>
      </w:r>
      <w:proofErr w:type="spellStart"/>
      <w:r>
        <w:t>Farmasi</w:t>
      </w:r>
      <w:proofErr w:type="spellEnd"/>
      <w:r>
        <w:t xml:space="preserve"> </w:t>
      </w:r>
      <w:proofErr w:type="spellStart"/>
      <w:r>
        <w:t>Fakultas</w:t>
      </w:r>
      <w:proofErr w:type="spellEnd"/>
      <w:r>
        <w:t xml:space="preserve"> </w:t>
      </w:r>
      <w:proofErr w:type="spellStart"/>
      <w:r>
        <w:t>Kedokteran</w:t>
      </w:r>
      <w:proofErr w:type="spellEnd"/>
      <w:r>
        <w:t xml:space="preserve"> UNTAN, 6(1</w:t>
      </w:r>
      <w:proofErr w:type="gramStart"/>
      <w:r>
        <w:t>).*</w:t>
      </w:r>
      <w:proofErr w:type="gramEnd"/>
    </w:p>
    <w:p w14:paraId="440DA562" w14:textId="77777777" w:rsidR="00E12746" w:rsidRDefault="00E12746" w:rsidP="00E12746">
      <w:pPr>
        <w:pStyle w:val="Body"/>
        <w:spacing w:after="0"/>
        <w:ind w:left="709" w:hanging="709"/>
      </w:pPr>
      <w:r>
        <w:t xml:space="preserve">Badan Pusat </w:t>
      </w:r>
      <w:proofErr w:type="spellStart"/>
      <w:r>
        <w:t>Statistik</w:t>
      </w:r>
      <w:proofErr w:type="spellEnd"/>
      <w:r>
        <w:t xml:space="preserve">. (2024). </w:t>
      </w:r>
      <w:proofErr w:type="spellStart"/>
      <w:r>
        <w:t>Produksi</w:t>
      </w:r>
      <w:proofErr w:type="spellEnd"/>
      <w:r>
        <w:t xml:space="preserve"> </w:t>
      </w:r>
      <w:proofErr w:type="spellStart"/>
      <w:r>
        <w:t>tanaman</w:t>
      </w:r>
      <w:proofErr w:type="spellEnd"/>
      <w:r>
        <w:t xml:space="preserve"> </w:t>
      </w:r>
      <w:proofErr w:type="spellStart"/>
      <w:r>
        <w:t>biofarmaka</w:t>
      </w:r>
      <w:proofErr w:type="spellEnd"/>
      <w:r>
        <w:t xml:space="preserve"> (</w:t>
      </w:r>
      <w:proofErr w:type="spellStart"/>
      <w:r>
        <w:t>obat</w:t>
      </w:r>
      <w:proofErr w:type="spellEnd"/>
      <w:r>
        <w:t>), 2021–2023 [Production of biopharmaceutical (medicinal) plants, 2021–2023].</w:t>
      </w:r>
    </w:p>
    <w:p w14:paraId="5A8E8AA0" w14:textId="77777777" w:rsidR="00E12746" w:rsidRDefault="00E12746" w:rsidP="00E12746">
      <w:pPr>
        <w:pStyle w:val="Body"/>
        <w:spacing w:after="0"/>
        <w:ind w:left="709" w:hanging="709"/>
      </w:pPr>
      <w:proofErr w:type="spellStart"/>
      <w:r>
        <w:t>BehnamNik</w:t>
      </w:r>
      <w:proofErr w:type="spellEnd"/>
      <w:r>
        <w:t xml:space="preserve">, A., &amp; </w:t>
      </w:r>
      <w:proofErr w:type="spellStart"/>
      <w:r>
        <w:t>Vazifedoost</w:t>
      </w:r>
      <w:proofErr w:type="spellEnd"/>
      <w:r>
        <w:t xml:space="preserve">, M. (2020). Optimizing the formulation of the functional beverage from the co-crystalized powder of </w:t>
      </w:r>
      <w:proofErr w:type="spellStart"/>
      <w:r>
        <w:t>Securigera</w:t>
      </w:r>
      <w:proofErr w:type="spellEnd"/>
      <w:r>
        <w:t xml:space="preserve"> </w:t>
      </w:r>
      <w:proofErr w:type="spellStart"/>
      <w:r>
        <w:t>securidaca</w:t>
      </w:r>
      <w:proofErr w:type="spellEnd"/>
      <w:r>
        <w:t xml:space="preserve"> seed extract. Journal of Food Science and Technology, 57(7), 2443–2451.</w:t>
      </w:r>
    </w:p>
    <w:p w14:paraId="2968F6CA" w14:textId="77777777" w:rsidR="00E12746" w:rsidRDefault="00E12746" w:rsidP="00E12746">
      <w:pPr>
        <w:pStyle w:val="Body"/>
        <w:spacing w:after="0"/>
        <w:ind w:left="709" w:hanging="709"/>
      </w:pPr>
      <w:proofErr w:type="spellStart"/>
      <w:r>
        <w:t>Bustman</w:t>
      </w:r>
      <w:proofErr w:type="spellEnd"/>
      <w:r>
        <w:t xml:space="preserve">, A., </w:t>
      </w:r>
      <w:proofErr w:type="spellStart"/>
      <w:r>
        <w:t>Oktavianty</w:t>
      </w:r>
      <w:proofErr w:type="spellEnd"/>
      <w:r>
        <w:t xml:space="preserve">, H., &amp; </w:t>
      </w:r>
      <w:proofErr w:type="spellStart"/>
      <w:r>
        <w:t>Sunardi</w:t>
      </w:r>
      <w:proofErr w:type="spellEnd"/>
      <w:r>
        <w:t xml:space="preserve">. (2022). </w:t>
      </w:r>
      <w:proofErr w:type="spellStart"/>
      <w:r>
        <w:t>Aplikasi</w:t>
      </w:r>
      <w:proofErr w:type="spellEnd"/>
      <w:r>
        <w:t xml:space="preserve"> </w:t>
      </w:r>
      <w:proofErr w:type="spellStart"/>
      <w:r>
        <w:t>metode</w:t>
      </w:r>
      <w:proofErr w:type="spellEnd"/>
      <w:r>
        <w:t xml:space="preserve"> foam mat drying </w:t>
      </w:r>
      <w:proofErr w:type="spellStart"/>
      <w:r>
        <w:t>dalam</w:t>
      </w:r>
      <w:proofErr w:type="spellEnd"/>
      <w:r>
        <w:t xml:space="preserve"> </w:t>
      </w:r>
      <w:proofErr w:type="spellStart"/>
      <w:r>
        <w:t>pembuatan</w:t>
      </w:r>
      <w:proofErr w:type="spellEnd"/>
      <w:r>
        <w:t xml:space="preserve"> </w:t>
      </w:r>
      <w:proofErr w:type="spellStart"/>
      <w:r>
        <w:t>minuman</w:t>
      </w:r>
      <w:proofErr w:type="spellEnd"/>
      <w:r>
        <w:t xml:space="preserve"> </w:t>
      </w:r>
      <w:proofErr w:type="spellStart"/>
      <w:r>
        <w:t>serbuk</w:t>
      </w:r>
      <w:proofErr w:type="spellEnd"/>
      <w:r>
        <w:t xml:space="preserve"> </w:t>
      </w:r>
      <w:proofErr w:type="spellStart"/>
      <w:r>
        <w:t>instan</w:t>
      </w:r>
      <w:proofErr w:type="spellEnd"/>
      <w:r>
        <w:t xml:space="preserve"> </w:t>
      </w:r>
      <w:proofErr w:type="spellStart"/>
      <w:r>
        <w:t>kulit</w:t>
      </w:r>
      <w:proofErr w:type="spellEnd"/>
      <w:r>
        <w:t xml:space="preserve"> kopi </w:t>
      </w:r>
      <w:proofErr w:type="spellStart"/>
      <w:r>
        <w:t>dengan</w:t>
      </w:r>
      <w:proofErr w:type="spellEnd"/>
      <w:r>
        <w:t xml:space="preserve"> </w:t>
      </w:r>
      <w:proofErr w:type="spellStart"/>
      <w:r>
        <w:t>penambahan</w:t>
      </w:r>
      <w:proofErr w:type="spellEnd"/>
      <w:r>
        <w:t xml:space="preserve"> </w:t>
      </w:r>
      <w:proofErr w:type="spellStart"/>
      <w:r>
        <w:t>ekstrak</w:t>
      </w:r>
      <w:proofErr w:type="spellEnd"/>
      <w:r>
        <w:t xml:space="preserve"> </w:t>
      </w:r>
      <w:proofErr w:type="spellStart"/>
      <w:r>
        <w:t>jahe</w:t>
      </w:r>
      <w:proofErr w:type="spellEnd"/>
      <w:r>
        <w:t xml:space="preserve"> (</w:t>
      </w:r>
      <w:proofErr w:type="spellStart"/>
      <w:r>
        <w:t>Zingiber</w:t>
      </w:r>
      <w:proofErr w:type="spellEnd"/>
      <w:r>
        <w:t xml:space="preserve"> </w:t>
      </w:r>
      <w:proofErr w:type="spellStart"/>
      <w:r>
        <w:t>officinale</w:t>
      </w:r>
      <w:proofErr w:type="spellEnd"/>
      <w:r>
        <w:t>) [Application of foam mat drying method in the production of instant coffee peel beverage powder with ginger (</w:t>
      </w:r>
      <w:proofErr w:type="spellStart"/>
      <w:r>
        <w:t>Zingiber</w:t>
      </w:r>
      <w:proofErr w:type="spellEnd"/>
      <w:r>
        <w:t xml:space="preserve"> </w:t>
      </w:r>
      <w:proofErr w:type="spellStart"/>
      <w:r>
        <w:t>officinale</w:t>
      </w:r>
      <w:proofErr w:type="spellEnd"/>
      <w:r>
        <w:t xml:space="preserve">) extract addition]. </w:t>
      </w:r>
      <w:proofErr w:type="spellStart"/>
      <w:r>
        <w:t>Jurnal</w:t>
      </w:r>
      <w:proofErr w:type="spellEnd"/>
      <w:r>
        <w:t xml:space="preserve"> </w:t>
      </w:r>
      <w:proofErr w:type="spellStart"/>
      <w:r>
        <w:t>Teknologi</w:t>
      </w:r>
      <w:proofErr w:type="spellEnd"/>
      <w:r>
        <w:t xml:space="preserve"> dan </w:t>
      </w:r>
      <w:proofErr w:type="spellStart"/>
      <w:r>
        <w:t>Industri</w:t>
      </w:r>
      <w:proofErr w:type="spellEnd"/>
      <w:r>
        <w:t xml:space="preserve"> </w:t>
      </w:r>
      <w:proofErr w:type="spellStart"/>
      <w:r>
        <w:t>Pangan</w:t>
      </w:r>
      <w:proofErr w:type="spellEnd"/>
      <w:r>
        <w:t>, 33(2), 119–128. https://doi.org/10.6066/jtip.2022.33.2.119</w:t>
      </w:r>
    </w:p>
    <w:p w14:paraId="3AD074FB" w14:textId="77777777" w:rsidR="00E12746" w:rsidRDefault="00E12746" w:rsidP="00E12746">
      <w:pPr>
        <w:pStyle w:val="Body"/>
        <w:spacing w:after="0"/>
        <w:ind w:left="709" w:hanging="709"/>
      </w:pPr>
      <w:proofErr w:type="spellStart"/>
      <w:r>
        <w:t>Chaipoot</w:t>
      </w:r>
      <w:proofErr w:type="spellEnd"/>
      <w:r>
        <w:t xml:space="preserve">, S., </w:t>
      </w:r>
      <w:proofErr w:type="spellStart"/>
      <w:r>
        <w:t>Phongphisutthinant</w:t>
      </w:r>
      <w:proofErr w:type="spellEnd"/>
      <w:r>
        <w:t xml:space="preserve">, R., </w:t>
      </w:r>
      <w:proofErr w:type="spellStart"/>
      <w:r>
        <w:t>Wiriyacharee</w:t>
      </w:r>
      <w:proofErr w:type="spellEnd"/>
      <w:r>
        <w:t xml:space="preserve">, P., </w:t>
      </w:r>
      <w:proofErr w:type="spellStart"/>
      <w:r>
        <w:t>Kanthakat</w:t>
      </w:r>
      <w:proofErr w:type="spellEnd"/>
      <w:r>
        <w:t xml:space="preserve">, G., </w:t>
      </w:r>
      <w:proofErr w:type="spellStart"/>
      <w:r>
        <w:t>Wongwatcharayothin</w:t>
      </w:r>
      <w:proofErr w:type="spellEnd"/>
      <w:r>
        <w:t xml:space="preserve">, W., </w:t>
      </w:r>
      <w:proofErr w:type="spellStart"/>
      <w:r>
        <w:t>Somjai</w:t>
      </w:r>
      <w:proofErr w:type="spellEnd"/>
      <w:r>
        <w:t xml:space="preserve">, C., … </w:t>
      </w:r>
      <w:proofErr w:type="spellStart"/>
      <w:r>
        <w:t>Chuttong</w:t>
      </w:r>
      <w:proofErr w:type="spellEnd"/>
      <w:r>
        <w:t>, B. (2024). Application of carboxymethyl cellulose and glycerol monostearate as binder agents for protein powder production from honey bee brood using foam-mat drying technique. Foods, 13(14), 2265. https://doi.org/10.3390/foods13142265</w:t>
      </w:r>
    </w:p>
    <w:p w14:paraId="6A24939A" w14:textId="77777777" w:rsidR="00E12746" w:rsidRDefault="00E12746" w:rsidP="00E12746">
      <w:pPr>
        <w:pStyle w:val="Body"/>
        <w:spacing w:after="0"/>
        <w:ind w:left="709" w:hanging="709"/>
      </w:pPr>
      <w:r>
        <w:t xml:space="preserve">Chang, Y. (2020). Research on the marketing strategy of burgeoning sugar-free beverages—Taking </w:t>
      </w:r>
      <w:proofErr w:type="spellStart"/>
      <w:r>
        <w:t>Yuanqi</w:t>
      </w:r>
      <w:proofErr w:type="spellEnd"/>
      <w:r>
        <w:t xml:space="preserve"> Forest as an example. In E3S Web of Conferences (Vol. 218, p. 02002). EDP Sciences.</w:t>
      </w:r>
    </w:p>
    <w:p w14:paraId="183F73A8" w14:textId="3CF3E869" w:rsidR="00E12746" w:rsidRDefault="00E12746" w:rsidP="00E12746">
      <w:pPr>
        <w:pStyle w:val="Body"/>
        <w:spacing w:after="0"/>
        <w:ind w:left="709" w:hanging="709"/>
      </w:pPr>
      <w:proofErr w:type="spellStart"/>
      <w:r>
        <w:t>Ciurzyńska</w:t>
      </w:r>
      <w:proofErr w:type="spellEnd"/>
      <w:r>
        <w:t xml:space="preserve">, A., &amp; </w:t>
      </w:r>
      <w:proofErr w:type="spellStart"/>
      <w:r>
        <w:t>Lenart</w:t>
      </w:r>
      <w:proofErr w:type="spellEnd"/>
      <w:r>
        <w:t>, A. (2011). Freeze-drying—Application in food processing and biotechnology: A review. Polish Journal of Food and Nutrition Sciences, 61(3), 165–171.</w:t>
      </w:r>
      <w:r w:rsidR="00C3399E" w:rsidRPr="00C3399E">
        <w:t xml:space="preserve"> https://doi.org/10.2478/v10222-011-0017-5</w:t>
      </w:r>
    </w:p>
    <w:p w14:paraId="496FEEA5" w14:textId="77777777" w:rsidR="00E12746" w:rsidRDefault="00E12746" w:rsidP="00E12746">
      <w:pPr>
        <w:pStyle w:val="Body"/>
        <w:spacing w:after="0"/>
        <w:ind w:left="709" w:hanging="709"/>
      </w:pPr>
      <w:r>
        <w:t xml:space="preserve">Hardy, Z., &amp; </w:t>
      </w:r>
      <w:proofErr w:type="spellStart"/>
      <w:r>
        <w:t>Jideani</w:t>
      </w:r>
      <w:proofErr w:type="spellEnd"/>
      <w:r>
        <w:t>, V. A. (2017). Foam-mat drying technology: A review. Critical Reviews in Food Science and Nutrition, 57(12), 2560–2572. https://doi.org/10.1080/10408398.2015.1020359</w:t>
      </w:r>
    </w:p>
    <w:p w14:paraId="6622FF10" w14:textId="77777777" w:rsidR="00E12746" w:rsidRDefault="00E12746" w:rsidP="00E12746">
      <w:pPr>
        <w:pStyle w:val="Body"/>
        <w:spacing w:after="0"/>
        <w:ind w:left="709" w:hanging="709"/>
      </w:pPr>
      <w:proofErr w:type="spellStart"/>
      <w:r>
        <w:lastRenderedPageBreak/>
        <w:t>Hariyadi</w:t>
      </w:r>
      <w:proofErr w:type="spellEnd"/>
      <w:r>
        <w:t xml:space="preserve">, T. (2019). </w:t>
      </w:r>
      <w:proofErr w:type="spellStart"/>
      <w:r>
        <w:t>Aplikasi</w:t>
      </w:r>
      <w:proofErr w:type="spellEnd"/>
      <w:r>
        <w:t xml:space="preserve"> </w:t>
      </w:r>
      <w:proofErr w:type="spellStart"/>
      <w:r>
        <w:t>metoda</w:t>
      </w:r>
      <w:proofErr w:type="spellEnd"/>
      <w:r>
        <w:t xml:space="preserve"> foam-mat drying pada proses </w:t>
      </w:r>
      <w:proofErr w:type="spellStart"/>
      <w:r>
        <w:t>pengeringan</w:t>
      </w:r>
      <w:proofErr w:type="spellEnd"/>
      <w:r>
        <w:t xml:space="preserve"> </w:t>
      </w:r>
      <w:proofErr w:type="spellStart"/>
      <w:r>
        <w:t>tomat</w:t>
      </w:r>
      <w:proofErr w:type="spellEnd"/>
      <w:r>
        <w:t xml:space="preserve"> </w:t>
      </w:r>
      <w:proofErr w:type="spellStart"/>
      <w:r>
        <w:t>menggunakan</w:t>
      </w:r>
      <w:proofErr w:type="spellEnd"/>
      <w:r>
        <w:t xml:space="preserve"> tray dryer [Application of foam-mat drying method in tomato drying using a tray dryer]. </w:t>
      </w:r>
      <w:proofErr w:type="spellStart"/>
      <w:r>
        <w:t>Prosiding</w:t>
      </w:r>
      <w:proofErr w:type="spellEnd"/>
      <w:r>
        <w:t xml:space="preserve"> Industrial Research Workshop and National Seminar, 10(1), 250–</w:t>
      </w:r>
      <w:proofErr w:type="gramStart"/>
      <w:r>
        <w:t>257.*</w:t>
      </w:r>
      <w:proofErr w:type="gramEnd"/>
    </w:p>
    <w:p w14:paraId="67A001D2" w14:textId="77777777" w:rsidR="00E12746" w:rsidRDefault="00E12746" w:rsidP="00E12746">
      <w:pPr>
        <w:pStyle w:val="Body"/>
        <w:spacing w:after="0"/>
        <w:ind w:left="709" w:hanging="709"/>
      </w:pPr>
      <w:r>
        <w:t xml:space="preserve">Hossain, M. A., Mitra, S., </w:t>
      </w:r>
      <w:proofErr w:type="spellStart"/>
      <w:r>
        <w:t>Belal</w:t>
      </w:r>
      <w:proofErr w:type="spellEnd"/>
      <w:r>
        <w:t xml:space="preserve">, M., &amp; </w:t>
      </w:r>
      <w:proofErr w:type="spellStart"/>
      <w:r>
        <w:t>Zzaman</w:t>
      </w:r>
      <w:proofErr w:type="spellEnd"/>
      <w:r>
        <w:t>, W. (2021). Effect of foaming agent concentration and drying temperature on biochemical properties of foam mat dried tomato powder. Food Research, 5(1), 291–297. https://doi.org/10.26656/fr.2017.5(1).372</w:t>
      </w:r>
    </w:p>
    <w:p w14:paraId="0072BC8B" w14:textId="77F6B70E" w:rsidR="00E12746" w:rsidRDefault="00E12746" w:rsidP="00E12746">
      <w:pPr>
        <w:pStyle w:val="Body"/>
        <w:spacing w:after="0"/>
        <w:ind w:left="709" w:hanging="709"/>
      </w:pPr>
      <w:proofErr w:type="spellStart"/>
      <w:r>
        <w:t>Husnani</w:t>
      </w:r>
      <w:proofErr w:type="spellEnd"/>
      <w:r>
        <w:t xml:space="preserve">, H., &amp; </w:t>
      </w:r>
      <w:proofErr w:type="spellStart"/>
      <w:r>
        <w:t>Zulfitri</w:t>
      </w:r>
      <w:proofErr w:type="spellEnd"/>
      <w:r>
        <w:t xml:space="preserve">, R. (2022). Uji </w:t>
      </w:r>
      <w:proofErr w:type="spellStart"/>
      <w:r>
        <w:t>stabilitas</w:t>
      </w:r>
      <w:proofErr w:type="spellEnd"/>
      <w:r>
        <w:t xml:space="preserve"> </w:t>
      </w:r>
      <w:proofErr w:type="spellStart"/>
      <w:r>
        <w:t>fisik</w:t>
      </w:r>
      <w:proofErr w:type="spellEnd"/>
      <w:r>
        <w:t xml:space="preserve"> </w:t>
      </w:r>
      <w:proofErr w:type="spellStart"/>
      <w:r>
        <w:t>sediaan</w:t>
      </w:r>
      <w:proofErr w:type="spellEnd"/>
      <w:r>
        <w:t xml:space="preserve"> </w:t>
      </w:r>
      <w:proofErr w:type="spellStart"/>
      <w:r>
        <w:t>serbuk</w:t>
      </w:r>
      <w:proofErr w:type="spellEnd"/>
      <w:r>
        <w:t xml:space="preserve"> </w:t>
      </w:r>
      <w:proofErr w:type="spellStart"/>
      <w:r>
        <w:t>instan</w:t>
      </w:r>
      <w:proofErr w:type="spellEnd"/>
      <w:r>
        <w:t xml:space="preserve"> </w:t>
      </w:r>
      <w:proofErr w:type="spellStart"/>
      <w:r>
        <w:t>dengan</w:t>
      </w:r>
      <w:proofErr w:type="spellEnd"/>
      <w:r>
        <w:t xml:space="preserve"> </w:t>
      </w:r>
      <w:proofErr w:type="spellStart"/>
      <w:r>
        <w:t>kombinasi</w:t>
      </w:r>
      <w:proofErr w:type="spellEnd"/>
      <w:r>
        <w:t xml:space="preserve"> </w:t>
      </w:r>
      <w:proofErr w:type="spellStart"/>
      <w:r>
        <w:t>jahe</w:t>
      </w:r>
      <w:proofErr w:type="spellEnd"/>
      <w:r>
        <w:t xml:space="preserve">, </w:t>
      </w:r>
      <w:proofErr w:type="spellStart"/>
      <w:r>
        <w:t>temulawak</w:t>
      </w:r>
      <w:proofErr w:type="spellEnd"/>
      <w:r>
        <w:t xml:space="preserve">, </w:t>
      </w:r>
      <w:proofErr w:type="spellStart"/>
      <w:r>
        <w:t>kunyit</w:t>
      </w:r>
      <w:proofErr w:type="spellEnd"/>
      <w:r>
        <w:t xml:space="preserve">, dan </w:t>
      </w:r>
      <w:proofErr w:type="spellStart"/>
      <w:r>
        <w:t>sereh</w:t>
      </w:r>
      <w:proofErr w:type="spellEnd"/>
      <w:r>
        <w:t xml:space="preserve"> [Physical stability test of instant powder preparations with a combination of ginger, </w:t>
      </w:r>
      <w:proofErr w:type="spellStart"/>
      <w:r>
        <w:t>temulawak</w:t>
      </w:r>
      <w:proofErr w:type="spellEnd"/>
      <w:r>
        <w:t xml:space="preserve">, turmeric, and lemongrass]. </w:t>
      </w:r>
      <w:proofErr w:type="spellStart"/>
      <w:r>
        <w:t>Jurnal</w:t>
      </w:r>
      <w:proofErr w:type="spellEnd"/>
      <w:r>
        <w:t xml:space="preserve"> </w:t>
      </w:r>
      <w:proofErr w:type="spellStart"/>
      <w:r>
        <w:t>Komunitas</w:t>
      </w:r>
      <w:proofErr w:type="spellEnd"/>
      <w:r>
        <w:t xml:space="preserve"> </w:t>
      </w:r>
      <w:proofErr w:type="spellStart"/>
      <w:r>
        <w:t>Farmasi</w:t>
      </w:r>
      <w:proofErr w:type="spellEnd"/>
      <w:r>
        <w:t xml:space="preserve"> Nasional, 2(2).</w:t>
      </w:r>
    </w:p>
    <w:p w14:paraId="4CB7DF83" w14:textId="77777777" w:rsidR="00E12746" w:rsidRDefault="00E12746" w:rsidP="00E12746">
      <w:pPr>
        <w:pStyle w:val="Body"/>
        <w:spacing w:after="0"/>
        <w:ind w:left="709" w:hanging="709"/>
      </w:pPr>
      <w:proofErr w:type="spellStart"/>
      <w:r>
        <w:t>Indrianti</w:t>
      </w:r>
      <w:proofErr w:type="spellEnd"/>
      <w:r>
        <w:t xml:space="preserve">, N., Putri, D. P., </w:t>
      </w:r>
      <w:proofErr w:type="spellStart"/>
      <w:r>
        <w:t>Yulianti</w:t>
      </w:r>
      <w:proofErr w:type="spellEnd"/>
      <w:r>
        <w:t xml:space="preserve">, L. E., </w:t>
      </w:r>
      <w:proofErr w:type="spellStart"/>
      <w:r>
        <w:t>Afifah</w:t>
      </w:r>
      <w:proofErr w:type="spellEnd"/>
      <w:r>
        <w:t xml:space="preserve">, N., </w:t>
      </w:r>
      <w:proofErr w:type="spellStart"/>
      <w:r>
        <w:t>Ratnawati</w:t>
      </w:r>
      <w:proofErr w:type="spellEnd"/>
      <w:r>
        <w:t xml:space="preserve">, L., </w:t>
      </w:r>
      <w:proofErr w:type="spellStart"/>
      <w:r>
        <w:t>Sarifudin</w:t>
      </w:r>
      <w:proofErr w:type="spellEnd"/>
      <w:r>
        <w:t xml:space="preserve">, A., … </w:t>
      </w:r>
      <w:proofErr w:type="spellStart"/>
      <w:r>
        <w:t>Sukarta</w:t>
      </w:r>
      <w:proofErr w:type="spellEnd"/>
      <w:r>
        <w:t xml:space="preserve">, D. (2023). Optimization of foam properties and evaluation of the drying temperature effects on the foam-mat drying of pasta sauce. </w:t>
      </w:r>
      <w:proofErr w:type="spellStart"/>
      <w:r>
        <w:t>AgriTECH</w:t>
      </w:r>
      <w:proofErr w:type="spellEnd"/>
      <w:r>
        <w:t>, 43(3), 238. https://doi.org/10.22146/agritech.71102</w:t>
      </w:r>
    </w:p>
    <w:p w14:paraId="45067537" w14:textId="67C9B867" w:rsidR="00E12746" w:rsidRDefault="00E12746" w:rsidP="00E12746">
      <w:pPr>
        <w:pStyle w:val="Body"/>
        <w:spacing w:after="0"/>
        <w:ind w:left="709" w:hanging="709"/>
      </w:pPr>
      <w:proofErr w:type="spellStart"/>
      <w:r>
        <w:t>Intariani</w:t>
      </w:r>
      <w:proofErr w:type="spellEnd"/>
      <w:r>
        <w:t xml:space="preserve">, N. P., </w:t>
      </w:r>
      <w:proofErr w:type="spellStart"/>
      <w:r>
        <w:t>Puspawati</w:t>
      </w:r>
      <w:proofErr w:type="spellEnd"/>
      <w:r>
        <w:t xml:space="preserve">, G. A. K. D., &amp; </w:t>
      </w:r>
      <w:proofErr w:type="spellStart"/>
      <w:r>
        <w:t>Wisaniyasa</w:t>
      </w:r>
      <w:proofErr w:type="spellEnd"/>
      <w:r>
        <w:t xml:space="preserve">, N. W. (2022). </w:t>
      </w:r>
      <w:proofErr w:type="spellStart"/>
      <w:r>
        <w:t>Pengaruh</w:t>
      </w:r>
      <w:proofErr w:type="spellEnd"/>
      <w:r>
        <w:t xml:space="preserve"> </w:t>
      </w:r>
      <w:proofErr w:type="spellStart"/>
      <w:r>
        <w:t>konsentrasi</w:t>
      </w:r>
      <w:proofErr w:type="spellEnd"/>
      <w:r>
        <w:t xml:space="preserve"> carboxyl methyl </w:t>
      </w:r>
      <w:proofErr w:type="spellStart"/>
      <w:r>
        <w:t>cellulosa</w:t>
      </w:r>
      <w:proofErr w:type="spellEnd"/>
      <w:r>
        <w:t xml:space="preserve"> (CMC) </w:t>
      </w:r>
      <w:proofErr w:type="spellStart"/>
      <w:r>
        <w:t>terhadap</w:t>
      </w:r>
      <w:proofErr w:type="spellEnd"/>
      <w:r>
        <w:t xml:space="preserve"> </w:t>
      </w:r>
      <w:proofErr w:type="spellStart"/>
      <w:r>
        <w:t>karakteristik</w:t>
      </w:r>
      <w:proofErr w:type="spellEnd"/>
      <w:r>
        <w:t xml:space="preserve"> </w:t>
      </w:r>
      <w:proofErr w:type="spellStart"/>
      <w:r>
        <w:t>bubuk</w:t>
      </w:r>
      <w:proofErr w:type="spellEnd"/>
      <w:r>
        <w:t xml:space="preserve"> </w:t>
      </w:r>
      <w:proofErr w:type="spellStart"/>
      <w:r>
        <w:t>daun</w:t>
      </w:r>
      <w:proofErr w:type="spellEnd"/>
      <w:r>
        <w:t xml:space="preserve"> </w:t>
      </w:r>
      <w:proofErr w:type="spellStart"/>
      <w:r>
        <w:t>singkong</w:t>
      </w:r>
      <w:proofErr w:type="spellEnd"/>
      <w:r>
        <w:t xml:space="preserve"> (Manihot esculenta </w:t>
      </w:r>
      <w:proofErr w:type="spellStart"/>
      <w:r>
        <w:t>Crantz</w:t>
      </w:r>
      <w:proofErr w:type="spellEnd"/>
      <w:r>
        <w:t xml:space="preserve">) </w:t>
      </w:r>
      <w:proofErr w:type="spellStart"/>
      <w:r>
        <w:t>dengan</w:t>
      </w:r>
      <w:proofErr w:type="spellEnd"/>
      <w:r>
        <w:t xml:space="preserve"> </w:t>
      </w:r>
      <w:proofErr w:type="spellStart"/>
      <w:r>
        <w:t>metode</w:t>
      </w:r>
      <w:proofErr w:type="spellEnd"/>
      <w:r>
        <w:t xml:space="preserve"> foam mat drying [Effect of carboxyl methyl cellulose (CMC) concentration on the characteristics of cassava leaf (Manihot esculenta </w:t>
      </w:r>
      <w:proofErr w:type="spellStart"/>
      <w:r>
        <w:t>Crantz</w:t>
      </w:r>
      <w:proofErr w:type="spellEnd"/>
      <w:r>
        <w:t xml:space="preserve">) powder using the foam mat drying method]. </w:t>
      </w:r>
      <w:proofErr w:type="spellStart"/>
      <w:r>
        <w:t>Jurnal</w:t>
      </w:r>
      <w:proofErr w:type="spellEnd"/>
      <w:r>
        <w:t xml:space="preserve"> </w:t>
      </w:r>
      <w:proofErr w:type="spellStart"/>
      <w:r>
        <w:t>Ilmu</w:t>
      </w:r>
      <w:proofErr w:type="spellEnd"/>
      <w:r>
        <w:t xml:space="preserve"> dan </w:t>
      </w:r>
      <w:proofErr w:type="spellStart"/>
      <w:r>
        <w:t>Teknologi</w:t>
      </w:r>
      <w:proofErr w:type="spellEnd"/>
      <w:r>
        <w:t xml:space="preserve"> </w:t>
      </w:r>
      <w:proofErr w:type="spellStart"/>
      <w:r>
        <w:t>Pangan</w:t>
      </w:r>
      <w:proofErr w:type="spellEnd"/>
      <w:r>
        <w:t>, 11(4), 744–755.</w:t>
      </w:r>
      <w:r w:rsidR="00C3399E">
        <w:t xml:space="preserve"> </w:t>
      </w:r>
      <w:r w:rsidR="00C3399E" w:rsidRPr="00C3399E">
        <w:t>https://doi.org/10.24843/itepa.2022.v11.i04.p14</w:t>
      </w:r>
    </w:p>
    <w:p w14:paraId="23CB8F02" w14:textId="5D5837C7" w:rsidR="00E12746" w:rsidRDefault="00E12746" w:rsidP="00E12746">
      <w:pPr>
        <w:pStyle w:val="Body"/>
        <w:spacing w:after="0"/>
        <w:ind w:left="709" w:hanging="709"/>
      </w:pPr>
      <w:proofErr w:type="spellStart"/>
      <w:r>
        <w:t>Kurniasari</w:t>
      </w:r>
      <w:proofErr w:type="spellEnd"/>
      <w:r>
        <w:t xml:space="preserve">, F., </w:t>
      </w:r>
      <w:proofErr w:type="spellStart"/>
      <w:r>
        <w:t>Hartati</w:t>
      </w:r>
      <w:proofErr w:type="spellEnd"/>
      <w:r>
        <w:t xml:space="preserve">, I., &amp; </w:t>
      </w:r>
      <w:proofErr w:type="spellStart"/>
      <w:r>
        <w:t>Kurniasari</w:t>
      </w:r>
      <w:proofErr w:type="spellEnd"/>
      <w:r>
        <w:t xml:space="preserve">, L. (2019). </w:t>
      </w:r>
      <w:proofErr w:type="spellStart"/>
      <w:r>
        <w:t>Aplikasi</w:t>
      </w:r>
      <w:proofErr w:type="spellEnd"/>
      <w:r>
        <w:t xml:space="preserve"> </w:t>
      </w:r>
      <w:proofErr w:type="spellStart"/>
      <w:r>
        <w:t>metode</w:t>
      </w:r>
      <w:proofErr w:type="spellEnd"/>
      <w:r>
        <w:t xml:space="preserve"> foam mat drying pada </w:t>
      </w:r>
      <w:proofErr w:type="spellStart"/>
      <w:r>
        <w:t>pembuatan</w:t>
      </w:r>
      <w:proofErr w:type="spellEnd"/>
      <w:r>
        <w:t xml:space="preserve"> </w:t>
      </w:r>
      <w:proofErr w:type="spellStart"/>
      <w:r>
        <w:t>bubuk</w:t>
      </w:r>
      <w:proofErr w:type="spellEnd"/>
      <w:r>
        <w:t xml:space="preserve"> </w:t>
      </w:r>
      <w:proofErr w:type="spellStart"/>
      <w:r>
        <w:t>jahe</w:t>
      </w:r>
      <w:proofErr w:type="spellEnd"/>
      <w:r>
        <w:t xml:space="preserve"> (</w:t>
      </w:r>
      <w:proofErr w:type="spellStart"/>
      <w:r>
        <w:t>Zingiber</w:t>
      </w:r>
      <w:proofErr w:type="spellEnd"/>
      <w:r>
        <w:t xml:space="preserve"> </w:t>
      </w:r>
      <w:proofErr w:type="spellStart"/>
      <w:r>
        <w:t>officinale</w:t>
      </w:r>
      <w:proofErr w:type="spellEnd"/>
      <w:r>
        <w:t>) [Application of the foam mat drying method in the production of ginger (</w:t>
      </w:r>
      <w:proofErr w:type="spellStart"/>
      <w:r>
        <w:t>Zingiber</w:t>
      </w:r>
      <w:proofErr w:type="spellEnd"/>
      <w:r>
        <w:t xml:space="preserve"> </w:t>
      </w:r>
      <w:proofErr w:type="spellStart"/>
      <w:r>
        <w:t>officinale</w:t>
      </w:r>
      <w:proofErr w:type="spellEnd"/>
      <w:r>
        <w:t xml:space="preserve">) powder]. </w:t>
      </w:r>
      <w:proofErr w:type="spellStart"/>
      <w:r>
        <w:t>Jurnal</w:t>
      </w:r>
      <w:proofErr w:type="spellEnd"/>
      <w:r>
        <w:t xml:space="preserve"> </w:t>
      </w:r>
      <w:proofErr w:type="spellStart"/>
      <w:r>
        <w:t>Inovasi</w:t>
      </w:r>
      <w:proofErr w:type="spellEnd"/>
      <w:r>
        <w:t xml:space="preserve"> Teknik Kimia, 4(1).</w:t>
      </w:r>
      <w:r w:rsidR="00C3399E">
        <w:t xml:space="preserve"> </w:t>
      </w:r>
      <w:r w:rsidR="00C3399E" w:rsidRPr="00C3399E">
        <w:t>https://doi.org/10.31942/inteka.v4i1.2679</w:t>
      </w:r>
    </w:p>
    <w:p w14:paraId="5339F2E7" w14:textId="77777777" w:rsidR="00E12746" w:rsidRDefault="00E12746" w:rsidP="00E12746">
      <w:pPr>
        <w:pStyle w:val="Body"/>
        <w:spacing w:after="0"/>
        <w:ind w:left="709" w:hanging="709"/>
      </w:pPr>
      <w:r>
        <w:t xml:space="preserve">Loan, L. T. K., &amp; Tai, N. V. (2023). Process of foam-mat drying of purple rice bran extract and evaluation of product properties. </w:t>
      </w:r>
      <w:proofErr w:type="spellStart"/>
      <w:r>
        <w:t>Revista</w:t>
      </w:r>
      <w:proofErr w:type="spellEnd"/>
      <w:r>
        <w:t xml:space="preserve"> Mexicana de </w:t>
      </w:r>
      <w:proofErr w:type="spellStart"/>
      <w:r>
        <w:t>Ingeniería</w:t>
      </w:r>
      <w:proofErr w:type="spellEnd"/>
      <w:r>
        <w:t xml:space="preserve"> </w:t>
      </w:r>
      <w:proofErr w:type="spellStart"/>
      <w:r>
        <w:t>Química</w:t>
      </w:r>
      <w:proofErr w:type="spellEnd"/>
      <w:r>
        <w:t>, 22(3), 1–16. https://doi.org/10.24275/rmiq/Alim23148</w:t>
      </w:r>
    </w:p>
    <w:p w14:paraId="71286414" w14:textId="77777777" w:rsidR="00E12746" w:rsidRDefault="00E12746" w:rsidP="00E12746">
      <w:pPr>
        <w:pStyle w:val="Body"/>
        <w:spacing w:after="0"/>
        <w:ind w:left="709" w:hanging="709"/>
      </w:pPr>
      <w:r>
        <w:t xml:space="preserve">Martha, S., </w:t>
      </w:r>
      <w:proofErr w:type="spellStart"/>
      <w:r>
        <w:t>Mahyuse</w:t>
      </w:r>
      <w:proofErr w:type="spellEnd"/>
      <w:r>
        <w:t xml:space="preserve"> Effendi, A. V., &amp; </w:t>
      </w:r>
      <w:proofErr w:type="spellStart"/>
      <w:r>
        <w:t>Astuti</w:t>
      </w:r>
      <w:proofErr w:type="spellEnd"/>
      <w:r>
        <w:t xml:space="preserve">, D. (2024). </w:t>
      </w:r>
      <w:proofErr w:type="spellStart"/>
      <w:r>
        <w:t>Pengaruh</w:t>
      </w:r>
      <w:proofErr w:type="spellEnd"/>
      <w:r>
        <w:t xml:space="preserve"> </w:t>
      </w:r>
      <w:proofErr w:type="spellStart"/>
      <w:r>
        <w:t>konsentrasi</w:t>
      </w:r>
      <w:proofErr w:type="spellEnd"/>
      <w:r>
        <w:t xml:space="preserve"> </w:t>
      </w:r>
      <w:proofErr w:type="spellStart"/>
      <w:r>
        <w:t>maltodekstrin</w:t>
      </w:r>
      <w:proofErr w:type="spellEnd"/>
      <w:r>
        <w:t xml:space="preserve"> </w:t>
      </w:r>
      <w:proofErr w:type="spellStart"/>
      <w:r>
        <w:t>terhadap</w:t>
      </w:r>
      <w:proofErr w:type="spellEnd"/>
      <w:r>
        <w:t xml:space="preserve"> </w:t>
      </w:r>
      <w:proofErr w:type="spellStart"/>
      <w:r>
        <w:t>karakteristik</w:t>
      </w:r>
      <w:proofErr w:type="spellEnd"/>
      <w:r>
        <w:t xml:space="preserve"> </w:t>
      </w:r>
      <w:proofErr w:type="spellStart"/>
      <w:r>
        <w:t>fisik</w:t>
      </w:r>
      <w:proofErr w:type="spellEnd"/>
      <w:r>
        <w:t xml:space="preserve"> dan </w:t>
      </w:r>
      <w:proofErr w:type="spellStart"/>
      <w:r>
        <w:t>karakteristik</w:t>
      </w:r>
      <w:proofErr w:type="spellEnd"/>
      <w:r>
        <w:t xml:space="preserve"> </w:t>
      </w:r>
      <w:proofErr w:type="spellStart"/>
      <w:r>
        <w:t>kimia</w:t>
      </w:r>
      <w:proofErr w:type="spellEnd"/>
      <w:r>
        <w:t xml:space="preserve"> </w:t>
      </w:r>
      <w:proofErr w:type="spellStart"/>
      <w:r>
        <w:t>serbuk</w:t>
      </w:r>
      <w:proofErr w:type="spellEnd"/>
      <w:r>
        <w:t xml:space="preserve"> herbal </w:t>
      </w:r>
      <w:proofErr w:type="spellStart"/>
      <w:r>
        <w:t>buah</w:t>
      </w:r>
      <w:proofErr w:type="spellEnd"/>
      <w:r>
        <w:t xml:space="preserve"> pare (Momordica </w:t>
      </w:r>
      <w:proofErr w:type="spellStart"/>
      <w:r>
        <w:t>charantia</w:t>
      </w:r>
      <w:proofErr w:type="spellEnd"/>
      <w:r>
        <w:t xml:space="preserve"> L.) </w:t>
      </w:r>
      <w:proofErr w:type="spellStart"/>
      <w:r>
        <w:t>hasil</w:t>
      </w:r>
      <w:proofErr w:type="spellEnd"/>
      <w:r>
        <w:t xml:space="preserve"> </w:t>
      </w:r>
      <w:proofErr w:type="spellStart"/>
      <w:r>
        <w:t>pengeringan</w:t>
      </w:r>
      <w:proofErr w:type="spellEnd"/>
      <w:r>
        <w:t xml:space="preserve"> </w:t>
      </w:r>
      <w:proofErr w:type="spellStart"/>
      <w:r>
        <w:t>busa</w:t>
      </w:r>
      <w:proofErr w:type="spellEnd"/>
      <w:r>
        <w:t xml:space="preserve"> (foam mat drying) [Effect of maltodextrin concentration on physical and chemical characteristics of herbal bitter melon (Momordica </w:t>
      </w:r>
      <w:proofErr w:type="spellStart"/>
      <w:r>
        <w:t>charantia</w:t>
      </w:r>
      <w:proofErr w:type="spellEnd"/>
      <w:r>
        <w:t xml:space="preserve"> L.) powder produced by foam mat drying]. </w:t>
      </w:r>
      <w:proofErr w:type="spellStart"/>
      <w:r>
        <w:t>Jurnal</w:t>
      </w:r>
      <w:proofErr w:type="spellEnd"/>
      <w:r>
        <w:t xml:space="preserve"> </w:t>
      </w:r>
      <w:proofErr w:type="spellStart"/>
      <w:r>
        <w:t>Ilmiah</w:t>
      </w:r>
      <w:proofErr w:type="spellEnd"/>
      <w:r>
        <w:t xml:space="preserve"> </w:t>
      </w:r>
      <w:proofErr w:type="spellStart"/>
      <w:r>
        <w:t>Bakti</w:t>
      </w:r>
      <w:proofErr w:type="spellEnd"/>
      <w:r>
        <w:t xml:space="preserve"> </w:t>
      </w:r>
      <w:proofErr w:type="spellStart"/>
      <w:r>
        <w:t>Farmasi</w:t>
      </w:r>
      <w:proofErr w:type="spellEnd"/>
      <w:r>
        <w:t>, 9(1), 31–38. https://doi.org/10.61685/jibf.v9i1.134</w:t>
      </w:r>
    </w:p>
    <w:p w14:paraId="35943D24" w14:textId="77777777" w:rsidR="00E12746" w:rsidRDefault="00E12746" w:rsidP="00E12746">
      <w:pPr>
        <w:pStyle w:val="Body"/>
        <w:spacing w:after="0"/>
        <w:ind w:left="709" w:hanging="709"/>
      </w:pPr>
      <w:proofErr w:type="spellStart"/>
      <w:r>
        <w:t>Martihandini</w:t>
      </w:r>
      <w:proofErr w:type="spellEnd"/>
      <w:r>
        <w:t xml:space="preserve">, N., &amp; </w:t>
      </w:r>
      <w:proofErr w:type="spellStart"/>
      <w:r>
        <w:t>Handayani</w:t>
      </w:r>
      <w:proofErr w:type="spellEnd"/>
      <w:r>
        <w:t>, N. (2025). Effect of carrier materials in foam-mat drying on the flow properties of kombucha tea powder. Indonesian Journal of Pharmaceutical Education, 5(2), 168–180. https://doi.org/10.37311/ijpe.v5i2.29492</w:t>
      </w:r>
    </w:p>
    <w:p w14:paraId="12FA5AE2" w14:textId="77777777" w:rsidR="00E12746" w:rsidRDefault="00E12746" w:rsidP="00E12746">
      <w:pPr>
        <w:pStyle w:val="Body"/>
        <w:spacing w:after="0"/>
        <w:ind w:left="709" w:hanging="709"/>
      </w:pPr>
      <w:r>
        <w:t xml:space="preserve">Mohamed, S. A., </w:t>
      </w:r>
      <w:proofErr w:type="spellStart"/>
      <w:r>
        <w:t>Elsherbini</w:t>
      </w:r>
      <w:proofErr w:type="spellEnd"/>
      <w:r>
        <w:t xml:space="preserve">, A. M., </w:t>
      </w:r>
      <w:proofErr w:type="spellStart"/>
      <w:r>
        <w:t>Alrefaey</w:t>
      </w:r>
      <w:proofErr w:type="spellEnd"/>
      <w:r>
        <w:t xml:space="preserve">, H. R., </w:t>
      </w:r>
      <w:proofErr w:type="spellStart"/>
      <w:r>
        <w:t>Adelrahman</w:t>
      </w:r>
      <w:proofErr w:type="spellEnd"/>
      <w:r>
        <w:t xml:space="preserve">, K., </w:t>
      </w:r>
      <w:proofErr w:type="spellStart"/>
      <w:r>
        <w:t>Moustafa</w:t>
      </w:r>
      <w:proofErr w:type="spellEnd"/>
      <w:r>
        <w:t xml:space="preserve">, A., </w:t>
      </w:r>
      <w:proofErr w:type="spellStart"/>
      <w:r>
        <w:t>Egodawaththa</w:t>
      </w:r>
      <w:proofErr w:type="spellEnd"/>
      <w:r>
        <w:t>, N. M., … Sabra, S. A. (2025). Gum Arabic: A commodity with versatile formulations and applications. Nanomaterials, 15(4), 290. https://doi.org/10.3390/nano15040290</w:t>
      </w:r>
    </w:p>
    <w:p w14:paraId="297D4A8C" w14:textId="77777777" w:rsidR="00E12746" w:rsidRDefault="00E12746" w:rsidP="00E12746">
      <w:pPr>
        <w:pStyle w:val="Body"/>
        <w:spacing w:after="0"/>
        <w:ind w:left="709" w:hanging="709"/>
      </w:pPr>
      <w:r>
        <w:t>Musa, H. H., Ahmed, A. A., &amp; Musa, T. H. (2018). Chemistry, biological, and pharmacological properties of gum Arabic. https://doi.org/10.1007/978-3-319-54528-8_11-1</w:t>
      </w:r>
    </w:p>
    <w:p w14:paraId="46A1AA69" w14:textId="77777777" w:rsidR="00E12746" w:rsidRDefault="00E12746" w:rsidP="00E12746">
      <w:pPr>
        <w:pStyle w:val="Body"/>
        <w:spacing w:after="0"/>
        <w:ind w:left="709" w:hanging="709"/>
      </w:pPr>
      <w:proofErr w:type="spellStart"/>
      <w:r>
        <w:t>Nuryandani</w:t>
      </w:r>
      <w:proofErr w:type="spellEnd"/>
      <w:r>
        <w:t xml:space="preserve">, E., </w:t>
      </w:r>
      <w:proofErr w:type="spellStart"/>
      <w:r>
        <w:t>Kurnianto</w:t>
      </w:r>
      <w:proofErr w:type="spellEnd"/>
      <w:r>
        <w:t xml:space="preserve">, D., </w:t>
      </w:r>
      <w:proofErr w:type="spellStart"/>
      <w:r>
        <w:t>Jasmadi</w:t>
      </w:r>
      <w:proofErr w:type="spellEnd"/>
      <w:r>
        <w:t xml:space="preserve">, J., </w:t>
      </w:r>
      <w:proofErr w:type="spellStart"/>
      <w:r>
        <w:t>Sefrienda</w:t>
      </w:r>
      <w:proofErr w:type="spellEnd"/>
      <w:r>
        <w:t xml:space="preserve">, A. R., </w:t>
      </w:r>
      <w:proofErr w:type="spellStart"/>
      <w:r>
        <w:t>Novitasari</w:t>
      </w:r>
      <w:proofErr w:type="spellEnd"/>
      <w:r>
        <w:t xml:space="preserve">, E., </w:t>
      </w:r>
      <w:proofErr w:type="spellStart"/>
      <w:r>
        <w:t>Apriyati</w:t>
      </w:r>
      <w:proofErr w:type="spellEnd"/>
      <w:r>
        <w:t xml:space="preserve">, E., Wanita, Y. P., </w:t>
      </w:r>
      <w:proofErr w:type="spellStart"/>
      <w:r>
        <w:t>Indrasari</w:t>
      </w:r>
      <w:proofErr w:type="spellEnd"/>
      <w:r>
        <w:t xml:space="preserve">, S. D., </w:t>
      </w:r>
      <w:proofErr w:type="spellStart"/>
      <w:r>
        <w:t>Sunaryanto</w:t>
      </w:r>
      <w:proofErr w:type="spellEnd"/>
      <w:r>
        <w:t xml:space="preserve">, R., </w:t>
      </w:r>
      <w:proofErr w:type="spellStart"/>
      <w:r>
        <w:t>Tjokrokusumo</w:t>
      </w:r>
      <w:proofErr w:type="spellEnd"/>
      <w:r>
        <w:t xml:space="preserve">, D., &amp; </w:t>
      </w:r>
      <w:proofErr w:type="spellStart"/>
      <w:r>
        <w:t>Yani</w:t>
      </w:r>
      <w:proofErr w:type="spellEnd"/>
      <w:r>
        <w:t xml:space="preserve">, A. (2024). Phytotoxic and cytotoxic effects, antioxidant potentials, and phytochemical constituents of Stevia </w:t>
      </w:r>
      <w:proofErr w:type="spellStart"/>
      <w:r>
        <w:t>rebaudiana</w:t>
      </w:r>
      <w:proofErr w:type="spellEnd"/>
      <w:r>
        <w:t xml:space="preserve"> leaves. </w:t>
      </w:r>
      <w:proofErr w:type="spellStart"/>
      <w:r>
        <w:t>Scientifica</w:t>
      </w:r>
      <w:proofErr w:type="spellEnd"/>
      <w:r>
        <w:t>, 2024(1), 2200993. https://doi.org/10.1155/2024/2200993</w:t>
      </w:r>
    </w:p>
    <w:p w14:paraId="6AB743D7" w14:textId="77777777" w:rsidR="00E12746" w:rsidRDefault="00E12746" w:rsidP="00E12746">
      <w:pPr>
        <w:pStyle w:val="Body"/>
        <w:spacing w:after="0"/>
        <w:ind w:left="709" w:hanging="709"/>
      </w:pPr>
      <w:r>
        <w:t xml:space="preserve">Putri, N. N. Y., </w:t>
      </w:r>
      <w:proofErr w:type="spellStart"/>
      <w:r>
        <w:t>Hermanto</w:t>
      </w:r>
      <w:proofErr w:type="spellEnd"/>
      <w:r>
        <w:t xml:space="preserve">, R. A., &amp; </w:t>
      </w:r>
      <w:proofErr w:type="spellStart"/>
      <w:r>
        <w:t>Ulfah</w:t>
      </w:r>
      <w:proofErr w:type="spellEnd"/>
      <w:r>
        <w:t xml:space="preserve">, A. (2020). </w:t>
      </w:r>
      <w:proofErr w:type="spellStart"/>
      <w:r>
        <w:t>Analisis</w:t>
      </w:r>
      <w:proofErr w:type="spellEnd"/>
      <w:r>
        <w:t xml:space="preserve"> </w:t>
      </w:r>
      <w:proofErr w:type="spellStart"/>
      <w:r>
        <w:t>kandungan</w:t>
      </w:r>
      <w:proofErr w:type="spellEnd"/>
      <w:r>
        <w:t xml:space="preserve"> </w:t>
      </w:r>
      <w:proofErr w:type="spellStart"/>
      <w:r>
        <w:t>serat</w:t>
      </w:r>
      <w:proofErr w:type="spellEnd"/>
      <w:r>
        <w:t xml:space="preserve"> dan uji </w:t>
      </w:r>
      <w:proofErr w:type="spellStart"/>
      <w:r>
        <w:t>hedonik</w:t>
      </w:r>
      <w:proofErr w:type="spellEnd"/>
      <w:r>
        <w:t xml:space="preserve"> pada </w:t>
      </w:r>
      <w:proofErr w:type="spellStart"/>
      <w:r>
        <w:t>produk</w:t>
      </w:r>
      <w:proofErr w:type="spellEnd"/>
      <w:r>
        <w:t xml:space="preserve"> snack bar </w:t>
      </w:r>
      <w:proofErr w:type="spellStart"/>
      <w:r>
        <w:t>tepung</w:t>
      </w:r>
      <w:proofErr w:type="spellEnd"/>
      <w:r>
        <w:t xml:space="preserve"> </w:t>
      </w:r>
      <w:proofErr w:type="spellStart"/>
      <w:r>
        <w:t>beras</w:t>
      </w:r>
      <w:proofErr w:type="spellEnd"/>
      <w:r>
        <w:t xml:space="preserve"> </w:t>
      </w:r>
      <w:proofErr w:type="spellStart"/>
      <w:r>
        <w:t>merah</w:t>
      </w:r>
      <w:proofErr w:type="spellEnd"/>
      <w:r>
        <w:t xml:space="preserve"> (Oryza </w:t>
      </w:r>
      <w:proofErr w:type="spellStart"/>
      <w:r>
        <w:t>nivara</w:t>
      </w:r>
      <w:proofErr w:type="spellEnd"/>
      <w:r>
        <w:t xml:space="preserve"> L.) dan </w:t>
      </w:r>
      <w:proofErr w:type="spellStart"/>
      <w:r>
        <w:t>kacang</w:t>
      </w:r>
      <w:proofErr w:type="spellEnd"/>
      <w:r>
        <w:t xml:space="preserve"> </w:t>
      </w:r>
      <w:proofErr w:type="spellStart"/>
      <w:r>
        <w:t>hijau</w:t>
      </w:r>
      <w:proofErr w:type="spellEnd"/>
      <w:r>
        <w:t xml:space="preserve"> (Phaseolus radiatus L.) [Analysis of fiber content and hedonic test on red rice flour </w:t>
      </w:r>
      <w:r>
        <w:lastRenderedPageBreak/>
        <w:t xml:space="preserve">(Oryza </w:t>
      </w:r>
      <w:proofErr w:type="spellStart"/>
      <w:r>
        <w:t>nivara</w:t>
      </w:r>
      <w:proofErr w:type="spellEnd"/>
      <w:r>
        <w:t xml:space="preserve"> L.) and mung bean (Phaseolus radiatus L.) snack bar products]. Journal of Holistic and Health Sciences, 4(2), 129–136. https://doi.org/10.51873/jhhs.v4i2.85</w:t>
      </w:r>
    </w:p>
    <w:p w14:paraId="2CCE0775" w14:textId="79D75E60" w:rsidR="00D6488E" w:rsidRDefault="00D6488E" w:rsidP="00E12746">
      <w:pPr>
        <w:pStyle w:val="Body"/>
        <w:spacing w:after="0"/>
        <w:ind w:left="709" w:hanging="709"/>
      </w:pPr>
      <w:r w:rsidRPr="00D6488E">
        <w:t xml:space="preserve">Rahman, M.S.; Hasan, M.S.; </w:t>
      </w:r>
      <w:proofErr w:type="spellStart"/>
      <w:r w:rsidRPr="00D6488E">
        <w:t>Nitai</w:t>
      </w:r>
      <w:proofErr w:type="spellEnd"/>
      <w:r w:rsidRPr="00D6488E">
        <w:t xml:space="preserve">, A.S.; Nam, S.; </w:t>
      </w:r>
      <w:proofErr w:type="spellStart"/>
      <w:r w:rsidRPr="00D6488E">
        <w:t>Karmakar</w:t>
      </w:r>
      <w:proofErr w:type="spellEnd"/>
      <w:r w:rsidRPr="00D6488E">
        <w:t xml:space="preserve">, A.K.; Ahsan, M.S.; </w:t>
      </w:r>
      <w:proofErr w:type="spellStart"/>
      <w:r w:rsidRPr="00D6488E">
        <w:t>Shiddiky</w:t>
      </w:r>
      <w:proofErr w:type="spellEnd"/>
      <w:r w:rsidRPr="00D6488E">
        <w:t>, M.J.A.; Ahmed, M.B. Recent Developments of Carboxymethyl Cellulose. Polymers 2021, 13, 1345. https://doi.org/10.3390/polym13081345</w:t>
      </w:r>
    </w:p>
    <w:p w14:paraId="49F511D4" w14:textId="20F6880C" w:rsidR="00BF47C6" w:rsidRDefault="00BF47C6" w:rsidP="00E12746">
      <w:pPr>
        <w:pStyle w:val="Body"/>
        <w:spacing w:after="0"/>
        <w:ind w:left="709" w:hanging="709"/>
      </w:pPr>
      <w:r w:rsidRPr="00BF47C6">
        <w:t xml:space="preserve">Reis, F.R., de </w:t>
      </w:r>
      <w:proofErr w:type="spellStart"/>
      <w:r w:rsidRPr="00BF47C6">
        <w:t>Moraes</w:t>
      </w:r>
      <w:proofErr w:type="spellEnd"/>
      <w:r w:rsidRPr="00BF47C6">
        <w:t xml:space="preserve">, A.C.S. &amp; Masson, M.L. Impact of Foam-Mat Drying on Plant-Based Foods Bioactive Compounds: </w:t>
      </w:r>
      <w:proofErr w:type="gramStart"/>
      <w:r w:rsidRPr="00BF47C6">
        <w:t>a</w:t>
      </w:r>
      <w:proofErr w:type="gramEnd"/>
      <w:r w:rsidRPr="00BF47C6">
        <w:t xml:space="preserve"> Review. Plant Foods Hum </w:t>
      </w:r>
      <w:proofErr w:type="spellStart"/>
      <w:r w:rsidRPr="00BF47C6">
        <w:t>Nutr</w:t>
      </w:r>
      <w:proofErr w:type="spellEnd"/>
      <w:r w:rsidRPr="00BF47C6">
        <w:t xml:space="preserve"> 76, 153–160 (2021). https://doi.org/10.1007/s11130-021-00899-3</w:t>
      </w:r>
    </w:p>
    <w:p w14:paraId="13B28353" w14:textId="18C14808" w:rsidR="00E12746" w:rsidRDefault="00E12746" w:rsidP="00E12746">
      <w:pPr>
        <w:pStyle w:val="Body"/>
        <w:spacing w:after="0"/>
        <w:ind w:left="709" w:hanging="709"/>
      </w:pPr>
      <w:proofErr w:type="spellStart"/>
      <w:r>
        <w:t>Rianti</w:t>
      </w:r>
      <w:proofErr w:type="spellEnd"/>
      <w:r>
        <w:t xml:space="preserve">, R. P. (2025). </w:t>
      </w:r>
      <w:proofErr w:type="spellStart"/>
      <w:r>
        <w:t>Penerapan</w:t>
      </w:r>
      <w:proofErr w:type="spellEnd"/>
      <w:r>
        <w:t xml:space="preserve"> </w:t>
      </w:r>
      <w:proofErr w:type="spellStart"/>
      <w:r>
        <w:t>metode</w:t>
      </w:r>
      <w:proofErr w:type="spellEnd"/>
      <w:r>
        <w:t xml:space="preserve"> foam mat drying pada </w:t>
      </w:r>
      <w:proofErr w:type="spellStart"/>
      <w:r>
        <w:t>pembuatan</w:t>
      </w:r>
      <w:proofErr w:type="spellEnd"/>
      <w:r>
        <w:t xml:space="preserve"> </w:t>
      </w:r>
      <w:proofErr w:type="spellStart"/>
      <w:r>
        <w:t>bubuk</w:t>
      </w:r>
      <w:proofErr w:type="spellEnd"/>
      <w:r>
        <w:t xml:space="preserve"> </w:t>
      </w:r>
      <w:proofErr w:type="spellStart"/>
      <w:r>
        <w:t>daun</w:t>
      </w:r>
      <w:proofErr w:type="spellEnd"/>
      <w:r>
        <w:t xml:space="preserve"> </w:t>
      </w:r>
      <w:proofErr w:type="spellStart"/>
      <w:r>
        <w:t>kenikir</w:t>
      </w:r>
      <w:proofErr w:type="spellEnd"/>
      <w:r>
        <w:t xml:space="preserve"> (Cosmos </w:t>
      </w:r>
      <w:proofErr w:type="spellStart"/>
      <w:r>
        <w:t>caudatus</w:t>
      </w:r>
      <w:proofErr w:type="spellEnd"/>
      <w:r>
        <w:t xml:space="preserve"> </w:t>
      </w:r>
      <w:proofErr w:type="spellStart"/>
      <w:r>
        <w:t>Kunth</w:t>
      </w:r>
      <w:proofErr w:type="spellEnd"/>
      <w:r>
        <w:t xml:space="preserve">.) [Application of foam mat drying method in the production of </w:t>
      </w:r>
      <w:proofErr w:type="spellStart"/>
      <w:r>
        <w:t>kenikir</w:t>
      </w:r>
      <w:proofErr w:type="spellEnd"/>
      <w:r>
        <w:t xml:space="preserve"> (Cosmos </w:t>
      </w:r>
      <w:proofErr w:type="spellStart"/>
      <w:r>
        <w:t>caudatus</w:t>
      </w:r>
      <w:proofErr w:type="spellEnd"/>
      <w:r>
        <w:t xml:space="preserve"> </w:t>
      </w:r>
      <w:proofErr w:type="spellStart"/>
      <w:r>
        <w:t>Kunth</w:t>
      </w:r>
      <w:proofErr w:type="spellEnd"/>
      <w:r>
        <w:t>.) leaf powder]. Sumatera Selatan.</w:t>
      </w:r>
      <w:r w:rsidR="00C3399E">
        <w:t xml:space="preserve"> </w:t>
      </w:r>
    </w:p>
    <w:p w14:paraId="4264B010" w14:textId="77777777" w:rsidR="00E12746" w:rsidRDefault="00E12746" w:rsidP="00E12746">
      <w:pPr>
        <w:pStyle w:val="Body"/>
        <w:spacing w:after="0"/>
        <w:ind w:left="709" w:hanging="709"/>
      </w:pPr>
      <w:proofErr w:type="spellStart"/>
      <w:r>
        <w:t>Risema</w:t>
      </w:r>
      <w:proofErr w:type="spellEnd"/>
      <w:r>
        <w:t xml:space="preserve">, R. D. (2023). </w:t>
      </w:r>
      <w:proofErr w:type="spellStart"/>
      <w:r>
        <w:t>Karakteristik</w:t>
      </w:r>
      <w:proofErr w:type="spellEnd"/>
      <w:r>
        <w:t xml:space="preserve"> </w:t>
      </w:r>
      <w:proofErr w:type="spellStart"/>
      <w:r>
        <w:t>ekstrak</w:t>
      </w:r>
      <w:proofErr w:type="spellEnd"/>
      <w:r>
        <w:t xml:space="preserve"> cascara </w:t>
      </w:r>
      <w:proofErr w:type="spellStart"/>
      <w:r>
        <w:t>instan</w:t>
      </w:r>
      <w:proofErr w:type="spellEnd"/>
      <w:r>
        <w:t xml:space="preserve"> </w:t>
      </w:r>
      <w:proofErr w:type="spellStart"/>
      <w:r>
        <w:t>dengan</w:t>
      </w:r>
      <w:proofErr w:type="spellEnd"/>
      <w:r>
        <w:t xml:space="preserve"> </w:t>
      </w:r>
      <w:proofErr w:type="spellStart"/>
      <w:r>
        <w:t>metode</w:t>
      </w:r>
      <w:proofErr w:type="spellEnd"/>
      <w:r>
        <w:t xml:space="preserve"> foam mat drying pada </w:t>
      </w:r>
      <w:proofErr w:type="spellStart"/>
      <w:r>
        <w:t>berbagai</w:t>
      </w:r>
      <w:proofErr w:type="spellEnd"/>
      <w:r>
        <w:t xml:space="preserve"> </w:t>
      </w:r>
      <w:proofErr w:type="spellStart"/>
      <w:r>
        <w:t>konsentrasi</w:t>
      </w:r>
      <w:proofErr w:type="spellEnd"/>
      <w:r>
        <w:t xml:space="preserve"> gum </w:t>
      </w:r>
      <w:proofErr w:type="spellStart"/>
      <w:r>
        <w:t>arab</w:t>
      </w:r>
      <w:proofErr w:type="spellEnd"/>
      <w:r>
        <w:t xml:space="preserve"> (</w:t>
      </w:r>
      <w:proofErr w:type="spellStart"/>
      <w:r>
        <w:t>Skripsi</w:t>
      </w:r>
      <w:proofErr w:type="spellEnd"/>
      <w:r>
        <w:t xml:space="preserve">) [Characteristics of instant cascara extract using foam mat drying method at various gum </w:t>
      </w:r>
      <w:proofErr w:type="spellStart"/>
      <w:r>
        <w:t>arab</w:t>
      </w:r>
      <w:proofErr w:type="spellEnd"/>
      <w:r>
        <w:t xml:space="preserve"> concentrations (Thesis)]. </w:t>
      </w:r>
      <w:proofErr w:type="spellStart"/>
      <w:r>
        <w:t>Universitas</w:t>
      </w:r>
      <w:proofErr w:type="spellEnd"/>
      <w:r>
        <w:t xml:space="preserve"> Semarang, </w:t>
      </w:r>
      <w:proofErr w:type="gramStart"/>
      <w:r>
        <w:t>Semarang.*</w:t>
      </w:r>
      <w:proofErr w:type="gramEnd"/>
    </w:p>
    <w:p w14:paraId="2BC33666" w14:textId="77777777" w:rsidR="00E12746" w:rsidRDefault="00E12746" w:rsidP="00E12746">
      <w:pPr>
        <w:pStyle w:val="Body"/>
        <w:spacing w:after="0"/>
        <w:ind w:left="709" w:hanging="709"/>
      </w:pPr>
      <w:proofErr w:type="spellStart"/>
      <w:r>
        <w:t>Rosland</w:t>
      </w:r>
      <w:proofErr w:type="spellEnd"/>
      <w:r>
        <w:t xml:space="preserve"> Abel, S. E., Yusof, Y. A., Chin, N. L., Chang, L. S., </w:t>
      </w:r>
      <w:proofErr w:type="spellStart"/>
      <w:r>
        <w:t>Mohd</w:t>
      </w:r>
      <w:proofErr w:type="spellEnd"/>
      <w:r>
        <w:t xml:space="preserve"> Ghazali, H., &amp; </w:t>
      </w:r>
      <w:proofErr w:type="spellStart"/>
      <w:r>
        <w:t>Manaf</w:t>
      </w:r>
      <w:proofErr w:type="spellEnd"/>
      <w:r>
        <w:t xml:space="preserve">, Y. N. (2020). </w:t>
      </w:r>
      <w:proofErr w:type="spellStart"/>
      <w:r>
        <w:t>Characterisation</w:t>
      </w:r>
      <w:proofErr w:type="spellEnd"/>
      <w:r>
        <w:t xml:space="preserve"> of physicochemical properties of gum </w:t>
      </w:r>
      <w:proofErr w:type="spellStart"/>
      <w:r>
        <w:t>arabic</w:t>
      </w:r>
      <w:proofErr w:type="spellEnd"/>
      <w:r>
        <w:t xml:space="preserve"> powder at various particle sizes. Food Research, 4(S1), 107–115. https://doi.org/10.26656/fr.2017.4(S1).S32</w:t>
      </w:r>
    </w:p>
    <w:p w14:paraId="7B0A9FB2" w14:textId="11DE9E10" w:rsidR="00E12746" w:rsidRDefault="00E12746" w:rsidP="00E12746">
      <w:pPr>
        <w:pStyle w:val="Body"/>
        <w:spacing w:after="0"/>
        <w:ind w:left="709" w:hanging="709"/>
      </w:pPr>
      <w:proofErr w:type="spellStart"/>
      <w:r>
        <w:t>Sangamithra</w:t>
      </w:r>
      <w:proofErr w:type="spellEnd"/>
      <w:r>
        <w:t xml:space="preserve">, A., Venkatachalam, S., John, S. G., &amp; </w:t>
      </w:r>
      <w:proofErr w:type="spellStart"/>
      <w:r>
        <w:t>Kuppuswamy</w:t>
      </w:r>
      <w:proofErr w:type="spellEnd"/>
      <w:r>
        <w:t>, K. (2015). Foam mat drying of food materials: A review. Journal of Food Processing and Preservation, 39(6), 3165–3174.</w:t>
      </w:r>
      <w:r w:rsidR="00C3399E">
        <w:t xml:space="preserve"> </w:t>
      </w:r>
      <w:r w:rsidR="00C3399E" w:rsidRPr="00C3399E">
        <w:t>https://doi.org/10.1111/jfpp.12421</w:t>
      </w:r>
    </w:p>
    <w:p w14:paraId="619D7C27" w14:textId="77777777" w:rsidR="00E12746" w:rsidRDefault="00E12746" w:rsidP="00E12746">
      <w:pPr>
        <w:pStyle w:val="Body"/>
        <w:spacing w:after="0"/>
        <w:ind w:left="709" w:hanging="709"/>
      </w:pPr>
      <w:r>
        <w:t xml:space="preserve">Sanjaya, R. (2022). </w:t>
      </w:r>
      <w:proofErr w:type="spellStart"/>
      <w:r>
        <w:t>Penerapan</w:t>
      </w:r>
      <w:proofErr w:type="spellEnd"/>
      <w:r>
        <w:t xml:space="preserve"> </w:t>
      </w:r>
      <w:proofErr w:type="spellStart"/>
      <w:r>
        <w:t>metode</w:t>
      </w:r>
      <w:proofErr w:type="spellEnd"/>
      <w:r>
        <w:t xml:space="preserve"> “foam-mat drying” pada </w:t>
      </w:r>
      <w:proofErr w:type="spellStart"/>
      <w:r>
        <w:t>pembuatan</w:t>
      </w:r>
      <w:proofErr w:type="spellEnd"/>
      <w:r>
        <w:t xml:space="preserve"> sari </w:t>
      </w:r>
      <w:proofErr w:type="spellStart"/>
      <w:r>
        <w:t>buah</w:t>
      </w:r>
      <w:proofErr w:type="spellEnd"/>
      <w:r>
        <w:t xml:space="preserve"> </w:t>
      </w:r>
      <w:proofErr w:type="spellStart"/>
      <w:r>
        <w:t>mengkudu</w:t>
      </w:r>
      <w:proofErr w:type="spellEnd"/>
      <w:r>
        <w:t xml:space="preserve"> (</w:t>
      </w:r>
      <w:proofErr w:type="spellStart"/>
      <w:r>
        <w:t>Morinda</w:t>
      </w:r>
      <w:proofErr w:type="spellEnd"/>
      <w:r>
        <w:t xml:space="preserve"> </w:t>
      </w:r>
      <w:proofErr w:type="spellStart"/>
      <w:r>
        <w:t>citrifolia</w:t>
      </w:r>
      <w:proofErr w:type="spellEnd"/>
      <w:r>
        <w:t>) [Application of “foam-mat drying” method in the production of noni (</w:t>
      </w:r>
      <w:proofErr w:type="spellStart"/>
      <w:r>
        <w:t>Morinda</w:t>
      </w:r>
      <w:proofErr w:type="spellEnd"/>
      <w:r>
        <w:t xml:space="preserve"> </w:t>
      </w:r>
      <w:proofErr w:type="spellStart"/>
      <w:r>
        <w:t>citrifolia</w:t>
      </w:r>
      <w:proofErr w:type="spellEnd"/>
      <w:r>
        <w:t xml:space="preserve">) fruit juice]. </w:t>
      </w:r>
      <w:proofErr w:type="spellStart"/>
      <w:r>
        <w:t>Jurnal</w:t>
      </w:r>
      <w:proofErr w:type="spellEnd"/>
      <w:r>
        <w:t xml:space="preserve"> </w:t>
      </w:r>
      <w:proofErr w:type="spellStart"/>
      <w:r>
        <w:t>Ilmiah</w:t>
      </w:r>
      <w:proofErr w:type="spellEnd"/>
      <w:r>
        <w:t xml:space="preserve"> </w:t>
      </w:r>
      <w:proofErr w:type="spellStart"/>
      <w:r>
        <w:t>Mahasiswa</w:t>
      </w:r>
      <w:proofErr w:type="spellEnd"/>
      <w:r>
        <w:t xml:space="preserve"> </w:t>
      </w:r>
      <w:proofErr w:type="spellStart"/>
      <w:r>
        <w:t>Pertanian</w:t>
      </w:r>
      <w:proofErr w:type="spellEnd"/>
      <w:r>
        <w:t xml:space="preserve"> (JIMTANI), 2(4</w:t>
      </w:r>
      <w:proofErr w:type="gramStart"/>
      <w:r>
        <w:t>).*</w:t>
      </w:r>
      <w:proofErr w:type="gramEnd"/>
    </w:p>
    <w:p w14:paraId="71B0D42F" w14:textId="793A4537" w:rsidR="00E12746" w:rsidRDefault="00E12746" w:rsidP="00E12746">
      <w:pPr>
        <w:pStyle w:val="Body"/>
        <w:spacing w:after="0"/>
        <w:ind w:left="709" w:hanging="709"/>
      </w:pPr>
      <w:r>
        <w:t xml:space="preserve">Tan, S. L., </w:t>
      </w:r>
      <w:proofErr w:type="spellStart"/>
      <w:r>
        <w:t>Sulaiman</w:t>
      </w:r>
      <w:proofErr w:type="spellEnd"/>
      <w:r>
        <w:t xml:space="preserve">, R., </w:t>
      </w:r>
      <w:proofErr w:type="spellStart"/>
      <w:r>
        <w:t>Rukayadi</w:t>
      </w:r>
      <w:proofErr w:type="spellEnd"/>
      <w:r>
        <w:t>, Y., &amp; Ramli, S. (202</w:t>
      </w:r>
      <w:r w:rsidR="0086582A">
        <w:t>0</w:t>
      </w:r>
      <w:bookmarkStart w:id="15" w:name="_GoBack"/>
      <w:bookmarkEnd w:id="15"/>
      <w:r>
        <w:t xml:space="preserve">). Effect of gum Arabic concentrations on foam properties, drying kinetics and physicochemical properties of foam mat drying of cantaloupe. Food Hydrocolloids, 116, 106492. </w:t>
      </w:r>
      <w:r w:rsidR="00575230" w:rsidRPr="00222922">
        <w:t>https://doi.org/10.1016/j.foodhyd.2020.106492</w:t>
      </w:r>
    </w:p>
    <w:p w14:paraId="5FFFA624" w14:textId="17DDCB3C" w:rsidR="00C9239E" w:rsidRDefault="00C9239E" w:rsidP="00E12746">
      <w:pPr>
        <w:pStyle w:val="Body"/>
        <w:spacing w:after="0"/>
        <w:ind w:left="709" w:hanging="709"/>
      </w:pPr>
      <w:proofErr w:type="spellStart"/>
      <w:r w:rsidRPr="00C9239E">
        <w:t>Warepam</w:t>
      </w:r>
      <w:proofErr w:type="spellEnd"/>
      <w:r w:rsidRPr="00C9239E">
        <w:t xml:space="preserve">, S. C., &amp; Jena, S. (2022). Optimization of pomelo (Citrus </w:t>
      </w:r>
      <w:proofErr w:type="spellStart"/>
      <w:r w:rsidRPr="00C9239E">
        <w:t>grandis</w:t>
      </w:r>
      <w:proofErr w:type="spellEnd"/>
      <w:r w:rsidRPr="00C9239E">
        <w:t xml:space="preserve"> L. </w:t>
      </w:r>
      <w:proofErr w:type="spellStart"/>
      <w:r w:rsidRPr="00C9239E">
        <w:t>Osbeck</w:t>
      </w:r>
      <w:proofErr w:type="spellEnd"/>
      <w:r w:rsidRPr="00C9239E">
        <w:t>) juice foam composition: Effect of foam composition on foam quality. Journal of Food Processing and Preservation, 46, e16771. https://doi.org/10.1111/jfpp.16771</w:t>
      </w:r>
    </w:p>
    <w:p w14:paraId="27C8FE1F" w14:textId="77777777" w:rsidR="00E12746" w:rsidRDefault="00E12746" w:rsidP="00E12746">
      <w:pPr>
        <w:pStyle w:val="Body"/>
        <w:spacing w:after="0"/>
        <w:ind w:left="709" w:hanging="709"/>
      </w:pPr>
      <w:proofErr w:type="spellStart"/>
      <w:r>
        <w:t>Wulandari</w:t>
      </w:r>
      <w:proofErr w:type="spellEnd"/>
      <w:r>
        <w:t xml:space="preserve">, I., &amp; </w:t>
      </w:r>
      <w:proofErr w:type="spellStart"/>
      <w:r>
        <w:t>Swasono</w:t>
      </w:r>
      <w:proofErr w:type="spellEnd"/>
      <w:r>
        <w:t xml:space="preserve">, M. A. H. (2022). </w:t>
      </w:r>
      <w:proofErr w:type="spellStart"/>
      <w:r>
        <w:t>Pengaruh</w:t>
      </w:r>
      <w:proofErr w:type="spellEnd"/>
      <w:r>
        <w:t xml:space="preserve"> </w:t>
      </w:r>
      <w:proofErr w:type="spellStart"/>
      <w:r>
        <w:t>penambahan</w:t>
      </w:r>
      <w:proofErr w:type="spellEnd"/>
      <w:r>
        <w:t xml:space="preserve"> </w:t>
      </w:r>
      <w:proofErr w:type="spellStart"/>
      <w:r>
        <w:t>ekstrak</w:t>
      </w:r>
      <w:proofErr w:type="spellEnd"/>
      <w:r>
        <w:t xml:space="preserve"> </w:t>
      </w:r>
      <w:proofErr w:type="spellStart"/>
      <w:r>
        <w:t>jahe</w:t>
      </w:r>
      <w:proofErr w:type="spellEnd"/>
      <w:r>
        <w:t xml:space="preserve"> </w:t>
      </w:r>
      <w:proofErr w:type="spellStart"/>
      <w:r>
        <w:t>merah</w:t>
      </w:r>
      <w:proofErr w:type="spellEnd"/>
      <w:r>
        <w:t xml:space="preserve"> (</w:t>
      </w:r>
      <w:proofErr w:type="spellStart"/>
      <w:r>
        <w:t>Zingiber</w:t>
      </w:r>
      <w:proofErr w:type="spellEnd"/>
      <w:r>
        <w:t xml:space="preserve"> </w:t>
      </w:r>
      <w:proofErr w:type="spellStart"/>
      <w:r>
        <w:t>officinale</w:t>
      </w:r>
      <w:proofErr w:type="spellEnd"/>
      <w:r>
        <w:t xml:space="preserve">) pada </w:t>
      </w:r>
      <w:proofErr w:type="spellStart"/>
      <w:r>
        <w:t>susu</w:t>
      </w:r>
      <w:proofErr w:type="spellEnd"/>
      <w:r>
        <w:t xml:space="preserve"> </w:t>
      </w:r>
      <w:proofErr w:type="spellStart"/>
      <w:r>
        <w:t>terhadap</w:t>
      </w:r>
      <w:proofErr w:type="spellEnd"/>
      <w:r>
        <w:t xml:space="preserve"> uji </w:t>
      </w:r>
      <w:proofErr w:type="spellStart"/>
      <w:r>
        <w:t>fisikokimia</w:t>
      </w:r>
      <w:proofErr w:type="spellEnd"/>
      <w:r>
        <w:t xml:space="preserve"> dan </w:t>
      </w:r>
      <w:proofErr w:type="spellStart"/>
      <w:r>
        <w:t>organoleptik</w:t>
      </w:r>
      <w:proofErr w:type="spellEnd"/>
      <w:r>
        <w:t xml:space="preserve"> ginger milk curd [Effect of adding red ginger (</w:t>
      </w:r>
      <w:proofErr w:type="spellStart"/>
      <w:r>
        <w:t>Zingiber</w:t>
      </w:r>
      <w:proofErr w:type="spellEnd"/>
      <w:r>
        <w:t xml:space="preserve"> </w:t>
      </w:r>
      <w:proofErr w:type="spellStart"/>
      <w:r>
        <w:t>officinale</w:t>
      </w:r>
      <w:proofErr w:type="spellEnd"/>
      <w:r>
        <w:t xml:space="preserve">) extract to milk on physicochemical and organoleptic tests of ginger milk curd]. </w:t>
      </w:r>
      <w:proofErr w:type="spellStart"/>
      <w:r>
        <w:t>Teknologi</w:t>
      </w:r>
      <w:proofErr w:type="spellEnd"/>
      <w:r>
        <w:t xml:space="preserve"> </w:t>
      </w:r>
      <w:proofErr w:type="spellStart"/>
      <w:r>
        <w:t>Pangan</w:t>
      </w:r>
      <w:proofErr w:type="spellEnd"/>
      <w:r>
        <w:t xml:space="preserve">: Media </w:t>
      </w:r>
      <w:proofErr w:type="spellStart"/>
      <w:r>
        <w:t>Informasi</w:t>
      </w:r>
      <w:proofErr w:type="spellEnd"/>
      <w:r>
        <w:t xml:space="preserve"> dan </w:t>
      </w:r>
      <w:proofErr w:type="spellStart"/>
      <w:r>
        <w:t>Komunikasi</w:t>
      </w:r>
      <w:proofErr w:type="spellEnd"/>
      <w:r>
        <w:t xml:space="preserve"> </w:t>
      </w:r>
      <w:proofErr w:type="spellStart"/>
      <w:r>
        <w:t>Ilmiah</w:t>
      </w:r>
      <w:proofErr w:type="spellEnd"/>
      <w:r>
        <w:t xml:space="preserve"> </w:t>
      </w:r>
      <w:proofErr w:type="spellStart"/>
      <w:r>
        <w:t>Teknologi</w:t>
      </w:r>
      <w:proofErr w:type="spellEnd"/>
      <w:r>
        <w:t xml:space="preserve"> </w:t>
      </w:r>
      <w:proofErr w:type="spellStart"/>
      <w:r>
        <w:t>Pertanian</w:t>
      </w:r>
      <w:proofErr w:type="spellEnd"/>
      <w:r>
        <w:t>, 13(2), 264–270. https://doi.org/10.35891/tp.v13i2.3446</w:t>
      </w:r>
    </w:p>
    <w:p w14:paraId="08516E29" w14:textId="77777777" w:rsidR="00B01FCD" w:rsidRPr="00FB3A86" w:rsidRDefault="00B01FCD" w:rsidP="00441B6F">
      <w:pPr>
        <w:pStyle w:val="Appendix"/>
        <w:spacing w:after="0"/>
        <w:jc w:val="both"/>
        <w:rPr>
          <w:rFonts w:ascii="Arial" w:hAnsi="Arial" w:cs="Arial"/>
          <w:b w:val="0"/>
        </w:rPr>
      </w:pPr>
    </w:p>
    <w:sectPr w:rsidR="00B01FCD" w:rsidRPr="00FB3A86" w:rsidSect="00222922">
      <w:headerReference w:type="even" r:id="rId27"/>
      <w:headerReference w:type="default" r:id="rId28"/>
      <w:footerReference w:type="default" r:id="rId29"/>
      <w:headerReference w:type="first" r:id="rId30"/>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9C8B6" w14:textId="77777777" w:rsidR="003403DD" w:rsidRDefault="003403DD" w:rsidP="00C37E61">
      <w:r>
        <w:separator/>
      </w:r>
    </w:p>
  </w:endnote>
  <w:endnote w:type="continuationSeparator" w:id="0">
    <w:p w14:paraId="793D3D5F" w14:textId="77777777" w:rsidR="003403DD" w:rsidRDefault="003403D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2117103"/>
      <w:docPartObj>
        <w:docPartGallery w:val="Page Numbers (Bottom of Page)"/>
        <w:docPartUnique/>
      </w:docPartObj>
    </w:sdtPr>
    <w:sdtEndPr>
      <w:rPr>
        <w:noProof/>
      </w:rPr>
    </w:sdtEndPr>
    <w:sdtContent>
      <w:p w14:paraId="35896963" w14:textId="6E410117" w:rsidR="00CC615C" w:rsidRDefault="00CC61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8EDFB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E1315" w14:textId="77777777" w:rsidR="003403DD" w:rsidRDefault="003403DD" w:rsidP="00C37E61">
      <w:r>
        <w:separator/>
      </w:r>
    </w:p>
  </w:footnote>
  <w:footnote w:type="continuationSeparator" w:id="0">
    <w:p w14:paraId="598AC518" w14:textId="77777777" w:rsidR="003403DD" w:rsidRDefault="003403D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20231" w14:textId="2C9C7B13" w:rsidR="00B23F7A" w:rsidRDefault="003403DD">
    <w:pPr>
      <w:pStyle w:val="Header"/>
    </w:pPr>
    <w:r>
      <w:rPr>
        <w:noProof/>
      </w:rPr>
      <w:pict w14:anchorId="70DEC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03507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0E148" w14:textId="0F1B38EA" w:rsidR="00B23F7A" w:rsidRDefault="003403DD">
    <w:pPr>
      <w:pStyle w:val="Header"/>
    </w:pPr>
    <w:r>
      <w:rPr>
        <w:noProof/>
      </w:rPr>
      <w:pict w14:anchorId="0341D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03508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75E19" w14:textId="44DF1B58" w:rsidR="00296529" w:rsidRPr="00296529" w:rsidRDefault="003403DD" w:rsidP="00296529">
    <w:pPr>
      <w:ind w:left="2160"/>
      <w:jc w:val="center"/>
      <w:rPr>
        <w:rFonts w:ascii="Times New Roman" w:eastAsia="Calibri" w:hAnsi="Times New Roman"/>
        <w:i/>
        <w:sz w:val="18"/>
        <w:szCs w:val="22"/>
      </w:rPr>
    </w:pPr>
    <w:r>
      <w:rPr>
        <w:noProof/>
      </w:rPr>
      <w:pict w14:anchorId="4F532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03507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6A1BAC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881C8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1BAF02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9D1B0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23DC2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BC1858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A37E" w14:textId="51272F09" w:rsidR="00B23F7A" w:rsidRDefault="003403DD">
    <w:pPr>
      <w:pStyle w:val="Header"/>
    </w:pPr>
    <w:r>
      <w:rPr>
        <w:noProof/>
      </w:rPr>
      <w:pict w14:anchorId="3CDBA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03508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BFFD0" w14:textId="578EED01" w:rsidR="00B23F7A" w:rsidRDefault="003403DD">
    <w:pPr>
      <w:pStyle w:val="Header"/>
    </w:pPr>
    <w:r>
      <w:rPr>
        <w:noProof/>
      </w:rPr>
      <w:pict w14:anchorId="77AD8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03508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3CDD" w14:textId="36C2E798" w:rsidR="00B23F7A" w:rsidRDefault="003403DD">
    <w:pPr>
      <w:pStyle w:val="Header"/>
    </w:pPr>
    <w:r>
      <w:rPr>
        <w:noProof/>
      </w:rPr>
      <w:pict w14:anchorId="0E3F8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03508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4C1693"/>
    <w:multiLevelType w:val="hybridMultilevel"/>
    <w:tmpl w:val="7CB227E6"/>
    <w:lvl w:ilvl="0" w:tplc="03B23658">
      <w:start w:val="1"/>
      <w:numFmt w:val="decimal"/>
      <w:pStyle w:val="Research"/>
      <w:lvlText w:val="2.%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0BA37BB"/>
    <w:multiLevelType w:val="hybridMultilevel"/>
    <w:tmpl w:val="9D44C9F8"/>
    <w:lvl w:ilvl="0" w:tplc="A678E3FE">
      <w:start w:val="1"/>
      <w:numFmt w:val="decimal"/>
      <w:pStyle w:val="Foam"/>
      <w:lvlText w:val="2.4.%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11911E1"/>
    <w:multiLevelType w:val="hybridMultilevel"/>
    <w:tmpl w:val="20E69852"/>
    <w:lvl w:ilvl="0" w:tplc="0428DB7E">
      <w:start w:val="1"/>
      <w:numFmt w:val="decimal"/>
      <w:pStyle w:val="Forma"/>
      <w:lvlText w:val="3.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E833470"/>
    <w:multiLevelType w:val="hybridMultilevel"/>
    <w:tmpl w:val="B1D6F6E8"/>
    <w:lvl w:ilvl="0" w:tplc="F54E4974">
      <w:start w:val="1"/>
      <w:numFmt w:val="decimal"/>
      <w:pStyle w:val="INTRO"/>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2B208F2"/>
    <w:multiLevelType w:val="multilevel"/>
    <w:tmpl w:val="A1E0800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A435CA4"/>
    <w:multiLevelType w:val="hybridMultilevel"/>
    <w:tmpl w:val="8EBC4B64"/>
    <w:lvl w:ilvl="0" w:tplc="784A1350">
      <w:start w:val="1"/>
      <w:numFmt w:val="decimal"/>
      <w:pStyle w:val="Char"/>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1C75DC"/>
    <w:multiLevelType w:val="hybridMultilevel"/>
    <w:tmpl w:val="B12C8014"/>
    <w:lvl w:ilvl="0" w:tplc="CAFE1F38">
      <w:start w:val="1"/>
      <w:numFmt w:val="decimal"/>
      <w:pStyle w:val="Color"/>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32"/>
  </w:num>
  <w:num w:numId="10">
    <w:abstractNumId w:val="2"/>
  </w:num>
  <w:num w:numId="11">
    <w:abstractNumId w:val="23"/>
  </w:num>
  <w:num w:numId="12">
    <w:abstractNumId w:val="3"/>
  </w:num>
  <w:num w:numId="13">
    <w:abstractNumId w:val="21"/>
  </w:num>
  <w:num w:numId="14">
    <w:abstractNumId w:val="9"/>
  </w:num>
  <w:num w:numId="15">
    <w:abstractNumId w:val="28"/>
  </w:num>
  <w:num w:numId="16">
    <w:abstractNumId w:val="5"/>
  </w:num>
  <w:num w:numId="17">
    <w:abstractNumId w:val="29"/>
  </w:num>
  <w:num w:numId="18">
    <w:abstractNumId w:val="16"/>
  </w:num>
  <w:num w:numId="19">
    <w:abstractNumId w:val="35"/>
  </w:num>
  <w:num w:numId="20">
    <w:abstractNumId w:val="13"/>
  </w:num>
  <w:num w:numId="21">
    <w:abstractNumId w:val="11"/>
  </w:num>
  <w:num w:numId="22">
    <w:abstractNumId w:val="15"/>
  </w:num>
  <w:num w:numId="23">
    <w:abstractNumId w:val="25"/>
  </w:num>
  <w:num w:numId="24">
    <w:abstractNumId w:val="33"/>
  </w:num>
  <w:num w:numId="25">
    <w:abstractNumId w:val="4"/>
  </w:num>
  <w:num w:numId="26">
    <w:abstractNumId w:val="20"/>
  </w:num>
  <w:num w:numId="27">
    <w:abstractNumId w:val="27"/>
  </w:num>
  <w:num w:numId="28">
    <w:abstractNumId w:val="34"/>
  </w:num>
  <w:num w:numId="29">
    <w:abstractNumId w:val="31"/>
  </w:num>
  <w:num w:numId="30">
    <w:abstractNumId w:val="12"/>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6"/>
  </w:num>
  <w:num w:numId="34">
    <w:abstractNumId w:val="10"/>
  </w:num>
  <w:num w:numId="35">
    <w:abstractNumId w:val="24"/>
  </w:num>
  <w:num w:numId="36">
    <w:abstractNumId w:val="17"/>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751"/>
    <w:rsid w:val="000104D9"/>
    <w:rsid w:val="00021C4C"/>
    <w:rsid w:val="00030174"/>
    <w:rsid w:val="000352F1"/>
    <w:rsid w:val="00036F7B"/>
    <w:rsid w:val="00043D1A"/>
    <w:rsid w:val="0004579C"/>
    <w:rsid w:val="0004653E"/>
    <w:rsid w:val="00051474"/>
    <w:rsid w:val="00057531"/>
    <w:rsid w:val="00072AD8"/>
    <w:rsid w:val="000730C2"/>
    <w:rsid w:val="000758C4"/>
    <w:rsid w:val="000A47FA"/>
    <w:rsid w:val="000A65D3"/>
    <w:rsid w:val="000B1E33"/>
    <w:rsid w:val="000C5F25"/>
    <w:rsid w:val="000D689F"/>
    <w:rsid w:val="000E5B27"/>
    <w:rsid w:val="000E7B7B"/>
    <w:rsid w:val="000E7D62"/>
    <w:rsid w:val="0010299C"/>
    <w:rsid w:val="00103357"/>
    <w:rsid w:val="00121532"/>
    <w:rsid w:val="00123C9F"/>
    <w:rsid w:val="00126190"/>
    <w:rsid w:val="00130F17"/>
    <w:rsid w:val="001320BF"/>
    <w:rsid w:val="001357E6"/>
    <w:rsid w:val="001508A3"/>
    <w:rsid w:val="00163BC4"/>
    <w:rsid w:val="001646A0"/>
    <w:rsid w:val="00166147"/>
    <w:rsid w:val="00166DED"/>
    <w:rsid w:val="00191062"/>
    <w:rsid w:val="00192B72"/>
    <w:rsid w:val="001A29D8"/>
    <w:rsid w:val="001A5CAA"/>
    <w:rsid w:val="001B0427"/>
    <w:rsid w:val="001B584B"/>
    <w:rsid w:val="001C066C"/>
    <w:rsid w:val="001C52B9"/>
    <w:rsid w:val="001D10B6"/>
    <w:rsid w:val="001D3A51"/>
    <w:rsid w:val="001D3C55"/>
    <w:rsid w:val="001E10D2"/>
    <w:rsid w:val="001E25B4"/>
    <w:rsid w:val="001E44FE"/>
    <w:rsid w:val="001E5448"/>
    <w:rsid w:val="001F2334"/>
    <w:rsid w:val="00200595"/>
    <w:rsid w:val="00204835"/>
    <w:rsid w:val="002077FA"/>
    <w:rsid w:val="00216600"/>
    <w:rsid w:val="00221F7B"/>
    <w:rsid w:val="00222922"/>
    <w:rsid w:val="00231920"/>
    <w:rsid w:val="0023195C"/>
    <w:rsid w:val="0024282C"/>
    <w:rsid w:val="002460DC"/>
    <w:rsid w:val="00247CFA"/>
    <w:rsid w:val="00250985"/>
    <w:rsid w:val="00250BF0"/>
    <w:rsid w:val="002556F6"/>
    <w:rsid w:val="002771D0"/>
    <w:rsid w:val="00283105"/>
    <w:rsid w:val="00284C4C"/>
    <w:rsid w:val="00284F92"/>
    <w:rsid w:val="00287E68"/>
    <w:rsid w:val="00296529"/>
    <w:rsid w:val="002A027A"/>
    <w:rsid w:val="002B27FB"/>
    <w:rsid w:val="002B6633"/>
    <w:rsid w:val="002B685A"/>
    <w:rsid w:val="002C1894"/>
    <w:rsid w:val="002C1B4C"/>
    <w:rsid w:val="002C57D2"/>
    <w:rsid w:val="002D095D"/>
    <w:rsid w:val="002D1385"/>
    <w:rsid w:val="002D66A8"/>
    <w:rsid w:val="002E0570"/>
    <w:rsid w:val="002E0D56"/>
    <w:rsid w:val="002F51D5"/>
    <w:rsid w:val="003043FA"/>
    <w:rsid w:val="00315186"/>
    <w:rsid w:val="003230C0"/>
    <w:rsid w:val="00325F89"/>
    <w:rsid w:val="0033343E"/>
    <w:rsid w:val="003403DD"/>
    <w:rsid w:val="003512C2"/>
    <w:rsid w:val="00366B86"/>
    <w:rsid w:val="00371FB6"/>
    <w:rsid w:val="003763C1"/>
    <w:rsid w:val="00376BBE"/>
    <w:rsid w:val="0039224F"/>
    <w:rsid w:val="00396E52"/>
    <w:rsid w:val="003A43A4"/>
    <w:rsid w:val="003A7E18"/>
    <w:rsid w:val="003B3191"/>
    <w:rsid w:val="003C4C86"/>
    <w:rsid w:val="003C6258"/>
    <w:rsid w:val="003C6F5F"/>
    <w:rsid w:val="003D1C2D"/>
    <w:rsid w:val="003E0259"/>
    <w:rsid w:val="003E2904"/>
    <w:rsid w:val="003F0883"/>
    <w:rsid w:val="00401927"/>
    <w:rsid w:val="0041027F"/>
    <w:rsid w:val="00410EED"/>
    <w:rsid w:val="00412475"/>
    <w:rsid w:val="00423789"/>
    <w:rsid w:val="00430CB8"/>
    <w:rsid w:val="0043639B"/>
    <w:rsid w:val="00440F43"/>
    <w:rsid w:val="00441B6F"/>
    <w:rsid w:val="00446221"/>
    <w:rsid w:val="00450E62"/>
    <w:rsid w:val="004539DB"/>
    <w:rsid w:val="00457E06"/>
    <w:rsid w:val="00460AD8"/>
    <w:rsid w:val="00471A80"/>
    <w:rsid w:val="0047413F"/>
    <w:rsid w:val="00481BCC"/>
    <w:rsid w:val="004929A7"/>
    <w:rsid w:val="004A37B2"/>
    <w:rsid w:val="004A71AD"/>
    <w:rsid w:val="004C25AB"/>
    <w:rsid w:val="004C5E41"/>
    <w:rsid w:val="004D305E"/>
    <w:rsid w:val="004D4277"/>
    <w:rsid w:val="00502516"/>
    <w:rsid w:val="0050355A"/>
    <w:rsid w:val="00505F06"/>
    <w:rsid w:val="00506828"/>
    <w:rsid w:val="00511EA9"/>
    <w:rsid w:val="0053056E"/>
    <w:rsid w:val="00530638"/>
    <w:rsid w:val="00532D78"/>
    <w:rsid w:val="00554FDA"/>
    <w:rsid w:val="0055617C"/>
    <w:rsid w:val="005610A4"/>
    <w:rsid w:val="00565641"/>
    <w:rsid w:val="005730AF"/>
    <w:rsid w:val="00575230"/>
    <w:rsid w:val="005A35EB"/>
    <w:rsid w:val="005B263C"/>
    <w:rsid w:val="005B296D"/>
    <w:rsid w:val="005B50EA"/>
    <w:rsid w:val="005C2A56"/>
    <w:rsid w:val="005C784C"/>
    <w:rsid w:val="005D17F6"/>
    <w:rsid w:val="005E0ED2"/>
    <w:rsid w:val="005E1748"/>
    <w:rsid w:val="005E5539"/>
    <w:rsid w:val="005F176C"/>
    <w:rsid w:val="005F7D1C"/>
    <w:rsid w:val="00601C3A"/>
    <w:rsid w:val="00602BF5"/>
    <w:rsid w:val="00617FDD"/>
    <w:rsid w:val="006224A3"/>
    <w:rsid w:val="00633614"/>
    <w:rsid w:val="00633F68"/>
    <w:rsid w:val="00635F7E"/>
    <w:rsid w:val="00636EB2"/>
    <w:rsid w:val="006375B8"/>
    <w:rsid w:val="006421FB"/>
    <w:rsid w:val="00646927"/>
    <w:rsid w:val="00647B94"/>
    <w:rsid w:val="0066510A"/>
    <w:rsid w:val="00673F9F"/>
    <w:rsid w:val="00677556"/>
    <w:rsid w:val="00677683"/>
    <w:rsid w:val="00686953"/>
    <w:rsid w:val="00687DEA"/>
    <w:rsid w:val="00687E67"/>
    <w:rsid w:val="006941BB"/>
    <w:rsid w:val="006967F7"/>
    <w:rsid w:val="006A250C"/>
    <w:rsid w:val="006B21D3"/>
    <w:rsid w:val="006B57D0"/>
    <w:rsid w:val="006C7121"/>
    <w:rsid w:val="006D30FF"/>
    <w:rsid w:val="006D6940"/>
    <w:rsid w:val="006F11EC"/>
    <w:rsid w:val="0070082C"/>
    <w:rsid w:val="007171FF"/>
    <w:rsid w:val="007254E6"/>
    <w:rsid w:val="007369E6"/>
    <w:rsid w:val="007427B8"/>
    <w:rsid w:val="00746E59"/>
    <w:rsid w:val="007507AC"/>
    <w:rsid w:val="00754C3C"/>
    <w:rsid w:val="00754C9A"/>
    <w:rsid w:val="0075599A"/>
    <w:rsid w:val="00761D52"/>
    <w:rsid w:val="00766425"/>
    <w:rsid w:val="0077749E"/>
    <w:rsid w:val="00790ADA"/>
    <w:rsid w:val="007D2288"/>
    <w:rsid w:val="007E088F"/>
    <w:rsid w:val="007E4183"/>
    <w:rsid w:val="007F0D67"/>
    <w:rsid w:val="007F65B2"/>
    <w:rsid w:val="007F7B32"/>
    <w:rsid w:val="00801168"/>
    <w:rsid w:val="00804BC2"/>
    <w:rsid w:val="0081431A"/>
    <w:rsid w:val="008226D1"/>
    <w:rsid w:val="00824C11"/>
    <w:rsid w:val="00824D3E"/>
    <w:rsid w:val="008313B2"/>
    <w:rsid w:val="0083216F"/>
    <w:rsid w:val="00854F4D"/>
    <w:rsid w:val="00860000"/>
    <w:rsid w:val="00862B9C"/>
    <w:rsid w:val="00863BD3"/>
    <w:rsid w:val="008641ED"/>
    <w:rsid w:val="0086582A"/>
    <w:rsid w:val="00865C43"/>
    <w:rsid w:val="00866D66"/>
    <w:rsid w:val="008671C6"/>
    <w:rsid w:val="00867B23"/>
    <w:rsid w:val="00875803"/>
    <w:rsid w:val="00896600"/>
    <w:rsid w:val="008B1DEB"/>
    <w:rsid w:val="008B459E"/>
    <w:rsid w:val="008D712F"/>
    <w:rsid w:val="008E13AE"/>
    <w:rsid w:val="008E1506"/>
    <w:rsid w:val="008E6B07"/>
    <w:rsid w:val="008E710C"/>
    <w:rsid w:val="008F69D6"/>
    <w:rsid w:val="008F7027"/>
    <w:rsid w:val="00902823"/>
    <w:rsid w:val="00915C11"/>
    <w:rsid w:val="00915CA6"/>
    <w:rsid w:val="009222AE"/>
    <w:rsid w:val="00927834"/>
    <w:rsid w:val="009323F3"/>
    <w:rsid w:val="00935CC1"/>
    <w:rsid w:val="00940AA3"/>
    <w:rsid w:val="0094607E"/>
    <w:rsid w:val="009500A6"/>
    <w:rsid w:val="00957C18"/>
    <w:rsid w:val="0096128B"/>
    <w:rsid w:val="00962894"/>
    <w:rsid w:val="009659BA"/>
    <w:rsid w:val="009714B2"/>
    <w:rsid w:val="00974BAA"/>
    <w:rsid w:val="00983040"/>
    <w:rsid w:val="00994853"/>
    <w:rsid w:val="009B3FB9"/>
    <w:rsid w:val="009C0036"/>
    <w:rsid w:val="009C2465"/>
    <w:rsid w:val="009D0B00"/>
    <w:rsid w:val="009D35A0"/>
    <w:rsid w:val="009D7EB7"/>
    <w:rsid w:val="009E048A"/>
    <w:rsid w:val="009E08E9"/>
    <w:rsid w:val="009E3DB9"/>
    <w:rsid w:val="009E6E35"/>
    <w:rsid w:val="009F08DE"/>
    <w:rsid w:val="009F0EDA"/>
    <w:rsid w:val="00A03B96"/>
    <w:rsid w:val="00A05B19"/>
    <w:rsid w:val="00A1134E"/>
    <w:rsid w:val="00A2058D"/>
    <w:rsid w:val="00A24E7E"/>
    <w:rsid w:val="00A258C3"/>
    <w:rsid w:val="00A27E5E"/>
    <w:rsid w:val="00A319F7"/>
    <w:rsid w:val="00A347C0"/>
    <w:rsid w:val="00A51431"/>
    <w:rsid w:val="00A539AD"/>
    <w:rsid w:val="00A65210"/>
    <w:rsid w:val="00A827A7"/>
    <w:rsid w:val="00A87F95"/>
    <w:rsid w:val="00A92BEB"/>
    <w:rsid w:val="00A94063"/>
    <w:rsid w:val="00A95F95"/>
    <w:rsid w:val="00A97093"/>
    <w:rsid w:val="00AA6219"/>
    <w:rsid w:val="00AA74E0"/>
    <w:rsid w:val="00AB3EA2"/>
    <w:rsid w:val="00AB703F"/>
    <w:rsid w:val="00AC1AD5"/>
    <w:rsid w:val="00AC6BB8"/>
    <w:rsid w:val="00AD1459"/>
    <w:rsid w:val="00AE008F"/>
    <w:rsid w:val="00AE09A9"/>
    <w:rsid w:val="00B01FCD"/>
    <w:rsid w:val="00B02D4D"/>
    <w:rsid w:val="00B04403"/>
    <w:rsid w:val="00B1776C"/>
    <w:rsid w:val="00B23F7A"/>
    <w:rsid w:val="00B46D4F"/>
    <w:rsid w:val="00B470FA"/>
    <w:rsid w:val="00B52583"/>
    <w:rsid w:val="00B52896"/>
    <w:rsid w:val="00B6122A"/>
    <w:rsid w:val="00B634DE"/>
    <w:rsid w:val="00B65791"/>
    <w:rsid w:val="00B857E4"/>
    <w:rsid w:val="00B95236"/>
    <w:rsid w:val="00B96BD9"/>
    <w:rsid w:val="00BA1B01"/>
    <w:rsid w:val="00BA2641"/>
    <w:rsid w:val="00BA3BBE"/>
    <w:rsid w:val="00BB37AA"/>
    <w:rsid w:val="00BC53A0"/>
    <w:rsid w:val="00BD721C"/>
    <w:rsid w:val="00BE0656"/>
    <w:rsid w:val="00BE2C7D"/>
    <w:rsid w:val="00BE62AD"/>
    <w:rsid w:val="00BF0B23"/>
    <w:rsid w:val="00BF121F"/>
    <w:rsid w:val="00BF1F80"/>
    <w:rsid w:val="00BF47C6"/>
    <w:rsid w:val="00BF5517"/>
    <w:rsid w:val="00C14824"/>
    <w:rsid w:val="00C166EF"/>
    <w:rsid w:val="00C17EB0"/>
    <w:rsid w:val="00C24A43"/>
    <w:rsid w:val="00C27F5F"/>
    <w:rsid w:val="00C30A0F"/>
    <w:rsid w:val="00C33176"/>
    <w:rsid w:val="00C3399E"/>
    <w:rsid w:val="00C37E61"/>
    <w:rsid w:val="00C405D7"/>
    <w:rsid w:val="00C571BD"/>
    <w:rsid w:val="00C70810"/>
    <w:rsid w:val="00C70F1B"/>
    <w:rsid w:val="00C71A47"/>
    <w:rsid w:val="00C7464C"/>
    <w:rsid w:val="00C77661"/>
    <w:rsid w:val="00C830FA"/>
    <w:rsid w:val="00C85588"/>
    <w:rsid w:val="00C9239E"/>
    <w:rsid w:val="00CC615C"/>
    <w:rsid w:val="00CD1B52"/>
    <w:rsid w:val="00CD6755"/>
    <w:rsid w:val="00CD6856"/>
    <w:rsid w:val="00CE0089"/>
    <w:rsid w:val="00CE1AF2"/>
    <w:rsid w:val="00CE793C"/>
    <w:rsid w:val="00CF193C"/>
    <w:rsid w:val="00CF1B46"/>
    <w:rsid w:val="00D0696C"/>
    <w:rsid w:val="00D173F1"/>
    <w:rsid w:val="00D17CD0"/>
    <w:rsid w:val="00D21F0E"/>
    <w:rsid w:val="00D378C1"/>
    <w:rsid w:val="00D6488E"/>
    <w:rsid w:val="00D65231"/>
    <w:rsid w:val="00D74CB0"/>
    <w:rsid w:val="00D8295D"/>
    <w:rsid w:val="00D8573E"/>
    <w:rsid w:val="00D92ED1"/>
    <w:rsid w:val="00DB2509"/>
    <w:rsid w:val="00DC2A65"/>
    <w:rsid w:val="00DE15F0"/>
    <w:rsid w:val="00DE5663"/>
    <w:rsid w:val="00DE78AA"/>
    <w:rsid w:val="00E053D0"/>
    <w:rsid w:val="00E12746"/>
    <w:rsid w:val="00E15994"/>
    <w:rsid w:val="00E3114E"/>
    <w:rsid w:val="00E31A70"/>
    <w:rsid w:val="00E35B02"/>
    <w:rsid w:val="00E6099B"/>
    <w:rsid w:val="00E66496"/>
    <w:rsid w:val="00E66B35"/>
    <w:rsid w:val="00E66E10"/>
    <w:rsid w:val="00E67D84"/>
    <w:rsid w:val="00E769F6"/>
    <w:rsid w:val="00E8407C"/>
    <w:rsid w:val="00E84F3C"/>
    <w:rsid w:val="00E9687F"/>
    <w:rsid w:val="00EA012C"/>
    <w:rsid w:val="00EC6A55"/>
    <w:rsid w:val="00ED0288"/>
    <w:rsid w:val="00ED4472"/>
    <w:rsid w:val="00ED61B4"/>
    <w:rsid w:val="00ED6A81"/>
    <w:rsid w:val="00EE52CB"/>
    <w:rsid w:val="00EF25D8"/>
    <w:rsid w:val="00EF2DC2"/>
    <w:rsid w:val="00EF481E"/>
    <w:rsid w:val="00EF581D"/>
    <w:rsid w:val="00EF7FD8"/>
    <w:rsid w:val="00F06F59"/>
    <w:rsid w:val="00F17988"/>
    <w:rsid w:val="00F4692D"/>
    <w:rsid w:val="00F469F0"/>
    <w:rsid w:val="00F50267"/>
    <w:rsid w:val="00F5154A"/>
    <w:rsid w:val="00F53273"/>
    <w:rsid w:val="00F54FDF"/>
    <w:rsid w:val="00F61A34"/>
    <w:rsid w:val="00F755E4"/>
    <w:rsid w:val="00F77D02"/>
    <w:rsid w:val="00F8094C"/>
    <w:rsid w:val="00F9310C"/>
    <w:rsid w:val="00FB3A86"/>
    <w:rsid w:val="00FB7681"/>
    <w:rsid w:val="00FD0FFB"/>
    <w:rsid w:val="00FD36C8"/>
    <w:rsid w:val="00FE6C07"/>
    <w:rsid w:val="00FF0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522893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78C1"/>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C2A5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link w:val="AbstHeadChar"/>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link w:val="MainHeadChar"/>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link w:val="ListParagraphChar"/>
    <w:uiPriority w:val="34"/>
    <w:qFormat/>
    <w:rsid w:val="00962894"/>
    <w:pPr>
      <w:spacing w:after="160" w:line="276" w:lineRule="auto"/>
      <w:ind w:left="720"/>
      <w:contextualSpacing/>
    </w:pPr>
    <w:rPr>
      <w:rFonts w:asciiTheme="minorHAnsi" w:eastAsiaTheme="minorHAnsi" w:hAnsiTheme="minorHAnsi" w:cstheme="minorBidi"/>
      <w:kern w:val="2"/>
      <w:sz w:val="24"/>
      <w:szCs w:val="24"/>
      <w:lang w:val="en-ID"/>
    </w:rPr>
  </w:style>
  <w:style w:type="paragraph" w:customStyle="1" w:styleId="INTRO">
    <w:name w:val="INTRO"/>
    <w:basedOn w:val="AbstHead"/>
    <w:link w:val="INTROChar"/>
    <w:qFormat/>
    <w:rsid w:val="00962894"/>
    <w:pPr>
      <w:numPr>
        <w:numId w:val="32"/>
      </w:numPr>
      <w:spacing w:before="120" w:after="120"/>
      <w:ind w:left="357" w:hanging="357"/>
      <w:jc w:val="both"/>
    </w:pPr>
    <w:rPr>
      <w:rFonts w:ascii="Arial" w:hAnsi="Arial" w:cs="Arial"/>
    </w:rPr>
  </w:style>
  <w:style w:type="character" w:customStyle="1" w:styleId="MainHeadChar">
    <w:name w:val="Main Head Char"/>
    <w:basedOn w:val="DefaultParagraphFont"/>
    <w:link w:val="MainHead"/>
    <w:rsid w:val="00962894"/>
    <w:rPr>
      <w:rFonts w:ascii="Helvetica" w:hAnsi="Helvetica"/>
      <w:b/>
      <w:caps/>
    </w:rPr>
  </w:style>
  <w:style w:type="character" w:customStyle="1" w:styleId="AbstHeadChar">
    <w:name w:val="Abst Head Char"/>
    <w:basedOn w:val="MainHeadChar"/>
    <w:link w:val="AbstHead"/>
    <w:rsid w:val="00962894"/>
    <w:rPr>
      <w:rFonts w:ascii="Helvetica" w:hAnsi="Helvetica"/>
      <w:b/>
      <w:caps/>
      <w:sz w:val="22"/>
    </w:rPr>
  </w:style>
  <w:style w:type="character" w:customStyle="1" w:styleId="INTROChar">
    <w:name w:val="INTRO Char"/>
    <w:basedOn w:val="AbstHeadChar"/>
    <w:link w:val="INTRO"/>
    <w:rsid w:val="00962894"/>
    <w:rPr>
      <w:rFonts w:ascii="Arial" w:hAnsi="Arial" w:cs="Arial"/>
      <w:b/>
      <w:caps/>
      <w:sz w:val="22"/>
    </w:rPr>
  </w:style>
  <w:style w:type="paragraph" w:customStyle="1" w:styleId="Research">
    <w:name w:val="Research"/>
    <w:basedOn w:val="Normal"/>
    <w:link w:val="ResearchChar"/>
    <w:qFormat/>
    <w:rsid w:val="00962894"/>
    <w:pPr>
      <w:numPr>
        <w:numId w:val="33"/>
      </w:numPr>
      <w:spacing w:before="120" w:after="120"/>
      <w:ind w:left="357" w:hanging="357"/>
      <w:jc w:val="both"/>
    </w:pPr>
    <w:rPr>
      <w:rFonts w:ascii="Arial" w:eastAsia="Calibri" w:hAnsi="Arial" w:cs="Arial"/>
      <w:b/>
      <w:sz w:val="22"/>
    </w:rPr>
  </w:style>
  <w:style w:type="character" w:customStyle="1" w:styleId="ResearchChar">
    <w:name w:val="Research Char"/>
    <w:basedOn w:val="DefaultParagraphFont"/>
    <w:link w:val="Research"/>
    <w:rsid w:val="00962894"/>
    <w:rPr>
      <w:rFonts w:ascii="Arial" w:eastAsia="Calibri" w:hAnsi="Arial" w:cs="Arial"/>
      <w:b/>
      <w:sz w:val="22"/>
    </w:rPr>
  </w:style>
  <w:style w:type="paragraph" w:styleId="Caption">
    <w:name w:val="caption"/>
    <w:basedOn w:val="Normal"/>
    <w:next w:val="Normal"/>
    <w:unhideWhenUsed/>
    <w:qFormat/>
    <w:rsid w:val="00962894"/>
    <w:pPr>
      <w:spacing w:after="200"/>
    </w:pPr>
    <w:rPr>
      <w:rFonts w:ascii="Arial" w:hAnsi="Arial"/>
      <w:b/>
      <w:iCs/>
      <w:szCs w:val="18"/>
    </w:rPr>
  </w:style>
  <w:style w:type="paragraph" w:customStyle="1" w:styleId="Foam">
    <w:name w:val="Foam"/>
    <w:basedOn w:val="ListParagraph"/>
    <w:link w:val="FoamChar"/>
    <w:qFormat/>
    <w:rsid w:val="005B50EA"/>
    <w:pPr>
      <w:numPr>
        <w:numId w:val="34"/>
      </w:numPr>
      <w:spacing w:before="120" w:after="120" w:line="240" w:lineRule="auto"/>
      <w:ind w:left="357" w:hanging="357"/>
      <w:jc w:val="both"/>
    </w:pPr>
    <w:rPr>
      <w:rFonts w:ascii="Arial" w:eastAsia="Calibri" w:hAnsi="Arial" w:cs="Arial"/>
      <w:b/>
      <w:bCs/>
      <w:iCs/>
      <w:kern w:val="0"/>
      <w:sz w:val="20"/>
      <w:szCs w:val="20"/>
      <w:lang w:val="en-US"/>
    </w:rPr>
  </w:style>
  <w:style w:type="character" w:customStyle="1" w:styleId="ListParagraphChar">
    <w:name w:val="List Paragraph Char"/>
    <w:basedOn w:val="DefaultParagraphFont"/>
    <w:link w:val="ListParagraph"/>
    <w:uiPriority w:val="34"/>
    <w:rsid w:val="005B50EA"/>
    <w:rPr>
      <w:rFonts w:asciiTheme="minorHAnsi" w:eastAsiaTheme="minorHAnsi" w:hAnsiTheme="minorHAnsi" w:cstheme="minorBidi"/>
      <w:kern w:val="2"/>
      <w:sz w:val="24"/>
      <w:szCs w:val="24"/>
      <w:lang w:val="en-ID"/>
    </w:rPr>
  </w:style>
  <w:style w:type="character" w:customStyle="1" w:styleId="FoamChar">
    <w:name w:val="Foam Char"/>
    <w:basedOn w:val="ListParagraphChar"/>
    <w:link w:val="Foam"/>
    <w:rsid w:val="005B50EA"/>
    <w:rPr>
      <w:rFonts w:ascii="Arial" w:eastAsia="Calibri" w:hAnsi="Arial" w:cs="Arial"/>
      <w:b/>
      <w:bCs/>
      <w:iCs/>
      <w:kern w:val="2"/>
      <w:sz w:val="24"/>
      <w:szCs w:val="24"/>
      <w:lang w:val="en-ID"/>
    </w:rPr>
  </w:style>
  <w:style w:type="paragraph" w:customStyle="1" w:styleId="Char">
    <w:name w:val="Char"/>
    <w:basedOn w:val="Body"/>
    <w:link w:val="CharChar"/>
    <w:qFormat/>
    <w:rsid w:val="008226D1"/>
    <w:pPr>
      <w:numPr>
        <w:numId w:val="35"/>
      </w:numPr>
      <w:spacing w:before="120" w:after="120"/>
      <w:ind w:left="357" w:hanging="357"/>
    </w:pPr>
    <w:rPr>
      <w:rFonts w:ascii="Arial" w:hAnsi="Arial" w:cs="Arial"/>
      <w:b/>
      <w:sz w:val="22"/>
    </w:rPr>
  </w:style>
  <w:style w:type="character" w:customStyle="1" w:styleId="BodyChar">
    <w:name w:val="Body Char"/>
    <w:basedOn w:val="DefaultParagraphFont"/>
    <w:link w:val="Body"/>
    <w:rsid w:val="008226D1"/>
    <w:rPr>
      <w:rFonts w:ascii="Helvetica" w:hAnsi="Helvetica"/>
    </w:rPr>
  </w:style>
  <w:style w:type="character" w:customStyle="1" w:styleId="CharChar">
    <w:name w:val="Char Char"/>
    <w:basedOn w:val="BodyChar"/>
    <w:link w:val="Char"/>
    <w:rsid w:val="008226D1"/>
    <w:rPr>
      <w:rFonts w:ascii="Arial" w:hAnsi="Arial" w:cs="Arial"/>
      <w:b/>
      <w:sz w:val="22"/>
    </w:rPr>
  </w:style>
  <w:style w:type="paragraph" w:customStyle="1" w:styleId="Forma">
    <w:name w:val="Forma"/>
    <w:basedOn w:val="Body"/>
    <w:link w:val="FormaChar"/>
    <w:qFormat/>
    <w:rsid w:val="008226D1"/>
    <w:pPr>
      <w:numPr>
        <w:numId w:val="36"/>
      </w:numPr>
      <w:spacing w:before="120" w:after="120"/>
      <w:ind w:left="357" w:hanging="357"/>
    </w:pPr>
    <w:rPr>
      <w:rFonts w:ascii="Arial" w:hAnsi="Arial" w:cs="Arial"/>
      <w:b/>
    </w:rPr>
  </w:style>
  <w:style w:type="character" w:customStyle="1" w:styleId="FormaChar">
    <w:name w:val="Forma Char"/>
    <w:basedOn w:val="BodyChar"/>
    <w:link w:val="Forma"/>
    <w:rsid w:val="008226D1"/>
    <w:rPr>
      <w:rFonts w:ascii="Arial" w:hAnsi="Arial" w:cs="Arial"/>
      <w:b/>
    </w:rPr>
  </w:style>
  <w:style w:type="character" w:styleId="Strong">
    <w:name w:val="Strong"/>
    <w:basedOn w:val="DefaultParagraphFont"/>
    <w:uiPriority w:val="22"/>
    <w:qFormat/>
    <w:rsid w:val="008226D1"/>
    <w:rPr>
      <w:b/>
      <w:bCs/>
    </w:rPr>
  </w:style>
  <w:style w:type="paragraph" w:customStyle="1" w:styleId="Color">
    <w:name w:val="Color"/>
    <w:basedOn w:val="Body"/>
    <w:link w:val="ColorChar"/>
    <w:qFormat/>
    <w:rsid w:val="007E4183"/>
    <w:pPr>
      <w:numPr>
        <w:numId w:val="37"/>
      </w:numPr>
      <w:spacing w:before="120" w:after="120"/>
      <w:ind w:left="357" w:hanging="357"/>
    </w:pPr>
    <w:rPr>
      <w:rFonts w:ascii="Arial" w:hAnsi="Arial" w:cs="Arial"/>
      <w:b/>
    </w:rPr>
  </w:style>
  <w:style w:type="character" w:customStyle="1" w:styleId="ColorChar">
    <w:name w:val="Color Char"/>
    <w:basedOn w:val="BodyChar"/>
    <w:link w:val="Color"/>
    <w:rsid w:val="007E4183"/>
    <w:rPr>
      <w:rFonts w:ascii="Arial" w:hAnsi="Arial" w:cs="Arial"/>
      <w:b/>
    </w:rPr>
  </w:style>
  <w:style w:type="character" w:customStyle="1" w:styleId="Heading3Char">
    <w:name w:val="Heading 3 Char"/>
    <w:basedOn w:val="DefaultParagraphFont"/>
    <w:link w:val="Heading3"/>
    <w:semiHidden/>
    <w:rsid w:val="005C2A56"/>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994853"/>
    <w:rPr>
      <w:rFonts w:ascii="Helvetica" w:hAnsi="Helvetica"/>
    </w:rPr>
  </w:style>
  <w:style w:type="paragraph" w:styleId="CommentSubject">
    <w:name w:val="annotation subject"/>
    <w:basedOn w:val="CommentText"/>
    <w:next w:val="CommentText"/>
    <w:link w:val="CommentSubjectChar"/>
    <w:semiHidden/>
    <w:unhideWhenUsed/>
    <w:rsid w:val="003E0259"/>
    <w:rPr>
      <w:rFonts w:ascii="Helvetica" w:hAnsi="Helvetica"/>
      <w:b/>
      <w:bCs/>
      <w:lang w:val="en-US" w:eastAsia="en-US"/>
    </w:rPr>
  </w:style>
  <w:style w:type="character" w:customStyle="1" w:styleId="CommentSubjectChar">
    <w:name w:val="Comment Subject Char"/>
    <w:basedOn w:val="CommentTextChar"/>
    <w:link w:val="CommentSubject"/>
    <w:semiHidden/>
    <w:rsid w:val="003E0259"/>
    <w:rPr>
      <w:rFonts w:ascii="Helvetica" w:hAnsi="Helvetica"/>
      <w:b/>
      <w:bCs/>
      <w:lang w:val="nb-NO" w:eastAsia="nb-NO"/>
    </w:rPr>
  </w:style>
  <w:style w:type="character" w:customStyle="1" w:styleId="FooterChar">
    <w:name w:val="Footer Char"/>
    <w:basedOn w:val="DefaultParagraphFont"/>
    <w:link w:val="Footer"/>
    <w:uiPriority w:val="99"/>
    <w:rsid w:val="00CC615C"/>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image" Target="media/image4.jpeg"/><Relationship Id="rId26" Type="http://schemas.openxmlformats.org/officeDocument/2006/relationships/hyperlink" Target="https://doi.org/10.1016/j.lwt.2015.12.004"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image" Target="media/image6.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10.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image" Target="media/image9.jpeg"/><Relationship Id="rId28" Type="http://schemas.openxmlformats.org/officeDocument/2006/relationships/header" Target="header5.xml"/><Relationship Id="rId10" Type="http://schemas.openxmlformats.org/officeDocument/2006/relationships/header" Target="header3.xml"/><Relationship Id="rId19" Type="http://schemas.openxmlformats.org/officeDocument/2006/relationships/image" Target="media/image5.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2.xml"/><Relationship Id="rId22" Type="http://schemas.openxmlformats.org/officeDocument/2006/relationships/image" Target="media/image8.jpeg"/><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LIPI\Desktop\Data%20Skripsi%20STIKES\Abi\GRAFIK%20DATA%20NEW%20update%20data%20abi%2021%20Ok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IPI\Desktop\Data%20Skripsi%20STIKES\Abi\GRAFIK%20DATA%20NEW%20update%20data%20abi%2021%20Ok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File\SKRIPSI\1.%20NASKAH%20SKRIPSI\GRAFIK%20DATA%20NEW.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File\SKRIPSI\1.%20NASKAH%20SKRIPSI\GRAFIK%20DATA%20NEW.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LIPI\Desktop\Data%20Skripsi%20STIKES\Abi\GRAFIK%20DATA%20NEW%20update%20data%20abi%2021%20Okt.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noFill/>
            </a:ln>
            <a:effectLst/>
          </c:spPr>
          <c:invertIfNegative val="0"/>
          <c:dLbls>
            <c:dLbl>
              <c:idx val="0"/>
              <c:tx>
                <c:rich>
                  <a:bodyPr/>
                  <a:lstStyle/>
                  <a:p>
                    <a:fld id="{1AE0F30E-CD66-42FC-B1A3-A7D6B37A8B00}"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888B-4566-88AE-A363FDB84EE1}"/>
                </c:ext>
              </c:extLst>
            </c:dLbl>
            <c:dLbl>
              <c:idx val="1"/>
              <c:tx>
                <c:rich>
                  <a:bodyPr/>
                  <a:lstStyle/>
                  <a:p>
                    <a:fld id="{03A72637-0CA3-4FB7-BD89-51F61D879078}"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888B-4566-88AE-A363FDB84EE1}"/>
                </c:ext>
              </c:extLst>
            </c:dLbl>
            <c:dLbl>
              <c:idx val="2"/>
              <c:tx>
                <c:rich>
                  <a:bodyPr/>
                  <a:lstStyle/>
                  <a:p>
                    <a:fld id="{3FB35735-F9B3-46A2-8302-C6476EB9CC6E}"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888B-4566-88AE-A363FDB84EE1}"/>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Narrow" panose="020B0606020202030204" pitchFamily="34" charset="0"/>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'DENSITAS BUSA'!$D$19:$D$21</c:f>
                <c:numCache>
                  <c:formatCode>General</c:formatCode>
                  <c:ptCount val="3"/>
                  <c:pt idx="0">
                    <c:v>8.0000000000000002E-3</c:v>
                  </c:pt>
                  <c:pt idx="1">
                    <c:v>7.0000000000000001E-3</c:v>
                  </c:pt>
                  <c:pt idx="2">
                    <c:v>8.9999999999999993E-3</c:v>
                  </c:pt>
                </c:numCache>
              </c:numRef>
            </c:plus>
            <c:minus>
              <c:numRef>
                <c:f>'DENSITAS BUSA'!$D$19:$D$21</c:f>
                <c:numCache>
                  <c:formatCode>General</c:formatCode>
                  <c:ptCount val="3"/>
                  <c:pt idx="0">
                    <c:v>8.0000000000000002E-3</c:v>
                  </c:pt>
                  <c:pt idx="1">
                    <c:v>7.0000000000000001E-3</c:v>
                  </c:pt>
                  <c:pt idx="2">
                    <c:v>8.9999999999999993E-3</c:v>
                  </c:pt>
                </c:numCache>
              </c:numRef>
            </c:minus>
            <c:spPr>
              <a:noFill/>
              <a:ln w="12700" cap="flat" cmpd="sng" algn="ctr">
                <a:solidFill>
                  <a:schemeClr val="tx1"/>
                </a:solidFill>
                <a:round/>
              </a:ln>
              <a:effectLst/>
            </c:spPr>
          </c:errBars>
          <c:cat>
            <c:strRef>
              <c:f>'DENSITAS BUSA'!$O$7:$O$9</c:f>
              <c:strCache>
                <c:ptCount val="3"/>
                <c:pt idx="0">
                  <c:v>F1</c:v>
                </c:pt>
                <c:pt idx="1">
                  <c:v>F2</c:v>
                </c:pt>
                <c:pt idx="2">
                  <c:v>F3</c:v>
                </c:pt>
              </c:strCache>
            </c:strRef>
          </c:cat>
          <c:val>
            <c:numRef>
              <c:f>'DENSITAS BUSA'!$P$7:$P$9</c:f>
              <c:numCache>
                <c:formatCode>General</c:formatCode>
                <c:ptCount val="3"/>
                <c:pt idx="0">
                  <c:v>0.88500000000000001</c:v>
                </c:pt>
                <c:pt idx="1">
                  <c:v>0.94299999999999995</c:v>
                </c:pt>
                <c:pt idx="2">
                  <c:v>1.0640000000000001</c:v>
                </c:pt>
              </c:numCache>
            </c:numRef>
          </c:val>
          <c:extLst>
            <c:ext xmlns:c15="http://schemas.microsoft.com/office/drawing/2012/chart" uri="{02D57815-91ED-43cb-92C2-25804820EDAC}">
              <c15:datalabelsRange>
                <c15:f>'DENSITAS BUSA'!$D$29:$D$31</c15:f>
                <c15:dlblRangeCache>
                  <c:ptCount val="3"/>
                  <c:pt idx="0">
                    <c:v>a</c:v>
                  </c:pt>
                  <c:pt idx="1">
                    <c:v>a</c:v>
                  </c:pt>
                  <c:pt idx="2">
                    <c:v>a</c:v>
                  </c:pt>
                </c15:dlblRangeCache>
              </c15:datalabelsRange>
            </c:ext>
            <c:ext xmlns:c16="http://schemas.microsoft.com/office/drawing/2014/chart" uri="{C3380CC4-5D6E-409C-BE32-E72D297353CC}">
              <c16:uniqueId val="{00000003-888B-4566-88AE-A363FDB84EE1}"/>
            </c:ext>
          </c:extLst>
        </c:ser>
        <c:dLbls>
          <c:showLegendKey val="0"/>
          <c:showVal val="1"/>
          <c:showCatName val="0"/>
          <c:showSerName val="0"/>
          <c:showPercent val="0"/>
          <c:showBubbleSize val="0"/>
        </c:dLbls>
        <c:gapWidth val="219"/>
        <c:overlap val="-27"/>
        <c:axId val="462923311"/>
        <c:axId val="462921871"/>
      </c:barChart>
      <c:catAx>
        <c:axId val="462923311"/>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mn-cs"/>
                  </a:defRPr>
                </a:pPr>
                <a:r>
                  <a:rPr lang="en-US" b="1"/>
                  <a:t>Treatment</a:t>
                </a:r>
                <a:endParaRPr lang="id-ID" b="1"/>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mn-cs"/>
                </a:defRPr>
              </a:pPr>
              <a:endParaRPr lang="en-US"/>
            </a:p>
          </c:txPr>
        </c:title>
        <c:numFmt formatCode="General" sourceLinked="1"/>
        <c:majorTickMark val="none"/>
        <c:minorTickMark val="none"/>
        <c:tickLblPos val="nextTo"/>
        <c:spPr>
          <a:noFill/>
          <a:ln w="12700" cap="flat" cmpd="sng" algn="ctr">
            <a:solidFill>
              <a:schemeClr val="dk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mn-cs"/>
              </a:defRPr>
            </a:pPr>
            <a:endParaRPr lang="en-US"/>
          </a:p>
        </c:txPr>
        <c:crossAx val="462921871"/>
        <c:crosses val="autoZero"/>
        <c:auto val="1"/>
        <c:lblAlgn val="ctr"/>
        <c:lblOffset val="100"/>
        <c:noMultiLvlLbl val="0"/>
      </c:catAx>
      <c:valAx>
        <c:axId val="462921871"/>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mn-cs"/>
                  </a:defRPr>
                </a:pPr>
                <a:r>
                  <a:rPr lang="en-US" b="1"/>
                  <a:t>Foam density (g/mL)</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mn-cs"/>
                </a:defRPr>
              </a:pPr>
              <a:endParaRPr lang="en-US"/>
            </a:p>
          </c:txPr>
        </c:title>
        <c:numFmt formatCode="General" sourceLinked="1"/>
        <c:majorTickMark val="out"/>
        <c:minorTickMark val="none"/>
        <c:tickLblPos val="nextTo"/>
        <c:spPr>
          <a:noFill/>
          <a:ln w="12700">
            <a:solidFill>
              <a:schemeClr val="dk1"/>
            </a:solid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mn-cs"/>
              </a:defRPr>
            </a:pPr>
            <a:endParaRPr lang="en-US"/>
          </a:p>
        </c:txPr>
        <c:crossAx val="46292331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Arial Narrow" panose="020B060602020203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654164559705265"/>
          <c:y val="8.121561859562075E-2"/>
          <c:w val="0.7530913819258831"/>
          <c:h val="0.6486128788695934"/>
        </c:manualLayout>
      </c:layout>
      <c:barChart>
        <c:barDir val="col"/>
        <c:grouping val="clustered"/>
        <c:varyColors val="0"/>
        <c:ser>
          <c:idx val="0"/>
          <c:order val="0"/>
          <c:spPr>
            <a:solidFill>
              <a:schemeClr val="tx1"/>
            </a:solidFill>
            <a:ln>
              <a:noFill/>
            </a:ln>
            <a:effectLst/>
          </c:spPr>
          <c:invertIfNegative val="0"/>
          <c:dLbls>
            <c:dLbl>
              <c:idx val="0"/>
              <c:layout>
                <c:manualLayout>
                  <c:x val="-2.7777777777777779E-3"/>
                  <c:y val="-0.13425925925925927"/>
                </c:manualLayout>
              </c:layout>
              <c:tx>
                <c:rich>
                  <a:bodyPr/>
                  <a:lstStyle/>
                  <a:p>
                    <a:fld id="{D4F1B2B4-771B-4D24-9FE4-8C1A3D0BCC7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DE54-42E7-A007-61636EC1E588}"/>
                </c:ext>
              </c:extLst>
            </c:dLbl>
            <c:dLbl>
              <c:idx val="1"/>
              <c:layout>
                <c:manualLayout>
                  <c:x val="0"/>
                  <c:y val="-7.407407407407407E-2"/>
                </c:manualLayout>
              </c:layout>
              <c:tx>
                <c:rich>
                  <a:bodyPr/>
                  <a:lstStyle/>
                  <a:p>
                    <a:fld id="{BFB07FC2-143B-497D-9AC3-DFC20BE59E6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DE54-42E7-A007-61636EC1E588}"/>
                </c:ext>
              </c:extLst>
            </c:dLbl>
            <c:dLbl>
              <c:idx val="2"/>
              <c:tx>
                <c:rich>
                  <a:bodyPr/>
                  <a:lstStyle/>
                  <a:p>
                    <a:fld id="{4CC26EF2-B328-467F-B38A-F7057FE6354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DE54-42E7-A007-61636EC1E588}"/>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plus"/>
            <c:errValType val="cust"/>
            <c:noEndCap val="0"/>
            <c:plus>
              <c:numRef>
                <c:f>'STABILITAS BUSA'!$C$17:$C$19</c:f>
                <c:numCache>
                  <c:formatCode>General</c:formatCode>
                  <c:ptCount val="3"/>
                  <c:pt idx="0">
                    <c:v>2</c:v>
                  </c:pt>
                  <c:pt idx="1">
                    <c:v>1.1499999999999999</c:v>
                  </c:pt>
                  <c:pt idx="2">
                    <c:v>0</c:v>
                  </c:pt>
                </c:numCache>
              </c:numRef>
            </c:plus>
            <c:minus>
              <c:numRef>
                <c:f>'STABILITAS BUSA'!$C$17:$C$19</c:f>
                <c:numCache>
                  <c:formatCode>General</c:formatCode>
                  <c:ptCount val="3"/>
                  <c:pt idx="0">
                    <c:v>2</c:v>
                  </c:pt>
                  <c:pt idx="1">
                    <c:v>1.1499999999999999</c:v>
                  </c:pt>
                  <c:pt idx="2">
                    <c:v>0</c:v>
                  </c:pt>
                </c:numCache>
              </c:numRef>
            </c:minus>
            <c:spPr>
              <a:noFill/>
              <a:ln w="12700" cap="flat" cmpd="sng" algn="ctr">
                <a:solidFill>
                  <a:schemeClr val="tx1"/>
                </a:solidFill>
                <a:round/>
              </a:ln>
              <a:effectLst/>
            </c:spPr>
          </c:errBars>
          <c:cat>
            <c:strRef>
              <c:f>'STABILITAS BUSA'!$B$6:$B$8</c:f>
              <c:strCache>
                <c:ptCount val="3"/>
                <c:pt idx="0">
                  <c:v>F1</c:v>
                </c:pt>
                <c:pt idx="1">
                  <c:v>F2</c:v>
                </c:pt>
                <c:pt idx="2">
                  <c:v>F3</c:v>
                </c:pt>
              </c:strCache>
            </c:strRef>
          </c:cat>
          <c:val>
            <c:numRef>
              <c:f>'STABILITAS BUSA'!$C$6:$C$8</c:f>
              <c:numCache>
                <c:formatCode>###0.00</c:formatCode>
                <c:ptCount val="3"/>
                <c:pt idx="0">
                  <c:v>96</c:v>
                </c:pt>
                <c:pt idx="1">
                  <c:v>97.33</c:v>
                </c:pt>
                <c:pt idx="2">
                  <c:v>100</c:v>
                </c:pt>
              </c:numCache>
            </c:numRef>
          </c:val>
          <c:extLst>
            <c:ext xmlns:c15="http://schemas.microsoft.com/office/drawing/2012/chart" uri="{02D57815-91ED-43cb-92C2-25804820EDAC}">
              <c15:datalabelsRange>
                <c15:f>'STABILITAS BUSA'!$C$27:$C$29</c15:f>
                <c15:dlblRangeCache>
                  <c:ptCount val="3"/>
                  <c:pt idx="0">
                    <c:v>b</c:v>
                  </c:pt>
                  <c:pt idx="1">
                    <c:v>b</c:v>
                  </c:pt>
                  <c:pt idx="2">
                    <c:v>a</c:v>
                  </c:pt>
                </c15:dlblRangeCache>
              </c15:datalabelsRange>
            </c:ext>
            <c:ext xmlns:c16="http://schemas.microsoft.com/office/drawing/2014/chart" uri="{C3380CC4-5D6E-409C-BE32-E72D297353CC}">
              <c16:uniqueId val="{00000003-DE54-42E7-A007-61636EC1E588}"/>
            </c:ext>
          </c:extLst>
        </c:ser>
        <c:dLbls>
          <c:showLegendKey val="0"/>
          <c:showVal val="0"/>
          <c:showCatName val="0"/>
          <c:showSerName val="0"/>
          <c:showPercent val="0"/>
          <c:showBubbleSize val="0"/>
        </c:dLbls>
        <c:gapWidth val="165"/>
        <c:overlap val="-27"/>
        <c:axId val="462935311"/>
        <c:axId val="462937231"/>
      </c:barChart>
      <c:catAx>
        <c:axId val="462935311"/>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r>
                  <a:rPr lang="en-US" b="1"/>
                  <a:t>Treatment</a:t>
                </a:r>
                <a:endParaRPr lang="id-ID" b="1"/>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dk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crossAx val="462937231"/>
        <c:crosses val="autoZero"/>
        <c:auto val="1"/>
        <c:lblAlgn val="ctr"/>
        <c:lblOffset val="100"/>
        <c:noMultiLvlLbl val="0"/>
      </c:catAx>
      <c:valAx>
        <c:axId val="462937231"/>
        <c:scaling>
          <c:orientation val="minMax"/>
          <c:min val="90"/>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r>
                  <a:rPr lang="en-US" b="1"/>
                  <a:t>Foam stability (%)</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title>
        <c:numFmt formatCode="General" sourceLinked="0"/>
        <c:majorTickMark val="out"/>
        <c:minorTickMark val="none"/>
        <c:tickLblPos val="nextTo"/>
        <c:spPr>
          <a:noFill/>
          <a:ln w="12700">
            <a:solidFill>
              <a:schemeClr val="dk1"/>
            </a:solid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crossAx val="462935311"/>
        <c:crosses val="autoZero"/>
        <c:crossBetween val="between"/>
        <c:majorUnit val="4"/>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Arial Narrow" panose="020B0606020202030204" pitchFamily="34"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918520479057765"/>
          <c:y val="3.7167914986236478E-2"/>
          <c:w val="0.77384000529345598"/>
          <c:h val="0.7273576168832554"/>
        </c:manualLayout>
      </c:layout>
      <c:barChart>
        <c:barDir val="col"/>
        <c:grouping val="clustered"/>
        <c:varyColors val="0"/>
        <c:ser>
          <c:idx val="0"/>
          <c:order val="0"/>
          <c:tx>
            <c:strRef>
              <c:f>'waktu larut'!$C$5</c:f>
              <c:strCache>
                <c:ptCount val="1"/>
                <c:pt idx="0">
                  <c:v>Rata-rata</c:v>
                </c:pt>
              </c:strCache>
            </c:strRef>
          </c:tx>
          <c:spPr>
            <a:solidFill>
              <a:sysClr val="windowText" lastClr="000000"/>
            </a:solidFill>
            <a:ln>
              <a:noFill/>
            </a:ln>
            <a:effectLst/>
          </c:spPr>
          <c:invertIfNegative val="0"/>
          <c:dPt>
            <c:idx val="1"/>
            <c:invertIfNegative val="0"/>
            <c:bubble3D val="0"/>
            <c:spPr>
              <a:solidFill>
                <a:sysClr val="windowText" lastClr="000000"/>
              </a:solidFill>
              <a:ln>
                <a:noFill/>
              </a:ln>
              <a:effectLst/>
            </c:spPr>
            <c:extLst>
              <c:ext xmlns:c16="http://schemas.microsoft.com/office/drawing/2014/chart" uri="{C3380CC4-5D6E-409C-BE32-E72D297353CC}">
                <c16:uniqueId val="{00000001-D41E-4097-ADA3-68C85BD3E1B6}"/>
              </c:ext>
            </c:extLst>
          </c:dPt>
          <c:dPt>
            <c:idx val="2"/>
            <c:invertIfNegative val="0"/>
            <c:bubble3D val="0"/>
            <c:spPr>
              <a:solidFill>
                <a:sysClr val="windowText" lastClr="000000"/>
              </a:solidFill>
              <a:ln>
                <a:noFill/>
              </a:ln>
              <a:effectLst/>
            </c:spPr>
            <c:extLst>
              <c:ext xmlns:c16="http://schemas.microsoft.com/office/drawing/2014/chart" uri="{C3380CC4-5D6E-409C-BE32-E72D297353CC}">
                <c16:uniqueId val="{00000003-D41E-4097-ADA3-68C85BD3E1B6}"/>
              </c:ext>
            </c:extLst>
          </c:dPt>
          <c:dPt>
            <c:idx val="3"/>
            <c:invertIfNegative val="0"/>
            <c:bubble3D val="0"/>
            <c:spPr>
              <a:solidFill>
                <a:sysClr val="windowText" lastClr="000000"/>
              </a:solidFill>
              <a:ln>
                <a:noFill/>
              </a:ln>
              <a:effectLst/>
            </c:spPr>
            <c:extLst>
              <c:ext xmlns:c16="http://schemas.microsoft.com/office/drawing/2014/chart" uri="{C3380CC4-5D6E-409C-BE32-E72D297353CC}">
                <c16:uniqueId val="{00000005-D41E-4097-ADA3-68C85BD3E1B6}"/>
              </c:ext>
            </c:extLst>
          </c:dPt>
          <c:dPt>
            <c:idx val="4"/>
            <c:invertIfNegative val="0"/>
            <c:bubble3D val="0"/>
            <c:spPr>
              <a:solidFill>
                <a:sysClr val="windowText" lastClr="000000"/>
              </a:solidFill>
              <a:ln>
                <a:noFill/>
              </a:ln>
              <a:effectLst/>
            </c:spPr>
            <c:extLst>
              <c:ext xmlns:c16="http://schemas.microsoft.com/office/drawing/2014/chart" uri="{C3380CC4-5D6E-409C-BE32-E72D297353CC}">
                <c16:uniqueId val="{00000007-D41E-4097-ADA3-68C85BD3E1B6}"/>
              </c:ext>
            </c:extLst>
          </c:dPt>
          <c:dPt>
            <c:idx val="5"/>
            <c:invertIfNegative val="0"/>
            <c:bubble3D val="0"/>
            <c:spPr>
              <a:solidFill>
                <a:sysClr val="windowText" lastClr="000000"/>
              </a:solidFill>
              <a:ln>
                <a:noFill/>
              </a:ln>
              <a:effectLst/>
            </c:spPr>
            <c:extLst>
              <c:ext xmlns:c16="http://schemas.microsoft.com/office/drawing/2014/chart" uri="{C3380CC4-5D6E-409C-BE32-E72D297353CC}">
                <c16:uniqueId val="{00000009-D41E-4097-ADA3-68C85BD3E1B6}"/>
              </c:ext>
            </c:extLst>
          </c:dPt>
          <c:dPt>
            <c:idx val="6"/>
            <c:invertIfNegative val="0"/>
            <c:bubble3D val="0"/>
            <c:spPr>
              <a:solidFill>
                <a:sysClr val="windowText" lastClr="000000"/>
              </a:solidFill>
              <a:ln>
                <a:noFill/>
              </a:ln>
              <a:effectLst/>
            </c:spPr>
            <c:extLst>
              <c:ext xmlns:c16="http://schemas.microsoft.com/office/drawing/2014/chart" uri="{C3380CC4-5D6E-409C-BE32-E72D297353CC}">
                <c16:uniqueId val="{0000000B-D41E-4097-ADA3-68C85BD3E1B6}"/>
              </c:ext>
            </c:extLst>
          </c:dPt>
          <c:dLbls>
            <c:dLbl>
              <c:idx val="0"/>
              <c:tx>
                <c:rich>
                  <a:bodyPr/>
                  <a:lstStyle/>
                  <a:p>
                    <a:fld id="{978650AD-B831-475B-A2F7-99F537093AF2}" type="CELLREF">
                      <a:rPr lang="en-US"/>
                      <a:pPr/>
                      <a:t>[CELLREF]</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dlblFTEntry>
                      <c15:txfldGUID>{978650AD-B831-475B-A2F7-99F537093AF2}</c15:txfldGUID>
                      <c15:f>'[GRAFIK DATA NEW.xlsx]waktu larut'!$C$27</c15:f>
                      <c15:dlblFieldTableCache>
                        <c:ptCount val="1"/>
                        <c:pt idx="0">
                          <c:v>a</c:v>
                        </c:pt>
                      </c15:dlblFieldTableCache>
                    </c15:dlblFTEntry>
                  </c15:dlblFieldTable>
                  <c15:showDataLabelsRange val="0"/>
                </c:ext>
                <c:ext xmlns:c16="http://schemas.microsoft.com/office/drawing/2014/chart" uri="{C3380CC4-5D6E-409C-BE32-E72D297353CC}">
                  <c16:uniqueId val="{0000000C-D41E-4097-ADA3-68C85BD3E1B6}"/>
                </c:ext>
              </c:extLst>
            </c:dLbl>
            <c:dLbl>
              <c:idx val="1"/>
              <c:layout>
                <c:manualLayout>
                  <c:x val="0"/>
                  <c:y val="-1.4010510456952247E-2"/>
                </c:manualLayout>
              </c:layout>
              <c:tx>
                <c:rich>
                  <a:bodyPr/>
                  <a:lstStyle/>
                  <a:p>
                    <a:fld id="{04E11DB1-4E8B-4BA4-AB53-26D034A76765}" type="CELLREF">
                      <a:rPr lang="en-US"/>
                      <a:pPr/>
                      <a:t>[CELLREF]</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dlblFTEntry>
                      <c15:txfldGUID>{04E11DB1-4E8B-4BA4-AB53-26D034A76765}</c15:txfldGUID>
                      <c15:f>'[GRAFIK DATA NEW.xlsx]waktu larut'!$C$28</c15:f>
                      <c15:dlblFieldTableCache>
                        <c:ptCount val="1"/>
                        <c:pt idx="0">
                          <c:v>d</c:v>
                        </c:pt>
                      </c15:dlblFieldTableCache>
                    </c15:dlblFTEntry>
                  </c15:dlblFieldTable>
                  <c15:showDataLabelsRange val="0"/>
                </c:ext>
                <c:ext xmlns:c16="http://schemas.microsoft.com/office/drawing/2014/chart" uri="{C3380CC4-5D6E-409C-BE32-E72D297353CC}">
                  <c16:uniqueId val="{00000001-D41E-4097-ADA3-68C85BD3E1B6}"/>
                </c:ext>
              </c:extLst>
            </c:dLbl>
            <c:dLbl>
              <c:idx val="2"/>
              <c:tx>
                <c:rich>
                  <a:bodyPr/>
                  <a:lstStyle/>
                  <a:p>
                    <a:fld id="{9917FE5F-8D83-45B6-9E7A-4D04429217A7}" type="CELLREF">
                      <a:rPr lang="en-US"/>
                      <a:pPr/>
                      <a:t>[CELLREF]</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dlblFTEntry>
                      <c15:txfldGUID>{9917FE5F-8D83-45B6-9E7A-4D04429217A7}</c15:txfldGUID>
                      <c15:f>'[GRAFIK DATA NEW.xlsx]waktu larut'!$C$29</c15:f>
                      <c15:dlblFieldTableCache>
                        <c:ptCount val="1"/>
                        <c:pt idx="0">
                          <c:v>e</c:v>
                        </c:pt>
                      </c15:dlblFieldTableCache>
                    </c15:dlblFTEntry>
                  </c15:dlblFieldTable>
                  <c15:showDataLabelsRange val="0"/>
                </c:ext>
                <c:ext xmlns:c16="http://schemas.microsoft.com/office/drawing/2014/chart" uri="{C3380CC4-5D6E-409C-BE32-E72D297353CC}">
                  <c16:uniqueId val="{00000003-D41E-4097-ADA3-68C85BD3E1B6}"/>
                </c:ext>
              </c:extLst>
            </c:dLbl>
            <c:dLbl>
              <c:idx val="3"/>
              <c:layout>
                <c:manualLayout>
                  <c:x val="0"/>
                  <c:y val="-2.8021020913904494E-2"/>
                </c:manualLayout>
              </c:layout>
              <c:tx>
                <c:rich>
                  <a:bodyPr/>
                  <a:lstStyle/>
                  <a:p>
                    <a:fld id="{FED87AE0-2EB3-43B8-9895-14E60FE73D79}" type="CELLREF">
                      <a:rPr lang="en-US"/>
                      <a:pPr/>
                      <a:t>[CELLREF]</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dlblFTEntry>
                      <c15:txfldGUID>{FED87AE0-2EB3-43B8-9895-14E60FE73D79}</c15:txfldGUID>
                      <c15:f>'[GRAFIK DATA NEW.xlsx]waktu larut'!$C$30</c15:f>
                      <c15:dlblFieldTableCache>
                        <c:ptCount val="1"/>
                        <c:pt idx="0">
                          <c:v>e</c:v>
                        </c:pt>
                      </c15:dlblFieldTableCache>
                    </c15:dlblFTEntry>
                  </c15:dlblFieldTable>
                  <c15:showDataLabelsRange val="0"/>
                </c:ext>
                <c:ext xmlns:c16="http://schemas.microsoft.com/office/drawing/2014/chart" uri="{C3380CC4-5D6E-409C-BE32-E72D297353CC}">
                  <c16:uniqueId val="{00000005-D41E-4097-ADA3-68C85BD3E1B6}"/>
                </c:ext>
              </c:extLst>
            </c:dLbl>
            <c:dLbl>
              <c:idx val="4"/>
              <c:tx>
                <c:rich>
                  <a:bodyPr/>
                  <a:lstStyle/>
                  <a:p>
                    <a:fld id="{00347E31-96D2-4F91-A800-96BCB9E175CD}" type="CELLREF">
                      <a:rPr lang="en-US"/>
                      <a:pPr/>
                      <a:t>[CELLREF]</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dlblFTEntry>
                      <c15:txfldGUID>{00347E31-96D2-4F91-A800-96BCB9E175CD}</c15:txfldGUID>
                      <c15:f>'[GRAFIK DATA NEW.xlsx]waktu larut'!$C$31</c15:f>
                      <c15:dlblFieldTableCache>
                        <c:ptCount val="1"/>
                        <c:pt idx="0">
                          <c:v>ab</c:v>
                        </c:pt>
                      </c15:dlblFieldTableCache>
                    </c15:dlblFTEntry>
                  </c15:dlblFieldTable>
                  <c15:showDataLabelsRange val="0"/>
                </c:ext>
                <c:ext xmlns:c16="http://schemas.microsoft.com/office/drawing/2014/chart" uri="{C3380CC4-5D6E-409C-BE32-E72D297353CC}">
                  <c16:uniqueId val="{00000007-D41E-4097-ADA3-68C85BD3E1B6}"/>
                </c:ext>
              </c:extLst>
            </c:dLbl>
            <c:dLbl>
              <c:idx val="5"/>
              <c:layout>
                <c:manualLayout>
                  <c:x val="-1.0156854042963318E-16"/>
                  <c:y val="0"/>
                </c:manualLayout>
              </c:layout>
              <c:tx>
                <c:rich>
                  <a:bodyPr/>
                  <a:lstStyle/>
                  <a:p>
                    <a:fld id="{D4A6B34A-BD5C-4289-94F2-2CF3FE2A685D}" type="CELLREF">
                      <a:rPr lang="en-US"/>
                      <a:pPr/>
                      <a:t>[CELLREF]</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dlblFTEntry>
                      <c15:txfldGUID>{D4A6B34A-BD5C-4289-94F2-2CF3FE2A685D}</c15:txfldGUID>
                      <c15:f>'[GRAFIK DATA NEW.xlsx]waktu larut'!$C$32</c15:f>
                      <c15:dlblFieldTableCache>
                        <c:ptCount val="1"/>
                        <c:pt idx="0">
                          <c:v>bc</c:v>
                        </c:pt>
                      </c15:dlblFieldTableCache>
                    </c15:dlblFTEntry>
                  </c15:dlblFieldTable>
                  <c15:showDataLabelsRange val="0"/>
                </c:ext>
                <c:ext xmlns:c16="http://schemas.microsoft.com/office/drawing/2014/chart" uri="{C3380CC4-5D6E-409C-BE32-E72D297353CC}">
                  <c16:uniqueId val="{00000009-D41E-4097-ADA3-68C85BD3E1B6}"/>
                </c:ext>
              </c:extLst>
            </c:dLbl>
            <c:dLbl>
              <c:idx val="6"/>
              <c:tx>
                <c:rich>
                  <a:bodyPr/>
                  <a:lstStyle/>
                  <a:p>
                    <a:fld id="{DCD09F45-7F3F-4B00-B451-8687EC6547ED}" type="CELLREF">
                      <a:rPr lang="en-US"/>
                      <a:pPr/>
                      <a:t>[CELLREF]</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dlblFTEntry>
                      <c15:txfldGUID>{DCD09F45-7F3F-4B00-B451-8687EC6547ED}</c15:txfldGUID>
                      <c15:f>'[GRAFIK DATA NEW.xlsx]waktu larut'!$C$33</c15:f>
                      <c15:dlblFieldTableCache>
                        <c:ptCount val="1"/>
                        <c:pt idx="0">
                          <c:v>c</c:v>
                        </c:pt>
                      </c15:dlblFieldTableCache>
                    </c15:dlblFTEntry>
                  </c15:dlblFieldTable>
                  <c15:showDataLabelsRange val="0"/>
                </c:ext>
                <c:ext xmlns:c16="http://schemas.microsoft.com/office/drawing/2014/chart" uri="{C3380CC4-5D6E-409C-BE32-E72D297353CC}">
                  <c16:uniqueId val="{0000000B-D41E-4097-ADA3-68C85BD3E1B6}"/>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'waktu larut'!$C$17:$C$23</c:f>
                <c:numCache>
                  <c:formatCode>General</c:formatCode>
                  <c:ptCount val="7"/>
                  <c:pt idx="0">
                    <c:v>7.0945988845975876</c:v>
                  </c:pt>
                  <c:pt idx="1">
                    <c:v>22.869193252058544</c:v>
                  </c:pt>
                  <c:pt idx="2">
                    <c:v>10.692676621563626</c:v>
                  </c:pt>
                  <c:pt idx="3">
                    <c:v>34.297716153314539</c:v>
                  </c:pt>
                  <c:pt idx="4">
                    <c:v>7.0945988845975876</c:v>
                  </c:pt>
                  <c:pt idx="5">
                    <c:v>3.2145502536643185</c:v>
                  </c:pt>
                  <c:pt idx="6">
                    <c:v>13.051181300301261</c:v>
                  </c:pt>
                </c:numCache>
              </c:numRef>
            </c:plus>
            <c:minus>
              <c:numLit>
                <c:formatCode>General</c:formatCode>
                <c:ptCount val="1"/>
                <c:pt idx="0">
                  <c:v>1</c:v>
                </c:pt>
              </c:numLit>
            </c:minus>
            <c:spPr>
              <a:noFill/>
              <a:ln w="12700" cap="flat" cmpd="sng" algn="ctr">
                <a:solidFill>
                  <a:sysClr val="windowText" lastClr="000000"/>
                </a:solidFill>
                <a:round/>
              </a:ln>
              <a:effectLst/>
            </c:spPr>
          </c:errBars>
          <c:cat>
            <c:strRef>
              <c:f>'waktu larut'!$B$6:$B$12</c:f>
              <c:strCache>
                <c:ptCount val="7"/>
                <c:pt idx="0">
                  <c:v>K</c:v>
                </c:pt>
                <c:pt idx="1">
                  <c:v>F1</c:v>
                </c:pt>
                <c:pt idx="2">
                  <c:v>F2</c:v>
                </c:pt>
                <c:pt idx="3">
                  <c:v>F3</c:v>
                </c:pt>
                <c:pt idx="4">
                  <c:v>F4</c:v>
                </c:pt>
                <c:pt idx="5">
                  <c:v>F5</c:v>
                </c:pt>
                <c:pt idx="6">
                  <c:v>F6</c:v>
                </c:pt>
              </c:strCache>
            </c:strRef>
          </c:cat>
          <c:val>
            <c:numRef>
              <c:f>'waktu larut'!$C$6:$C$12</c:f>
              <c:numCache>
                <c:formatCode>General</c:formatCode>
                <c:ptCount val="7"/>
                <c:pt idx="0">
                  <c:v>94.33</c:v>
                </c:pt>
                <c:pt idx="1">
                  <c:v>217</c:v>
                </c:pt>
                <c:pt idx="2">
                  <c:v>346.33</c:v>
                </c:pt>
                <c:pt idx="3">
                  <c:v>347.33</c:v>
                </c:pt>
                <c:pt idx="4">
                  <c:v>129.33000000000001</c:v>
                </c:pt>
                <c:pt idx="5">
                  <c:v>149.66999999999999</c:v>
                </c:pt>
                <c:pt idx="6">
                  <c:v>173.33</c:v>
                </c:pt>
              </c:numCache>
            </c:numRef>
          </c:val>
          <c:extLst>
            <c:ext xmlns:c16="http://schemas.microsoft.com/office/drawing/2014/chart" uri="{C3380CC4-5D6E-409C-BE32-E72D297353CC}">
              <c16:uniqueId val="{0000000D-D41E-4097-ADA3-68C85BD3E1B6}"/>
            </c:ext>
          </c:extLst>
        </c:ser>
        <c:dLbls>
          <c:dLblPos val="outEnd"/>
          <c:showLegendKey val="0"/>
          <c:showVal val="1"/>
          <c:showCatName val="0"/>
          <c:showSerName val="0"/>
          <c:showPercent val="0"/>
          <c:showBubbleSize val="0"/>
        </c:dLbls>
        <c:gapWidth val="50"/>
        <c:overlap val="-27"/>
        <c:axId val="1719867664"/>
        <c:axId val="1719851344"/>
      </c:barChart>
      <c:catAx>
        <c:axId val="1719867664"/>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r>
                  <a:rPr lang="en-US" b="1"/>
                  <a:t>Treatment</a:t>
                </a:r>
                <a:endParaRPr lang="id-ID" b="1"/>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crossAx val="1719851344"/>
        <c:crosses val="autoZero"/>
        <c:auto val="1"/>
        <c:lblAlgn val="ctr"/>
        <c:lblOffset val="100"/>
        <c:noMultiLvlLbl val="0"/>
      </c:catAx>
      <c:valAx>
        <c:axId val="1719851344"/>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r>
                  <a:rPr lang="en-ID" b="1"/>
                  <a:t>Dissolution time test (sec)</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2700">
            <a:solidFill>
              <a:sysClr val="windowText" lastClr="000000"/>
            </a:solid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crossAx val="1719867664"/>
        <c:crosses val="autoZero"/>
        <c:crossBetween val="between"/>
        <c:majorUnit val="1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Arial Narrow" panose="020B0606020202030204" pitchFamily="34"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837861443790114"/>
          <c:y val="6.42681859889465E-2"/>
          <c:w val="0.76464659564613247"/>
          <c:h val="0.72193756268271336"/>
        </c:manualLayout>
      </c:layout>
      <c:barChart>
        <c:barDir val="col"/>
        <c:grouping val="clustered"/>
        <c:varyColors val="0"/>
        <c:ser>
          <c:idx val="0"/>
          <c:order val="0"/>
          <c:tx>
            <c:strRef>
              <c:f>pH!$D$6</c:f>
              <c:strCache>
                <c:ptCount val="1"/>
                <c:pt idx="0">
                  <c:v>Rata-rata</c:v>
                </c:pt>
              </c:strCache>
            </c:strRef>
          </c:tx>
          <c:spPr>
            <a:solidFill>
              <a:sysClr val="windowText" lastClr="000000"/>
            </a:solidFill>
            <a:ln>
              <a:noFill/>
            </a:ln>
            <a:effectLst/>
          </c:spPr>
          <c:invertIfNegative val="0"/>
          <c:dPt>
            <c:idx val="1"/>
            <c:invertIfNegative val="0"/>
            <c:bubble3D val="0"/>
            <c:spPr>
              <a:solidFill>
                <a:sysClr val="windowText" lastClr="000000"/>
              </a:solidFill>
              <a:ln>
                <a:noFill/>
              </a:ln>
              <a:effectLst/>
            </c:spPr>
            <c:extLst>
              <c:ext xmlns:c16="http://schemas.microsoft.com/office/drawing/2014/chart" uri="{C3380CC4-5D6E-409C-BE32-E72D297353CC}">
                <c16:uniqueId val="{00000001-0FB9-4EF7-91C0-B97355F24958}"/>
              </c:ext>
            </c:extLst>
          </c:dPt>
          <c:dPt>
            <c:idx val="2"/>
            <c:invertIfNegative val="0"/>
            <c:bubble3D val="0"/>
            <c:spPr>
              <a:solidFill>
                <a:sysClr val="windowText" lastClr="000000"/>
              </a:solidFill>
              <a:ln>
                <a:noFill/>
              </a:ln>
              <a:effectLst/>
            </c:spPr>
            <c:extLst>
              <c:ext xmlns:c16="http://schemas.microsoft.com/office/drawing/2014/chart" uri="{C3380CC4-5D6E-409C-BE32-E72D297353CC}">
                <c16:uniqueId val="{00000003-0FB9-4EF7-91C0-B97355F24958}"/>
              </c:ext>
            </c:extLst>
          </c:dPt>
          <c:dPt>
            <c:idx val="3"/>
            <c:invertIfNegative val="0"/>
            <c:bubble3D val="0"/>
            <c:spPr>
              <a:solidFill>
                <a:sysClr val="windowText" lastClr="000000"/>
              </a:solidFill>
              <a:ln>
                <a:noFill/>
              </a:ln>
              <a:effectLst/>
            </c:spPr>
            <c:extLst>
              <c:ext xmlns:c16="http://schemas.microsoft.com/office/drawing/2014/chart" uri="{C3380CC4-5D6E-409C-BE32-E72D297353CC}">
                <c16:uniqueId val="{00000005-0FB9-4EF7-91C0-B97355F24958}"/>
              </c:ext>
            </c:extLst>
          </c:dPt>
          <c:dPt>
            <c:idx val="4"/>
            <c:invertIfNegative val="0"/>
            <c:bubble3D val="0"/>
            <c:spPr>
              <a:solidFill>
                <a:sysClr val="windowText" lastClr="000000"/>
              </a:solidFill>
              <a:ln>
                <a:noFill/>
              </a:ln>
              <a:effectLst/>
            </c:spPr>
            <c:extLst>
              <c:ext xmlns:c16="http://schemas.microsoft.com/office/drawing/2014/chart" uri="{C3380CC4-5D6E-409C-BE32-E72D297353CC}">
                <c16:uniqueId val="{00000007-0FB9-4EF7-91C0-B97355F24958}"/>
              </c:ext>
            </c:extLst>
          </c:dPt>
          <c:dPt>
            <c:idx val="5"/>
            <c:invertIfNegative val="0"/>
            <c:bubble3D val="0"/>
            <c:spPr>
              <a:solidFill>
                <a:sysClr val="windowText" lastClr="000000"/>
              </a:solidFill>
              <a:ln>
                <a:noFill/>
              </a:ln>
              <a:effectLst/>
            </c:spPr>
            <c:extLst>
              <c:ext xmlns:c16="http://schemas.microsoft.com/office/drawing/2014/chart" uri="{C3380CC4-5D6E-409C-BE32-E72D297353CC}">
                <c16:uniqueId val="{00000009-0FB9-4EF7-91C0-B97355F24958}"/>
              </c:ext>
            </c:extLst>
          </c:dPt>
          <c:dPt>
            <c:idx val="6"/>
            <c:invertIfNegative val="0"/>
            <c:bubble3D val="0"/>
            <c:spPr>
              <a:solidFill>
                <a:sysClr val="windowText" lastClr="000000"/>
              </a:solidFill>
              <a:ln>
                <a:noFill/>
              </a:ln>
              <a:effectLst/>
            </c:spPr>
            <c:extLst>
              <c:ext xmlns:c16="http://schemas.microsoft.com/office/drawing/2014/chart" uri="{C3380CC4-5D6E-409C-BE32-E72D297353CC}">
                <c16:uniqueId val="{0000000B-0FB9-4EF7-91C0-B97355F24958}"/>
              </c:ext>
            </c:extLst>
          </c:dPt>
          <c:dLbls>
            <c:dLbl>
              <c:idx val="0"/>
              <c:tx>
                <c:rich>
                  <a:bodyPr/>
                  <a:lstStyle/>
                  <a:p>
                    <a:fld id="{659403A1-9959-4BAC-B96A-61CB08EF253C}" type="CELLREF">
                      <a:rPr lang="en-US"/>
                      <a:pPr/>
                      <a:t>[CELLREF]</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dlblFTEntry>
                      <c15:txfldGUID>{659403A1-9959-4BAC-B96A-61CB08EF253C}</c15:txfldGUID>
                      <c15:f>'[GRAFIK DATA NEW.xlsx]pH'!$D$28</c15:f>
                      <c15:dlblFieldTableCache>
                        <c:ptCount val="1"/>
                        <c:pt idx="0">
                          <c:v>bc</c:v>
                        </c:pt>
                      </c15:dlblFieldTableCache>
                    </c15:dlblFTEntry>
                  </c15:dlblFieldTable>
                  <c15:showDataLabelsRange val="0"/>
                </c:ext>
                <c:ext xmlns:c16="http://schemas.microsoft.com/office/drawing/2014/chart" uri="{C3380CC4-5D6E-409C-BE32-E72D297353CC}">
                  <c16:uniqueId val="{0000000C-0FB9-4EF7-91C0-B97355F24958}"/>
                </c:ext>
              </c:extLst>
            </c:dLbl>
            <c:dLbl>
              <c:idx val="1"/>
              <c:tx>
                <c:rich>
                  <a:bodyPr/>
                  <a:lstStyle/>
                  <a:p>
                    <a:fld id="{9D76AEAA-DA5F-424E-BC89-766EF047C78C}" type="CELLREF">
                      <a:rPr lang="en-US"/>
                      <a:pPr/>
                      <a:t>[CELLREF]</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dlblFTEntry>
                      <c15:txfldGUID>{9D76AEAA-DA5F-424E-BC89-766EF047C78C}</c15:txfldGUID>
                      <c15:f>'[GRAFIK DATA NEW.xlsx]pH'!$D$29</c15:f>
                      <c15:dlblFieldTableCache>
                        <c:ptCount val="1"/>
                        <c:pt idx="0">
                          <c:v>c</c:v>
                        </c:pt>
                      </c15:dlblFieldTableCache>
                    </c15:dlblFTEntry>
                  </c15:dlblFieldTable>
                  <c15:showDataLabelsRange val="0"/>
                </c:ext>
                <c:ext xmlns:c16="http://schemas.microsoft.com/office/drawing/2014/chart" uri="{C3380CC4-5D6E-409C-BE32-E72D297353CC}">
                  <c16:uniqueId val="{00000001-0FB9-4EF7-91C0-B97355F24958}"/>
                </c:ext>
              </c:extLst>
            </c:dLbl>
            <c:dLbl>
              <c:idx val="2"/>
              <c:tx>
                <c:rich>
                  <a:bodyPr/>
                  <a:lstStyle/>
                  <a:p>
                    <a:fld id="{06E560EC-2680-416B-8040-F0448634D2A9}" type="CELLREF">
                      <a:rPr lang="en-US"/>
                      <a:pPr/>
                      <a:t>[CELLREF]</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dlblFTEntry>
                      <c15:txfldGUID>{06E560EC-2680-416B-8040-F0448634D2A9}</c15:txfldGUID>
                      <c15:f>'[GRAFIK DATA NEW.xlsx]pH'!$D$30</c15:f>
                      <c15:dlblFieldTableCache>
                        <c:ptCount val="1"/>
                        <c:pt idx="0">
                          <c:v>c</c:v>
                        </c:pt>
                      </c15:dlblFieldTableCache>
                    </c15:dlblFTEntry>
                  </c15:dlblFieldTable>
                  <c15:showDataLabelsRange val="0"/>
                </c:ext>
                <c:ext xmlns:c16="http://schemas.microsoft.com/office/drawing/2014/chart" uri="{C3380CC4-5D6E-409C-BE32-E72D297353CC}">
                  <c16:uniqueId val="{00000003-0FB9-4EF7-91C0-B97355F24958}"/>
                </c:ext>
              </c:extLst>
            </c:dLbl>
            <c:dLbl>
              <c:idx val="3"/>
              <c:tx>
                <c:rich>
                  <a:bodyPr/>
                  <a:lstStyle/>
                  <a:p>
                    <a:fld id="{1734A538-D1C7-49F3-80FC-2599097A79F0}" type="CELLREF">
                      <a:rPr lang="en-US"/>
                      <a:pPr/>
                      <a:t>[CELLREF]</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dlblFTEntry>
                      <c15:txfldGUID>{1734A538-D1C7-49F3-80FC-2599097A79F0}</c15:txfldGUID>
                      <c15:f>'[GRAFIK DATA NEW.xlsx]pH'!$D$31</c15:f>
                      <c15:dlblFieldTableCache>
                        <c:ptCount val="1"/>
                        <c:pt idx="0">
                          <c:v>d</c:v>
                        </c:pt>
                      </c15:dlblFieldTableCache>
                    </c15:dlblFTEntry>
                  </c15:dlblFieldTable>
                  <c15:showDataLabelsRange val="0"/>
                </c:ext>
                <c:ext xmlns:c16="http://schemas.microsoft.com/office/drawing/2014/chart" uri="{C3380CC4-5D6E-409C-BE32-E72D297353CC}">
                  <c16:uniqueId val="{00000005-0FB9-4EF7-91C0-B97355F24958}"/>
                </c:ext>
              </c:extLst>
            </c:dLbl>
            <c:dLbl>
              <c:idx val="4"/>
              <c:tx>
                <c:rich>
                  <a:bodyPr/>
                  <a:lstStyle/>
                  <a:p>
                    <a:fld id="{D206E57E-EC37-4024-A0D2-46F26F5F4401}" type="CELLREF">
                      <a:rPr lang="en-US"/>
                      <a:pPr/>
                      <a:t>[CELLREF]</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dlblFTEntry>
                      <c15:txfldGUID>{D206E57E-EC37-4024-A0D2-46F26F5F4401}</c15:txfldGUID>
                      <c15:f>'[GRAFIK DATA NEW.xlsx]pH'!$D$32</c15:f>
                      <c15:dlblFieldTableCache>
                        <c:ptCount val="1"/>
                        <c:pt idx="0">
                          <c:v>a</c:v>
                        </c:pt>
                      </c15:dlblFieldTableCache>
                    </c15:dlblFTEntry>
                  </c15:dlblFieldTable>
                  <c15:showDataLabelsRange val="0"/>
                </c:ext>
                <c:ext xmlns:c16="http://schemas.microsoft.com/office/drawing/2014/chart" uri="{C3380CC4-5D6E-409C-BE32-E72D297353CC}">
                  <c16:uniqueId val="{00000007-0FB9-4EF7-91C0-B97355F24958}"/>
                </c:ext>
              </c:extLst>
            </c:dLbl>
            <c:dLbl>
              <c:idx val="5"/>
              <c:tx>
                <c:rich>
                  <a:bodyPr/>
                  <a:lstStyle/>
                  <a:p>
                    <a:fld id="{2DC812CF-A606-4F87-AC15-9B620AA283DF}" type="CELLREF">
                      <a:rPr lang="en-US"/>
                      <a:pPr/>
                      <a:t>[CELLREF]</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dlblFTEntry>
                      <c15:txfldGUID>{2DC812CF-A606-4F87-AC15-9B620AA283DF}</c15:txfldGUID>
                      <c15:f>'[GRAFIK DATA NEW.xlsx]pH'!$D$33</c15:f>
                      <c15:dlblFieldTableCache>
                        <c:ptCount val="1"/>
                        <c:pt idx="0">
                          <c:v>b</c:v>
                        </c:pt>
                      </c15:dlblFieldTableCache>
                    </c15:dlblFTEntry>
                  </c15:dlblFieldTable>
                  <c15:showDataLabelsRange val="0"/>
                </c:ext>
                <c:ext xmlns:c16="http://schemas.microsoft.com/office/drawing/2014/chart" uri="{C3380CC4-5D6E-409C-BE32-E72D297353CC}">
                  <c16:uniqueId val="{00000009-0FB9-4EF7-91C0-B97355F24958}"/>
                </c:ext>
              </c:extLst>
            </c:dLbl>
            <c:dLbl>
              <c:idx val="6"/>
              <c:tx>
                <c:rich>
                  <a:bodyPr/>
                  <a:lstStyle/>
                  <a:p>
                    <a:fld id="{ADAC6391-686D-4550-B85D-8695707E9D54}" type="CELLREF">
                      <a:rPr lang="en-US"/>
                      <a:pPr/>
                      <a:t>[CELLREF]</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dlblFTEntry>
                      <c15:txfldGUID>{ADAC6391-686D-4550-B85D-8695707E9D54}</c15:txfldGUID>
                      <c15:f>'[GRAFIK DATA NEW.xlsx]pH'!$D$34</c15:f>
                      <c15:dlblFieldTableCache>
                        <c:ptCount val="1"/>
                        <c:pt idx="0">
                          <c:v>b</c:v>
                        </c:pt>
                      </c15:dlblFieldTableCache>
                    </c15:dlblFTEntry>
                  </c15:dlblFieldTable>
                  <c15:showDataLabelsRange val="0"/>
                </c:ext>
                <c:ext xmlns:c16="http://schemas.microsoft.com/office/drawing/2014/chart" uri="{C3380CC4-5D6E-409C-BE32-E72D297353CC}">
                  <c16:uniqueId val="{0000000B-0FB9-4EF7-91C0-B97355F24958}"/>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pH!$D$18:$D$24</c:f>
                <c:numCache>
                  <c:formatCode>General</c:formatCode>
                  <c:ptCount val="7"/>
                  <c:pt idx="0">
                    <c:v>2.0000000000000018E-2</c:v>
                  </c:pt>
                  <c:pt idx="1">
                    <c:v>0.11503622617824907</c:v>
                  </c:pt>
                  <c:pt idx="2">
                    <c:v>4.1633319989322765E-2</c:v>
                  </c:pt>
                  <c:pt idx="3">
                    <c:v>4.9999999999999822E-2</c:v>
                  </c:pt>
                  <c:pt idx="4">
                    <c:v>6.2449979983984001E-2</c:v>
                  </c:pt>
                  <c:pt idx="5">
                    <c:v>6.0827625302981921E-2</c:v>
                  </c:pt>
                  <c:pt idx="6">
                    <c:v>4.1633319989322765E-2</c:v>
                  </c:pt>
                </c:numCache>
              </c:numRef>
            </c:plus>
            <c:minus>
              <c:numLit>
                <c:formatCode>General</c:formatCode>
                <c:ptCount val="1"/>
                <c:pt idx="0">
                  <c:v>1</c:v>
                </c:pt>
              </c:numLit>
            </c:minus>
            <c:spPr>
              <a:noFill/>
              <a:ln w="12700" cap="flat" cmpd="sng" algn="ctr">
                <a:solidFill>
                  <a:sysClr val="windowText" lastClr="000000">
                    <a:alpha val="97000"/>
                  </a:sysClr>
                </a:solidFill>
                <a:round/>
              </a:ln>
              <a:effectLst/>
            </c:spPr>
          </c:errBars>
          <c:cat>
            <c:strRef>
              <c:f>pH!$C$7:$C$13</c:f>
              <c:strCache>
                <c:ptCount val="7"/>
                <c:pt idx="0">
                  <c:v>K</c:v>
                </c:pt>
                <c:pt idx="1">
                  <c:v>F1</c:v>
                </c:pt>
                <c:pt idx="2">
                  <c:v>F2</c:v>
                </c:pt>
                <c:pt idx="3">
                  <c:v>F3</c:v>
                </c:pt>
                <c:pt idx="4">
                  <c:v>F4</c:v>
                </c:pt>
                <c:pt idx="5">
                  <c:v>F5</c:v>
                </c:pt>
                <c:pt idx="6">
                  <c:v>F6</c:v>
                </c:pt>
              </c:strCache>
            </c:strRef>
          </c:cat>
          <c:val>
            <c:numRef>
              <c:f>pH!$D$7:$D$13</c:f>
              <c:numCache>
                <c:formatCode>###0.00</c:formatCode>
                <c:ptCount val="7"/>
                <c:pt idx="0">
                  <c:v>6.9233333333333329</c:v>
                </c:pt>
                <c:pt idx="1">
                  <c:v>6.9833333333333334</c:v>
                </c:pt>
                <c:pt idx="2">
                  <c:v>7.0666666666666664</c:v>
                </c:pt>
                <c:pt idx="3">
                  <c:v>7.38</c:v>
                </c:pt>
                <c:pt idx="4">
                  <c:v>6.8</c:v>
                </c:pt>
                <c:pt idx="5">
                  <c:v>6.56</c:v>
                </c:pt>
                <c:pt idx="6">
                  <c:v>6.8166666666666664</c:v>
                </c:pt>
              </c:numCache>
            </c:numRef>
          </c:val>
          <c:extLst>
            <c:ext xmlns:c16="http://schemas.microsoft.com/office/drawing/2014/chart" uri="{C3380CC4-5D6E-409C-BE32-E72D297353CC}">
              <c16:uniqueId val="{0000000D-0FB9-4EF7-91C0-B97355F24958}"/>
            </c:ext>
          </c:extLst>
        </c:ser>
        <c:dLbls>
          <c:dLblPos val="outEnd"/>
          <c:showLegendKey val="0"/>
          <c:showVal val="1"/>
          <c:showCatName val="0"/>
          <c:showSerName val="0"/>
          <c:showPercent val="0"/>
          <c:showBubbleSize val="0"/>
        </c:dLbls>
        <c:gapWidth val="50"/>
        <c:overlap val="-27"/>
        <c:axId val="1719856144"/>
        <c:axId val="1719853264"/>
      </c:barChart>
      <c:catAx>
        <c:axId val="1719856144"/>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r>
                  <a:rPr lang="en-US" b="1"/>
                  <a:t>Treatment</a:t>
                </a:r>
                <a:endParaRPr lang="id-ID" b="1"/>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crossAx val="1719853264"/>
        <c:crosses val="autoZero"/>
        <c:auto val="1"/>
        <c:lblAlgn val="ctr"/>
        <c:lblOffset val="100"/>
        <c:noMultiLvlLbl val="0"/>
      </c:catAx>
      <c:valAx>
        <c:axId val="1719853264"/>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r>
                  <a:rPr lang="en-ID" b="1"/>
                  <a:t>pH</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title>
        <c:numFmt formatCode="###0.00" sourceLinked="1"/>
        <c:majorTickMark val="out"/>
        <c:minorTickMark val="none"/>
        <c:tickLblPos val="nextTo"/>
        <c:spPr>
          <a:noFill/>
          <a:ln w="12700">
            <a:solidFill>
              <a:sysClr val="windowText" lastClr="000000"/>
            </a:solid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en-US"/>
          </a:p>
        </c:txPr>
        <c:crossAx val="1719856144"/>
        <c:crosses val="autoZero"/>
        <c:crossBetween val="between"/>
        <c:majorUnit val="0.4"/>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Arial Narrow" panose="020B0606020202030204" pitchFamily="34" charset="0"/>
          <a:cs typeface="Times New Roman" panose="0202060305040502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626513678455229"/>
          <c:y val="0.21260841337750327"/>
          <c:w val="0.42761548556430445"/>
          <c:h val="0.71269247594050744"/>
        </c:manualLayout>
      </c:layout>
      <c:radarChart>
        <c:radarStyle val="marker"/>
        <c:varyColors val="0"/>
        <c:ser>
          <c:idx val="0"/>
          <c:order val="0"/>
          <c:tx>
            <c:strRef>
              <c:f>HEDONIK!$D$7</c:f>
              <c:strCache>
                <c:ptCount val="1"/>
                <c:pt idx="0">
                  <c:v>K</c:v>
                </c:pt>
              </c:strCache>
            </c:strRef>
          </c:tx>
          <c:spPr>
            <a:ln w="28575" cap="rnd">
              <a:solidFill>
                <a:schemeClr val="accent1"/>
              </a:solidFill>
              <a:round/>
            </a:ln>
            <a:effectLst/>
          </c:spPr>
          <c:marker>
            <c:symbol val="none"/>
          </c:marker>
          <c:cat>
            <c:strRef>
              <c:f>HEDONIK!$E$6:$I$6</c:f>
              <c:strCache>
                <c:ptCount val="5"/>
                <c:pt idx="0">
                  <c:v>Color</c:v>
                </c:pt>
                <c:pt idx="1">
                  <c:v>Aroma</c:v>
                </c:pt>
                <c:pt idx="2">
                  <c:v>Taste</c:v>
                </c:pt>
                <c:pt idx="3">
                  <c:v>Texture</c:v>
                </c:pt>
                <c:pt idx="4">
                  <c:v>Overall Acceptability</c:v>
                </c:pt>
              </c:strCache>
            </c:strRef>
          </c:cat>
          <c:val>
            <c:numRef>
              <c:f>HEDONIK!$E$7:$I$7</c:f>
              <c:numCache>
                <c:formatCode>0.00</c:formatCode>
                <c:ptCount val="5"/>
                <c:pt idx="0">
                  <c:v>4.9000000000000004</c:v>
                </c:pt>
                <c:pt idx="1">
                  <c:v>4.5333333333333332</c:v>
                </c:pt>
                <c:pt idx="2">
                  <c:v>4.5999999999999996</c:v>
                </c:pt>
                <c:pt idx="3">
                  <c:v>4.0999999999999996</c:v>
                </c:pt>
                <c:pt idx="4">
                  <c:v>5.5333333333333332</c:v>
                </c:pt>
              </c:numCache>
            </c:numRef>
          </c:val>
          <c:extLst>
            <c:ext xmlns:c16="http://schemas.microsoft.com/office/drawing/2014/chart" uri="{C3380CC4-5D6E-409C-BE32-E72D297353CC}">
              <c16:uniqueId val="{00000000-F027-43A3-9A86-58D8198693FF}"/>
            </c:ext>
          </c:extLst>
        </c:ser>
        <c:ser>
          <c:idx val="1"/>
          <c:order val="1"/>
          <c:tx>
            <c:strRef>
              <c:f>HEDONIK!$D$8</c:f>
              <c:strCache>
                <c:ptCount val="1"/>
                <c:pt idx="0">
                  <c:v>F1</c:v>
                </c:pt>
              </c:strCache>
            </c:strRef>
          </c:tx>
          <c:spPr>
            <a:ln w="28575" cap="rnd">
              <a:solidFill>
                <a:schemeClr val="accent2"/>
              </a:solidFill>
              <a:round/>
            </a:ln>
            <a:effectLst/>
          </c:spPr>
          <c:marker>
            <c:symbol val="none"/>
          </c:marker>
          <c:cat>
            <c:strRef>
              <c:f>HEDONIK!$E$6:$I$6</c:f>
              <c:strCache>
                <c:ptCount val="5"/>
                <c:pt idx="0">
                  <c:v>Color</c:v>
                </c:pt>
                <c:pt idx="1">
                  <c:v>Aroma</c:v>
                </c:pt>
                <c:pt idx="2">
                  <c:v>Taste</c:v>
                </c:pt>
                <c:pt idx="3">
                  <c:v>Texture</c:v>
                </c:pt>
                <c:pt idx="4">
                  <c:v>Overall Acceptability</c:v>
                </c:pt>
              </c:strCache>
            </c:strRef>
          </c:cat>
          <c:val>
            <c:numRef>
              <c:f>HEDONIK!$E$8:$I$8</c:f>
              <c:numCache>
                <c:formatCode>0.00</c:formatCode>
                <c:ptCount val="5"/>
                <c:pt idx="0">
                  <c:v>4.666666666666667</c:v>
                </c:pt>
                <c:pt idx="1">
                  <c:v>5.6</c:v>
                </c:pt>
                <c:pt idx="2">
                  <c:v>5.0333333333333332</c:v>
                </c:pt>
                <c:pt idx="3">
                  <c:v>4.833333333333333</c:v>
                </c:pt>
                <c:pt idx="4">
                  <c:v>4.9333333333333336</c:v>
                </c:pt>
              </c:numCache>
            </c:numRef>
          </c:val>
          <c:extLst>
            <c:ext xmlns:c16="http://schemas.microsoft.com/office/drawing/2014/chart" uri="{C3380CC4-5D6E-409C-BE32-E72D297353CC}">
              <c16:uniqueId val="{00000001-F027-43A3-9A86-58D8198693FF}"/>
            </c:ext>
          </c:extLst>
        </c:ser>
        <c:ser>
          <c:idx val="2"/>
          <c:order val="2"/>
          <c:tx>
            <c:strRef>
              <c:f>HEDONIK!$D$9</c:f>
              <c:strCache>
                <c:ptCount val="1"/>
                <c:pt idx="0">
                  <c:v>F2</c:v>
                </c:pt>
              </c:strCache>
            </c:strRef>
          </c:tx>
          <c:spPr>
            <a:ln w="28575" cap="rnd">
              <a:solidFill>
                <a:schemeClr val="accent3"/>
              </a:solidFill>
              <a:round/>
            </a:ln>
            <a:effectLst/>
          </c:spPr>
          <c:marker>
            <c:symbol val="none"/>
          </c:marker>
          <c:cat>
            <c:strRef>
              <c:f>HEDONIK!$E$6:$I$6</c:f>
              <c:strCache>
                <c:ptCount val="5"/>
                <c:pt idx="0">
                  <c:v>Color</c:v>
                </c:pt>
                <c:pt idx="1">
                  <c:v>Aroma</c:v>
                </c:pt>
                <c:pt idx="2">
                  <c:v>Taste</c:v>
                </c:pt>
                <c:pt idx="3">
                  <c:v>Texture</c:v>
                </c:pt>
                <c:pt idx="4">
                  <c:v>Overall Acceptability</c:v>
                </c:pt>
              </c:strCache>
            </c:strRef>
          </c:cat>
          <c:val>
            <c:numRef>
              <c:f>HEDONIK!$E$9:$I$9</c:f>
              <c:numCache>
                <c:formatCode>0.00</c:formatCode>
                <c:ptCount val="5"/>
                <c:pt idx="0">
                  <c:v>4.0666666666666664</c:v>
                </c:pt>
                <c:pt idx="1">
                  <c:v>4.8</c:v>
                </c:pt>
                <c:pt idx="2">
                  <c:v>4.5333333333333332</c:v>
                </c:pt>
                <c:pt idx="3">
                  <c:v>5.6</c:v>
                </c:pt>
                <c:pt idx="4">
                  <c:v>4.5999999999999996</c:v>
                </c:pt>
              </c:numCache>
            </c:numRef>
          </c:val>
          <c:extLst>
            <c:ext xmlns:c16="http://schemas.microsoft.com/office/drawing/2014/chart" uri="{C3380CC4-5D6E-409C-BE32-E72D297353CC}">
              <c16:uniqueId val="{00000002-F027-43A3-9A86-58D8198693FF}"/>
            </c:ext>
          </c:extLst>
        </c:ser>
        <c:ser>
          <c:idx val="3"/>
          <c:order val="3"/>
          <c:tx>
            <c:strRef>
              <c:f>HEDONIK!$D$10</c:f>
              <c:strCache>
                <c:ptCount val="1"/>
                <c:pt idx="0">
                  <c:v>F3</c:v>
                </c:pt>
              </c:strCache>
            </c:strRef>
          </c:tx>
          <c:spPr>
            <a:ln w="28575" cap="rnd">
              <a:solidFill>
                <a:schemeClr val="accent4"/>
              </a:solidFill>
              <a:round/>
            </a:ln>
            <a:effectLst/>
          </c:spPr>
          <c:marker>
            <c:symbol val="none"/>
          </c:marker>
          <c:cat>
            <c:strRef>
              <c:f>HEDONIK!$E$6:$I$6</c:f>
              <c:strCache>
                <c:ptCount val="5"/>
                <c:pt idx="0">
                  <c:v>Color</c:v>
                </c:pt>
                <c:pt idx="1">
                  <c:v>Aroma</c:v>
                </c:pt>
                <c:pt idx="2">
                  <c:v>Taste</c:v>
                </c:pt>
                <c:pt idx="3">
                  <c:v>Texture</c:v>
                </c:pt>
                <c:pt idx="4">
                  <c:v>Overall Acceptability</c:v>
                </c:pt>
              </c:strCache>
            </c:strRef>
          </c:cat>
          <c:val>
            <c:numRef>
              <c:f>HEDONIK!$E$10:$I$10</c:f>
              <c:numCache>
                <c:formatCode>0.00</c:formatCode>
                <c:ptCount val="5"/>
                <c:pt idx="0">
                  <c:v>5.666666666666667</c:v>
                </c:pt>
                <c:pt idx="1">
                  <c:v>4.9666666666666668</c:v>
                </c:pt>
                <c:pt idx="2">
                  <c:v>4.3666666666666663</c:v>
                </c:pt>
                <c:pt idx="3">
                  <c:v>4.7666666666666666</c:v>
                </c:pt>
                <c:pt idx="4">
                  <c:v>4.2333333333333334</c:v>
                </c:pt>
              </c:numCache>
            </c:numRef>
          </c:val>
          <c:extLst>
            <c:ext xmlns:c16="http://schemas.microsoft.com/office/drawing/2014/chart" uri="{C3380CC4-5D6E-409C-BE32-E72D297353CC}">
              <c16:uniqueId val="{00000003-F027-43A3-9A86-58D8198693FF}"/>
            </c:ext>
          </c:extLst>
        </c:ser>
        <c:ser>
          <c:idx val="4"/>
          <c:order val="4"/>
          <c:tx>
            <c:strRef>
              <c:f>HEDONIK!$D$11</c:f>
              <c:strCache>
                <c:ptCount val="1"/>
                <c:pt idx="0">
                  <c:v>F4</c:v>
                </c:pt>
              </c:strCache>
            </c:strRef>
          </c:tx>
          <c:spPr>
            <a:ln w="28575" cap="rnd">
              <a:solidFill>
                <a:schemeClr val="accent5"/>
              </a:solidFill>
              <a:round/>
            </a:ln>
            <a:effectLst/>
          </c:spPr>
          <c:marker>
            <c:symbol val="none"/>
          </c:marker>
          <c:cat>
            <c:strRef>
              <c:f>HEDONIK!$E$6:$I$6</c:f>
              <c:strCache>
                <c:ptCount val="5"/>
                <c:pt idx="0">
                  <c:v>Color</c:v>
                </c:pt>
                <c:pt idx="1">
                  <c:v>Aroma</c:v>
                </c:pt>
                <c:pt idx="2">
                  <c:v>Taste</c:v>
                </c:pt>
                <c:pt idx="3">
                  <c:v>Texture</c:v>
                </c:pt>
                <c:pt idx="4">
                  <c:v>Overall Acceptability</c:v>
                </c:pt>
              </c:strCache>
            </c:strRef>
          </c:cat>
          <c:val>
            <c:numRef>
              <c:f>HEDONIK!$E$11:$I$11</c:f>
              <c:numCache>
                <c:formatCode>0.00</c:formatCode>
                <c:ptCount val="5"/>
                <c:pt idx="0">
                  <c:v>4.8666666666666663</c:v>
                </c:pt>
                <c:pt idx="1">
                  <c:v>4.5666666666666664</c:v>
                </c:pt>
                <c:pt idx="2">
                  <c:v>5.5666666666666664</c:v>
                </c:pt>
                <c:pt idx="3">
                  <c:v>4.7</c:v>
                </c:pt>
                <c:pt idx="4">
                  <c:v>4.3</c:v>
                </c:pt>
              </c:numCache>
            </c:numRef>
          </c:val>
          <c:extLst>
            <c:ext xmlns:c16="http://schemas.microsoft.com/office/drawing/2014/chart" uri="{C3380CC4-5D6E-409C-BE32-E72D297353CC}">
              <c16:uniqueId val="{00000004-F027-43A3-9A86-58D8198693FF}"/>
            </c:ext>
          </c:extLst>
        </c:ser>
        <c:ser>
          <c:idx val="5"/>
          <c:order val="5"/>
          <c:tx>
            <c:strRef>
              <c:f>HEDONIK!$D$12</c:f>
              <c:strCache>
                <c:ptCount val="1"/>
                <c:pt idx="0">
                  <c:v>F5</c:v>
                </c:pt>
              </c:strCache>
            </c:strRef>
          </c:tx>
          <c:spPr>
            <a:ln w="28575" cap="rnd">
              <a:solidFill>
                <a:schemeClr val="accent6"/>
              </a:solidFill>
              <a:round/>
            </a:ln>
            <a:effectLst/>
          </c:spPr>
          <c:marker>
            <c:symbol val="none"/>
          </c:marker>
          <c:cat>
            <c:strRef>
              <c:f>HEDONIK!$E$6:$I$6</c:f>
              <c:strCache>
                <c:ptCount val="5"/>
                <c:pt idx="0">
                  <c:v>Color</c:v>
                </c:pt>
                <c:pt idx="1">
                  <c:v>Aroma</c:v>
                </c:pt>
                <c:pt idx="2">
                  <c:v>Taste</c:v>
                </c:pt>
                <c:pt idx="3">
                  <c:v>Texture</c:v>
                </c:pt>
                <c:pt idx="4">
                  <c:v>Overall Acceptability</c:v>
                </c:pt>
              </c:strCache>
            </c:strRef>
          </c:cat>
          <c:val>
            <c:numRef>
              <c:f>HEDONIK!$E$12:$I$12</c:f>
              <c:numCache>
                <c:formatCode>0.00</c:formatCode>
                <c:ptCount val="5"/>
                <c:pt idx="0">
                  <c:v>5.166666666666667</c:v>
                </c:pt>
                <c:pt idx="1">
                  <c:v>4.2333333333333334</c:v>
                </c:pt>
                <c:pt idx="2">
                  <c:v>4.7</c:v>
                </c:pt>
                <c:pt idx="3">
                  <c:v>4.5</c:v>
                </c:pt>
                <c:pt idx="4">
                  <c:v>5.7666666666666666</c:v>
                </c:pt>
              </c:numCache>
            </c:numRef>
          </c:val>
          <c:extLst>
            <c:ext xmlns:c16="http://schemas.microsoft.com/office/drawing/2014/chart" uri="{C3380CC4-5D6E-409C-BE32-E72D297353CC}">
              <c16:uniqueId val="{00000005-F027-43A3-9A86-58D8198693FF}"/>
            </c:ext>
          </c:extLst>
        </c:ser>
        <c:ser>
          <c:idx val="6"/>
          <c:order val="6"/>
          <c:tx>
            <c:strRef>
              <c:f>HEDONIK!$D$13</c:f>
              <c:strCache>
                <c:ptCount val="1"/>
                <c:pt idx="0">
                  <c:v>F6</c:v>
                </c:pt>
              </c:strCache>
            </c:strRef>
          </c:tx>
          <c:spPr>
            <a:ln w="28575" cap="rnd">
              <a:solidFill>
                <a:schemeClr val="accent1">
                  <a:lumMod val="60000"/>
                </a:schemeClr>
              </a:solidFill>
              <a:round/>
            </a:ln>
            <a:effectLst/>
          </c:spPr>
          <c:marker>
            <c:symbol val="none"/>
          </c:marker>
          <c:cat>
            <c:strRef>
              <c:f>HEDONIK!$E$6:$I$6</c:f>
              <c:strCache>
                <c:ptCount val="5"/>
                <c:pt idx="0">
                  <c:v>Color</c:v>
                </c:pt>
                <c:pt idx="1">
                  <c:v>Aroma</c:v>
                </c:pt>
                <c:pt idx="2">
                  <c:v>Taste</c:v>
                </c:pt>
                <c:pt idx="3">
                  <c:v>Texture</c:v>
                </c:pt>
                <c:pt idx="4">
                  <c:v>Overall Acceptability</c:v>
                </c:pt>
              </c:strCache>
            </c:strRef>
          </c:cat>
          <c:val>
            <c:numRef>
              <c:f>HEDONIK!$E$13:$I$13</c:f>
              <c:numCache>
                <c:formatCode>0.00</c:formatCode>
                <c:ptCount val="5"/>
                <c:pt idx="0">
                  <c:v>4.8</c:v>
                </c:pt>
                <c:pt idx="1">
                  <c:v>5.6</c:v>
                </c:pt>
                <c:pt idx="2">
                  <c:v>4.7333333333333334</c:v>
                </c:pt>
                <c:pt idx="3">
                  <c:v>4.5333333333333332</c:v>
                </c:pt>
                <c:pt idx="4">
                  <c:v>4.8666666666666663</c:v>
                </c:pt>
              </c:numCache>
            </c:numRef>
          </c:val>
          <c:extLst>
            <c:ext xmlns:c16="http://schemas.microsoft.com/office/drawing/2014/chart" uri="{C3380CC4-5D6E-409C-BE32-E72D297353CC}">
              <c16:uniqueId val="{00000006-F027-43A3-9A86-58D8198693FF}"/>
            </c:ext>
          </c:extLst>
        </c:ser>
        <c:dLbls>
          <c:showLegendKey val="0"/>
          <c:showVal val="0"/>
          <c:showCatName val="0"/>
          <c:showSerName val="0"/>
          <c:showPercent val="0"/>
          <c:showBubbleSize val="0"/>
        </c:dLbls>
        <c:axId val="1633745727"/>
        <c:axId val="1633762527"/>
      </c:radarChart>
      <c:catAx>
        <c:axId val="1633745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mn-cs"/>
              </a:defRPr>
            </a:pPr>
            <a:endParaRPr lang="en-US"/>
          </a:p>
        </c:txPr>
        <c:crossAx val="1633762527"/>
        <c:crosses val="autoZero"/>
        <c:auto val="1"/>
        <c:lblAlgn val="ctr"/>
        <c:lblOffset val="100"/>
        <c:noMultiLvlLbl val="0"/>
      </c:catAx>
      <c:valAx>
        <c:axId val="1633762527"/>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633745727"/>
        <c:crosses val="autoZero"/>
        <c:crossBetween val="between"/>
      </c:valAx>
      <c:spPr>
        <a:noFill/>
        <a:ln>
          <a:noFill/>
        </a:ln>
        <a:effectLst/>
      </c:spPr>
    </c:plotArea>
    <c:legend>
      <c:legendPos val="t"/>
      <c:layout>
        <c:manualLayout>
          <c:xMode val="edge"/>
          <c:yMode val="edge"/>
          <c:x val="0.17259861771557281"/>
          <c:y val="0.92600422832980978"/>
          <c:w val="0.65969274011897661"/>
          <c:h val="7.1353564948144696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Narrow" panose="020B0606020202030204" pitchFamily="34"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0985D-B682-4FD6-9066-BEAED4297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22</Pages>
  <Words>6294</Words>
  <Characters>35882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42092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9</cp:revision>
  <cp:lastPrinted>1999-07-06T11:00:00Z</cp:lastPrinted>
  <dcterms:created xsi:type="dcterms:W3CDTF">2025-11-30T09:08:00Z</dcterms:created>
  <dcterms:modified xsi:type="dcterms:W3CDTF">2025-12-02T11:42:00Z</dcterms:modified>
</cp:coreProperties>
</file>