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451AB" w14:textId="77777777" w:rsidR="00754C9A" w:rsidRDefault="00754C9A" w:rsidP="00441B6F">
      <w:pPr>
        <w:pStyle w:val="Title"/>
        <w:spacing w:after="0"/>
        <w:jc w:val="both"/>
        <w:rPr>
          <w:rFonts w:ascii="Arial" w:hAnsi="Arial" w:cs="Arial"/>
        </w:rPr>
      </w:pPr>
      <w:bookmarkStart w:id="0" w:name="_GoBack"/>
      <w:bookmarkEnd w:id="0"/>
    </w:p>
    <w:p w14:paraId="04C22134" w14:textId="66E053D5" w:rsidR="00E50A5A" w:rsidRDefault="007F2114" w:rsidP="00441B6F">
      <w:pPr>
        <w:pStyle w:val="Author"/>
        <w:spacing w:line="240" w:lineRule="auto"/>
        <w:jc w:val="both"/>
        <w:rPr>
          <w:rFonts w:ascii="Arial" w:hAnsi="Arial" w:cs="Arial"/>
          <w:bCs/>
          <w:iCs/>
          <w:kern w:val="28"/>
          <w:sz w:val="36"/>
        </w:rPr>
      </w:pPr>
      <w:r w:rsidRPr="007F2114">
        <w:rPr>
          <w:rFonts w:ascii="Arial" w:hAnsi="Arial" w:cs="Arial"/>
          <w:bCs/>
          <w:iCs/>
          <w:kern w:val="28"/>
          <w:sz w:val="36"/>
        </w:rPr>
        <w:t xml:space="preserve">Microbial Community Structure and Volatile Flavor Composition of High-Temperature </w:t>
      </w:r>
      <w:proofErr w:type="spellStart"/>
      <w:r w:rsidRPr="007F2114">
        <w:rPr>
          <w:rFonts w:ascii="Arial" w:hAnsi="Arial" w:cs="Arial"/>
          <w:bCs/>
          <w:iCs/>
          <w:kern w:val="28"/>
          <w:sz w:val="36"/>
        </w:rPr>
        <w:t>Daqu</w:t>
      </w:r>
      <w:proofErr w:type="spellEnd"/>
      <w:r w:rsidRPr="007F2114">
        <w:rPr>
          <w:rFonts w:ascii="Arial" w:hAnsi="Arial" w:cs="Arial"/>
          <w:bCs/>
          <w:iCs/>
          <w:kern w:val="28"/>
          <w:sz w:val="36"/>
        </w:rPr>
        <w:t xml:space="preserve"> with Different Colors</w:t>
      </w:r>
    </w:p>
    <w:p w14:paraId="068437AC" w14:textId="77777777" w:rsidR="007F2114" w:rsidRPr="00790ADA" w:rsidRDefault="007F2114" w:rsidP="00441B6F">
      <w:pPr>
        <w:pStyle w:val="Author"/>
        <w:spacing w:line="240" w:lineRule="auto"/>
        <w:jc w:val="both"/>
        <w:rPr>
          <w:rFonts w:ascii="Arial" w:hAnsi="Arial" w:cs="Arial"/>
          <w:sz w:val="36"/>
        </w:rPr>
      </w:pPr>
    </w:p>
    <w:p w14:paraId="6B0910A6" w14:textId="2CF4AC1A" w:rsidR="00790ADA" w:rsidRDefault="00790ADA" w:rsidP="00A6179A">
      <w:pPr>
        <w:pStyle w:val="Affiliation"/>
        <w:spacing w:after="0" w:line="240" w:lineRule="auto"/>
        <w:rPr>
          <w:rFonts w:ascii="Arial" w:hAnsi="Arial" w:cs="Arial"/>
        </w:rPr>
      </w:pPr>
    </w:p>
    <w:p w14:paraId="55D0936F" w14:textId="77777777" w:rsidR="002C57D2" w:rsidRPr="00FB3A86" w:rsidRDefault="002C57D2" w:rsidP="00441B6F">
      <w:pPr>
        <w:pStyle w:val="Affiliation"/>
        <w:spacing w:after="0" w:line="240" w:lineRule="auto"/>
        <w:jc w:val="both"/>
        <w:rPr>
          <w:rFonts w:ascii="Arial" w:hAnsi="Arial" w:cs="Arial"/>
        </w:rPr>
      </w:pPr>
    </w:p>
    <w:p w14:paraId="3DB4EF27" w14:textId="77777777" w:rsidR="00B01FCD" w:rsidRPr="00FB3A86" w:rsidRDefault="00D37B37" w:rsidP="00441B6F">
      <w:pPr>
        <w:pStyle w:val="Copyright"/>
        <w:spacing w:after="0" w:line="240" w:lineRule="auto"/>
        <w:jc w:val="both"/>
        <w:rPr>
          <w:rFonts w:ascii="Arial" w:hAnsi="Arial" w:cs="Arial"/>
        </w:rPr>
        <w:sectPr w:rsidR="00B01FCD" w:rsidRPr="00FB3A86" w:rsidSect="007F67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72EDB2">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477F3C" w14:textId="3697BAA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E919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B195640" w14:textId="77777777" w:rsidTr="001E44FE">
        <w:tc>
          <w:tcPr>
            <w:tcW w:w="9576" w:type="dxa"/>
            <w:shd w:val="clear" w:color="auto" w:fill="F2F2F2"/>
          </w:tcPr>
          <w:p w14:paraId="74ACD98B" w14:textId="77777777" w:rsidR="00E3114E" w:rsidRDefault="00E3114E" w:rsidP="00441B6F">
            <w:pPr>
              <w:pStyle w:val="Body"/>
              <w:spacing w:after="0"/>
              <w:rPr>
                <w:rFonts w:ascii="Arial" w:eastAsia="Calibri" w:hAnsi="Arial" w:cs="Arial"/>
                <w:b/>
                <w:szCs w:val="22"/>
              </w:rPr>
            </w:pPr>
          </w:p>
          <w:p w14:paraId="2622B17E" w14:textId="3538D972"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F2114" w:rsidRPr="007F2114">
              <w:rPr>
                <w:rFonts w:ascii="Arial" w:eastAsia="Calibri" w:hAnsi="Arial" w:cs="Arial"/>
                <w:szCs w:val="22"/>
              </w:rPr>
              <w:t xml:space="preserve">This study aimed to compare white (WQ), black (BQ), and yellow (YQ) high-temperature </w:t>
            </w:r>
            <w:proofErr w:type="spellStart"/>
            <w:r w:rsidR="007F2114" w:rsidRPr="007F2114">
              <w:rPr>
                <w:rFonts w:ascii="Arial" w:eastAsia="Calibri" w:hAnsi="Arial" w:cs="Arial"/>
                <w:szCs w:val="22"/>
              </w:rPr>
              <w:t>Daqu</w:t>
            </w:r>
            <w:proofErr w:type="spellEnd"/>
            <w:r w:rsidR="007F2114" w:rsidRPr="007F2114">
              <w:rPr>
                <w:rFonts w:ascii="Arial" w:eastAsia="Calibri" w:hAnsi="Arial" w:cs="Arial"/>
                <w:szCs w:val="22"/>
              </w:rPr>
              <w:t xml:space="preserve"> to determine how </w:t>
            </w:r>
            <w:r w:rsidR="004D404D">
              <w:rPr>
                <w:rFonts w:ascii="Arial" w:eastAsia="Calibri" w:hAnsi="Arial" w:cs="Arial"/>
                <w:szCs w:val="22"/>
              </w:rPr>
              <w:t>color differences</w:t>
            </w:r>
            <w:r w:rsidR="007F2114" w:rsidRPr="007F2114">
              <w:rPr>
                <w:rFonts w:ascii="Arial" w:eastAsia="Calibri" w:hAnsi="Arial" w:cs="Arial"/>
                <w:szCs w:val="22"/>
              </w:rPr>
              <w:t xml:space="preserve"> correspond to variation in microbial community structure and volatile metabolite profiles, and to elucidate how these factors influence functional performance in Baijiu fermentation.</w:t>
            </w:r>
          </w:p>
          <w:p w14:paraId="3AEAF2D6" w14:textId="77777777" w:rsidR="00E50A5A" w:rsidRPr="00BA1B01" w:rsidRDefault="00E50A5A" w:rsidP="00441B6F">
            <w:pPr>
              <w:pStyle w:val="Body"/>
              <w:spacing w:after="0"/>
              <w:rPr>
                <w:rFonts w:ascii="Arial" w:eastAsia="Calibri" w:hAnsi="Arial" w:cs="Arial"/>
                <w:szCs w:val="22"/>
              </w:rPr>
            </w:pPr>
          </w:p>
          <w:p w14:paraId="1BFFFC54" w14:textId="5EF6A846"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F2114" w:rsidRPr="007F2114">
              <w:rPr>
                <w:rFonts w:ascii="Arial" w:eastAsia="Calibri" w:hAnsi="Arial" w:cs="Arial"/>
                <w:szCs w:val="22"/>
              </w:rPr>
              <w:t xml:space="preserve">This was an experimental, laboratory-based comparative analysis that integrated culture-dependent microbial enumeration, high-throughput sequencing, and volatile profiling to characterize three </w:t>
            </w:r>
            <w:proofErr w:type="spellStart"/>
            <w:r w:rsidR="007F2114" w:rsidRPr="007F2114">
              <w:rPr>
                <w:rFonts w:ascii="Arial" w:eastAsia="Calibri" w:hAnsi="Arial" w:cs="Arial"/>
                <w:szCs w:val="22"/>
              </w:rPr>
              <w:t>Daqu</w:t>
            </w:r>
            <w:proofErr w:type="spellEnd"/>
            <w:r w:rsidR="007F2114" w:rsidRPr="007F2114">
              <w:rPr>
                <w:rFonts w:ascii="Arial" w:eastAsia="Calibri" w:hAnsi="Arial" w:cs="Arial"/>
                <w:szCs w:val="22"/>
              </w:rPr>
              <w:t xml:space="preserve"> types differing in color and fermentation ecology.</w:t>
            </w:r>
          </w:p>
          <w:p w14:paraId="1F2E6D83" w14:textId="77777777" w:rsidR="006872DF" w:rsidRPr="00BA1B01" w:rsidRDefault="006872DF" w:rsidP="00441B6F">
            <w:pPr>
              <w:pStyle w:val="Body"/>
              <w:spacing w:after="0"/>
              <w:rPr>
                <w:rFonts w:ascii="Arial" w:eastAsia="Calibri" w:hAnsi="Arial" w:cs="Arial"/>
                <w:szCs w:val="22"/>
              </w:rPr>
            </w:pPr>
          </w:p>
          <w:p w14:paraId="467FD5EB" w14:textId="60FAC4A0"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F2114" w:rsidRPr="007F2114">
              <w:rPr>
                <w:rFonts w:ascii="Arial" w:eastAsia="Calibri" w:hAnsi="Arial" w:cs="Arial"/>
                <w:szCs w:val="22"/>
              </w:rPr>
              <w:t xml:space="preserve">The study was conducted at the College of Food Science and Nutritional Engineering, China Agricultural University, Beijing, over </w:t>
            </w:r>
            <w:r w:rsidR="004D404D">
              <w:rPr>
                <w:rFonts w:ascii="Arial" w:eastAsia="Calibri" w:hAnsi="Arial" w:cs="Arial"/>
                <w:szCs w:val="22"/>
              </w:rPr>
              <w:t>three months</w:t>
            </w:r>
            <w:r w:rsidR="007F2114" w:rsidRPr="007F2114">
              <w:rPr>
                <w:rFonts w:ascii="Arial" w:eastAsia="Calibri" w:hAnsi="Arial" w:cs="Arial"/>
                <w:szCs w:val="22"/>
              </w:rPr>
              <w:t xml:space="preserve"> from December 2024 to February 2025.</w:t>
            </w:r>
          </w:p>
          <w:p w14:paraId="62767C3F" w14:textId="77777777" w:rsidR="00E50A5A" w:rsidRPr="00BA1B01" w:rsidRDefault="00E50A5A" w:rsidP="00441B6F">
            <w:pPr>
              <w:pStyle w:val="Body"/>
              <w:spacing w:after="0"/>
              <w:rPr>
                <w:rFonts w:ascii="Arial" w:eastAsia="Calibri" w:hAnsi="Arial" w:cs="Arial"/>
                <w:szCs w:val="22"/>
              </w:rPr>
            </w:pPr>
          </w:p>
          <w:p w14:paraId="04B66721" w14:textId="210DFC82" w:rsidR="00E50A5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F2114" w:rsidRPr="007F2114">
              <w:rPr>
                <w:rFonts w:ascii="Arial" w:eastAsia="Calibri" w:hAnsi="Arial" w:cs="Arial"/>
                <w:szCs w:val="22"/>
              </w:rPr>
              <w:t xml:space="preserve">White, black, and yellow </w:t>
            </w:r>
            <w:proofErr w:type="spellStart"/>
            <w:r w:rsidR="007F2114" w:rsidRPr="007F2114">
              <w:rPr>
                <w:rFonts w:ascii="Arial" w:eastAsia="Calibri" w:hAnsi="Arial" w:cs="Arial"/>
                <w:szCs w:val="22"/>
              </w:rPr>
              <w:t>Daqu</w:t>
            </w:r>
            <w:proofErr w:type="spellEnd"/>
            <w:r w:rsidR="007F2114" w:rsidRPr="007F2114">
              <w:rPr>
                <w:rFonts w:ascii="Arial" w:eastAsia="Calibri" w:hAnsi="Arial" w:cs="Arial"/>
                <w:szCs w:val="22"/>
              </w:rPr>
              <w:t xml:space="preserve"> samples were collected and subjected to culture-dependent plate counts, PacBio high-throughput sequencing, and HS-SPME–GC–MS volatile analysis. Microbial abundance, diversity indices, and taxonomic composition were quantified and compared across </w:t>
            </w:r>
            <w:proofErr w:type="spellStart"/>
            <w:r w:rsidR="007F2114" w:rsidRPr="007F2114">
              <w:rPr>
                <w:rFonts w:ascii="Arial" w:eastAsia="Calibri" w:hAnsi="Arial" w:cs="Arial"/>
                <w:szCs w:val="22"/>
              </w:rPr>
              <w:t>Daqu</w:t>
            </w:r>
            <w:proofErr w:type="spellEnd"/>
            <w:r w:rsidR="007F2114" w:rsidRPr="007F2114">
              <w:rPr>
                <w:rFonts w:ascii="Arial" w:eastAsia="Calibri" w:hAnsi="Arial" w:cs="Arial"/>
                <w:szCs w:val="22"/>
              </w:rPr>
              <w:t xml:space="preserve"> types. Volatile compounds were identified and categorized into esters, alcohols, acids, aldehydes, and pyrazines. Microbial</w:t>
            </w:r>
            <w:r w:rsidR="004D404D">
              <w:rPr>
                <w:rFonts w:ascii="Arial" w:eastAsia="Calibri" w:hAnsi="Arial" w:cs="Arial"/>
                <w:szCs w:val="22"/>
              </w:rPr>
              <w:t xml:space="preserve"> </w:t>
            </w:r>
            <w:r w:rsidR="007F2114" w:rsidRPr="007F2114">
              <w:rPr>
                <w:rFonts w:ascii="Arial" w:eastAsia="Calibri" w:hAnsi="Arial" w:cs="Arial"/>
                <w:szCs w:val="22"/>
              </w:rPr>
              <w:t>metabolite correlations were assessed to reveal functional associations between dominant genera and key aroma compounds.</w:t>
            </w:r>
          </w:p>
          <w:p w14:paraId="307ACBB2" w14:textId="77777777" w:rsidR="006872DF" w:rsidRPr="00BA1B01" w:rsidRDefault="006872DF" w:rsidP="00441B6F">
            <w:pPr>
              <w:pStyle w:val="Body"/>
              <w:spacing w:after="0"/>
              <w:rPr>
                <w:rFonts w:ascii="Arial" w:eastAsia="Calibri" w:hAnsi="Arial" w:cs="Arial"/>
                <w:szCs w:val="22"/>
              </w:rPr>
            </w:pPr>
          </w:p>
          <w:p w14:paraId="5509BCC5" w14:textId="00663055" w:rsidR="006872DF"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F2114" w:rsidRPr="007F2114">
              <w:rPr>
                <w:rFonts w:ascii="Arial" w:eastAsia="Calibri" w:hAnsi="Arial" w:cs="Arial"/>
                <w:szCs w:val="22"/>
              </w:rPr>
              <w:t xml:space="preserve">Substantial microbial variation was observed among the </w:t>
            </w:r>
            <w:proofErr w:type="spellStart"/>
            <w:r w:rsidR="007F2114" w:rsidRPr="007F2114">
              <w:rPr>
                <w:rFonts w:ascii="Arial" w:eastAsia="Calibri" w:hAnsi="Arial" w:cs="Arial"/>
                <w:szCs w:val="22"/>
              </w:rPr>
              <w:t>Daqu</w:t>
            </w:r>
            <w:proofErr w:type="spellEnd"/>
            <w:r w:rsidR="007F2114" w:rsidRPr="007F2114">
              <w:rPr>
                <w:rFonts w:ascii="Arial" w:eastAsia="Calibri" w:hAnsi="Arial" w:cs="Arial"/>
                <w:szCs w:val="22"/>
              </w:rPr>
              <w:t xml:space="preserve"> types. WQ exhibited the highest total viable counts, whereas BQ showed reduced microbial abundance, likely attributable to greater thermal stress during maturation. Sequencing identified </w:t>
            </w:r>
            <w:proofErr w:type="spellStart"/>
            <w:r w:rsidR="007F2114" w:rsidRPr="007F2114">
              <w:rPr>
                <w:rFonts w:ascii="Arial" w:eastAsia="Calibri" w:hAnsi="Arial" w:cs="Arial"/>
                <w:szCs w:val="22"/>
              </w:rPr>
              <w:t>Kroppenstedtia</w:t>
            </w:r>
            <w:proofErr w:type="spellEnd"/>
            <w:r w:rsidR="007F2114" w:rsidRPr="007F2114">
              <w:rPr>
                <w:rFonts w:ascii="Arial" w:eastAsia="Calibri" w:hAnsi="Arial" w:cs="Arial"/>
                <w:szCs w:val="22"/>
              </w:rPr>
              <w:t xml:space="preserve">, Bacillus, </w:t>
            </w:r>
            <w:proofErr w:type="spellStart"/>
            <w:r w:rsidR="007F2114" w:rsidRPr="007F2114">
              <w:rPr>
                <w:rFonts w:ascii="Arial" w:eastAsia="Calibri" w:hAnsi="Arial" w:cs="Arial"/>
                <w:szCs w:val="22"/>
              </w:rPr>
              <w:t>Thermoascus</w:t>
            </w:r>
            <w:proofErr w:type="spellEnd"/>
            <w:r w:rsidR="007F2114" w:rsidRPr="007F2114">
              <w:rPr>
                <w:rFonts w:ascii="Arial" w:eastAsia="Calibri" w:hAnsi="Arial" w:cs="Arial"/>
                <w:szCs w:val="22"/>
              </w:rPr>
              <w:t xml:space="preserve">, and </w:t>
            </w:r>
            <w:proofErr w:type="spellStart"/>
            <w:r w:rsidR="007F2114" w:rsidRPr="007F2114">
              <w:rPr>
                <w:rFonts w:ascii="Arial" w:eastAsia="Calibri" w:hAnsi="Arial" w:cs="Arial"/>
                <w:szCs w:val="22"/>
              </w:rPr>
              <w:t>Thermomyces</w:t>
            </w:r>
            <w:proofErr w:type="spellEnd"/>
            <w:r w:rsidR="007F2114" w:rsidRPr="007F2114">
              <w:rPr>
                <w:rFonts w:ascii="Arial" w:eastAsia="Calibri" w:hAnsi="Arial" w:cs="Arial"/>
                <w:szCs w:val="22"/>
              </w:rPr>
              <w:t xml:space="preserve"> as core genera, with </w:t>
            </w:r>
            <w:proofErr w:type="spellStart"/>
            <w:r w:rsidR="007F2114" w:rsidRPr="007F2114">
              <w:rPr>
                <w:rFonts w:ascii="Arial" w:eastAsia="Calibri" w:hAnsi="Arial" w:cs="Arial"/>
                <w:szCs w:val="22"/>
              </w:rPr>
              <w:t>Saccharopolyspora</w:t>
            </w:r>
            <w:proofErr w:type="spellEnd"/>
            <w:r w:rsidR="007F2114" w:rsidRPr="007F2114">
              <w:rPr>
                <w:rFonts w:ascii="Arial" w:eastAsia="Calibri" w:hAnsi="Arial" w:cs="Arial"/>
                <w:szCs w:val="22"/>
              </w:rPr>
              <w:t xml:space="preserve"> enriched specifically in BQ. YQ demonstrated the highest microbial richness and evenness. More than 80 volatile compounds were detected across samples. WQ contained elevated alcohols and pyrazines, YQ showed higher concentrations of organic acids, and BQ exhibited increased esters and aldehydes. Strong positive correlations were observed between dominant microbial taxa and their corresponding volatile classes.</w:t>
            </w:r>
          </w:p>
          <w:p w14:paraId="334E0DC8" w14:textId="77777777" w:rsidR="007F2114" w:rsidRPr="00BA1B01" w:rsidRDefault="007F2114" w:rsidP="00441B6F">
            <w:pPr>
              <w:pStyle w:val="Body"/>
              <w:spacing w:after="0"/>
              <w:rPr>
                <w:rFonts w:ascii="Arial" w:eastAsia="Calibri" w:hAnsi="Arial" w:cs="Arial"/>
                <w:b/>
                <w:bCs/>
                <w:szCs w:val="22"/>
              </w:rPr>
            </w:pPr>
          </w:p>
          <w:p w14:paraId="25EA5DB3" w14:textId="4840F97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roofErr w:type="spellStart"/>
            <w:r w:rsidR="007F2114" w:rsidRPr="007F2114">
              <w:rPr>
                <w:rFonts w:ascii="Arial" w:eastAsia="Calibri" w:hAnsi="Arial" w:cs="Arial"/>
                <w:szCs w:val="22"/>
              </w:rPr>
              <w:t>Daqu</w:t>
            </w:r>
            <w:proofErr w:type="spellEnd"/>
            <w:r w:rsidR="007F2114" w:rsidRPr="007F2114">
              <w:rPr>
                <w:rFonts w:ascii="Arial" w:eastAsia="Calibri" w:hAnsi="Arial" w:cs="Arial"/>
                <w:szCs w:val="22"/>
              </w:rPr>
              <w:t xml:space="preserve"> color reflects distinct microbial and metabolic functional profiles that shape fermentation behavior and aroma development in Baijiu production. Differences in microbial abundance, community structure, and volatile formation highlight the role of </w:t>
            </w:r>
            <w:proofErr w:type="spellStart"/>
            <w:r w:rsidR="007F2114" w:rsidRPr="007F2114">
              <w:rPr>
                <w:rFonts w:ascii="Arial" w:eastAsia="Calibri" w:hAnsi="Arial" w:cs="Arial"/>
                <w:szCs w:val="22"/>
              </w:rPr>
              <w:t>Daqu</w:t>
            </w:r>
            <w:proofErr w:type="spellEnd"/>
            <w:r w:rsidR="007F2114" w:rsidRPr="007F2114">
              <w:rPr>
                <w:rFonts w:ascii="Arial" w:eastAsia="Calibri" w:hAnsi="Arial" w:cs="Arial"/>
                <w:szCs w:val="22"/>
              </w:rPr>
              <w:t xml:space="preserve"> color as an indicator of fermentation potential. These findings provide scientific guidance for </w:t>
            </w:r>
            <w:proofErr w:type="spellStart"/>
            <w:r w:rsidR="007F2114" w:rsidRPr="007F2114">
              <w:rPr>
                <w:rFonts w:ascii="Arial" w:eastAsia="Calibri" w:hAnsi="Arial" w:cs="Arial"/>
                <w:szCs w:val="22"/>
              </w:rPr>
              <w:t>Daqu</w:t>
            </w:r>
            <w:proofErr w:type="spellEnd"/>
            <w:r w:rsidR="007F2114" w:rsidRPr="007F2114">
              <w:rPr>
                <w:rFonts w:ascii="Arial" w:eastAsia="Calibri" w:hAnsi="Arial" w:cs="Arial"/>
                <w:szCs w:val="22"/>
              </w:rPr>
              <w:t xml:space="preserve"> classification, quality control, and targeted flavor optimization.</w:t>
            </w:r>
          </w:p>
        </w:tc>
      </w:tr>
    </w:tbl>
    <w:p w14:paraId="060E8DE6" w14:textId="77777777" w:rsidR="00636EB2" w:rsidRDefault="00636EB2" w:rsidP="00441B6F">
      <w:pPr>
        <w:pStyle w:val="Body"/>
        <w:spacing w:after="0"/>
        <w:rPr>
          <w:rFonts w:ascii="Arial" w:hAnsi="Arial" w:cs="Arial"/>
          <w:i/>
        </w:rPr>
      </w:pPr>
    </w:p>
    <w:p w14:paraId="77667051" w14:textId="67851EDE" w:rsidR="00A24E7E" w:rsidRDefault="00A24E7E" w:rsidP="00441B6F">
      <w:pPr>
        <w:pStyle w:val="Body"/>
        <w:spacing w:after="0"/>
        <w:rPr>
          <w:rFonts w:ascii="Arial" w:hAnsi="Arial" w:cs="Arial"/>
          <w:i/>
        </w:rPr>
      </w:pPr>
      <w:r>
        <w:rPr>
          <w:rFonts w:ascii="Arial" w:hAnsi="Arial" w:cs="Arial"/>
          <w:i/>
        </w:rPr>
        <w:t xml:space="preserve">Keywords: </w:t>
      </w:r>
      <w:proofErr w:type="spellStart"/>
      <w:r w:rsidR="007F2114" w:rsidRPr="007F2114">
        <w:rPr>
          <w:rFonts w:ascii="Arial" w:hAnsi="Arial" w:cs="Arial"/>
          <w:i/>
        </w:rPr>
        <w:t>Daqu</w:t>
      </w:r>
      <w:proofErr w:type="spellEnd"/>
      <w:r w:rsidR="007F2114" w:rsidRPr="007F2114">
        <w:rPr>
          <w:rFonts w:ascii="Arial" w:hAnsi="Arial" w:cs="Arial"/>
          <w:i/>
        </w:rPr>
        <w:t>, microbial diversity, volatile compounds, Baijiu, fermentation quality</w:t>
      </w:r>
    </w:p>
    <w:p w14:paraId="2FEFC35F" w14:textId="77777777" w:rsidR="00790ADA" w:rsidRDefault="00790ADA" w:rsidP="00441B6F">
      <w:pPr>
        <w:pStyle w:val="Body"/>
        <w:spacing w:after="0"/>
        <w:rPr>
          <w:rFonts w:ascii="Arial" w:hAnsi="Arial" w:cs="Arial"/>
          <w:i/>
        </w:rPr>
      </w:pPr>
    </w:p>
    <w:p w14:paraId="0627ED7A" w14:textId="77777777" w:rsidR="0024282C" w:rsidRDefault="0024282C" w:rsidP="00441B6F">
      <w:pPr>
        <w:pStyle w:val="Body"/>
        <w:spacing w:after="0"/>
        <w:rPr>
          <w:rFonts w:ascii="Arial" w:hAnsi="Arial" w:cs="Arial"/>
          <w:i/>
          <w:sz w:val="18"/>
        </w:rPr>
      </w:pPr>
    </w:p>
    <w:p w14:paraId="44CE1519" w14:textId="77777777" w:rsidR="00505F06" w:rsidRPr="00A24E7E" w:rsidRDefault="00505F06" w:rsidP="00441B6F">
      <w:pPr>
        <w:pStyle w:val="Body"/>
        <w:spacing w:after="0"/>
        <w:rPr>
          <w:rFonts w:ascii="Arial" w:hAnsi="Arial" w:cs="Arial"/>
          <w:i/>
        </w:rPr>
      </w:pPr>
    </w:p>
    <w:p w14:paraId="310C2744" w14:textId="0076982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4B249C" w14:textId="77777777" w:rsidR="00790ADA" w:rsidRPr="00FB3A86" w:rsidRDefault="00790ADA" w:rsidP="00441B6F">
      <w:pPr>
        <w:pStyle w:val="AbstHead"/>
        <w:spacing w:after="0"/>
        <w:jc w:val="both"/>
        <w:rPr>
          <w:rFonts w:ascii="Arial" w:hAnsi="Arial" w:cs="Arial"/>
        </w:rPr>
      </w:pPr>
    </w:p>
    <w:p w14:paraId="167DB16B" w14:textId="77777777" w:rsidR="007F2114" w:rsidRPr="007F2114" w:rsidRDefault="007F2114" w:rsidP="007F2114">
      <w:pPr>
        <w:pStyle w:val="Body"/>
        <w:rPr>
          <w:rFonts w:ascii="Arial" w:hAnsi="Arial" w:cs="Arial"/>
        </w:rPr>
      </w:pPr>
      <w:proofErr w:type="spellStart"/>
      <w:r w:rsidRPr="007F2114">
        <w:rPr>
          <w:rFonts w:ascii="Arial" w:hAnsi="Arial" w:cs="Arial"/>
        </w:rPr>
        <w:t>Daqu</w:t>
      </w:r>
      <w:proofErr w:type="spellEnd"/>
      <w:r w:rsidRPr="007F2114">
        <w:rPr>
          <w:rFonts w:ascii="Arial" w:hAnsi="Arial" w:cs="Arial"/>
        </w:rPr>
        <w:t xml:space="preserve"> is the core fermentation starter used in the production of Baijiu, China’s traditional distilled alcoholic beverage (Bai et al., 2024). It plays a pivotal role in shaping the biochemical transitions that occur during fermentation. As a complex, solid-state starter, </w:t>
      </w:r>
      <w:proofErr w:type="spellStart"/>
      <w:r w:rsidRPr="007F2114">
        <w:rPr>
          <w:rFonts w:ascii="Arial" w:hAnsi="Arial" w:cs="Arial"/>
        </w:rPr>
        <w:t>Daqu</w:t>
      </w:r>
      <w:proofErr w:type="spellEnd"/>
      <w:r w:rsidRPr="007F2114">
        <w:rPr>
          <w:rFonts w:ascii="Arial" w:hAnsi="Arial" w:cs="Arial"/>
        </w:rPr>
        <w:t xml:space="preserve"> harbors diverse consortia of bacteria, yeasts, and filamentous fungi that collectively drive the degradation of macromolecules such as starches, proteins, and lipids into fermentable substrates and aroma-active metabolites (Zhong et al., 2024). During its production, raw materials such as wheat undergo a series of microbial successions and thermophilic metabolic reactions under naturally fluctuating environmental conditions (Wu et al., 2024). These processes generate the distinct heat profiles, enzymatic activities, and microbial interactions that ultimately define the quality and functional performance of </w:t>
      </w:r>
      <w:proofErr w:type="spellStart"/>
      <w:r w:rsidRPr="007F2114">
        <w:rPr>
          <w:rFonts w:ascii="Arial" w:hAnsi="Arial" w:cs="Arial"/>
        </w:rPr>
        <w:t>Daqu</w:t>
      </w:r>
      <w:proofErr w:type="spellEnd"/>
      <w:r w:rsidRPr="007F2114">
        <w:rPr>
          <w:rFonts w:ascii="Arial" w:hAnsi="Arial" w:cs="Arial"/>
        </w:rPr>
        <w:t xml:space="preserve"> in Baijiu fermentation.</w:t>
      </w:r>
    </w:p>
    <w:p w14:paraId="6F0C0E5D" w14:textId="77777777" w:rsidR="007F2114" w:rsidRPr="007F2114" w:rsidRDefault="007F2114" w:rsidP="007F2114">
      <w:pPr>
        <w:pStyle w:val="Body"/>
        <w:rPr>
          <w:rFonts w:ascii="Arial" w:hAnsi="Arial" w:cs="Arial"/>
        </w:rPr>
      </w:pPr>
      <w:r w:rsidRPr="007F2114">
        <w:rPr>
          <w:rFonts w:ascii="Arial" w:hAnsi="Arial" w:cs="Arial"/>
        </w:rPr>
        <w:t xml:space="preserve">Traditionally, </w:t>
      </w:r>
      <w:proofErr w:type="spellStart"/>
      <w:r w:rsidRPr="007F2114">
        <w:rPr>
          <w:rFonts w:ascii="Arial" w:hAnsi="Arial" w:cs="Arial"/>
        </w:rPr>
        <w:t>Daqu</w:t>
      </w:r>
      <w:proofErr w:type="spellEnd"/>
      <w:r w:rsidRPr="007F2114">
        <w:rPr>
          <w:rFonts w:ascii="Arial" w:hAnsi="Arial" w:cs="Arial"/>
        </w:rPr>
        <w:t xml:space="preserve"> is categorized by its color, white, yellow, or black, which arises from differences in temperature gradients, humidity levels, oxygen availability, and microbial metabolic intensity during production (Cui et al., 2025). These color types are not merely aesthetic variations but serve as indicators of underlying microbial colonization and biochemical processes. White </w:t>
      </w:r>
      <w:proofErr w:type="spellStart"/>
      <w:r w:rsidRPr="007F2114">
        <w:rPr>
          <w:rFonts w:ascii="Arial" w:hAnsi="Arial" w:cs="Arial"/>
        </w:rPr>
        <w:t>Daqu</w:t>
      </w:r>
      <w:proofErr w:type="spellEnd"/>
      <w:r w:rsidRPr="007F2114">
        <w:rPr>
          <w:rFonts w:ascii="Arial" w:hAnsi="Arial" w:cs="Arial"/>
        </w:rPr>
        <w:t xml:space="preserve"> typically reflects mild fermentation with lower temperature accumulation, yellow </w:t>
      </w:r>
      <w:proofErr w:type="spellStart"/>
      <w:r w:rsidRPr="007F2114">
        <w:rPr>
          <w:rFonts w:ascii="Arial" w:hAnsi="Arial" w:cs="Arial"/>
        </w:rPr>
        <w:t>Daqu</w:t>
      </w:r>
      <w:proofErr w:type="spellEnd"/>
      <w:r w:rsidRPr="007F2114">
        <w:rPr>
          <w:rFonts w:ascii="Arial" w:hAnsi="Arial" w:cs="Arial"/>
        </w:rPr>
        <w:t xml:space="preserve"> results from moderate Maillard reactions and richer enzymatic activities, while black </w:t>
      </w:r>
      <w:proofErr w:type="spellStart"/>
      <w:r w:rsidRPr="007F2114">
        <w:rPr>
          <w:rFonts w:ascii="Arial" w:hAnsi="Arial" w:cs="Arial"/>
        </w:rPr>
        <w:t>Daqu</w:t>
      </w:r>
      <w:proofErr w:type="spellEnd"/>
      <w:r w:rsidRPr="007F2114">
        <w:rPr>
          <w:rFonts w:ascii="Arial" w:hAnsi="Arial" w:cs="Arial"/>
        </w:rPr>
        <w:t xml:space="preserve"> often forms under high-temperature fermentation, carbonization, or intense thermophilic microbial metabolism (Shi et al., 2024; </w:t>
      </w:r>
      <w:proofErr w:type="spellStart"/>
      <w:r w:rsidRPr="007F2114">
        <w:rPr>
          <w:rFonts w:ascii="Arial" w:hAnsi="Arial" w:cs="Arial"/>
        </w:rPr>
        <w:t>Shanqimuge</w:t>
      </w:r>
      <w:proofErr w:type="spellEnd"/>
      <w:r w:rsidRPr="007F2114">
        <w:rPr>
          <w:rFonts w:ascii="Arial" w:hAnsi="Arial" w:cs="Arial"/>
        </w:rPr>
        <w:t xml:space="preserve"> et al., 2025).  Emerging research suggests that these color-related differences correspond to unique microbial assemblages, enzyme profiles, and volatile compound compositions, all of which contribute to Baijiu’s sensory identity (Tang et al., 2024; Zhang et al., 2024).</w:t>
      </w:r>
    </w:p>
    <w:p w14:paraId="3C900457" w14:textId="77777777" w:rsidR="007F2114" w:rsidRPr="007F2114" w:rsidRDefault="007F2114" w:rsidP="007F2114">
      <w:pPr>
        <w:pStyle w:val="Body"/>
        <w:rPr>
          <w:rFonts w:ascii="Arial" w:hAnsi="Arial" w:cs="Arial"/>
        </w:rPr>
      </w:pPr>
      <w:r w:rsidRPr="007F2114">
        <w:rPr>
          <w:rFonts w:ascii="Arial" w:hAnsi="Arial" w:cs="Arial"/>
        </w:rPr>
        <w:t xml:space="preserve">High-temperature </w:t>
      </w:r>
      <w:proofErr w:type="spellStart"/>
      <w:r w:rsidRPr="007F2114">
        <w:rPr>
          <w:rFonts w:ascii="Arial" w:hAnsi="Arial" w:cs="Arial"/>
        </w:rPr>
        <w:t>Daqu</w:t>
      </w:r>
      <w:proofErr w:type="spellEnd"/>
      <w:r w:rsidRPr="007F2114">
        <w:rPr>
          <w:rFonts w:ascii="Arial" w:hAnsi="Arial" w:cs="Arial"/>
        </w:rPr>
        <w:t xml:space="preserve"> (60–65 °C), common in strong-aroma Baijiu production, is particularly enriched in heat-tolerant and thermophilic taxa, including Bacillus, </w:t>
      </w:r>
      <w:proofErr w:type="spellStart"/>
      <w:r w:rsidRPr="007F2114">
        <w:rPr>
          <w:rFonts w:ascii="Arial" w:hAnsi="Arial" w:cs="Arial"/>
        </w:rPr>
        <w:t>Thermoascus</w:t>
      </w:r>
      <w:proofErr w:type="spellEnd"/>
      <w:r w:rsidRPr="007F2114">
        <w:rPr>
          <w:rFonts w:ascii="Arial" w:hAnsi="Arial" w:cs="Arial"/>
        </w:rPr>
        <w:t xml:space="preserve">, </w:t>
      </w:r>
      <w:proofErr w:type="spellStart"/>
      <w:r w:rsidRPr="007F2114">
        <w:rPr>
          <w:rFonts w:ascii="Arial" w:hAnsi="Arial" w:cs="Arial"/>
        </w:rPr>
        <w:t>Lichtheimia</w:t>
      </w:r>
      <w:proofErr w:type="spellEnd"/>
      <w:r w:rsidRPr="007F2114">
        <w:rPr>
          <w:rFonts w:ascii="Arial" w:hAnsi="Arial" w:cs="Arial"/>
        </w:rPr>
        <w:t xml:space="preserve">, Aspergillus, and </w:t>
      </w:r>
      <w:proofErr w:type="spellStart"/>
      <w:r w:rsidRPr="007F2114">
        <w:rPr>
          <w:rFonts w:ascii="Arial" w:hAnsi="Arial" w:cs="Arial"/>
        </w:rPr>
        <w:t>Kroppenstedtia</w:t>
      </w:r>
      <w:proofErr w:type="spellEnd"/>
      <w:r w:rsidRPr="007F2114">
        <w:rPr>
          <w:rFonts w:ascii="Arial" w:hAnsi="Arial" w:cs="Arial"/>
        </w:rPr>
        <w:t xml:space="preserve"> (Shi et al., 2024). These microorganisms secrete abundant hydrolases such as amylases, proteases, </w:t>
      </w:r>
      <w:proofErr w:type="spellStart"/>
      <w:r w:rsidRPr="007F2114">
        <w:rPr>
          <w:rFonts w:ascii="Arial" w:hAnsi="Arial" w:cs="Arial"/>
        </w:rPr>
        <w:t>esterases</w:t>
      </w:r>
      <w:proofErr w:type="spellEnd"/>
      <w:r w:rsidRPr="007F2114">
        <w:rPr>
          <w:rFonts w:ascii="Arial" w:hAnsi="Arial" w:cs="Arial"/>
        </w:rPr>
        <w:t xml:space="preserve">, and glucoamylases that promote starch liquefaction, protein breakdown, and precursor generation for subsequent ethanol and aroma formation. Bacillus species, in particular, contribute to the production of pyrazines and other nitrogen-containing odorants that impart roasted, nutty, or savory notes characteristic of certain </w:t>
      </w:r>
      <w:proofErr w:type="spellStart"/>
      <w:r w:rsidRPr="007F2114">
        <w:rPr>
          <w:rFonts w:ascii="Arial" w:hAnsi="Arial" w:cs="Arial"/>
        </w:rPr>
        <w:t>Daqu</w:t>
      </w:r>
      <w:proofErr w:type="spellEnd"/>
      <w:r w:rsidRPr="007F2114">
        <w:rPr>
          <w:rFonts w:ascii="Arial" w:hAnsi="Arial" w:cs="Arial"/>
        </w:rPr>
        <w:t xml:space="preserve"> types (Lu et al., 2024). Meanwhile, yeasts and molds shape the formation of key alcohols, acids, and esters, thereby influencing aroma complexity and flavor balance (Zhao et al., 2025). Despite the extensive traditional knowledge surrounding </w:t>
      </w:r>
      <w:proofErr w:type="spellStart"/>
      <w:r w:rsidRPr="007F2114">
        <w:rPr>
          <w:rFonts w:ascii="Arial" w:hAnsi="Arial" w:cs="Arial"/>
        </w:rPr>
        <w:t>Daqu</w:t>
      </w:r>
      <w:proofErr w:type="spellEnd"/>
      <w:r w:rsidRPr="007F2114">
        <w:rPr>
          <w:rFonts w:ascii="Arial" w:hAnsi="Arial" w:cs="Arial"/>
        </w:rPr>
        <w:t xml:space="preserve"> color and its perceived quality attributes, detailed scientific mapping of how microbial community structure varies across </w:t>
      </w:r>
      <w:proofErr w:type="spellStart"/>
      <w:r w:rsidRPr="007F2114">
        <w:rPr>
          <w:rFonts w:ascii="Arial" w:hAnsi="Arial" w:cs="Arial"/>
        </w:rPr>
        <w:t>Daqu</w:t>
      </w:r>
      <w:proofErr w:type="spellEnd"/>
      <w:r w:rsidRPr="007F2114">
        <w:rPr>
          <w:rFonts w:ascii="Arial" w:hAnsi="Arial" w:cs="Arial"/>
        </w:rPr>
        <w:t xml:space="preserve"> colors and how these communities drive the production of specific volatile compounds remains incomplete.</w:t>
      </w:r>
    </w:p>
    <w:p w14:paraId="7C034F80" w14:textId="089DC066" w:rsidR="007F2114" w:rsidRPr="007F2114" w:rsidRDefault="007F2114" w:rsidP="007F2114">
      <w:pPr>
        <w:pStyle w:val="Body"/>
        <w:rPr>
          <w:rFonts w:ascii="Arial" w:hAnsi="Arial" w:cs="Arial"/>
        </w:rPr>
      </w:pPr>
      <w:r w:rsidRPr="007F2114">
        <w:rPr>
          <w:rFonts w:ascii="Arial" w:hAnsi="Arial" w:cs="Arial"/>
        </w:rPr>
        <w:t xml:space="preserve">Understanding the microbial ecology of </w:t>
      </w:r>
      <w:proofErr w:type="spellStart"/>
      <w:r w:rsidRPr="007F2114">
        <w:rPr>
          <w:rFonts w:ascii="Arial" w:hAnsi="Arial" w:cs="Arial"/>
        </w:rPr>
        <w:t>Daqu</w:t>
      </w:r>
      <w:proofErr w:type="spellEnd"/>
      <w:r w:rsidRPr="007F2114">
        <w:rPr>
          <w:rFonts w:ascii="Arial" w:hAnsi="Arial" w:cs="Arial"/>
        </w:rPr>
        <w:t xml:space="preserve"> is central to improving Baijiu fermentation quality and consistency. Microbial enumeration provides foundational insight into the abundance and distribution of viable microbial groups within </w:t>
      </w:r>
      <w:proofErr w:type="spellStart"/>
      <w:r w:rsidRPr="007F2114">
        <w:rPr>
          <w:rFonts w:ascii="Arial" w:hAnsi="Arial" w:cs="Arial"/>
        </w:rPr>
        <w:t>Daqu</w:t>
      </w:r>
      <w:proofErr w:type="spellEnd"/>
      <w:r w:rsidRPr="007F2114">
        <w:rPr>
          <w:rFonts w:ascii="Arial" w:hAnsi="Arial" w:cs="Arial"/>
        </w:rPr>
        <w:t>. Total Colony Count (TCC) reflects overall microbial load, while targeted counts of lactic acid bacteria (LAB), yeasts, molds, and Bacillus species offer a quantitative view of functional microbial guilds responsible for acidification, saccharification, alcohol formation, and flavor generation (</w:t>
      </w:r>
      <w:proofErr w:type="spellStart"/>
      <w:r w:rsidRPr="007F2114">
        <w:rPr>
          <w:rFonts w:ascii="Arial" w:hAnsi="Arial" w:cs="Arial"/>
        </w:rPr>
        <w:t>Houngbédji</w:t>
      </w:r>
      <w:proofErr w:type="spellEnd"/>
      <w:r w:rsidRPr="007F2114">
        <w:rPr>
          <w:rFonts w:ascii="Arial" w:hAnsi="Arial" w:cs="Arial"/>
        </w:rPr>
        <w:t xml:space="preserve"> et al., 2018). LAB, for example, contribute to organic acid synthesis, pH regulation, and aroma precursor formation, while yeasts influence ethanol production, ester synthesis, and secondary metabolism (Li Z. et al., 2025).  Molds enhance enzymatic hydrolysis through the secretion of amylases and proteases, and Bacillus species support aroma complexity through amino acid metabolism, peptide cleavage, and the generation of characteristic nitrogenous volatiles (Li Z. et al., 2024). However, culture-based enumeration captures only a fraction of the total microbial diversity in </w:t>
      </w:r>
      <w:proofErr w:type="spellStart"/>
      <w:r w:rsidRPr="007F2114">
        <w:rPr>
          <w:rFonts w:ascii="Arial" w:hAnsi="Arial" w:cs="Arial"/>
        </w:rPr>
        <w:t>Daqu</w:t>
      </w:r>
      <w:proofErr w:type="spellEnd"/>
      <w:r w:rsidRPr="007F2114">
        <w:rPr>
          <w:rFonts w:ascii="Arial" w:hAnsi="Arial" w:cs="Arial"/>
        </w:rPr>
        <w:t>, as many microbes are unculturable or enter viable-but-non-culturable (VBNC) states under selective growth conditions. Advances in molecular biology</w:t>
      </w:r>
      <w:r w:rsidR="00A06B87">
        <w:rPr>
          <w:rFonts w:ascii="Arial" w:hAnsi="Arial" w:cs="Arial"/>
        </w:rPr>
        <w:t>,</w:t>
      </w:r>
      <w:r w:rsidRPr="007F2114">
        <w:rPr>
          <w:rFonts w:ascii="Arial" w:hAnsi="Arial" w:cs="Arial"/>
        </w:rPr>
        <w:t xml:space="preserve"> particularly DNA extraction, full-length 16S rRNA and ITS amplification, and high-throughput sequencing</w:t>
      </w:r>
      <w:r w:rsidR="00A06B87">
        <w:rPr>
          <w:rFonts w:ascii="Arial" w:hAnsi="Arial" w:cs="Arial"/>
        </w:rPr>
        <w:t>,</w:t>
      </w:r>
      <w:r w:rsidRPr="007F2114">
        <w:rPr>
          <w:rFonts w:ascii="Arial" w:hAnsi="Arial" w:cs="Arial"/>
        </w:rPr>
        <w:t xml:space="preserve"> have transformed our ability to comprehensively profile microbial communities in complex fermentation matrices. DNA-based approaches allow researchers to visualize community structure, identify dominant and rare taxa, and characterize microbial interactions that are otherwise undetectable using classical microbiological techniques (Mandal &amp; Das, 2025). Full-length sequencing platforms, such as PacBio, further enhance taxonomic resolution at the species or even strain level, thereby offering unprecedented insight into microbial diversity within </w:t>
      </w:r>
      <w:proofErr w:type="spellStart"/>
      <w:r w:rsidRPr="007F2114">
        <w:rPr>
          <w:rFonts w:ascii="Arial" w:hAnsi="Arial" w:cs="Arial"/>
        </w:rPr>
        <w:t>Daqu</w:t>
      </w:r>
      <w:proofErr w:type="spellEnd"/>
      <w:r w:rsidRPr="007F2114">
        <w:rPr>
          <w:rFonts w:ascii="Arial" w:hAnsi="Arial" w:cs="Arial"/>
        </w:rPr>
        <w:t>.</w:t>
      </w:r>
    </w:p>
    <w:p w14:paraId="260DCFCC" w14:textId="77777777" w:rsidR="007F2114" w:rsidRDefault="007F2114" w:rsidP="007F2114">
      <w:pPr>
        <w:pStyle w:val="Body"/>
        <w:rPr>
          <w:rFonts w:ascii="Arial" w:hAnsi="Arial" w:cs="Arial"/>
        </w:rPr>
      </w:pPr>
      <w:r w:rsidRPr="007F2114">
        <w:rPr>
          <w:rFonts w:ascii="Arial" w:hAnsi="Arial" w:cs="Arial"/>
        </w:rPr>
        <w:t xml:space="preserve">Alpha diversity indices, including Shannon, Simpson, and Chao1, provide quantitative metrics for evaluating microbial richness, evenness, and diversity within each </w:t>
      </w:r>
      <w:proofErr w:type="spellStart"/>
      <w:r w:rsidRPr="007F2114">
        <w:rPr>
          <w:rFonts w:ascii="Arial" w:hAnsi="Arial" w:cs="Arial"/>
        </w:rPr>
        <w:t>Daqu</w:t>
      </w:r>
      <w:proofErr w:type="spellEnd"/>
      <w:r w:rsidRPr="007F2114">
        <w:rPr>
          <w:rFonts w:ascii="Arial" w:hAnsi="Arial" w:cs="Arial"/>
        </w:rPr>
        <w:t xml:space="preserve"> sample (Guo et al., 2025). These indices are essential for assessing whether certain </w:t>
      </w:r>
      <w:proofErr w:type="spellStart"/>
      <w:r w:rsidRPr="007F2114">
        <w:rPr>
          <w:rFonts w:ascii="Arial" w:hAnsi="Arial" w:cs="Arial"/>
        </w:rPr>
        <w:t>Daqu</w:t>
      </w:r>
      <w:proofErr w:type="spellEnd"/>
      <w:r w:rsidRPr="007F2114">
        <w:rPr>
          <w:rFonts w:ascii="Arial" w:hAnsi="Arial" w:cs="Arial"/>
        </w:rPr>
        <w:t xml:space="preserve"> colors harbor more diverse or more specialized microbial communities, which in turn may influence fermentation performance and aroma contribution. Meanwhile, taxonomic profiling at the phylum and genus levels helps uncover dominant microbial groups that may serve as biomarkers for </w:t>
      </w:r>
      <w:proofErr w:type="spellStart"/>
      <w:r w:rsidRPr="007F2114">
        <w:rPr>
          <w:rFonts w:ascii="Arial" w:hAnsi="Arial" w:cs="Arial"/>
        </w:rPr>
        <w:t>Daqu</w:t>
      </w:r>
      <w:proofErr w:type="spellEnd"/>
      <w:r w:rsidRPr="007F2114">
        <w:rPr>
          <w:rFonts w:ascii="Arial" w:hAnsi="Arial" w:cs="Arial"/>
        </w:rPr>
        <w:t xml:space="preserve"> quality or color classification (Que et al., 2025). Such data enable a more mechanistic understanding of how microbial community structure translates into biochemical function during Baijiu fermentation. In addition to microbial profiling, volatile compound analysis, typically performed using Gas Chromatography Mass Spectrometry (GC–MS), is crucial for connecting microbial metabolism to aroma outcomes (Ma et al., 2024). Volatile compounds such as esters, alcohols, acids, aldehydes, ketones, and </w:t>
      </w:r>
      <w:r w:rsidRPr="007F2114">
        <w:rPr>
          <w:rFonts w:ascii="Arial" w:hAnsi="Arial" w:cs="Arial"/>
        </w:rPr>
        <w:lastRenderedPageBreak/>
        <w:t xml:space="preserve">pyrazines are key determinants of Baijiu’s sensory character (Sun et al., 2025). Many of these compounds originate directly from microbial metabolism or through microbially mediated biochemical pathways. For example, yeasts contribute to higher alcohols and esters, molds influence aldehydes and organic acid formation, and Bacillus species generate distinctive pyrazines through amino acid degradation and the Maillard reaction (Zhong et al., 2024). Comparing volatile profiles across </w:t>
      </w:r>
      <w:proofErr w:type="spellStart"/>
      <w:r w:rsidRPr="007F2114">
        <w:rPr>
          <w:rFonts w:ascii="Arial" w:hAnsi="Arial" w:cs="Arial"/>
        </w:rPr>
        <w:t>Daqu</w:t>
      </w:r>
      <w:proofErr w:type="spellEnd"/>
      <w:r w:rsidRPr="007F2114">
        <w:rPr>
          <w:rFonts w:ascii="Arial" w:hAnsi="Arial" w:cs="Arial"/>
        </w:rPr>
        <w:t xml:space="preserve"> color categories provides insight into how microbial activity and fermentation conditions drive aroma differentiation.</w:t>
      </w:r>
    </w:p>
    <w:p w14:paraId="3359DC44" w14:textId="5320ABF3" w:rsidR="00A57EBE" w:rsidRPr="00412585" w:rsidRDefault="00A57EBE" w:rsidP="007F2114">
      <w:pPr>
        <w:pStyle w:val="Body"/>
        <w:rPr>
          <w:rFonts w:ascii="Arial" w:hAnsi="Arial" w:cs="Arial"/>
          <w:i/>
          <w:iCs/>
        </w:rPr>
      </w:pPr>
      <w:r w:rsidRPr="00A57EBE">
        <w:rPr>
          <w:rFonts w:ascii="Arial" w:hAnsi="Arial" w:cs="Arial"/>
        </w:rPr>
        <w:t>Recent studies</w:t>
      </w:r>
      <w:r>
        <w:rPr>
          <w:rFonts w:ascii="Arial" w:hAnsi="Arial" w:cs="Arial"/>
        </w:rPr>
        <w:t xml:space="preserve"> by Deng et al., (2020)</w:t>
      </w:r>
      <w:r w:rsidRPr="00A57EBE">
        <w:rPr>
          <w:rFonts w:ascii="Arial" w:hAnsi="Arial" w:cs="Arial"/>
        </w:rPr>
        <w:t xml:space="preserve"> on color-based high-temperature </w:t>
      </w:r>
      <w:proofErr w:type="spellStart"/>
      <w:r w:rsidRPr="00A57EBE">
        <w:rPr>
          <w:rFonts w:ascii="Arial" w:hAnsi="Arial" w:cs="Arial"/>
        </w:rPr>
        <w:t>Daqu</w:t>
      </w:r>
      <w:proofErr w:type="spellEnd"/>
      <w:r w:rsidRPr="00A57EBE">
        <w:rPr>
          <w:rFonts w:ascii="Arial" w:hAnsi="Arial" w:cs="Arial"/>
        </w:rPr>
        <w:t xml:space="preserve"> have shown that the four major types</w:t>
      </w:r>
      <w:r>
        <w:rPr>
          <w:rFonts w:ascii="Arial" w:hAnsi="Arial" w:cs="Arial"/>
        </w:rPr>
        <w:t xml:space="preserve">, </w:t>
      </w:r>
      <w:r w:rsidRPr="00A57EBE">
        <w:rPr>
          <w:rFonts w:ascii="Arial" w:hAnsi="Arial" w:cs="Arial"/>
        </w:rPr>
        <w:t>white (QW), black (QB), yellow (QY), and red (QR)</w:t>
      </w:r>
      <w:r>
        <w:rPr>
          <w:rFonts w:ascii="Arial" w:hAnsi="Arial" w:cs="Arial"/>
        </w:rPr>
        <w:t xml:space="preserve">, </w:t>
      </w:r>
      <w:r w:rsidRPr="00A57EBE">
        <w:rPr>
          <w:rFonts w:ascii="Arial" w:hAnsi="Arial" w:cs="Arial"/>
        </w:rPr>
        <w:t xml:space="preserve">each develop under distinct fermentation conditions that shape their microbial and functional profiles. Across all colors, </w:t>
      </w:r>
      <w:proofErr w:type="spellStart"/>
      <w:r w:rsidRPr="00412585">
        <w:rPr>
          <w:rFonts w:ascii="Arial" w:hAnsi="Arial" w:cs="Arial"/>
          <w:i/>
          <w:iCs/>
        </w:rPr>
        <w:t>Kroppenstedtia</w:t>
      </w:r>
      <w:proofErr w:type="spellEnd"/>
      <w:r w:rsidRPr="00A57EBE">
        <w:rPr>
          <w:rFonts w:ascii="Arial" w:hAnsi="Arial" w:cs="Arial"/>
        </w:rPr>
        <w:t xml:space="preserve">, </w:t>
      </w:r>
      <w:r w:rsidRPr="00412585">
        <w:rPr>
          <w:rFonts w:ascii="Arial" w:hAnsi="Arial" w:cs="Arial"/>
          <w:i/>
          <w:iCs/>
        </w:rPr>
        <w:t>Bacillus</w:t>
      </w:r>
      <w:r w:rsidRPr="00A57EBE">
        <w:rPr>
          <w:rFonts w:ascii="Arial" w:hAnsi="Arial" w:cs="Arial"/>
        </w:rPr>
        <w:t xml:space="preserve">, and </w:t>
      </w:r>
      <w:proofErr w:type="spellStart"/>
      <w:r w:rsidRPr="00412585">
        <w:rPr>
          <w:rFonts w:ascii="Arial" w:hAnsi="Arial" w:cs="Arial"/>
          <w:i/>
          <w:iCs/>
        </w:rPr>
        <w:t>Thermoascus</w:t>
      </w:r>
      <w:proofErr w:type="spellEnd"/>
      <w:r w:rsidRPr="00A57EBE">
        <w:rPr>
          <w:rFonts w:ascii="Arial" w:hAnsi="Arial" w:cs="Arial"/>
        </w:rPr>
        <w:t xml:space="preserve"> were dominant, while </w:t>
      </w:r>
      <w:proofErr w:type="spellStart"/>
      <w:r w:rsidRPr="00412585">
        <w:rPr>
          <w:rFonts w:ascii="Arial" w:hAnsi="Arial" w:cs="Arial"/>
          <w:i/>
          <w:iCs/>
        </w:rPr>
        <w:t>Saccharopolyspora</w:t>
      </w:r>
      <w:proofErr w:type="spellEnd"/>
      <w:r w:rsidRPr="00A57EBE">
        <w:rPr>
          <w:rFonts w:ascii="Arial" w:hAnsi="Arial" w:cs="Arial"/>
        </w:rPr>
        <w:t xml:space="preserve"> and </w:t>
      </w:r>
      <w:proofErr w:type="spellStart"/>
      <w:r w:rsidRPr="00412585">
        <w:rPr>
          <w:rFonts w:ascii="Arial" w:hAnsi="Arial" w:cs="Arial"/>
          <w:i/>
          <w:iCs/>
        </w:rPr>
        <w:t>Thermomyces</w:t>
      </w:r>
      <w:proofErr w:type="spellEnd"/>
      <w:r w:rsidRPr="00A57EBE">
        <w:rPr>
          <w:rFonts w:ascii="Arial" w:hAnsi="Arial" w:cs="Arial"/>
        </w:rPr>
        <w:t xml:space="preserve"> were characteristic of QB and QR, and unclassified </w:t>
      </w:r>
      <w:proofErr w:type="spellStart"/>
      <w:r w:rsidRPr="00412585">
        <w:rPr>
          <w:rFonts w:ascii="Arial" w:hAnsi="Arial" w:cs="Arial"/>
          <w:i/>
          <w:iCs/>
        </w:rPr>
        <w:t>Eurotiales</w:t>
      </w:r>
      <w:proofErr w:type="spellEnd"/>
      <w:r w:rsidRPr="00A57EBE">
        <w:rPr>
          <w:rFonts w:ascii="Arial" w:hAnsi="Arial" w:cs="Arial"/>
        </w:rPr>
        <w:t xml:space="preserve"> predominated in QY. </w:t>
      </w:r>
      <w:proofErr w:type="spellStart"/>
      <w:r w:rsidRPr="00A57EBE">
        <w:rPr>
          <w:rFonts w:ascii="Arial" w:hAnsi="Arial" w:cs="Arial"/>
        </w:rPr>
        <w:t>Physicochemically</w:t>
      </w:r>
      <w:proofErr w:type="spellEnd"/>
      <w:r w:rsidRPr="00A57EBE">
        <w:rPr>
          <w:rFonts w:ascii="Arial" w:hAnsi="Arial" w:cs="Arial"/>
        </w:rPr>
        <w:t xml:space="preserve">, QW displayed higher protease activity and lower acidity, QB showed the opposite pattern, QR achieved the highest esterification yield, and QY had the strongest saccharification capacity but the lowest esterification yield. Functional predictions further revealed that the elevated bacterial enzyme genes in QW and QY were linked to their high proportions of </w:t>
      </w:r>
      <w:proofErr w:type="spellStart"/>
      <w:r w:rsidRPr="00412585">
        <w:rPr>
          <w:rFonts w:ascii="Arial" w:hAnsi="Arial" w:cs="Arial"/>
          <w:i/>
          <w:iCs/>
        </w:rPr>
        <w:t>Kroppenstedtia</w:t>
      </w:r>
      <w:proofErr w:type="spellEnd"/>
      <w:r w:rsidRPr="00A57EBE">
        <w:rPr>
          <w:rFonts w:ascii="Arial" w:hAnsi="Arial" w:cs="Arial"/>
        </w:rPr>
        <w:t xml:space="preserve">, whereas the abundance of fungal enzyme genes in QB corresponded to its dominance of </w:t>
      </w:r>
      <w:proofErr w:type="spellStart"/>
      <w:r w:rsidRPr="00412585">
        <w:rPr>
          <w:rFonts w:ascii="Arial" w:hAnsi="Arial" w:cs="Arial"/>
          <w:i/>
          <w:iCs/>
        </w:rPr>
        <w:t>Thermomyces</w:t>
      </w:r>
      <w:proofErr w:type="spellEnd"/>
      <w:r w:rsidRPr="00412585">
        <w:rPr>
          <w:rFonts w:ascii="Arial" w:hAnsi="Arial" w:cs="Arial"/>
          <w:i/>
          <w:iCs/>
        </w:rPr>
        <w:t>.</w:t>
      </w:r>
    </w:p>
    <w:p w14:paraId="07746761" w14:textId="7AE986F8" w:rsidR="006872DF" w:rsidRDefault="007F2114" w:rsidP="007F2114">
      <w:pPr>
        <w:pStyle w:val="Body"/>
        <w:spacing w:after="0"/>
        <w:rPr>
          <w:rFonts w:ascii="Arial" w:hAnsi="Arial" w:cs="Arial"/>
        </w:rPr>
      </w:pPr>
      <w:r w:rsidRPr="007F2114">
        <w:rPr>
          <w:rFonts w:ascii="Arial" w:hAnsi="Arial" w:cs="Arial"/>
        </w:rPr>
        <w:t xml:space="preserve">Despite significant progress, there remains a scientific gap regarding how </w:t>
      </w:r>
      <w:proofErr w:type="spellStart"/>
      <w:r w:rsidRPr="007F2114">
        <w:rPr>
          <w:rFonts w:ascii="Arial" w:hAnsi="Arial" w:cs="Arial"/>
        </w:rPr>
        <w:t>Daqu</w:t>
      </w:r>
      <w:proofErr w:type="spellEnd"/>
      <w:r w:rsidRPr="007F2114">
        <w:rPr>
          <w:rFonts w:ascii="Arial" w:hAnsi="Arial" w:cs="Arial"/>
        </w:rPr>
        <w:t xml:space="preserve"> color specifically correlates with microbial ecology and volatile compound formation. Most existing studies focus on single </w:t>
      </w:r>
      <w:proofErr w:type="spellStart"/>
      <w:r w:rsidRPr="007F2114">
        <w:rPr>
          <w:rFonts w:ascii="Arial" w:hAnsi="Arial" w:cs="Arial"/>
        </w:rPr>
        <w:t>Daqu</w:t>
      </w:r>
      <w:proofErr w:type="spellEnd"/>
      <w:r w:rsidRPr="007F2114">
        <w:rPr>
          <w:rFonts w:ascii="Arial" w:hAnsi="Arial" w:cs="Arial"/>
        </w:rPr>
        <w:t xml:space="preserve"> types or limited microbial groups. Few integrate culturable enumeration, full-length sequencing, and comprehensive volatile profiling within the same framework. Addressing this gap is essential for advancing quality control, standardization, and mechanistic understanding of Baijiu fermentation. Therefore, this study was designed to provide an integrated, multidimensional investigation of </w:t>
      </w:r>
      <w:proofErr w:type="spellStart"/>
      <w:r w:rsidRPr="007F2114">
        <w:rPr>
          <w:rFonts w:ascii="Arial" w:hAnsi="Arial" w:cs="Arial"/>
        </w:rPr>
        <w:t>Daqu</w:t>
      </w:r>
      <w:proofErr w:type="spellEnd"/>
      <w:r w:rsidRPr="007F2114">
        <w:rPr>
          <w:rFonts w:ascii="Arial" w:hAnsi="Arial" w:cs="Arial"/>
        </w:rPr>
        <w:t xml:space="preserve"> of different colors. The specific objectives included quantifying key culturable microbial groups, such as total colony count, lactic acid bacteria (LAB), molds, yeasts, and Bacillus species, to establish baseline microbial loads across various </w:t>
      </w:r>
      <w:proofErr w:type="spellStart"/>
      <w:r w:rsidRPr="007F2114">
        <w:rPr>
          <w:rFonts w:ascii="Arial" w:hAnsi="Arial" w:cs="Arial"/>
        </w:rPr>
        <w:t>Daqu</w:t>
      </w:r>
      <w:proofErr w:type="spellEnd"/>
      <w:r w:rsidRPr="007F2114">
        <w:rPr>
          <w:rFonts w:ascii="Arial" w:hAnsi="Arial" w:cs="Arial"/>
        </w:rPr>
        <w:t xml:space="preserve"> color types. It also aimed to characterize the bacterial and fungal communities using full-length 16S rRNA and ITS sequencing to explore differences in microbial diversity, richness, and taxonomic composition. The study further sought to determine the major volatile flavor compounds in </w:t>
      </w:r>
      <w:proofErr w:type="spellStart"/>
      <w:r w:rsidRPr="007F2114">
        <w:rPr>
          <w:rFonts w:ascii="Arial" w:hAnsi="Arial" w:cs="Arial"/>
        </w:rPr>
        <w:t>Daqu</w:t>
      </w:r>
      <w:proofErr w:type="spellEnd"/>
      <w:r w:rsidRPr="007F2114">
        <w:rPr>
          <w:rFonts w:ascii="Arial" w:hAnsi="Arial" w:cs="Arial"/>
        </w:rPr>
        <w:t xml:space="preserve"> samples through gas chromatography-mass spectrometry (GC–MS) analysis, while examining the correlations between microbial taxa and volatile compound classes to identify functional links between microbiota and aroma formation. By integrating culture-based microbiology, advanced sequencing, and aroma chemistry, this research provides a comprehensive view of how </w:t>
      </w:r>
      <w:proofErr w:type="spellStart"/>
      <w:r w:rsidRPr="007F2114">
        <w:rPr>
          <w:rFonts w:ascii="Arial" w:hAnsi="Arial" w:cs="Arial"/>
        </w:rPr>
        <w:t>Daqu</w:t>
      </w:r>
      <w:proofErr w:type="spellEnd"/>
      <w:r w:rsidRPr="007F2114">
        <w:rPr>
          <w:rFonts w:ascii="Arial" w:hAnsi="Arial" w:cs="Arial"/>
        </w:rPr>
        <w:t xml:space="preserve"> color reflects underlying microbial diversity and influences the production of volatile compounds essential for Baijiu aroma and quality. The findings contribute to a deeper scientific understanding of </w:t>
      </w:r>
      <w:proofErr w:type="spellStart"/>
      <w:r w:rsidRPr="007F2114">
        <w:rPr>
          <w:rFonts w:ascii="Arial" w:hAnsi="Arial" w:cs="Arial"/>
        </w:rPr>
        <w:t>Daqu</w:t>
      </w:r>
      <w:proofErr w:type="spellEnd"/>
      <w:r w:rsidRPr="007F2114">
        <w:rPr>
          <w:rFonts w:ascii="Arial" w:hAnsi="Arial" w:cs="Arial"/>
        </w:rPr>
        <w:t xml:space="preserve"> fermentation ecology and offer insights that may support the improvement, stabilization, and modernization of Baijiu production processes.</w:t>
      </w:r>
    </w:p>
    <w:p w14:paraId="36BDD596" w14:textId="77777777" w:rsidR="007F2114" w:rsidRDefault="007F2114" w:rsidP="007F2114">
      <w:pPr>
        <w:pStyle w:val="Body"/>
        <w:spacing w:after="0"/>
        <w:rPr>
          <w:rFonts w:ascii="Arial" w:hAnsi="Arial" w:cs="Arial"/>
        </w:rPr>
      </w:pPr>
    </w:p>
    <w:p w14:paraId="4A9B8C11" w14:textId="77777777" w:rsidR="007F2114" w:rsidRPr="00FB3A86" w:rsidRDefault="007F2114" w:rsidP="007F2114">
      <w:pPr>
        <w:pStyle w:val="Body"/>
        <w:spacing w:after="0"/>
        <w:rPr>
          <w:rFonts w:ascii="Arial" w:hAnsi="Arial" w:cs="Arial"/>
        </w:rPr>
      </w:pPr>
    </w:p>
    <w:p w14:paraId="43CAD3AB" w14:textId="73B7F93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72729E0" w14:textId="77777777" w:rsidR="00790ADA" w:rsidRPr="00FB3A86" w:rsidRDefault="00790ADA" w:rsidP="00441B6F">
      <w:pPr>
        <w:pStyle w:val="AbstHead"/>
        <w:spacing w:after="0"/>
        <w:jc w:val="both"/>
        <w:rPr>
          <w:rFonts w:ascii="Arial" w:hAnsi="Arial" w:cs="Arial"/>
        </w:rPr>
      </w:pPr>
    </w:p>
    <w:p w14:paraId="2908E573" w14:textId="2051897F" w:rsidR="007F2114" w:rsidRDefault="006872DF" w:rsidP="007F2114">
      <w:pPr>
        <w:spacing w:after="160"/>
        <w:rPr>
          <w:rFonts w:ascii="Arial" w:eastAsia="Calibri" w:hAnsi="Arial" w:cs="Arial"/>
          <w:b/>
          <w:bCs/>
          <w:kern w:val="2"/>
        </w:rPr>
      </w:pPr>
      <w:r w:rsidRPr="006872DF">
        <w:rPr>
          <w:rFonts w:ascii="Arial" w:eastAsia="Calibri" w:hAnsi="Arial" w:cs="Arial"/>
          <w:b/>
          <w:bCs/>
          <w:kern w:val="2"/>
        </w:rPr>
        <w:t xml:space="preserve">2.1 </w:t>
      </w:r>
      <w:r w:rsidR="007F2114">
        <w:rPr>
          <w:rFonts w:ascii="Arial" w:eastAsia="Calibri" w:hAnsi="Arial" w:cs="Arial"/>
          <w:b/>
          <w:bCs/>
          <w:kern w:val="2"/>
        </w:rPr>
        <w:t>Sample collection</w:t>
      </w:r>
    </w:p>
    <w:p w14:paraId="78E06698" w14:textId="35521553" w:rsidR="006872DF" w:rsidRDefault="007F2114" w:rsidP="007F2114">
      <w:pPr>
        <w:spacing w:after="160"/>
        <w:jc w:val="both"/>
        <w:rPr>
          <w:rFonts w:ascii="Arial" w:eastAsia="Calibri" w:hAnsi="Arial" w:cs="Arial"/>
          <w:kern w:val="2"/>
        </w:rPr>
      </w:pPr>
      <w:r w:rsidRPr="007F2114">
        <w:rPr>
          <w:rFonts w:ascii="Arial" w:eastAsia="Calibri" w:hAnsi="Arial" w:cs="Arial"/>
          <w:kern w:val="2"/>
        </w:rPr>
        <w:t xml:space="preserve">Samples of white </w:t>
      </w:r>
      <w:proofErr w:type="spellStart"/>
      <w:r w:rsidRPr="007F2114">
        <w:rPr>
          <w:rFonts w:ascii="Arial" w:eastAsia="Calibri" w:hAnsi="Arial" w:cs="Arial"/>
          <w:kern w:val="2"/>
        </w:rPr>
        <w:t>Daqu</w:t>
      </w:r>
      <w:proofErr w:type="spellEnd"/>
      <w:r w:rsidRPr="007F2114">
        <w:rPr>
          <w:rFonts w:ascii="Arial" w:eastAsia="Calibri" w:hAnsi="Arial" w:cs="Arial"/>
          <w:kern w:val="2"/>
        </w:rPr>
        <w:t xml:space="preserve"> (WQ), yellow </w:t>
      </w:r>
      <w:proofErr w:type="spellStart"/>
      <w:r w:rsidRPr="007F2114">
        <w:rPr>
          <w:rFonts w:ascii="Arial" w:eastAsia="Calibri" w:hAnsi="Arial" w:cs="Arial"/>
          <w:kern w:val="2"/>
        </w:rPr>
        <w:t>Daqu</w:t>
      </w:r>
      <w:proofErr w:type="spellEnd"/>
      <w:r w:rsidRPr="007F2114">
        <w:rPr>
          <w:rFonts w:ascii="Arial" w:eastAsia="Calibri" w:hAnsi="Arial" w:cs="Arial"/>
          <w:kern w:val="2"/>
        </w:rPr>
        <w:t xml:space="preserve"> (YQ), and black </w:t>
      </w:r>
      <w:proofErr w:type="spellStart"/>
      <w:r w:rsidRPr="007F2114">
        <w:rPr>
          <w:rFonts w:ascii="Arial" w:eastAsia="Calibri" w:hAnsi="Arial" w:cs="Arial"/>
          <w:kern w:val="2"/>
        </w:rPr>
        <w:t>Daqu</w:t>
      </w:r>
      <w:proofErr w:type="spellEnd"/>
      <w:r w:rsidRPr="007F2114">
        <w:rPr>
          <w:rFonts w:ascii="Arial" w:eastAsia="Calibri" w:hAnsi="Arial" w:cs="Arial"/>
          <w:kern w:val="2"/>
        </w:rPr>
        <w:t xml:space="preserve"> (BQ) were collected from high-temperature solid-state fermentation workshops in central China. Approximately 500 g of each </w:t>
      </w:r>
      <w:proofErr w:type="spellStart"/>
      <w:r w:rsidRPr="007F2114">
        <w:rPr>
          <w:rFonts w:ascii="Arial" w:eastAsia="Calibri" w:hAnsi="Arial" w:cs="Arial"/>
          <w:kern w:val="2"/>
        </w:rPr>
        <w:t>Daqu</w:t>
      </w:r>
      <w:proofErr w:type="spellEnd"/>
      <w:r w:rsidRPr="007F2114">
        <w:rPr>
          <w:rFonts w:ascii="Arial" w:eastAsia="Calibri" w:hAnsi="Arial" w:cs="Arial"/>
          <w:kern w:val="2"/>
        </w:rPr>
        <w:t xml:space="preserve"> type was randomly sampled from the interior and surface layers to ensure representativeness. Samples were transported to the laboratory under cooled conditions and homogenized aseptically before storage at 4 °C for microbiological and molecular analysis. Table 1 summarizes the materials and reagents used in this study.</w:t>
      </w:r>
      <w:r w:rsidR="006872DF" w:rsidRPr="007F2114">
        <w:rPr>
          <w:rFonts w:ascii="Arial" w:eastAsia="Calibri" w:hAnsi="Arial" w:cs="Arial"/>
          <w:kern w:val="2"/>
        </w:rPr>
        <w:t>2.2 Physicochemical Analysis</w:t>
      </w:r>
    </w:p>
    <w:p w14:paraId="31B25711" w14:textId="77777777" w:rsidR="007F2114" w:rsidRPr="003F4F25" w:rsidRDefault="007F2114" w:rsidP="007F2114">
      <w:pPr>
        <w:pStyle w:val="Caption"/>
        <w:spacing w:line="360" w:lineRule="auto"/>
        <w:jc w:val="both"/>
        <w:rPr>
          <w:rFonts w:ascii="Times New Roman" w:hAnsi="Times New Roman"/>
        </w:rPr>
      </w:pPr>
      <w:bookmarkStart w:id="1" w:name="_Toc166706725"/>
      <w:r w:rsidRPr="003F4F25">
        <w:rPr>
          <w:rFonts w:ascii="Times New Roman" w:hAnsi="Times New Roman"/>
        </w:rPr>
        <w:t xml:space="preserve">Table </w:t>
      </w:r>
      <w:r w:rsidRPr="003F4F25">
        <w:rPr>
          <w:rFonts w:ascii="Times New Roman" w:hAnsi="Times New Roman"/>
        </w:rPr>
        <w:fldChar w:fldCharType="begin"/>
      </w:r>
      <w:r w:rsidRPr="003F4F25">
        <w:rPr>
          <w:rFonts w:ascii="Times New Roman" w:hAnsi="Times New Roman"/>
        </w:rPr>
        <w:instrText xml:space="preserve"> SEQ Table \* ARABIC \s 1 </w:instrText>
      </w:r>
      <w:r w:rsidRPr="003F4F25">
        <w:rPr>
          <w:rFonts w:ascii="Times New Roman" w:hAnsi="Times New Roman"/>
        </w:rPr>
        <w:fldChar w:fldCharType="separate"/>
      </w:r>
      <w:r w:rsidRPr="003F4F25">
        <w:rPr>
          <w:rFonts w:ascii="Times New Roman" w:hAnsi="Times New Roman"/>
          <w:noProof/>
        </w:rPr>
        <w:t>1</w:t>
      </w:r>
      <w:r w:rsidRPr="003F4F25">
        <w:rPr>
          <w:rFonts w:ascii="Times New Roman" w:hAnsi="Times New Roman"/>
          <w:noProof/>
        </w:rPr>
        <w:fldChar w:fldCharType="end"/>
      </w:r>
      <w:r w:rsidRPr="003F4F25">
        <w:rPr>
          <w:rFonts w:ascii="Times New Roman" w:hAnsi="Times New Roman"/>
        </w:rPr>
        <w:t>: Materials and reagents</w:t>
      </w:r>
      <w:bookmarkEnd w:id="1"/>
      <w:r w:rsidRPr="003F4F25">
        <w:rPr>
          <w:rFonts w:ascii="Times New Roman" w:hAnsi="Times New Roman"/>
        </w:rPr>
        <w:t xml:space="preserve">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2926"/>
        <w:gridCol w:w="2318"/>
      </w:tblGrid>
      <w:tr w:rsidR="007F2114" w:rsidRPr="003F4F25" w14:paraId="11F892D7" w14:textId="77777777" w:rsidTr="00B132C4">
        <w:tc>
          <w:tcPr>
            <w:tcW w:w="2620" w:type="pct"/>
            <w:tcBorders>
              <w:top w:val="single" w:sz="4" w:space="0" w:color="auto"/>
              <w:bottom w:val="single" w:sz="4" w:space="0" w:color="auto"/>
            </w:tcBorders>
            <w:vAlign w:val="center"/>
          </w:tcPr>
          <w:p w14:paraId="4228A295"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Laboratory Material &amp; Reagent</w:t>
            </w:r>
          </w:p>
        </w:tc>
        <w:tc>
          <w:tcPr>
            <w:tcW w:w="1328" w:type="pct"/>
            <w:tcBorders>
              <w:top w:val="single" w:sz="4" w:space="0" w:color="auto"/>
              <w:bottom w:val="single" w:sz="4" w:space="0" w:color="auto"/>
            </w:tcBorders>
            <w:vAlign w:val="center"/>
          </w:tcPr>
          <w:p w14:paraId="2BF1FF94"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Article No.</w:t>
            </w:r>
          </w:p>
        </w:tc>
        <w:tc>
          <w:tcPr>
            <w:tcW w:w="1052" w:type="pct"/>
            <w:tcBorders>
              <w:top w:val="single" w:sz="4" w:space="0" w:color="auto"/>
              <w:bottom w:val="single" w:sz="4" w:space="0" w:color="auto"/>
            </w:tcBorders>
            <w:vAlign w:val="center"/>
          </w:tcPr>
          <w:p w14:paraId="7DE6953F"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Brand</w:t>
            </w:r>
          </w:p>
        </w:tc>
      </w:tr>
      <w:tr w:rsidR="007F2114" w:rsidRPr="003F4F25" w14:paraId="0AFF8E5F" w14:textId="77777777" w:rsidTr="00B132C4">
        <w:tc>
          <w:tcPr>
            <w:tcW w:w="2620" w:type="pct"/>
            <w:tcBorders>
              <w:top w:val="single" w:sz="4" w:space="0" w:color="auto"/>
            </w:tcBorders>
            <w:vAlign w:val="center"/>
          </w:tcPr>
          <w:p w14:paraId="08260CD0"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Normal saline</w:t>
            </w:r>
          </w:p>
        </w:tc>
        <w:tc>
          <w:tcPr>
            <w:tcW w:w="1328" w:type="pct"/>
            <w:tcBorders>
              <w:top w:val="single" w:sz="4" w:space="0" w:color="auto"/>
            </w:tcBorders>
            <w:vAlign w:val="center"/>
          </w:tcPr>
          <w:p w14:paraId="36C63EB6" w14:textId="77777777" w:rsidR="007F2114" w:rsidRPr="003F4F25" w:rsidRDefault="007F2114" w:rsidP="00B132C4">
            <w:pPr>
              <w:spacing w:line="360" w:lineRule="auto"/>
              <w:jc w:val="both"/>
              <w:rPr>
                <w:rFonts w:ascii="Times New Roman" w:hAnsi="Times New Roman"/>
              </w:rPr>
            </w:pPr>
          </w:p>
        </w:tc>
        <w:tc>
          <w:tcPr>
            <w:tcW w:w="1052" w:type="pct"/>
            <w:tcBorders>
              <w:top w:val="single" w:sz="4" w:space="0" w:color="auto"/>
            </w:tcBorders>
            <w:vAlign w:val="center"/>
          </w:tcPr>
          <w:p w14:paraId="6E6099F7" w14:textId="77777777" w:rsidR="007F2114" w:rsidRPr="003F4F25" w:rsidRDefault="007F2114" w:rsidP="00B132C4">
            <w:pPr>
              <w:spacing w:line="360" w:lineRule="auto"/>
              <w:jc w:val="both"/>
              <w:rPr>
                <w:rFonts w:ascii="Times New Roman" w:hAnsi="Times New Roman"/>
              </w:rPr>
            </w:pPr>
          </w:p>
        </w:tc>
      </w:tr>
      <w:tr w:rsidR="007F2114" w:rsidRPr="003F4F25" w14:paraId="4EEA5432" w14:textId="77777777" w:rsidTr="00B132C4">
        <w:tc>
          <w:tcPr>
            <w:tcW w:w="2620" w:type="pct"/>
            <w:vAlign w:val="center"/>
          </w:tcPr>
          <w:p w14:paraId="09058CE2"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Aspergillus suspension</w:t>
            </w:r>
          </w:p>
        </w:tc>
        <w:tc>
          <w:tcPr>
            <w:tcW w:w="1328" w:type="pct"/>
            <w:vAlign w:val="center"/>
          </w:tcPr>
          <w:p w14:paraId="34FA80AF" w14:textId="77777777" w:rsidR="007F2114" w:rsidRPr="003F4F25" w:rsidRDefault="007F2114" w:rsidP="00B132C4">
            <w:pPr>
              <w:spacing w:line="360" w:lineRule="auto"/>
              <w:jc w:val="both"/>
              <w:rPr>
                <w:rFonts w:ascii="Times New Roman" w:hAnsi="Times New Roman"/>
              </w:rPr>
            </w:pPr>
          </w:p>
        </w:tc>
        <w:tc>
          <w:tcPr>
            <w:tcW w:w="1052" w:type="pct"/>
            <w:vAlign w:val="center"/>
          </w:tcPr>
          <w:p w14:paraId="09279777" w14:textId="77777777" w:rsidR="007F2114" w:rsidRPr="003F4F25" w:rsidRDefault="007F2114" w:rsidP="00B132C4">
            <w:pPr>
              <w:spacing w:line="360" w:lineRule="auto"/>
              <w:jc w:val="both"/>
              <w:rPr>
                <w:rFonts w:ascii="Times New Roman" w:hAnsi="Times New Roman"/>
              </w:rPr>
            </w:pPr>
          </w:p>
        </w:tc>
      </w:tr>
      <w:tr w:rsidR="007F2114" w:rsidRPr="003F4F25" w14:paraId="48DF6316" w14:textId="77777777" w:rsidTr="00B132C4">
        <w:tc>
          <w:tcPr>
            <w:tcW w:w="2620" w:type="pct"/>
            <w:vAlign w:val="center"/>
          </w:tcPr>
          <w:p w14:paraId="0EACE333"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Plate Count Agar</w:t>
            </w:r>
          </w:p>
        </w:tc>
        <w:tc>
          <w:tcPr>
            <w:tcW w:w="1328" w:type="pct"/>
            <w:vAlign w:val="center"/>
          </w:tcPr>
          <w:p w14:paraId="1994D79F"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02-035A</w:t>
            </w:r>
          </w:p>
        </w:tc>
        <w:tc>
          <w:tcPr>
            <w:tcW w:w="1052" w:type="pct"/>
            <w:vAlign w:val="center"/>
          </w:tcPr>
          <w:p w14:paraId="7E20BC29"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AOBOX BIOTECHNOLOGY</w:t>
            </w:r>
          </w:p>
        </w:tc>
      </w:tr>
      <w:tr w:rsidR="007F2114" w:rsidRPr="003F4F25" w14:paraId="3563611B" w14:textId="77777777" w:rsidTr="00B132C4">
        <w:tc>
          <w:tcPr>
            <w:tcW w:w="2620" w:type="pct"/>
            <w:vAlign w:val="center"/>
          </w:tcPr>
          <w:p w14:paraId="3CE915F0"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Rose Bengal Medium</w:t>
            </w:r>
          </w:p>
        </w:tc>
        <w:tc>
          <w:tcPr>
            <w:tcW w:w="1328" w:type="pct"/>
            <w:vAlign w:val="center"/>
          </w:tcPr>
          <w:p w14:paraId="54FB74F3"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02-082</w:t>
            </w:r>
          </w:p>
        </w:tc>
        <w:tc>
          <w:tcPr>
            <w:tcW w:w="1052" w:type="pct"/>
            <w:vAlign w:val="center"/>
          </w:tcPr>
          <w:p w14:paraId="4DC2632C"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AOBOX BIOTECHNOLOGY</w:t>
            </w:r>
          </w:p>
        </w:tc>
      </w:tr>
      <w:tr w:rsidR="007F2114" w:rsidRPr="003F4F25" w14:paraId="56D320F4" w14:textId="77777777" w:rsidTr="00B132C4">
        <w:tc>
          <w:tcPr>
            <w:tcW w:w="2620" w:type="pct"/>
            <w:vAlign w:val="center"/>
          </w:tcPr>
          <w:p w14:paraId="409125A5"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Yeast Extract Peptone Dextrose Agar</w:t>
            </w:r>
          </w:p>
        </w:tc>
        <w:tc>
          <w:tcPr>
            <w:tcW w:w="1328" w:type="pct"/>
            <w:vAlign w:val="center"/>
          </w:tcPr>
          <w:p w14:paraId="1B5E06CE"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02-107</w:t>
            </w:r>
          </w:p>
        </w:tc>
        <w:tc>
          <w:tcPr>
            <w:tcW w:w="1052" w:type="pct"/>
            <w:vAlign w:val="center"/>
          </w:tcPr>
          <w:p w14:paraId="0137DAD7"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 xml:space="preserve">AOBOX </w:t>
            </w:r>
            <w:r w:rsidRPr="003F4F25">
              <w:rPr>
                <w:rFonts w:ascii="Times New Roman" w:hAnsi="Times New Roman"/>
              </w:rPr>
              <w:lastRenderedPageBreak/>
              <w:t>BIOTECHNOLOGY</w:t>
            </w:r>
          </w:p>
        </w:tc>
      </w:tr>
      <w:tr w:rsidR="007F2114" w:rsidRPr="003F4F25" w14:paraId="7B146D16" w14:textId="77777777" w:rsidTr="00B132C4">
        <w:tc>
          <w:tcPr>
            <w:tcW w:w="2620" w:type="pct"/>
            <w:vAlign w:val="center"/>
          </w:tcPr>
          <w:p w14:paraId="7CA408FB"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lastRenderedPageBreak/>
              <w:t>MRS Broth</w:t>
            </w:r>
          </w:p>
        </w:tc>
        <w:tc>
          <w:tcPr>
            <w:tcW w:w="1328" w:type="pct"/>
            <w:vAlign w:val="center"/>
          </w:tcPr>
          <w:p w14:paraId="3BF97068"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02-291</w:t>
            </w:r>
          </w:p>
        </w:tc>
        <w:tc>
          <w:tcPr>
            <w:tcW w:w="1052" w:type="pct"/>
            <w:vAlign w:val="center"/>
          </w:tcPr>
          <w:p w14:paraId="6B5A1CEC"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AOBOX BIOTECHNOLOGY</w:t>
            </w:r>
          </w:p>
        </w:tc>
      </w:tr>
    </w:tbl>
    <w:p w14:paraId="698DD825" w14:textId="77777777" w:rsidR="007F2114" w:rsidRDefault="007F2114" w:rsidP="007F2114">
      <w:pPr>
        <w:spacing w:after="160"/>
        <w:jc w:val="both"/>
        <w:rPr>
          <w:rFonts w:ascii="Arial" w:eastAsia="Calibri" w:hAnsi="Arial" w:cs="Arial"/>
          <w:kern w:val="2"/>
        </w:rPr>
      </w:pPr>
    </w:p>
    <w:p w14:paraId="41D999E0"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2.3 Enumeration of Culturable Microbial Groups</w:t>
      </w:r>
    </w:p>
    <w:p w14:paraId="53F10F93"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 xml:space="preserve">2.3.1 Preparation of </w:t>
      </w:r>
      <w:proofErr w:type="spellStart"/>
      <w:r w:rsidRPr="007F2114">
        <w:rPr>
          <w:rFonts w:ascii="Arial" w:eastAsia="Calibri" w:hAnsi="Arial" w:cs="Arial"/>
          <w:b/>
          <w:bCs/>
          <w:kern w:val="2"/>
        </w:rPr>
        <w:t>Daqu</w:t>
      </w:r>
      <w:proofErr w:type="spellEnd"/>
      <w:r w:rsidRPr="007F2114">
        <w:rPr>
          <w:rFonts w:ascii="Arial" w:eastAsia="Calibri" w:hAnsi="Arial" w:cs="Arial"/>
          <w:b/>
          <w:bCs/>
          <w:kern w:val="2"/>
        </w:rPr>
        <w:t xml:space="preserve"> Suspensions</w:t>
      </w:r>
    </w:p>
    <w:p w14:paraId="61EF5524"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 xml:space="preserve">For each </w:t>
      </w:r>
      <w:proofErr w:type="spellStart"/>
      <w:r w:rsidRPr="007F2114">
        <w:rPr>
          <w:rFonts w:ascii="Arial" w:eastAsia="Calibri" w:hAnsi="Arial" w:cs="Arial"/>
          <w:kern w:val="2"/>
        </w:rPr>
        <w:t>Daqu</w:t>
      </w:r>
      <w:proofErr w:type="spellEnd"/>
      <w:r w:rsidRPr="007F2114">
        <w:rPr>
          <w:rFonts w:ascii="Arial" w:eastAsia="Calibri" w:hAnsi="Arial" w:cs="Arial"/>
          <w:kern w:val="2"/>
        </w:rPr>
        <w:t xml:space="preserve"> type, 5.0 g of powdered sample was mixed with 45 mL of sterile 0.85% normal saline and vortexed in a shaker at 120–150 rpm for 15 min to obtain the primary suspension according to the protocol of (Cui et al., 2025). For microbial plating, serial 10-fold dilutions were prepared. An Aspergillus suspension (1 mL stock diluted in 9 mL sterile water) served as the standard for mold enumeration.</w:t>
      </w:r>
    </w:p>
    <w:p w14:paraId="35A21EA5" w14:textId="77777777" w:rsidR="007F2114" w:rsidRPr="007F2114" w:rsidRDefault="007F2114" w:rsidP="007F2114">
      <w:pPr>
        <w:numPr>
          <w:ilvl w:val="2"/>
          <w:numId w:val="33"/>
        </w:numPr>
        <w:spacing w:after="160"/>
        <w:contextualSpacing/>
        <w:jc w:val="both"/>
        <w:rPr>
          <w:rFonts w:ascii="Arial" w:eastAsia="Calibri" w:hAnsi="Arial" w:cs="Arial"/>
          <w:b/>
          <w:bCs/>
          <w:kern w:val="2"/>
        </w:rPr>
      </w:pPr>
      <w:r w:rsidRPr="007F2114">
        <w:rPr>
          <w:rFonts w:ascii="Arial" w:eastAsia="Calibri" w:hAnsi="Arial" w:cs="Arial"/>
          <w:b/>
          <w:bCs/>
          <w:kern w:val="2"/>
        </w:rPr>
        <w:t>Plate Inoculation and Cultivation</w:t>
      </w:r>
    </w:p>
    <w:p w14:paraId="277E6E3E"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Bacterial inoculation was done according to (</w:t>
      </w:r>
      <w:proofErr w:type="spellStart"/>
      <w:r w:rsidRPr="007F2114">
        <w:rPr>
          <w:rFonts w:ascii="Arial" w:eastAsia="Calibri" w:hAnsi="Arial" w:cs="Arial"/>
          <w:kern w:val="2"/>
        </w:rPr>
        <w:t>Topaloğlu</w:t>
      </w:r>
      <w:proofErr w:type="spellEnd"/>
      <w:r w:rsidRPr="007F2114">
        <w:rPr>
          <w:rFonts w:ascii="Arial" w:eastAsia="Calibri" w:hAnsi="Arial" w:cs="Arial"/>
          <w:kern w:val="2"/>
        </w:rPr>
        <w:t xml:space="preserve"> &amp; </w:t>
      </w:r>
      <w:proofErr w:type="spellStart"/>
      <w:r w:rsidRPr="007F2114">
        <w:rPr>
          <w:rFonts w:ascii="Arial" w:eastAsia="Calibri" w:hAnsi="Arial" w:cs="Arial"/>
          <w:kern w:val="2"/>
        </w:rPr>
        <w:t>Yolci</w:t>
      </w:r>
      <w:proofErr w:type="spellEnd"/>
      <w:r w:rsidRPr="007F2114">
        <w:rPr>
          <w:rFonts w:ascii="Arial" w:eastAsia="Calibri" w:hAnsi="Arial" w:cs="Arial"/>
          <w:kern w:val="2"/>
        </w:rPr>
        <w:t xml:space="preserve">, 2025). Aliquots of 100 </w:t>
      </w:r>
      <w:proofErr w:type="spellStart"/>
      <w:r w:rsidRPr="007F2114">
        <w:rPr>
          <w:rFonts w:ascii="Arial" w:eastAsia="Calibri" w:hAnsi="Arial" w:cs="Arial"/>
          <w:kern w:val="2"/>
        </w:rPr>
        <w:t>μL</w:t>
      </w:r>
      <w:proofErr w:type="spellEnd"/>
      <w:r w:rsidRPr="007F2114">
        <w:rPr>
          <w:rFonts w:ascii="Arial" w:eastAsia="Calibri" w:hAnsi="Arial" w:cs="Arial"/>
          <w:kern w:val="2"/>
        </w:rPr>
        <w:t xml:space="preserve"> from appropriate dilutions were spread-plated on different selective media, Plate Count Agar (PCA), incubated at 37 °C for 12 h, PCA at 55 °C for 12 h,  Rose Bengal Agar (RBA), incubated at 37 °C for 48 h,  YPD agar, incubated at 37 °C for 48 h, MRS broth/agar incubated under conditions optimized for LAB growth Each dilution (10</w:t>
      </w:r>
      <w:r w:rsidRPr="007F2114">
        <w:rPr>
          <w:rFonts w:ascii="Cambria Math" w:eastAsia="Calibri" w:hAnsi="Cambria Math" w:cs="Cambria Math"/>
          <w:kern w:val="2"/>
        </w:rPr>
        <w:t>⁻</w:t>
      </w:r>
      <w:r w:rsidRPr="007F2114">
        <w:rPr>
          <w:rFonts w:ascii="Arial" w:eastAsia="Calibri" w:hAnsi="Arial" w:cs="Arial"/>
          <w:kern w:val="2"/>
        </w:rPr>
        <w:t>¹ to 10</w:t>
      </w:r>
      <w:r w:rsidRPr="007F2114">
        <w:rPr>
          <w:rFonts w:ascii="Cambria Math" w:eastAsia="Calibri" w:hAnsi="Cambria Math" w:cs="Cambria Math"/>
          <w:kern w:val="2"/>
        </w:rPr>
        <w:t>⁻</w:t>
      </w:r>
      <w:r w:rsidRPr="007F2114">
        <w:rPr>
          <w:rFonts w:ascii="Arial" w:eastAsia="Calibri" w:hAnsi="Arial" w:cs="Arial"/>
          <w:kern w:val="2"/>
        </w:rPr>
        <w:t xml:space="preserve">³) was plated in duplicate to ensure reliability. Only plates containing 30–300 CFU were selected for enumeration, following the microbiological standards outlined in GB 4789.2-2016. Microbial counts were expressed as colony-forming units per gram (CFU/g) of </w:t>
      </w:r>
      <w:proofErr w:type="spellStart"/>
      <w:r w:rsidRPr="007F2114">
        <w:rPr>
          <w:rFonts w:ascii="Arial" w:eastAsia="Calibri" w:hAnsi="Arial" w:cs="Arial"/>
          <w:kern w:val="2"/>
        </w:rPr>
        <w:t>Daqu</w:t>
      </w:r>
      <w:proofErr w:type="spellEnd"/>
      <w:r w:rsidRPr="007F2114">
        <w:rPr>
          <w:rFonts w:ascii="Arial" w:eastAsia="Calibri" w:hAnsi="Arial" w:cs="Arial"/>
          <w:kern w:val="2"/>
        </w:rPr>
        <w:t>.</w:t>
      </w:r>
    </w:p>
    <w:p w14:paraId="3858133F" w14:textId="77777777" w:rsidR="007F2114" w:rsidRPr="007F2114" w:rsidRDefault="007F2114" w:rsidP="007F2114">
      <w:pPr>
        <w:spacing w:after="160"/>
        <w:jc w:val="both"/>
        <w:rPr>
          <w:rFonts w:ascii="Arial" w:eastAsia="Calibri" w:hAnsi="Arial" w:cs="Arial"/>
          <w:kern w:val="2"/>
        </w:rPr>
      </w:pPr>
    </w:p>
    <w:p w14:paraId="25E71FBF"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2.4 DNA Extraction, PCR Amplification, and High-Throughput Sequencing</w:t>
      </w:r>
    </w:p>
    <w:p w14:paraId="2EB99D48"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2.4.1 DNA Extraction</w:t>
      </w:r>
    </w:p>
    <w:p w14:paraId="21D3A428"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 xml:space="preserve">Microbial genomic DNA was extracted from 0.5 g homogenized </w:t>
      </w:r>
      <w:proofErr w:type="spellStart"/>
      <w:r w:rsidRPr="007F2114">
        <w:rPr>
          <w:rFonts w:ascii="Arial" w:eastAsia="Calibri" w:hAnsi="Arial" w:cs="Arial"/>
          <w:kern w:val="2"/>
        </w:rPr>
        <w:t>Daqu</w:t>
      </w:r>
      <w:proofErr w:type="spellEnd"/>
      <w:r w:rsidRPr="007F2114">
        <w:rPr>
          <w:rFonts w:ascii="Arial" w:eastAsia="Calibri" w:hAnsi="Arial" w:cs="Arial"/>
          <w:kern w:val="2"/>
        </w:rPr>
        <w:t xml:space="preserve"> using the </w:t>
      </w:r>
      <w:proofErr w:type="spellStart"/>
      <w:r w:rsidRPr="007F2114">
        <w:rPr>
          <w:rFonts w:ascii="Arial" w:eastAsia="Calibri" w:hAnsi="Arial" w:cs="Arial"/>
          <w:kern w:val="2"/>
        </w:rPr>
        <w:t>PowerSoil</w:t>
      </w:r>
      <w:proofErr w:type="spellEnd"/>
      <w:r w:rsidRPr="007F2114">
        <w:rPr>
          <w:rFonts w:ascii="Arial" w:eastAsia="Calibri" w:hAnsi="Arial" w:cs="Arial"/>
          <w:kern w:val="2"/>
        </w:rPr>
        <w:t xml:space="preserve"> DNA Isolation Kit, according to the manufacturer’s protocol. DNA purity (A260/A280 ratio), concentration, and integrity were assessed to ensure suitability for downstream analyses.</w:t>
      </w:r>
    </w:p>
    <w:p w14:paraId="4F4D5392" w14:textId="77777777" w:rsidR="007F2114" w:rsidRPr="007F2114" w:rsidRDefault="007F2114" w:rsidP="007F2114">
      <w:pPr>
        <w:numPr>
          <w:ilvl w:val="2"/>
          <w:numId w:val="34"/>
        </w:numPr>
        <w:spacing w:after="160"/>
        <w:contextualSpacing/>
        <w:jc w:val="both"/>
        <w:rPr>
          <w:rFonts w:ascii="Arial" w:eastAsia="Calibri" w:hAnsi="Arial" w:cs="Arial"/>
          <w:b/>
          <w:bCs/>
          <w:kern w:val="2"/>
        </w:rPr>
      </w:pPr>
      <w:r w:rsidRPr="007F2114">
        <w:rPr>
          <w:rFonts w:ascii="Arial" w:eastAsia="Calibri" w:hAnsi="Arial" w:cs="Arial"/>
          <w:b/>
          <w:bCs/>
          <w:kern w:val="2"/>
        </w:rPr>
        <w:t>PCR Amplification of Bacterial and Fungal Communities</w:t>
      </w:r>
    </w:p>
    <w:p w14:paraId="648BD4FD"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 xml:space="preserve">The full-length 16S rRNA gene was amplified using the primers 5'-AGRGTTTGATYNTGGCTCAG-3' and 5'-TASGGHTACCTTGTTASGACTT-3' according to (Lei et al., 2025) with minor modifications. The PCR conditions included an initial pre-denaturation step at 95 °C for 2 minutes, followed by 25 cycles consisting of denaturation at 98 °C for 10 seconds, annealing at 55 °C for 30 seconds, and an extension at 72 °C for 1.5 minutes. The process concluded with a final extension at 72 °C for 2 minutes.  For the full-length fungal ITS region, amplification was carried out using ITS1F (5'-CTTGGTCATTTAGAGGAAGTAA-3') and ITS4R (5'-TCCTCCGCTTATTGATATGC-3'). The PCR conditions here started with a pre-denaturation step at 95 °C for 5 minutes, followed by a touchdown stage comprising 8 cycles: 95 °C for 30 seconds, 55 °C for 30 seconds, and 72 °C for 45 seconds. This was followed by an amplification stage of 24 cycles at 95 °C for 30 seconds, 60 °C for 30 seconds, and 72 °C for 45 seconds, concluding with a final extension at 72 °C for 5 minutes. </w:t>
      </w:r>
    </w:p>
    <w:p w14:paraId="6376DCA7"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The resulting PCR products were purified, quantified, normalized, and pooled together to create sequencing libraries. We ensured the quality of the libraries before proceeding with sequencing on the PacBio platform.</w:t>
      </w:r>
    </w:p>
    <w:p w14:paraId="61FBDE57"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2.5 Bioinformatics and Microbial Diversity Analysis</w:t>
      </w:r>
    </w:p>
    <w:p w14:paraId="168D8A1F"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Raw sequencing reads were carefully filtered to eliminate low-quality sequences, chimeras, and non-specific fragments (Kim et al., 2025). The remaining high-quality sequences were then organized into Operational Taxonomic Units (OTUs) based on a 97% similarity threshold. For taxonomic classification, standard reference databases were utilized at various levels: phylum, class, genus, and species. To evaluate within-sample diversity, we calculated alpha diversity indices using QIIME, including the Shannon index (diversity), Simpson index (evenness), and Chao1 index (richness). Additionally, relative abundance plots were created to illustrate the microbial composition across major taxonomic levels.</w:t>
      </w:r>
    </w:p>
    <w:p w14:paraId="4EF88AEC"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2.6 Volatile Compound Profiling by HS-SPME-GC-MS</w:t>
      </w:r>
    </w:p>
    <w:p w14:paraId="2FF65A66"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 xml:space="preserve">Volatile compounds were extracted using headspace solid-phase microextraction (HS-SPME) and analyzed via GC–MS following (Chen et al., 2025). Samples were equilibrated in sealed vials before extraction with an SPME fiber at controlled temperature and time conditions. Compounds were identified by comparison with the NIST mass spectral library and </w:t>
      </w:r>
      <w:r w:rsidRPr="007F2114">
        <w:rPr>
          <w:rFonts w:ascii="Arial" w:eastAsia="Calibri" w:hAnsi="Arial" w:cs="Arial"/>
          <w:kern w:val="2"/>
        </w:rPr>
        <w:lastRenderedPageBreak/>
        <w:t>verified using retention indices where necessary. Semi-quantification was performed based on relative peak area normalization.</w:t>
      </w:r>
    </w:p>
    <w:p w14:paraId="18F6CCA8" w14:textId="77777777" w:rsidR="007F2114" w:rsidRPr="007F2114" w:rsidRDefault="007F2114" w:rsidP="007F2114">
      <w:pPr>
        <w:spacing w:after="160"/>
        <w:jc w:val="both"/>
        <w:rPr>
          <w:rFonts w:ascii="Arial" w:eastAsia="Calibri" w:hAnsi="Arial" w:cs="Arial"/>
          <w:kern w:val="2"/>
        </w:rPr>
      </w:pPr>
    </w:p>
    <w:p w14:paraId="4F15F517"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2.7 Statistical Analysis</w:t>
      </w:r>
    </w:p>
    <w:p w14:paraId="186845B4"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 xml:space="preserve">One-way ANOVA was conducted to identify statistically significant differences in microbial counts, diversity indices, and volatile compound abundances across </w:t>
      </w:r>
      <w:proofErr w:type="spellStart"/>
      <w:r w:rsidRPr="007F2114">
        <w:rPr>
          <w:rFonts w:ascii="Arial" w:eastAsia="Calibri" w:hAnsi="Arial" w:cs="Arial"/>
          <w:kern w:val="2"/>
        </w:rPr>
        <w:t>Daqu</w:t>
      </w:r>
      <w:proofErr w:type="spellEnd"/>
      <w:r w:rsidRPr="007F2114">
        <w:rPr>
          <w:rFonts w:ascii="Arial" w:eastAsia="Calibri" w:hAnsi="Arial" w:cs="Arial"/>
          <w:kern w:val="2"/>
        </w:rPr>
        <w:t xml:space="preserve"> color types (p ≤ 0.05). Chemometric analyses, including Principal Component Analysis (PCA), were performed using GraphPad Prism 10.2 to visualize sample clustering and identify major discriminating variables.</w:t>
      </w:r>
    </w:p>
    <w:p w14:paraId="34D18A74" w14:textId="77777777" w:rsidR="00790ADA" w:rsidRPr="00FB3A86" w:rsidRDefault="00790ADA" w:rsidP="00441B6F">
      <w:pPr>
        <w:pStyle w:val="Body"/>
        <w:spacing w:after="0"/>
        <w:rPr>
          <w:rFonts w:ascii="Arial" w:hAnsi="Arial" w:cs="Arial"/>
        </w:rPr>
      </w:pPr>
    </w:p>
    <w:p w14:paraId="65B95F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8815A9" w14:textId="77777777" w:rsidR="00790ADA" w:rsidRPr="00FB3A86" w:rsidRDefault="00790ADA" w:rsidP="00441B6F">
      <w:pPr>
        <w:pStyle w:val="Head1"/>
        <w:spacing w:after="0"/>
        <w:jc w:val="both"/>
        <w:rPr>
          <w:rFonts w:ascii="Arial" w:hAnsi="Arial" w:cs="Arial"/>
        </w:rPr>
      </w:pPr>
    </w:p>
    <w:p w14:paraId="015AEE94" w14:textId="77777777" w:rsidR="0079130E" w:rsidRPr="0079130E" w:rsidRDefault="0079130E" w:rsidP="0079130E">
      <w:pPr>
        <w:rPr>
          <w:rFonts w:ascii="Arial" w:hAnsi="Arial" w:cs="Arial"/>
          <w:b/>
          <w:bCs/>
        </w:rPr>
      </w:pPr>
      <w:r w:rsidRPr="0079130E">
        <w:rPr>
          <w:rFonts w:ascii="Arial" w:hAnsi="Arial" w:cs="Arial"/>
          <w:b/>
          <w:bCs/>
        </w:rPr>
        <w:t>3.1 Microbial Enumeration</w:t>
      </w:r>
    </w:p>
    <w:p w14:paraId="187F47BC" w14:textId="77777777" w:rsidR="0079130E" w:rsidRPr="0079130E" w:rsidRDefault="0079130E" w:rsidP="0079130E">
      <w:pPr>
        <w:rPr>
          <w:rFonts w:ascii="Arial" w:hAnsi="Arial" w:cs="Arial"/>
          <w:b/>
          <w:bCs/>
          <w:i/>
          <w:iCs/>
        </w:rPr>
      </w:pPr>
      <w:r w:rsidRPr="0079130E">
        <w:rPr>
          <w:rFonts w:ascii="Arial" w:hAnsi="Arial" w:cs="Arial"/>
          <w:b/>
          <w:bCs/>
          <w:i/>
          <w:iCs/>
        </w:rPr>
        <w:t>3.1.1 Total Coliform Count (TCC)</w:t>
      </w:r>
    </w:p>
    <w:p w14:paraId="65EFB1F7" w14:textId="6A54A390" w:rsidR="0079130E" w:rsidRPr="0079130E" w:rsidRDefault="00935F93" w:rsidP="0079130E">
      <w:pPr>
        <w:spacing w:before="100" w:beforeAutospacing="1" w:after="100" w:afterAutospacing="1"/>
        <w:jc w:val="both"/>
        <w:rPr>
          <w:rFonts w:ascii="Arial" w:hAnsi="Arial" w:cs="Arial"/>
        </w:rPr>
      </w:pPr>
      <w:r w:rsidRPr="0079130E">
        <w:rPr>
          <w:rFonts w:ascii="Arial" w:eastAsia="Calibri" w:hAnsi="Arial" w:cs="Arial"/>
          <w:noProof/>
          <w:kern w:val="2"/>
        </w:rPr>
        <w:drawing>
          <wp:anchor distT="0" distB="0" distL="114300" distR="114300" simplePos="0" relativeHeight="251654656" behindDoc="0" locked="0" layoutInCell="1" allowOverlap="1" wp14:anchorId="46455FBA" wp14:editId="696824B8">
            <wp:simplePos x="0" y="0"/>
            <wp:positionH relativeFrom="column">
              <wp:posOffset>1916725</wp:posOffset>
            </wp:positionH>
            <wp:positionV relativeFrom="paragraph">
              <wp:posOffset>1232136</wp:posOffset>
            </wp:positionV>
            <wp:extent cx="1901380" cy="2728437"/>
            <wp:effectExtent l="0" t="0" r="0" b="0"/>
            <wp:wrapNone/>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01380" cy="2728437"/>
                    </a:xfrm>
                    <a:prstGeom prst="rect">
                      <a:avLst/>
                    </a:prstGeom>
                  </pic:spPr>
                </pic:pic>
              </a:graphicData>
            </a:graphic>
            <wp14:sizeRelH relativeFrom="page">
              <wp14:pctWidth>0</wp14:pctWidth>
            </wp14:sizeRelH>
            <wp14:sizeRelV relativeFrom="page">
              <wp14:pctHeight>0</wp14:pctHeight>
            </wp14:sizeRelV>
          </wp:anchor>
        </w:drawing>
      </w:r>
      <w:r w:rsidR="0079130E" w:rsidRPr="0079130E">
        <w:rPr>
          <w:rFonts w:ascii="Arial" w:hAnsi="Arial" w:cs="Arial"/>
        </w:rPr>
        <w:t xml:space="preserve">Total coliform count (TCC) serves as a critical indicator of hygienic quality and potential contamination in fermentation starters such as </w:t>
      </w:r>
      <w:proofErr w:type="spellStart"/>
      <w:r w:rsidR="0079130E" w:rsidRPr="0079130E">
        <w:rPr>
          <w:rFonts w:ascii="Arial" w:hAnsi="Arial" w:cs="Arial"/>
        </w:rPr>
        <w:t>Daqu</w:t>
      </w:r>
      <w:proofErr w:type="spellEnd"/>
      <w:r w:rsidR="0079130E" w:rsidRPr="0079130E">
        <w:rPr>
          <w:rFonts w:ascii="Arial" w:hAnsi="Arial" w:cs="Arial"/>
        </w:rPr>
        <w:t xml:space="preserve"> (Qu et al., 2025). There was a significant variation in TCC among white, black, and yellow </w:t>
      </w:r>
      <w:proofErr w:type="spellStart"/>
      <w:r w:rsidR="0079130E" w:rsidRPr="0079130E">
        <w:rPr>
          <w:rFonts w:ascii="Arial" w:hAnsi="Arial" w:cs="Arial"/>
        </w:rPr>
        <w:t>Daqu</w:t>
      </w:r>
      <w:proofErr w:type="spellEnd"/>
      <w:r w:rsidR="0079130E" w:rsidRPr="0079130E">
        <w:rPr>
          <w:rFonts w:ascii="Arial" w:hAnsi="Arial" w:cs="Arial"/>
        </w:rPr>
        <w:t xml:space="preserve"> samples, as shown in Figure 1. White </w:t>
      </w:r>
      <w:proofErr w:type="spellStart"/>
      <w:r w:rsidR="0079130E" w:rsidRPr="0079130E">
        <w:rPr>
          <w:rFonts w:ascii="Arial" w:hAnsi="Arial" w:cs="Arial"/>
        </w:rPr>
        <w:t>Daqu</w:t>
      </w:r>
      <w:proofErr w:type="spellEnd"/>
      <w:r w:rsidR="0079130E" w:rsidRPr="0079130E">
        <w:rPr>
          <w:rFonts w:ascii="Arial" w:hAnsi="Arial" w:cs="Arial"/>
        </w:rPr>
        <w:t xml:space="preserve"> exhibited the highest TCC, followed by yellow </w:t>
      </w:r>
      <w:proofErr w:type="spellStart"/>
      <w:r w:rsidR="0079130E" w:rsidRPr="0079130E">
        <w:rPr>
          <w:rFonts w:ascii="Arial" w:hAnsi="Arial" w:cs="Arial"/>
        </w:rPr>
        <w:t>Daqu</w:t>
      </w:r>
      <w:proofErr w:type="spellEnd"/>
      <w:r w:rsidR="0079130E" w:rsidRPr="0079130E">
        <w:rPr>
          <w:rFonts w:ascii="Arial" w:hAnsi="Arial" w:cs="Arial"/>
        </w:rPr>
        <w:t xml:space="preserve">, whereas black </w:t>
      </w:r>
      <w:proofErr w:type="spellStart"/>
      <w:r w:rsidR="0079130E" w:rsidRPr="0079130E">
        <w:rPr>
          <w:rFonts w:ascii="Arial" w:hAnsi="Arial" w:cs="Arial"/>
        </w:rPr>
        <w:t>Daqu</w:t>
      </w:r>
      <w:proofErr w:type="spellEnd"/>
      <w:r w:rsidR="0079130E" w:rsidRPr="0079130E">
        <w:rPr>
          <w:rFonts w:ascii="Arial" w:hAnsi="Arial" w:cs="Arial"/>
        </w:rPr>
        <w:t xml:space="preserve"> showed the lowest values. Elevated TCC in white and yellow </w:t>
      </w:r>
      <w:proofErr w:type="spellStart"/>
      <w:r w:rsidR="0079130E" w:rsidRPr="0079130E">
        <w:rPr>
          <w:rFonts w:ascii="Arial" w:hAnsi="Arial" w:cs="Arial"/>
        </w:rPr>
        <w:t>Daqu</w:t>
      </w:r>
      <w:proofErr w:type="spellEnd"/>
      <w:r w:rsidR="0079130E" w:rsidRPr="0079130E">
        <w:rPr>
          <w:rFonts w:ascii="Arial" w:hAnsi="Arial" w:cs="Arial"/>
        </w:rPr>
        <w:t xml:space="preserve"> suggests greater exposure to contamination sources or environmental conditions that favor coliform proliferation (</w:t>
      </w:r>
      <w:proofErr w:type="spellStart"/>
      <w:r w:rsidR="0079130E" w:rsidRPr="0079130E">
        <w:rPr>
          <w:rFonts w:ascii="Arial" w:eastAsia="Calibri" w:hAnsi="Arial" w:cs="Arial"/>
          <w:kern w:val="2"/>
        </w:rPr>
        <w:t>Ayitey</w:t>
      </w:r>
      <w:proofErr w:type="spellEnd"/>
      <w:r w:rsidR="0079130E" w:rsidRPr="0079130E">
        <w:rPr>
          <w:rFonts w:ascii="Arial" w:eastAsia="Calibri" w:hAnsi="Arial" w:cs="Arial"/>
          <w:kern w:val="2"/>
        </w:rPr>
        <w:t xml:space="preserve"> et al., 2025)</w:t>
      </w:r>
      <w:r w:rsidR="0079130E" w:rsidRPr="0079130E">
        <w:rPr>
          <w:rFonts w:ascii="Arial" w:hAnsi="Arial" w:cs="Arial"/>
        </w:rPr>
        <w:t xml:space="preserve">. Because coliforms, including Escherichia coli, signal possible fecal or ecological contamination, their presence in high numbers can compromise both the safety and functional microbiota of </w:t>
      </w:r>
      <w:proofErr w:type="spellStart"/>
      <w:r w:rsidR="0079130E" w:rsidRPr="0079130E">
        <w:rPr>
          <w:rFonts w:ascii="Arial" w:hAnsi="Arial" w:cs="Arial"/>
        </w:rPr>
        <w:t>Daqu</w:t>
      </w:r>
      <w:proofErr w:type="spellEnd"/>
      <w:r w:rsidR="0079130E" w:rsidRPr="0079130E">
        <w:rPr>
          <w:rFonts w:ascii="Arial" w:hAnsi="Arial" w:cs="Arial"/>
        </w:rPr>
        <w:t xml:space="preserve"> (Zhao Y. et al., 2025).</w:t>
      </w:r>
    </w:p>
    <w:p w14:paraId="378B3EB0" w14:textId="4FCB58E5" w:rsidR="0079130E" w:rsidRPr="0079130E" w:rsidRDefault="0079130E" w:rsidP="0079130E">
      <w:pPr>
        <w:spacing w:after="160"/>
        <w:jc w:val="both"/>
        <w:rPr>
          <w:rFonts w:ascii="Arial" w:eastAsia="Calibri" w:hAnsi="Arial" w:cs="Arial"/>
          <w:kern w:val="2"/>
        </w:rPr>
      </w:pPr>
    </w:p>
    <w:p w14:paraId="73F0C1F2" w14:textId="4226ECBB" w:rsidR="0079130E" w:rsidRPr="0079130E" w:rsidRDefault="0079130E" w:rsidP="0079130E">
      <w:pPr>
        <w:spacing w:after="160"/>
        <w:jc w:val="both"/>
        <w:rPr>
          <w:rFonts w:ascii="Arial" w:eastAsia="Calibri" w:hAnsi="Arial" w:cs="Arial"/>
          <w:kern w:val="2"/>
        </w:rPr>
      </w:pPr>
    </w:p>
    <w:p w14:paraId="764D6336" w14:textId="77777777" w:rsidR="0079130E" w:rsidRPr="0079130E" w:rsidRDefault="0079130E" w:rsidP="0079130E">
      <w:pPr>
        <w:spacing w:after="160"/>
        <w:jc w:val="both"/>
        <w:rPr>
          <w:rFonts w:ascii="Arial" w:eastAsia="Calibri" w:hAnsi="Arial" w:cs="Arial"/>
          <w:kern w:val="2"/>
        </w:rPr>
      </w:pPr>
    </w:p>
    <w:p w14:paraId="11E40A07" w14:textId="77777777" w:rsidR="0079130E" w:rsidRPr="0079130E" w:rsidRDefault="0079130E" w:rsidP="0079130E">
      <w:pPr>
        <w:spacing w:after="160"/>
        <w:jc w:val="both"/>
        <w:rPr>
          <w:rFonts w:ascii="Arial" w:eastAsia="Calibri" w:hAnsi="Arial" w:cs="Arial"/>
          <w:kern w:val="2"/>
        </w:rPr>
      </w:pPr>
    </w:p>
    <w:p w14:paraId="7461684F" w14:textId="77777777" w:rsidR="0079130E" w:rsidRPr="0079130E" w:rsidRDefault="0079130E" w:rsidP="0079130E">
      <w:pPr>
        <w:spacing w:after="160"/>
        <w:jc w:val="both"/>
        <w:rPr>
          <w:rFonts w:ascii="Arial" w:eastAsia="Calibri" w:hAnsi="Arial" w:cs="Arial"/>
          <w:kern w:val="2"/>
        </w:rPr>
      </w:pPr>
    </w:p>
    <w:p w14:paraId="57EBA0A0" w14:textId="77777777" w:rsidR="0079130E" w:rsidRPr="0079130E" w:rsidRDefault="0079130E" w:rsidP="0079130E">
      <w:pPr>
        <w:spacing w:after="160"/>
        <w:jc w:val="both"/>
        <w:rPr>
          <w:rFonts w:ascii="Arial" w:eastAsia="Calibri" w:hAnsi="Arial" w:cs="Arial"/>
          <w:kern w:val="2"/>
        </w:rPr>
      </w:pPr>
    </w:p>
    <w:p w14:paraId="057DF2C5" w14:textId="77777777" w:rsidR="0079130E" w:rsidRPr="0079130E" w:rsidRDefault="0079130E" w:rsidP="0079130E">
      <w:pPr>
        <w:spacing w:after="160"/>
        <w:jc w:val="both"/>
        <w:rPr>
          <w:rFonts w:ascii="Arial" w:eastAsia="Calibri" w:hAnsi="Arial" w:cs="Arial"/>
          <w:kern w:val="2"/>
        </w:rPr>
      </w:pPr>
    </w:p>
    <w:p w14:paraId="4BD71E79" w14:textId="77777777" w:rsidR="0079130E" w:rsidRPr="0079130E" w:rsidRDefault="0079130E" w:rsidP="0079130E">
      <w:pPr>
        <w:spacing w:after="160"/>
        <w:jc w:val="both"/>
        <w:rPr>
          <w:rFonts w:ascii="Arial" w:eastAsia="Calibri" w:hAnsi="Arial" w:cs="Arial"/>
          <w:kern w:val="2"/>
        </w:rPr>
      </w:pPr>
    </w:p>
    <w:p w14:paraId="16B8D68F" w14:textId="77777777" w:rsidR="0079130E" w:rsidRDefault="0079130E" w:rsidP="0079130E">
      <w:pPr>
        <w:spacing w:after="160"/>
        <w:jc w:val="both"/>
        <w:rPr>
          <w:rFonts w:ascii="Arial" w:eastAsia="Calibri" w:hAnsi="Arial" w:cs="Arial"/>
          <w:kern w:val="2"/>
        </w:rPr>
      </w:pPr>
    </w:p>
    <w:p w14:paraId="4B502BC4" w14:textId="77777777" w:rsidR="00935F93" w:rsidRPr="0079130E" w:rsidRDefault="00935F93" w:rsidP="0079130E">
      <w:pPr>
        <w:spacing w:after="160"/>
        <w:jc w:val="both"/>
        <w:rPr>
          <w:rFonts w:ascii="Arial" w:eastAsia="Calibri" w:hAnsi="Arial" w:cs="Arial"/>
          <w:kern w:val="2"/>
        </w:rPr>
      </w:pPr>
    </w:p>
    <w:p w14:paraId="4C0BF42E" w14:textId="77777777" w:rsidR="0079130E" w:rsidRPr="0079130E" w:rsidRDefault="0079130E" w:rsidP="0079130E">
      <w:pPr>
        <w:spacing w:after="160"/>
        <w:jc w:val="both"/>
        <w:rPr>
          <w:rFonts w:ascii="Arial" w:eastAsia="Calibri" w:hAnsi="Arial" w:cs="Arial"/>
          <w:kern w:val="2"/>
        </w:rPr>
      </w:pPr>
    </w:p>
    <w:p w14:paraId="01A36673" w14:textId="4BC0E239" w:rsidR="0079130E" w:rsidRPr="0079130E" w:rsidRDefault="0079130E" w:rsidP="0079130E">
      <w:pPr>
        <w:jc w:val="both"/>
        <w:rPr>
          <w:rFonts w:ascii="Arial" w:hAnsi="Arial" w:cs="Arial"/>
          <w:b/>
          <w:iCs/>
        </w:rPr>
      </w:pPr>
      <w:bookmarkStart w:id="2" w:name="_Toc166707455"/>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1</w:t>
      </w:r>
      <w:r w:rsidRPr="0079130E">
        <w:rPr>
          <w:rFonts w:ascii="Arial" w:hAnsi="Arial" w:cs="Arial"/>
          <w:b/>
          <w:iCs/>
          <w:noProof/>
        </w:rPr>
        <w:fldChar w:fldCharType="end"/>
      </w:r>
      <w:r w:rsidRPr="0079130E">
        <w:rPr>
          <w:rFonts w:ascii="Arial" w:hAnsi="Arial" w:cs="Arial"/>
          <w:b/>
          <w:iCs/>
        </w:rPr>
        <w:t xml:space="preserve">: Microbial enumeration of </w:t>
      </w:r>
      <w:proofErr w:type="spellStart"/>
      <w:r w:rsidRPr="0079130E">
        <w:rPr>
          <w:rFonts w:ascii="Arial" w:hAnsi="Arial" w:cs="Arial"/>
          <w:b/>
          <w:i/>
          <w:iCs/>
        </w:rPr>
        <w:t>Daqu</w:t>
      </w:r>
      <w:proofErr w:type="spellEnd"/>
      <w:r w:rsidRPr="0079130E">
        <w:rPr>
          <w:rFonts w:ascii="Arial" w:hAnsi="Arial" w:cs="Arial"/>
          <w:b/>
          <w:iCs/>
        </w:rPr>
        <w:t xml:space="preserve"> with different colors in respect to total aerobic bacteria.</w:t>
      </w:r>
      <w:bookmarkEnd w:id="2"/>
    </w:p>
    <w:p w14:paraId="749E062B"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Where *, 0.01 ≤ p &lt; 0.05; **, 0.001 ≤ p &lt; 0.01; ***, p &lt; 0.001. The Y-axis shows the concentration level, while the X-axis shows the different </w:t>
      </w:r>
      <w:proofErr w:type="spellStart"/>
      <w:r w:rsidRPr="0079130E">
        <w:rPr>
          <w:rFonts w:ascii="Arial" w:eastAsia="Calibri" w:hAnsi="Arial" w:cs="Arial"/>
          <w:i/>
          <w:kern w:val="2"/>
        </w:rPr>
        <w:t>Daqu</w:t>
      </w:r>
      <w:proofErr w:type="spellEnd"/>
      <w:r w:rsidRPr="0079130E">
        <w:rPr>
          <w:rFonts w:ascii="Arial" w:eastAsia="Calibri" w:hAnsi="Arial" w:cs="Arial"/>
          <w:kern w:val="2"/>
        </w:rPr>
        <w:t xml:space="preserve"> samples.</w:t>
      </w:r>
    </w:p>
    <w:p w14:paraId="6D5F88E5" w14:textId="77777777" w:rsidR="0079130E" w:rsidRPr="0079130E" w:rsidRDefault="0079130E" w:rsidP="0079130E">
      <w:pPr>
        <w:spacing w:before="100" w:beforeAutospacing="1" w:after="100" w:afterAutospacing="1"/>
        <w:jc w:val="both"/>
        <w:rPr>
          <w:rFonts w:ascii="Arial" w:hAnsi="Arial" w:cs="Arial"/>
        </w:rPr>
      </w:pPr>
      <w:r w:rsidRPr="0079130E">
        <w:rPr>
          <w:rFonts w:ascii="Arial" w:hAnsi="Arial" w:cs="Arial"/>
        </w:rPr>
        <w:t>High TCC may interfere with fermentation dynamics by competing with beneficial microbiota, altering pH patterns, and affecting enzymatic activities responsible for flavor generation (</w:t>
      </w:r>
      <w:r w:rsidRPr="0079130E">
        <w:rPr>
          <w:rFonts w:ascii="Arial" w:eastAsia="Calibri" w:hAnsi="Arial" w:cs="Arial"/>
          <w:kern w:val="2"/>
        </w:rPr>
        <w:t>Zhang, J</w:t>
      </w:r>
      <w:r w:rsidRPr="0079130E">
        <w:rPr>
          <w:rFonts w:ascii="Arial" w:hAnsi="Arial" w:cs="Arial"/>
        </w:rPr>
        <w:t xml:space="preserve">. et al., 2025). These discrepancies likely arise from variations in raw material handling, fermentation temperature, moisture distribution, aeration conditions, and post-fermentation storage. Thus, </w:t>
      </w:r>
      <w:proofErr w:type="spellStart"/>
      <w:r w:rsidRPr="0079130E">
        <w:rPr>
          <w:rFonts w:ascii="Arial" w:hAnsi="Arial" w:cs="Arial"/>
        </w:rPr>
        <w:t>Daqu</w:t>
      </w:r>
      <w:proofErr w:type="spellEnd"/>
      <w:r w:rsidRPr="0079130E">
        <w:rPr>
          <w:rFonts w:ascii="Arial" w:hAnsi="Arial" w:cs="Arial"/>
        </w:rPr>
        <w:t xml:space="preserve"> producers must implement stringent hygienic controls to prevent coliform interference and preserve starter culture integrity.</w:t>
      </w:r>
    </w:p>
    <w:p w14:paraId="0513A684" w14:textId="77777777" w:rsidR="0079130E" w:rsidRPr="0079130E" w:rsidRDefault="0079130E" w:rsidP="0079130E">
      <w:pPr>
        <w:jc w:val="both"/>
        <w:rPr>
          <w:rFonts w:ascii="Arial" w:hAnsi="Arial" w:cs="Arial"/>
        </w:rPr>
      </w:pPr>
    </w:p>
    <w:p w14:paraId="5DE7CA07"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3.1.2 Lactic Acid Bacteria (LAB)</w:t>
      </w:r>
    </w:p>
    <w:p w14:paraId="203E519A" w14:textId="77777777" w:rsidR="0079130E" w:rsidRDefault="0079130E" w:rsidP="0079130E">
      <w:pPr>
        <w:spacing w:before="100" w:beforeAutospacing="1" w:after="100" w:afterAutospacing="1"/>
        <w:jc w:val="both"/>
        <w:rPr>
          <w:rFonts w:ascii="Arial" w:hAnsi="Arial" w:cs="Arial"/>
        </w:rPr>
      </w:pPr>
      <w:r w:rsidRPr="0079130E">
        <w:rPr>
          <w:rFonts w:ascii="Arial" w:hAnsi="Arial" w:cs="Arial"/>
        </w:rPr>
        <w:t xml:space="preserve">Lactic acid bacteria count differed significantly across samples, with white </w:t>
      </w:r>
      <w:proofErr w:type="spellStart"/>
      <w:r w:rsidRPr="0079130E">
        <w:rPr>
          <w:rFonts w:ascii="Arial" w:hAnsi="Arial" w:cs="Arial"/>
        </w:rPr>
        <w:t>Daqu</w:t>
      </w:r>
      <w:proofErr w:type="spellEnd"/>
      <w:r w:rsidRPr="0079130E">
        <w:rPr>
          <w:rFonts w:ascii="Arial" w:hAnsi="Arial" w:cs="Arial"/>
        </w:rPr>
        <w:t xml:space="preserve"> exhibiting the highest LAB content, as depicted in Figure 2. LAB are crucial for acidification, inhibition of spoilage organisms, and modulation of flavor </w:t>
      </w:r>
      <w:r w:rsidRPr="0079130E">
        <w:rPr>
          <w:rFonts w:ascii="Arial" w:hAnsi="Arial" w:cs="Arial"/>
        </w:rPr>
        <w:lastRenderedPageBreak/>
        <w:t>development through organic acid production (</w:t>
      </w:r>
      <w:r w:rsidRPr="0079130E">
        <w:rPr>
          <w:rFonts w:ascii="Arial" w:eastAsia="Calibri" w:hAnsi="Arial" w:cs="Arial"/>
          <w:kern w:val="2"/>
        </w:rPr>
        <w:t>Zhang, J</w:t>
      </w:r>
      <w:r w:rsidRPr="0079130E">
        <w:rPr>
          <w:rFonts w:ascii="Arial" w:hAnsi="Arial" w:cs="Arial"/>
        </w:rPr>
        <w:t xml:space="preserve">. et al., 2025). Their dominance in white </w:t>
      </w:r>
      <w:proofErr w:type="spellStart"/>
      <w:r w:rsidRPr="0079130E">
        <w:rPr>
          <w:rFonts w:ascii="Arial" w:hAnsi="Arial" w:cs="Arial"/>
        </w:rPr>
        <w:t>Daqu</w:t>
      </w:r>
      <w:proofErr w:type="spellEnd"/>
      <w:r w:rsidRPr="0079130E">
        <w:rPr>
          <w:rFonts w:ascii="Arial" w:hAnsi="Arial" w:cs="Arial"/>
        </w:rPr>
        <w:t xml:space="preserve"> suggests more favorable moisture and temperature conditions for LAB proliferation during heap fermentation.</w:t>
      </w:r>
    </w:p>
    <w:p w14:paraId="2E2CCA29" w14:textId="77777777" w:rsidR="0079130E" w:rsidRDefault="0079130E" w:rsidP="0079130E">
      <w:pPr>
        <w:spacing w:before="100" w:beforeAutospacing="1" w:after="100" w:afterAutospacing="1"/>
        <w:jc w:val="both"/>
        <w:rPr>
          <w:rFonts w:ascii="Arial" w:hAnsi="Arial" w:cs="Arial"/>
        </w:rPr>
      </w:pPr>
    </w:p>
    <w:p w14:paraId="5946A4B3" w14:textId="1EC30406" w:rsidR="0079130E" w:rsidRDefault="00935F93" w:rsidP="0079130E">
      <w:pPr>
        <w:spacing w:before="100" w:beforeAutospacing="1" w:after="100" w:afterAutospacing="1"/>
        <w:jc w:val="both"/>
        <w:rPr>
          <w:rFonts w:ascii="Arial" w:hAnsi="Arial" w:cs="Arial"/>
        </w:rPr>
      </w:pPr>
      <w:r w:rsidRPr="0079130E">
        <w:rPr>
          <w:rFonts w:ascii="Arial" w:eastAsia="Calibri" w:hAnsi="Arial" w:cs="Arial"/>
          <w:noProof/>
          <w:kern w:val="2"/>
        </w:rPr>
        <w:drawing>
          <wp:anchor distT="0" distB="0" distL="114300" distR="114300" simplePos="0" relativeHeight="251656704" behindDoc="0" locked="0" layoutInCell="1" allowOverlap="1" wp14:anchorId="4A6B2922" wp14:editId="5A8CD538">
            <wp:simplePos x="0" y="0"/>
            <wp:positionH relativeFrom="column">
              <wp:posOffset>1852797</wp:posOffset>
            </wp:positionH>
            <wp:positionV relativeFrom="paragraph">
              <wp:posOffset>172410</wp:posOffset>
            </wp:positionV>
            <wp:extent cx="1906270" cy="273240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06270" cy="2732405"/>
                    </a:xfrm>
                    <a:prstGeom prst="rect">
                      <a:avLst/>
                    </a:prstGeom>
                  </pic:spPr>
                </pic:pic>
              </a:graphicData>
            </a:graphic>
            <wp14:sizeRelH relativeFrom="margin">
              <wp14:pctWidth>0</wp14:pctWidth>
            </wp14:sizeRelH>
            <wp14:sizeRelV relativeFrom="margin">
              <wp14:pctHeight>0</wp14:pctHeight>
            </wp14:sizeRelV>
          </wp:anchor>
        </w:drawing>
      </w:r>
    </w:p>
    <w:p w14:paraId="5F1CD05D" w14:textId="661B2B21" w:rsidR="0079130E" w:rsidRDefault="0079130E" w:rsidP="0079130E">
      <w:pPr>
        <w:spacing w:before="100" w:beforeAutospacing="1" w:after="100" w:afterAutospacing="1"/>
        <w:jc w:val="both"/>
        <w:rPr>
          <w:rFonts w:ascii="Arial" w:hAnsi="Arial" w:cs="Arial"/>
        </w:rPr>
      </w:pPr>
    </w:p>
    <w:p w14:paraId="7DAE0573" w14:textId="6D92A22E" w:rsidR="0079130E" w:rsidRDefault="0079130E" w:rsidP="0079130E">
      <w:pPr>
        <w:spacing w:before="100" w:beforeAutospacing="1" w:after="100" w:afterAutospacing="1"/>
        <w:jc w:val="both"/>
        <w:rPr>
          <w:rFonts w:ascii="Arial" w:hAnsi="Arial" w:cs="Arial"/>
        </w:rPr>
      </w:pPr>
    </w:p>
    <w:p w14:paraId="11CD395F" w14:textId="5A022144" w:rsidR="0079130E" w:rsidRPr="0079130E" w:rsidRDefault="0079130E" w:rsidP="0079130E">
      <w:pPr>
        <w:spacing w:after="160"/>
        <w:jc w:val="both"/>
        <w:rPr>
          <w:rFonts w:ascii="Arial" w:eastAsia="Calibri" w:hAnsi="Arial" w:cs="Arial"/>
          <w:kern w:val="2"/>
        </w:rPr>
      </w:pPr>
    </w:p>
    <w:p w14:paraId="091E9C60" w14:textId="77777777" w:rsidR="0079130E" w:rsidRPr="0079130E" w:rsidRDefault="0079130E" w:rsidP="0079130E">
      <w:pPr>
        <w:spacing w:after="160"/>
        <w:jc w:val="both"/>
        <w:rPr>
          <w:rFonts w:ascii="Arial" w:eastAsia="Calibri" w:hAnsi="Arial" w:cs="Arial"/>
          <w:kern w:val="2"/>
        </w:rPr>
      </w:pPr>
    </w:p>
    <w:p w14:paraId="7661BE74" w14:textId="77777777" w:rsidR="0079130E" w:rsidRPr="0079130E" w:rsidRDefault="0079130E" w:rsidP="0079130E">
      <w:pPr>
        <w:spacing w:after="160"/>
        <w:jc w:val="both"/>
        <w:rPr>
          <w:rFonts w:ascii="Arial" w:eastAsia="Calibri" w:hAnsi="Arial" w:cs="Arial"/>
          <w:kern w:val="2"/>
        </w:rPr>
      </w:pPr>
    </w:p>
    <w:p w14:paraId="1ED44F18" w14:textId="77777777" w:rsidR="0079130E" w:rsidRPr="0079130E" w:rsidRDefault="0079130E" w:rsidP="0079130E">
      <w:pPr>
        <w:spacing w:after="160"/>
        <w:jc w:val="both"/>
        <w:rPr>
          <w:rFonts w:ascii="Arial" w:eastAsia="Calibri" w:hAnsi="Arial" w:cs="Arial"/>
          <w:kern w:val="2"/>
        </w:rPr>
      </w:pPr>
    </w:p>
    <w:p w14:paraId="51EB155F" w14:textId="77777777" w:rsidR="0079130E" w:rsidRPr="0079130E" w:rsidRDefault="0079130E" w:rsidP="0079130E">
      <w:pPr>
        <w:spacing w:after="160"/>
        <w:jc w:val="both"/>
        <w:rPr>
          <w:rFonts w:ascii="Arial" w:eastAsia="Calibri" w:hAnsi="Arial" w:cs="Arial"/>
          <w:kern w:val="2"/>
        </w:rPr>
      </w:pPr>
    </w:p>
    <w:p w14:paraId="429FCC8E" w14:textId="77777777" w:rsidR="0079130E" w:rsidRPr="0079130E" w:rsidRDefault="0079130E" w:rsidP="0079130E">
      <w:pPr>
        <w:spacing w:after="160"/>
        <w:jc w:val="both"/>
        <w:rPr>
          <w:rFonts w:ascii="Arial" w:eastAsia="Calibri" w:hAnsi="Arial" w:cs="Arial"/>
          <w:kern w:val="2"/>
        </w:rPr>
      </w:pPr>
    </w:p>
    <w:p w14:paraId="077744C6" w14:textId="77777777" w:rsidR="0079130E" w:rsidRPr="0079130E" w:rsidRDefault="0079130E" w:rsidP="0079130E">
      <w:pPr>
        <w:spacing w:after="160"/>
        <w:jc w:val="both"/>
        <w:rPr>
          <w:rFonts w:ascii="Arial" w:eastAsia="Calibri" w:hAnsi="Arial" w:cs="Arial"/>
          <w:kern w:val="2"/>
        </w:rPr>
      </w:pPr>
    </w:p>
    <w:p w14:paraId="05960399" w14:textId="77777777" w:rsidR="0079130E" w:rsidRPr="0079130E" w:rsidRDefault="0079130E" w:rsidP="0079130E">
      <w:pPr>
        <w:spacing w:after="160"/>
        <w:jc w:val="both"/>
        <w:rPr>
          <w:rFonts w:ascii="Arial" w:eastAsia="Calibri" w:hAnsi="Arial" w:cs="Arial"/>
          <w:kern w:val="2"/>
        </w:rPr>
      </w:pPr>
    </w:p>
    <w:p w14:paraId="6714C9BD" w14:textId="77777777" w:rsidR="0079130E" w:rsidRPr="0079130E" w:rsidRDefault="0079130E" w:rsidP="0079130E">
      <w:pPr>
        <w:spacing w:after="160"/>
        <w:jc w:val="both"/>
        <w:rPr>
          <w:rFonts w:ascii="Arial" w:eastAsia="Calibri" w:hAnsi="Arial" w:cs="Arial"/>
          <w:kern w:val="2"/>
        </w:rPr>
      </w:pPr>
    </w:p>
    <w:p w14:paraId="238C4A9A" w14:textId="77777777" w:rsidR="0079130E" w:rsidRPr="0079130E" w:rsidRDefault="0079130E" w:rsidP="0079130E">
      <w:pPr>
        <w:spacing w:after="160"/>
        <w:jc w:val="both"/>
        <w:rPr>
          <w:rFonts w:ascii="Arial" w:eastAsia="Calibri" w:hAnsi="Arial" w:cs="Arial"/>
          <w:kern w:val="2"/>
        </w:rPr>
      </w:pPr>
    </w:p>
    <w:p w14:paraId="5816C1D9" w14:textId="77777777" w:rsidR="0079130E" w:rsidRPr="0079130E" w:rsidRDefault="0079130E" w:rsidP="0079130E">
      <w:pPr>
        <w:spacing w:after="160"/>
        <w:jc w:val="both"/>
        <w:rPr>
          <w:rFonts w:ascii="Arial" w:eastAsia="Calibri" w:hAnsi="Arial" w:cs="Arial"/>
          <w:kern w:val="2"/>
        </w:rPr>
      </w:pPr>
    </w:p>
    <w:p w14:paraId="7C177BBE" w14:textId="77777777" w:rsidR="0079130E" w:rsidRPr="0079130E" w:rsidRDefault="0079130E" w:rsidP="0079130E">
      <w:pPr>
        <w:jc w:val="both"/>
        <w:rPr>
          <w:rFonts w:ascii="Arial" w:hAnsi="Arial" w:cs="Arial"/>
          <w:b/>
          <w:iCs/>
        </w:rPr>
      </w:pPr>
      <w:bookmarkStart w:id="3" w:name="_Toc166707456"/>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2</w:t>
      </w:r>
      <w:r w:rsidRPr="0079130E">
        <w:rPr>
          <w:rFonts w:ascii="Arial" w:hAnsi="Arial" w:cs="Arial"/>
          <w:b/>
          <w:iCs/>
          <w:noProof/>
        </w:rPr>
        <w:fldChar w:fldCharType="end"/>
      </w:r>
      <w:r w:rsidRPr="0079130E">
        <w:rPr>
          <w:rFonts w:ascii="Arial" w:hAnsi="Arial" w:cs="Arial"/>
          <w:b/>
          <w:iCs/>
        </w:rPr>
        <w:t xml:space="preserve">: Microbial enumeration of </w:t>
      </w:r>
      <w:proofErr w:type="spellStart"/>
      <w:r w:rsidRPr="0079130E">
        <w:rPr>
          <w:rFonts w:ascii="Arial" w:hAnsi="Arial" w:cs="Arial"/>
          <w:b/>
          <w:i/>
          <w:iCs/>
        </w:rPr>
        <w:t>Daqu</w:t>
      </w:r>
      <w:proofErr w:type="spellEnd"/>
      <w:r w:rsidRPr="0079130E">
        <w:rPr>
          <w:rFonts w:ascii="Arial" w:hAnsi="Arial" w:cs="Arial"/>
          <w:b/>
          <w:iCs/>
        </w:rPr>
        <w:t xml:space="preserve"> with different colors in respect to Lactic acid bacteria</w:t>
      </w:r>
      <w:bookmarkEnd w:id="3"/>
    </w:p>
    <w:p w14:paraId="2BF32707"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Where *, 0.01 ≤ p &lt; 0.05; **, 0.001 ≤ p &lt; 0.01; ***, p &lt; 0.001. The Y-axis shows the concentration level, while the X-axis shows the different </w:t>
      </w:r>
      <w:proofErr w:type="spellStart"/>
      <w:r w:rsidRPr="0079130E">
        <w:rPr>
          <w:rFonts w:ascii="Arial" w:eastAsia="Calibri" w:hAnsi="Arial" w:cs="Arial"/>
          <w:i/>
          <w:kern w:val="2"/>
        </w:rPr>
        <w:t>Daqu</w:t>
      </w:r>
      <w:proofErr w:type="spellEnd"/>
      <w:r w:rsidRPr="0079130E">
        <w:rPr>
          <w:rFonts w:ascii="Arial" w:eastAsia="Calibri" w:hAnsi="Arial" w:cs="Arial"/>
          <w:kern w:val="2"/>
        </w:rPr>
        <w:t xml:space="preserve"> samples.</w:t>
      </w:r>
    </w:p>
    <w:p w14:paraId="2A2D0CE3" w14:textId="77777777" w:rsidR="0079130E" w:rsidRPr="0079130E" w:rsidRDefault="0079130E" w:rsidP="0079130E">
      <w:pPr>
        <w:spacing w:before="100" w:beforeAutospacing="1" w:after="100" w:afterAutospacing="1"/>
        <w:jc w:val="both"/>
        <w:rPr>
          <w:rFonts w:ascii="Arial" w:hAnsi="Arial" w:cs="Arial"/>
        </w:rPr>
      </w:pPr>
      <w:r w:rsidRPr="0079130E">
        <w:rPr>
          <w:rFonts w:ascii="Arial" w:hAnsi="Arial" w:cs="Arial"/>
        </w:rPr>
        <w:t xml:space="preserve">The moderate LAB populations in yellow </w:t>
      </w:r>
      <w:proofErr w:type="spellStart"/>
      <w:r w:rsidRPr="0079130E">
        <w:rPr>
          <w:rFonts w:ascii="Arial" w:hAnsi="Arial" w:cs="Arial"/>
        </w:rPr>
        <w:t>Daqu</w:t>
      </w:r>
      <w:proofErr w:type="spellEnd"/>
      <w:r w:rsidRPr="0079130E">
        <w:rPr>
          <w:rFonts w:ascii="Arial" w:hAnsi="Arial" w:cs="Arial"/>
        </w:rPr>
        <w:t xml:space="preserve"> and comparatively lower counts in black </w:t>
      </w:r>
      <w:proofErr w:type="spellStart"/>
      <w:r w:rsidRPr="0079130E">
        <w:rPr>
          <w:rFonts w:ascii="Arial" w:hAnsi="Arial" w:cs="Arial"/>
        </w:rPr>
        <w:t>Daqu</w:t>
      </w:r>
      <w:proofErr w:type="spellEnd"/>
      <w:r w:rsidRPr="0079130E">
        <w:rPr>
          <w:rFonts w:ascii="Arial" w:hAnsi="Arial" w:cs="Arial"/>
        </w:rPr>
        <w:t xml:space="preserve"> may reflect harsher thermal profiles in black </w:t>
      </w:r>
      <w:proofErr w:type="spellStart"/>
      <w:r w:rsidRPr="0079130E">
        <w:rPr>
          <w:rFonts w:ascii="Arial" w:hAnsi="Arial" w:cs="Arial"/>
        </w:rPr>
        <w:t>Daqu</w:t>
      </w:r>
      <w:proofErr w:type="spellEnd"/>
      <w:r w:rsidRPr="0079130E">
        <w:rPr>
          <w:rFonts w:ascii="Arial" w:hAnsi="Arial" w:cs="Arial"/>
        </w:rPr>
        <w:t xml:space="preserve"> production, where higher temperatures can reduce LAB viability. Similar results were obtained by (</w:t>
      </w:r>
      <w:proofErr w:type="spellStart"/>
      <w:r w:rsidRPr="0079130E">
        <w:rPr>
          <w:rFonts w:ascii="Arial" w:eastAsia="Calibri" w:hAnsi="Arial" w:cs="Arial"/>
          <w:kern w:val="2"/>
        </w:rPr>
        <w:t>Zong</w:t>
      </w:r>
      <w:proofErr w:type="spellEnd"/>
      <w:r w:rsidRPr="0079130E">
        <w:rPr>
          <w:rFonts w:ascii="Arial" w:eastAsia="Calibri" w:hAnsi="Arial" w:cs="Arial"/>
          <w:kern w:val="2"/>
        </w:rPr>
        <w:t>, E et al. 2024; Lei, Z et al., 2025)</w:t>
      </w:r>
      <w:r w:rsidRPr="0079130E">
        <w:rPr>
          <w:rFonts w:ascii="Arial" w:hAnsi="Arial" w:cs="Arial"/>
        </w:rPr>
        <w:t xml:space="preserve">, who noted that maintaining adequate LAB levels is essential for ensuring microbial stability and enhancing the biochemical transformations characteristic of high-quality </w:t>
      </w:r>
      <w:proofErr w:type="spellStart"/>
      <w:r w:rsidRPr="0079130E">
        <w:rPr>
          <w:rFonts w:ascii="Arial" w:hAnsi="Arial" w:cs="Arial"/>
        </w:rPr>
        <w:t>Daqu</w:t>
      </w:r>
      <w:proofErr w:type="spellEnd"/>
      <w:r w:rsidRPr="0079130E">
        <w:rPr>
          <w:rFonts w:ascii="Arial" w:hAnsi="Arial" w:cs="Arial"/>
        </w:rPr>
        <w:t>. Targeted control strategies such as optimizing humidity and turning intervals may therefore be beneficial.</w:t>
      </w:r>
    </w:p>
    <w:p w14:paraId="1D543609"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3.1.3 Bacillus</w:t>
      </w:r>
    </w:p>
    <w:p w14:paraId="0486565A" w14:textId="43598D55" w:rsidR="0079130E" w:rsidRDefault="0079130E" w:rsidP="0079130E">
      <w:pPr>
        <w:spacing w:before="100" w:beforeAutospacing="1" w:after="100" w:afterAutospacing="1"/>
        <w:jc w:val="both"/>
        <w:rPr>
          <w:rFonts w:ascii="Arial" w:hAnsi="Arial" w:cs="Arial"/>
        </w:rPr>
      </w:pPr>
      <w:r w:rsidRPr="0079130E">
        <w:rPr>
          <w:rFonts w:ascii="Arial" w:hAnsi="Arial" w:cs="Arial"/>
        </w:rPr>
        <w:t xml:space="preserve">Bacillus populations also varied among the </w:t>
      </w:r>
      <w:proofErr w:type="spellStart"/>
      <w:r w:rsidRPr="0079130E">
        <w:rPr>
          <w:rFonts w:ascii="Arial" w:hAnsi="Arial" w:cs="Arial"/>
        </w:rPr>
        <w:t>Daqu</w:t>
      </w:r>
      <w:proofErr w:type="spellEnd"/>
      <w:r w:rsidRPr="0079130E">
        <w:rPr>
          <w:rFonts w:ascii="Arial" w:hAnsi="Arial" w:cs="Arial"/>
        </w:rPr>
        <w:t xml:space="preserve"> types, with white </w:t>
      </w:r>
      <w:proofErr w:type="spellStart"/>
      <w:r w:rsidRPr="0079130E">
        <w:rPr>
          <w:rFonts w:ascii="Arial" w:hAnsi="Arial" w:cs="Arial"/>
        </w:rPr>
        <w:t>Daqu</w:t>
      </w:r>
      <w:proofErr w:type="spellEnd"/>
      <w:r w:rsidRPr="0079130E">
        <w:rPr>
          <w:rFonts w:ascii="Arial" w:hAnsi="Arial" w:cs="Arial"/>
        </w:rPr>
        <w:t xml:space="preserve"> showing the highest counts (Figure 3). Bacillus spp. are heat-tolerant, spore-forming microorganisms that thrive in the high-temperature zones typical of </w:t>
      </w:r>
      <w:proofErr w:type="spellStart"/>
      <w:r w:rsidRPr="0079130E">
        <w:rPr>
          <w:rFonts w:ascii="Arial" w:hAnsi="Arial" w:cs="Arial"/>
        </w:rPr>
        <w:t>Daqu</w:t>
      </w:r>
      <w:proofErr w:type="spellEnd"/>
      <w:r w:rsidRPr="0079130E">
        <w:rPr>
          <w:rFonts w:ascii="Arial" w:hAnsi="Arial" w:cs="Arial"/>
        </w:rPr>
        <w:t xml:space="preserve"> fermentation (Song et al., 2025). Many species, such as </w:t>
      </w:r>
      <w:r w:rsidRPr="0079130E">
        <w:rPr>
          <w:rFonts w:ascii="Arial" w:hAnsi="Arial" w:cs="Arial"/>
          <w:i/>
          <w:iCs/>
        </w:rPr>
        <w:t>Bacillus licheniformis</w:t>
      </w:r>
      <w:r w:rsidRPr="0079130E">
        <w:rPr>
          <w:rFonts w:ascii="Arial" w:hAnsi="Arial" w:cs="Arial"/>
        </w:rPr>
        <w:t xml:space="preserve"> and </w:t>
      </w:r>
      <w:r w:rsidRPr="0079130E">
        <w:rPr>
          <w:rFonts w:ascii="Arial" w:hAnsi="Arial" w:cs="Arial"/>
          <w:i/>
          <w:iCs/>
        </w:rPr>
        <w:t>Bacillus subtilis,</w:t>
      </w:r>
      <w:r w:rsidRPr="0079130E">
        <w:rPr>
          <w:rFonts w:ascii="Arial" w:hAnsi="Arial" w:cs="Arial"/>
        </w:rPr>
        <w:t xml:space="preserve"> are desirable due to their production of proteases, amylases, and volatile pyrazines, which contribute to flavor complexity. However, elevated Bacillus levels may also indicate potential spoilage risks, depending on strain composition (</w:t>
      </w:r>
      <w:r w:rsidRPr="0079130E">
        <w:rPr>
          <w:rFonts w:ascii="Arial" w:eastAsia="Calibri" w:hAnsi="Arial" w:cs="Arial"/>
          <w:kern w:val="2"/>
        </w:rPr>
        <w:t>Snyder et al., 2024)</w:t>
      </w:r>
      <w:r w:rsidRPr="0079130E">
        <w:rPr>
          <w:rFonts w:ascii="Arial" w:hAnsi="Arial" w:cs="Arial"/>
        </w:rPr>
        <w:t xml:space="preserve">. The low Bacillus counts in black </w:t>
      </w:r>
      <w:proofErr w:type="spellStart"/>
      <w:r w:rsidRPr="0079130E">
        <w:rPr>
          <w:rFonts w:ascii="Arial" w:hAnsi="Arial" w:cs="Arial"/>
        </w:rPr>
        <w:t>Daqu</w:t>
      </w:r>
      <w:proofErr w:type="spellEnd"/>
      <w:r w:rsidRPr="0079130E">
        <w:rPr>
          <w:rFonts w:ascii="Arial" w:hAnsi="Arial" w:cs="Arial"/>
        </w:rPr>
        <w:t xml:space="preserve"> may result from more intense thermal stress and reduced oxygen exposure (Ge et al., 2024). Understanding Bacillus community structure is therefore essential for balancing enzymatic contributions with safety and quality considerations.</w:t>
      </w:r>
    </w:p>
    <w:p w14:paraId="047EE61E" w14:textId="7DA8E840" w:rsidR="000E54DF" w:rsidRDefault="000E54DF" w:rsidP="0079130E">
      <w:pPr>
        <w:spacing w:before="100" w:beforeAutospacing="1" w:after="100" w:afterAutospacing="1"/>
        <w:jc w:val="both"/>
        <w:rPr>
          <w:rFonts w:ascii="Arial" w:hAnsi="Arial" w:cs="Arial"/>
        </w:rPr>
      </w:pPr>
    </w:p>
    <w:p w14:paraId="61AB5617" w14:textId="4C3EC219" w:rsidR="000E54DF" w:rsidRDefault="000E54DF" w:rsidP="0079130E">
      <w:pPr>
        <w:spacing w:before="100" w:beforeAutospacing="1" w:after="100" w:afterAutospacing="1"/>
        <w:jc w:val="both"/>
        <w:rPr>
          <w:rFonts w:ascii="Arial" w:hAnsi="Arial" w:cs="Arial"/>
        </w:rPr>
      </w:pPr>
    </w:p>
    <w:p w14:paraId="31F3A683" w14:textId="792E8D87" w:rsidR="000E54DF" w:rsidRDefault="000E54DF" w:rsidP="0079130E">
      <w:pPr>
        <w:spacing w:before="100" w:beforeAutospacing="1" w:after="100" w:afterAutospacing="1"/>
        <w:jc w:val="both"/>
        <w:rPr>
          <w:rFonts w:ascii="Arial" w:hAnsi="Arial" w:cs="Arial"/>
        </w:rPr>
      </w:pPr>
    </w:p>
    <w:p w14:paraId="7F1EECFC" w14:textId="5D8FBEC8" w:rsidR="000E54DF" w:rsidRDefault="000E54DF" w:rsidP="0079130E">
      <w:pPr>
        <w:spacing w:before="100" w:beforeAutospacing="1" w:after="100" w:afterAutospacing="1"/>
        <w:jc w:val="both"/>
        <w:rPr>
          <w:rFonts w:ascii="Arial" w:hAnsi="Arial" w:cs="Arial"/>
        </w:rPr>
      </w:pPr>
      <w:r w:rsidRPr="0079130E">
        <w:rPr>
          <w:rFonts w:ascii="Arial" w:eastAsia="Calibri" w:hAnsi="Arial" w:cs="Arial"/>
          <w:noProof/>
          <w:kern w:val="2"/>
        </w:rPr>
        <w:drawing>
          <wp:anchor distT="0" distB="0" distL="114300" distR="114300" simplePos="0" relativeHeight="251655680" behindDoc="0" locked="0" layoutInCell="1" allowOverlap="1" wp14:anchorId="3DB0BBAE" wp14:editId="40C81FC5">
            <wp:simplePos x="0" y="0"/>
            <wp:positionH relativeFrom="margin">
              <wp:posOffset>1557655</wp:posOffset>
            </wp:positionH>
            <wp:positionV relativeFrom="paragraph">
              <wp:posOffset>64977</wp:posOffset>
            </wp:positionV>
            <wp:extent cx="2019486" cy="2989399"/>
            <wp:effectExtent l="0" t="0" r="0" b="0"/>
            <wp:wrapNone/>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019486" cy="2989399"/>
                    </a:xfrm>
                    <a:prstGeom prst="rect">
                      <a:avLst/>
                    </a:prstGeom>
                  </pic:spPr>
                </pic:pic>
              </a:graphicData>
            </a:graphic>
            <wp14:sizeRelH relativeFrom="page">
              <wp14:pctWidth>0</wp14:pctWidth>
            </wp14:sizeRelH>
            <wp14:sizeRelV relativeFrom="page">
              <wp14:pctHeight>0</wp14:pctHeight>
            </wp14:sizeRelV>
          </wp:anchor>
        </w:drawing>
      </w:r>
    </w:p>
    <w:p w14:paraId="5047DFC1" w14:textId="77777777" w:rsidR="000E54DF" w:rsidRDefault="000E54DF" w:rsidP="0079130E">
      <w:pPr>
        <w:spacing w:before="100" w:beforeAutospacing="1" w:after="100" w:afterAutospacing="1"/>
        <w:jc w:val="both"/>
        <w:rPr>
          <w:rFonts w:ascii="Arial" w:hAnsi="Arial" w:cs="Arial"/>
        </w:rPr>
      </w:pPr>
    </w:p>
    <w:p w14:paraId="7B8663CD" w14:textId="77777777" w:rsidR="0079130E" w:rsidRDefault="0079130E" w:rsidP="0079130E">
      <w:pPr>
        <w:spacing w:before="100" w:beforeAutospacing="1" w:after="100" w:afterAutospacing="1"/>
        <w:jc w:val="both"/>
        <w:rPr>
          <w:rFonts w:ascii="Arial" w:hAnsi="Arial" w:cs="Arial"/>
        </w:rPr>
      </w:pPr>
    </w:p>
    <w:p w14:paraId="2CCADBAD" w14:textId="77777777" w:rsidR="0079130E" w:rsidRDefault="0079130E" w:rsidP="0079130E">
      <w:pPr>
        <w:spacing w:before="100" w:beforeAutospacing="1" w:after="100" w:afterAutospacing="1"/>
        <w:jc w:val="both"/>
        <w:rPr>
          <w:rFonts w:ascii="Arial" w:hAnsi="Arial" w:cs="Arial"/>
        </w:rPr>
      </w:pPr>
    </w:p>
    <w:p w14:paraId="64C88FDA" w14:textId="77777777" w:rsidR="0079130E" w:rsidRDefault="0079130E" w:rsidP="0079130E">
      <w:pPr>
        <w:spacing w:before="100" w:beforeAutospacing="1" w:after="100" w:afterAutospacing="1"/>
        <w:jc w:val="both"/>
        <w:rPr>
          <w:rFonts w:ascii="Arial" w:hAnsi="Arial" w:cs="Arial"/>
        </w:rPr>
      </w:pPr>
    </w:p>
    <w:p w14:paraId="23FCD4D1" w14:textId="77777777" w:rsidR="0079130E" w:rsidRDefault="0079130E" w:rsidP="0079130E">
      <w:pPr>
        <w:spacing w:before="100" w:beforeAutospacing="1" w:after="100" w:afterAutospacing="1"/>
        <w:jc w:val="both"/>
        <w:rPr>
          <w:rFonts w:ascii="Arial" w:hAnsi="Arial" w:cs="Arial"/>
        </w:rPr>
      </w:pPr>
    </w:p>
    <w:p w14:paraId="33EA2223" w14:textId="77777777" w:rsidR="0079130E" w:rsidRPr="0079130E" w:rsidRDefault="0079130E" w:rsidP="0079130E">
      <w:pPr>
        <w:spacing w:before="100" w:beforeAutospacing="1" w:after="100" w:afterAutospacing="1"/>
        <w:jc w:val="both"/>
        <w:rPr>
          <w:rFonts w:ascii="Arial" w:eastAsia="Calibri" w:hAnsi="Arial" w:cs="Arial"/>
          <w:kern w:val="2"/>
        </w:rPr>
      </w:pPr>
    </w:p>
    <w:p w14:paraId="30AB7391" w14:textId="77777777" w:rsidR="0079130E" w:rsidRPr="0079130E" w:rsidRDefault="0079130E" w:rsidP="0079130E">
      <w:pPr>
        <w:spacing w:after="160"/>
        <w:jc w:val="both"/>
        <w:rPr>
          <w:rFonts w:ascii="Arial" w:eastAsia="Calibri" w:hAnsi="Arial" w:cs="Arial"/>
          <w:kern w:val="2"/>
        </w:rPr>
      </w:pPr>
    </w:p>
    <w:p w14:paraId="3C7D5658" w14:textId="77777777" w:rsidR="0079130E" w:rsidRPr="0079130E" w:rsidRDefault="0079130E" w:rsidP="0079130E">
      <w:pPr>
        <w:spacing w:after="160"/>
        <w:jc w:val="both"/>
        <w:rPr>
          <w:rFonts w:ascii="Arial" w:eastAsia="Calibri" w:hAnsi="Arial" w:cs="Arial"/>
          <w:kern w:val="2"/>
        </w:rPr>
      </w:pPr>
    </w:p>
    <w:p w14:paraId="2F66518D" w14:textId="77777777" w:rsidR="0079130E" w:rsidRPr="0079130E" w:rsidRDefault="0079130E" w:rsidP="0079130E">
      <w:pPr>
        <w:spacing w:after="160"/>
        <w:jc w:val="both"/>
        <w:rPr>
          <w:rFonts w:ascii="Arial" w:eastAsia="Calibri" w:hAnsi="Arial" w:cs="Arial"/>
          <w:kern w:val="2"/>
        </w:rPr>
      </w:pPr>
    </w:p>
    <w:p w14:paraId="03535110" w14:textId="77777777" w:rsidR="0079130E" w:rsidRPr="0079130E" w:rsidRDefault="0079130E" w:rsidP="0079130E">
      <w:pPr>
        <w:spacing w:after="160"/>
        <w:jc w:val="both"/>
        <w:rPr>
          <w:rFonts w:ascii="Arial" w:eastAsia="Calibri" w:hAnsi="Arial" w:cs="Arial"/>
          <w:kern w:val="2"/>
        </w:rPr>
      </w:pPr>
    </w:p>
    <w:p w14:paraId="2E598730" w14:textId="77777777" w:rsidR="0079130E" w:rsidRPr="0079130E" w:rsidRDefault="0079130E" w:rsidP="0079130E">
      <w:pPr>
        <w:spacing w:after="160"/>
        <w:jc w:val="both"/>
        <w:rPr>
          <w:rFonts w:ascii="Arial" w:eastAsia="Calibri" w:hAnsi="Arial" w:cs="Arial"/>
          <w:kern w:val="2"/>
        </w:rPr>
      </w:pPr>
    </w:p>
    <w:p w14:paraId="3BA41501" w14:textId="77777777" w:rsidR="0079130E" w:rsidRPr="0079130E" w:rsidRDefault="0079130E" w:rsidP="0079130E">
      <w:pPr>
        <w:spacing w:after="160"/>
        <w:jc w:val="both"/>
        <w:rPr>
          <w:rFonts w:ascii="Arial" w:eastAsia="Calibri" w:hAnsi="Arial" w:cs="Arial"/>
          <w:kern w:val="2"/>
        </w:rPr>
      </w:pPr>
    </w:p>
    <w:p w14:paraId="6E76F0A3" w14:textId="77777777" w:rsidR="0079130E" w:rsidRPr="0079130E" w:rsidRDefault="0079130E" w:rsidP="0079130E">
      <w:pPr>
        <w:jc w:val="both"/>
        <w:rPr>
          <w:rFonts w:ascii="Arial" w:hAnsi="Arial" w:cs="Arial"/>
          <w:b/>
          <w:iCs/>
        </w:rPr>
      </w:pPr>
      <w:bookmarkStart w:id="4" w:name="_Toc166707457"/>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STYLEREF 1 \s </w:instrText>
      </w:r>
      <w:r w:rsidRPr="0079130E">
        <w:rPr>
          <w:rFonts w:ascii="Arial" w:hAnsi="Arial" w:cs="Arial"/>
          <w:b/>
          <w:iCs/>
        </w:rPr>
        <w:fldChar w:fldCharType="separate"/>
      </w:r>
      <w:r w:rsidRPr="0079130E">
        <w:rPr>
          <w:rFonts w:ascii="Arial" w:hAnsi="Arial" w:cs="Arial"/>
          <w:b/>
          <w:iCs/>
          <w:noProof/>
        </w:rPr>
        <w:t>3</w:t>
      </w:r>
      <w:r w:rsidRPr="0079130E">
        <w:rPr>
          <w:rFonts w:ascii="Arial" w:hAnsi="Arial" w:cs="Arial"/>
          <w:b/>
          <w:iCs/>
          <w:noProof/>
        </w:rPr>
        <w:fldChar w:fldCharType="end"/>
      </w:r>
      <w:r w:rsidRPr="0079130E">
        <w:rPr>
          <w:rFonts w:ascii="Arial" w:hAnsi="Arial" w:cs="Arial"/>
          <w:b/>
          <w:iCs/>
        </w:rPr>
        <w:t xml:space="preserve">: Microbial enumeration of </w:t>
      </w:r>
      <w:proofErr w:type="spellStart"/>
      <w:r w:rsidRPr="0079130E">
        <w:rPr>
          <w:rFonts w:ascii="Arial" w:hAnsi="Arial" w:cs="Arial"/>
          <w:b/>
          <w:i/>
          <w:iCs/>
        </w:rPr>
        <w:t>Daqu</w:t>
      </w:r>
      <w:proofErr w:type="spellEnd"/>
      <w:r w:rsidRPr="0079130E">
        <w:rPr>
          <w:rFonts w:ascii="Arial" w:hAnsi="Arial" w:cs="Arial"/>
          <w:b/>
          <w:iCs/>
        </w:rPr>
        <w:t xml:space="preserve"> with different colors in respect to thermotolerant bacteria (Bacillus)</w:t>
      </w:r>
      <w:bookmarkEnd w:id="4"/>
    </w:p>
    <w:p w14:paraId="63FA9912"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Where *, 0.01 ≤ p &lt; 0.05; **, 0.001 ≤ p &lt; 0.01; ***, p &lt; 0.001. The Y-axis shows the concentration level, while the X-axis shows the different </w:t>
      </w:r>
      <w:proofErr w:type="spellStart"/>
      <w:r w:rsidRPr="0079130E">
        <w:rPr>
          <w:rFonts w:ascii="Arial" w:eastAsia="Calibri" w:hAnsi="Arial" w:cs="Arial"/>
          <w:i/>
          <w:kern w:val="2"/>
        </w:rPr>
        <w:t>Daqu</w:t>
      </w:r>
      <w:proofErr w:type="spellEnd"/>
      <w:r w:rsidRPr="0079130E">
        <w:rPr>
          <w:rFonts w:ascii="Arial" w:eastAsia="Calibri" w:hAnsi="Arial" w:cs="Arial"/>
          <w:kern w:val="2"/>
        </w:rPr>
        <w:t xml:space="preserve"> samples. </w:t>
      </w:r>
    </w:p>
    <w:p w14:paraId="1FCF2B1F" w14:textId="2821A9CA" w:rsidR="0079130E" w:rsidRPr="0079130E" w:rsidRDefault="0079130E" w:rsidP="0079130E">
      <w:pPr>
        <w:jc w:val="both"/>
        <w:rPr>
          <w:rFonts w:ascii="Arial" w:hAnsi="Arial" w:cs="Arial"/>
        </w:rPr>
      </w:pPr>
    </w:p>
    <w:p w14:paraId="69B60718"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3.1.4 Yeasts</w:t>
      </w:r>
    </w:p>
    <w:p w14:paraId="073B24D3" w14:textId="77777777" w:rsidR="0079130E" w:rsidRPr="0079130E" w:rsidRDefault="0079130E" w:rsidP="0079130E">
      <w:pPr>
        <w:spacing w:before="100" w:beforeAutospacing="1" w:after="100" w:afterAutospacing="1"/>
        <w:jc w:val="both"/>
        <w:rPr>
          <w:rFonts w:ascii="Arial" w:hAnsi="Arial" w:cs="Arial"/>
        </w:rPr>
      </w:pPr>
      <w:r w:rsidRPr="0079130E">
        <w:rPr>
          <w:rFonts w:ascii="Arial" w:hAnsi="Arial" w:cs="Arial"/>
        </w:rPr>
        <w:t xml:space="preserve">Yeast enumeration revealed that white </w:t>
      </w:r>
      <w:proofErr w:type="spellStart"/>
      <w:r w:rsidRPr="0079130E">
        <w:rPr>
          <w:rFonts w:ascii="Arial" w:hAnsi="Arial" w:cs="Arial"/>
        </w:rPr>
        <w:t>Daqu</w:t>
      </w:r>
      <w:proofErr w:type="spellEnd"/>
      <w:r w:rsidRPr="0079130E">
        <w:rPr>
          <w:rFonts w:ascii="Arial" w:hAnsi="Arial" w:cs="Arial"/>
        </w:rPr>
        <w:t xml:space="preserve"> exhibited the highest yeast populations, followed by yellow and black </w:t>
      </w:r>
      <w:proofErr w:type="spellStart"/>
      <w:r w:rsidRPr="0079130E">
        <w:rPr>
          <w:rFonts w:ascii="Arial" w:hAnsi="Arial" w:cs="Arial"/>
        </w:rPr>
        <w:t>Daqu</w:t>
      </w:r>
      <w:proofErr w:type="spellEnd"/>
      <w:r w:rsidRPr="0079130E">
        <w:rPr>
          <w:rFonts w:ascii="Arial" w:hAnsi="Arial" w:cs="Arial"/>
        </w:rPr>
        <w:t xml:space="preserve"> (Figure 4). Yeasts are fundamental to the processes of ethanol production, aroma development, and the secretion of hydrolases that hydrolyze starches and proteins (</w:t>
      </w:r>
      <w:proofErr w:type="spellStart"/>
      <w:r w:rsidRPr="0079130E">
        <w:rPr>
          <w:rFonts w:ascii="Arial" w:hAnsi="Arial" w:cs="Arial"/>
        </w:rPr>
        <w:t>Bretträger</w:t>
      </w:r>
      <w:proofErr w:type="spellEnd"/>
      <w:r w:rsidRPr="0079130E">
        <w:rPr>
          <w:rFonts w:ascii="Arial" w:hAnsi="Arial" w:cs="Arial"/>
        </w:rPr>
        <w:t xml:space="preserve"> et al., 2024). The observed variations in yeast counts can be attributed to factors such as fermentation temperature, porosity, oxygen diffusion, and substrate availability. Given that yeast-driven metabolic activities influence the concentrations of higher alcohols, esters, and other volatile compounds, samples with higher yeast abundance, particularly white </w:t>
      </w:r>
      <w:proofErr w:type="spellStart"/>
      <w:r w:rsidRPr="0079130E">
        <w:rPr>
          <w:rFonts w:ascii="Arial" w:hAnsi="Arial" w:cs="Arial"/>
        </w:rPr>
        <w:t>Daqu</w:t>
      </w:r>
      <w:proofErr w:type="spellEnd"/>
      <w:r w:rsidRPr="0079130E">
        <w:rPr>
          <w:rFonts w:ascii="Arial" w:hAnsi="Arial" w:cs="Arial"/>
        </w:rPr>
        <w:t>, are likely to exhibit more intricate aromatic profiles (Hu et al., 2025). Consequently, strategic management of yeast populations is crucial for fostering beneficial yeast species while suppressing undesirable ones that may lead to off-flavor production.</w:t>
      </w:r>
    </w:p>
    <w:p w14:paraId="030064DC" w14:textId="77777777" w:rsidR="0079130E" w:rsidRPr="0079130E" w:rsidRDefault="0079130E" w:rsidP="0079130E">
      <w:pPr>
        <w:spacing w:after="160"/>
        <w:jc w:val="both"/>
        <w:rPr>
          <w:rFonts w:ascii="Arial" w:eastAsia="Calibri" w:hAnsi="Arial" w:cs="Arial"/>
          <w:kern w:val="2"/>
        </w:rPr>
      </w:pPr>
    </w:p>
    <w:p w14:paraId="4129F3DC" w14:textId="77777777" w:rsidR="0079130E" w:rsidRPr="0079130E" w:rsidRDefault="0079130E" w:rsidP="0079130E">
      <w:pPr>
        <w:spacing w:after="160"/>
        <w:jc w:val="both"/>
        <w:rPr>
          <w:rFonts w:ascii="Arial" w:eastAsia="Calibri" w:hAnsi="Arial" w:cs="Arial"/>
          <w:kern w:val="2"/>
        </w:rPr>
      </w:pPr>
    </w:p>
    <w:p w14:paraId="017D11A6"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noProof/>
          <w:kern w:val="2"/>
        </w:rPr>
        <w:drawing>
          <wp:anchor distT="0" distB="0" distL="114300" distR="114300" simplePos="0" relativeHeight="251657728" behindDoc="0" locked="0" layoutInCell="1" allowOverlap="1" wp14:anchorId="2C610559" wp14:editId="2116E9CC">
            <wp:simplePos x="0" y="0"/>
            <wp:positionH relativeFrom="margin">
              <wp:posOffset>1678877</wp:posOffset>
            </wp:positionH>
            <wp:positionV relativeFrom="paragraph">
              <wp:posOffset>-391281</wp:posOffset>
            </wp:positionV>
            <wp:extent cx="1962099" cy="2958597"/>
            <wp:effectExtent l="0" t="0" r="63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62099" cy="2958597"/>
                    </a:xfrm>
                    <a:prstGeom prst="rect">
                      <a:avLst/>
                    </a:prstGeom>
                  </pic:spPr>
                </pic:pic>
              </a:graphicData>
            </a:graphic>
            <wp14:sizeRelH relativeFrom="page">
              <wp14:pctWidth>0</wp14:pctWidth>
            </wp14:sizeRelH>
            <wp14:sizeRelV relativeFrom="page">
              <wp14:pctHeight>0</wp14:pctHeight>
            </wp14:sizeRelV>
          </wp:anchor>
        </w:drawing>
      </w:r>
    </w:p>
    <w:p w14:paraId="361AC5CD" w14:textId="77777777" w:rsidR="0079130E" w:rsidRPr="0079130E" w:rsidRDefault="0079130E" w:rsidP="0079130E">
      <w:pPr>
        <w:spacing w:after="160"/>
        <w:jc w:val="both"/>
        <w:rPr>
          <w:rFonts w:ascii="Arial" w:eastAsia="Calibri" w:hAnsi="Arial" w:cs="Arial"/>
          <w:kern w:val="2"/>
        </w:rPr>
      </w:pPr>
    </w:p>
    <w:p w14:paraId="3C2321AA" w14:textId="77777777" w:rsidR="0079130E" w:rsidRPr="0079130E" w:rsidRDefault="0079130E" w:rsidP="0079130E">
      <w:pPr>
        <w:spacing w:after="160"/>
        <w:jc w:val="both"/>
        <w:rPr>
          <w:rFonts w:ascii="Arial" w:eastAsia="Calibri" w:hAnsi="Arial" w:cs="Arial"/>
          <w:kern w:val="2"/>
        </w:rPr>
      </w:pPr>
    </w:p>
    <w:p w14:paraId="2ACF540C" w14:textId="77777777" w:rsidR="0079130E" w:rsidRPr="0079130E" w:rsidRDefault="0079130E" w:rsidP="0079130E">
      <w:pPr>
        <w:spacing w:after="160"/>
        <w:jc w:val="both"/>
        <w:rPr>
          <w:rFonts w:ascii="Arial" w:eastAsia="Calibri" w:hAnsi="Arial" w:cs="Arial"/>
          <w:kern w:val="2"/>
        </w:rPr>
      </w:pPr>
    </w:p>
    <w:p w14:paraId="6ED8094D" w14:textId="77777777" w:rsidR="0079130E" w:rsidRPr="0079130E" w:rsidRDefault="0079130E" w:rsidP="0079130E">
      <w:pPr>
        <w:spacing w:after="160"/>
        <w:jc w:val="both"/>
        <w:rPr>
          <w:rFonts w:ascii="Arial" w:eastAsia="Calibri" w:hAnsi="Arial" w:cs="Arial"/>
          <w:kern w:val="2"/>
        </w:rPr>
      </w:pPr>
    </w:p>
    <w:p w14:paraId="70E9D0F8" w14:textId="77777777" w:rsidR="0079130E" w:rsidRPr="0079130E" w:rsidRDefault="0079130E" w:rsidP="0079130E">
      <w:pPr>
        <w:spacing w:after="160"/>
        <w:jc w:val="both"/>
        <w:rPr>
          <w:rFonts w:ascii="Arial" w:eastAsia="Calibri" w:hAnsi="Arial" w:cs="Arial"/>
          <w:kern w:val="2"/>
        </w:rPr>
      </w:pPr>
    </w:p>
    <w:p w14:paraId="5502BFFD" w14:textId="77777777" w:rsidR="0079130E" w:rsidRPr="0079130E" w:rsidRDefault="0079130E" w:rsidP="0079130E">
      <w:pPr>
        <w:spacing w:after="160"/>
        <w:jc w:val="both"/>
        <w:rPr>
          <w:rFonts w:ascii="Arial" w:eastAsia="Calibri" w:hAnsi="Arial" w:cs="Arial"/>
          <w:kern w:val="2"/>
        </w:rPr>
      </w:pPr>
    </w:p>
    <w:p w14:paraId="658C3D87" w14:textId="77777777" w:rsidR="0079130E" w:rsidRPr="0079130E" w:rsidRDefault="0079130E" w:rsidP="0079130E">
      <w:pPr>
        <w:spacing w:after="160"/>
        <w:jc w:val="both"/>
        <w:rPr>
          <w:rFonts w:ascii="Arial" w:eastAsia="Calibri" w:hAnsi="Arial" w:cs="Arial"/>
          <w:kern w:val="2"/>
        </w:rPr>
      </w:pPr>
    </w:p>
    <w:p w14:paraId="50213E1B" w14:textId="77777777" w:rsidR="0079130E" w:rsidRPr="0079130E" w:rsidRDefault="0079130E" w:rsidP="0079130E">
      <w:pPr>
        <w:spacing w:after="160"/>
        <w:jc w:val="both"/>
        <w:rPr>
          <w:rFonts w:ascii="Arial" w:eastAsia="Calibri" w:hAnsi="Arial" w:cs="Arial"/>
          <w:kern w:val="2"/>
        </w:rPr>
      </w:pPr>
    </w:p>
    <w:p w14:paraId="1F55AD37" w14:textId="77777777" w:rsidR="0079130E" w:rsidRDefault="0079130E" w:rsidP="0079130E">
      <w:pPr>
        <w:jc w:val="both"/>
        <w:rPr>
          <w:rFonts w:ascii="Arial" w:hAnsi="Arial" w:cs="Arial"/>
          <w:b/>
          <w:iCs/>
        </w:rPr>
      </w:pPr>
      <w:bookmarkStart w:id="5" w:name="_Toc166707458"/>
    </w:p>
    <w:p w14:paraId="79C8A546" w14:textId="77777777" w:rsidR="0079130E" w:rsidRDefault="0079130E" w:rsidP="0079130E">
      <w:pPr>
        <w:jc w:val="both"/>
        <w:rPr>
          <w:rFonts w:ascii="Arial" w:hAnsi="Arial" w:cs="Arial"/>
          <w:b/>
          <w:iCs/>
        </w:rPr>
      </w:pPr>
    </w:p>
    <w:p w14:paraId="26587863" w14:textId="1C6214E7" w:rsidR="0079130E" w:rsidRPr="0079130E" w:rsidRDefault="0079130E" w:rsidP="0079130E">
      <w:pPr>
        <w:jc w:val="both"/>
        <w:rPr>
          <w:rFonts w:ascii="Arial" w:hAnsi="Arial" w:cs="Arial"/>
          <w:b/>
          <w:iCs/>
        </w:rPr>
      </w:pPr>
      <w:r w:rsidRPr="0079130E">
        <w:rPr>
          <w:rFonts w:ascii="Arial" w:hAnsi="Arial" w:cs="Arial"/>
          <w:b/>
          <w:iCs/>
        </w:rPr>
        <w:lastRenderedPageBreak/>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4</w:t>
      </w:r>
      <w:r w:rsidRPr="0079130E">
        <w:rPr>
          <w:rFonts w:ascii="Arial" w:hAnsi="Arial" w:cs="Arial"/>
          <w:b/>
          <w:iCs/>
          <w:noProof/>
        </w:rPr>
        <w:fldChar w:fldCharType="end"/>
      </w:r>
      <w:r w:rsidRPr="0079130E">
        <w:rPr>
          <w:rFonts w:ascii="Arial" w:hAnsi="Arial" w:cs="Arial"/>
          <w:b/>
          <w:iCs/>
        </w:rPr>
        <w:t xml:space="preserve">: Microbial enumeration of </w:t>
      </w:r>
      <w:proofErr w:type="spellStart"/>
      <w:r w:rsidRPr="0079130E">
        <w:rPr>
          <w:rFonts w:ascii="Arial" w:hAnsi="Arial" w:cs="Arial"/>
          <w:b/>
          <w:i/>
          <w:iCs/>
        </w:rPr>
        <w:t>Daqu</w:t>
      </w:r>
      <w:proofErr w:type="spellEnd"/>
      <w:r w:rsidRPr="0079130E">
        <w:rPr>
          <w:rFonts w:ascii="Arial" w:hAnsi="Arial" w:cs="Arial"/>
          <w:b/>
          <w:iCs/>
        </w:rPr>
        <w:t xml:space="preserve"> with different colors in respect to fungi</w:t>
      </w:r>
      <w:bookmarkEnd w:id="5"/>
      <w:r w:rsidRPr="0079130E">
        <w:rPr>
          <w:rFonts w:ascii="Arial" w:hAnsi="Arial" w:cs="Arial"/>
          <w:b/>
          <w:iCs/>
        </w:rPr>
        <w:t xml:space="preserve"> </w:t>
      </w:r>
    </w:p>
    <w:p w14:paraId="2B0F3AFE"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Where *, 0.01 ≤ p &lt; 0.05; **, 0.001 ≤ p &lt; 0.01; ***, p &lt; 0.001. The Y-axis shows the concentration level, while the X-axis shows the different </w:t>
      </w:r>
      <w:proofErr w:type="spellStart"/>
      <w:r w:rsidRPr="0079130E">
        <w:rPr>
          <w:rFonts w:ascii="Arial" w:eastAsia="Calibri" w:hAnsi="Arial" w:cs="Arial"/>
          <w:i/>
          <w:kern w:val="2"/>
        </w:rPr>
        <w:t>Daqu</w:t>
      </w:r>
      <w:proofErr w:type="spellEnd"/>
      <w:r w:rsidRPr="0079130E">
        <w:rPr>
          <w:rFonts w:ascii="Arial" w:eastAsia="Calibri" w:hAnsi="Arial" w:cs="Arial"/>
          <w:kern w:val="2"/>
        </w:rPr>
        <w:t xml:space="preserve"> samples.</w:t>
      </w:r>
    </w:p>
    <w:p w14:paraId="0256F1A0" w14:textId="77777777" w:rsidR="0079130E" w:rsidRPr="0079130E" w:rsidRDefault="0079130E" w:rsidP="0079130E">
      <w:pPr>
        <w:jc w:val="both"/>
        <w:rPr>
          <w:rFonts w:ascii="Arial" w:hAnsi="Arial" w:cs="Arial"/>
        </w:rPr>
      </w:pPr>
    </w:p>
    <w:p w14:paraId="4062FFF4" w14:textId="77777777" w:rsidR="0079130E" w:rsidRPr="0079130E" w:rsidRDefault="0079130E" w:rsidP="0079130E">
      <w:pPr>
        <w:jc w:val="both"/>
        <w:rPr>
          <w:rFonts w:ascii="Arial" w:hAnsi="Arial" w:cs="Arial"/>
        </w:rPr>
      </w:pPr>
    </w:p>
    <w:p w14:paraId="31020AC9"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3.1.5 Mold</w:t>
      </w:r>
    </w:p>
    <w:p w14:paraId="36647E03" w14:textId="77777777" w:rsidR="0079130E" w:rsidRPr="0079130E" w:rsidRDefault="0079130E" w:rsidP="0079130E">
      <w:pPr>
        <w:rPr>
          <w:rFonts w:ascii="Arial" w:eastAsia="Calibri" w:hAnsi="Arial" w:cs="Arial"/>
          <w:b/>
          <w:bCs/>
          <w:kern w:val="2"/>
        </w:rPr>
      </w:pPr>
    </w:p>
    <w:p w14:paraId="48430D62" w14:textId="77777777" w:rsidR="0079130E" w:rsidRPr="0079130E" w:rsidRDefault="0079130E" w:rsidP="0079130E">
      <w:pPr>
        <w:jc w:val="both"/>
        <w:rPr>
          <w:rFonts w:ascii="Arial" w:eastAsia="Calibri" w:hAnsi="Arial" w:cs="Arial"/>
          <w:kern w:val="2"/>
        </w:rPr>
      </w:pPr>
      <w:r w:rsidRPr="0079130E">
        <w:rPr>
          <w:rFonts w:ascii="Arial" w:eastAsia="Calibri" w:hAnsi="Arial" w:cs="Arial"/>
          <w:kern w:val="2"/>
        </w:rPr>
        <w:t xml:space="preserve">Molds such as Aspergillus, Rhizopus, and </w:t>
      </w:r>
      <w:proofErr w:type="spellStart"/>
      <w:r w:rsidRPr="0079130E">
        <w:rPr>
          <w:rFonts w:ascii="Arial" w:eastAsia="Calibri" w:hAnsi="Arial" w:cs="Arial"/>
          <w:kern w:val="2"/>
        </w:rPr>
        <w:t>Monascus</w:t>
      </w:r>
      <w:proofErr w:type="spellEnd"/>
      <w:r w:rsidRPr="0079130E">
        <w:rPr>
          <w:rFonts w:ascii="Arial" w:eastAsia="Calibri" w:hAnsi="Arial" w:cs="Arial"/>
          <w:kern w:val="2"/>
        </w:rPr>
        <w:t xml:space="preserve"> are critical in the production of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primarily due to their capacity to secrete amylolytic and proteolytic enzymes that promote the saccharification process (Bai et al., 2024). Analysis of mold counts shows no significant variation between black and yellow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however, white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exhibited significantly higher mold loads, as illustrated in Figure 5. It is essential to note that excessive mold proliferation could lead to concerns regarding mycotoxin contamination and spoilage, necessitating meticulous monitoring strategies. Environmental parameters, particularly moisture content, aeration, and temperature, are crucial determinants of mold development (</w:t>
      </w:r>
      <w:proofErr w:type="spellStart"/>
      <w:r w:rsidRPr="0079130E">
        <w:rPr>
          <w:rFonts w:ascii="Arial" w:eastAsia="Calibri" w:hAnsi="Arial" w:cs="Arial"/>
          <w:kern w:val="2"/>
        </w:rPr>
        <w:t>Qiao</w:t>
      </w:r>
      <w:proofErr w:type="spellEnd"/>
      <w:r w:rsidRPr="0079130E">
        <w:rPr>
          <w:rFonts w:ascii="Arial" w:eastAsia="Calibri" w:hAnsi="Arial" w:cs="Arial"/>
          <w:kern w:val="2"/>
        </w:rPr>
        <w:t xml:space="preserve"> et al., 2024). The comparable mold counts observed in black and yellow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may indicate the stabilizing influence of high-temperature fermentation, which tends to favor thermophilic and xerophilic fungal populations.</w:t>
      </w:r>
    </w:p>
    <w:p w14:paraId="4F654FB4" w14:textId="77777777" w:rsidR="0079130E" w:rsidRPr="0079130E" w:rsidRDefault="0079130E" w:rsidP="0079130E">
      <w:pPr>
        <w:jc w:val="both"/>
        <w:rPr>
          <w:rFonts w:ascii="Arial" w:eastAsia="Calibri" w:hAnsi="Arial" w:cs="Arial"/>
          <w:b/>
          <w:bCs/>
          <w:kern w:val="2"/>
        </w:rPr>
      </w:pPr>
    </w:p>
    <w:p w14:paraId="7CAF83D4" w14:textId="77777777" w:rsidR="0079130E" w:rsidRPr="0079130E" w:rsidRDefault="0079130E" w:rsidP="0079130E">
      <w:pPr>
        <w:keepNext/>
        <w:keepLines/>
        <w:spacing w:before="160" w:after="80"/>
        <w:jc w:val="both"/>
        <w:outlineLvl w:val="2"/>
        <w:rPr>
          <w:rFonts w:ascii="Arial" w:hAnsi="Arial" w:cs="Arial"/>
          <w:b/>
          <w:bCs/>
          <w:kern w:val="2"/>
        </w:rPr>
      </w:pPr>
      <w:r w:rsidRPr="0079130E">
        <w:rPr>
          <w:rFonts w:ascii="Arial" w:hAnsi="Arial" w:cs="Arial"/>
          <w:b/>
          <w:bCs/>
          <w:noProof/>
          <w:kern w:val="2"/>
        </w:rPr>
        <w:drawing>
          <wp:anchor distT="0" distB="0" distL="114300" distR="114300" simplePos="0" relativeHeight="251658752" behindDoc="1" locked="0" layoutInCell="1" allowOverlap="1" wp14:anchorId="0713EF02" wp14:editId="22C4E689">
            <wp:simplePos x="0" y="0"/>
            <wp:positionH relativeFrom="column">
              <wp:posOffset>1807658</wp:posOffset>
            </wp:positionH>
            <wp:positionV relativeFrom="paragraph">
              <wp:posOffset>21094</wp:posOffset>
            </wp:positionV>
            <wp:extent cx="1936115" cy="2774315"/>
            <wp:effectExtent l="0" t="0" r="0"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936115" cy="2774315"/>
                    </a:xfrm>
                    <a:prstGeom prst="rect">
                      <a:avLst/>
                    </a:prstGeom>
                  </pic:spPr>
                </pic:pic>
              </a:graphicData>
            </a:graphic>
            <wp14:sizeRelH relativeFrom="page">
              <wp14:pctWidth>0</wp14:pctWidth>
            </wp14:sizeRelH>
            <wp14:sizeRelV relativeFrom="page">
              <wp14:pctHeight>0</wp14:pctHeight>
            </wp14:sizeRelV>
          </wp:anchor>
        </w:drawing>
      </w:r>
      <w:bookmarkStart w:id="6" w:name="_Toc166707459"/>
      <w:r w:rsidRPr="0079130E">
        <w:rPr>
          <w:rFonts w:ascii="Arial" w:hAnsi="Arial" w:cs="Arial"/>
          <w:b/>
          <w:bCs/>
          <w:kern w:val="2"/>
        </w:rPr>
        <w:t xml:space="preserve">Figure </w:t>
      </w:r>
      <w:r w:rsidRPr="0079130E">
        <w:rPr>
          <w:rFonts w:ascii="Arial" w:hAnsi="Arial" w:cs="Arial"/>
          <w:b/>
          <w:bCs/>
          <w:kern w:val="2"/>
        </w:rPr>
        <w:fldChar w:fldCharType="begin"/>
      </w:r>
      <w:r w:rsidRPr="0079130E">
        <w:rPr>
          <w:rFonts w:ascii="Arial" w:hAnsi="Arial" w:cs="Arial"/>
          <w:b/>
          <w:bCs/>
          <w:kern w:val="2"/>
        </w:rPr>
        <w:instrText xml:space="preserve"> SEQ Figure \* ARABIC \s 1 </w:instrText>
      </w:r>
      <w:r w:rsidRPr="0079130E">
        <w:rPr>
          <w:rFonts w:ascii="Arial" w:hAnsi="Arial" w:cs="Arial"/>
          <w:b/>
          <w:bCs/>
          <w:kern w:val="2"/>
        </w:rPr>
        <w:fldChar w:fldCharType="separate"/>
      </w:r>
      <w:r w:rsidRPr="0079130E">
        <w:rPr>
          <w:rFonts w:ascii="Arial" w:hAnsi="Arial" w:cs="Arial"/>
          <w:b/>
          <w:bCs/>
          <w:noProof/>
          <w:kern w:val="2"/>
        </w:rPr>
        <w:t>5</w:t>
      </w:r>
      <w:r w:rsidRPr="0079130E">
        <w:rPr>
          <w:rFonts w:ascii="Arial" w:hAnsi="Arial" w:cs="Arial"/>
          <w:b/>
          <w:bCs/>
          <w:noProof/>
          <w:kern w:val="2"/>
        </w:rPr>
        <w:fldChar w:fldCharType="end"/>
      </w:r>
      <w:r w:rsidRPr="0079130E">
        <w:rPr>
          <w:rFonts w:ascii="Arial" w:hAnsi="Arial" w:cs="Arial"/>
          <w:b/>
          <w:bCs/>
          <w:kern w:val="2"/>
        </w:rPr>
        <w:t xml:space="preserve">: Microbial enumeration of </w:t>
      </w:r>
      <w:proofErr w:type="spellStart"/>
      <w:r w:rsidRPr="0079130E">
        <w:rPr>
          <w:rFonts w:ascii="Arial" w:hAnsi="Arial" w:cs="Arial"/>
          <w:b/>
          <w:bCs/>
          <w:i/>
          <w:kern w:val="2"/>
        </w:rPr>
        <w:t>Daqu</w:t>
      </w:r>
      <w:proofErr w:type="spellEnd"/>
      <w:r w:rsidRPr="0079130E">
        <w:rPr>
          <w:rFonts w:ascii="Arial" w:hAnsi="Arial" w:cs="Arial"/>
          <w:b/>
          <w:bCs/>
          <w:kern w:val="2"/>
        </w:rPr>
        <w:t xml:space="preserve"> with different colors with respect to mold</w:t>
      </w:r>
      <w:bookmarkEnd w:id="6"/>
    </w:p>
    <w:p w14:paraId="74615B3E"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Where *, 0.01 ≤ p &lt; 0.05; **, 0.001 ≤ p &lt; 0.01; ***, p &lt; 0.001. The Y-axis shows the concentration level, while the X-axis shows the different </w:t>
      </w:r>
      <w:proofErr w:type="spellStart"/>
      <w:r w:rsidRPr="0079130E">
        <w:rPr>
          <w:rFonts w:ascii="Arial" w:eastAsia="Calibri" w:hAnsi="Arial" w:cs="Arial"/>
          <w:i/>
          <w:kern w:val="2"/>
        </w:rPr>
        <w:t>Daqu</w:t>
      </w:r>
      <w:proofErr w:type="spellEnd"/>
      <w:r w:rsidRPr="0079130E">
        <w:rPr>
          <w:rFonts w:ascii="Arial" w:eastAsia="Calibri" w:hAnsi="Arial" w:cs="Arial"/>
          <w:kern w:val="2"/>
        </w:rPr>
        <w:t xml:space="preserve"> samples.</w:t>
      </w:r>
    </w:p>
    <w:p w14:paraId="55F643D8" w14:textId="77777777" w:rsidR="0079130E" w:rsidRPr="0079130E" w:rsidRDefault="0079130E" w:rsidP="0079130E">
      <w:pPr>
        <w:spacing w:after="160"/>
        <w:jc w:val="both"/>
        <w:rPr>
          <w:rFonts w:ascii="Arial" w:eastAsia="Calibri" w:hAnsi="Arial" w:cs="Arial"/>
          <w:kern w:val="2"/>
        </w:rPr>
      </w:pPr>
    </w:p>
    <w:p w14:paraId="6395AC14" w14:textId="77777777" w:rsidR="0079130E" w:rsidRPr="0079130E" w:rsidRDefault="0079130E" w:rsidP="0079130E">
      <w:pPr>
        <w:rPr>
          <w:rFonts w:ascii="Arial" w:eastAsia="Calibri" w:hAnsi="Arial" w:cs="Arial"/>
          <w:b/>
          <w:bCs/>
          <w:kern w:val="2"/>
        </w:rPr>
      </w:pPr>
      <w:r w:rsidRPr="0079130E">
        <w:rPr>
          <w:rFonts w:ascii="Arial" w:eastAsia="Calibri" w:hAnsi="Arial" w:cs="Arial"/>
          <w:b/>
          <w:bCs/>
          <w:kern w:val="2"/>
        </w:rPr>
        <w:t>3.2 Microbial Diversity and Community Composition</w:t>
      </w:r>
    </w:p>
    <w:p w14:paraId="7FF769B5"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3.2.1 Bacterial Community Structure</w:t>
      </w:r>
    </w:p>
    <w:p w14:paraId="519F3AEA" w14:textId="77777777" w:rsidR="0079130E" w:rsidRPr="0079130E" w:rsidRDefault="0079130E" w:rsidP="0079130E">
      <w:pPr>
        <w:spacing w:before="100" w:beforeAutospacing="1" w:after="100" w:afterAutospacing="1"/>
        <w:jc w:val="both"/>
        <w:rPr>
          <w:rFonts w:ascii="Arial" w:hAnsi="Arial" w:cs="Arial"/>
        </w:rPr>
      </w:pPr>
      <w:r w:rsidRPr="0079130E">
        <w:rPr>
          <w:rFonts w:ascii="Arial" w:hAnsi="Arial" w:cs="Arial"/>
        </w:rPr>
        <w:t xml:space="preserve">At the phylum level, bacterial communities across all </w:t>
      </w:r>
      <w:proofErr w:type="spellStart"/>
      <w:r w:rsidRPr="0079130E">
        <w:rPr>
          <w:rFonts w:ascii="Arial" w:hAnsi="Arial" w:cs="Arial"/>
        </w:rPr>
        <w:t>Daqu</w:t>
      </w:r>
      <w:proofErr w:type="spellEnd"/>
      <w:r w:rsidRPr="0079130E">
        <w:rPr>
          <w:rFonts w:ascii="Arial" w:hAnsi="Arial" w:cs="Arial"/>
        </w:rPr>
        <w:t xml:space="preserve"> types were dominated by Firmicutes (&gt;90%), followed by Actinobacteria (Figure 6). White </w:t>
      </w:r>
      <w:proofErr w:type="spellStart"/>
      <w:r w:rsidRPr="0079130E">
        <w:rPr>
          <w:rFonts w:ascii="Arial" w:hAnsi="Arial" w:cs="Arial"/>
        </w:rPr>
        <w:t>Daqu</w:t>
      </w:r>
      <w:proofErr w:type="spellEnd"/>
      <w:r w:rsidRPr="0079130E">
        <w:rPr>
          <w:rFonts w:ascii="Arial" w:hAnsi="Arial" w:cs="Arial"/>
        </w:rPr>
        <w:t xml:space="preserve"> exhibited the highest Firmicutes proportion, consistent with its elevated Bacillus and LAB counts. Black </w:t>
      </w:r>
      <w:proofErr w:type="spellStart"/>
      <w:r w:rsidRPr="0079130E">
        <w:rPr>
          <w:rFonts w:ascii="Arial" w:hAnsi="Arial" w:cs="Arial"/>
        </w:rPr>
        <w:t>Daqu</w:t>
      </w:r>
      <w:proofErr w:type="spellEnd"/>
      <w:r w:rsidRPr="0079130E">
        <w:rPr>
          <w:rFonts w:ascii="Arial" w:hAnsi="Arial" w:cs="Arial"/>
        </w:rPr>
        <w:t xml:space="preserve"> showed comparatively higher Actinobacteria levels, aligning with its enrichment in </w:t>
      </w:r>
      <w:proofErr w:type="spellStart"/>
      <w:r w:rsidRPr="0079130E">
        <w:rPr>
          <w:rFonts w:ascii="Arial" w:hAnsi="Arial" w:cs="Arial"/>
          <w:i/>
          <w:iCs/>
        </w:rPr>
        <w:t>Saccharopolyspora</w:t>
      </w:r>
      <w:proofErr w:type="spellEnd"/>
      <w:r w:rsidRPr="0079130E">
        <w:rPr>
          <w:rFonts w:ascii="Arial" w:hAnsi="Arial" w:cs="Arial"/>
        </w:rPr>
        <w:t xml:space="preserve">. At the genus level (Figure 7), </w:t>
      </w:r>
      <w:proofErr w:type="spellStart"/>
      <w:r w:rsidRPr="0079130E">
        <w:rPr>
          <w:rFonts w:ascii="Arial" w:hAnsi="Arial" w:cs="Arial"/>
          <w:i/>
          <w:iCs/>
        </w:rPr>
        <w:t>Kroppenstedtia</w:t>
      </w:r>
      <w:proofErr w:type="spellEnd"/>
      <w:r w:rsidRPr="0079130E">
        <w:rPr>
          <w:rFonts w:ascii="Arial" w:hAnsi="Arial" w:cs="Arial"/>
        </w:rPr>
        <w:t xml:space="preserve">, </w:t>
      </w:r>
      <w:proofErr w:type="spellStart"/>
      <w:r w:rsidRPr="0079130E">
        <w:rPr>
          <w:rFonts w:ascii="Arial" w:hAnsi="Arial" w:cs="Arial"/>
          <w:i/>
          <w:iCs/>
        </w:rPr>
        <w:t>Virgibacillus</w:t>
      </w:r>
      <w:proofErr w:type="spellEnd"/>
      <w:r w:rsidRPr="0079130E">
        <w:rPr>
          <w:rFonts w:ascii="Arial" w:hAnsi="Arial" w:cs="Arial"/>
        </w:rPr>
        <w:t xml:space="preserve">, and </w:t>
      </w:r>
      <w:r w:rsidRPr="0079130E">
        <w:rPr>
          <w:rFonts w:ascii="Arial" w:hAnsi="Arial" w:cs="Arial"/>
          <w:i/>
          <w:iCs/>
        </w:rPr>
        <w:t>Bacillus</w:t>
      </w:r>
      <w:r w:rsidRPr="0079130E">
        <w:rPr>
          <w:rFonts w:ascii="Arial" w:hAnsi="Arial" w:cs="Arial"/>
        </w:rPr>
        <w:t xml:space="preserve"> were dominant across samples, though with distinct compositional patterns. Black </w:t>
      </w:r>
      <w:proofErr w:type="spellStart"/>
      <w:r w:rsidRPr="0079130E">
        <w:rPr>
          <w:rFonts w:ascii="Arial" w:hAnsi="Arial" w:cs="Arial"/>
        </w:rPr>
        <w:t>Daqu</w:t>
      </w:r>
      <w:proofErr w:type="spellEnd"/>
      <w:r w:rsidRPr="0079130E">
        <w:rPr>
          <w:rFonts w:ascii="Arial" w:hAnsi="Arial" w:cs="Arial"/>
        </w:rPr>
        <w:t xml:space="preserve"> was notably enriched in </w:t>
      </w:r>
      <w:proofErr w:type="spellStart"/>
      <w:r w:rsidRPr="0079130E">
        <w:rPr>
          <w:rFonts w:ascii="Arial" w:hAnsi="Arial" w:cs="Arial"/>
          <w:i/>
          <w:iCs/>
        </w:rPr>
        <w:t>Kroppenstedtia</w:t>
      </w:r>
      <w:proofErr w:type="spellEnd"/>
      <w:r w:rsidRPr="0079130E">
        <w:rPr>
          <w:rFonts w:ascii="Arial" w:hAnsi="Arial" w:cs="Arial"/>
        </w:rPr>
        <w:t xml:space="preserve"> and </w:t>
      </w:r>
      <w:proofErr w:type="spellStart"/>
      <w:r w:rsidRPr="0079130E">
        <w:rPr>
          <w:rFonts w:ascii="Arial" w:hAnsi="Arial" w:cs="Arial"/>
          <w:i/>
          <w:iCs/>
        </w:rPr>
        <w:t>Saccharopolyspora</w:t>
      </w:r>
      <w:proofErr w:type="spellEnd"/>
      <w:r w:rsidRPr="0079130E">
        <w:rPr>
          <w:rFonts w:ascii="Arial" w:hAnsi="Arial" w:cs="Arial"/>
        </w:rPr>
        <w:t xml:space="preserve">, microorganisms that contribute to high-temperature resilience and pyrazine formation. White and yellow </w:t>
      </w:r>
      <w:proofErr w:type="spellStart"/>
      <w:r w:rsidRPr="0079130E">
        <w:rPr>
          <w:rFonts w:ascii="Arial" w:hAnsi="Arial" w:cs="Arial"/>
        </w:rPr>
        <w:t>Daqu</w:t>
      </w:r>
      <w:proofErr w:type="spellEnd"/>
      <w:r w:rsidRPr="0079130E">
        <w:rPr>
          <w:rFonts w:ascii="Arial" w:hAnsi="Arial" w:cs="Arial"/>
        </w:rPr>
        <w:t xml:space="preserve"> showed higher </w:t>
      </w:r>
      <w:proofErr w:type="spellStart"/>
      <w:r w:rsidRPr="0079130E">
        <w:rPr>
          <w:rFonts w:ascii="Arial" w:hAnsi="Arial" w:cs="Arial"/>
          <w:i/>
          <w:iCs/>
        </w:rPr>
        <w:t>Virgibacillus</w:t>
      </w:r>
      <w:proofErr w:type="spellEnd"/>
      <w:r w:rsidRPr="0079130E">
        <w:rPr>
          <w:rFonts w:ascii="Arial" w:hAnsi="Arial" w:cs="Arial"/>
        </w:rPr>
        <w:t xml:space="preserve"> abundance, consistent with enhanced enzyme production and saccharification potential. These compositional differences reflect the influence of fermentation temperature gradients and </w:t>
      </w:r>
      <w:proofErr w:type="spellStart"/>
      <w:r w:rsidRPr="0079130E">
        <w:rPr>
          <w:rFonts w:ascii="Arial" w:hAnsi="Arial" w:cs="Arial"/>
        </w:rPr>
        <w:t>heap</w:t>
      </w:r>
      <w:proofErr w:type="spellEnd"/>
      <w:r w:rsidRPr="0079130E">
        <w:rPr>
          <w:rFonts w:ascii="Arial" w:hAnsi="Arial" w:cs="Arial"/>
        </w:rPr>
        <w:t>-turning practices.</w:t>
      </w:r>
    </w:p>
    <w:p w14:paraId="64A40E14" w14:textId="77777777" w:rsidR="0079130E" w:rsidRPr="0079130E" w:rsidRDefault="0079130E" w:rsidP="0079130E">
      <w:pPr>
        <w:spacing w:after="160"/>
        <w:ind w:left="-90"/>
        <w:jc w:val="both"/>
        <w:rPr>
          <w:rFonts w:ascii="Arial" w:eastAsia="Calibri" w:hAnsi="Arial" w:cs="Arial"/>
          <w:color w:val="000000"/>
          <w:kern w:val="2"/>
        </w:rPr>
      </w:pPr>
      <w:r w:rsidRPr="0079130E">
        <w:rPr>
          <w:rFonts w:ascii="Arial" w:eastAsia="Calibri" w:hAnsi="Arial" w:cs="Arial"/>
          <w:color w:val="000000"/>
          <w:kern w:val="2"/>
        </w:rPr>
        <w:object w:dxaOrig="9588" w:dyaOrig="5406" w14:anchorId="0CC7F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7.55pt;height:200.45pt" o:ole="">
            <v:imagedata r:id="rId19" o:title=""/>
          </v:shape>
          <o:OLEObject Type="Embed" ProgID="PowerPoint.Show.12" ShapeID="_x0000_i1026" DrawAspect="Content" ObjectID="_1825322550" r:id="rId20"/>
        </w:object>
      </w:r>
    </w:p>
    <w:p w14:paraId="04BD04C3" w14:textId="77777777" w:rsidR="0079130E" w:rsidRPr="0079130E" w:rsidRDefault="0079130E" w:rsidP="0079130E">
      <w:pPr>
        <w:jc w:val="both"/>
        <w:rPr>
          <w:rFonts w:ascii="Arial" w:hAnsi="Arial" w:cs="Arial"/>
          <w:b/>
          <w:iCs/>
        </w:rPr>
      </w:pPr>
      <w:bookmarkStart w:id="7" w:name="_Toc166707460"/>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6</w:t>
      </w:r>
      <w:r w:rsidRPr="0079130E">
        <w:rPr>
          <w:rFonts w:ascii="Arial" w:hAnsi="Arial" w:cs="Arial"/>
          <w:b/>
          <w:iCs/>
          <w:noProof/>
        </w:rPr>
        <w:fldChar w:fldCharType="end"/>
      </w:r>
      <w:r w:rsidRPr="0079130E">
        <w:rPr>
          <w:rFonts w:ascii="Arial" w:hAnsi="Arial" w:cs="Arial"/>
          <w:b/>
          <w:iCs/>
        </w:rPr>
        <w:t>: Relative abundance of bacteria at the phylum level</w:t>
      </w:r>
      <w:bookmarkEnd w:id="7"/>
    </w:p>
    <w:p w14:paraId="626C6B1A" w14:textId="77777777" w:rsidR="0079130E" w:rsidRPr="0079130E" w:rsidRDefault="0079130E" w:rsidP="0079130E">
      <w:pPr>
        <w:spacing w:after="160"/>
        <w:ind w:left="990"/>
        <w:jc w:val="both"/>
        <w:rPr>
          <w:rFonts w:ascii="Arial" w:eastAsia="Calibri" w:hAnsi="Arial" w:cs="Arial"/>
          <w:b/>
          <w:color w:val="000000"/>
          <w:kern w:val="2"/>
        </w:rPr>
      </w:pPr>
      <w:r w:rsidRPr="0079130E">
        <w:rPr>
          <w:rFonts w:ascii="Arial" w:eastAsia="Calibri" w:hAnsi="Arial" w:cs="Arial"/>
          <w:b/>
          <w:color w:val="000000"/>
          <w:kern w:val="2"/>
        </w:rPr>
        <w:object w:dxaOrig="9588" w:dyaOrig="5406" w14:anchorId="6E6084A7">
          <v:shape id="_x0000_i1027" type="#_x0000_t75" style="width:380.45pt;height:214.35pt" o:ole="">
            <v:imagedata r:id="rId21" o:title=""/>
          </v:shape>
          <o:OLEObject Type="Embed" ProgID="PowerPoint.Show.12" ShapeID="_x0000_i1027" DrawAspect="Content" ObjectID="_1825322551" r:id="rId22"/>
        </w:object>
      </w:r>
    </w:p>
    <w:p w14:paraId="7455C279" w14:textId="77777777" w:rsidR="0079130E" w:rsidRPr="0079130E" w:rsidRDefault="0079130E" w:rsidP="0079130E">
      <w:pPr>
        <w:jc w:val="both"/>
        <w:rPr>
          <w:rFonts w:ascii="Arial" w:hAnsi="Arial" w:cs="Arial"/>
          <w:b/>
          <w:iCs/>
          <w:color w:val="000000"/>
        </w:rPr>
      </w:pPr>
      <w:bookmarkStart w:id="8" w:name="_Toc166707461"/>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7</w:t>
      </w:r>
      <w:r w:rsidRPr="0079130E">
        <w:rPr>
          <w:rFonts w:ascii="Arial" w:hAnsi="Arial" w:cs="Arial"/>
          <w:b/>
          <w:iCs/>
          <w:noProof/>
        </w:rPr>
        <w:fldChar w:fldCharType="end"/>
      </w:r>
      <w:r w:rsidRPr="0079130E">
        <w:rPr>
          <w:rFonts w:ascii="Arial" w:hAnsi="Arial" w:cs="Arial"/>
          <w:b/>
          <w:iCs/>
          <w:color w:val="000000"/>
        </w:rPr>
        <w:t>: Relative abundance of bacteria at genus level</w:t>
      </w:r>
      <w:bookmarkEnd w:id="8"/>
    </w:p>
    <w:p w14:paraId="191289BB" w14:textId="77777777" w:rsidR="0079130E" w:rsidRPr="0079130E" w:rsidRDefault="0079130E" w:rsidP="0079130E">
      <w:pPr>
        <w:spacing w:before="100" w:beforeAutospacing="1" w:after="100" w:afterAutospacing="1"/>
        <w:jc w:val="both"/>
        <w:rPr>
          <w:rFonts w:ascii="Arial" w:hAnsi="Arial" w:cs="Arial"/>
        </w:rPr>
      </w:pPr>
    </w:p>
    <w:p w14:paraId="773A8274"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3.2.2 Fungal Community Structure</w:t>
      </w:r>
    </w:p>
    <w:p w14:paraId="1AAB8CD6" w14:textId="77777777" w:rsidR="0079130E" w:rsidRPr="0079130E" w:rsidRDefault="0079130E" w:rsidP="0079130E">
      <w:pPr>
        <w:rPr>
          <w:rFonts w:ascii="Arial" w:eastAsia="Calibri" w:hAnsi="Arial" w:cs="Arial"/>
          <w:b/>
          <w:bCs/>
          <w:kern w:val="2"/>
        </w:rPr>
      </w:pPr>
    </w:p>
    <w:p w14:paraId="4246A869" w14:textId="77777777" w:rsidR="0079130E" w:rsidRPr="0079130E" w:rsidRDefault="0079130E" w:rsidP="0079130E">
      <w:pPr>
        <w:jc w:val="both"/>
        <w:rPr>
          <w:rFonts w:ascii="Arial" w:eastAsia="Calibri" w:hAnsi="Arial" w:cs="Arial"/>
          <w:kern w:val="2"/>
        </w:rPr>
      </w:pPr>
      <w:r w:rsidRPr="0079130E">
        <w:rPr>
          <w:rFonts w:ascii="Arial" w:eastAsia="Calibri" w:hAnsi="Arial" w:cs="Arial"/>
          <w:kern w:val="2"/>
        </w:rPr>
        <w:t xml:space="preserve">Fungal communities in all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samples were overwhelmingly dominated by Ascomycota, which accounted for 97.89%–99.45% of the total fungal biomass. This phylum is well recognized for its thermotolerance and strong saccharification potential in high-temperature fermentation systems (Yang et al., 2024). At the genus level, </w:t>
      </w:r>
      <w:proofErr w:type="spellStart"/>
      <w:r w:rsidRPr="0079130E">
        <w:rPr>
          <w:rFonts w:ascii="Arial" w:eastAsia="Calibri" w:hAnsi="Arial" w:cs="Arial"/>
          <w:kern w:val="2"/>
        </w:rPr>
        <w:t>Thermoascus</w:t>
      </w:r>
      <w:proofErr w:type="spellEnd"/>
      <w:r w:rsidRPr="0079130E">
        <w:rPr>
          <w:rFonts w:ascii="Arial" w:eastAsia="Calibri" w:hAnsi="Arial" w:cs="Arial"/>
          <w:kern w:val="2"/>
        </w:rPr>
        <w:t xml:space="preserve">, </w:t>
      </w:r>
      <w:proofErr w:type="spellStart"/>
      <w:r w:rsidRPr="0079130E">
        <w:rPr>
          <w:rFonts w:ascii="Arial" w:eastAsia="Calibri" w:hAnsi="Arial" w:cs="Arial"/>
          <w:kern w:val="2"/>
        </w:rPr>
        <w:t>Thermomyces</w:t>
      </w:r>
      <w:proofErr w:type="spellEnd"/>
      <w:r w:rsidRPr="0079130E">
        <w:rPr>
          <w:rFonts w:ascii="Arial" w:eastAsia="Calibri" w:hAnsi="Arial" w:cs="Arial"/>
          <w:kern w:val="2"/>
        </w:rPr>
        <w:t xml:space="preserve">, and </w:t>
      </w:r>
      <w:proofErr w:type="spellStart"/>
      <w:r w:rsidRPr="0079130E">
        <w:rPr>
          <w:rFonts w:ascii="Arial" w:eastAsia="Calibri" w:hAnsi="Arial" w:cs="Arial"/>
          <w:kern w:val="2"/>
        </w:rPr>
        <w:t>Rasamsonia</w:t>
      </w:r>
      <w:proofErr w:type="spellEnd"/>
      <w:r w:rsidRPr="0079130E">
        <w:rPr>
          <w:rFonts w:ascii="Arial" w:eastAsia="Calibri" w:hAnsi="Arial" w:cs="Arial"/>
          <w:kern w:val="2"/>
        </w:rPr>
        <w:t xml:space="preserve"> consistently emerged as the core functional taxa (Figure 8), confirming their central role in carbohydrate degradation and aroma precursor formation during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maturation. Interestingly, White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contained the highest relative abundance of </w:t>
      </w:r>
      <w:proofErr w:type="spellStart"/>
      <w:r w:rsidRPr="0079130E">
        <w:rPr>
          <w:rFonts w:ascii="Arial" w:eastAsia="Calibri" w:hAnsi="Arial" w:cs="Arial"/>
          <w:i/>
          <w:iCs/>
          <w:kern w:val="2"/>
        </w:rPr>
        <w:t>Rasamsonia</w:t>
      </w:r>
      <w:proofErr w:type="spellEnd"/>
      <w:r w:rsidRPr="0079130E">
        <w:rPr>
          <w:rFonts w:ascii="Arial" w:eastAsia="Calibri" w:hAnsi="Arial" w:cs="Arial"/>
          <w:kern w:val="2"/>
        </w:rPr>
        <w:t xml:space="preserve">, a genus associated with vigorous </w:t>
      </w:r>
      <w:proofErr w:type="spellStart"/>
      <w:r w:rsidRPr="0079130E">
        <w:rPr>
          <w:rFonts w:ascii="Arial" w:eastAsia="Calibri" w:hAnsi="Arial" w:cs="Arial"/>
          <w:kern w:val="2"/>
        </w:rPr>
        <w:t>hemicellulase</w:t>
      </w:r>
      <w:proofErr w:type="spellEnd"/>
      <w:r w:rsidRPr="0079130E">
        <w:rPr>
          <w:rFonts w:ascii="Arial" w:eastAsia="Calibri" w:hAnsi="Arial" w:cs="Arial"/>
          <w:kern w:val="2"/>
        </w:rPr>
        <w:t xml:space="preserve"> and cellulase production. Its enrichment suggests a more active saccharification environment in WQ, potentially supporting the higher availability of fermentable sugars observed in similarly processed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In contrast, Black and Yellow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exhibited greater proportions of </w:t>
      </w:r>
      <w:proofErr w:type="spellStart"/>
      <w:r w:rsidRPr="0079130E">
        <w:rPr>
          <w:rFonts w:ascii="Arial" w:eastAsia="Calibri" w:hAnsi="Arial" w:cs="Arial"/>
          <w:i/>
          <w:iCs/>
          <w:kern w:val="2"/>
        </w:rPr>
        <w:t>Thermomyces</w:t>
      </w:r>
      <w:proofErr w:type="spellEnd"/>
      <w:r w:rsidRPr="0079130E">
        <w:rPr>
          <w:rFonts w:ascii="Arial" w:eastAsia="Calibri" w:hAnsi="Arial" w:cs="Arial"/>
          <w:kern w:val="2"/>
        </w:rPr>
        <w:t xml:space="preserve"> and </w:t>
      </w:r>
      <w:proofErr w:type="spellStart"/>
      <w:r w:rsidRPr="0079130E">
        <w:rPr>
          <w:rFonts w:ascii="Arial" w:eastAsia="Calibri" w:hAnsi="Arial" w:cs="Arial"/>
          <w:i/>
          <w:iCs/>
          <w:kern w:val="2"/>
        </w:rPr>
        <w:t>Thermoascus</w:t>
      </w:r>
      <w:proofErr w:type="spellEnd"/>
      <w:r w:rsidRPr="0079130E">
        <w:rPr>
          <w:rFonts w:ascii="Arial" w:eastAsia="Calibri" w:hAnsi="Arial" w:cs="Arial"/>
          <w:kern w:val="2"/>
        </w:rPr>
        <w:t xml:space="preserve"> thermophilic genera known to secrete a suite of thermostable enzymes, including amylases, lipases, and proteases. Their dominance is consistent with the elevated thermal load typically experienced by BQ and YQ during heap fermentation.</w:t>
      </w:r>
    </w:p>
    <w:p w14:paraId="2BB7A69A" w14:textId="77777777" w:rsidR="0079130E" w:rsidRPr="0079130E" w:rsidRDefault="0079130E" w:rsidP="0079130E">
      <w:pPr>
        <w:jc w:val="both"/>
        <w:rPr>
          <w:rFonts w:ascii="Arial" w:eastAsia="Calibri" w:hAnsi="Arial" w:cs="Arial"/>
          <w:b/>
          <w:bCs/>
          <w:kern w:val="2"/>
        </w:rPr>
      </w:pPr>
    </w:p>
    <w:p w14:paraId="3F7F2F59" w14:textId="77777777" w:rsidR="0079130E" w:rsidRPr="0079130E" w:rsidRDefault="0079130E" w:rsidP="0079130E">
      <w:pPr>
        <w:jc w:val="both"/>
        <w:rPr>
          <w:rFonts w:ascii="Arial" w:eastAsia="Calibri" w:hAnsi="Arial" w:cs="Arial"/>
          <w:kern w:val="2"/>
        </w:rPr>
      </w:pPr>
      <w:r w:rsidRPr="0079130E">
        <w:rPr>
          <w:rFonts w:ascii="Arial" w:eastAsia="Calibri" w:hAnsi="Arial" w:cs="Arial"/>
          <w:kern w:val="2"/>
        </w:rPr>
        <w:t xml:space="preserve">These patterns highlight that fungal community succession is highly responsive to fermentation temperature gradients, localized moisture redistribution, and oxygen penetration, which together shape enzyme expression and metabolic directionality. The findings align with recent observations that high-temperature niches selectively enrich fungi capable of </w:t>
      </w:r>
      <w:r w:rsidRPr="0079130E">
        <w:rPr>
          <w:rFonts w:ascii="Arial" w:eastAsia="Calibri" w:hAnsi="Arial" w:cs="Arial"/>
          <w:kern w:val="2"/>
        </w:rPr>
        <w:lastRenderedPageBreak/>
        <w:t xml:space="preserve">sustaining intense biochemical turnover (Yao et al., 2025), underscoring their importance in driving distinct flavor trajectories across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types.</w:t>
      </w:r>
    </w:p>
    <w:p w14:paraId="0D48352A" w14:textId="77777777" w:rsidR="0079130E" w:rsidRPr="0079130E" w:rsidRDefault="0079130E" w:rsidP="0079130E">
      <w:pPr>
        <w:spacing w:after="160"/>
        <w:ind w:left="450"/>
        <w:jc w:val="both"/>
        <w:rPr>
          <w:rFonts w:ascii="Arial" w:eastAsia="Calibri" w:hAnsi="Arial" w:cs="Arial"/>
          <w:color w:val="000000"/>
          <w:kern w:val="2"/>
        </w:rPr>
      </w:pPr>
      <w:r w:rsidRPr="0079130E">
        <w:rPr>
          <w:rFonts w:ascii="Arial" w:eastAsia="Calibri" w:hAnsi="Arial" w:cs="Arial"/>
          <w:color w:val="000000"/>
          <w:kern w:val="2"/>
        </w:rPr>
        <w:object w:dxaOrig="9588" w:dyaOrig="5406" w14:anchorId="07CDE871">
          <v:shape id="_x0000_i1028" type="#_x0000_t75" style="width:398.45pt;height:224.2pt" o:ole="">
            <v:imagedata r:id="rId23" o:title=""/>
          </v:shape>
          <o:OLEObject Type="Embed" ProgID="PowerPoint.Show.12" ShapeID="_x0000_i1028" DrawAspect="Content" ObjectID="_1825322552" r:id="rId24"/>
        </w:object>
      </w:r>
    </w:p>
    <w:p w14:paraId="262C38D8" w14:textId="77777777" w:rsidR="0079130E" w:rsidRPr="0079130E" w:rsidRDefault="0079130E" w:rsidP="0079130E">
      <w:pPr>
        <w:jc w:val="both"/>
        <w:rPr>
          <w:rFonts w:ascii="Arial" w:hAnsi="Arial" w:cs="Arial"/>
          <w:b/>
          <w:iCs/>
          <w:color w:val="000000"/>
        </w:rPr>
      </w:pPr>
      <w:bookmarkStart w:id="9" w:name="_Toc166707462"/>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8</w:t>
      </w:r>
      <w:r w:rsidRPr="0079130E">
        <w:rPr>
          <w:rFonts w:ascii="Arial" w:hAnsi="Arial" w:cs="Arial"/>
          <w:b/>
          <w:iCs/>
          <w:noProof/>
        </w:rPr>
        <w:fldChar w:fldCharType="end"/>
      </w:r>
      <w:r w:rsidRPr="0079130E">
        <w:rPr>
          <w:rFonts w:ascii="Arial" w:hAnsi="Arial" w:cs="Arial"/>
          <w:b/>
          <w:iCs/>
          <w:color w:val="000000"/>
        </w:rPr>
        <w:t>: Relative abundance of fungi at genus level</w:t>
      </w:r>
      <w:bookmarkEnd w:id="9"/>
    </w:p>
    <w:p w14:paraId="098D6CDF" w14:textId="77777777" w:rsidR="0079130E" w:rsidRPr="0079130E" w:rsidRDefault="0079130E" w:rsidP="0079130E">
      <w:pPr>
        <w:spacing w:before="100" w:beforeAutospacing="1" w:after="100" w:afterAutospacing="1"/>
        <w:jc w:val="both"/>
        <w:rPr>
          <w:rFonts w:ascii="Arial" w:hAnsi="Arial" w:cs="Arial"/>
        </w:rPr>
      </w:pPr>
    </w:p>
    <w:p w14:paraId="1196558C" w14:textId="77777777" w:rsidR="0079130E" w:rsidRPr="0079130E" w:rsidRDefault="0079130E" w:rsidP="0079130E">
      <w:pPr>
        <w:jc w:val="both"/>
        <w:rPr>
          <w:rFonts w:ascii="Arial" w:hAnsi="Arial" w:cs="Arial"/>
        </w:rPr>
      </w:pPr>
    </w:p>
    <w:p w14:paraId="4F5C879E" w14:textId="77777777" w:rsidR="0079130E" w:rsidRPr="0079130E" w:rsidRDefault="0079130E" w:rsidP="0079130E">
      <w:pPr>
        <w:rPr>
          <w:rFonts w:ascii="Arial" w:eastAsia="Calibri" w:hAnsi="Arial" w:cs="Arial"/>
          <w:b/>
          <w:bCs/>
          <w:kern w:val="2"/>
        </w:rPr>
      </w:pPr>
      <w:r w:rsidRPr="0079130E">
        <w:rPr>
          <w:rFonts w:ascii="Arial" w:eastAsia="Calibri" w:hAnsi="Arial" w:cs="Arial"/>
          <w:b/>
          <w:bCs/>
          <w:kern w:val="2"/>
        </w:rPr>
        <w:t>3.3 Alpha Diversity</w:t>
      </w:r>
    </w:p>
    <w:p w14:paraId="2BCB953C" w14:textId="77777777" w:rsidR="0079130E" w:rsidRPr="0079130E" w:rsidRDefault="0079130E" w:rsidP="0079130E">
      <w:pPr>
        <w:rPr>
          <w:rFonts w:ascii="Arial" w:eastAsia="Calibri" w:hAnsi="Arial" w:cs="Arial"/>
          <w:b/>
          <w:bCs/>
          <w:kern w:val="2"/>
        </w:rPr>
      </w:pPr>
    </w:p>
    <w:p w14:paraId="3C28FAA9" w14:textId="77777777" w:rsidR="0079130E" w:rsidRPr="0079130E" w:rsidRDefault="0079130E" w:rsidP="0079130E">
      <w:pPr>
        <w:spacing w:after="160"/>
        <w:jc w:val="both"/>
        <w:rPr>
          <w:rFonts w:ascii="Arial" w:hAnsi="Arial" w:cs="Arial"/>
        </w:rPr>
      </w:pPr>
      <w:bookmarkStart w:id="10" w:name="_Toc166706727"/>
      <w:r w:rsidRPr="0079130E">
        <w:rPr>
          <w:rFonts w:ascii="Arial" w:hAnsi="Arial" w:cs="Arial"/>
        </w:rPr>
        <w:t xml:space="preserve">For fungal communities, alpha diversity indices also revealed distinct patterns across the </w:t>
      </w:r>
      <w:proofErr w:type="spellStart"/>
      <w:r w:rsidRPr="0079130E">
        <w:rPr>
          <w:rFonts w:ascii="Arial" w:hAnsi="Arial" w:cs="Arial"/>
        </w:rPr>
        <w:t>Daqu</w:t>
      </w:r>
      <w:proofErr w:type="spellEnd"/>
      <w:r w:rsidRPr="0079130E">
        <w:rPr>
          <w:rFonts w:ascii="Arial" w:hAnsi="Arial" w:cs="Arial"/>
        </w:rPr>
        <w:t xml:space="preserve"> samples, highlighting the influence of thermal gradients and substrate composition on community assembly (Table 2; Figures 9 and 10). Yellow </w:t>
      </w:r>
      <w:proofErr w:type="spellStart"/>
      <w:r w:rsidRPr="0079130E">
        <w:rPr>
          <w:rFonts w:ascii="Arial" w:hAnsi="Arial" w:cs="Arial"/>
        </w:rPr>
        <w:t>Daqu</w:t>
      </w:r>
      <w:proofErr w:type="spellEnd"/>
      <w:r w:rsidRPr="0079130E">
        <w:rPr>
          <w:rFonts w:ascii="Arial" w:hAnsi="Arial" w:cs="Arial"/>
        </w:rPr>
        <w:t xml:space="preserve"> demonstrated the highest Shannon and Chao1 values, indicating superior species richness and evenness compared to the white and black variants. This suggests that Yellow </w:t>
      </w:r>
      <w:proofErr w:type="spellStart"/>
      <w:r w:rsidRPr="0079130E">
        <w:rPr>
          <w:rFonts w:ascii="Arial" w:hAnsi="Arial" w:cs="Arial"/>
        </w:rPr>
        <w:t>Daqu</w:t>
      </w:r>
      <w:proofErr w:type="spellEnd"/>
      <w:r w:rsidRPr="0079130E">
        <w:rPr>
          <w:rFonts w:ascii="Arial" w:hAnsi="Arial" w:cs="Arial"/>
        </w:rPr>
        <w:t xml:space="preserve"> provides a more favorable ecological niche for fungal proliferation, potentially due to its intermediate fermentation temperature and balanced moisture conditions, which support both thermophilic and moderately thermotolerant taxa (Zhong et al., 2024). The elevated fungal diversity in Yellow </w:t>
      </w:r>
      <w:proofErr w:type="spellStart"/>
      <w:r w:rsidRPr="0079130E">
        <w:rPr>
          <w:rFonts w:ascii="Arial" w:hAnsi="Arial" w:cs="Arial"/>
        </w:rPr>
        <w:t>Daqu</w:t>
      </w:r>
      <w:proofErr w:type="spellEnd"/>
      <w:r w:rsidRPr="0079130E">
        <w:rPr>
          <w:rFonts w:ascii="Arial" w:hAnsi="Arial" w:cs="Arial"/>
        </w:rPr>
        <w:t xml:space="preserve"> likely contributes to its broader enzymatic repertoire, particularly in the decomposition of starches, proteins, and cell wall polysaccharides. Diverse fungal genera, including </w:t>
      </w:r>
      <w:proofErr w:type="spellStart"/>
      <w:r w:rsidRPr="0079130E">
        <w:rPr>
          <w:rFonts w:ascii="Arial" w:hAnsi="Arial" w:cs="Arial"/>
        </w:rPr>
        <w:t>Thermoascus</w:t>
      </w:r>
      <w:proofErr w:type="spellEnd"/>
      <w:r w:rsidRPr="0079130E">
        <w:rPr>
          <w:rFonts w:ascii="Arial" w:hAnsi="Arial" w:cs="Arial"/>
        </w:rPr>
        <w:t xml:space="preserve">, </w:t>
      </w:r>
      <w:proofErr w:type="spellStart"/>
      <w:r w:rsidRPr="0079130E">
        <w:rPr>
          <w:rFonts w:ascii="Arial" w:hAnsi="Arial" w:cs="Arial"/>
        </w:rPr>
        <w:t>Thermomyces</w:t>
      </w:r>
      <w:proofErr w:type="spellEnd"/>
      <w:r w:rsidRPr="0079130E">
        <w:rPr>
          <w:rFonts w:ascii="Arial" w:hAnsi="Arial" w:cs="Arial"/>
        </w:rPr>
        <w:t xml:space="preserve">, and </w:t>
      </w:r>
      <w:proofErr w:type="spellStart"/>
      <w:r w:rsidRPr="0079130E">
        <w:rPr>
          <w:rFonts w:ascii="Arial" w:hAnsi="Arial" w:cs="Arial"/>
        </w:rPr>
        <w:t>Rasamsonia</w:t>
      </w:r>
      <w:proofErr w:type="spellEnd"/>
      <w:r w:rsidRPr="0079130E">
        <w:rPr>
          <w:rFonts w:ascii="Arial" w:hAnsi="Arial" w:cs="Arial"/>
        </w:rPr>
        <w:t xml:space="preserve"> known producers of thermostable hydrolases such as amylases, proteases, and xylanases, which play essential roles in the formation of aroma precursors (Yang et al., 2024). A richer fungal community thus enhances metabolic flexibility and may partly explain the more complex and acidic volatile profile observed in Yellow </w:t>
      </w:r>
      <w:proofErr w:type="spellStart"/>
      <w:r w:rsidRPr="0079130E">
        <w:rPr>
          <w:rFonts w:ascii="Arial" w:hAnsi="Arial" w:cs="Arial"/>
        </w:rPr>
        <w:t>Daqu</w:t>
      </w:r>
      <w:proofErr w:type="spellEnd"/>
      <w:r w:rsidRPr="0079130E">
        <w:rPr>
          <w:rFonts w:ascii="Arial" w:hAnsi="Arial" w:cs="Arial"/>
        </w:rPr>
        <w:t>.</w:t>
      </w:r>
    </w:p>
    <w:p w14:paraId="0B24F366" w14:textId="77777777" w:rsidR="0079130E" w:rsidRPr="0079130E" w:rsidRDefault="0079130E" w:rsidP="0079130E">
      <w:pPr>
        <w:spacing w:before="100" w:beforeAutospacing="1" w:after="100" w:afterAutospacing="1"/>
        <w:jc w:val="both"/>
        <w:rPr>
          <w:rFonts w:ascii="Arial" w:hAnsi="Arial" w:cs="Arial"/>
        </w:rPr>
      </w:pPr>
      <w:r w:rsidRPr="0079130E">
        <w:rPr>
          <w:rFonts w:ascii="Arial" w:hAnsi="Arial" w:cs="Arial"/>
        </w:rPr>
        <w:t xml:space="preserve">Fungal alpha diversity showed similar trends, with white </w:t>
      </w:r>
      <w:proofErr w:type="spellStart"/>
      <w:r w:rsidRPr="0079130E">
        <w:rPr>
          <w:rFonts w:ascii="Arial" w:hAnsi="Arial" w:cs="Arial"/>
        </w:rPr>
        <w:t>Daqu</w:t>
      </w:r>
      <w:proofErr w:type="spellEnd"/>
      <w:r w:rsidRPr="0079130E">
        <w:rPr>
          <w:rFonts w:ascii="Arial" w:hAnsi="Arial" w:cs="Arial"/>
        </w:rPr>
        <w:t xml:space="preserve"> displaying the highest Shannon and Simpson values. Sequencing coverage exceeded 99% for all samples, confirming sufficient depth for community analysis.</w:t>
      </w:r>
    </w:p>
    <w:p w14:paraId="239A46E7" w14:textId="77777777" w:rsidR="0079130E" w:rsidRPr="0079130E" w:rsidRDefault="0079130E" w:rsidP="0079130E">
      <w:pPr>
        <w:spacing w:after="160"/>
        <w:jc w:val="both"/>
        <w:rPr>
          <w:rFonts w:ascii="Arial" w:hAnsi="Arial" w:cs="Arial"/>
          <w:b/>
          <w:bCs/>
          <w:kern w:val="2"/>
        </w:rPr>
      </w:pPr>
      <w:r w:rsidRPr="0079130E">
        <w:rPr>
          <w:rFonts w:ascii="Arial" w:eastAsia="Calibri" w:hAnsi="Arial" w:cs="Arial"/>
          <w:b/>
          <w:bCs/>
          <w:kern w:val="2"/>
        </w:rPr>
        <w:t xml:space="preserve">Table 2: </w:t>
      </w:r>
      <w:r w:rsidRPr="0079130E">
        <w:rPr>
          <w:rFonts w:ascii="Arial" w:hAnsi="Arial" w:cs="Arial"/>
          <w:b/>
          <w:bCs/>
          <w:kern w:val="2"/>
        </w:rPr>
        <w:t xml:space="preserve">Sequencing outcomes and </w:t>
      </w:r>
      <w:proofErr w:type="spellStart"/>
      <w:r w:rsidRPr="0079130E">
        <w:rPr>
          <w:rFonts w:ascii="Arial" w:hAnsi="Arial" w:cs="Arial"/>
          <w:b/>
          <w:bCs/>
          <w:i/>
          <w:kern w:val="2"/>
        </w:rPr>
        <w:t>Daqu</w:t>
      </w:r>
      <w:proofErr w:type="spellEnd"/>
      <w:r w:rsidRPr="0079130E">
        <w:rPr>
          <w:rFonts w:ascii="Arial" w:hAnsi="Arial" w:cs="Arial"/>
          <w:b/>
          <w:bCs/>
          <w:kern w:val="2"/>
        </w:rPr>
        <w:t xml:space="preserve"> samples' alpha diversity statistical analysis</w:t>
      </w:r>
      <w:bookmarkEnd w:id="10"/>
    </w:p>
    <w:tbl>
      <w:tblPr>
        <w:tblStyle w:val="TableGrid1"/>
        <w:tblW w:w="5000" w:type="pct"/>
        <w:tblBorders>
          <w:left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798"/>
        <w:gridCol w:w="338"/>
        <w:gridCol w:w="444"/>
        <w:gridCol w:w="529"/>
        <w:gridCol w:w="440"/>
        <w:gridCol w:w="803"/>
        <w:gridCol w:w="807"/>
        <w:gridCol w:w="324"/>
        <w:gridCol w:w="882"/>
        <w:gridCol w:w="229"/>
        <w:gridCol w:w="921"/>
        <w:gridCol w:w="935"/>
        <w:gridCol w:w="1610"/>
        <w:gridCol w:w="891"/>
        <w:gridCol w:w="935"/>
      </w:tblGrid>
      <w:tr w:rsidR="0079130E" w:rsidRPr="0079130E" w14:paraId="61BCC413" w14:textId="77777777" w:rsidTr="00B132C4">
        <w:tc>
          <w:tcPr>
            <w:tcW w:w="370" w:type="pct"/>
            <w:vMerge w:val="restart"/>
            <w:tcBorders>
              <w:top w:val="single" w:sz="4" w:space="0" w:color="auto"/>
              <w:bottom w:val="nil"/>
            </w:tcBorders>
            <w:vAlign w:val="center"/>
          </w:tcPr>
          <w:p w14:paraId="709EE441" w14:textId="77777777" w:rsidR="0079130E" w:rsidRPr="0079130E" w:rsidRDefault="0079130E" w:rsidP="0079130E">
            <w:pPr>
              <w:jc w:val="both"/>
              <w:rPr>
                <w:rFonts w:ascii="Arial" w:hAnsi="Arial" w:cs="Arial"/>
                <w:b/>
                <w:bCs/>
                <w:color w:val="000000"/>
              </w:rPr>
            </w:pPr>
            <w:r w:rsidRPr="0079130E">
              <w:rPr>
                <w:rFonts w:ascii="Arial" w:hAnsi="Arial" w:cs="Arial"/>
                <w:b/>
                <w:bCs/>
                <w:color w:val="000000"/>
              </w:rPr>
              <w:t>Sample</w:t>
            </w:r>
          </w:p>
        </w:tc>
        <w:tc>
          <w:tcPr>
            <w:tcW w:w="2638" w:type="pct"/>
            <w:gridSpan w:val="10"/>
            <w:tcBorders>
              <w:top w:val="single" w:sz="4" w:space="0" w:color="auto"/>
              <w:bottom w:val="nil"/>
            </w:tcBorders>
            <w:vAlign w:val="center"/>
          </w:tcPr>
          <w:p w14:paraId="1AA797BD" w14:textId="77777777" w:rsidR="0079130E" w:rsidRPr="0079130E" w:rsidRDefault="0079130E" w:rsidP="0079130E">
            <w:pPr>
              <w:jc w:val="both"/>
              <w:rPr>
                <w:rFonts w:ascii="Arial" w:hAnsi="Arial" w:cs="Arial"/>
                <w:b/>
                <w:bCs/>
                <w:color w:val="000000"/>
              </w:rPr>
            </w:pPr>
            <w:r w:rsidRPr="0079130E">
              <w:rPr>
                <w:rFonts w:ascii="Arial" w:hAnsi="Arial" w:cs="Arial"/>
                <w:b/>
                <w:bCs/>
                <w:color w:val="000000"/>
              </w:rPr>
              <w:t>Bacteria</w:t>
            </w:r>
          </w:p>
        </w:tc>
        <w:tc>
          <w:tcPr>
            <w:tcW w:w="1991" w:type="pct"/>
            <w:gridSpan w:val="4"/>
            <w:tcBorders>
              <w:top w:val="single" w:sz="4" w:space="0" w:color="auto"/>
              <w:bottom w:val="nil"/>
            </w:tcBorders>
            <w:vAlign w:val="center"/>
          </w:tcPr>
          <w:p w14:paraId="2A74E688" w14:textId="77777777" w:rsidR="0079130E" w:rsidRPr="0079130E" w:rsidRDefault="0079130E" w:rsidP="0079130E">
            <w:pPr>
              <w:jc w:val="both"/>
              <w:rPr>
                <w:rFonts w:ascii="Arial" w:hAnsi="Arial" w:cs="Arial"/>
                <w:b/>
                <w:bCs/>
                <w:color w:val="000000"/>
              </w:rPr>
            </w:pPr>
            <w:r w:rsidRPr="0079130E">
              <w:rPr>
                <w:rFonts w:ascii="Arial" w:hAnsi="Arial" w:cs="Arial"/>
                <w:b/>
                <w:bCs/>
                <w:color w:val="000000"/>
              </w:rPr>
              <w:t>Fungi</w:t>
            </w:r>
          </w:p>
        </w:tc>
      </w:tr>
      <w:tr w:rsidR="0079130E" w:rsidRPr="0079130E" w14:paraId="56357B90" w14:textId="77777777" w:rsidTr="00B132C4">
        <w:tc>
          <w:tcPr>
            <w:tcW w:w="370" w:type="pct"/>
            <w:vMerge/>
            <w:tcBorders>
              <w:top w:val="nil"/>
              <w:bottom w:val="single" w:sz="4" w:space="0" w:color="auto"/>
            </w:tcBorders>
            <w:vAlign w:val="center"/>
          </w:tcPr>
          <w:p w14:paraId="21BAF07C" w14:textId="77777777" w:rsidR="0079130E" w:rsidRPr="0079130E" w:rsidRDefault="0079130E" w:rsidP="0079130E">
            <w:pPr>
              <w:jc w:val="both"/>
              <w:rPr>
                <w:rFonts w:ascii="Arial" w:hAnsi="Arial" w:cs="Arial"/>
                <w:color w:val="000000"/>
              </w:rPr>
            </w:pPr>
          </w:p>
        </w:tc>
        <w:tc>
          <w:tcPr>
            <w:tcW w:w="386" w:type="pct"/>
            <w:gridSpan w:val="2"/>
            <w:tcBorders>
              <w:top w:val="nil"/>
              <w:bottom w:val="single" w:sz="4" w:space="0" w:color="auto"/>
            </w:tcBorders>
            <w:vAlign w:val="center"/>
          </w:tcPr>
          <w:p w14:paraId="1BA887E3" w14:textId="77777777" w:rsidR="0079130E" w:rsidRPr="0079130E" w:rsidRDefault="0079130E" w:rsidP="0079130E">
            <w:pPr>
              <w:jc w:val="both"/>
              <w:rPr>
                <w:rFonts w:ascii="Arial" w:hAnsi="Arial" w:cs="Arial"/>
                <w:color w:val="000000"/>
              </w:rPr>
            </w:pPr>
            <w:r w:rsidRPr="0079130E">
              <w:rPr>
                <w:rFonts w:ascii="Arial" w:hAnsi="Arial" w:cs="Arial"/>
                <w:color w:val="000000"/>
              </w:rPr>
              <w:t>Chao1</w:t>
            </w:r>
          </w:p>
        </w:tc>
        <w:tc>
          <w:tcPr>
            <w:tcW w:w="465" w:type="pct"/>
            <w:gridSpan w:val="2"/>
            <w:tcBorders>
              <w:top w:val="nil"/>
              <w:bottom w:val="single" w:sz="4" w:space="0" w:color="auto"/>
            </w:tcBorders>
            <w:vAlign w:val="center"/>
          </w:tcPr>
          <w:p w14:paraId="2B71C3D7" w14:textId="77777777" w:rsidR="0079130E" w:rsidRPr="0079130E" w:rsidRDefault="0079130E" w:rsidP="0079130E">
            <w:pPr>
              <w:jc w:val="both"/>
              <w:rPr>
                <w:rFonts w:ascii="Arial" w:hAnsi="Arial" w:cs="Arial"/>
                <w:color w:val="000000"/>
              </w:rPr>
            </w:pPr>
            <w:proofErr w:type="spellStart"/>
            <w:r w:rsidRPr="0079130E">
              <w:rPr>
                <w:rFonts w:ascii="Arial" w:hAnsi="Arial" w:cs="Arial"/>
                <w:color w:val="000000"/>
              </w:rPr>
              <w:t>Faith_pd</w:t>
            </w:r>
            <w:proofErr w:type="spellEnd"/>
          </w:p>
        </w:tc>
        <w:tc>
          <w:tcPr>
            <w:tcW w:w="722" w:type="pct"/>
            <w:gridSpan w:val="2"/>
            <w:tcBorders>
              <w:top w:val="nil"/>
              <w:bottom w:val="single" w:sz="4" w:space="0" w:color="auto"/>
            </w:tcBorders>
            <w:vAlign w:val="center"/>
          </w:tcPr>
          <w:p w14:paraId="4672E7AC" w14:textId="77777777" w:rsidR="0079130E" w:rsidRPr="0079130E" w:rsidRDefault="0079130E" w:rsidP="0079130E">
            <w:pPr>
              <w:jc w:val="both"/>
              <w:rPr>
                <w:rFonts w:ascii="Arial" w:hAnsi="Arial" w:cs="Arial"/>
                <w:color w:val="000000"/>
              </w:rPr>
            </w:pPr>
            <w:proofErr w:type="spellStart"/>
            <w:r w:rsidRPr="0079130E">
              <w:rPr>
                <w:rFonts w:ascii="Arial" w:hAnsi="Arial" w:cs="Arial"/>
                <w:color w:val="000000"/>
              </w:rPr>
              <w:t>Goods_coverage</w:t>
            </w:r>
            <w:proofErr w:type="spellEnd"/>
          </w:p>
        </w:tc>
        <w:tc>
          <w:tcPr>
            <w:tcW w:w="574" w:type="pct"/>
            <w:gridSpan w:val="2"/>
            <w:tcBorders>
              <w:top w:val="nil"/>
              <w:bottom w:val="single" w:sz="4" w:space="0" w:color="auto"/>
            </w:tcBorders>
            <w:vAlign w:val="center"/>
          </w:tcPr>
          <w:p w14:paraId="412E7FC9" w14:textId="77777777" w:rsidR="0079130E" w:rsidRPr="0079130E" w:rsidRDefault="0079130E" w:rsidP="0079130E">
            <w:pPr>
              <w:jc w:val="both"/>
              <w:rPr>
                <w:rFonts w:ascii="Arial" w:hAnsi="Arial" w:cs="Arial"/>
                <w:color w:val="000000"/>
              </w:rPr>
            </w:pPr>
            <w:r w:rsidRPr="0079130E">
              <w:rPr>
                <w:rFonts w:ascii="Arial" w:hAnsi="Arial" w:cs="Arial"/>
                <w:color w:val="000000"/>
              </w:rPr>
              <w:t>Shannon</w:t>
            </w:r>
          </w:p>
        </w:tc>
        <w:tc>
          <w:tcPr>
            <w:tcW w:w="491" w:type="pct"/>
            <w:gridSpan w:val="2"/>
            <w:tcBorders>
              <w:top w:val="nil"/>
              <w:bottom w:val="single" w:sz="4" w:space="0" w:color="auto"/>
            </w:tcBorders>
            <w:vAlign w:val="center"/>
          </w:tcPr>
          <w:p w14:paraId="2FE914BE" w14:textId="77777777" w:rsidR="0079130E" w:rsidRPr="0079130E" w:rsidRDefault="0079130E" w:rsidP="0079130E">
            <w:pPr>
              <w:jc w:val="both"/>
              <w:rPr>
                <w:rFonts w:ascii="Arial" w:hAnsi="Arial" w:cs="Arial"/>
                <w:color w:val="000000"/>
              </w:rPr>
            </w:pPr>
            <w:r w:rsidRPr="0079130E">
              <w:rPr>
                <w:rFonts w:ascii="Arial" w:hAnsi="Arial" w:cs="Arial"/>
                <w:color w:val="000000"/>
              </w:rPr>
              <w:t>Simpson</w:t>
            </w:r>
          </w:p>
        </w:tc>
        <w:tc>
          <w:tcPr>
            <w:tcW w:w="439" w:type="pct"/>
            <w:tcBorders>
              <w:top w:val="nil"/>
              <w:bottom w:val="single" w:sz="4" w:space="0" w:color="auto"/>
            </w:tcBorders>
            <w:vAlign w:val="center"/>
          </w:tcPr>
          <w:p w14:paraId="1BCD84E2" w14:textId="77777777" w:rsidR="0079130E" w:rsidRPr="0079130E" w:rsidRDefault="0079130E" w:rsidP="0079130E">
            <w:pPr>
              <w:jc w:val="both"/>
              <w:rPr>
                <w:rFonts w:ascii="Arial" w:hAnsi="Arial" w:cs="Arial"/>
                <w:color w:val="000000"/>
              </w:rPr>
            </w:pPr>
            <w:r w:rsidRPr="0079130E">
              <w:rPr>
                <w:rFonts w:ascii="Arial" w:hAnsi="Arial" w:cs="Arial"/>
                <w:color w:val="000000"/>
              </w:rPr>
              <w:t>Chao1</w:t>
            </w:r>
          </w:p>
        </w:tc>
        <w:tc>
          <w:tcPr>
            <w:tcW w:w="694" w:type="pct"/>
            <w:tcBorders>
              <w:top w:val="nil"/>
              <w:bottom w:val="single" w:sz="4" w:space="0" w:color="auto"/>
            </w:tcBorders>
            <w:vAlign w:val="center"/>
          </w:tcPr>
          <w:p w14:paraId="366F8CFF" w14:textId="77777777" w:rsidR="0079130E" w:rsidRPr="0079130E" w:rsidRDefault="0079130E" w:rsidP="0079130E">
            <w:pPr>
              <w:jc w:val="both"/>
              <w:rPr>
                <w:rFonts w:ascii="Arial" w:hAnsi="Arial" w:cs="Arial"/>
                <w:color w:val="000000"/>
              </w:rPr>
            </w:pPr>
            <w:proofErr w:type="spellStart"/>
            <w:r w:rsidRPr="0079130E">
              <w:rPr>
                <w:rFonts w:ascii="Arial" w:hAnsi="Arial" w:cs="Arial"/>
                <w:color w:val="000000"/>
              </w:rPr>
              <w:t>Goods_coverage</w:t>
            </w:r>
            <w:proofErr w:type="spellEnd"/>
          </w:p>
        </w:tc>
        <w:tc>
          <w:tcPr>
            <w:tcW w:w="419" w:type="pct"/>
            <w:tcBorders>
              <w:top w:val="nil"/>
              <w:bottom w:val="single" w:sz="4" w:space="0" w:color="auto"/>
            </w:tcBorders>
            <w:vAlign w:val="center"/>
          </w:tcPr>
          <w:p w14:paraId="7080E3A2" w14:textId="77777777" w:rsidR="0079130E" w:rsidRPr="0079130E" w:rsidRDefault="0079130E" w:rsidP="0079130E">
            <w:pPr>
              <w:jc w:val="both"/>
              <w:rPr>
                <w:rFonts w:ascii="Arial" w:hAnsi="Arial" w:cs="Arial"/>
                <w:color w:val="000000"/>
              </w:rPr>
            </w:pPr>
            <w:r w:rsidRPr="0079130E">
              <w:rPr>
                <w:rFonts w:ascii="Arial" w:hAnsi="Arial" w:cs="Arial"/>
                <w:color w:val="000000"/>
              </w:rPr>
              <w:t>Shannon</w:t>
            </w:r>
          </w:p>
        </w:tc>
        <w:tc>
          <w:tcPr>
            <w:tcW w:w="439" w:type="pct"/>
            <w:tcBorders>
              <w:top w:val="nil"/>
              <w:bottom w:val="single" w:sz="4" w:space="0" w:color="auto"/>
            </w:tcBorders>
            <w:vAlign w:val="center"/>
          </w:tcPr>
          <w:p w14:paraId="1BA9A541" w14:textId="77777777" w:rsidR="0079130E" w:rsidRPr="0079130E" w:rsidRDefault="0079130E" w:rsidP="0079130E">
            <w:pPr>
              <w:jc w:val="both"/>
              <w:rPr>
                <w:rFonts w:ascii="Arial" w:hAnsi="Arial" w:cs="Arial"/>
                <w:color w:val="000000"/>
              </w:rPr>
            </w:pPr>
            <w:r w:rsidRPr="0079130E">
              <w:rPr>
                <w:rFonts w:ascii="Arial" w:hAnsi="Arial" w:cs="Arial"/>
                <w:color w:val="000000"/>
              </w:rPr>
              <w:t>Simpson</w:t>
            </w:r>
          </w:p>
        </w:tc>
      </w:tr>
      <w:tr w:rsidR="0079130E" w:rsidRPr="0079130E" w14:paraId="49A1055D" w14:textId="77777777" w:rsidTr="00B132C4">
        <w:trPr>
          <w:trHeight w:val="720"/>
        </w:trPr>
        <w:tc>
          <w:tcPr>
            <w:tcW w:w="542" w:type="pct"/>
            <w:gridSpan w:val="2"/>
            <w:tcBorders>
              <w:top w:val="single" w:sz="4" w:space="0" w:color="auto"/>
            </w:tcBorders>
            <w:vAlign w:val="center"/>
          </w:tcPr>
          <w:p w14:paraId="5CD2320E" w14:textId="77777777" w:rsidR="0079130E" w:rsidRPr="0079130E" w:rsidRDefault="0079130E" w:rsidP="0079130E">
            <w:pPr>
              <w:jc w:val="both"/>
              <w:rPr>
                <w:rFonts w:ascii="Arial" w:hAnsi="Arial" w:cs="Arial"/>
                <w:color w:val="000000"/>
              </w:rPr>
            </w:pPr>
            <w:r w:rsidRPr="0079130E">
              <w:rPr>
                <w:rFonts w:ascii="Arial" w:hAnsi="Arial" w:cs="Arial"/>
                <w:color w:val="000000"/>
              </w:rPr>
              <w:t>BLACK</w:t>
            </w:r>
          </w:p>
        </w:tc>
        <w:tc>
          <w:tcPr>
            <w:tcW w:w="467" w:type="pct"/>
            <w:gridSpan w:val="2"/>
            <w:tcBorders>
              <w:top w:val="single" w:sz="4" w:space="0" w:color="auto"/>
            </w:tcBorders>
            <w:vAlign w:val="center"/>
          </w:tcPr>
          <w:p w14:paraId="06D72EC3" w14:textId="77777777" w:rsidR="0079130E" w:rsidRPr="0079130E" w:rsidRDefault="0079130E" w:rsidP="0079130E">
            <w:pPr>
              <w:jc w:val="both"/>
              <w:rPr>
                <w:rFonts w:ascii="Arial" w:hAnsi="Arial" w:cs="Arial"/>
                <w:color w:val="000000"/>
              </w:rPr>
            </w:pPr>
            <w:r w:rsidRPr="0079130E">
              <w:rPr>
                <w:rFonts w:ascii="Arial" w:hAnsi="Arial" w:cs="Arial"/>
                <w:color w:val="000000"/>
              </w:rPr>
              <w:t>176.39</w:t>
            </w:r>
          </w:p>
        </w:tc>
        <w:tc>
          <w:tcPr>
            <w:tcW w:w="572" w:type="pct"/>
            <w:gridSpan w:val="2"/>
            <w:tcBorders>
              <w:top w:val="single" w:sz="4" w:space="0" w:color="auto"/>
            </w:tcBorders>
            <w:vAlign w:val="center"/>
          </w:tcPr>
          <w:p w14:paraId="0829A2FE" w14:textId="77777777" w:rsidR="0079130E" w:rsidRPr="0079130E" w:rsidRDefault="0079130E" w:rsidP="0079130E">
            <w:pPr>
              <w:jc w:val="both"/>
              <w:rPr>
                <w:rFonts w:ascii="Arial" w:hAnsi="Arial" w:cs="Arial"/>
                <w:color w:val="000000"/>
              </w:rPr>
            </w:pPr>
            <w:r w:rsidRPr="0079130E">
              <w:rPr>
                <w:rFonts w:ascii="Arial" w:hAnsi="Arial" w:cs="Arial"/>
              </w:rPr>
              <w:t>6.0951</w:t>
            </w:r>
          </w:p>
        </w:tc>
        <w:tc>
          <w:tcPr>
            <w:tcW w:w="521" w:type="pct"/>
            <w:gridSpan w:val="2"/>
            <w:tcBorders>
              <w:top w:val="single" w:sz="4" w:space="0" w:color="auto"/>
            </w:tcBorders>
            <w:vAlign w:val="center"/>
          </w:tcPr>
          <w:p w14:paraId="405EADEF" w14:textId="77777777" w:rsidR="0079130E" w:rsidRPr="0079130E" w:rsidRDefault="0079130E" w:rsidP="0079130E">
            <w:pPr>
              <w:jc w:val="both"/>
              <w:rPr>
                <w:rFonts w:ascii="Arial" w:hAnsi="Arial" w:cs="Arial"/>
                <w:color w:val="000000"/>
              </w:rPr>
            </w:pPr>
            <w:r w:rsidRPr="0079130E">
              <w:rPr>
                <w:rFonts w:ascii="Arial" w:hAnsi="Arial" w:cs="Arial"/>
              </w:rPr>
              <w:t>0.999859</w:t>
            </w:r>
          </w:p>
        </w:tc>
        <w:tc>
          <w:tcPr>
            <w:tcW w:w="530" w:type="pct"/>
            <w:gridSpan w:val="2"/>
            <w:tcBorders>
              <w:top w:val="single" w:sz="4" w:space="0" w:color="auto"/>
            </w:tcBorders>
            <w:vAlign w:val="center"/>
          </w:tcPr>
          <w:p w14:paraId="0B43847E" w14:textId="77777777" w:rsidR="0079130E" w:rsidRPr="0079130E" w:rsidRDefault="0079130E" w:rsidP="0079130E">
            <w:pPr>
              <w:jc w:val="both"/>
              <w:rPr>
                <w:rFonts w:ascii="Arial" w:hAnsi="Arial" w:cs="Arial"/>
                <w:color w:val="000000"/>
              </w:rPr>
            </w:pPr>
            <w:r w:rsidRPr="0079130E">
              <w:rPr>
                <w:rFonts w:ascii="Arial" w:hAnsi="Arial" w:cs="Arial"/>
              </w:rPr>
              <w:t>3.397807</w:t>
            </w:r>
          </w:p>
        </w:tc>
        <w:tc>
          <w:tcPr>
            <w:tcW w:w="376" w:type="pct"/>
            <w:tcBorders>
              <w:top w:val="single" w:sz="4" w:space="0" w:color="auto"/>
            </w:tcBorders>
            <w:vAlign w:val="center"/>
          </w:tcPr>
          <w:p w14:paraId="383E8102" w14:textId="77777777" w:rsidR="0079130E" w:rsidRPr="0079130E" w:rsidRDefault="0079130E" w:rsidP="0079130E">
            <w:pPr>
              <w:jc w:val="both"/>
              <w:rPr>
                <w:rFonts w:ascii="Arial" w:hAnsi="Arial" w:cs="Arial"/>
                <w:color w:val="000000"/>
              </w:rPr>
            </w:pPr>
            <w:r w:rsidRPr="0079130E">
              <w:rPr>
                <w:rFonts w:ascii="Arial" w:hAnsi="Arial" w:cs="Arial"/>
              </w:rPr>
              <w:t>0.808612</w:t>
            </w:r>
          </w:p>
        </w:tc>
        <w:tc>
          <w:tcPr>
            <w:tcW w:w="439" w:type="pct"/>
            <w:tcBorders>
              <w:top w:val="single" w:sz="4" w:space="0" w:color="auto"/>
            </w:tcBorders>
            <w:vAlign w:val="center"/>
          </w:tcPr>
          <w:p w14:paraId="50E7FC26" w14:textId="77777777" w:rsidR="0079130E" w:rsidRPr="0079130E" w:rsidRDefault="0079130E" w:rsidP="0079130E">
            <w:pPr>
              <w:jc w:val="both"/>
              <w:rPr>
                <w:rFonts w:ascii="Arial" w:hAnsi="Arial" w:cs="Arial"/>
                <w:color w:val="000000"/>
              </w:rPr>
            </w:pPr>
            <w:r w:rsidRPr="0079130E">
              <w:rPr>
                <w:rFonts w:ascii="Arial" w:hAnsi="Arial" w:cs="Arial"/>
              </w:rPr>
              <w:t>30.378</w:t>
            </w:r>
          </w:p>
        </w:tc>
        <w:tc>
          <w:tcPr>
            <w:tcW w:w="694" w:type="pct"/>
            <w:tcBorders>
              <w:top w:val="single" w:sz="4" w:space="0" w:color="auto"/>
            </w:tcBorders>
            <w:vAlign w:val="center"/>
          </w:tcPr>
          <w:p w14:paraId="6EC11026" w14:textId="77777777" w:rsidR="0079130E" w:rsidRPr="0079130E" w:rsidRDefault="0079130E" w:rsidP="0079130E">
            <w:pPr>
              <w:jc w:val="both"/>
              <w:rPr>
                <w:rFonts w:ascii="Arial" w:hAnsi="Arial" w:cs="Arial"/>
                <w:color w:val="000000"/>
              </w:rPr>
            </w:pPr>
            <w:r w:rsidRPr="0079130E">
              <w:rPr>
                <w:rFonts w:ascii="Arial" w:hAnsi="Arial" w:cs="Arial"/>
              </w:rPr>
              <w:t>0.999988</w:t>
            </w:r>
          </w:p>
        </w:tc>
        <w:tc>
          <w:tcPr>
            <w:tcW w:w="419" w:type="pct"/>
            <w:tcBorders>
              <w:top w:val="single" w:sz="4" w:space="0" w:color="auto"/>
            </w:tcBorders>
            <w:vAlign w:val="center"/>
          </w:tcPr>
          <w:p w14:paraId="7F95738B" w14:textId="77777777" w:rsidR="0079130E" w:rsidRPr="0079130E" w:rsidRDefault="0079130E" w:rsidP="0079130E">
            <w:pPr>
              <w:jc w:val="both"/>
              <w:rPr>
                <w:rFonts w:ascii="Arial" w:hAnsi="Arial" w:cs="Arial"/>
                <w:color w:val="000000"/>
              </w:rPr>
            </w:pPr>
            <w:r w:rsidRPr="0079130E">
              <w:rPr>
                <w:rFonts w:ascii="Arial" w:hAnsi="Arial" w:cs="Arial"/>
              </w:rPr>
              <w:t>1.58257</w:t>
            </w:r>
          </w:p>
        </w:tc>
        <w:tc>
          <w:tcPr>
            <w:tcW w:w="439" w:type="pct"/>
            <w:tcBorders>
              <w:top w:val="single" w:sz="4" w:space="0" w:color="auto"/>
            </w:tcBorders>
            <w:vAlign w:val="center"/>
          </w:tcPr>
          <w:p w14:paraId="237E9183" w14:textId="77777777" w:rsidR="0079130E" w:rsidRPr="0079130E" w:rsidRDefault="0079130E" w:rsidP="0079130E">
            <w:pPr>
              <w:jc w:val="both"/>
              <w:rPr>
                <w:rFonts w:ascii="Arial" w:hAnsi="Arial" w:cs="Arial"/>
                <w:color w:val="000000"/>
              </w:rPr>
            </w:pPr>
            <w:r w:rsidRPr="0079130E">
              <w:rPr>
                <w:rFonts w:ascii="Arial" w:hAnsi="Arial" w:cs="Arial"/>
              </w:rPr>
              <w:t>0.57972</w:t>
            </w:r>
          </w:p>
        </w:tc>
      </w:tr>
      <w:tr w:rsidR="0079130E" w:rsidRPr="0079130E" w14:paraId="3C9A7457" w14:textId="77777777" w:rsidTr="00B132C4">
        <w:trPr>
          <w:trHeight w:val="720"/>
        </w:trPr>
        <w:tc>
          <w:tcPr>
            <w:tcW w:w="542" w:type="pct"/>
            <w:gridSpan w:val="2"/>
            <w:vAlign w:val="center"/>
          </w:tcPr>
          <w:p w14:paraId="41579228" w14:textId="77777777" w:rsidR="0079130E" w:rsidRPr="0079130E" w:rsidRDefault="0079130E" w:rsidP="0079130E">
            <w:pPr>
              <w:jc w:val="both"/>
              <w:rPr>
                <w:rFonts w:ascii="Arial" w:hAnsi="Arial" w:cs="Arial"/>
                <w:color w:val="000000"/>
              </w:rPr>
            </w:pPr>
            <w:r w:rsidRPr="0079130E">
              <w:rPr>
                <w:rFonts w:ascii="Arial" w:hAnsi="Arial" w:cs="Arial"/>
                <w:color w:val="000000"/>
              </w:rPr>
              <w:t>WHITE</w:t>
            </w:r>
          </w:p>
        </w:tc>
        <w:tc>
          <w:tcPr>
            <w:tcW w:w="467" w:type="pct"/>
            <w:gridSpan w:val="2"/>
            <w:vAlign w:val="center"/>
          </w:tcPr>
          <w:p w14:paraId="578EEC69" w14:textId="77777777" w:rsidR="0079130E" w:rsidRPr="0079130E" w:rsidRDefault="0079130E" w:rsidP="0079130E">
            <w:pPr>
              <w:jc w:val="both"/>
              <w:rPr>
                <w:rFonts w:ascii="Arial" w:hAnsi="Arial" w:cs="Arial"/>
                <w:color w:val="000000"/>
              </w:rPr>
            </w:pPr>
            <w:r w:rsidRPr="0079130E">
              <w:rPr>
                <w:rFonts w:ascii="Arial" w:hAnsi="Arial" w:cs="Arial"/>
              </w:rPr>
              <w:t>307.9307</w:t>
            </w:r>
          </w:p>
        </w:tc>
        <w:tc>
          <w:tcPr>
            <w:tcW w:w="572" w:type="pct"/>
            <w:gridSpan w:val="2"/>
            <w:vAlign w:val="center"/>
          </w:tcPr>
          <w:p w14:paraId="211056DB" w14:textId="77777777" w:rsidR="0079130E" w:rsidRPr="0079130E" w:rsidRDefault="0079130E" w:rsidP="0079130E">
            <w:pPr>
              <w:jc w:val="both"/>
              <w:rPr>
                <w:rFonts w:ascii="Arial" w:hAnsi="Arial" w:cs="Arial"/>
                <w:color w:val="000000"/>
              </w:rPr>
            </w:pPr>
            <w:r w:rsidRPr="0079130E">
              <w:rPr>
                <w:rFonts w:ascii="Arial" w:hAnsi="Arial" w:cs="Arial"/>
              </w:rPr>
              <w:t>5.848823</w:t>
            </w:r>
          </w:p>
        </w:tc>
        <w:tc>
          <w:tcPr>
            <w:tcW w:w="521" w:type="pct"/>
            <w:gridSpan w:val="2"/>
            <w:vAlign w:val="center"/>
          </w:tcPr>
          <w:p w14:paraId="0AE0D9D1" w14:textId="77777777" w:rsidR="0079130E" w:rsidRPr="0079130E" w:rsidRDefault="0079130E" w:rsidP="0079130E">
            <w:pPr>
              <w:jc w:val="both"/>
              <w:rPr>
                <w:rFonts w:ascii="Arial" w:hAnsi="Arial" w:cs="Arial"/>
                <w:color w:val="000000"/>
              </w:rPr>
            </w:pPr>
            <w:r w:rsidRPr="0079130E">
              <w:rPr>
                <w:rFonts w:ascii="Arial" w:hAnsi="Arial" w:cs="Arial"/>
              </w:rPr>
              <w:t>0.999945</w:t>
            </w:r>
          </w:p>
        </w:tc>
        <w:tc>
          <w:tcPr>
            <w:tcW w:w="530" w:type="pct"/>
            <w:gridSpan w:val="2"/>
            <w:vAlign w:val="center"/>
          </w:tcPr>
          <w:p w14:paraId="6F10DAA0" w14:textId="77777777" w:rsidR="0079130E" w:rsidRPr="0079130E" w:rsidRDefault="0079130E" w:rsidP="0079130E">
            <w:pPr>
              <w:jc w:val="both"/>
              <w:rPr>
                <w:rFonts w:ascii="Arial" w:hAnsi="Arial" w:cs="Arial"/>
                <w:color w:val="000000"/>
              </w:rPr>
            </w:pPr>
            <w:r w:rsidRPr="0079130E">
              <w:rPr>
                <w:rFonts w:ascii="Arial" w:hAnsi="Arial" w:cs="Arial"/>
              </w:rPr>
              <w:t>5.47742</w:t>
            </w:r>
          </w:p>
        </w:tc>
        <w:tc>
          <w:tcPr>
            <w:tcW w:w="376" w:type="pct"/>
            <w:vAlign w:val="center"/>
          </w:tcPr>
          <w:p w14:paraId="74A012B3" w14:textId="77777777" w:rsidR="0079130E" w:rsidRPr="0079130E" w:rsidRDefault="0079130E" w:rsidP="0079130E">
            <w:pPr>
              <w:jc w:val="both"/>
              <w:rPr>
                <w:rFonts w:ascii="Arial" w:hAnsi="Arial" w:cs="Arial"/>
                <w:color w:val="000000"/>
              </w:rPr>
            </w:pPr>
            <w:r w:rsidRPr="0079130E">
              <w:rPr>
                <w:rFonts w:ascii="Arial" w:hAnsi="Arial" w:cs="Arial"/>
              </w:rPr>
              <w:t>0.929308</w:t>
            </w:r>
          </w:p>
        </w:tc>
        <w:tc>
          <w:tcPr>
            <w:tcW w:w="439" w:type="pct"/>
            <w:vAlign w:val="center"/>
          </w:tcPr>
          <w:p w14:paraId="3BFA507E" w14:textId="77777777" w:rsidR="0079130E" w:rsidRPr="0079130E" w:rsidRDefault="0079130E" w:rsidP="0079130E">
            <w:pPr>
              <w:jc w:val="both"/>
              <w:rPr>
                <w:rFonts w:ascii="Arial" w:hAnsi="Arial" w:cs="Arial"/>
                <w:color w:val="000000"/>
              </w:rPr>
            </w:pPr>
            <w:r w:rsidRPr="0079130E">
              <w:rPr>
                <w:rFonts w:ascii="Arial" w:hAnsi="Arial" w:cs="Arial"/>
              </w:rPr>
              <w:t>36.96943</w:t>
            </w:r>
          </w:p>
        </w:tc>
        <w:tc>
          <w:tcPr>
            <w:tcW w:w="694" w:type="pct"/>
            <w:vAlign w:val="center"/>
          </w:tcPr>
          <w:p w14:paraId="0CEEC82B" w14:textId="77777777" w:rsidR="0079130E" w:rsidRPr="0079130E" w:rsidRDefault="0079130E" w:rsidP="0079130E">
            <w:pPr>
              <w:jc w:val="both"/>
              <w:rPr>
                <w:rFonts w:ascii="Arial" w:hAnsi="Arial" w:cs="Arial"/>
                <w:color w:val="000000"/>
              </w:rPr>
            </w:pPr>
            <w:r w:rsidRPr="0079130E">
              <w:rPr>
                <w:rFonts w:ascii="Arial" w:hAnsi="Arial" w:cs="Arial"/>
              </w:rPr>
              <w:t>0.999993</w:t>
            </w:r>
          </w:p>
        </w:tc>
        <w:tc>
          <w:tcPr>
            <w:tcW w:w="419" w:type="pct"/>
            <w:vAlign w:val="center"/>
          </w:tcPr>
          <w:p w14:paraId="3F81DDA8" w14:textId="77777777" w:rsidR="0079130E" w:rsidRPr="0079130E" w:rsidRDefault="0079130E" w:rsidP="0079130E">
            <w:pPr>
              <w:jc w:val="both"/>
              <w:rPr>
                <w:rFonts w:ascii="Arial" w:hAnsi="Arial" w:cs="Arial"/>
                <w:color w:val="000000"/>
              </w:rPr>
            </w:pPr>
            <w:r w:rsidRPr="0079130E">
              <w:rPr>
                <w:rFonts w:ascii="Arial" w:hAnsi="Arial" w:cs="Arial"/>
              </w:rPr>
              <w:t>2.19630</w:t>
            </w:r>
          </w:p>
        </w:tc>
        <w:tc>
          <w:tcPr>
            <w:tcW w:w="439" w:type="pct"/>
            <w:vAlign w:val="center"/>
          </w:tcPr>
          <w:p w14:paraId="74214D2C" w14:textId="77777777" w:rsidR="0079130E" w:rsidRPr="0079130E" w:rsidRDefault="0079130E" w:rsidP="0079130E">
            <w:pPr>
              <w:jc w:val="both"/>
              <w:rPr>
                <w:rFonts w:ascii="Arial" w:hAnsi="Arial" w:cs="Arial"/>
                <w:color w:val="000000"/>
              </w:rPr>
            </w:pPr>
            <w:r w:rsidRPr="0079130E">
              <w:rPr>
                <w:rFonts w:ascii="Arial" w:hAnsi="Arial" w:cs="Arial"/>
              </w:rPr>
              <w:t>0.72436</w:t>
            </w:r>
          </w:p>
        </w:tc>
      </w:tr>
      <w:tr w:rsidR="0079130E" w:rsidRPr="0079130E" w14:paraId="15243314" w14:textId="77777777" w:rsidTr="00B132C4">
        <w:trPr>
          <w:trHeight w:val="720"/>
        </w:trPr>
        <w:tc>
          <w:tcPr>
            <w:tcW w:w="542" w:type="pct"/>
            <w:gridSpan w:val="2"/>
            <w:vAlign w:val="center"/>
          </w:tcPr>
          <w:p w14:paraId="0C6E020E" w14:textId="77777777" w:rsidR="0079130E" w:rsidRPr="0079130E" w:rsidRDefault="0079130E" w:rsidP="0079130E">
            <w:pPr>
              <w:jc w:val="both"/>
              <w:rPr>
                <w:rFonts w:ascii="Arial" w:hAnsi="Arial" w:cs="Arial"/>
                <w:color w:val="000000"/>
              </w:rPr>
            </w:pPr>
            <w:r w:rsidRPr="0079130E">
              <w:rPr>
                <w:rFonts w:ascii="Arial" w:hAnsi="Arial" w:cs="Arial"/>
                <w:color w:val="000000"/>
              </w:rPr>
              <w:t>YELLOW</w:t>
            </w:r>
          </w:p>
        </w:tc>
        <w:tc>
          <w:tcPr>
            <w:tcW w:w="467" w:type="pct"/>
            <w:gridSpan w:val="2"/>
            <w:vAlign w:val="center"/>
          </w:tcPr>
          <w:p w14:paraId="73517B65" w14:textId="77777777" w:rsidR="0079130E" w:rsidRPr="0079130E" w:rsidRDefault="0079130E" w:rsidP="0079130E">
            <w:pPr>
              <w:jc w:val="both"/>
              <w:rPr>
                <w:rFonts w:ascii="Arial" w:hAnsi="Arial" w:cs="Arial"/>
                <w:color w:val="000000"/>
              </w:rPr>
            </w:pPr>
            <w:r w:rsidRPr="0079130E">
              <w:rPr>
                <w:rFonts w:ascii="Arial" w:hAnsi="Arial" w:cs="Arial"/>
              </w:rPr>
              <w:t>186.713</w:t>
            </w:r>
          </w:p>
        </w:tc>
        <w:tc>
          <w:tcPr>
            <w:tcW w:w="572" w:type="pct"/>
            <w:gridSpan w:val="2"/>
            <w:vAlign w:val="center"/>
          </w:tcPr>
          <w:p w14:paraId="17F7C742" w14:textId="77777777" w:rsidR="0079130E" w:rsidRPr="0079130E" w:rsidRDefault="0079130E" w:rsidP="0079130E">
            <w:pPr>
              <w:jc w:val="both"/>
              <w:rPr>
                <w:rFonts w:ascii="Arial" w:hAnsi="Arial" w:cs="Arial"/>
                <w:color w:val="000000"/>
              </w:rPr>
            </w:pPr>
            <w:r w:rsidRPr="0079130E">
              <w:rPr>
                <w:rFonts w:ascii="Arial" w:hAnsi="Arial" w:cs="Arial"/>
              </w:rPr>
              <w:t>3.58677</w:t>
            </w:r>
          </w:p>
        </w:tc>
        <w:tc>
          <w:tcPr>
            <w:tcW w:w="521" w:type="pct"/>
            <w:gridSpan w:val="2"/>
            <w:vAlign w:val="center"/>
          </w:tcPr>
          <w:p w14:paraId="17A3E24E" w14:textId="77777777" w:rsidR="0079130E" w:rsidRPr="0079130E" w:rsidRDefault="0079130E" w:rsidP="0079130E">
            <w:pPr>
              <w:jc w:val="both"/>
              <w:rPr>
                <w:rFonts w:ascii="Arial" w:hAnsi="Arial" w:cs="Arial"/>
                <w:color w:val="000000"/>
              </w:rPr>
            </w:pPr>
            <w:r w:rsidRPr="0079130E">
              <w:rPr>
                <w:rFonts w:ascii="Arial" w:hAnsi="Arial" w:cs="Arial"/>
              </w:rPr>
              <w:t>0.999952</w:t>
            </w:r>
          </w:p>
        </w:tc>
        <w:tc>
          <w:tcPr>
            <w:tcW w:w="530" w:type="pct"/>
            <w:gridSpan w:val="2"/>
            <w:vAlign w:val="center"/>
          </w:tcPr>
          <w:p w14:paraId="052D8E13" w14:textId="77777777" w:rsidR="0079130E" w:rsidRPr="0079130E" w:rsidRDefault="0079130E" w:rsidP="0079130E">
            <w:pPr>
              <w:jc w:val="both"/>
              <w:rPr>
                <w:rFonts w:ascii="Arial" w:hAnsi="Arial" w:cs="Arial"/>
                <w:color w:val="000000"/>
              </w:rPr>
            </w:pPr>
            <w:r w:rsidRPr="0079130E">
              <w:rPr>
                <w:rFonts w:ascii="Arial" w:hAnsi="Arial" w:cs="Arial"/>
              </w:rPr>
              <w:t>4.5161</w:t>
            </w:r>
          </w:p>
        </w:tc>
        <w:tc>
          <w:tcPr>
            <w:tcW w:w="376" w:type="pct"/>
            <w:vAlign w:val="center"/>
          </w:tcPr>
          <w:p w14:paraId="3FB02A2C" w14:textId="77777777" w:rsidR="0079130E" w:rsidRPr="0079130E" w:rsidRDefault="0079130E" w:rsidP="0079130E">
            <w:pPr>
              <w:jc w:val="both"/>
              <w:rPr>
                <w:rFonts w:ascii="Arial" w:hAnsi="Arial" w:cs="Arial"/>
                <w:color w:val="000000"/>
              </w:rPr>
            </w:pPr>
            <w:r w:rsidRPr="0079130E">
              <w:rPr>
                <w:rFonts w:ascii="Arial" w:hAnsi="Arial" w:cs="Arial"/>
              </w:rPr>
              <w:t>0.885695</w:t>
            </w:r>
          </w:p>
        </w:tc>
        <w:tc>
          <w:tcPr>
            <w:tcW w:w="439" w:type="pct"/>
            <w:vAlign w:val="center"/>
          </w:tcPr>
          <w:p w14:paraId="644EA775" w14:textId="77777777" w:rsidR="0079130E" w:rsidRPr="0079130E" w:rsidRDefault="0079130E" w:rsidP="0079130E">
            <w:pPr>
              <w:jc w:val="both"/>
              <w:rPr>
                <w:rFonts w:ascii="Arial" w:hAnsi="Arial" w:cs="Arial"/>
                <w:color w:val="000000"/>
              </w:rPr>
            </w:pPr>
            <w:r w:rsidRPr="0079130E">
              <w:rPr>
                <w:rFonts w:ascii="Arial" w:hAnsi="Arial" w:cs="Arial"/>
              </w:rPr>
              <w:t>31.3617</w:t>
            </w:r>
          </w:p>
        </w:tc>
        <w:tc>
          <w:tcPr>
            <w:tcW w:w="694" w:type="pct"/>
            <w:vAlign w:val="center"/>
          </w:tcPr>
          <w:p w14:paraId="387B2CAA" w14:textId="77777777" w:rsidR="0079130E" w:rsidRPr="0079130E" w:rsidRDefault="0079130E" w:rsidP="0079130E">
            <w:pPr>
              <w:jc w:val="both"/>
              <w:rPr>
                <w:rFonts w:ascii="Arial" w:hAnsi="Arial" w:cs="Arial"/>
                <w:color w:val="000000"/>
              </w:rPr>
            </w:pPr>
            <w:r w:rsidRPr="0079130E">
              <w:rPr>
                <w:rFonts w:ascii="Arial" w:hAnsi="Arial" w:cs="Arial"/>
              </w:rPr>
              <w:t>0.999999</w:t>
            </w:r>
          </w:p>
        </w:tc>
        <w:tc>
          <w:tcPr>
            <w:tcW w:w="419" w:type="pct"/>
            <w:vAlign w:val="center"/>
          </w:tcPr>
          <w:p w14:paraId="686D4495" w14:textId="77777777" w:rsidR="0079130E" w:rsidRPr="0079130E" w:rsidRDefault="0079130E" w:rsidP="0079130E">
            <w:pPr>
              <w:jc w:val="both"/>
              <w:rPr>
                <w:rFonts w:ascii="Arial" w:hAnsi="Arial" w:cs="Arial"/>
                <w:color w:val="000000"/>
              </w:rPr>
            </w:pPr>
            <w:r w:rsidRPr="0079130E">
              <w:rPr>
                <w:rFonts w:ascii="Arial" w:hAnsi="Arial" w:cs="Arial"/>
              </w:rPr>
              <w:t>1.70595</w:t>
            </w:r>
          </w:p>
        </w:tc>
        <w:tc>
          <w:tcPr>
            <w:tcW w:w="439" w:type="pct"/>
            <w:vAlign w:val="center"/>
          </w:tcPr>
          <w:p w14:paraId="42ECE544" w14:textId="77777777" w:rsidR="0079130E" w:rsidRPr="0079130E" w:rsidRDefault="0079130E" w:rsidP="0079130E">
            <w:pPr>
              <w:jc w:val="both"/>
              <w:rPr>
                <w:rFonts w:ascii="Arial" w:hAnsi="Arial" w:cs="Arial"/>
                <w:color w:val="000000"/>
              </w:rPr>
            </w:pPr>
            <w:r w:rsidRPr="0079130E">
              <w:rPr>
                <w:rFonts w:ascii="Arial" w:hAnsi="Arial" w:cs="Arial"/>
              </w:rPr>
              <w:t>0.613059</w:t>
            </w:r>
          </w:p>
        </w:tc>
      </w:tr>
    </w:tbl>
    <w:p w14:paraId="28C843C9" w14:textId="77777777" w:rsidR="0079130E" w:rsidRPr="0079130E" w:rsidRDefault="0079130E" w:rsidP="0079130E">
      <w:pPr>
        <w:spacing w:after="160"/>
        <w:jc w:val="both"/>
        <w:rPr>
          <w:rFonts w:ascii="Arial" w:eastAsia="Calibri" w:hAnsi="Arial" w:cs="Arial"/>
          <w:kern w:val="2"/>
        </w:rPr>
      </w:pPr>
    </w:p>
    <w:p w14:paraId="25DD2E5E" w14:textId="77777777" w:rsidR="0079130E" w:rsidRPr="0079130E" w:rsidRDefault="0079130E" w:rsidP="0079130E">
      <w:pPr>
        <w:spacing w:after="160"/>
        <w:jc w:val="both"/>
        <w:rPr>
          <w:rFonts w:ascii="Arial" w:eastAsia="Calibri" w:hAnsi="Arial" w:cs="Arial"/>
          <w:kern w:val="2"/>
        </w:rPr>
      </w:pPr>
    </w:p>
    <w:p w14:paraId="04881B75" w14:textId="77777777" w:rsidR="0079130E" w:rsidRDefault="0079130E" w:rsidP="0079130E">
      <w:pPr>
        <w:spacing w:after="160"/>
        <w:jc w:val="both"/>
        <w:rPr>
          <w:rFonts w:ascii="Arial" w:eastAsia="Calibri" w:hAnsi="Arial" w:cs="Arial"/>
          <w:kern w:val="2"/>
        </w:rPr>
      </w:pPr>
    </w:p>
    <w:p w14:paraId="2DE019D8" w14:textId="1515E893" w:rsidR="0079130E" w:rsidRPr="0079130E" w:rsidRDefault="0079130E" w:rsidP="0079130E">
      <w:pPr>
        <w:spacing w:after="160"/>
        <w:jc w:val="both"/>
        <w:rPr>
          <w:rFonts w:ascii="Arial" w:eastAsia="Calibri" w:hAnsi="Arial" w:cs="Arial"/>
          <w:kern w:val="2"/>
        </w:rPr>
      </w:pPr>
      <w:r w:rsidRPr="0079130E">
        <w:rPr>
          <w:rFonts w:ascii="Arial" w:eastAsia="Calibri" w:hAnsi="Arial" w:cs="Arial"/>
          <w:noProof/>
          <w:kern w:val="2"/>
        </w:rPr>
        <w:drawing>
          <wp:anchor distT="0" distB="0" distL="114300" distR="114300" simplePos="0" relativeHeight="251659776" behindDoc="1" locked="0" layoutInCell="1" allowOverlap="1" wp14:anchorId="76CCE232" wp14:editId="2D0E7C7F">
            <wp:simplePos x="0" y="0"/>
            <wp:positionH relativeFrom="margin">
              <wp:posOffset>-8043</wp:posOffset>
            </wp:positionH>
            <wp:positionV relativeFrom="paragraph">
              <wp:posOffset>151765</wp:posOffset>
            </wp:positionV>
            <wp:extent cx="6433820" cy="606425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6433820" cy="6064250"/>
                    </a:xfrm>
                    <a:prstGeom prst="rect">
                      <a:avLst/>
                    </a:prstGeom>
                  </pic:spPr>
                </pic:pic>
              </a:graphicData>
            </a:graphic>
            <wp14:sizeRelH relativeFrom="page">
              <wp14:pctWidth>0</wp14:pctWidth>
            </wp14:sizeRelH>
            <wp14:sizeRelV relativeFrom="page">
              <wp14:pctHeight>0</wp14:pctHeight>
            </wp14:sizeRelV>
          </wp:anchor>
        </w:drawing>
      </w:r>
    </w:p>
    <w:p w14:paraId="094C37A8" w14:textId="77777777" w:rsidR="0079130E" w:rsidRPr="0079130E" w:rsidRDefault="0079130E" w:rsidP="0079130E">
      <w:pPr>
        <w:spacing w:after="160"/>
        <w:jc w:val="both"/>
        <w:rPr>
          <w:rFonts w:ascii="Arial" w:eastAsia="Calibri" w:hAnsi="Arial" w:cs="Arial"/>
          <w:kern w:val="2"/>
        </w:rPr>
      </w:pPr>
    </w:p>
    <w:p w14:paraId="4BFFE6BF" w14:textId="77777777" w:rsidR="0079130E" w:rsidRPr="0079130E" w:rsidRDefault="0079130E" w:rsidP="0079130E">
      <w:pPr>
        <w:spacing w:after="160"/>
        <w:jc w:val="both"/>
        <w:rPr>
          <w:rFonts w:ascii="Arial" w:eastAsia="Calibri" w:hAnsi="Arial" w:cs="Arial"/>
          <w:kern w:val="2"/>
        </w:rPr>
      </w:pPr>
    </w:p>
    <w:p w14:paraId="33440880" w14:textId="77777777" w:rsidR="0079130E" w:rsidRPr="0079130E" w:rsidRDefault="0079130E" w:rsidP="0079130E">
      <w:pPr>
        <w:spacing w:after="160"/>
        <w:jc w:val="both"/>
        <w:rPr>
          <w:rFonts w:ascii="Arial" w:eastAsia="Calibri" w:hAnsi="Arial" w:cs="Arial"/>
          <w:kern w:val="2"/>
        </w:rPr>
      </w:pPr>
    </w:p>
    <w:p w14:paraId="5406EB8B" w14:textId="77777777" w:rsidR="0079130E" w:rsidRPr="0079130E" w:rsidRDefault="0079130E" w:rsidP="0079130E">
      <w:pPr>
        <w:spacing w:after="160"/>
        <w:jc w:val="both"/>
        <w:rPr>
          <w:rFonts w:ascii="Arial" w:eastAsia="Calibri" w:hAnsi="Arial" w:cs="Arial"/>
          <w:kern w:val="2"/>
        </w:rPr>
      </w:pPr>
    </w:p>
    <w:p w14:paraId="2887138E" w14:textId="77777777" w:rsidR="0079130E" w:rsidRPr="0079130E" w:rsidRDefault="0079130E" w:rsidP="0079130E">
      <w:pPr>
        <w:spacing w:after="160"/>
        <w:jc w:val="both"/>
        <w:rPr>
          <w:rFonts w:ascii="Arial" w:eastAsia="Calibri" w:hAnsi="Arial" w:cs="Arial"/>
          <w:kern w:val="2"/>
        </w:rPr>
      </w:pPr>
    </w:p>
    <w:p w14:paraId="6106032E" w14:textId="77777777" w:rsidR="0079130E" w:rsidRPr="0079130E" w:rsidRDefault="0079130E" w:rsidP="0079130E">
      <w:pPr>
        <w:spacing w:after="160"/>
        <w:jc w:val="both"/>
        <w:rPr>
          <w:rFonts w:ascii="Arial" w:eastAsia="Calibri" w:hAnsi="Arial" w:cs="Arial"/>
          <w:kern w:val="2"/>
        </w:rPr>
      </w:pPr>
    </w:p>
    <w:p w14:paraId="3EB4D853" w14:textId="77777777" w:rsidR="0079130E" w:rsidRPr="0079130E" w:rsidRDefault="0079130E" w:rsidP="0079130E">
      <w:pPr>
        <w:spacing w:after="160"/>
        <w:jc w:val="both"/>
        <w:rPr>
          <w:rFonts w:ascii="Arial" w:eastAsia="Calibri" w:hAnsi="Arial" w:cs="Arial"/>
          <w:kern w:val="2"/>
        </w:rPr>
      </w:pPr>
    </w:p>
    <w:p w14:paraId="3ADBAF1C" w14:textId="77777777" w:rsidR="0079130E" w:rsidRPr="0079130E" w:rsidRDefault="0079130E" w:rsidP="0079130E">
      <w:pPr>
        <w:spacing w:after="160"/>
        <w:jc w:val="both"/>
        <w:rPr>
          <w:rFonts w:ascii="Arial" w:eastAsia="Calibri" w:hAnsi="Arial" w:cs="Arial"/>
          <w:kern w:val="2"/>
        </w:rPr>
      </w:pPr>
    </w:p>
    <w:p w14:paraId="18D99F8A" w14:textId="77777777" w:rsidR="0079130E" w:rsidRPr="0079130E" w:rsidRDefault="0079130E" w:rsidP="0079130E">
      <w:pPr>
        <w:spacing w:after="160"/>
        <w:jc w:val="both"/>
        <w:rPr>
          <w:rFonts w:ascii="Arial" w:eastAsia="Calibri" w:hAnsi="Arial" w:cs="Arial"/>
          <w:kern w:val="2"/>
        </w:rPr>
      </w:pPr>
    </w:p>
    <w:p w14:paraId="6FCA26DB" w14:textId="77777777" w:rsidR="0079130E" w:rsidRPr="0079130E" w:rsidRDefault="0079130E" w:rsidP="0079130E">
      <w:pPr>
        <w:spacing w:after="160"/>
        <w:jc w:val="both"/>
        <w:rPr>
          <w:rFonts w:ascii="Arial" w:eastAsia="Calibri" w:hAnsi="Arial" w:cs="Arial"/>
          <w:kern w:val="2"/>
        </w:rPr>
      </w:pPr>
    </w:p>
    <w:p w14:paraId="39418277" w14:textId="77777777" w:rsidR="0079130E" w:rsidRPr="0079130E" w:rsidRDefault="0079130E" w:rsidP="0079130E">
      <w:pPr>
        <w:spacing w:after="160"/>
        <w:jc w:val="both"/>
        <w:rPr>
          <w:rFonts w:ascii="Arial" w:eastAsia="Calibri" w:hAnsi="Arial" w:cs="Arial"/>
          <w:kern w:val="2"/>
        </w:rPr>
      </w:pPr>
    </w:p>
    <w:p w14:paraId="2136E015" w14:textId="77777777" w:rsidR="0079130E" w:rsidRPr="0079130E" w:rsidRDefault="0079130E" w:rsidP="0079130E">
      <w:pPr>
        <w:spacing w:after="160"/>
        <w:jc w:val="both"/>
        <w:rPr>
          <w:rFonts w:ascii="Arial" w:eastAsia="Calibri" w:hAnsi="Arial" w:cs="Arial"/>
          <w:kern w:val="2"/>
        </w:rPr>
      </w:pPr>
    </w:p>
    <w:p w14:paraId="513F38BB" w14:textId="77777777" w:rsidR="0079130E" w:rsidRPr="0079130E" w:rsidRDefault="0079130E" w:rsidP="0079130E">
      <w:pPr>
        <w:spacing w:after="160"/>
        <w:jc w:val="both"/>
        <w:rPr>
          <w:rFonts w:ascii="Arial" w:eastAsia="Calibri" w:hAnsi="Arial" w:cs="Arial"/>
          <w:kern w:val="2"/>
        </w:rPr>
      </w:pPr>
    </w:p>
    <w:p w14:paraId="01703322" w14:textId="77777777" w:rsidR="0079130E" w:rsidRPr="0079130E" w:rsidRDefault="0079130E" w:rsidP="0079130E">
      <w:pPr>
        <w:spacing w:after="160"/>
        <w:jc w:val="both"/>
        <w:rPr>
          <w:rFonts w:ascii="Arial" w:eastAsia="Calibri" w:hAnsi="Arial" w:cs="Arial"/>
          <w:kern w:val="2"/>
        </w:rPr>
      </w:pPr>
    </w:p>
    <w:p w14:paraId="4866409F" w14:textId="77777777" w:rsidR="0079130E" w:rsidRPr="0079130E" w:rsidRDefault="0079130E" w:rsidP="0079130E">
      <w:pPr>
        <w:spacing w:after="160"/>
        <w:jc w:val="both"/>
        <w:rPr>
          <w:rFonts w:ascii="Arial" w:eastAsia="Calibri" w:hAnsi="Arial" w:cs="Arial"/>
          <w:kern w:val="2"/>
        </w:rPr>
      </w:pPr>
    </w:p>
    <w:p w14:paraId="15C9E01E" w14:textId="77777777" w:rsidR="0079130E" w:rsidRPr="0079130E" w:rsidRDefault="0079130E" w:rsidP="0079130E">
      <w:pPr>
        <w:jc w:val="both"/>
        <w:rPr>
          <w:rFonts w:ascii="Arial" w:hAnsi="Arial" w:cs="Arial"/>
          <w:b/>
          <w:iCs/>
          <w:color w:val="000000"/>
        </w:rPr>
      </w:pPr>
    </w:p>
    <w:p w14:paraId="7CA7A15B" w14:textId="77777777" w:rsidR="0079130E" w:rsidRPr="0079130E" w:rsidRDefault="0079130E" w:rsidP="0079130E">
      <w:pPr>
        <w:jc w:val="both"/>
        <w:rPr>
          <w:rFonts w:ascii="Arial" w:hAnsi="Arial" w:cs="Arial"/>
          <w:b/>
          <w:iCs/>
          <w:color w:val="000000"/>
        </w:rPr>
      </w:pPr>
      <w:r w:rsidRPr="0079130E">
        <w:rPr>
          <w:rFonts w:ascii="Arial" w:hAnsi="Arial" w:cs="Arial"/>
          <w:b/>
          <w:iCs/>
          <w:color w:val="000000"/>
        </w:rPr>
        <w:t xml:space="preserve"> </w:t>
      </w:r>
    </w:p>
    <w:p w14:paraId="45E624AF" w14:textId="77777777" w:rsidR="0079130E" w:rsidRPr="0079130E" w:rsidRDefault="0079130E" w:rsidP="0079130E">
      <w:pPr>
        <w:jc w:val="both"/>
        <w:rPr>
          <w:rFonts w:ascii="Arial" w:hAnsi="Arial" w:cs="Arial"/>
          <w:b/>
          <w:iCs/>
          <w:color w:val="000000"/>
        </w:rPr>
      </w:pPr>
    </w:p>
    <w:p w14:paraId="229B94A6" w14:textId="77777777" w:rsidR="0079130E" w:rsidRDefault="0079130E" w:rsidP="0079130E">
      <w:pPr>
        <w:jc w:val="both"/>
        <w:rPr>
          <w:rFonts w:ascii="Arial" w:hAnsi="Arial" w:cs="Arial"/>
          <w:b/>
          <w:iCs/>
          <w:color w:val="000000"/>
        </w:rPr>
      </w:pPr>
      <w:r w:rsidRPr="0079130E">
        <w:rPr>
          <w:rFonts w:ascii="Arial" w:hAnsi="Arial" w:cs="Arial"/>
          <w:b/>
          <w:iCs/>
          <w:color w:val="000000"/>
        </w:rPr>
        <w:t xml:space="preserve">      </w:t>
      </w:r>
    </w:p>
    <w:p w14:paraId="32E8FA95" w14:textId="77777777" w:rsidR="0079130E" w:rsidRDefault="0079130E" w:rsidP="0079130E">
      <w:pPr>
        <w:jc w:val="both"/>
        <w:rPr>
          <w:rFonts w:ascii="Arial" w:hAnsi="Arial" w:cs="Arial"/>
          <w:b/>
          <w:iCs/>
          <w:color w:val="000000"/>
        </w:rPr>
      </w:pPr>
    </w:p>
    <w:p w14:paraId="67B0EB83" w14:textId="77777777" w:rsidR="0079130E" w:rsidRDefault="0079130E" w:rsidP="0079130E">
      <w:pPr>
        <w:jc w:val="both"/>
        <w:rPr>
          <w:rFonts w:ascii="Arial" w:hAnsi="Arial" w:cs="Arial"/>
          <w:b/>
          <w:iCs/>
          <w:color w:val="000000"/>
        </w:rPr>
      </w:pPr>
    </w:p>
    <w:p w14:paraId="4A3E06C0" w14:textId="77777777" w:rsidR="0079130E" w:rsidRDefault="0079130E" w:rsidP="0079130E">
      <w:pPr>
        <w:jc w:val="both"/>
        <w:rPr>
          <w:rFonts w:ascii="Arial" w:hAnsi="Arial" w:cs="Arial"/>
          <w:b/>
          <w:iCs/>
          <w:color w:val="000000"/>
        </w:rPr>
      </w:pPr>
    </w:p>
    <w:p w14:paraId="68502EDE" w14:textId="77777777" w:rsidR="0079130E" w:rsidRDefault="0079130E" w:rsidP="0079130E">
      <w:pPr>
        <w:jc w:val="both"/>
        <w:rPr>
          <w:rFonts w:ascii="Arial" w:hAnsi="Arial" w:cs="Arial"/>
          <w:b/>
          <w:iCs/>
          <w:color w:val="000000"/>
        </w:rPr>
      </w:pPr>
    </w:p>
    <w:p w14:paraId="202D0D70" w14:textId="77777777" w:rsidR="0079130E" w:rsidRDefault="0079130E" w:rsidP="0079130E">
      <w:pPr>
        <w:jc w:val="both"/>
        <w:rPr>
          <w:rFonts w:ascii="Arial" w:hAnsi="Arial" w:cs="Arial"/>
          <w:b/>
          <w:iCs/>
          <w:color w:val="000000"/>
        </w:rPr>
      </w:pPr>
    </w:p>
    <w:p w14:paraId="65C5C603" w14:textId="77777777" w:rsidR="0079130E" w:rsidRDefault="0079130E" w:rsidP="0079130E">
      <w:pPr>
        <w:jc w:val="both"/>
        <w:rPr>
          <w:rFonts w:ascii="Arial" w:hAnsi="Arial" w:cs="Arial"/>
          <w:b/>
          <w:iCs/>
          <w:color w:val="000000"/>
        </w:rPr>
      </w:pPr>
    </w:p>
    <w:p w14:paraId="6D6BD690" w14:textId="77777777" w:rsidR="0079130E" w:rsidRDefault="0079130E" w:rsidP="0079130E">
      <w:pPr>
        <w:jc w:val="both"/>
        <w:rPr>
          <w:rFonts w:ascii="Arial" w:hAnsi="Arial" w:cs="Arial"/>
          <w:b/>
          <w:iCs/>
          <w:color w:val="000000"/>
        </w:rPr>
      </w:pPr>
    </w:p>
    <w:p w14:paraId="0B6A183C" w14:textId="77777777" w:rsidR="0079130E" w:rsidRDefault="0079130E" w:rsidP="0079130E">
      <w:pPr>
        <w:jc w:val="both"/>
        <w:rPr>
          <w:rFonts w:ascii="Arial" w:hAnsi="Arial" w:cs="Arial"/>
          <w:b/>
          <w:iCs/>
          <w:color w:val="000000"/>
        </w:rPr>
      </w:pPr>
    </w:p>
    <w:p w14:paraId="2BBE5901" w14:textId="77777777" w:rsidR="0079130E" w:rsidRDefault="0079130E" w:rsidP="0079130E">
      <w:pPr>
        <w:jc w:val="both"/>
        <w:rPr>
          <w:rFonts w:ascii="Arial" w:hAnsi="Arial" w:cs="Arial"/>
          <w:b/>
          <w:iCs/>
          <w:color w:val="000000"/>
        </w:rPr>
      </w:pPr>
    </w:p>
    <w:p w14:paraId="38AFCAFA" w14:textId="77777777" w:rsidR="0079130E" w:rsidRDefault="0079130E" w:rsidP="0079130E">
      <w:pPr>
        <w:jc w:val="both"/>
        <w:rPr>
          <w:rFonts w:ascii="Arial" w:hAnsi="Arial" w:cs="Arial"/>
          <w:b/>
          <w:iCs/>
          <w:color w:val="000000"/>
        </w:rPr>
      </w:pPr>
    </w:p>
    <w:p w14:paraId="7083DC75" w14:textId="77777777" w:rsidR="0079130E" w:rsidRDefault="0079130E" w:rsidP="0079130E">
      <w:pPr>
        <w:jc w:val="both"/>
        <w:rPr>
          <w:rFonts w:ascii="Arial" w:hAnsi="Arial" w:cs="Arial"/>
          <w:b/>
          <w:iCs/>
          <w:color w:val="000000"/>
        </w:rPr>
      </w:pPr>
    </w:p>
    <w:p w14:paraId="73F3B7BB" w14:textId="77777777" w:rsidR="0079130E" w:rsidRDefault="0079130E" w:rsidP="0079130E">
      <w:pPr>
        <w:jc w:val="both"/>
        <w:rPr>
          <w:rFonts w:ascii="Arial" w:hAnsi="Arial" w:cs="Arial"/>
          <w:b/>
          <w:iCs/>
          <w:color w:val="000000"/>
        </w:rPr>
      </w:pPr>
    </w:p>
    <w:p w14:paraId="291A1488" w14:textId="344DCEA4" w:rsidR="0079130E" w:rsidRPr="0079130E" w:rsidRDefault="0079130E" w:rsidP="0079130E">
      <w:pPr>
        <w:jc w:val="both"/>
        <w:rPr>
          <w:rFonts w:ascii="Arial" w:hAnsi="Arial" w:cs="Arial"/>
          <w:b/>
          <w:iCs/>
          <w:color w:val="000000"/>
        </w:rPr>
      </w:pPr>
      <w:r w:rsidRPr="0079130E">
        <w:rPr>
          <w:rFonts w:ascii="Arial" w:hAnsi="Arial" w:cs="Arial"/>
          <w:b/>
          <w:iCs/>
          <w:color w:val="000000"/>
        </w:rPr>
        <w:t xml:space="preserve"> </w:t>
      </w:r>
      <w:bookmarkStart w:id="11" w:name="_Toc166707463"/>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9</w:t>
      </w:r>
      <w:r w:rsidRPr="0079130E">
        <w:rPr>
          <w:rFonts w:ascii="Arial" w:hAnsi="Arial" w:cs="Arial"/>
          <w:b/>
          <w:iCs/>
          <w:noProof/>
        </w:rPr>
        <w:fldChar w:fldCharType="end"/>
      </w:r>
      <w:r w:rsidRPr="0079130E">
        <w:rPr>
          <w:rFonts w:ascii="Arial" w:hAnsi="Arial" w:cs="Arial"/>
          <w:b/>
          <w:iCs/>
          <w:color w:val="000000"/>
        </w:rPr>
        <w:t>: Bacteria Alpha diversity indices</w:t>
      </w:r>
      <w:bookmarkEnd w:id="11"/>
    </w:p>
    <w:p w14:paraId="68927FC5"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Goods-coverage, chao1, Shannon, faith, and Simpson. Where *, 0.01 ≤ p &lt; 0.05; **, 0.001 ≤ p &lt; 0.01; ***, p &lt; 0.001. The concentration level is represented on the Y-axis, while the distinct </w:t>
      </w:r>
      <w:proofErr w:type="spellStart"/>
      <w:r w:rsidRPr="0079130E">
        <w:rPr>
          <w:rFonts w:ascii="Arial" w:eastAsia="Calibri" w:hAnsi="Arial" w:cs="Arial"/>
          <w:i/>
          <w:kern w:val="2"/>
        </w:rPr>
        <w:t>Daqu</w:t>
      </w:r>
      <w:proofErr w:type="spellEnd"/>
      <w:r w:rsidRPr="0079130E">
        <w:rPr>
          <w:rFonts w:ascii="Arial" w:eastAsia="Calibri" w:hAnsi="Arial" w:cs="Arial"/>
          <w:kern w:val="2"/>
        </w:rPr>
        <w:t xml:space="preserve"> samples are displayed on the X-axis.</w:t>
      </w:r>
    </w:p>
    <w:p w14:paraId="573C84A7" w14:textId="77777777" w:rsidR="0079130E" w:rsidRPr="0079130E" w:rsidRDefault="0079130E" w:rsidP="0079130E">
      <w:pPr>
        <w:spacing w:after="160"/>
        <w:jc w:val="both"/>
        <w:rPr>
          <w:rFonts w:ascii="Arial" w:eastAsia="Calibri" w:hAnsi="Arial" w:cs="Arial"/>
          <w:color w:val="000000"/>
          <w:kern w:val="2"/>
        </w:rPr>
      </w:pPr>
      <w:r w:rsidRPr="0079130E">
        <w:rPr>
          <w:rFonts w:ascii="Arial" w:eastAsia="Calibri" w:hAnsi="Arial" w:cs="Arial"/>
          <w:noProof/>
          <w:color w:val="000000"/>
          <w:kern w:val="2"/>
        </w:rPr>
        <w:lastRenderedPageBreak/>
        <w:drawing>
          <wp:inline distT="0" distB="0" distL="0" distR="0" wp14:anchorId="1FCAD002" wp14:editId="429A9539">
            <wp:extent cx="4444365" cy="6102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4365" cy="6102350"/>
                    </a:xfrm>
                    <a:prstGeom prst="rect">
                      <a:avLst/>
                    </a:prstGeom>
                    <a:noFill/>
                  </pic:spPr>
                </pic:pic>
              </a:graphicData>
            </a:graphic>
          </wp:inline>
        </w:drawing>
      </w:r>
    </w:p>
    <w:p w14:paraId="47B9DD93" w14:textId="77777777" w:rsidR="0079130E" w:rsidRPr="0079130E" w:rsidRDefault="0079130E" w:rsidP="0079130E">
      <w:pPr>
        <w:jc w:val="both"/>
        <w:rPr>
          <w:rFonts w:ascii="Arial" w:hAnsi="Arial" w:cs="Arial"/>
          <w:b/>
          <w:iCs/>
          <w:color w:val="000000"/>
        </w:rPr>
      </w:pPr>
      <w:r w:rsidRPr="0079130E">
        <w:rPr>
          <w:rFonts w:ascii="Arial" w:hAnsi="Arial" w:cs="Arial"/>
          <w:b/>
          <w:iCs/>
          <w:color w:val="000000"/>
        </w:rPr>
        <w:t xml:space="preserve"> </w:t>
      </w:r>
      <w:bookmarkStart w:id="12" w:name="_Toc166707464"/>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10</w:t>
      </w:r>
      <w:r w:rsidRPr="0079130E">
        <w:rPr>
          <w:rFonts w:ascii="Arial" w:hAnsi="Arial" w:cs="Arial"/>
          <w:b/>
          <w:iCs/>
          <w:noProof/>
        </w:rPr>
        <w:fldChar w:fldCharType="end"/>
      </w:r>
      <w:r w:rsidRPr="0079130E">
        <w:rPr>
          <w:rFonts w:ascii="Arial" w:hAnsi="Arial" w:cs="Arial"/>
          <w:b/>
          <w:iCs/>
          <w:color w:val="000000"/>
        </w:rPr>
        <w:t>: Fungi Alpha diversity indices.</w:t>
      </w:r>
      <w:bookmarkEnd w:id="12"/>
    </w:p>
    <w:p w14:paraId="40762140"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Goods-coverage, chao1, Shannon, faith, and Simpson. Where *, 0.01 ≤ p &lt; 0.05; **, 0.001 ≤ p &lt; 0.01; ***, p &lt; 0.001. The concentration level is represented on the Y-axis, while the distinct </w:t>
      </w:r>
      <w:proofErr w:type="spellStart"/>
      <w:r w:rsidRPr="0079130E">
        <w:rPr>
          <w:rFonts w:ascii="Arial" w:eastAsia="Calibri" w:hAnsi="Arial" w:cs="Arial"/>
          <w:i/>
          <w:kern w:val="2"/>
        </w:rPr>
        <w:t>Daqu</w:t>
      </w:r>
      <w:proofErr w:type="spellEnd"/>
      <w:r w:rsidRPr="0079130E">
        <w:rPr>
          <w:rFonts w:ascii="Arial" w:eastAsia="Calibri" w:hAnsi="Arial" w:cs="Arial"/>
          <w:kern w:val="2"/>
        </w:rPr>
        <w:t xml:space="preserve"> samples are displayed on the X-axis.</w:t>
      </w:r>
    </w:p>
    <w:p w14:paraId="0EE66DB8" w14:textId="77777777" w:rsidR="0079130E" w:rsidRPr="0079130E" w:rsidRDefault="0079130E" w:rsidP="0079130E">
      <w:pPr>
        <w:spacing w:after="160"/>
        <w:jc w:val="both"/>
        <w:rPr>
          <w:rFonts w:ascii="Arial" w:eastAsia="Calibri" w:hAnsi="Arial" w:cs="Arial"/>
          <w:kern w:val="2"/>
        </w:rPr>
      </w:pPr>
    </w:p>
    <w:p w14:paraId="390BDAAD" w14:textId="77777777" w:rsidR="0079130E" w:rsidRPr="0079130E" w:rsidRDefault="0079130E" w:rsidP="0079130E">
      <w:pPr>
        <w:jc w:val="both"/>
        <w:rPr>
          <w:rFonts w:ascii="Arial" w:hAnsi="Arial" w:cs="Arial"/>
        </w:rPr>
      </w:pPr>
      <w:r w:rsidRPr="0079130E">
        <w:rPr>
          <w:rFonts w:ascii="Arial" w:hAnsi="Arial" w:cs="Arial"/>
        </w:rPr>
        <w:t xml:space="preserve">The elevated microbial diversity observed in White </w:t>
      </w:r>
      <w:proofErr w:type="spellStart"/>
      <w:r w:rsidRPr="0079130E">
        <w:rPr>
          <w:rFonts w:ascii="Arial" w:hAnsi="Arial" w:cs="Arial"/>
        </w:rPr>
        <w:t>Daqu</w:t>
      </w:r>
      <w:proofErr w:type="spellEnd"/>
      <w:r w:rsidRPr="0079130E">
        <w:rPr>
          <w:rFonts w:ascii="Arial" w:hAnsi="Arial" w:cs="Arial"/>
        </w:rPr>
        <w:t xml:space="preserve"> implies a broader and more functionally versatile enzymatic repertoire, enabling a wider range of biochemical transformations during fermentation. This expanded metabolic capacity spanning carbohydrate hydrolysis, amino acid conversion, organic acid metabolism, and Maillard-related precursor formation likely underpins the stronger aroma intensity and greater volatile complexity characteristic of White </w:t>
      </w:r>
      <w:proofErr w:type="spellStart"/>
      <w:r w:rsidRPr="0079130E">
        <w:rPr>
          <w:rFonts w:ascii="Arial" w:hAnsi="Arial" w:cs="Arial"/>
        </w:rPr>
        <w:t>Daqu</w:t>
      </w:r>
      <w:proofErr w:type="spellEnd"/>
      <w:r w:rsidRPr="0079130E">
        <w:rPr>
          <w:rFonts w:ascii="Arial" w:hAnsi="Arial" w:cs="Arial"/>
        </w:rPr>
        <w:t xml:space="preserve"> when compared with black and yellow varieties (Wang et al., 2025).</w:t>
      </w:r>
    </w:p>
    <w:p w14:paraId="16D0E67B" w14:textId="77777777" w:rsidR="0079130E" w:rsidRPr="0079130E" w:rsidRDefault="0079130E" w:rsidP="0079130E">
      <w:pPr>
        <w:jc w:val="both"/>
        <w:rPr>
          <w:rFonts w:ascii="Arial" w:eastAsia="Calibri" w:hAnsi="Arial" w:cs="Arial"/>
          <w:kern w:val="2"/>
        </w:rPr>
      </w:pPr>
    </w:p>
    <w:p w14:paraId="6726C909" w14:textId="77777777" w:rsidR="0079130E" w:rsidRPr="0079130E" w:rsidRDefault="0079130E" w:rsidP="0079130E">
      <w:pPr>
        <w:jc w:val="both"/>
        <w:rPr>
          <w:rFonts w:ascii="Arial" w:eastAsia="Calibri" w:hAnsi="Arial" w:cs="Arial"/>
          <w:b/>
          <w:bCs/>
          <w:kern w:val="2"/>
        </w:rPr>
      </w:pPr>
      <w:r w:rsidRPr="0079130E">
        <w:rPr>
          <w:rFonts w:ascii="Arial" w:eastAsia="Calibri" w:hAnsi="Arial" w:cs="Arial"/>
          <w:b/>
          <w:bCs/>
          <w:kern w:val="2"/>
        </w:rPr>
        <w:t>3.4 Volatile Compilation and Microbial Correlations</w:t>
      </w:r>
    </w:p>
    <w:p w14:paraId="55FB3BA1" w14:textId="77777777" w:rsidR="0079130E" w:rsidRPr="0079130E" w:rsidRDefault="0079130E" w:rsidP="0079130E">
      <w:pPr>
        <w:jc w:val="both"/>
        <w:rPr>
          <w:rFonts w:ascii="Arial" w:hAnsi="Arial" w:cs="Arial"/>
        </w:rPr>
      </w:pPr>
      <w:bookmarkStart w:id="13" w:name="_Toc166706730"/>
      <w:r w:rsidRPr="0079130E">
        <w:rPr>
          <w:rFonts w:ascii="Arial" w:hAnsi="Arial" w:cs="Arial"/>
        </w:rPr>
        <w:t xml:space="preserve">GC–MS profiling revealed a diverse volatile landscape, identifying over 80 distinct compounds spanning key aroma-active classes such as esters, pyrazines, aldehydes, alcohols, and organic acids. White </w:t>
      </w:r>
      <w:proofErr w:type="spellStart"/>
      <w:r w:rsidRPr="0079130E">
        <w:rPr>
          <w:rFonts w:ascii="Arial" w:hAnsi="Arial" w:cs="Arial"/>
        </w:rPr>
        <w:t>Daqu</w:t>
      </w:r>
      <w:proofErr w:type="spellEnd"/>
      <w:r w:rsidRPr="0079130E">
        <w:rPr>
          <w:rFonts w:ascii="Arial" w:hAnsi="Arial" w:cs="Arial"/>
        </w:rPr>
        <w:t xml:space="preserve"> exhibited markedly higher levels of alcohols (e.g., ethanol, isoamyl alcohol) and pyrazines, a profile that aligns with the metabolic capabilities of its dominant Bacillus and </w:t>
      </w:r>
      <w:proofErr w:type="spellStart"/>
      <w:r w:rsidRPr="0079130E">
        <w:rPr>
          <w:rFonts w:ascii="Arial" w:hAnsi="Arial" w:cs="Arial"/>
        </w:rPr>
        <w:t>Kroppenstedtia</w:t>
      </w:r>
      <w:proofErr w:type="spellEnd"/>
      <w:r w:rsidRPr="0079130E">
        <w:rPr>
          <w:rFonts w:ascii="Arial" w:hAnsi="Arial" w:cs="Arial"/>
        </w:rPr>
        <w:t xml:space="preserve"> populations both well-known producers of amino-acid-derived pyrazines and fermentation-related higher alcohols (Chen et al., 2025). Yellow </w:t>
      </w:r>
      <w:proofErr w:type="spellStart"/>
      <w:r w:rsidRPr="0079130E">
        <w:rPr>
          <w:rFonts w:ascii="Arial" w:hAnsi="Arial" w:cs="Arial"/>
        </w:rPr>
        <w:t>Daqu</w:t>
      </w:r>
      <w:proofErr w:type="spellEnd"/>
      <w:r w:rsidRPr="0079130E">
        <w:rPr>
          <w:rFonts w:ascii="Arial" w:hAnsi="Arial" w:cs="Arial"/>
        </w:rPr>
        <w:t xml:space="preserve">, by contrast, contained the highest concentrations </w:t>
      </w:r>
      <w:r w:rsidRPr="0079130E">
        <w:rPr>
          <w:rFonts w:ascii="Arial" w:hAnsi="Arial" w:cs="Arial"/>
        </w:rPr>
        <w:lastRenderedPageBreak/>
        <w:t xml:space="preserve">of organic acids, a trend that corresponds with the strong presence of </w:t>
      </w:r>
      <w:proofErr w:type="spellStart"/>
      <w:r w:rsidRPr="0079130E">
        <w:rPr>
          <w:rFonts w:ascii="Arial" w:hAnsi="Arial" w:cs="Arial"/>
        </w:rPr>
        <w:t>Thermomyces</w:t>
      </w:r>
      <w:proofErr w:type="spellEnd"/>
      <w:r w:rsidRPr="0079130E">
        <w:rPr>
          <w:rFonts w:ascii="Arial" w:hAnsi="Arial" w:cs="Arial"/>
        </w:rPr>
        <w:t xml:space="preserve">, a thermophilic genus capable of driving robust acidification through carbohydrate and lipid breakdown pathways (Cairns et al., 2021). Black </w:t>
      </w:r>
      <w:proofErr w:type="spellStart"/>
      <w:r w:rsidRPr="0079130E">
        <w:rPr>
          <w:rFonts w:ascii="Arial" w:hAnsi="Arial" w:cs="Arial"/>
        </w:rPr>
        <w:t>Daqu</w:t>
      </w:r>
      <w:proofErr w:type="spellEnd"/>
      <w:r w:rsidRPr="0079130E">
        <w:rPr>
          <w:rFonts w:ascii="Arial" w:hAnsi="Arial" w:cs="Arial"/>
        </w:rPr>
        <w:t xml:space="preserve"> was characterized by elevated aldehydes and esters, compounds typically enriched during Maillard reactions, thermal degradation, and lipid oxidation under high-temperature fermentation. The prominence of these aroma groups reinforces the role of black </w:t>
      </w:r>
      <w:proofErr w:type="spellStart"/>
      <w:r w:rsidRPr="0079130E">
        <w:rPr>
          <w:rFonts w:ascii="Arial" w:hAnsi="Arial" w:cs="Arial"/>
        </w:rPr>
        <w:t>Daqu’s</w:t>
      </w:r>
      <w:proofErr w:type="spellEnd"/>
      <w:r w:rsidRPr="0079130E">
        <w:rPr>
          <w:rFonts w:ascii="Arial" w:hAnsi="Arial" w:cs="Arial"/>
        </w:rPr>
        <w:t xml:space="preserve"> harsher thermal environment in shaping its distinctive fruity floral and mildly toasted aromatic attributes. </w:t>
      </w:r>
      <w:r w:rsidRPr="0079130E">
        <w:rPr>
          <w:rFonts w:ascii="Arial" w:hAnsi="Arial" w:cs="Arial"/>
          <w:bCs/>
          <w:iCs/>
        </w:rPr>
        <w:t xml:space="preserve">These findings highlight the microbiota-driven nature of </w:t>
      </w:r>
      <w:proofErr w:type="spellStart"/>
      <w:r w:rsidRPr="0079130E">
        <w:rPr>
          <w:rFonts w:ascii="Arial" w:hAnsi="Arial" w:cs="Arial"/>
          <w:bCs/>
          <w:iCs/>
        </w:rPr>
        <w:t>Daqu</w:t>
      </w:r>
      <w:proofErr w:type="spellEnd"/>
      <w:r w:rsidRPr="0079130E">
        <w:rPr>
          <w:rFonts w:ascii="Arial" w:hAnsi="Arial" w:cs="Arial"/>
          <w:bCs/>
          <w:iCs/>
        </w:rPr>
        <w:t xml:space="preserve"> fermentation and confirm earlier reports on color-specific fermentation ecology (Liang et al., 2023).</w:t>
      </w:r>
    </w:p>
    <w:p w14:paraId="222B75C4" w14:textId="77777777" w:rsidR="0079130E" w:rsidRPr="0079130E" w:rsidRDefault="0079130E" w:rsidP="0079130E">
      <w:pPr>
        <w:jc w:val="both"/>
        <w:rPr>
          <w:rFonts w:ascii="Arial" w:hAnsi="Arial" w:cs="Arial"/>
          <w:b/>
          <w:iCs/>
        </w:rPr>
      </w:pPr>
    </w:p>
    <w:p w14:paraId="7851B7B7" w14:textId="77777777" w:rsidR="0079130E" w:rsidRPr="0079130E" w:rsidRDefault="0079130E" w:rsidP="0079130E">
      <w:pPr>
        <w:jc w:val="both"/>
        <w:rPr>
          <w:rFonts w:ascii="Arial" w:hAnsi="Arial" w:cs="Arial"/>
          <w:b/>
          <w:iCs/>
        </w:rPr>
      </w:pPr>
      <w:r w:rsidRPr="0079130E">
        <w:rPr>
          <w:rFonts w:ascii="Arial" w:hAnsi="Arial" w:cs="Arial"/>
          <w:b/>
          <w:iCs/>
        </w:rPr>
        <w:t xml:space="preserve">Table </w:t>
      </w:r>
      <w:r w:rsidRPr="0079130E">
        <w:rPr>
          <w:rFonts w:ascii="Arial" w:hAnsi="Arial" w:cs="Arial"/>
          <w:b/>
          <w:iCs/>
        </w:rPr>
        <w:fldChar w:fldCharType="begin"/>
      </w:r>
      <w:r w:rsidRPr="0079130E">
        <w:rPr>
          <w:rFonts w:ascii="Arial" w:hAnsi="Arial" w:cs="Arial"/>
          <w:b/>
          <w:iCs/>
        </w:rPr>
        <w:instrText xml:space="preserve"> SEQ Table \* ARABIC \s 1 </w:instrText>
      </w:r>
      <w:r w:rsidRPr="0079130E">
        <w:rPr>
          <w:rFonts w:ascii="Arial" w:hAnsi="Arial" w:cs="Arial"/>
          <w:b/>
          <w:iCs/>
        </w:rPr>
        <w:fldChar w:fldCharType="separate"/>
      </w:r>
      <w:r w:rsidRPr="0079130E">
        <w:rPr>
          <w:rFonts w:ascii="Arial" w:hAnsi="Arial" w:cs="Arial"/>
          <w:b/>
          <w:iCs/>
          <w:noProof/>
        </w:rPr>
        <w:t>3</w:t>
      </w:r>
      <w:r w:rsidRPr="0079130E">
        <w:rPr>
          <w:rFonts w:ascii="Arial" w:hAnsi="Arial" w:cs="Arial"/>
          <w:b/>
          <w:iCs/>
          <w:noProof/>
        </w:rPr>
        <w:fldChar w:fldCharType="end"/>
      </w:r>
      <w:r w:rsidRPr="0079130E">
        <w:rPr>
          <w:rFonts w:ascii="Arial" w:hAnsi="Arial" w:cs="Arial"/>
          <w:b/>
          <w:iCs/>
        </w:rPr>
        <w:t xml:space="preserve">: Volatile flavor compounds identified in </w:t>
      </w:r>
      <w:proofErr w:type="spellStart"/>
      <w:r w:rsidRPr="0079130E">
        <w:rPr>
          <w:rFonts w:ascii="Arial" w:hAnsi="Arial" w:cs="Arial"/>
          <w:b/>
          <w:i/>
          <w:iCs/>
        </w:rPr>
        <w:t>Daqu</w:t>
      </w:r>
      <w:proofErr w:type="spellEnd"/>
      <w:r w:rsidRPr="0079130E">
        <w:rPr>
          <w:rFonts w:ascii="Arial" w:hAnsi="Arial" w:cs="Arial"/>
          <w:b/>
          <w:iCs/>
        </w:rPr>
        <w:t xml:space="preserve"> with the different colors</w:t>
      </w:r>
      <w:bookmarkEnd w:id="13"/>
    </w:p>
    <w:tbl>
      <w:tblPr>
        <w:tblW w:w="4992" w:type="pct"/>
        <w:tblBorders>
          <w:top w:val="single" w:sz="4" w:space="0" w:color="auto"/>
          <w:bottom w:val="single" w:sz="4" w:space="0" w:color="auto"/>
        </w:tblBorders>
        <w:tblLook w:val="04A0" w:firstRow="1" w:lastRow="0" w:firstColumn="1" w:lastColumn="0" w:noHBand="0" w:noVBand="1"/>
      </w:tblPr>
      <w:tblGrid>
        <w:gridCol w:w="2148"/>
        <w:gridCol w:w="5268"/>
        <w:gridCol w:w="1194"/>
        <w:gridCol w:w="1194"/>
        <w:gridCol w:w="1194"/>
      </w:tblGrid>
      <w:tr w:rsidR="0079130E" w:rsidRPr="0079130E" w14:paraId="611DC5D8" w14:textId="77777777" w:rsidTr="00B132C4">
        <w:trPr>
          <w:trHeight w:val="290"/>
        </w:trPr>
        <w:tc>
          <w:tcPr>
            <w:tcW w:w="976" w:type="pct"/>
            <w:tcBorders>
              <w:top w:val="single" w:sz="4" w:space="0" w:color="auto"/>
              <w:bottom w:val="single" w:sz="4" w:space="0" w:color="auto"/>
            </w:tcBorders>
          </w:tcPr>
          <w:p w14:paraId="7201EDA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Categories</w:t>
            </w:r>
          </w:p>
        </w:tc>
        <w:tc>
          <w:tcPr>
            <w:tcW w:w="2395" w:type="pct"/>
            <w:tcBorders>
              <w:top w:val="single" w:sz="4" w:space="0" w:color="auto"/>
              <w:bottom w:val="single" w:sz="4" w:space="0" w:color="auto"/>
            </w:tcBorders>
            <w:noWrap/>
            <w:vAlign w:val="center"/>
            <w:hideMark/>
          </w:tcPr>
          <w:p w14:paraId="4F07EBF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Name</w:t>
            </w:r>
          </w:p>
        </w:tc>
        <w:tc>
          <w:tcPr>
            <w:tcW w:w="543" w:type="pct"/>
            <w:tcBorders>
              <w:top w:val="single" w:sz="4" w:space="0" w:color="auto"/>
              <w:bottom w:val="single" w:sz="4" w:space="0" w:color="auto"/>
            </w:tcBorders>
            <w:noWrap/>
            <w:vAlign w:val="center"/>
            <w:hideMark/>
          </w:tcPr>
          <w:p w14:paraId="7DF49F7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BQ</w:t>
            </w:r>
          </w:p>
        </w:tc>
        <w:tc>
          <w:tcPr>
            <w:tcW w:w="543" w:type="pct"/>
            <w:tcBorders>
              <w:top w:val="single" w:sz="4" w:space="0" w:color="auto"/>
              <w:bottom w:val="single" w:sz="4" w:space="0" w:color="auto"/>
            </w:tcBorders>
            <w:noWrap/>
            <w:vAlign w:val="center"/>
            <w:hideMark/>
          </w:tcPr>
          <w:p w14:paraId="2C96D40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WQ</w:t>
            </w:r>
          </w:p>
        </w:tc>
        <w:tc>
          <w:tcPr>
            <w:tcW w:w="543" w:type="pct"/>
            <w:tcBorders>
              <w:top w:val="single" w:sz="4" w:space="0" w:color="auto"/>
              <w:bottom w:val="single" w:sz="4" w:space="0" w:color="auto"/>
            </w:tcBorders>
            <w:noWrap/>
            <w:vAlign w:val="center"/>
            <w:hideMark/>
          </w:tcPr>
          <w:p w14:paraId="314FE55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YQ</w:t>
            </w:r>
          </w:p>
        </w:tc>
      </w:tr>
      <w:tr w:rsidR="0079130E" w:rsidRPr="0079130E" w14:paraId="3792455B" w14:textId="77777777" w:rsidTr="00B132C4">
        <w:trPr>
          <w:trHeight w:val="290"/>
        </w:trPr>
        <w:tc>
          <w:tcPr>
            <w:tcW w:w="976" w:type="pct"/>
            <w:vMerge w:val="restart"/>
            <w:tcBorders>
              <w:top w:val="single" w:sz="4" w:space="0" w:color="auto"/>
              <w:bottom w:val="nil"/>
            </w:tcBorders>
            <w:vAlign w:val="center"/>
          </w:tcPr>
          <w:p w14:paraId="4E3BD2C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ALCOHOL</w:t>
            </w:r>
          </w:p>
        </w:tc>
        <w:tc>
          <w:tcPr>
            <w:tcW w:w="2395" w:type="pct"/>
            <w:tcBorders>
              <w:top w:val="single" w:sz="4" w:space="0" w:color="auto"/>
            </w:tcBorders>
            <w:noWrap/>
            <w:vAlign w:val="center"/>
            <w:hideMark/>
          </w:tcPr>
          <w:p w14:paraId="6810DD1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(R)-(-)-2-Pentanol</w:t>
            </w:r>
          </w:p>
        </w:tc>
        <w:tc>
          <w:tcPr>
            <w:tcW w:w="543" w:type="pct"/>
            <w:tcBorders>
              <w:top w:val="single" w:sz="4" w:space="0" w:color="auto"/>
            </w:tcBorders>
            <w:noWrap/>
            <w:vAlign w:val="center"/>
            <w:hideMark/>
          </w:tcPr>
          <w:p w14:paraId="69FE0D1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tcBorders>
            <w:noWrap/>
            <w:vAlign w:val="center"/>
            <w:hideMark/>
          </w:tcPr>
          <w:p w14:paraId="524A5B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8.566667</w:t>
            </w:r>
          </w:p>
        </w:tc>
        <w:tc>
          <w:tcPr>
            <w:tcW w:w="543" w:type="pct"/>
            <w:tcBorders>
              <w:top w:val="single" w:sz="4" w:space="0" w:color="auto"/>
            </w:tcBorders>
            <w:noWrap/>
            <w:vAlign w:val="center"/>
            <w:hideMark/>
          </w:tcPr>
          <w:p w14:paraId="09AC71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6E187BCB" w14:textId="77777777" w:rsidTr="00B132C4">
        <w:trPr>
          <w:trHeight w:val="290"/>
        </w:trPr>
        <w:tc>
          <w:tcPr>
            <w:tcW w:w="976" w:type="pct"/>
            <w:vMerge/>
            <w:tcBorders>
              <w:top w:val="single" w:sz="4" w:space="0" w:color="auto"/>
              <w:bottom w:val="nil"/>
            </w:tcBorders>
          </w:tcPr>
          <w:p w14:paraId="017B746D"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82E2E3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(S)-(+)-1,2-Propanediol</w:t>
            </w:r>
          </w:p>
        </w:tc>
        <w:tc>
          <w:tcPr>
            <w:tcW w:w="543" w:type="pct"/>
            <w:noWrap/>
            <w:vAlign w:val="center"/>
            <w:hideMark/>
          </w:tcPr>
          <w:p w14:paraId="1EAF21A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9.426667</w:t>
            </w:r>
          </w:p>
        </w:tc>
        <w:tc>
          <w:tcPr>
            <w:tcW w:w="543" w:type="pct"/>
            <w:noWrap/>
            <w:vAlign w:val="center"/>
            <w:hideMark/>
          </w:tcPr>
          <w:p w14:paraId="3FAA37C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02A33F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987B13B" w14:textId="77777777" w:rsidTr="00B132C4">
        <w:trPr>
          <w:trHeight w:val="290"/>
        </w:trPr>
        <w:tc>
          <w:tcPr>
            <w:tcW w:w="976" w:type="pct"/>
            <w:vMerge/>
            <w:tcBorders>
              <w:top w:val="single" w:sz="4" w:space="0" w:color="auto"/>
              <w:bottom w:val="nil"/>
            </w:tcBorders>
          </w:tcPr>
          <w:p w14:paraId="3C521E9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56D9600" w14:textId="77777777" w:rsidR="0079130E" w:rsidRPr="0079130E" w:rsidRDefault="0079130E" w:rsidP="0079130E">
            <w:pPr>
              <w:spacing w:after="160"/>
              <w:jc w:val="both"/>
              <w:rPr>
                <w:rFonts w:ascii="Arial" w:hAnsi="Arial" w:cs="Arial"/>
                <w:color w:val="000000"/>
                <w:kern w:val="2"/>
              </w:rPr>
            </w:pPr>
            <w:proofErr w:type="gramStart"/>
            <w:r w:rsidRPr="0079130E">
              <w:rPr>
                <w:rFonts w:ascii="Arial" w:hAnsi="Arial" w:cs="Arial"/>
                <w:color w:val="000000"/>
                <w:kern w:val="2"/>
              </w:rPr>
              <w:t>.beta</w:t>
            </w:r>
            <w:proofErr w:type="gramEnd"/>
            <w:r w:rsidRPr="0079130E">
              <w:rPr>
                <w:rFonts w:ascii="Arial" w:hAnsi="Arial" w:cs="Arial"/>
                <w:color w:val="000000"/>
                <w:kern w:val="2"/>
              </w:rPr>
              <w:t>.-</w:t>
            </w:r>
            <w:proofErr w:type="spellStart"/>
            <w:r w:rsidRPr="0079130E">
              <w:rPr>
                <w:rFonts w:ascii="Arial" w:hAnsi="Arial" w:cs="Arial"/>
                <w:color w:val="000000"/>
                <w:kern w:val="2"/>
              </w:rPr>
              <w:t>Ethylphenethyl</w:t>
            </w:r>
            <w:proofErr w:type="spellEnd"/>
            <w:r w:rsidRPr="0079130E">
              <w:rPr>
                <w:rFonts w:ascii="Arial" w:hAnsi="Arial" w:cs="Arial"/>
                <w:color w:val="000000"/>
                <w:kern w:val="2"/>
              </w:rPr>
              <w:t xml:space="preserve"> alcohol</w:t>
            </w:r>
          </w:p>
        </w:tc>
        <w:tc>
          <w:tcPr>
            <w:tcW w:w="543" w:type="pct"/>
            <w:noWrap/>
            <w:vAlign w:val="center"/>
            <w:hideMark/>
          </w:tcPr>
          <w:p w14:paraId="4820487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34.62333</w:t>
            </w:r>
          </w:p>
        </w:tc>
        <w:tc>
          <w:tcPr>
            <w:tcW w:w="543" w:type="pct"/>
            <w:noWrap/>
            <w:vAlign w:val="center"/>
            <w:hideMark/>
          </w:tcPr>
          <w:p w14:paraId="19895F4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22.02333</w:t>
            </w:r>
          </w:p>
        </w:tc>
        <w:tc>
          <w:tcPr>
            <w:tcW w:w="543" w:type="pct"/>
            <w:noWrap/>
            <w:vAlign w:val="center"/>
            <w:hideMark/>
          </w:tcPr>
          <w:p w14:paraId="4619741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3.04</w:t>
            </w:r>
          </w:p>
        </w:tc>
      </w:tr>
      <w:tr w:rsidR="0079130E" w:rsidRPr="0079130E" w14:paraId="698B2358" w14:textId="77777777" w:rsidTr="00B132C4">
        <w:trPr>
          <w:trHeight w:val="290"/>
        </w:trPr>
        <w:tc>
          <w:tcPr>
            <w:tcW w:w="976" w:type="pct"/>
            <w:vMerge/>
            <w:tcBorders>
              <w:top w:val="single" w:sz="4" w:space="0" w:color="auto"/>
              <w:bottom w:val="nil"/>
            </w:tcBorders>
          </w:tcPr>
          <w:p w14:paraId="45A70F9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50D973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1-Butanol, 3-methoxy-</w:t>
            </w:r>
          </w:p>
        </w:tc>
        <w:tc>
          <w:tcPr>
            <w:tcW w:w="543" w:type="pct"/>
            <w:noWrap/>
            <w:vAlign w:val="center"/>
            <w:hideMark/>
          </w:tcPr>
          <w:p w14:paraId="656F6C9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0.303333</w:t>
            </w:r>
          </w:p>
        </w:tc>
        <w:tc>
          <w:tcPr>
            <w:tcW w:w="543" w:type="pct"/>
            <w:noWrap/>
            <w:vAlign w:val="center"/>
            <w:hideMark/>
          </w:tcPr>
          <w:p w14:paraId="7EA541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4DA661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785C0636" w14:textId="77777777" w:rsidTr="00B132C4">
        <w:trPr>
          <w:trHeight w:val="290"/>
        </w:trPr>
        <w:tc>
          <w:tcPr>
            <w:tcW w:w="976" w:type="pct"/>
            <w:vMerge/>
            <w:tcBorders>
              <w:top w:val="single" w:sz="4" w:space="0" w:color="auto"/>
              <w:bottom w:val="nil"/>
            </w:tcBorders>
          </w:tcPr>
          <w:p w14:paraId="19D7E081"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9CC802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1-Butanol, 3-methyl-</w:t>
            </w:r>
          </w:p>
        </w:tc>
        <w:tc>
          <w:tcPr>
            <w:tcW w:w="543" w:type="pct"/>
            <w:noWrap/>
            <w:vAlign w:val="center"/>
            <w:hideMark/>
          </w:tcPr>
          <w:p w14:paraId="055DBA2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42.13333</w:t>
            </w:r>
          </w:p>
        </w:tc>
        <w:tc>
          <w:tcPr>
            <w:tcW w:w="543" w:type="pct"/>
            <w:noWrap/>
            <w:vAlign w:val="center"/>
            <w:hideMark/>
          </w:tcPr>
          <w:p w14:paraId="77BB3D6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35.16</w:t>
            </w:r>
          </w:p>
        </w:tc>
        <w:tc>
          <w:tcPr>
            <w:tcW w:w="543" w:type="pct"/>
            <w:noWrap/>
            <w:vAlign w:val="center"/>
            <w:hideMark/>
          </w:tcPr>
          <w:p w14:paraId="652FDDC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5.543333</w:t>
            </w:r>
          </w:p>
        </w:tc>
      </w:tr>
      <w:tr w:rsidR="0079130E" w:rsidRPr="0079130E" w14:paraId="33F3249D" w14:textId="77777777" w:rsidTr="00B132C4">
        <w:trPr>
          <w:trHeight w:val="290"/>
        </w:trPr>
        <w:tc>
          <w:tcPr>
            <w:tcW w:w="976" w:type="pct"/>
            <w:vMerge/>
            <w:tcBorders>
              <w:top w:val="single" w:sz="4" w:space="0" w:color="auto"/>
              <w:bottom w:val="nil"/>
            </w:tcBorders>
          </w:tcPr>
          <w:p w14:paraId="7D674D89"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F166DC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1-Nonanol</w:t>
            </w:r>
          </w:p>
        </w:tc>
        <w:tc>
          <w:tcPr>
            <w:tcW w:w="543" w:type="pct"/>
            <w:noWrap/>
            <w:vAlign w:val="center"/>
            <w:hideMark/>
          </w:tcPr>
          <w:p w14:paraId="1A7EC35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C17A15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9.016667</w:t>
            </w:r>
          </w:p>
        </w:tc>
        <w:tc>
          <w:tcPr>
            <w:tcW w:w="543" w:type="pct"/>
            <w:noWrap/>
            <w:vAlign w:val="center"/>
            <w:hideMark/>
          </w:tcPr>
          <w:p w14:paraId="01945E5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6E74CFBD" w14:textId="77777777" w:rsidTr="00B132C4">
        <w:trPr>
          <w:trHeight w:val="290"/>
        </w:trPr>
        <w:tc>
          <w:tcPr>
            <w:tcW w:w="976" w:type="pct"/>
            <w:vMerge/>
            <w:tcBorders>
              <w:top w:val="single" w:sz="4" w:space="0" w:color="auto"/>
              <w:bottom w:val="nil"/>
            </w:tcBorders>
          </w:tcPr>
          <w:p w14:paraId="11D0770D"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573EEC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1-Nonen-3-ol</w:t>
            </w:r>
          </w:p>
        </w:tc>
        <w:tc>
          <w:tcPr>
            <w:tcW w:w="543" w:type="pct"/>
            <w:noWrap/>
            <w:vAlign w:val="center"/>
            <w:hideMark/>
          </w:tcPr>
          <w:p w14:paraId="4B9CEBB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7.536667</w:t>
            </w:r>
          </w:p>
        </w:tc>
        <w:tc>
          <w:tcPr>
            <w:tcW w:w="543" w:type="pct"/>
            <w:noWrap/>
            <w:vAlign w:val="center"/>
            <w:hideMark/>
          </w:tcPr>
          <w:p w14:paraId="5E0C181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10.34</w:t>
            </w:r>
          </w:p>
        </w:tc>
        <w:tc>
          <w:tcPr>
            <w:tcW w:w="543" w:type="pct"/>
            <w:noWrap/>
            <w:vAlign w:val="center"/>
            <w:hideMark/>
          </w:tcPr>
          <w:p w14:paraId="1104567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0E73193" w14:textId="77777777" w:rsidTr="00B132C4">
        <w:trPr>
          <w:trHeight w:val="290"/>
        </w:trPr>
        <w:tc>
          <w:tcPr>
            <w:tcW w:w="976" w:type="pct"/>
            <w:vMerge/>
            <w:tcBorders>
              <w:top w:val="single" w:sz="4" w:space="0" w:color="auto"/>
              <w:bottom w:val="nil"/>
            </w:tcBorders>
          </w:tcPr>
          <w:p w14:paraId="125289B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378DA8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1-Pentanol, 2-ethyl-4-methyl-</w:t>
            </w:r>
          </w:p>
        </w:tc>
        <w:tc>
          <w:tcPr>
            <w:tcW w:w="543" w:type="pct"/>
            <w:noWrap/>
            <w:vAlign w:val="center"/>
            <w:hideMark/>
          </w:tcPr>
          <w:p w14:paraId="4E63A88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0464F0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2.766667</w:t>
            </w:r>
          </w:p>
        </w:tc>
        <w:tc>
          <w:tcPr>
            <w:tcW w:w="543" w:type="pct"/>
            <w:noWrap/>
            <w:vAlign w:val="center"/>
            <w:hideMark/>
          </w:tcPr>
          <w:p w14:paraId="04530B5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5CA5783" w14:textId="77777777" w:rsidTr="00B132C4">
        <w:trPr>
          <w:trHeight w:val="290"/>
        </w:trPr>
        <w:tc>
          <w:tcPr>
            <w:tcW w:w="976" w:type="pct"/>
            <w:vMerge/>
            <w:tcBorders>
              <w:top w:val="single" w:sz="4" w:space="0" w:color="auto"/>
              <w:bottom w:val="nil"/>
            </w:tcBorders>
          </w:tcPr>
          <w:p w14:paraId="4065788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FCD4EE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1-Penten-3-ol</w:t>
            </w:r>
          </w:p>
        </w:tc>
        <w:tc>
          <w:tcPr>
            <w:tcW w:w="543" w:type="pct"/>
            <w:noWrap/>
            <w:vAlign w:val="center"/>
            <w:hideMark/>
          </w:tcPr>
          <w:p w14:paraId="5259996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25F3DA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5.546667</w:t>
            </w:r>
          </w:p>
        </w:tc>
        <w:tc>
          <w:tcPr>
            <w:tcW w:w="543" w:type="pct"/>
            <w:noWrap/>
            <w:vAlign w:val="center"/>
            <w:hideMark/>
          </w:tcPr>
          <w:p w14:paraId="2ACC970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1.973333</w:t>
            </w:r>
          </w:p>
        </w:tc>
      </w:tr>
      <w:tr w:rsidR="0079130E" w:rsidRPr="0079130E" w14:paraId="3020F092" w14:textId="77777777" w:rsidTr="00B132C4">
        <w:trPr>
          <w:trHeight w:val="290"/>
        </w:trPr>
        <w:tc>
          <w:tcPr>
            <w:tcW w:w="976" w:type="pct"/>
            <w:vMerge/>
            <w:tcBorders>
              <w:top w:val="single" w:sz="4" w:space="0" w:color="auto"/>
              <w:bottom w:val="nil"/>
            </w:tcBorders>
          </w:tcPr>
          <w:p w14:paraId="3E8BF50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A43455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1-Propanol, 2-methoxy-</w:t>
            </w:r>
          </w:p>
        </w:tc>
        <w:tc>
          <w:tcPr>
            <w:tcW w:w="543" w:type="pct"/>
            <w:noWrap/>
            <w:vAlign w:val="center"/>
            <w:hideMark/>
          </w:tcPr>
          <w:p w14:paraId="21C6E40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625E15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3.676667</w:t>
            </w:r>
          </w:p>
        </w:tc>
        <w:tc>
          <w:tcPr>
            <w:tcW w:w="543" w:type="pct"/>
            <w:noWrap/>
            <w:vAlign w:val="center"/>
            <w:hideMark/>
          </w:tcPr>
          <w:p w14:paraId="5641A9E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70ED027" w14:textId="77777777" w:rsidTr="00B132C4">
        <w:trPr>
          <w:trHeight w:val="290"/>
        </w:trPr>
        <w:tc>
          <w:tcPr>
            <w:tcW w:w="976" w:type="pct"/>
            <w:vMerge/>
            <w:tcBorders>
              <w:top w:val="single" w:sz="4" w:space="0" w:color="auto"/>
              <w:bottom w:val="nil"/>
            </w:tcBorders>
          </w:tcPr>
          <w:p w14:paraId="7AB9D419"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60AB2B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1,7-Octanediol, 3,7-dimethyl-</w:t>
            </w:r>
          </w:p>
        </w:tc>
        <w:tc>
          <w:tcPr>
            <w:tcW w:w="543" w:type="pct"/>
            <w:noWrap/>
            <w:vAlign w:val="center"/>
            <w:hideMark/>
          </w:tcPr>
          <w:p w14:paraId="237755E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1.216667</w:t>
            </w:r>
          </w:p>
        </w:tc>
        <w:tc>
          <w:tcPr>
            <w:tcW w:w="543" w:type="pct"/>
            <w:noWrap/>
            <w:vAlign w:val="center"/>
            <w:hideMark/>
          </w:tcPr>
          <w:p w14:paraId="34281C1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1CAAB0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75607DB" w14:textId="77777777" w:rsidTr="00B132C4">
        <w:trPr>
          <w:trHeight w:val="290"/>
        </w:trPr>
        <w:tc>
          <w:tcPr>
            <w:tcW w:w="976" w:type="pct"/>
            <w:vMerge/>
            <w:tcBorders>
              <w:top w:val="single" w:sz="4" w:space="0" w:color="auto"/>
              <w:bottom w:val="nil"/>
            </w:tcBorders>
          </w:tcPr>
          <w:p w14:paraId="6E54480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25B250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2-Methoxy-4-vinylphenol</w:t>
            </w:r>
          </w:p>
        </w:tc>
        <w:tc>
          <w:tcPr>
            <w:tcW w:w="543" w:type="pct"/>
            <w:noWrap/>
            <w:vAlign w:val="center"/>
            <w:hideMark/>
          </w:tcPr>
          <w:p w14:paraId="6DA96A1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22.75</w:t>
            </w:r>
          </w:p>
        </w:tc>
        <w:tc>
          <w:tcPr>
            <w:tcW w:w="543" w:type="pct"/>
            <w:noWrap/>
            <w:vAlign w:val="center"/>
            <w:hideMark/>
          </w:tcPr>
          <w:p w14:paraId="1757022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104</w:t>
            </w:r>
          </w:p>
        </w:tc>
        <w:tc>
          <w:tcPr>
            <w:tcW w:w="543" w:type="pct"/>
            <w:noWrap/>
            <w:vAlign w:val="center"/>
            <w:hideMark/>
          </w:tcPr>
          <w:p w14:paraId="7FFAE5F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C4BDC32" w14:textId="77777777" w:rsidTr="00B132C4">
        <w:trPr>
          <w:trHeight w:val="290"/>
        </w:trPr>
        <w:tc>
          <w:tcPr>
            <w:tcW w:w="976" w:type="pct"/>
            <w:vMerge/>
            <w:tcBorders>
              <w:top w:val="single" w:sz="4" w:space="0" w:color="auto"/>
              <w:bottom w:val="nil"/>
            </w:tcBorders>
          </w:tcPr>
          <w:p w14:paraId="1A783A99"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16CB17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2-Methyl-1-phenylbut-3-en-1-ol</w:t>
            </w:r>
          </w:p>
        </w:tc>
        <w:tc>
          <w:tcPr>
            <w:tcW w:w="543" w:type="pct"/>
            <w:noWrap/>
            <w:vAlign w:val="center"/>
            <w:hideMark/>
          </w:tcPr>
          <w:p w14:paraId="11E1BAD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6.57</w:t>
            </w:r>
          </w:p>
        </w:tc>
        <w:tc>
          <w:tcPr>
            <w:tcW w:w="543" w:type="pct"/>
            <w:noWrap/>
            <w:vAlign w:val="center"/>
            <w:hideMark/>
          </w:tcPr>
          <w:p w14:paraId="1BC986F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D4ADEA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2E1ABDD" w14:textId="77777777" w:rsidTr="00B132C4">
        <w:trPr>
          <w:trHeight w:val="290"/>
        </w:trPr>
        <w:tc>
          <w:tcPr>
            <w:tcW w:w="976" w:type="pct"/>
            <w:vMerge/>
            <w:tcBorders>
              <w:top w:val="single" w:sz="4" w:space="0" w:color="auto"/>
              <w:bottom w:val="nil"/>
            </w:tcBorders>
          </w:tcPr>
          <w:p w14:paraId="654B40DB"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303F17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2-Nonen-1-ol</w:t>
            </w:r>
          </w:p>
        </w:tc>
        <w:tc>
          <w:tcPr>
            <w:tcW w:w="543" w:type="pct"/>
            <w:noWrap/>
            <w:vAlign w:val="center"/>
            <w:hideMark/>
          </w:tcPr>
          <w:p w14:paraId="19534F4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C142F1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4.79</w:t>
            </w:r>
          </w:p>
        </w:tc>
        <w:tc>
          <w:tcPr>
            <w:tcW w:w="543" w:type="pct"/>
            <w:noWrap/>
            <w:vAlign w:val="center"/>
            <w:hideMark/>
          </w:tcPr>
          <w:p w14:paraId="1D5FE50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2.7</w:t>
            </w:r>
          </w:p>
        </w:tc>
      </w:tr>
      <w:tr w:rsidR="0079130E" w:rsidRPr="0079130E" w14:paraId="6C04016B" w14:textId="77777777" w:rsidTr="00B132C4">
        <w:trPr>
          <w:trHeight w:val="290"/>
        </w:trPr>
        <w:tc>
          <w:tcPr>
            <w:tcW w:w="976" w:type="pct"/>
            <w:vMerge/>
            <w:tcBorders>
              <w:top w:val="single" w:sz="4" w:space="0" w:color="auto"/>
              <w:bottom w:val="nil"/>
            </w:tcBorders>
          </w:tcPr>
          <w:p w14:paraId="268AF5D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C06B1B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2,3-Butanediol</w:t>
            </w:r>
          </w:p>
        </w:tc>
        <w:tc>
          <w:tcPr>
            <w:tcW w:w="543" w:type="pct"/>
            <w:noWrap/>
            <w:vAlign w:val="center"/>
            <w:hideMark/>
          </w:tcPr>
          <w:p w14:paraId="67DCC48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64.02</w:t>
            </w:r>
          </w:p>
        </w:tc>
        <w:tc>
          <w:tcPr>
            <w:tcW w:w="543" w:type="pct"/>
            <w:noWrap/>
            <w:vAlign w:val="center"/>
            <w:hideMark/>
          </w:tcPr>
          <w:p w14:paraId="1B6D0D7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51.71667</w:t>
            </w:r>
          </w:p>
        </w:tc>
        <w:tc>
          <w:tcPr>
            <w:tcW w:w="543" w:type="pct"/>
            <w:noWrap/>
            <w:vAlign w:val="center"/>
            <w:hideMark/>
          </w:tcPr>
          <w:p w14:paraId="41AB846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33.00667</w:t>
            </w:r>
          </w:p>
        </w:tc>
      </w:tr>
      <w:tr w:rsidR="0079130E" w:rsidRPr="0079130E" w14:paraId="7AB50842" w14:textId="77777777" w:rsidTr="00B132C4">
        <w:trPr>
          <w:trHeight w:val="290"/>
        </w:trPr>
        <w:tc>
          <w:tcPr>
            <w:tcW w:w="976" w:type="pct"/>
            <w:vMerge/>
            <w:tcBorders>
              <w:top w:val="single" w:sz="4" w:space="0" w:color="auto"/>
              <w:bottom w:val="nil"/>
            </w:tcBorders>
          </w:tcPr>
          <w:p w14:paraId="70B74C1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2EE457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2,4-Di-tert-butylphenol</w:t>
            </w:r>
          </w:p>
        </w:tc>
        <w:tc>
          <w:tcPr>
            <w:tcW w:w="543" w:type="pct"/>
            <w:noWrap/>
            <w:vAlign w:val="center"/>
            <w:hideMark/>
          </w:tcPr>
          <w:p w14:paraId="49EB30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5.36</w:t>
            </w:r>
          </w:p>
        </w:tc>
        <w:tc>
          <w:tcPr>
            <w:tcW w:w="543" w:type="pct"/>
            <w:noWrap/>
            <w:vAlign w:val="center"/>
            <w:hideMark/>
          </w:tcPr>
          <w:p w14:paraId="5EBC3B7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3.623333</w:t>
            </w:r>
          </w:p>
        </w:tc>
        <w:tc>
          <w:tcPr>
            <w:tcW w:w="543" w:type="pct"/>
            <w:noWrap/>
            <w:vAlign w:val="center"/>
            <w:hideMark/>
          </w:tcPr>
          <w:p w14:paraId="7642C60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2.693333</w:t>
            </w:r>
          </w:p>
        </w:tc>
      </w:tr>
      <w:tr w:rsidR="0079130E" w:rsidRPr="0079130E" w14:paraId="458D77D9" w14:textId="77777777" w:rsidTr="00B132C4">
        <w:trPr>
          <w:trHeight w:val="290"/>
        </w:trPr>
        <w:tc>
          <w:tcPr>
            <w:tcW w:w="976" w:type="pct"/>
            <w:vMerge/>
            <w:tcBorders>
              <w:top w:val="single" w:sz="4" w:space="0" w:color="auto"/>
              <w:bottom w:val="nil"/>
            </w:tcBorders>
          </w:tcPr>
          <w:p w14:paraId="0E0AD1E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02248A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3-Octanol</w:t>
            </w:r>
          </w:p>
        </w:tc>
        <w:tc>
          <w:tcPr>
            <w:tcW w:w="543" w:type="pct"/>
            <w:noWrap/>
            <w:vAlign w:val="center"/>
            <w:hideMark/>
          </w:tcPr>
          <w:p w14:paraId="4E49228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6BF61C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2052.953</w:t>
            </w:r>
          </w:p>
        </w:tc>
        <w:tc>
          <w:tcPr>
            <w:tcW w:w="543" w:type="pct"/>
            <w:noWrap/>
            <w:vAlign w:val="center"/>
            <w:hideMark/>
          </w:tcPr>
          <w:p w14:paraId="5717C27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2C683CFD" w14:textId="77777777" w:rsidTr="00B132C4">
        <w:trPr>
          <w:trHeight w:val="290"/>
        </w:trPr>
        <w:tc>
          <w:tcPr>
            <w:tcW w:w="976" w:type="pct"/>
            <w:vMerge/>
            <w:tcBorders>
              <w:top w:val="single" w:sz="4" w:space="0" w:color="auto"/>
              <w:bottom w:val="nil"/>
            </w:tcBorders>
          </w:tcPr>
          <w:p w14:paraId="5F3BA762" w14:textId="77777777" w:rsidR="0079130E" w:rsidRPr="0079130E" w:rsidRDefault="0079130E" w:rsidP="0079130E">
            <w:pPr>
              <w:spacing w:after="160"/>
              <w:jc w:val="both"/>
              <w:rPr>
                <w:rFonts w:ascii="Arial" w:hAnsi="Arial" w:cs="Arial"/>
                <w:color w:val="000000"/>
                <w:kern w:val="2"/>
              </w:rPr>
            </w:pPr>
          </w:p>
        </w:tc>
        <w:tc>
          <w:tcPr>
            <w:tcW w:w="2395" w:type="pct"/>
            <w:tcBorders>
              <w:bottom w:val="nil"/>
            </w:tcBorders>
            <w:noWrap/>
            <w:vAlign w:val="center"/>
            <w:hideMark/>
          </w:tcPr>
          <w:p w14:paraId="0E91357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6-Hepten-3-ol, 4-methyl-</w:t>
            </w:r>
          </w:p>
        </w:tc>
        <w:tc>
          <w:tcPr>
            <w:tcW w:w="543" w:type="pct"/>
            <w:tcBorders>
              <w:bottom w:val="nil"/>
            </w:tcBorders>
            <w:noWrap/>
            <w:vAlign w:val="center"/>
            <w:hideMark/>
          </w:tcPr>
          <w:p w14:paraId="73BDE2E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bottom w:val="nil"/>
            </w:tcBorders>
            <w:noWrap/>
            <w:vAlign w:val="center"/>
            <w:hideMark/>
          </w:tcPr>
          <w:p w14:paraId="56B6F11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2.91</w:t>
            </w:r>
          </w:p>
        </w:tc>
        <w:tc>
          <w:tcPr>
            <w:tcW w:w="543" w:type="pct"/>
            <w:tcBorders>
              <w:bottom w:val="nil"/>
            </w:tcBorders>
            <w:noWrap/>
            <w:vAlign w:val="center"/>
            <w:hideMark/>
          </w:tcPr>
          <w:p w14:paraId="434AECB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4EF9B32" w14:textId="77777777" w:rsidTr="00B132C4">
        <w:trPr>
          <w:trHeight w:val="290"/>
        </w:trPr>
        <w:tc>
          <w:tcPr>
            <w:tcW w:w="976" w:type="pct"/>
            <w:vMerge/>
            <w:tcBorders>
              <w:top w:val="single" w:sz="4" w:space="0" w:color="auto"/>
              <w:bottom w:val="nil"/>
            </w:tcBorders>
          </w:tcPr>
          <w:p w14:paraId="35F89033" w14:textId="77777777" w:rsidR="0079130E" w:rsidRPr="0079130E" w:rsidRDefault="0079130E" w:rsidP="0079130E">
            <w:pPr>
              <w:spacing w:after="160"/>
              <w:jc w:val="both"/>
              <w:rPr>
                <w:rFonts w:ascii="Arial" w:hAnsi="Arial" w:cs="Arial"/>
                <w:color w:val="000000"/>
                <w:kern w:val="2"/>
              </w:rPr>
            </w:pPr>
          </w:p>
        </w:tc>
        <w:tc>
          <w:tcPr>
            <w:tcW w:w="2395" w:type="pct"/>
            <w:tcBorders>
              <w:top w:val="nil"/>
              <w:bottom w:val="single" w:sz="4" w:space="0" w:color="auto"/>
            </w:tcBorders>
            <w:noWrap/>
            <w:vAlign w:val="center"/>
            <w:hideMark/>
          </w:tcPr>
          <w:p w14:paraId="1BC0C9A6" w14:textId="77777777" w:rsidR="0079130E" w:rsidRPr="0079130E" w:rsidRDefault="0079130E" w:rsidP="0079130E">
            <w:pPr>
              <w:spacing w:after="160"/>
              <w:jc w:val="both"/>
              <w:rPr>
                <w:rFonts w:ascii="Arial" w:hAnsi="Arial" w:cs="Arial"/>
                <w:color w:val="000000"/>
                <w:kern w:val="2"/>
              </w:rPr>
            </w:pPr>
          </w:p>
        </w:tc>
        <w:tc>
          <w:tcPr>
            <w:tcW w:w="543" w:type="pct"/>
            <w:tcBorders>
              <w:top w:val="nil"/>
              <w:bottom w:val="single" w:sz="4" w:space="0" w:color="auto"/>
            </w:tcBorders>
            <w:noWrap/>
            <w:vAlign w:val="center"/>
          </w:tcPr>
          <w:p w14:paraId="4E04A5F8" w14:textId="77777777" w:rsidR="0079130E" w:rsidRPr="0079130E" w:rsidRDefault="0079130E" w:rsidP="0079130E">
            <w:pPr>
              <w:spacing w:after="160"/>
              <w:jc w:val="both"/>
              <w:rPr>
                <w:rFonts w:ascii="Arial" w:hAnsi="Arial" w:cs="Arial"/>
                <w:color w:val="000000"/>
                <w:kern w:val="2"/>
              </w:rPr>
            </w:pPr>
          </w:p>
        </w:tc>
        <w:tc>
          <w:tcPr>
            <w:tcW w:w="543" w:type="pct"/>
            <w:tcBorders>
              <w:top w:val="nil"/>
              <w:bottom w:val="single" w:sz="4" w:space="0" w:color="auto"/>
            </w:tcBorders>
            <w:noWrap/>
            <w:vAlign w:val="center"/>
          </w:tcPr>
          <w:p w14:paraId="235FEB92" w14:textId="77777777" w:rsidR="0079130E" w:rsidRPr="0079130E" w:rsidRDefault="0079130E" w:rsidP="0079130E">
            <w:pPr>
              <w:spacing w:after="160"/>
              <w:jc w:val="both"/>
              <w:rPr>
                <w:rFonts w:ascii="Arial" w:hAnsi="Arial" w:cs="Arial"/>
                <w:color w:val="000000"/>
                <w:kern w:val="2"/>
              </w:rPr>
            </w:pPr>
          </w:p>
        </w:tc>
        <w:tc>
          <w:tcPr>
            <w:tcW w:w="543" w:type="pct"/>
            <w:tcBorders>
              <w:top w:val="nil"/>
              <w:bottom w:val="single" w:sz="4" w:space="0" w:color="auto"/>
            </w:tcBorders>
            <w:noWrap/>
            <w:vAlign w:val="center"/>
          </w:tcPr>
          <w:p w14:paraId="31DCF6AA" w14:textId="77777777" w:rsidR="0079130E" w:rsidRPr="0079130E" w:rsidRDefault="0079130E" w:rsidP="0079130E">
            <w:pPr>
              <w:spacing w:after="160"/>
              <w:jc w:val="both"/>
              <w:rPr>
                <w:rFonts w:ascii="Arial" w:hAnsi="Arial" w:cs="Arial"/>
                <w:color w:val="000000"/>
                <w:kern w:val="2"/>
              </w:rPr>
            </w:pPr>
          </w:p>
        </w:tc>
      </w:tr>
      <w:tr w:rsidR="0079130E" w:rsidRPr="0079130E" w14:paraId="5D60E269" w14:textId="77777777" w:rsidTr="00B132C4">
        <w:trPr>
          <w:trHeight w:val="290"/>
        </w:trPr>
        <w:tc>
          <w:tcPr>
            <w:tcW w:w="976" w:type="pct"/>
            <w:vMerge w:val="restart"/>
            <w:tcBorders>
              <w:top w:val="single" w:sz="4" w:space="0" w:color="auto"/>
              <w:bottom w:val="nil"/>
            </w:tcBorders>
            <w:vAlign w:val="center"/>
          </w:tcPr>
          <w:p w14:paraId="772192E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ESTER</w:t>
            </w:r>
          </w:p>
        </w:tc>
        <w:tc>
          <w:tcPr>
            <w:tcW w:w="2395" w:type="pct"/>
            <w:tcBorders>
              <w:top w:val="single" w:sz="4" w:space="0" w:color="auto"/>
            </w:tcBorders>
            <w:noWrap/>
            <w:vAlign w:val="center"/>
            <w:hideMark/>
          </w:tcPr>
          <w:p w14:paraId="5E0E45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11-Octadecenoic acid, methyl ester</w:t>
            </w:r>
          </w:p>
        </w:tc>
        <w:tc>
          <w:tcPr>
            <w:tcW w:w="543" w:type="pct"/>
            <w:tcBorders>
              <w:top w:val="single" w:sz="4" w:space="0" w:color="auto"/>
            </w:tcBorders>
            <w:noWrap/>
            <w:vAlign w:val="center"/>
            <w:hideMark/>
          </w:tcPr>
          <w:p w14:paraId="64948F1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tcBorders>
            <w:noWrap/>
            <w:vAlign w:val="center"/>
            <w:hideMark/>
          </w:tcPr>
          <w:p w14:paraId="3243100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tcBorders>
            <w:noWrap/>
            <w:vAlign w:val="center"/>
            <w:hideMark/>
          </w:tcPr>
          <w:p w14:paraId="51CA6A6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4.173333</w:t>
            </w:r>
          </w:p>
        </w:tc>
      </w:tr>
      <w:tr w:rsidR="0079130E" w:rsidRPr="0079130E" w14:paraId="30C2716B" w14:textId="77777777" w:rsidTr="00B132C4">
        <w:trPr>
          <w:trHeight w:val="290"/>
        </w:trPr>
        <w:tc>
          <w:tcPr>
            <w:tcW w:w="976" w:type="pct"/>
            <w:vMerge/>
            <w:tcBorders>
              <w:top w:val="single" w:sz="4" w:space="0" w:color="auto"/>
              <w:bottom w:val="nil"/>
            </w:tcBorders>
          </w:tcPr>
          <w:p w14:paraId="68DAACA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81FADE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1H-Pyrrole-2-carboxaldehyde</w:t>
            </w:r>
          </w:p>
        </w:tc>
        <w:tc>
          <w:tcPr>
            <w:tcW w:w="543" w:type="pct"/>
            <w:noWrap/>
            <w:vAlign w:val="center"/>
            <w:hideMark/>
          </w:tcPr>
          <w:p w14:paraId="625F928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27.66</w:t>
            </w:r>
          </w:p>
        </w:tc>
        <w:tc>
          <w:tcPr>
            <w:tcW w:w="543" w:type="pct"/>
            <w:noWrap/>
            <w:vAlign w:val="center"/>
            <w:hideMark/>
          </w:tcPr>
          <w:p w14:paraId="0785C29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7.273333</w:t>
            </w:r>
          </w:p>
        </w:tc>
        <w:tc>
          <w:tcPr>
            <w:tcW w:w="543" w:type="pct"/>
            <w:noWrap/>
            <w:vAlign w:val="center"/>
            <w:hideMark/>
          </w:tcPr>
          <w:p w14:paraId="31875B3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18.98</w:t>
            </w:r>
          </w:p>
        </w:tc>
      </w:tr>
      <w:tr w:rsidR="0079130E" w:rsidRPr="0079130E" w14:paraId="06493CD1" w14:textId="77777777" w:rsidTr="00B132C4">
        <w:trPr>
          <w:trHeight w:val="290"/>
        </w:trPr>
        <w:tc>
          <w:tcPr>
            <w:tcW w:w="976" w:type="pct"/>
            <w:vMerge/>
            <w:tcBorders>
              <w:top w:val="single" w:sz="4" w:space="0" w:color="auto"/>
              <w:bottom w:val="nil"/>
            </w:tcBorders>
          </w:tcPr>
          <w:p w14:paraId="2E85F10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37DA87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1H-Pyrrole-2-carboxaldehyde, 1-methyl-</w:t>
            </w:r>
          </w:p>
        </w:tc>
        <w:tc>
          <w:tcPr>
            <w:tcW w:w="543" w:type="pct"/>
            <w:noWrap/>
            <w:vAlign w:val="center"/>
            <w:hideMark/>
          </w:tcPr>
          <w:p w14:paraId="66B492C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11.62667</w:t>
            </w:r>
          </w:p>
        </w:tc>
        <w:tc>
          <w:tcPr>
            <w:tcW w:w="543" w:type="pct"/>
            <w:noWrap/>
            <w:vAlign w:val="center"/>
            <w:hideMark/>
          </w:tcPr>
          <w:p w14:paraId="3870BD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82E60E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19.99667</w:t>
            </w:r>
          </w:p>
        </w:tc>
      </w:tr>
      <w:tr w:rsidR="0079130E" w:rsidRPr="0079130E" w14:paraId="02C5D25F" w14:textId="77777777" w:rsidTr="00B132C4">
        <w:trPr>
          <w:trHeight w:val="290"/>
        </w:trPr>
        <w:tc>
          <w:tcPr>
            <w:tcW w:w="976" w:type="pct"/>
            <w:vMerge/>
            <w:tcBorders>
              <w:top w:val="single" w:sz="4" w:space="0" w:color="auto"/>
              <w:bottom w:val="nil"/>
            </w:tcBorders>
          </w:tcPr>
          <w:p w14:paraId="42AED3CD"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80029F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2-Butenoic acid, 2-propenyl ester</w:t>
            </w:r>
          </w:p>
        </w:tc>
        <w:tc>
          <w:tcPr>
            <w:tcW w:w="543" w:type="pct"/>
            <w:noWrap/>
            <w:vAlign w:val="center"/>
            <w:hideMark/>
          </w:tcPr>
          <w:p w14:paraId="49563E3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C9ED11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3C8A09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5.953333</w:t>
            </w:r>
          </w:p>
        </w:tc>
      </w:tr>
      <w:tr w:rsidR="0079130E" w:rsidRPr="0079130E" w14:paraId="6653F4D7" w14:textId="77777777" w:rsidTr="00B132C4">
        <w:trPr>
          <w:trHeight w:val="290"/>
        </w:trPr>
        <w:tc>
          <w:tcPr>
            <w:tcW w:w="976" w:type="pct"/>
            <w:vMerge/>
            <w:tcBorders>
              <w:top w:val="single" w:sz="4" w:space="0" w:color="auto"/>
              <w:bottom w:val="nil"/>
            </w:tcBorders>
          </w:tcPr>
          <w:p w14:paraId="7A24303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95BC16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2-Propenoic acid, 3-methoxybutyl ester</w:t>
            </w:r>
          </w:p>
        </w:tc>
        <w:tc>
          <w:tcPr>
            <w:tcW w:w="543" w:type="pct"/>
            <w:noWrap/>
            <w:vAlign w:val="center"/>
            <w:hideMark/>
          </w:tcPr>
          <w:p w14:paraId="30172ED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46BA35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30.74333</w:t>
            </w:r>
          </w:p>
        </w:tc>
        <w:tc>
          <w:tcPr>
            <w:tcW w:w="543" w:type="pct"/>
            <w:noWrap/>
            <w:vAlign w:val="center"/>
            <w:hideMark/>
          </w:tcPr>
          <w:p w14:paraId="3066799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2F3D631A" w14:textId="77777777" w:rsidTr="00B132C4">
        <w:trPr>
          <w:trHeight w:val="290"/>
        </w:trPr>
        <w:tc>
          <w:tcPr>
            <w:tcW w:w="976" w:type="pct"/>
            <w:vMerge/>
            <w:tcBorders>
              <w:top w:val="single" w:sz="4" w:space="0" w:color="auto"/>
              <w:bottom w:val="nil"/>
            </w:tcBorders>
          </w:tcPr>
          <w:p w14:paraId="3DE4CB86"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D60B15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2(3H)-Furanone, 5-butyldihydro-4-methyl-</w:t>
            </w:r>
          </w:p>
        </w:tc>
        <w:tc>
          <w:tcPr>
            <w:tcW w:w="543" w:type="pct"/>
            <w:noWrap/>
            <w:vAlign w:val="center"/>
            <w:hideMark/>
          </w:tcPr>
          <w:p w14:paraId="5180326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3E1A13B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973818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1.656667</w:t>
            </w:r>
          </w:p>
        </w:tc>
      </w:tr>
      <w:tr w:rsidR="0079130E" w:rsidRPr="0079130E" w14:paraId="073270B4" w14:textId="77777777" w:rsidTr="00B132C4">
        <w:trPr>
          <w:trHeight w:val="290"/>
        </w:trPr>
        <w:tc>
          <w:tcPr>
            <w:tcW w:w="976" w:type="pct"/>
            <w:vMerge/>
            <w:tcBorders>
              <w:top w:val="single" w:sz="4" w:space="0" w:color="auto"/>
              <w:bottom w:val="nil"/>
            </w:tcBorders>
          </w:tcPr>
          <w:p w14:paraId="610F995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E7B521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2(3H)-Furanone, 5-heptyldihydro-</w:t>
            </w:r>
          </w:p>
        </w:tc>
        <w:tc>
          <w:tcPr>
            <w:tcW w:w="543" w:type="pct"/>
            <w:noWrap/>
            <w:vAlign w:val="center"/>
            <w:hideMark/>
          </w:tcPr>
          <w:p w14:paraId="4C09E76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1.93</w:t>
            </w:r>
          </w:p>
        </w:tc>
        <w:tc>
          <w:tcPr>
            <w:tcW w:w="543" w:type="pct"/>
            <w:noWrap/>
            <w:vAlign w:val="center"/>
            <w:hideMark/>
          </w:tcPr>
          <w:p w14:paraId="32FEE4C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79AC2D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48FEA71" w14:textId="77777777" w:rsidTr="00B132C4">
        <w:trPr>
          <w:trHeight w:val="290"/>
        </w:trPr>
        <w:tc>
          <w:tcPr>
            <w:tcW w:w="976" w:type="pct"/>
            <w:vMerge/>
            <w:tcBorders>
              <w:top w:val="single" w:sz="4" w:space="0" w:color="auto"/>
              <w:bottom w:val="nil"/>
            </w:tcBorders>
          </w:tcPr>
          <w:p w14:paraId="351A69C1"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157EC1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3-Pentenoic acid, 4-methyl-, methyl ester</w:t>
            </w:r>
          </w:p>
        </w:tc>
        <w:tc>
          <w:tcPr>
            <w:tcW w:w="543" w:type="pct"/>
            <w:noWrap/>
            <w:vAlign w:val="center"/>
            <w:hideMark/>
          </w:tcPr>
          <w:p w14:paraId="3508826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27E5ED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2.246667</w:t>
            </w:r>
          </w:p>
        </w:tc>
        <w:tc>
          <w:tcPr>
            <w:tcW w:w="543" w:type="pct"/>
            <w:noWrap/>
            <w:vAlign w:val="center"/>
            <w:hideMark/>
          </w:tcPr>
          <w:p w14:paraId="6508256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669A7C14" w14:textId="77777777" w:rsidTr="00B132C4">
        <w:trPr>
          <w:trHeight w:val="290"/>
        </w:trPr>
        <w:tc>
          <w:tcPr>
            <w:tcW w:w="976" w:type="pct"/>
            <w:vMerge/>
            <w:tcBorders>
              <w:top w:val="single" w:sz="4" w:space="0" w:color="auto"/>
              <w:bottom w:val="nil"/>
            </w:tcBorders>
          </w:tcPr>
          <w:p w14:paraId="2021947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34A7C6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Acetic acid, pentyl ester</w:t>
            </w:r>
          </w:p>
        </w:tc>
        <w:tc>
          <w:tcPr>
            <w:tcW w:w="543" w:type="pct"/>
            <w:noWrap/>
            <w:vAlign w:val="center"/>
            <w:hideMark/>
          </w:tcPr>
          <w:p w14:paraId="1B92E14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CD8DED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6E9E8F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11.74</w:t>
            </w:r>
          </w:p>
        </w:tc>
      </w:tr>
      <w:tr w:rsidR="0079130E" w:rsidRPr="0079130E" w14:paraId="6F8D4A0D" w14:textId="77777777" w:rsidTr="00B132C4">
        <w:trPr>
          <w:trHeight w:val="290"/>
        </w:trPr>
        <w:tc>
          <w:tcPr>
            <w:tcW w:w="976" w:type="pct"/>
            <w:vMerge/>
            <w:tcBorders>
              <w:top w:val="single" w:sz="4" w:space="0" w:color="auto"/>
              <w:bottom w:val="nil"/>
            </w:tcBorders>
          </w:tcPr>
          <w:p w14:paraId="4F97083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02431D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9,12-Octadecadienoic acid, methyl ester</w:t>
            </w:r>
          </w:p>
        </w:tc>
        <w:tc>
          <w:tcPr>
            <w:tcW w:w="543" w:type="pct"/>
            <w:noWrap/>
            <w:vAlign w:val="center"/>
            <w:hideMark/>
          </w:tcPr>
          <w:p w14:paraId="37985CC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154.3367</w:t>
            </w:r>
          </w:p>
        </w:tc>
        <w:tc>
          <w:tcPr>
            <w:tcW w:w="543" w:type="pct"/>
            <w:noWrap/>
            <w:vAlign w:val="center"/>
            <w:hideMark/>
          </w:tcPr>
          <w:p w14:paraId="6B2CBC5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93.68667</w:t>
            </w:r>
          </w:p>
        </w:tc>
        <w:tc>
          <w:tcPr>
            <w:tcW w:w="543" w:type="pct"/>
            <w:noWrap/>
            <w:vAlign w:val="center"/>
            <w:hideMark/>
          </w:tcPr>
          <w:p w14:paraId="2E43868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21.29333</w:t>
            </w:r>
          </w:p>
        </w:tc>
      </w:tr>
      <w:tr w:rsidR="0079130E" w:rsidRPr="0079130E" w14:paraId="29D25591" w14:textId="77777777" w:rsidTr="00B132C4">
        <w:trPr>
          <w:trHeight w:val="290"/>
        </w:trPr>
        <w:tc>
          <w:tcPr>
            <w:tcW w:w="976" w:type="pct"/>
            <w:vMerge/>
            <w:tcBorders>
              <w:top w:val="single" w:sz="4" w:space="0" w:color="auto"/>
              <w:bottom w:val="nil"/>
            </w:tcBorders>
          </w:tcPr>
          <w:p w14:paraId="1A5EC079"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00A9D3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Butanoic acid, 2-hydroxy-, ethyl ester</w:t>
            </w:r>
          </w:p>
        </w:tc>
        <w:tc>
          <w:tcPr>
            <w:tcW w:w="543" w:type="pct"/>
            <w:noWrap/>
            <w:vAlign w:val="center"/>
            <w:hideMark/>
          </w:tcPr>
          <w:p w14:paraId="723E878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0.166667</w:t>
            </w:r>
          </w:p>
        </w:tc>
        <w:tc>
          <w:tcPr>
            <w:tcW w:w="543" w:type="pct"/>
            <w:noWrap/>
            <w:vAlign w:val="center"/>
            <w:hideMark/>
          </w:tcPr>
          <w:p w14:paraId="63E2D8A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09E73E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77A6C7EC" w14:textId="77777777" w:rsidTr="00B132C4">
        <w:trPr>
          <w:trHeight w:val="290"/>
        </w:trPr>
        <w:tc>
          <w:tcPr>
            <w:tcW w:w="976" w:type="pct"/>
            <w:vMerge/>
            <w:tcBorders>
              <w:top w:val="single" w:sz="4" w:space="0" w:color="auto"/>
              <w:bottom w:val="nil"/>
            </w:tcBorders>
          </w:tcPr>
          <w:p w14:paraId="052968E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0AB305B"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Hexadecanoic</w:t>
            </w:r>
            <w:proofErr w:type="spellEnd"/>
            <w:r w:rsidRPr="0079130E">
              <w:rPr>
                <w:rFonts w:ascii="Arial" w:hAnsi="Arial" w:cs="Arial"/>
                <w:color w:val="000000"/>
                <w:kern w:val="2"/>
              </w:rPr>
              <w:t xml:space="preserve"> acid, ethyl ester</w:t>
            </w:r>
          </w:p>
        </w:tc>
        <w:tc>
          <w:tcPr>
            <w:tcW w:w="543" w:type="pct"/>
            <w:noWrap/>
            <w:vAlign w:val="center"/>
            <w:hideMark/>
          </w:tcPr>
          <w:p w14:paraId="626AC7E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0.78</w:t>
            </w:r>
          </w:p>
        </w:tc>
        <w:tc>
          <w:tcPr>
            <w:tcW w:w="543" w:type="pct"/>
            <w:noWrap/>
            <w:vAlign w:val="center"/>
            <w:hideMark/>
          </w:tcPr>
          <w:p w14:paraId="3583051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E68057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2.683333</w:t>
            </w:r>
          </w:p>
        </w:tc>
      </w:tr>
      <w:tr w:rsidR="0079130E" w:rsidRPr="0079130E" w14:paraId="2EA75B50" w14:textId="77777777" w:rsidTr="00B132C4">
        <w:trPr>
          <w:trHeight w:val="290"/>
        </w:trPr>
        <w:tc>
          <w:tcPr>
            <w:tcW w:w="976" w:type="pct"/>
            <w:vMerge/>
            <w:tcBorders>
              <w:top w:val="single" w:sz="4" w:space="0" w:color="auto"/>
              <w:bottom w:val="nil"/>
            </w:tcBorders>
          </w:tcPr>
          <w:p w14:paraId="5450A856"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556D1F8"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Hexadecanoic</w:t>
            </w:r>
            <w:proofErr w:type="spellEnd"/>
            <w:r w:rsidRPr="0079130E">
              <w:rPr>
                <w:rFonts w:ascii="Arial" w:hAnsi="Arial" w:cs="Arial"/>
                <w:color w:val="000000"/>
                <w:kern w:val="2"/>
              </w:rPr>
              <w:t xml:space="preserve"> acid, methyl ester</w:t>
            </w:r>
          </w:p>
        </w:tc>
        <w:tc>
          <w:tcPr>
            <w:tcW w:w="543" w:type="pct"/>
            <w:noWrap/>
            <w:vAlign w:val="center"/>
            <w:hideMark/>
          </w:tcPr>
          <w:p w14:paraId="5EC1F20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300.3867</w:t>
            </w:r>
          </w:p>
        </w:tc>
        <w:tc>
          <w:tcPr>
            <w:tcW w:w="543" w:type="pct"/>
            <w:noWrap/>
            <w:vAlign w:val="center"/>
            <w:hideMark/>
          </w:tcPr>
          <w:p w14:paraId="516FF08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243.5533</w:t>
            </w:r>
          </w:p>
        </w:tc>
        <w:tc>
          <w:tcPr>
            <w:tcW w:w="543" w:type="pct"/>
            <w:noWrap/>
            <w:vAlign w:val="center"/>
            <w:hideMark/>
          </w:tcPr>
          <w:p w14:paraId="4E6C5FE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49.62667</w:t>
            </w:r>
          </w:p>
        </w:tc>
      </w:tr>
      <w:tr w:rsidR="0079130E" w:rsidRPr="0079130E" w14:paraId="7844DC81" w14:textId="77777777" w:rsidTr="00B132C4">
        <w:trPr>
          <w:trHeight w:val="290"/>
        </w:trPr>
        <w:tc>
          <w:tcPr>
            <w:tcW w:w="976" w:type="pct"/>
            <w:vMerge/>
            <w:tcBorders>
              <w:top w:val="single" w:sz="4" w:space="0" w:color="auto"/>
              <w:bottom w:val="nil"/>
            </w:tcBorders>
          </w:tcPr>
          <w:p w14:paraId="6566C95A"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34771D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Linoleic acid ethyl ester</w:t>
            </w:r>
          </w:p>
        </w:tc>
        <w:tc>
          <w:tcPr>
            <w:tcW w:w="543" w:type="pct"/>
            <w:noWrap/>
            <w:vAlign w:val="center"/>
            <w:hideMark/>
          </w:tcPr>
          <w:p w14:paraId="56E801E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D9DD3D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AD569B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0.463333</w:t>
            </w:r>
          </w:p>
        </w:tc>
      </w:tr>
      <w:tr w:rsidR="0079130E" w:rsidRPr="0079130E" w14:paraId="0AE87CDD" w14:textId="77777777" w:rsidTr="00B132C4">
        <w:trPr>
          <w:trHeight w:val="290"/>
        </w:trPr>
        <w:tc>
          <w:tcPr>
            <w:tcW w:w="976" w:type="pct"/>
            <w:vMerge/>
            <w:tcBorders>
              <w:top w:val="single" w:sz="4" w:space="0" w:color="auto"/>
              <w:bottom w:val="nil"/>
            </w:tcBorders>
          </w:tcPr>
          <w:p w14:paraId="04CC30F6"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87EF6A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 xml:space="preserve">Methyl </w:t>
            </w:r>
            <w:proofErr w:type="spellStart"/>
            <w:r w:rsidRPr="0079130E">
              <w:rPr>
                <w:rFonts w:ascii="Arial" w:hAnsi="Arial" w:cs="Arial"/>
                <w:color w:val="000000"/>
                <w:kern w:val="2"/>
              </w:rPr>
              <w:t>formate</w:t>
            </w:r>
            <w:proofErr w:type="spellEnd"/>
          </w:p>
        </w:tc>
        <w:tc>
          <w:tcPr>
            <w:tcW w:w="543" w:type="pct"/>
            <w:noWrap/>
            <w:vAlign w:val="center"/>
            <w:hideMark/>
          </w:tcPr>
          <w:p w14:paraId="29C941B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8EB6D5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ACE64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0.833333</w:t>
            </w:r>
          </w:p>
        </w:tc>
      </w:tr>
      <w:tr w:rsidR="0079130E" w:rsidRPr="0079130E" w14:paraId="522FEF43" w14:textId="77777777" w:rsidTr="00B132C4">
        <w:trPr>
          <w:trHeight w:val="290"/>
        </w:trPr>
        <w:tc>
          <w:tcPr>
            <w:tcW w:w="976" w:type="pct"/>
            <w:vMerge/>
            <w:tcBorders>
              <w:top w:val="single" w:sz="4" w:space="0" w:color="auto"/>
              <w:bottom w:val="nil"/>
            </w:tcBorders>
          </w:tcPr>
          <w:p w14:paraId="140AD1C6"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E1E683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Methyl isovalerate</w:t>
            </w:r>
          </w:p>
        </w:tc>
        <w:tc>
          <w:tcPr>
            <w:tcW w:w="543" w:type="pct"/>
            <w:noWrap/>
            <w:vAlign w:val="center"/>
            <w:hideMark/>
          </w:tcPr>
          <w:p w14:paraId="6F90737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3AAC80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1.59</w:t>
            </w:r>
          </w:p>
        </w:tc>
        <w:tc>
          <w:tcPr>
            <w:tcW w:w="543" w:type="pct"/>
            <w:noWrap/>
            <w:vAlign w:val="center"/>
            <w:hideMark/>
          </w:tcPr>
          <w:p w14:paraId="19C914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22DE97E" w14:textId="77777777" w:rsidTr="00B132C4">
        <w:trPr>
          <w:trHeight w:val="290"/>
        </w:trPr>
        <w:tc>
          <w:tcPr>
            <w:tcW w:w="976" w:type="pct"/>
            <w:vMerge/>
            <w:tcBorders>
              <w:top w:val="single" w:sz="4" w:space="0" w:color="auto"/>
              <w:bottom w:val="nil"/>
            </w:tcBorders>
          </w:tcPr>
          <w:p w14:paraId="13FAC1A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5E49F4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Methyl stearate</w:t>
            </w:r>
          </w:p>
        </w:tc>
        <w:tc>
          <w:tcPr>
            <w:tcW w:w="543" w:type="pct"/>
            <w:noWrap/>
            <w:vAlign w:val="center"/>
            <w:hideMark/>
          </w:tcPr>
          <w:p w14:paraId="7EBF3EA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13.13</w:t>
            </w:r>
          </w:p>
        </w:tc>
        <w:tc>
          <w:tcPr>
            <w:tcW w:w="543" w:type="pct"/>
            <w:noWrap/>
            <w:vAlign w:val="center"/>
            <w:hideMark/>
          </w:tcPr>
          <w:p w14:paraId="09D49BE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3C6D24E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E044F6B" w14:textId="77777777" w:rsidTr="00B132C4">
        <w:trPr>
          <w:trHeight w:val="290"/>
        </w:trPr>
        <w:tc>
          <w:tcPr>
            <w:tcW w:w="976" w:type="pct"/>
            <w:vMerge/>
            <w:tcBorders>
              <w:top w:val="single" w:sz="4" w:space="0" w:color="auto"/>
              <w:bottom w:val="nil"/>
            </w:tcBorders>
          </w:tcPr>
          <w:p w14:paraId="7663615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D9AF76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 xml:space="preserve">Methyl </w:t>
            </w:r>
            <w:proofErr w:type="spellStart"/>
            <w:r w:rsidRPr="0079130E">
              <w:rPr>
                <w:rFonts w:ascii="Arial" w:hAnsi="Arial" w:cs="Arial"/>
                <w:color w:val="000000"/>
                <w:kern w:val="2"/>
              </w:rPr>
              <w:t>tetradecanoate</w:t>
            </w:r>
            <w:proofErr w:type="spellEnd"/>
          </w:p>
        </w:tc>
        <w:tc>
          <w:tcPr>
            <w:tcW w:w="543" w:type="pct"/>
            <w:noWrap/>
            <w:vAlign w:val="center"/>
            <w:hideMark/>
          </w:tcPr>
          <w:p w14:paraId="1D12740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9.623333</w:t>
            </w:r>
          </w:p>
        </w:tc>
        <w:tc>
          <w:tcPr>
            <w:tcW w:w="543" w:type="pct"/>
            <w:noWrap/>
            <w:vAlign w:val="center"/>
            <w:hideMark/>
          </w:tcPr>
          <w:p w14:paraId="67FAE8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8.663333</w:t>
            </w:r>
          </w:p>
        </w:tc>
        <w:tc>
          <w:tcPr>
            <w:tcW w:w="543" w:type="pct"/>
            <w:noWrap/>
            <w:vAlign w:val="center"/>
            <w:hideMark/>
          </w:tcPr>
          <w:p w14:paraId="1FBDC39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0.386667</w:t>
            </w:r>
          </w:p>
        </w:tc>
      </w:tr>
      <w:tr w:rsidR="0079130E" w:rsidRPr="0079130E" w14:paraId="21CB4E4B" w14:textId="77777777" w:rsidTr="00B132C4">
        <w:trPr>
          <w:trHeight w:val="290"/>
        </w:trPr>
        <w:tc>
          <w:tcPr>
            <w:tcW w:w="976" w:type="pct"/>
            <w:vMerge/>
            <w:tcBorders>
              <w:top w:val="single" w:sz="4" w:space="0" w:color="auto"/>
              <w:bottom w:val="nil"/>
            </w:tcBorders>
          </w:tcPr>
          <w:p w14:paraId="1667892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D044E8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Nonanoic acid, methyl ester</w:t>
            </w:r>
          </w:p>
        </w:tc>
        <w:tc>
          <w:tcPr>
            <w:tcW w:w="543" w:type="pct"/>
            <w:noWrap/>
            <w:vAlign w:val="center"/>
            <w:hideMark/>
          </w:tcPr>
          <w:p w14:paraId="4944F92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3.296667</w:t>
            </w:r>
          </w:p>
        </w:tc>
        <w:tc>
          <w:tcPr>
            <w:tcW w:w="543" w:type="pct"/>
            <w:noWrap/>
            <w:vAlign w:val="center"/>
            <w:hideMark/>
          </w:tcPr>
          <w:p w14:paraId="7616B61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0546C4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196DFB83" w14:textId="77777777" w:rsidTr="00B132C4">
        <w:trPr>
          <w:trHeight w:val="290"/>
        </w:trPr>
        <w:tc>
          <w:tcPr>
            <w:tcW w:w="976" w:type="pct"/>
            <w:vMerge/>
            <w:tcBorders>
              <w:top w:val="single" w:sz="4" w:space="0" w:color="auto"/>
              <w:bottom w:val="nil"/>
            </w:tcBorders>
          </w:tcPr>
          <w:p w14:paraId="0F874CF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49F8E2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Octanoic acid, methyl ester</w:t>
            </w:r>
          </w:p>
        </w:tc>
        <w:tc>
          <w:tcPr>
            <w:tcW w:w="543" w:type="pct"/>
            <w:noWrap/>
            <w:vAlign w:val="center"/>
            <w:hideMark/>
          </w:tcPr>
          <w:p w14:paraId="081CFE0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6.436667</w:t>
            </w:r>
          </w:p>
        </w:tc>
        <w:tc>
          <w:tcPr>
            <w:tcW w:w="543" w:type="pct"/>
            <w:noWrap/>
            <w:vAlign w:val="center"/>
            <w:hideMark/>
          </w:tcPr>
          <w:p w14:paraId="5B4B260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CFF4E5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1ABA9768" w14:textId="77777777" w:rsidTr="00B132C4">
        <w:trPr>
          <w:trHeight w:val="290"/>
        </w:trPr>
        <w:tc>
          <w:tcPr>
            <w:tcW w:w="976" w:type="pct"/>
            <w:vMerge/>
            <w:tcBorders>
              <w:top w:val="single" w:sz="4" w:space="0" w:color="auto"/>
              <w:bottom w:val="nil"/>
            </w:tcBorders>
          </w:tcPr>
          <w:p w14:paraId="2B568D3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274021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Pentadecanoic acid, methyl ester</w:t>
            </w:r>
          </w:p>
        </w:tc>
        <w:tc>
          <w:tcPr>
            <w:tcW w:w="543" w:type="pct"/>
            <w:noWrap/>
            <w:vAlign w:val="center"/>
            <w:hideMark/>
          </w:tcPr>
          <w:p w14:paraId="278041E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3.063333</w:t>
            </w:r>
          </w:p>
        </w:tc>
        <w:tc>
          <w:tcPr>
            <w:tcW w:w="543" w:type="pct"/>
            <w:noWrap/>
            <w:vAlign w:val="center"/>
            <w:hideMark/>
          </w:tcPr>
          <w:p w14:paraId="7E6C50A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24.61</w:t>
            </w:r>
          </w:p>
        </w:tc>
        <w:tc>
          <w:tcPr>
            <w:tcW w:w="543" w:type="pct"/>
            <w:noWrap/>
            <w:vAlign w:val="center"/>
            <w:hideMark/>
          </w:tcPr>
          <w:p w14:paraId="1C5F9A9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B771A1A" w14:textId="77777777" w:rsidTr="00B132C4">
        <w:trPr>
          <w:trHeight w:val="290"/>
        </w:trPr>
        <w:tc>
          <w:tcPr>
            <w:tcW w:w="976" w:type="pct"/>
            <w:vMerge/>
            <w:tcBorders>
              <w:top w:val="single" w:sz="4" w:space="0" w:color="auto"/>
              <w:bottom w:val="nil"/>
            </w:tcBorders>
          </w:tcPr>
          <w:p w14:paraId="034F30A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0091450"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Pentanoic</w:t>
            </w:r>
            <w:proofErr w:type="spellEnd"/>
            <w:r w:rsidRPr="0079130E">
              <w:rPr>
                <w:rFonts w:ascii="Arial" w:hAnsi="Arial" w:cs="Arial"/>
                <w:color w:val="000000"/>
                <w:kern w:val="2"/>
              </w:rPr>
              <w:t xml:space="preserve"> acid, 3-hydroxy-2-methyl-, propyl ester</w:t>
            </w:r>
          </w:p>
        </w:tc>
        <w:tc>
          <w:tcPr>
            <w:tcW w:w="543" w:type="pct"/>
            <w:noWrap/>
            <w:vAlign w:val="center"/>
            <w:hideMark/>
          </w:tcPr>
          <w:p w14:paraId="475CFEA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5A2495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24.45</w:t>
            </w:r>
          </w:p>
        </w:tc>
        <w:tc>
          <w:tcPr>
            <w:tcW w:w="543" w:type="pct"/>
            <w:noWrap/>
            <w:vAlign w:val="center"/>
            <w:hideMark/>
          </w:tcPr>
          <w:p w14:paraId="4DE4BEC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39E3109B" w14:textId="77777777" w:rsidTr="00B132C4">
        <w:trPr>
          <w:trHeight w:val="290"/>
        </w:trPr>
        <w:tc>
          <w:tcPr>
            <w:tcW w:w="976" w:type="pct"/>
            <w:vMerge/>
            <w:tcBorders>
              <w:top w:val="single" w:sz="4" w:space="0" w:color="auto"/>
              <w:bottom w:val="nil"/>
            </w:tcBorders>
          </w:tcPr>
          <w:p w14:paraId="03313A6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29B3F6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Propanoic acid, 2-hydroxy-, ethyl ester</w:t>
            </w:r>
          </w:p>
        </w:tc>
        <w:tc>
          <w:tcPr>
            <w:tcW w:w="543" w:type="pct"/>
            <w:noWrap/>
            <w:vAlign w:val="center"/>
            <w:hideMark/>
          </w:tcPr>
          <w:p w14:paraId="68DC9AD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22D89C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80B059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3.816667</w:t>
            </w:r>
          </w:p>
        </w:tc>
      </w:tr>
      <w:tr w:rsidR="0079130E" w:rsidRPr="0079130E" w14:paraId="5CEBA2B1" w14:textId="77777777" w:rsidTr="00B132C4">
        <w:trPr>
          <w:trHeight w:val="290"/>
        </w:trPr>
        <w:tc>
          <w:tcPr>
            <w:tcW w:w="976" w:type="pct"/>
            <w:vMerge/>
            <w:tcBorders>
              <w:top w:val="single" w:sz="4" w:space="0" w:color="auto"/>
              <w:bottom w:val="nil"/>
            </w:tcBorders>
          </w:tcPr>
          <w:p w14:paraId="5700E977"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9096E4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 xml:space="preserve">Propanoic acid, 2-hydroxy-, methyl ester, </w:t>
            </w:r>
            <w:proofErr w:type="gramStart"/>
            <w:r w:rsidRPr="0079130E">
              <w:rPr>
                <w:rFonts w:ascii="Arial" w:hAnsi="Arial" w:cs="Arial"/>
                <w:color w:val="000000"/>
                <w:kern w:val="2"/>
              </w:rPr>
              <w:t>(.+</w:t>
            </w:r>
            <w:proofErr w:type="gramEnd"/>
            <w:r w:rsidRPr="0079130E">
              <w:rPr>
                <w:rFonts w:ascii="Arial" w:hAnsi="Arial" w:cs="Arial"/>
                <w:color w:val="000000"/>
                <w:kern w:val="2"/>
              </w:rPr>
              <w:t>/-.)-</w:t>
            </w:r>
          </w:p>
        </w:tc>
        <w:tc>
          <w:tcPr>
            <w:tcW w:w="543" w:type="pct"/>
            <w:noWrap/>
            <w:vAlign w:val="center"/>
            <w:hideMark/>
          </w:tcPr>
          <w:p w14:paraId="59D91AF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3.11</w:t>
            </w:r>
          </w:p>
        </w:tc>
        <w:tc>
          <w:tcPr>
            <w:tcW w:w="543" w:type="pct"/>
            <w:noWrap/>
            <w:vAlign w:val="center"/>
            <w:hideMark/>
          </w:tcPr>
          <w:p w14:paraId="78EB9EB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23596E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2.626667</w:t>
            </w:r>
          </w:p>
        </w:tc>
      </w:tr>
      <w:tr w:rsidR="0079130E" w:rsidRPr="0079130E" w14:paraId="063352F7" w14:textId="77777777" w:rsidTr="00B132C4">
        <w:trPr>
          <w:trHeight w:val="290"/>
        </w:trPr>
        <w:tc>
          <w:tcPr>
            <w:tcW w:w="976" w:type="pct"/>
            <w:vMerge/>
            <w:tcBorders>
              <w:top w:val="single" w:sz="4" w:space="0" w:color="auto"/>
              <w:bottom w:val="nil"/>
            </w:tcBorders>
          </w:tcPr>
          <w:p w14:paraId="56CD3AAA"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A507ED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Propanoic acid, 2-hydroxy-2-methyl-, methyl ester</w:t>
            </w:r>
          </w:p>
        </w:tc>
        <w:tc>
          <w:tcPr>
            <w:tcW w:w="543" w:type="pct"/>
            <w:noWrap/>
            <w:vAlign w:val="center"/>
            <w:hideMark/>
          </w:tcPr>
          <w:p w14:paraId="1D1F24A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1.06</w:t>
            </w:r>
          </w:p>
        </w:tc>
        <w:tc>
          <w:tcPr>
            <w:tcW w:w="543" w:type="pct"/>
            <w:noWrap/>
            <w:vAlign w:val="center"/>
            <w:hideMark/>
          </w:tcPr>
          <w:p w14:paraId="4ECEAC2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9AF53E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0.103333</w:t>
            </w:r>
          </w:p>
        </w:tc>
      </w:tr>
      <w:tr w:rsidR="0079130E" w:rsidRPr="0079130E" w14:paraId="4B1BBCCF" w14:textId="77777777" w:rsidTr="00B132C4">
        <w:trPr>
          <w:trHeight w:val="290"/>
        </w:trPr>
        <w:tc>
          <w:tcPr>
            <w:tcW w:w="976" w:type="pct"/>
            <w:vMerge/>
            <w:tcBorders>
              <w:top w:val="single" w:sz="4" w:space="0" w:color="auto"/>
              <w:bottom w:val="nil"/>
            </w:tcBorders>
          </w:tcPr>
          <w:p w14:paraId="7A02731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B07383D"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Benzeneacetic</w:t>
            </w:r>
            <w:proofErr w:type="spellEnd"/>
            <w:r w:rsidRPr="0079130E">
              <w:rPr>
                <w:rFonts w:ascii="Arial" w:hAnsi="Arial" w:cs="Arial"/>
                <w:color w:val="000000"/>
                <w:kern w:val="2"/>
              </w:rPr>
              <w:t xml:space="preserve"> acid, methyl ester</w:t>
            </w:r>
          </w:p>
        </w:tc>
        <w:tc>
          <w:tcPr>
            <w:tcW w:w="543" w:type="pct"/>
            <w:noWrap/>
            <w:vAlign w:val="center"/>
            <w:hideMark/>
          </w:tcPr>
          <w:p w14:paraId="6F055D3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61.47333</w:t>
            </w:r>
          </w:p>
        </w:tc>
        <w:tc>
          <w:tcPr>
            <w:tcW w:w="543" w:type="pct"/>
            <w:noWrap/>
            <w:vAlign w:val="center"/>
            <w:hideMark/>
          </w:tcPr>
          <w:p w14:paraId="3BD5034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34.47</w:t>
            </w:r>
          </w:p>
        </w:tc>
        <w:tc>
          <w:tcPr>
            <w:tcW w:w="543" w:type="pct"/>
            <w:noWrap/>
            <w:vAlign w:val="center"/>
            <w:hideMark/>
          </w:tcPr>
          <w:p w14:paraId="75EAC88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0.653333</w:t>
            </w:r>
          </w:p>
        </w:tc>
      </w:tr>
      <w:tr w:rsidR="0079130E" w:rsidRPr="0079130E" w14:paraId="1892DC69" w14:textId="77777777" w:rsidTr="00B132C4">
        <w:trPr>
          <w:trHeight w:val="290"/>
        </w:trPr>
        <w:tc>
          <w:tcPr>
            <w:tcW w:w="976" w:type="pct"/>
            <w:vMerge/>
            <w:tcBorders>
              <w:top w:val="single" w:sz="4" w:space="0" w:color="auto"/>
              <w:bottom w:val="nil"/>
            </w:tcBorders>
          </w:tcPr>
          <w:p w14:paraId="02271C0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16C0A2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Dodecanoic acid, methyl ester</w:t>
            </w:r>
          </w:p>
        </w:tc>
        <w:tc>
          <w:tcPr>
            <w:tcW w:w="543" w:type="pct"/>
            <w:noWrap/>
            <w:vAlign w:val="center"/>
            <w:hideMark/>
          </w:tcPr>
          <w:p w14:paraId="18CEFF9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83051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0.983333</w:t>
            </w:r>
          </w:p>
        </w:tc>
        <w:tc>
          <w:tcPr>
            <w:tcW w:w="543" w:type="pct"/>
            <w:noWrap/>
            <w:vAlign w:val="center"/>
            <w:hideMark/>
          </w:tcPr>
          <w:p w14:paraId="50A9AE5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7E73646" w14:textId="77777777" w:rsidTr="00B132C4">
        <w:trPr>
          <w:trHeight w:val="290"/>
        </w:trPr>
        <w:tc>
          <w:tcPr>
            <w:tcW w:w="976" w:type="pct"/>
            <w:vMerge/>
            <w:tcBorders>
              <w:top w:val="single" w:sz="4" w:space="0" w:color="auto"/>
              <w:bottom w:val="single" w:sz="4" w:space="0" w:color="auto"/>
            </w:tcBorders>
          </w:tcPr>
          <w:p w14:paraId="551E6B94"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0B11F8E4"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4B85FA6D"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6DE4F8E4"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042D461B" w14:textId="77777777" w:rsidR="0079130E" w:rsidRPr="0079130E" w:rsidRDefault="0079130E" w:rsidP="0079130E">
            <w:pPr>
              <w:spacing w:after="160"/>
              <w:jc w:val="both"/>
              <w:rPr>
                <w:rFonts w:ascii="Arial" w:hAnsi="Arial" w:cs="Arial"/>
                <w:color w:val="000000"/>
                <w:kern w:val="2"/>
              </w:rPr>
            </w:pPr>
          </w:p>
        </w:tc>
      </w:tr>
      <w:tr w:rsidR="0079130E" w:rsidRPr="0079130E" w14:paraId="7ADBB6C7" w14:textId="77777777" w:rsidTr="00B132C4">
        <w:trPr>
          <w:trHeight w:val="290"/>
        </w:trPr>
        <w:tc>
          <w:tcPr>
            <w:tcW w:w="976" w:type="pct"/>
            <w:vMerge w:val="restart"/>
            <w:tcBorders>
              <w:top w:val="single" w:sz="4" w:space="0" w:color="auto"/>
              <w:bottom w:val="nil"/>
            </w:tcBorders>
            <w:vAlign w:val="center"/>
          </w:tcPr>
          <w:p w14:paraId="5C1A0BA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KETONES</w:t>
            </w:r>
          </w:p>
        </w:tc>
        <w:tc>
          <w:tcPr>
            <w:tcW w:w="2395" w:type="pct"/>
            <w:tcBorders>
              <w:top w:val="single" w:sz="4" w:space="0" w:color="auto"/>
              <w:bottom w:val="nil"/>
            </w:tcBorders>
            <w:noWrap/>
            <w:vAlign w:val="center"/>
            <w:hideMark/>
          </w:tcPr>
          <w:p w14:paraId="6E3EA31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3-Octanone</w:t>
            </w:r>
          </w:p>
        </w:tc>
        <w:tc>
          <w:tcPr>
            <w:tcW w:w="543" w:type="pct"/>
            <w:tcBorders>
              <w:top w:val="single" w:sz="4" w:space="0" w:color="auto"/>
              <w:bottom w:val="nil"/>
            </w:tcBorders>
            <w:noWrap/>
            <w:vAlign w:val="center"/>
            <w:hideMark/>
          </w:tcPr>
          <w:p w14:paraId="7402BE5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284D9A9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63.38667</w:t>
            </w:r>
          </w:p>
        </w:tc>
        <w:tc>
          <w:tcPr>
            <w:tcW w:w="543" w:type="pct"/>
            <w:tcBorders>
              <w:top w:val="single" w:sz="4" w:space="0" w:color="auto"/>
              <w:bottom w:val="nil"/>
            </w:tcBorders>
            <w:noWrap/>
            <w:vAlign w:val="center"/>
            <w:hideMark/>
          </w:tcPr>
          <w:p w14:paraId="442FDA6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6D8E537A" w14:textId="77777777" w:rsidTr="00B132C4">
        <w:trPr>
          <w:trHeight w:val="290"/>
        </w:trPr>
        <w:tc>
          <w:tcPr>
            <w:tcW w:w="976" w:type="pct"/>
            <w:vMerge/>
            <w:tcBorders>
              <w:top w:val="nil"/>
            </w:tcBorders>
          </w:tcPr>
          <w:p w14:paraId="59FFE40E"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48DCDF5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2-Octanone</w:t>
            </w:r>
          </w:p>
        </w:tc>
        <w:tc>
          <w:tcPr>
            <w:tcW w:w="543" w:type="pct"/>
            <w:tcBorders>
              <w:top w:val="nil"/>
            </w:tcBorders>
            <w:noWrap/>
            <w:vAlign w:val="center"/>
            <w:hideMark/>
          </w:tcPr>
          <w:p w14:paraId="5C71599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03878E5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6.103333</w:t>
            </w:r>
          </w:p>
        </w:tc>
        <w:tc>
          <w:tcPr>
            <w:tcW w:w="543" w:type="pct"/>
            <w:tcBorders>
              <w:top w:val="nil"/>
            </w:tcBorders>
            <w:noWrap/>
            <w:vAlign w:val="center"/>
            <w:hideMark/>
          </w:tcPr>
          <w:p w14:paraId="026B685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3CA52E91" w14:textId="77777777" w:rsidTr="00B132C4">
        <w:trPr>
          <w:trHeight w:val="290"/>
        </w:trPr>
        <w:tc>
          <w:tcPr>
            <w:tcW w:w="976" w:type="pct"/>
            <w:vMerge/>
          </w:tcPr>
          <w:p w14:paraId="08255DE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C90CED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2-Pentanone</w:t>
            </w:r>
          </w:p>
        </w:tc>
        <w:tc>
          <w:tcPr>
            <w:tcW w:w="543" w:type="pct"/>
            <w:noWrap/>
            <w:vAlign w:val="center"/>
            <w:hideMark/>
          </w:tcPr>
          <w:p w14:paraId="7A5B2EF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724DFE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10.26667</w:t>
            </w:r>
          </w:p>
        </w:tc>
        <w:tc>
          <w:tcPr>
            <w:tcW w:w="543" w:type="pct"/>
            <w:noWrap/>
            <w:vAlign w:val="center"/>
            <w:hideMark/>
          </w:tcPr>
          <w:p w14:paraId="7CAE0FE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30174ADE" w14:textId="77777777" w:rsidTr="00B132C4">
        <w:trPr>
          <w:trHeight w:val="290"/>
        </w:trPr>
        <w:tc>
          <w:tcPr>
            <w:tcW w:w="976" w:type="pct"/>
            <w:vMerge/>
          </w:tcPr>
          <w:p w14:paraId="27F8511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C4C70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2,4-Nonanedione</w:t>
            </w:r>
          </w:p>
        </w:tc>
        <w:tc>
          <w:tcPr>
            <w:tcW w:w="543" w:type="pct"/>
            <w:noWrap/>
            <w:vAlign w:val="center"/>
            <w:hideMark/>
          </w:tcPr>
          <w:p w14:paraId="1B7AE8E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2.016667</w:t>
            </w:r>
          </w:p>
        </w:tc>
        <w:tc>
          <w:tcPr>
            <w:tcW w:w="543" w:type="pct"/>
            <w:noWrap/>
            <w:vAlign w:val="center"/>
            <w:hideMark/>
          </w:tcPr>
          <w:p w14:paraId="5545621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1D128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1B8BFE26" w14:textId="77777777" w:rsidTr="00B132C4">
        <w:trPr>
          <w:trHeight w:val="290"/>
        </w:trPr>
        <w:tc>
          <w:tcPr>
            <w:tcW w:w="976" w:type="pct"/>
            <w:vMerge/>
          </w:tcPr>
          <w:p w14:paraId="089FECE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A514ED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2,5-Hexanedione</w:t>
            </w:r>
          </w:p>
        </w:tc>
        <w:tc>
          <w:tcPr>
            <w:tcW w:w="543" w:type="pct"/>
            <w:noWrap/>
            <w:vAlign w:val="center"/>
            <w:hideMark/>
          </w:tcPr>
          <w:p w14:paraId="1C4A428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7E8211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12.74</w:t>
            </w:r>
          </w:p>
        </w:tc>
        <w:tc>
          <w:tcPr>
            <w:tcW w:w="543" w:type="pct"/>
            <w:noWrap/>
            <w:vAlign w:val="center"/>
            <w:hideMark/>
          </w:tcPr>
          <w:p w14:paraId="4F4B6C7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15A1349D" w14:textId="77777777" w:rsidTr="00B132C4">
        <w:trPr>
          <w:trHeight w:val="290"/>
        </w:trPr>
        <w:tc>
          <w:tcPr>
            <w:tcW w:w="976" w:type="pct"/>
            <w:vMerge/>
          </w:tcPr>
          <w:p w14:paraId="64A1BC2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BBB7DB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3,5-Dimethyl-4-heptanone</w:t>
            </w:r>
          </w:p>
        </w:tc>
        <w:tc>
          <w:tcPr>
            <w:tcW w:w="543" w:type="pct"/>
            <w:noWrap/>
            <w:vAlign w:val="center"/>
            <w:hideMark/>
          </w:tcPr>
          <w:p w14:paraId="52D341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D9051A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498668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0.27</w:t>
            </w:r>
          </w:p>
        </w:tc>
      </w:tr>
      <w:tr w:rsidR="0079130E" w:rsidRPr="0079130E" w14:paraId="1F0D680D" w14:textId="77777777" w:rsidTr="00B132C4">
        <w:trPr>
          <w:trHeight w:val="290"/>
        </w:trPr>
        <w:tc>
          <w:tcPr>
            <w:tcW w:w="976" w:type="pct"/>
            <w:vMerge/>
          </w:tcPr>
          <w:p w14:paraId="646C251A"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3D84DE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5-Hepten-2-one, 6-methyl-</w:t>
            </w:r>
          </w:p>
        </w:tc>
        <w:tc>
          <w:tcPr>
            <w:tcW w:w="543" w:type="pct"/>
            <w:noWrap/>
            <w:vAlign w:val="center"/>
            <w:hideMark/>
          </w:tcPr>
          <w:p w14:paraId="3C309F1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3054BE0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2.073333</w:t>
            </w:r>
          </w:p>
        </w:tc>
        <w:tc>
          <w:tcPr>
            <w:tcW w:w="543" w:type="pct"/>
            <w:noWrap/>
            <w:vAlign w:val="center"/>
            <w:hideMark/>
          </w:tcPr>
          <w:p w14:paraId="3E09F51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AFD2319" w14:textId="77777777" w:rsidTr="00B132C4">
        <w:trPr>
          <w:trHeight w:val="290"/>
        </w:trPr>
        <w:tc>
          <w:tcPr>
            <w:tcW w:w="976" w:type="pct"/>
            <w:vMerge/>
          </w:tcPr>
          <w:p w14:paraId="605D80A1"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E1C8C62"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Ethanone</w:t>
            </w:r>
            <w:proofErr w:type="spellEnd"/>
            <w:r w:rsidRPr="0079130E">
              <w:rPr>
                <w:rFonts w:ascii="Arial" w:hAnsi="Arial" w:cs="Arial"/>
                <w:color w:val="000000"/>
                <w:kern w:val="2"/>
              </w:rPr>
              <w:t>, 1-(1-cyclohexen-1-yl)-</w:t>
            </w:r>
          </w:p>
        </w:tc>
        <w:tc>
          <w:tcPr>
            <w:tcW w:w="543" w:type="pct"/>
            <w:noWrap/>
            <w:vAlign w:val="center"/>
            <w:hideMark/>
          </w:tcPr>
          <w:p w14:paraId="28427B0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9764C8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1.926667</w:t>
            </w:r>
          </w:p>
        </w:tc>
        <w:tc>
          <w:tcPr>
            <w:tcW w:w="543" w:type="pct"/>
            <w:noWrap/>
            <w:vAlign w:val="center"/>
            <w:hideMark/>
          </w:tcPr>
          <w:p w14:paraId="6A639FF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F74FFDA" w14:textId="77777777" w:rsidTr="00B132C4">
        <w:trPr>
          <w:trHeight w:val="290"/>
        </w:trPr>
        <w:tc>
          <w:tcPr>
            <w:tcW w:w="976" w:type="pct"/>
            <w:vMerge/>
          </w:tcPr>
          <w:p w14:paraId="2C38316D"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2CCF70C"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Ethanone</w:t>
            </w:r>
            <w:proofErr w:type="spellEnd"/>
            <w:r w:rsidRPr="0079130E">
              <w:rPr>
                <w:rFonts w:ascii="Arial" w:hAnsi="Arial" w:cs="Arial"/>
                <w:color w:val="000000"/>
                <w:kern w:val="2"/>
              </w:rPr>
              <w:t>, 1-(1H-pyrrol-2-yl)-</w:t>
            </w:r>
          </w:p>
        </w:tc>
        <w:tc>
          <w:tcPr>
            <w:tcW w:w="543" w:type="pct"/>
            <w:noWrap/>
            <w:vAlign w:val="center"/>
            <w:hideMark/>
          </w:tcPr>
          <w:p w14:paraId="0C2E2FA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2E7A8A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41.27</w:t>
            </w:r>
          </w:p>
        </w:tc>
        <w:tc>
          <w:tcPr>
            <w:tcW w:w="543" w:type="pct"/>
            <w:noWrap/>
            <w:vAlign w:val="center"/>
            <w:hideMark/>
          </w:tcPr>
          <w:p w14:paraId="6C3F322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67.37333</w:t>
            </w:r>
          </w:p>
        </w:tc>
      </w:tr>
      <w:tr w:rsidR="0079130E" w:rsidRPr="0079130E" w14:paraId="2F7343DE" w14:textId="77777777" w:rsidTr="00B132C4">
        <w:trPr>
          <w:trHeight w:val="290"/>
        </w:trPr>
        <w:tc>
          <w:tcPr>
            <w:tcW w:w="976" w:type="pct"/>
            <w:vMerge/>
          </w:tcPr>
          <w:p w14:paraId="568832D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212A052"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Ethanone</w:t>
            </w:r>
            <w:proofErr w:type="spellEnd"/>
            <w:r w:rsidRPr="0079130E">
              <w:rPr>
                <w:rFonts w:ascii="Arial" w:hAnsi="Arial" w:cs="Arial"/>
                <w:color w:val="000000"/>
                <w:kern w:val="2"/>
              </w:rPr>
              <w:t>, 2-hydroxy-1-phenyl-</w:t>
            </w:r>
          </w:p>
        </w:tc>
        <w:tc>
          <w:tcPr>
            <w:tcW w:w="543" w:type="pct"/>
            <w:noWrap/>
            <w:vAlign w:val="center"/>
            <w:hideMark/>
          </w:tcPr>
          <w:p w14:paraId="5F9D313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33.32333</w:t>
            </w:r>
          </w:p>
        </w:tc>
        <w:tc>
          <w:tcPr>
            <w:tcW w:w="543" w:type="pct"/>
            <w:noWrap/>
            <w:vAlign w:val="center"/>
            <w:hideMark/>
          </w:tcPr>
          <w:p w14:paraId="2C7528F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5B1C22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28A3514" w14:textId="77777777" w:rsidTr="00B132C4">
        <w:trPr>
          <w:trHeight w:val="290"/>
        </w:trPr>
        <w:tc>
          <w:tcPr>
            <w:tcW w:w="976" w:type="pct"/>
            <w:vMerge/>
            <w:tcBorders>
              <w:bottom w:val="single" w:sz="4" w:space="0" w:color="auto"/>
            </w:tcBorders>
          </w:tcPr>
          <w:p w14:paraId="73FF575D"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25C78213"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71D5CCF8"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32253D88"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59B65290" w14:textId="77777777" w:rsidR="0079130E" w:rsidRPr="0079130E" w:rsidRDefault="0079130E" w:rsidP="0079130E">
            <w:pPr>
              <w:spacing w:after="160"/>
              <w:jc w:val="both"/>
              <w:rPr>
                <w:rFonts w:ascii="Arial" w:hAnsi="Arial" w:cs="Arial"/>
                <w:color w:val="000000"/>
                <w:kern w:val="2"/>
              </w:rPr>
            </w:pPr>
          </w:p>
        </w:tc>
      </w:tr>
      <w:tr w:rsidR="0079130E" w:rsidRPr="0079130E" w14:paraId="02E26DBA" w14:textId="77777777" w:rsidTr="00B132C4">
        <w:trPr>
          <w:trHeight w:val="290"/>
        </w:trPr>
        <w:tc>
          <w:tcPr>
            <w:tcW w:w="976" w:type="pct"/>
            <w:vMerge w:val="restart"/>
            <w:tcBorders>
              <w:top w:val="single" w:sz="4" w:space="0" w:color="auto"/>
              <w:bottom w:val="nil"/>
            </w:tcBorders>
            <w:vAlign w:val="center"/>
          </w:tcPr>
          <w:p w14:paraId="4B23272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w:t>
            </w:r>
          </w:p>
        </w:tc>
        <w:tc>
          <w:tcPr>
            <w:tcW w:w="2395" w:type="pct"/>
            <w:tcBorders>
              <w:top w:val="single" w:sz="4" w:space="0" w:color="auto"/>
              <w:bottom w:val="nil"/>
            </w:tcBorders>
            <w:noWrap/>
            <w:vAlign w:val="center"/>
            <w:hideMark/>
          </w:tcPr>
          <w:p w14:paraId="1EA178F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2,3-Dimethyl-5-ethylpyrazine</w:t>
            </w:r>
          </w:p>
        </w:tc>
        <w:tc>
          <w:tcPr>
            <w:tcW w:w="543" w:type="pct"/>
            <w:tcBorders>
              <w:top w:val="single" w:sz="4" w:space="0" w:color="auto"/>
              <w:bottom w:val="nil"/>
            </w:tcBorders>
            <w:noWrap/>
            <w:vAlign w:val="center"/>
            <w:hideMark/>
          </w:tcPr>
          <w:p w14:paraId="33AAF40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36.76333</w:t>
            </w:r>
          </w:p>
        </w:tc>
        <w:tc>
          <w:tcPr>
            <w:tcW w:w="543" w:type="pct"/>
            <w:tcBorders>
              <w:top w:val="single" w:sz="4" w:space="0" w:color="auto"/>
              <w:bottom w:val="nil"/>
            </w:tcBorders>
            <w:noWrap/>
            <w:vAlign w:val="center"/>
            <w:hideMark/>
          </w:tcPr>
          <w:p w14:paraId="4061596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56.16333</w:t>
            </w:r>
          </w:p>
        </w:tc>
        <w:tc>
          <w:tcPr>
            <w:tcW w:w="543" w:type="pct"/>
            <w:tcBorders>
              <w:top w:val="single" w:sz="4" w:space="0" w:color="auto"/>
              <w:bottom w:val="nil"/>
            </w:tcBorders>
            <w:noWrap/>
            <w:vAlign w:val="center"/>
            <w:hideMark/>
          </w:tcPr>
          <w:p w14:paraId="71AFDDF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0.566667</w:t>
            </w:r>
          </w:p>
        </w:tc>
      </w:tr>
      <w:tr w:rsidR="0079130E" w:rsidRPr="0079130E" w14:paraId="40BEDDB5" w14:textId="77777777" w:rsidTr="00B132C4">
        <w:trPr>
          <w:trHeight w:val="290"/>
        </w:trPr>
        <w:tc>
          <w:tcPr>
            <w:tcW w:w="976" w:type="pct"/>
            <w:vMerge/>
            <w:tcBorders>
              <w:top w:val="nil"/>
            </w:tcBorders>
          </w:tcPr>
          <w:p w14:paraId="43981FC2"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3E072F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2,3,5-Trimethyl-6-ethylpyrazine</w:t>
            </w:r>
          </w:p>
        </w:tc>
        <w:tc>
          <w:tcPr>
            <w:tcW w:w="543" w:type="pct"/>
            <w:tcBorders>
              <w:top w:val="nil"/>
            </w:tcBorders>
            <w:noWrap/>
            <w:vAlign w:val="center"/>
            <w:hideMark/>
          </w:tcPr>
          <w:p w14:paraId="34AC3F3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25.90667</w:t>
            </w:r>
          </w:p>
        </w:tc>
        <w:tc>
          <w:tcPr>
            <w:tcW w:w="543" w:type="pct"/>
            <w:tcBorders>
              <w:top w:val="nil"/>
            </w:tcBorders>
            <w:noWrap/>
            <w:vAlign w:val="center"/>
            <w:hideMark/>
          </w:tcPr>
          <w:p w14:paraId="4F028EE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37.21333</w:t>
            </w:r>
          </w:p>
        </w:tc>
        <w:tc>
          <w:tcPr>
            <w:tcW w:w="543" w:type="pct"/>
            <w:tcBorders>
              <w:top w:val="nil"/>
            </w:tcBorders>
            <w:noWrap/>
            <w:vAlign w:val="center"/>
            <w:hideMark/>
          </w:tcPr>
          <w:p w14:paraId="30301C6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7B46C334" w14:textId="77777777" w:rsidTr="00B132C4">
        <w:trPr>
          <w:trHeight w:val="290"/>
        </w:trPr>
        <w:tc>
          <w:tcPr>
            <w:tcW w:w="976" w:type="pct"/>
            <w:vMerge/>
          </w:tcPr>
          <w:p w14:paraId="754C425D"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99AF34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2-butyl-3,5-dimethyl-</w:t>
            </w:r>
          </w:p>
        </w:tc>
        <w:tc>
          <w:tcPr>
            <w:tcW w:w="543" w:type="pct"/>
            <w:noWrap/>
            <w:vAlign w:val="center"/>
            <w:hideMark/>
          </w:tcPr>
          <w:p w14:paraId="1873D0A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E1737D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8.813333</w:t>
            </w:r>
          </w:p>
        </w:tc>
        <w:tc>
          <w:tcPr>
            <w:tcW w:w="543" w:type="pct"/>
            <w:noWrap/>
            <w:vAlign w:val="center"/>
            <w:hideMark/>
          </w:tcPr>
          <w:p w14:paraId="4BC5B89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9DC2B36" w14:textId="77777777" w:rsidTr="00B132C4">
        <w:trPr>
          <w:trHeight w:val="290"/>
        </w:trPr>
        <w:tc>
          <w:tcPr>
            <w:tcW w:w="976" w:type="pct"/>
            <w:vMerge/>
          </w:tcPr>
          <w:p w14:paraId="64BB9FF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CF5C81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2-ethyl-6-methyl-</w:t>
            </w:r>
          </w:p>
        </w:tc>
        <w:tc>
          <w:tcPr>
            <w:tcW w:w="543" w:type="pct"/>
            <w:noWrap/>
            <w:vAlign w:val="center"/>
            <w:hideMark/>
          </w:tcPr>
          <w:p w14:paraId="4C09D4A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302FCA4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1.55</w:t>
            </w:r>
          </w:p>
        </w:tc>
        <w:tc>
          <w:tcPr>
            <w:tcW w:w="543" w:type="pct"/>
            <w:noWrap/>
            <w:vAlign w:val="center"/>
            <w:hideMark/>
          </w:tcPr>
          <w:p w14:paraId="34700E2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529DCD1" w14:textId="77777777" w:rsidTr="00B132C4">
        <w:trPr>
          <w:trHeight w:val="290"/>
        </w:trPr>
        <w:tc>
          <w:tcPr>
            <w:tcW w:w="976" w:type="pct"/>
            <w:vMerge/>
          </w:tcPr>
          <w:p w14:paraId="1E729B2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DB7B7A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2,3-dimethyl-</w:t>
            </w:r>
          </w:p>
        </w:tc>
        <w:tc>
          <w:tcPr>
            <w:tcW w:w="543" w:type="pct"/>
            <w:noWrap/>
            <w:vAlign w:val="center"/>
            <w:hideMark/>
          </w:tcPr>
          <w:p w14:paraId="7C0E801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46.34333</w:t>
            </w:r>
          </w:p>
        </w:tc>
        <w:tc>
          <w:tcPr>
            <w:tcW w:w="543" w:type="pct"/>
            <w:noWrap/>
            <w:vAlign w:val="center"/>
            <w:hideMark/>
          </w:tcPr>
          <w:p w14:paraId="535542E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43.51667</w:t>
            </w:r>
          </w:p>
        </w:tc>
        <w:tc>
          <w:tcPr>
            <w:tcW w:w="543" w:type="pct"/>
            <w:noWrap/>
            <w:vAlign w:val="center"/>
            <w:hideMark/>
          </w:tcPr>
          <w:p w14:paraId="08F39F1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77E8ECA0" w14:textId="77777777" w:rsidTr="00B132C4">
        <w:trPr>
          <w:trHeight w:val="290"/>
        </w:trPr>
        <w:tc>
          <w:tcPr>
            <w:tcW w:w="976" w:type="pct"/>
            <w:vMerge/>
          </w:tcPr>
          <w:p w14:paraId="3208F3A7"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C780A3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2,5-dimethyl-</w:t>
            </w:r>
          </w:p>
        </w:tc>
        <w:tc>
          <w:tcPr>
            <w:tcW w:w="543" w:type="pct"/>
            <w:noWrap/>
            <w:vAlign w:val="center"/>
            <w:hideMark/>
          </w:tcPr>
          <w:p w14:paraId="442C8A7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13.72</w:t>
            </w:r>
          </w:p>
        </w:tc>
        <w:tc>
          <w:tcPr>
            <w:tcW w:w="543" w:type="pct"/>
            <w:noWrap/>
            <w:vAlign w:val="center"/>
            <w:hideMark/>
          </w:tcPr>
          <w:p w14:paraId="7BC8D0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15.75</w:t>
            </w:r>
          </w:p>
        </w:tc>
        <w:tc>
          <w:tcPr>
            <w:tcW w:w="543" w:type="pct"/>
            <w:noWrap/>
            <w:vAlign w:val="center"/>
            <w:hideMark/>
          </w:tcPr>
          <w:p w14:paraId="61FB11D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1643B3EA" w14:textId="77777777" w:rsidTr="00B132C4">
        <w:trPr>
          <w:trHeight w:val="290"/>
        </w:trPr>
        <w:tc>
          <w:tcPr>
            <w:tcW w:w="976" w:type="pct"/>
            <w:vMerge/>
          </w:tcPr>
          <w:p w14:paraId="3DCAAFC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3C7717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2,6-dimethyl-</w:t>
            </w:r>
          </w:p>
        </w:tc>
        <w:tc>
          <w:tcPr>
            <w:tcW w:w="543" w:type="pct"/>
            <w:noWrap/>
            <w:vAlign w:val="center"/>
            <w:hideMark/>
          </w:tcPr>
          <w:p w14:paraId="3557BC5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8.73</w:t>
            </w:r>
          </w:p>
        </w:tc>
        <w:tc>
          <w:tcPr>
            <w:tcW w:w="543" w:type="pct"/>
            <w:noWrap/>
            <w:vAlign w:val="center"/>
            <w:hideMark/>
          </w:tcPr>
          <w:p w14:paraId="01E1299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11.95</w:t>
            </w:r>
          </w:p>
        </w:tc>
        <w:tc>
          <w:tcPr>
            <w:tcW w:w="543" w:type="pct"/>
            <w:noWrap/>
            <w:vAlign w:val="center"/>
            <w:hideMark/>
          </w:tcPr>
          <w:p w14:paraId="3605C42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FA8032A" w14:textId="77777777" w:rsidTr="00B132C4">
        <w:trPr>
          <w:trHeight w:val="290"/>
        </w:trPr>
        <w:tc>
          <w:tcPr>
            <w:tcW w:w="976" w:type="pct"/>
            <w:vMerge/>
          </w:tcPr>
          <w:p w14:paraId="3E59E004"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8F3C24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3-butyl-2,5-dimethyl-</w:t>
            </w:r>
          </w:p>
        </w:tc>
        <w:tc>
          <w:tcPr>
            <w:tcW w:w="543" w:type="pct"/>
            <w:noWrap/>
            <w:vAlign w:val="center"/>
            <w:hideMark/>
          </w:tcPr>
          <w:p w14:paraId="5A71334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3C8EC9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300.4233</w:t>
            </w:r>
          </w:p>
        </w:tc>
        <w:tc>
          <w:tcPr>
            <w:tcW w:w="543" w:type="pct"/>
            <w:noWrap/>
            <w:vAlign w:val="center"/>
            <w:hideMark/>
          </w:tcPr>
          <w:p w14:paraId="0E28D60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FCDD99C" w14:textId="77777777" w:rsidTr="00B132C4">
        <w:trPr>
          <w:trHeight w:val="290"/>
        </w:trPr>
        <w:tc>
          <w:tcPr>
            <w:tcW w:w="976" w:type="pct"/>
            <w:vMerge/>
          </w:tcPr>
          <w:p w14:paraId="7B8E51A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DE0378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tetramethyl-</w:t>
            </w:r>
          </w:p>
        </w:tc>
        <w:tc>
          <w:tcPr>
            <w:tcW w:w="543" w:type="pct"/>
            <w:noWrap/>
            <w:vAlign w:val="center"/>
            <w:hideMark/>
          </w:tcPr>
          <w:p w14:paraId="3DBE522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3175.527</w:t>
            </w:r>
          </w:p>
        </w:tc>
        <w:tc>
          <w:tcPr>
            <w:tcW w:w="543" w:type="pct"/>
            <w:noWrap/>
            <w:vAlign w:val="center"/>
            <w:hideMark/>
          </w:tcPr>
          <w:p w14:paraId="4962EA3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3117.313</w:t>
            </w:r>
          </w:p>
        </w:tc>
        <w:tc>
          <w:tcPr>
            <w:tcW w:w="543" w:type="pct"/>
            <w:noWrap/>
            <w:vAlign w:val="center"/>
            <w:hideMark/>
          </w:tcPr>
          <w:p w14:paraId="72C08C2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154.69</w:t>
            </w:r>
          </w:p>
        </w:tc>
      </w:tr>
      <w:tr w:rsidR="0079130E" w:rsidRPr="0079130E" w14:paraId="7AFCCC74" w14:textId="77777777" w:rsidTr="00B132C4">
        <w:trPr>
          <w:trHeight w:val="290"/>
        </w:trPr>
        <w:tc>
          <w:tcPr>
            <w:tcW w:w="976" w:type="pct"/>
            <w:vMerge/>
          </w:tcPr>
          <w:p w14:paraId="772211E8"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115E21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trimethyl-</w:t>
            </w:r>
          </w:p>
        </w:tc>
        <w:tc>
          <w:tcPr>
            <w:tcW w:w="543" w:type="pct"/>
            <w:noWrap/>
            <w:vAlign w:val="center"/>
            <w:hideMark/>
          </w:tcPr>
          <w:p w14:paraId="6F90AE6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263.68</w:t>
            </w:r>
          </w:p>
        </w:tc>
        <w:tc>
          <w:tcPr>
            <w:tcW w:w="543" w:type="pct"/>
            <w:noWrap/>
            <w:vAlign w:val="center"/>
            <w:hideMark/>
          </w:tcPr>
          <w:p w14:paraId="1C7EA77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1EB4D2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18.99</w:t>
            </w:r>
          </w:p>
        </w:tc>
      </w:tr>
      <w:tr w:rsidR="0079130E" w:rsidRPr="0079130E" w14:paraId="6622C77A" w14:textId="77777777" w:rsidTr="00B132C4">
        <w:trPr>
          <w:trHeight w:val="290"/>
        </w:trPr>
        <w:tc>
          <w:tcPr>
            <w:tcW w:w="976" w:type="pct"/>
            <w:vMerge/>
          </w:tcPr>
          <w:p w14:paraId="4F3C69D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BB42B2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Pyridine, 2-phenyl-</w:t>
            </w:r>
          </w:p>
        </w:tc>
        <w:tc>
          <w:tcPr>
            <w:tcW w:w="543" w:type="pct"/>
            <w:noWrap/>
            <w:vAlign w:val="center"/>
            <w:hideMark/>
          </w:tcPr>
          <w:p w14:paraId="29E841C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E3105A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9B2A9A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1.146667</w:t>
            </w:r>
          </w:p>
        </w:tc>
      </w:tr>
      <w:tr w:rsidR="0079130E" w:rsidRPr="0079130E" w14:paraId="307EC1ED" w14:textId="77777777" w:rsidTr="00B132C4">
        <w:trPr>
          <w:trHeight w:val="290"/>
        </w:trPr>
        <w:tc>
          <w:tcPr>
            <w:tcW w:w="976" w:type="pct"/>
            <w:vMerge/>
          </w:tcPr>
          <w:p w14:paraId="5F4B776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D315DD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Pyridine, 3-phenyl-</w:t>
            </w:r>
          </w:p>
        </w:tc>
        <w:tc>
          <w:tcPr>
            <w:tcW w:w="543" w:type="pct"/>
            <w:noWrap/>
            <w:vAlign w:val="center"/>
            <w:hideMark/>
          </w:tcPr>
          <w:p w14:paraId="19EA321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14.59667</w:t>
            </w:r>
          </w:p>
        </w:tc>
        <w:tc>
          <w:tcPr>
            <w:tcW w:w="543" w:type="pct"/>
            <w:noWrap/>
            <w:vAlign w:val="center"/>
            <w:hideMark/>
          </w:tcPr>
          <w:p w14:paraId="4890515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11.72333</w:t>
            </w:r>
          </w:p>
        </w:tc>
        <w:tc>
          <w:tcPr>
            <w:tcW w:w="543" w:type="pct"/>
            <w:noWrap/>
            <w:vAlign w:val="center"/>
            <w:hideMark/>
          </w:tcPr>
          <w:p w14:paraId="638CED7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777A556" w14:textId="77777777" w:rsidTr="00B132C4">
        <w:trPr>
          <w:trHeight w:val="290"/>
        </w:trPr>
        <w:tc>
          <w:tcPr>
            <w:tcW w:w="976" w:type="pct"/>
            <w:vMerge/>
            <w:tcBorders>
              <w:bottom w:val="single" w:sz="4" w:space="0" w:color="auto"/>
            </w:tcBorders>
          </w:tcPr>
          <w:p w14:paraId="09E276D2"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4FF501F9"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05598354"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560FE722"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3B22F757" w14:textId="77777777" w:rsidR="0079130E" w:rsidRPr="0079130E" w:rsidRDefault="0079130E" w:rsidP="0079130E">
            <w:pPr>
              <w:spacing w:after="160"/>
              <w:jc w:val="both"/>
              <w:rPr>
                <w:rFonts w:ascii="Arial" w:hAnsi="Arial" w:cs="Arial"/>
                <w:color w:val="000000"/>
                <w:kern w:val="2"/>
              </w:rPr>
            </w:pPr>
          </w:p>
        </w:tc>
      </w:tr>
      <w:tr w:rsidR="0079130E" w:rsidRPr="0079130E" w14:paraId="3BED2F97" w14:textId="77777777" w:rsidTr="00B132C4">
        <w:trPr>
          <w:trHeight w:val="290"/>
        </w:trPr>
        <w:tc>
          <w:tcPr>
            <w:tcW w:w="976" w:type="pct"/>
            <w:vMerge w:val="restart"/>
            <w:tcBorders>
              <w:top w:val="single" w:sz="4" w:space="0" w:color="auto"/>
              <w:bottom w:val="nil"/>
            </w:tcBorders>
            <w:vAlign w:val="center"/>
          </w:tcPr>
          <w:p w14:paraId="540EC13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ALDEHYDE</w:t>
            </w:r>
          </w:p>
        </w:tc>
        <w:tc>
          <w:tcPr>
            <w:tcW w:w="2395" w:type="pct"/>
            <w:tcBorders>
              <w:top w:val="single" w:sz="4" w:space="0" w:color="auto"/>
              <w:bottom w:val="nil"/>
            </w:tcBorders>
            <w:noWrap/>
            <w:vAlign w:val="center"/>
            <w:hideMark/>
          </w:tcPr>
          <w:p w14:paraId="55162C5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3-Furaldehyde</w:t>
            </w:r>
          </w:p>
        </w:tc>
        <w:tc>
          <w:tcPr>
            <w:tcW w:w="543" w:type="pct"/>
            <w:tcBorders>
              <w:top w:val="single" w:sz="4" w:space="0" w:color="auto"/>
              <w:bottom w:val="nil"/>
            </w:tcBorders>
            <w:noWrap/>
            <w:vAlign w:val="center"/>
            <w:hideMark/>
          </w:tcPr>
          <w:p w14:paraId="4EAF367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32C9EDB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07B167F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2.083333</w:t>
            </w:r>
          </w:p>
        </w:tc>
      </w:tr>
      <w:tr w:rsidR="0079130E" w:rsidRPr="0079130E" w14:paraId="177EE614" w14:textId="77777777" w:rsidTr="00B132C4">
        <w:trPr>
          <w:trHeight w:val="290"/>
        </w:trPr>
        <w:tc>
          <w:tcPr>
            <w:tcW w:w="976" w:type="pct"/>
            <w:vMerge/>
            <w:tcBorders>
              <w:top w:val="nil"/>
            </w:tcBorders>
            <w:vAlign w:val="center"/>
          </w:tcPr>
          <w:p w14:paraId="15477FB0"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72FA2F8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5-Methyl-2-phenyl-2-hexenal</w:t>
            </w:r>
          </w:p>
        </w:tc>
        <w:tc>
          <w:tcPr>
            <w:tcW w:w="543" w:type="pct"/>
            <w:tcBorders>
              <w:top w:val="nil"/>
            </w:tcBorders>
            <w:noWrap/>
            <w:vAlign w:val="center"/>
            <w:hideMark/>
          </w:tcPr>
          <w:p w14:paraId="02FDDE1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17.11667</w:t>
            </w:r>
          </w:p>
        </w:tc>
        <w:tc>
          <w:tcPr>
            <w:tcW w:w="543" w:type="pct"/>
            <w:tcBorders>
              <w:top w:val="nil"/>
            </w:tcBorders>
            <w:noWrap/>
            <w:vAlign w:val="center"/>
            <w:hideMark/>
          </w:tcPr>
          <w:p w14:paraId="603D7A4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318A08C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18.72333</w:t>
            </w:r>
          </w:p>
        </w:tc>
      </w:tr>
      <w:tr w:rsidR="0079130E" w:rsidRPr="0079130E" w14:paraId="44E1830F" w14:textId="77777777" w:rsidTr="00B132C4">
        <w:trPr>
          <w:trHeight w:val="290"/>
        </w:trPr>
        <w:tc>
          <w:tcPr>
            <w:tcW w:w="976" w:type="pct"/>
            <w:vMerge/>
            <w:vAlign w:val="center"/>
          </w:tcPr>
          <w:p w14:paraId="7A4D3A7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FC8158E"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Benzeneacetaldehyde</w:t>
            </w:r>
            <w:proofErr w:type="spellEnd"/>
            <w:proofErr w:type="gramStart"/>
            <w:r w:rsidRPr="0079130E">
              <w:rPr>
                <w:rFonts w:ascii="Arial" w:hAnsi="Arial" w:cs="Arial"/>
                <w:color w:val="000000"/>
                <w:kern w:val="2"/>
              </w:rPr>
              <w:t>, .alpha</w:t>
            </w:r>
            <w:proofErr w:type="gramEnd"/>
            <w:r w:rsidRPr="0079130E">
              <w:rPr>
                <w:rFonts w:ascii="Arial" w:hAnsi="Arial" w:cs="Arial"/>
                <w:color w:val="000000"/>
                <w:kern w:val="2"/>
              </w:rPr>
              <w:t>.-ethylidene-</w:t>
            </w:r>
          </w:p>
        </w:tc>
        <w:tc>
          <w:tcPr>
            <w:tcW w:w="543" w:type="pct"/>
            <w:noWrap/>
            <w:vAlign w:val="center"/>
            <w:hideMark/>
          </w:tcPr>
          <w:p w14:paraId="39EFE96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3D95E1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4FBA47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2.07</w:t>
            </w:r>
          </w:p>
        </w:tc>
      </w:tr>
      <w:tr w:rsidR="0079130E" w:rsidRPr="0079130E" w14:paraId="10710CB2" w14:textId="77777777" w:rsidTr="00B132C4">
        <w:trPr>
          <w:trHeight w:val="290"/>
        </w:trPr>
        <w:tc>
          <w:tcPr>
            <w:tcW w:w="976" w:type="pct"/>
            <w:vMerge/>
            <w:vAlign w:val="center"/>
          </w:tcPr>
          <w:p w14:paraId="1A6DACC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C89BEA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Butanal, 3-methyl-</w:t>
            </w:r>
          </w:p>
        </w:tc>
        <w:tc>
          <w:tcPr>
            <w:tcW w:w="543" w:type="pct"/>
            <w:noWrap/>
            <w:vAlign w:val="center"/>
            <w:hideMark/>
          </w:tcPr>
          <w:p w14:paraId="4B63281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74.52667</w:t>
            </w:r>
          </w:p>
        </w:tc>
        <w:tc>
          <w:tcPr>
            <w:tcW w:w="543" w:type="pct"/>
            <w:noWrap/>
            <w:vAlign w:val="center"/>
            <w:hideMark/>
          </w:tcPr>
          <w:p w14:paraId="3606C3A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11.55667</w:t>
            </w:r>
          </w:p>
        </w:tc>
        <w:tc>
          <w:tcPr>
            <w:tcW w:w="543" w:type="pct"/>
            <w:noWrap/>
            <w:vAlign w:val="center"/>
            <w:hideMark/>
          </w:tcPr>
          <w:p w14:paraId="3C8D368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40</w:t>
            </w:r>
          </w:p>
        </w:tc>
      </w:tr>
      <w:tr w:rsidR="0079130E" w:rsidRPr="0079130E" w14:paraId="4DE9299A" w14:textId="77777777" w:rsidTr="00B132C4">
        <w:trPr>
          <w:trHeight w:val="290"/>
        </w:trPr>
        <w:tc>
          <w:tcPr>
            <w:tcW w:w="976" w:type="pct"/>
            <w:vMerge/>
            <w:vAlign w:val="center"/>
          </w:tcPr>
          <w:p w14:paraId="5C00B89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2B768D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Hexanal</w:t>
            </w:r>
          </w:p>
        </w:tc>
        <w:tc>
          <w:tcPr>
            <w:tcW w:w="543" w:type="pct"/>
            <w:noWrap/>
            <w:vAlign w:val="center"/>
            <w:hideMark/>
          </w:tcPr>
          <w:p w14:paraId="713D684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BD64EC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798D9D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0.38</w:t>
            </w:r>
          </w:p>
        </w:tc>
      </w:tr>
      <w:tr w:rsidR="0079130E" w:rsidRPr="0079130E" w14:paraId="35346FA4" w14:textId="77777777" w:rsidTr="00B132C4">
        <w:trPr>
          <w:trHeight w:val="290"/>
        </w:trPr>
        <w:tc>
          <w:tcPr>
            <w:tcW w:w="976" w:type="pct"/>
            <w:vMerge/>
            <w:vAlign w:val="center"/>
          </w:tcPr>
          <w:p w14:paraId="04EDCA6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17A492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Nonanal</w:t>
            </w:r>
          </w:p>
        </w:tc>
        <w:tc>
          <w:tcPr>
            <w:tcW w:w="543" w:type="pct"/>
            <w:noWrap/>
            <w:vAlign w:val="center"/>
            <w:hideMark/>
          </w:tcPr>
          <w:p w14:paraId="3B561DF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1C74AD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58E0A7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2.546667</w:t>
            </w:r>
          </w:p>
        </w:tc>
      </w:tr>
      <w:tr w:rsidR="0079130E" w:rsidRPr="0079130E" w14:paraId="7F39D205" w14:textId="77777777" w:rsidTr="00B132C4">
        <w:trPr>
          <w:trHeight w:val="290"/>
        </w:trPr>
        <w:tc>
          <w:tcPr>
            <w:tcW w:w="976" w:type="pct"/>
            <w:vMerge/>
            <w:vAlign w:val="center"/>
          </w:tcPr>
          <w:p w14:paraId="37ABBC7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269416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Pentanal</w:t>
            </w:r>
          </w:p>
        </w:tc>
        <w:tc>
          <w:tcPr>
            <w:tcW w:w="543" w:type="pct"/>
            <w:noWrap/>
            <w:vAlign w:val="center"/>
            <w:hideMark/>
          </w:tcPr>
          <w:p w14:paraId="2AFEB3A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83FFAF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4.656667</w:t>
            </w:r>
          </w:p>
        </w:tc>
        <w:tc>
          <w:tcPr>
            <w:tcW w:w="543" w:type="pct"/>
            <w:noWrap/>
            <w:vAlign w:val="center"/>
            <w:hideMark/>
          </w:tcPr>
          <w:p w14:paraId="198ADC8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115CE00" w14:textId="77777777" w:rsidTr="00B132C4">
        <w:trPr>
          <w:trHeight w:val="290"/>
        </w:trPr>
        <w:tc>
          <w:tcPr>
            <w:tcW w:w="976" w:type="pct"/>
            <w:vMerge/>
            <w:tcBorders>
              <w:bottom w:val="single" w:sz="4" w:space="0" w:color="auto"/>
            </w:tcBorders>
            <w:vAlign w:val="center"/>
          </w:tcPr>
          <w:p w14:paraId="683AFA82"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39A92E42"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2A607C6F"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52927BB9"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58A15A66" w14:textId="77777777" w:rsidR="0079130E" w:rsidRPr="0079130E" w:rsidRDefault="0079130E" w:rsidP="0079130E">
            <w:pPr>
              <w:spacing w:after="160"/>
              <w:jc w:val="both"/>
              <w:rPr>
                <w:rFonts w:ascii="Arial" w:hAnsi="Arial" w:cs="Arial"/>
                <w:color w:val="000000"/>
                <w:kern w:val="2"/>
              </w:rPr>
            </w:pPr>
          </w:p>
        </w:tc>
      </w:tr>
      <w:tr w:rsidR="0079130E" w:rsidRPr="0079130E" w14:paraId="22BF249B" w14:textId="77777777" w:rsidTr="00B132C4">
        <w:trPr>
          <w:trHeight w:val="290"/>
        </w:trPr>
        <w:tc>
          <w:tcPr>
            <w:tcW w:w="976" w:type="pct"/>
            <w:vMerge w:val="restart"/>
            <w:tcBorders>
              <w:top w:val="single" w:sz="4" w:space="0" w:color="auto"/>
              <w:bottom w:val="nil"/>
            </w:tcBorders>
            <w:vAlign w:val="center"/>
          </w:tcPr>
          <w:p w14:paraId="7C8CB2C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ACID</w:t>
            </w:r>
          </w:p>
        </w:tc>
        <w:tc>
          <w:tcPr>
            <w:tcW w:w="2395" w:type="pct"/>
            <w:tcBorders>
              <w:top w:val="single" w:sz="4" w:space="0" w:color="auto"/>
              <w:bottom w:val="nil"/>
            </w:tcBorders>
            <w:noWrap/>
            <w:vAlign w:val="center"/>
            <w:hideMark/>
          </w:tcPr>
          <w:p w14:paraId="3CB2B7B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3-Hydroxymyristic acid</w:t>
            </w:r>
          </w:p>
        </w:tc>
        <w:tc>
          <w:tcPr>
            <w:tcW w:w="543" w:type="pct"/>
            <w:tcBorders>
              <w:top w:val="single" w:sz="4" w:space="0" w:color="auto"/>
              <w:bottom w:val="nil"/>
            </w:tcBorders>
            <w:noWrap/>
            <w:vAlign w:val="center"/>
            <w:hideMark/>
          </w:tcPr>
          <w:p w14:paraId="2F3F797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3124BA9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0.103333</w:t>
            </w:r>
          </w:p>
        </w:tc>
        <w:tc>
          <w:tcPr>
            <w:tcW w:w="543" w:type="pct"/>
            <w:tcBorders>
              <w:top w:val="single" w:sz="4" w:space="0" w:color="auto"/>
              <w:bottom w:val="nil"/>
            </w:tcBorders>
            <w:noWrap/>
            <w:vAlign w:val="center"/>
            <w:hideMark/>
          </w:tcPr>
          <w:p w14:paraId="6916978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CFAB246" w14:textId="77777777" w:rsidTr="00B132C4">
        <w:trPr>
          <w:trHeight w:val="290"/>
        </w:trPr>
        <w:tc>
          <w:tcPr>
            <w:tcW w:w="976" w:type="pct"/>
            <w:vMerge/>
            <w:tcBorders>
              <w:top w:val="nil"/>
            </w:tcBorders>
            <w:vAlign w:val="center"/>
          </w:tcPr>
          <w:p w14:paraId="19EC01A3"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0E078DF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Hexanoic acid</w:t>
            </w:r>
          </w:p>
        </w:tc>
        <w:tc>
          <w:tcPr>
            <w:tcW w:w="543" w:type="pct"/>
            <w:tcBorders>
              <w:top w:val="nil"/>
            </w:tcBorders>
            <w:noWrap/>
            <w:vAlign w:val="center"/>
            <w:hideMark/>
          </w:tcPr>
          <w:p w14:paraId="52DD84E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1740AC2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2717F40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0.916667</w:t>
            </w:r>
          </w:p>
        </w:tc>
      </w:tr>
      <w:tr w:rsidR="0079130E" w:rsidRPr="0079130E" w14:paraId="1CA34DC5" w14:textId="77777777" w:rsidTr="00B132C4">
        <w:trPr>
          <w:trHeight w:val="290"/>
        </w:trPr>
        <w:tc>
          <w:tcPr>
            <w:tcW w:w="976" w:type="pct"/>
            <w:vMerge/>
            <w:vAlign w:val="center"/>
          </w:tcPr>
          <w:p w14:paraId="18960491"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E3A000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L-Lactic acid</w:t>
            </w:r>
          </w:p>
        </w:tc>
        <w:tc>
          <w:tcPr>
            <w:tcW w:w="543" w:type="pct"/>
            <w:noWrap/>
            <w:vAlign w:val="center"/>
            <w:hideMark/>
          </w:tcPr>
          <w:p w14:paraId="2220B0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B15F2D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4131F4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4.606667</w:t>
            </w:r>
          </w:p>
        </w:tc>
      </w:tr>
      <w:tr w:rsidR="0079130E" w:rsidRPr="0079130E" w14:paraId="36085119" w14:textId="77777777" w:rsidTr="00B132C4">
        <w:trPr>
          <w:trHeight w:val="290"/>
        </w:trPr>
        <w:tc>
          <w:tcPr>
            <w:tcW w:w="976" w:type="pct"/>
            <w:vMerge/>
            <w:vAlign w:val="center"/>
          </w:tcPr>
          <w:p w14:paraId="3FEB3EE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EDA0B6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Propanoic acid, 2-(</w:t>
            </w:r>
            <w:proofErr w:type="spellStart"/>
            <w:r w:rsidRPr="0079130E">
              <w:rPr>
                <w:rFonts w:ascii="Arial" w:hAnsi="Arial" w:cs="Arial"/>
                <w:color w:val="000000"/>
                <w:kern w:val="2"/>
              </w:rPr>
              <w:t>methoxymethoxy</w:t>
            </w:r>
            <w:proofErr w:type="spellEnd"/>
            <w:r w:rsidRPr="0079130E">
              <w:rPr>
                <w:rFonts w:ascii="Arial" w:hAnsi="Arial" w:cs="Arial"/>
                <w:color w:val="000000"/>
                <w:kern w:val="2"/>
              </w:rPr>
              <w:t>)-</w:t>
            </w:r>
          </w:p>
        </w:tc>
        <w:tc>
          <w:tcPr>
            <w:tcW w:w="543" w:type="pct"/>
            <w:noWrap/>
            <w:vAlign w:val="center"/>
            <w:hideMark/>
          </w:tcPr>
          <w:p w14:paraId="4DF51BB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F34B0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0.403333</w:t>
            </w:r>
          </w:p>
        </w:tc>
        <w:tc>
          <w:tcPr>
            <w:tcW w:w="543" w:type="pct"/>
            <w:noWrap/>
            <w:vAlign w:val="center"/>
            <w:hideMark/>
          </w:tcPr>
          <w:p w14:paraId="336B4A2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0.073333</w:t>
            </w:r>
          </w:p>
        </w:tc>
      </w:tr>
      <w:tr w:rsidR="0079130E" w:rsidRPr="0079130E" w14:paraId="1092D284" w14:textId="77777777" w:rsidTr="00B132C4">
        <w:trPr>
          <w:trHeight w:val="290"/>
        </w:trPr>
        <w:tc>
          <w:tcPr>
            <w:tcW w:w="976" w:type="pct"/>
            <w:vMerge/>
            <w:tcBorders>
              <w:bottom w:val="single" w:sz="4" w:space="0" w:color="auto"/>
            </w:tcBorders>
            <w:vAlign w:val="center"/>
          </w:tcPr>
          <w:p w14:paraId="781BF5E2"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63B4DC15"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2C6BEA92"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4312ADD1"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3EA30F68" w14:textId="77777777" w:rsidR="0079130E" w:rsidRPr="0079130E" w:rsidRDefault="0079130E" w:rsidP="0079130E">
            <w:pPr>
              <w:spacing w:after="160"/>
              <w:jc w:val="both"/>
              <w:rPr>
                <w:rFonts w:ascii="Arial" w:hAnsi="Arial" w:cs="Arial"/>
                <w:color w:val="000000"/>
                <w:kern w:val="2"/>
              </w:rPr>
            </w:pPr>
          </w:p>
        </w:tc>
      </w:tr>
      <w:tr w:rsidR="0079130E" w:rsidRPr="0079130E" w14:paraId="3B1298F9" w14:textId="77777777" w:rsidTr="00B132C4">
        <w:trPr>
          <w:trHeight w:val="290"/>
        </w:trPr>
        <w:tc>
          <w:tcPr>
            <w:tcW w:w="976" w:type="pct"/>
            <w:vMerge w:val="restart"/>
            <w:tcBorders>
              <w:top w:val="single" w:sz="4" w:space="0" w:color="auto"/>
              <w:bottom w:val="nil"/>
            </w:tcBorders>
            <w:vAlign w:val="center"/>
          </w:tcPr>
          <w:p w14:paraId="6BA2BB3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HYDROCARBON</w:t>
            </w:r>
          </w:p>
        </w:tc>
        <w:tc>
          <w:tcPr>
            <w:tcW w:w="2395" w:type="pct"/>
            <w:tcBorders>
              <w:top w:val="single" w:sz="4" w:space="0" w:color="auto"/>
              <w:bottom w:val="nil"/>
            </w:tcBorders>
            <w:noWrap/>
            <w:vAlign w:val="center"/>
            <w:hideMark/>
          </w:tcPr>
          <w:p w14:paraId="5CF5F03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Butanamide, 3-methyl-</w:t>
            </w:r>
          </w:p>
        </w:tc>
        <w:tc>
          <w:tcPr>
            <w:tcW w:w="543" w:type="pct"/>
            <w:tcBorders>
              <w:top w:val="single" w:sz="4" w:space="0" w:color="auto"/>
              <w:bottom w:val="nil"/>
            </w:tcBorders>
            <w:noWrap/>
            <w:vAlign w:val="center"/>
            <w:hideMark/>
          </w:tcPr>
          <w:p w14:paraId="620D854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3BBE2AE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0981291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2.61</w:t>
            </w:r>
          </w:p>
        </w:tc>
      </w:tr>
      <w:tr w:rsidR="0079130E" w:rsidRPr="0079130E" w14:paraId="711955E3" w14:textId="77777777" w:rsidTr="00B132C4">
        <w:trPr>
          <w:trHeight w:val="290"/>
        </w:trPr>
        <w:tc>
          <w:tcPr>
            <w:tcW w:w="976" w:type="pct"/>
            <w:vMerge/>
            <w:tcBorders>
              <w:top w:val="nil"/>
              <w:bottom w:val="nil"/>
            </w:tcBorders>
            <w:vAlign w:val="center"/>
          </w:tcPr>
          <w:p w14:paraId="538349B8" w14:textId="77777777" w:rsidR="0079130E" w:rsidRPr="0079130E" w:rsidRDefault="0079130E" w:rsidP="0079130E">
            <w:pPr>
              <w:spacing w:after="160"/>
              <w:jc w:val="both"/>
              <w:rPr>
                <w:rFonts w:ascii="Arial" w:hAnsi="Arial" w:cs="Arial"/>
                <w:color w:val="000000"/>
                <w:kern w:val="2"/>
              </w:rPr>
            </w:pPr>
          </w:p>
        </w:tc>
        <w:tc>
          <w:tcPr>
            <w:tcW w:w="2395" w:type="pct"/>
            <w:tcBorders>
              <w:top w:val="nil"/>
              <w:bottom w:val="nil"/>
            </w:tcBorders>
            <w:noWrap/>
            <w:vAlign w:val="center"/>
            <w:hideMark/>
          </w:tcPr>
          <w:p w14:paraId="6EAFF9B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Butane, 1-(2-propenyloxy)-</w:t>
            </w:r>
          </w:p>
        </w:tc>
        <w:tc>
          <w:tcPr>
            <w:tcW w:w="543" w:type="pct"/>
            <w:tcBorders>
              <w:top w:val="nil"/>
              <w:bottom w:val="nil"/>
            </w:tcBorders>
            <w:noWrap/>
            <w:vAlign w:val="center"/>
            <w:hideMark/>
          </w:tcPr>
          <w:p w14:paraId="700B2A6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21.45</w:t>
            </w:r>
          </w:p>
        </w:tc>
        <w:tc>
          <w:tcPr>
            <w:tcW w:w="543" w:type="pct"/>
            <w:tcBorders>
              <w:top w:val="nil"/>
              <w:bottom w:val="nil"/>
            </w:tcBorders>
            <w:noWrap/>
            <w:vAlign w:val="center"/>
            <w:hideMark/>
          </w:tcPr>
          <w:p w14:paraId="7766C4A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bottom w:val="nil"/>
            </w:tcBorders>
            <w:noWrap/>
            <w:vAlign w:val="center"/>
            <w:hideMark/>
          </w:tcPr>
          <w:p w14:paraId="3C9311A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22625F5A" w14:textId="77777777" w:rsidTr="00B132C4">
        <w:trPr>
          <w:trHeight w:val="290"/>
        </w:trPr>
        <w:tc>
          <w:tcPr>
            <w:tcW w:w="976" w:type="pct"/>
            <w:vMerge/>
            <w:tcBorders>
              <w:top w:val="nil"/>
              <w:bottom w:val="single" w:sz="4" w:space="0" w:color="auto"/>
            </w:tcBorders>
            <w:vAlign w:val="center"/>
          </w:tcPr>
          <w:p w14:paraId="7400C8F7" w14:textId="77777777" w:rsidR="0079130E" w:rsidRPr="0079130E" w:rsidRDefault="0079130E" w:rsidP="0079130E">
            <w:pPr>
              <w:spacing w:after="160"/>
              <w:jc w:val="both"/>
              <w:rPr>
                <w:rFonts w:ascii="Arial" w:hAnsi="Arial" w:cs="Arial"/>
                <w:color w:val="000000"/>
                <w:kern w:val="2"/>
              </w:rPr>
            </w:pPr>
          </w:p>
        </w:tc>
        <w:tc>
          <w:tcPr>
            <w:tcW w:w="2395" w:type="pct"/>
            <w:tcBorders>
              <w:top w:val="nil"/>
              <w:bottom w:val="single" w:sz="4" w:space="0" w:color="auto"/>
            </w:tcBorders>
            <w:noWrap/>
            <w:vAlign w:val="center"/>
            <w:hideMark/>
          </w:tcPr>
          <w:p w14:paraId="5D2AB45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Furfural</w:t>
            </w:r>
          </w:p>
        </w:tc>
        <w:tc>
          <w:tcPr>
            <w:tcW w:w="543" w:type="pct"/>
            <w:tcBorders>
              <w:top w:val="nil"/>
              <w:bottom w:val="single" w:sz="4" w:space="0" w:color="auto"/>
            </w:tcBorders>
            <w:noWrap/>
            <w:vAlign w:val="center"/>
            <w:hideMark/>
          </w:tcPr>
          <w:p w14:paraId="4A54B31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bottom w:val="single" w:sz="4" w:space="0" w:color="auto"/>
            </w:tcBorders>
            <w:noWrap/>
            <w:vAlign w:val="center"/>
            <w:hideMark/>
          </w:tcPr>
          <w:p w14:paraId="2E67322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bottom w:val="single" w:sz="4" w:space="0" w:color="auto"/>
            </w:tcBorders>
            <w:noWrap/>
            <w:vAlign w:val="center"/>
            <w:hideMark/>
          </w:tcPr>
          <w:p w14:paraId="47FBCFD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2.006667</w:t>
            </w:r>
          </w:p>
        </w:tc>
      </w:tr>
      <w:tr w:rsidR="0079130E" w:rsidRPr="0079130E" w14:paraId="4D926A07" w14:textId="77777777" w:rsidTr="00B132C4">
        <w:trPr>
          <w:trHeight w:val="290"/>
        </w:trPr>
        <w:tc>
          <w:tcPr>
            <w:tcW w:w="976" w:type="pct"/>
            <w:vMerge w:val="restart"/>
            <w:tcBorders>
              <w:top w:val="single" w:sz="4" w:space="0" w:color="auto"/>
            </w:tcBorders>
            <w:vAlign w:val="center"/>
          </w:tcPr>
          <w:p w14:paraId="32F0C22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Aromatic</w:t>
            </w:r>
          </w:p>
        </w:tc>
        <w:tc>
          <w:tcPr>
            <w:tcW w:w="2395" w:type="pct"/>
            <w:tcBorders>
              <w:top w:val="single" w:sz="4" w:space="0" w:color="auto"/>
            </w:tcBorders>
            <w:noWrap/>
            <w:vAlign w:val="center"/>
            <w:hideMark/>
          </w:tcPr>
          <w:p w14:paraId="595556C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Phenol</w:t>
            </w:r>
          </w:p>
        </w:tc>
        <w:tc>
          <w:tcPr>
            <w:tcW w:w="543" w:type="pct"/>
            <w:tcBorders>
              <w:top w:val="single" w:sz="4" w:space="0" w:color="auto"/>
            </w:tcBorders>
            <w:noWrap/>
            <w:vAlign w:val="center"/>
            <w:hideMark/>
          </w:tcPr>
          <w:p w14:paraId="39EF708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tcBorders>
            <w:noWrap/>
            <w:vAlign w:val="center"/>
            <w:hideMark/>
          </w:tcPr>
          <w:p w14:paraId="31BDC40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tcBorders>
            <w:noWrap/>
            <w:vAlign w:val="center"/>
            <w:hideMark/>
          </w:tcPr>
          <w:p w14:paraId="58158B6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4.886667</w:t>
            </w:r>
          </w:p>
        </w:tc>
      </w:tr>
      <w:tr w:rsidR="0079130E" w:rsidRPr="0079130E" w14:paraId="580FC42A" w14:textId="77777777" w:rsidTr="00B132C4">
        <w:trPr>
          <w:trHeight w:val="290"/>
        </w:trPr>
        <w:tc>
          <w:tcPr>
            <w:tcW w:w="976" w:type="pct"/>
            <w:vMerge/>
            <w:vAlign w:val="center"/>
          </w:tcPr>
          <w:p w14:paraId="04FA667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5388CA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Phenol, 2-methoxy-</w:t>
            </w:r>
          </w:p>
        </w:tc>
        <w:tc>
          <w:tcPr>
            <w:tcW w:w="543" w:type="pct"/>
            <w:noWrap/>
            <w:vAlign w:val="center"/>
            <w:hideMark/>
          </w:tcPr>
          <w:p w14:paraId="35781AA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7.606667</w:t>
            </w:r>
          </w:p>
        </w:tc>
        <w:tc>
          <w:tcPr>
            <w:tcW w:w="543" w:type="pct"/>
            <w:noWrap/>
            <w:vAlign w:val="center"/>
            <w:hideMark/>
          </w:tcPr>
          <w:p w14:paraId="5BA3B0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31AD151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2.91</w:t>
            </w:r>
          </w:p>
        </w:tc>
      </w:tr>
      <w:tr w:rsidR="0079130E" w:rsidRPr="0079130E" w14:paraId="5F20EDAB" w14:textId="77777777" w:rsidTr="00B132C4">
        <w:trPr>
          <w:trHeight w:val="290"/>
        </w:trPr>
        <w:tc>
          <w:tcPr>
            <w:tcW w:w="976" w:type="pct"/>
            <w:vMerge/>
            <w:vAlign w:val="center"/>
          </w:tcPr>
          <w:p w14:paraId="6FE555C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C196B7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Phenol, 5-ethenyl-2-methoxy-</w:t>
            </w:r>
          </w:p>
        </w:tc>
        <w:tc>
          <w:tcPr>
            <w:tcW w:w="543" w:type="pct"/>
            <w:noWrap/>
            <w:vAlign w:val="center"/>
            <w:hideMark/>
          </w:tcPr>
          <w:p w14:paraId="063BC37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9.293333</w:t>
            </w:r>
          </w:p>
        </w:tc>
        <w:tc>
          <w:tcPr>
            <w:tcW w:w="543" w:type="pct"/>
            <w:noWrap/>
            <w:vAlign w:val="center"/>
            <w:hideMark/>
          </w:tcPr>
          <w:p w14:paraId="3DC677E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1F2EAA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992E43E" w14:textId="77777777" w:rsidTr="00B132C4">
        <w:trPr>
          <w:trHeight w:val="290"/>
        </w:trPr>
        <w:tc>
          <w:tcPr>
            <w:tcW w:w="976" w:type="pct"/>
            <w:vMerge/>
            <w:vAlign w:val="center"/>
          </w:tcPr>
          <w:p w14:paraId="0D4AB3A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5DA17A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Phenylethyl Alcohol</w:t>
            </w:r>
          </w:p>
        </w:tc>
        <w:tc>
          <w:tcPr>
            <w:tcW w:w="543" w:type="pct"/>
            <w:noWrap/>
            <w:vAlign w:val="center"/>
            <w:hideMark/>
          </w:tcPr>
          <w:p w14:paraId="1ACA5EA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206.86</w:t>
            </w:r>
          </w:p>
        </w:tc>
        <w:tc>
          <w:tcPr>
            <w:tcW w:w="543" w:type="pct"/>
            <w:noWrap/>
            <w:vAlign w:val="center"/>
            <w:hideMark/>
          </w:tcPr>
          <w:p w14:paraId="609DDF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258.9667</w:t>
            </w:r>
          </w:p>
        </w:tc>
        <w:tc>
          <w:tcPr>
            <w:tcW w:w="543" w:type="pct"/>
            <w:noWrap/>
            <w:vAlign w:val="center"/>
            <w:hideMark/>
          </w:tcPr>
          <w:p w14:paraId="238A3EA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80.48</w:t>
            </w:r>
          </w:p>
        </w:tc>
      </w:tr>
      <w:tr w:rsidR="0079130E" w:rsidRPr="0079130E" w14:paraId="29F62E1F" w14:textId="77777777" w:rsidTr="00B132C4">
        <w:trPr>
          <w:trHeight w:val="290"/>
        </w:trPr>
        <w:tc>
          <w:tcPr>
            <w:tcW w:w="976" w:type="pct"/>
            <w:vMerge/>
            <w:vAlign w:val="center"/>
          </w:tcPr>
          <w:p w14:paraId="634AC1E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5FD177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Phenylglyoxal</w:t>
            </w:r>
          </w:p>
        </w:tc>
        <w:tc>
          <w:tcPr>
            <w:tcW w:w="543" w:type="pct"/>
            <w:noWrap/>
            <w:vAlign w:val="center"/>
            <w:hideMark/>
          </w:tcPr>
          <w:p w14:paraId="197A806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63.29</w:t>
            </w:r>
          </w:p>
        </w:tc>
        <w:tc>
          <w:tcPr>
            <w:tcW w:w="543" w:type="pct"/>
            <w:noWrap/>
            <w:vAlign w:val="center"/>
            <w:hideMark/>
          </w:tcPr>
          <w:p w14:paraId="0B9BFA0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28.6</w:t>
            </w:r>
          </w:p>
        </w:tc>
        <w:tc>
          <w:tcPr>
            <w:tcW w:w="543" w:type="pct"/>
            <w:noWrap/>
            <w:vAlign w:val="center"/>
            <w:hideMark/>
          </w:tcPr>
          <w:p w14:paraId="79D2E05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34.67333</w:t>
            </w:r>
          </w:p>
        </w:tc>
      </w:tr>
      <w:tr w:rsidR="0079130E" w:rsidRPr="0079130E" w14:paraId="0812650D" w14:textId="77777777" w:rsidTr="00B132C4">
        <w:trPr>
          <w:trHeight w:val="290"/>
        </w:trPr>
        <w:tc>
          <w:tcPr>
            <w:tcW w:w="976" w:type="pct"/>
            <w:vMerge/>
            <w:vAlign w:val="center"/>
          </w:tcPr>
          <w:p w14:paraId="6454291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BBA0CD0"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Benzeneethanol</w:t>
            </w:r>
            <w:proofErr w:type="spellEnd"/>
            <w:proofErr w:type="gramStart"/>
            <w:r w:rsidRPr="0079130E">
              <w:rPr>
                <w:rFonts w:ascii="Arial" w:hAnsi="Arial" w:cs="Arial"/>
                <w:color w:val="000000"/>
                <w:kern w:val="2"/>
              </w:rPr>
              <w:t>, .alpha</w:t>
            </w:r>
            <w:proofErr w:type="gramEnd"/>
            <w:r w:rsidRPr="0079130E">
              <w:rPr>
                <w:rFonts w:ascii="Arial" w:hAnsi="Arial" w:cs="Arial"/>
                <w:color w:val="000000"/>
                <w:kern w:val="2"/>
              </w:rPr>
              <w:t>.-methyl-</w:t>
            </w:r>
          </w:p>
        </w:tc>
        <w:tc>
          <w:tcPr>
            <w:tcW w:w="543" w:type="pct"/>
            <w:noWrap/>
            <w:vAlign w:val="center"/>
            <w:hideMark/>
          </w:tcPr>
          <w:p w14:paraId="7B8A41C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21.88</w:t>
            </w:r>
          </w:p>
        </w:tc>
        <w:tc>
          <w:tcPr>
            <w:tcW w:w="543" w:type="pct"/>
            <w:noWrap/>
            <w:vAlign w:val="center"/>
            <w:hideMark/>
          </w:tcPr>
          <w:p w14:paraId="020A74A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23.17</w:t>
            </w:r>
          </w:p>
        </w:tc>
        <w:tc>
          <w:tcPr>
            <w:tcW w:w="543" w:type="pct"/>
            <w:noWrap/>
            <w:vAlign w:val="center"/>
            <w:hideMark/>
          </w:tcPr>
          <w:p w14:paraId="662A83E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C8137A0" w14:textId="77777777" w:rsidTr="00B132C4">
        <w:trPr>
          <w:trHeight w:val="290"/>
        </w:trPr>
        <w:tc>
          <w:tcPr>
            <w:tcW w:w="976" w:type="pct"/>
            <w:vMerge/>
            <w:vAlign w:val="center"/>
          </w:tcPr>
          <w:p w14:paraId="44BB561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1E1F32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Benzyl alcohol</w:t>
            </w:r>
          </w:p>
        </w:tc>
        <w:tc>
          <w:tcPr>
            <w:tcW w:w="543" w:type="pct"/>
            <w:noWrap/>
            <w:vAlign w:val="center"/>
            <w:hideMark/>
          </w:tcPr>
          <w:p w14:paraId="3439768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7.376667</w:t>
            </w:r>
          </w:p>
        </w:tc>
        <w:tc>
          <w:tcPr>
            <w:tcW w:w="543" w:type="pct"/>
            <w:noWrap/>
            <w:vAlign w:val="center"/>
            <w:hideMark/>
          </w:tcPr>
          <w:p w14:paraId="1B86148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9.4</w:t>
            </w:r>
          </w:p>
        </w:tc>
        <w:tc>
          <w:tcPr>
            <w:tcW w:w="543" w:type="pct"/>
            <w:noWrap/>
            <w:vAlign w:val="center"/>
            <w:hideMark/>
          </w:tcPr>
          <w:p w14:paraId="01CF65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15.49667</w:t>
            </w:r>
          </w:p>
        </w:tc>
      </w:tr>
      <w:tr w:rsidR="0079130E" w:rsidRPr="0079130E" w14:paraId="43E0103F" w14:textId="77777777" w:rsidTr="00B132C4">
        <w:trPr>
          <w:trHeight w:val="290"/>
        </w:trPr>
        <w:tc>
          <w:tcPr>
            <w:tcW w:w="976" w:type="pct"/>
            <w:vMerge/>
            <w:vAlign w:val="center"/>
          </w:tcPr>
          <w:p w14:paraId="543FB9E9"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BCC06BD"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Mequinol</w:t>
            </w:r>
            <w:proofErr w:type="spellEnd"/>
          </w:p>
        </w:tc>
        <w:tc>
          <w:tcPr>
            <w:tcW w:w="543" w:type="pct"/>
            <w:noWrap/>
            <w:vAlign w:val="center"/>
            <w:hideMark/>
          </w:tcPr>
          <w:p w14:paraId="4D2B48D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09550B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B457D2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1.023333</w:t>
            </w:r>
          </w:p>
        </w:tc>
      </w:tr>
      <w:tr w:rsidR="0079130E" w:rsidRPr="0079130E" w14:paraId="4EE504FA" w14:textId="77777777" w:rsidTr="00B132C4">
        <w:trPr>
          <w:trHeight w:val="290"/>
        </w:trPr>
        <w:tc>
          <w:tcPr>
            <w:tcW w:w="976" w:type="pct"/>
            <w:vMerge/>
            <w:vAlign w:val="center"/>
          </w:tcPr>
          <w:p w14:paraId="05DC261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9AF0F9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Benzene, 1,2-dimethoxy-</w:t>
            </w:r>
          </w:p>
        </w:tc>
        <w:tc>
          <w:tcPr>
            <w:tcW w:w="543" w:type="pct"/>
            <w:noWrap/>
            <w:vAlign w:val="center"/>
            <w:hideMark/>
          </w:tcPr>
          <w:p w14:paraId="7BF5BA4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CF8B00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B86D6A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4.493333</w:t>
            </w:r>
          </w:p>
        </w:tc>
      </w:tr>
      <w:tr w:rsidR="0079130E" w:rsidRPr="0079130E" w14:paraId="2FC3905A" w14:textId="77777777" w:rsidTr="00B132C4">
        <w:trPr>
          <w:trHeight w:val="290"/>
        </w:trPr>
        <w:tc>
          <w:tcPr>
            <w:tcW w:w="976" w:type="pct"/>
            <w:vMerge/>
            <w:vAlign w:val="center"/>
          </w:tcPr>
          <w:p w14:paraId="42FCDBE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98C70F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Furan, 3-phenyl-</w:t>
            </w:r>
          </w:p>
        </w:tc>
        <w:tc>
          <w:tcPr>
            <w:tcW w:w="543" w:type="pct"/>
            <w:noWrap/>
            <w:vAlign w:val="center"/>
            <w:hideMark/>
          </w:tcPr>
          <w:p w14:paraId="1BD6F4A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14.8</w:t>
            </w:r>
          </w:p>
        </w:tc>
        <w:tc>
          <w:tcPr>
            <w:tcW w:w="543" w:type="pct"/>
            <w:noWrap/>
            <w:vAlign w:val="center"/>
            <w:hideMark/>
          </w:tcPr>
          <w:p w14:paraId="207539D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12.13667</w:t>
            </w:r>
          </w:p>
        </w:tc>
        <w:tc>
          <w:tcPr>
            <w:tcW w:w="543" w:type="pct"/>
            <w:noWrap/>
            <w:vAlign w:val="center"/>
            <w:hideMark/>
          </w:tcPr>
          <w:p w14:paraId="4C3887E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0.7</w:t>
            </w:r>
          </w:p>
        </w:tc>
      </w:tr>
      <w:tr w:rsidR="0079130E" w:rsidRPr="0079130E" w14:paraId="47D028F2" w14:textId="77777777" w:rsidTr="00B132C4">
        <w:trPr>
          <w:trHeight w:val="290"/>
        </w:trPr>
        <w:tc>
          <w:tcPr>
            <w:tcW w:w="976" w:type="pct"/>
            <w:vMerge/>
            <w:tcBorders>
              <w:bottom w:val="single" w:sz="4" w:space="0" w:color="auto"/>
            </w:tcBorders>
            <w:vAlign w:val="center"/>
          </w:tcPr>
          <w:p w14:paraId="7C858CD5"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2A78B3CD"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73969304"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7292EE98"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09D83E06" w14:textId="77777777" w:rsidR="0079130E" w:rsidRPr="0079130E" w:rsidRDefault="0079130E" w:rsidP="0079130E">
            <w:pPr>
              <w:spacing w:after="160"/>
              <w:jc w:val="both"/>
              <w:rPr>
                <w:rFonts w:ascii="Arial" w:hAnsi="Arial" w:cs="Arial"/>
                <w:color w:val="000000"/>
                <w:kern w:val="2"/>
              </w:rPr>
            </w:pPr>
          </w:p>
        </w:tc>
      </w:tr>
      <w:tr w:rsidR="0079130E" w:rsidRPr="0079130E" w14:paraId="3933B2CE" w14:textId="77777777" w:rsidTr="00B132C4">
        <w:trPr>
          <w:trHeight w:val="290"/>
        </w:trPr>
        <w:tc>
          <w:tcPr>
            <w:tcW w:w="976" w:type="pct"/>
            <w:vMerge w:val="restart"/>
            <w:tcBorders>
              <w:top w:val="single" w:sz="4" w:space="0" w:color="auto"/>
              <w:bottom w:val="nil"/>
            </w:tcBorders>
            <w:vAlign w:val="center"/>
          </w:tcPr>
          <w:p w14:paraId="17BFB1A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ETHERS</w:t>
            </w:r>
          </w:p>
        </w:tc>
        <w:tc>
          <w:tcPr>
            <w:tcW w:w="2395" w:type="pct"/>
            <w:tcBorders>
              <w:top w:val="single" w:sz="4" w:space="0" w:color="auto"/>
              <w:bottom w:val="nil"/>
            </w:tcBorders>
            <w:noWrap/>
            <w:vAlign w:val="center"/>
            <w:hideMark/>
          </w:tcPr>
          <w:p w14:paraId="300FBA3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Disulfide, dimethyl</w:t>
            </w:r>
          </w:p>
        </w:tc>
        <w:tc>
          <w:tcPr>
            <w:tcW w:w="543" w:type="pct"/>
            <w:tcBorders>
              <w:top w:val="single" w:sz="4" w:space="0" w:color="auto"/>
              <w:bottom w:val="nil"/>
            </w:tcBorders>
            <w:noWrap/>
            <w:vAlign w:val="center"/>
            <w:hideMark/>
          </w:tcPr>
          <w:p w14:paraId="6667F30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3CE3109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6E010BE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0.49</w:t>
            </w:r>
          </w:p>
        </w:tc>
      </w:tr>
      <w:tr w:rsidR="0079130E" w:rsidRPr="0079130E" w14:paraId="49548F99" w14:textId="77777777" w:rsidTr="00B132C4">
        <w:trPr>
          <w:trHeight w:val="290"/>
        </w:trPr>
        <w:tc>
          <w:tcPr>
            <w:tcW w:w="976" w:type="pct"/>
            <w:vMerge/>
            <w:tcBorders>
              <w:top w:val="nil"/>
            </w:tcBorders>
          </w:tcPr>
          <w:p w14:paraId="0F5F60BB"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590E9BE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Hexane, 2,5-dimethoxy-2,5-dimethyl-</w:t>
            </w:r>
          </w:p>
        </w:tc>
        <w:tc>
          <w:tcPr>
            <w:tcW w:w="543" w:type="pct"/>
            <w:tcBorders>
              <w:top w:val="nil"/>
            </w:tcBorders>
            <w:noWrap/>
            <w:vAlign w:val="center"/>
            <w:hideMark/>
          </w:tcPr>
          <w:p w14:paraId="207EFE8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142.3733</w:t>
            </w:r>
          </w:p>
        </w:tc>
        <w:tc>
          <w:tcPr>
            <w:tcW w:w="543" w:type="pct"/>
            <w:tcBorders>
              <w:top w:val="nil"/>
            </w:tcBorders>
            <w:noWrap/>
            <w:vAlign w:val="center"/>
            <w:hideMark/>
          </w:tcPr>
          <w:p w14:paraId="42F82BB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117.1933</w:t>
            </w:r>
          </w:p>
        </w:tc>
        <w:tc>
          <w:tcPr>
            <w:tcW w:w="543" w:type="pct"/>
            <w:tcBorders>
              <w:top w:val="nil"/>
            </w:tcBorders>
            <w:noWrap/>
            <w:vAlign w:val="center"/>
            <w:hideMark/>
          </w:tcPr>
          <w:p w14:paraId="45B1995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15.65667</w:t>
            </w:r>
          </w:p>
        </w:tc>
      </w:tr>
      <w:tr w:rsidR="0079130E" w:rsidRPr="0079130E" w14:paraId="607BC4FF" w14:textId="77777777" w:rsidTr="00B132C4">
        <w:trPr>
          <w:trHeight w:val="290"/>
        </w:trPr>
        <w:tc>
          <w:tcPr>
            <w:tcW w:w="976" w:type="pct"/>
            <w:vMerge/>
          </w:tcPr>
          <w:p w14:paraId="4C15B72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81F189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Pentane, 2-methoxy-</w:t>
            </w:r>
          </w:p>
        </w:tc>
        <w:tc>
          <w:tcPr>
            <w:tcW w:w="543" w:type="pct"/>
            <w:noWrap/>
            <w:vAlign w:val="center"/>
            <w:hideMark/>
          </w:tcPr>
          <w:p w14:paraId="5BFF747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0.733333</w:t>
            </w:r>
          </w:p>
        </w:tc>
        <w:tc>
          <w:tcPr>
            <w:tcW w:w="543" w:type="pct"/>
            <w:noWrap/>
            <w:vAlign w:val="center"/>
            <w:hideMark/>
          </w:tcPr>
          <w:p w14:paraId="722476D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BF0D08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3FDAA198" w14:textId="77777777" w:rsidTr="00B132C4">
        <w:trPr>
          <w:trHeight w:val="290"/>
        </w:trPr>
        <w:tc>
          <w:tcPr>
            <w:tcW w:w="976" w:type="pct"/>
            <w:vMerge/>
          </w:tcPr>
          <w:p w14:paraId="07414647"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E31CAE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Pentane, 2-methoxy-2,4,4-trimethyl-</w:t>
            </w:r>
          </w:p>
        </w:tc>
        <w:tc>
          <w:tcPr>
            <w:tcW w:w="543" w:type="pct"/>
            <w:noWrap/>
            <w:vAlign w:val="center"/>
            <w:hideMark/>
          </w:tcPr>
          <w:p w14:paraId="0741500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FA866E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35.39333</w:t>
            </w:r>
          </w:p>
        </w:tc>
        <w:tc>
          <w:tcPr>
            <w:tcW w:w="543" w:type="pct"/>
            <w:noWrap/>
            <w:vAlign w:val="center"/>
            <w:hideMark/>
          </w:tcPr>
          <w:p w14:paraId="2A815D0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5ADAC65" w14:textId="77777777" w:rsidTr="00B132C4">
        <w:trPr>
          <w:trHeight w:val="290"/>
        </w:trPr>
        <w:tc>
          <w:tcPr>
            <w:tcW w:w="976" w:type="pct"/>
            <w:vMerge/>
          </w:tcPr>
          <w:p w14:paraId="41762C1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D857EE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Dimethyl trisulfide</w:t>
            </w:r>
          </w:p>
        </w:tc>
        <w:tc>
          <w:tcPr>
            <w:tcW w:w="543" w:type="pct"/>
            <w:noWrap/>
            <w:vAlign w:val="center"/>
            <w:hideMark/>
          </w:tcPr>
          <w:p w14:paraId="3563933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8131FC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0B833F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6.476667</w:t>
            </w:r>
          </w:p>
        </w:tc>
      </w:tr>
      <w:tr w:rsidR="0079130E" w:rsidRPr="0079130E" w14:paraId="3AE5E52C" w14:textId="77777777" w:rsidTr="00B132C4">
        <w:trPr>
          <w:trHeight w:val="290"/>
        </w:trPr>
        <w:tc>
          <w:tcPr>
            <w:tcW w:w="976" w:type="pct"/>
            <w:vMerge/>
            <w:tcBorders>
              <w:bottom w:val="single" w:sz="4" w:space="0" w:color="auto"/>
            </w:tcBorders>
          </w:tcPr>
          <w:p w14:paraId="02BB8499"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6EDA9641"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52C3300E"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25175DFB"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0C7D384F" w14:textId="77777777" w:rsidR="0079130E" w:rsidRPr="0079130E" w:rsidRDefault="0079130E" w:rsidP="0079130E">
            <w:pPr>
              <w:spacing w:after="160"/>
              <w:jc w:val="both"/>
              <w:rPr>
                <w:rFonts w:ascii="Arial" w:hAnsi="Arial" w:cs="Arial"/>
                <w:color w:val="000000"/>
                <w:kern w:val="2"/>
              </w:rPr>
            </w:pPr>
          </w:p>
        </w:tc>
      </w:tr>
      <w:tr w:rsidR="0079130E" w:rsidRPr="0079130E" w14:paraId="4CA9B4D1" w14:textId="77777777" w:rsidTr="00B132C4">
        <w:trPr>
          <w:trHeight w:val="290"/>
        </w:trPr>
        <w:tc>
          <w:tcPr>
            <w:tcW w:w="976" w:type="pct"/>
            <w:vMerge w:val="restart"/>
            <w:tcBorders>
              <w:top w:val="single" w:sz="4" w:space="0" w:color="auto"/>
            </w:tcBorders>
            <w:vAlign w:val="center"/>
          </w:tcPr>
          <w:p w14:paraId="2095A4D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OTHERS</w:t>
            </w:r>
          </w:p>
        </w:tc>
        <w:tc>
          <w:tcPr>
            <w:tcW w:w="2395" w:type="pct"/>
            <w:tcBorders>
              <w:top w:val="single" w:sz="4" w:space="0" w:color="auto"/>
              <w:bottom w:val="nil"/>
            </w:tcBorders>
            <w:noWrap/>
            <w:vAlign w:val="center"/>
            <w:hideMark/>
          </w:tcPr>
          <w:p w14:paraId="27E1E6D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Linalool</w:t>
            </w:r>
          </w:p>
        </w:tc>
        <w:tc>
          <w:tcPr>
            <w:tcW w:w="543" w:type="pct"/>
            <w:tcBorders>
              <w:top w:val="single" w:sz="4" w:space="0" w:color="auto"/>
              <w:bottom w:val="nil"/>
            </w:tcBorders>
            <w:noWrap/>
            <w:vAlign w:val="center"/>
            <w:hideMark/>
          </w:tcPr>
          <w:p w14:paraId="2061569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14.8</w:t>
            </w:r>
          </w:p>
        </w:tc>
        <w:tc>
          <w:tcPr>
            <w:tcW w:w="543" w:type="pct"/>
            <w:tcBorders>
              <w:top w:val="single" w:sz="4" w:space="0" w:color="auto"/>
              <w:bottom w:val="nil"/>
            </w:tcBorders>
            <w:noWrap/>
            <w:vAlign w:val="center"/>
            <w:hideMark/>
          </w:tcPr>
          <w:p w14:paraId="5143B73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15.06</w:t>
            </w:r>
          </w:p>
        </w:tc>
        <w:tc>
          <w:tcPr>
            <w:tcW w:w="543" w:type="pct"/>
            <w:tcBorders>
              <w:top w:val="single" w:sz="4" w:space="0" w:color="auto"/>
              <w:bottom w:val="nil"/>
            </w:tcBorders>
            <w:noWrap/>
            <w:vAlign w:val="center"/>
            <w:hideMark/>
          </w:tcPr>
          <w:p w14:paraId="2DD7D8E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A18286B" w14:textId="77777777" w:rsidTr="00B132C4">
        <w:trPr>
          <w:trHeight w:val="290"/>
        </w:trPr>
        <w:tc>
          <w:tcPr>
            <w:tcW w:w="976" w:type="pct"/>
            <w:vMerge/>
            <w:vAlign w:val="center"/>
          </w:tcPr>
          <w:p w14:paraId="258AA306"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529CE2A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Vanillin</w:t>
            </w:r>
          </w:p>
        </w:tc>
        <w:tc>
          <w:tcPr>
            <w:tcW w:w="543" w:type="pct"/>
            <w:tcBorders>
              <w:top w:val="nil"/>
            </w:tcBorders>
            <w:noWrap/>
            <w:vAlign w:val="center"/>
            <w:hideMark/>
          </w:tcPr>
          <w:p w14:paraId="67AF6FA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505BAE8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6843BF8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1.496667</w:t>
            </w:r>
          </w:p>
        </w:tc>
      </w:tr>
      <w:tr w:rsidR="0079130E" w:rsidRPr="0079130E" w14:paraId="54E7C95E" w14:textId="77777777" w:rsidTr="00B132C4">
        <w:trPr>
          <w:trHeight w:val="290"/>
        </w:trPr>
        <w:tc>
          <w:tcPr>
            <w:tcW w:w="976" w:type="pct"/>
            <w:vMerge/>
            <w:vAlign w:val="center"/>
          </w:tcPr>
          <w:p w14:paraId="5BD33A1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1680DB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 xml:space="preserve">Methyl </w:t>
            </w:r>
            <w:proofErr w:type="spellStart"/>
            <w:r w:rsidRPr="0079130E">
              <w:rPr>
                <w:rFonts w:ascii="Arial" w:hAnsi="Arial" w:cs="Arial"/>
                <w:color w:val="000000"/>
                <w:kern w:val="2"/>
              </w:rPr>
              <w:t>formate</w:t>
            </w:r>
            <w:proofErr w:type="spellEnd"/>
          </w:p>
        </w:tc>
        <w:tc>
          <w:tcPr>
            <w:tcW w:w="543" w:type="pct"/>
            <w:noWrap/>
            <w:vAlign w:val="center"/>
            <w:hideMark/>
          </w:tcPr>
          <w:p w14:paraId="1FE340B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C372D8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BDBA8C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0.833333</w:t>
            </w:r>
          </w:p>
        </w:tc>
      </w:tr>
      <w:tr w:rsidR="0079130E" w:rsidRPr="0079130E" w14:paraId="7E4C5AED" w14:textId="77777777" w:rsidTr="00B132C4">
        <w:trPr>
          <w:trHeight w:val="290"/>
        </w:trPr>
        <w:tc>
          <w:tcPr>
            <w:tcW w:w="976" w:type="pct"/>
            <w:vMerge/>
            <w:vAlign w:val="center"/>
          </w:tcPr>
          <w:p w14:paraId="5B24EF84"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305890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Acetoin</w:t>
            </w:r>
          </w:p>
        </w:tc>
        <w:tc>
          <w:tcPr>
            <w:tcW w:w="543" w:type="pct"/>
            <w:noWrap/>
            <w:vAlign w:val="center"/>
            <w:hideMark/>
          </w:tcPr>
          <w:p w14:paraId="76667E7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50FCDB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A54B26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0.996667</w:t>
            </w:r>
          </w:p>
        </w:tc>
      </w:tr>
      <w:tr w:rsidR="0079130E" w:rsidRPr="0079130E" w14:paraId="171D470D" w14:textId="77777777" w:rsidTr="00B132C4">
        <w:trPr>
          <w:trHeight w:val="290"/>
        </w:trPr>
        <w:tc>
          <w:tcPr>
            <w:tcW w:w="976" w:type="pct"/>
            <w:vMerge/>
            <w:vAlign w:val="center"/>
          </w:tcPr>
          <w:p w14:paraId="52492391" w14:textId="77777777" w:rsidR="0079130E" w:rsidRPr="0079130E" w:rsidRDefault="0079130E" w:rsidP="0079130E">
            <w:pPr>
              <w:spacing w:after="160"/>
              <w:jc w:val="both"/>
              <w:rPr>
                <w:rFonts w:ascii="Arial" w:hAnsi="Arial" w:cs="Arial"/>
                <w:color w:val="000000"/>
                <w:kern w:val="2"/>
              </w:rPr>
            </w:pPr>
          </w:p>
        </w:tc>
        <w:tc>
          <w:tcPr>
            <w:tcW w:w="2395" w:type="pct"/>
            <w:noWrap/>
            <w:vAlign w:val="center"/>
          </w:tcPr>
          <w:p w14:paraId="5AE65A0D" w14:textId="77777777" w:rsidR="0079130E" w:rsidRPr="0079130E" w:rsidRDefault="0079130E" w:rsidP="0079130E">
            <w:pPr>
              <w:spacing w:after="160"/>
              <w:jc w:val="both"/>
              <w:rPr>
                <w:rFonts w:ascii="Arial" w:hAnsi="Arial" w:cs="Arial"/>
                <w:color w:val="000000"/>
                <w:kern w:val="2"/>
              </w:rPr>
            </w:pPr>
          </w:p>
        </w:tc>
        <w:tc>
          <w:tcPr>
            <w:tcW w:w="543" w:type="pct"/>
            <w:noWrap/>
            <w:vAlign w:val="center"/>
          </w:tcPr>
          <w:p w14:paraId="52197F89" w14:textId="77777777" w:rsidR="0079130E" w:rsidRPr="0079130E" w:rsidRDefault="0079130E" w:rsidP="0079130E">
            <w:pPr>
              <w:spacing w:after="160"/>
              <w:jc w:val="both"/>
              <w:rPr>
                <w:rFonts w:ascii="Arial" w:hAnsi="Arial" w:cs="Arial"/>
                <w:color w:val="000000"/>
                <w:kern w:val="2"/>
              </w:rPr>
            </w:pPr>
          </w:p>
        </w:tc>
        <w:tc>
          <w:tcPr>
            <w:tcW w:w="543" w:type="pct"/>
            <w:noWrap/>
            <w:vAlign w:val="center"/>
          </w:tcPr>
          <w:p w14:paraId="373E8A4E" w14:textId="77777777" w:rsidR="0079130E" w:rsidRPr="0079130E" w:rsidRDefault="0079130E" w:rsidP="0079130E">
            <w:pPr>
              <w:spacing w:after="160"/>
              <w:jc w:val="both"/>
              <w:rPr>
                <w:rFonts w:ascii="Arial" w:hAnsi="Arial" w:cs="Arial"/>
                <w:color w:val="000000"/>
                <w:kern w:val="2"/>
              </w:rPr>
            </w:pPr>
          </w:p>
        </w:tc>
        <w:tc>
          <w:tcPr>
            <w:tcW w:w="543" w:type="pct"/>
            <w:noWrap/>
            <w:vAlign w:val="center"/>
          </w:tcPr>
          <w:p w14:paraId="754C9C83" w14:textId="77777777" w:rsidR="0079130E" w:rsidRPr="0079130E" w:rsidRDefault="0079130E" w:rsidP="0079130E">
            <w:pPr>
              <w:spacing w:after="160"/>
              <w:jc w:val="both"/>
              <w:rPr>
                <w:rFonts w:ascii="Arial" w:hAnsi="Arial" w:cs="Arial"/>
                <w:color w:val="000000"/>
                <w:kern w:val="2"/>
              </w:rPr>
            </w:pPr>
          </w:p>
        </w:tc>
      </w:tr>
    </w:tbl>
    <w:p w14:paraId="593B8222" w14:textId="77777777" w:rsidR="0079130E" w:rsidRPr="0079130E" w:rsidRDefault="0079130E" w:rsidP="0079130E">
      <w:pPr>
        <w:spacing w:after="160"/>
        <w:jc w:val="both"/>
        <w:rPr>
          <w:rFonts w:ascii="Arial" w:eastAsia="Calibri" w:hAnsi="Arial" w:cs="Arial"/>
          <w:kern w:val="2"/>
        </w:rPr>
      </w:pPr>
    </w:p>
    <w:p w14:paraId="5AFC25F8" w14:textId="77777777" w:rsidR="0079130E" w:rsidRPr="0079130E" w:rsidRDefault="0079130E" w:rsidP="0079130E">
      <w:pPr>
        <w:spacing w:after="160"/>
        <w:jc w:val="both"/>
        <w:rPr>
          <w:rFonts w:ascii="Arial" w:eastAsia="Calibri" w:hAnsi="Arial" w:cs="Arial"/>
          <w:b/>
          <w:bCs/>
          <w:kern w:val="2"/>
        </w:rPr>
      </w:pPr>
      <w:r w:rsidRPr="0079130E">
        <w:rPr>
          <w:rFonts w:ascii="Arial" w:eastAsia="Calibri" w:hAnsi="Arial" w:cs="Arial"/>
          <w:b/>
          <w:bCs/>
          <w:kern w:val="2"/>
        </w:rPr>
        <w:t>4.0 Conclusion</w:t>
      </w:r>
    </w:p>
    <w:p w14:paraId="16499036"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This study provides a comprehensive understanding of how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color corresponds to microbial structure, metabolic potential, and volatile compound formation in high-temperature Baijiu fermentation. By integrating microbial enumeration, sequencing, and aroma profiling, the work demonstrates that white, yellow, and black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represent distinct fermentation ecologies shaped by thermal gradients, oxygen exposure, and substrate transformation. White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exhibited the highest microbial abundance and was strongly associated with alcohol and pyrazine production, reflecting robust saccharification and Maillard-related pathways. Yellow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showed the greatest microbial diversity, a feature that supports its broad metabolic capacity and elevated production of organic acids, which are essential precursors for ester synthesis. Black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influenced by intense heat, displayed selective enrichment of thermotolerant taxa such as </w:t>
      </w:r>
      <w:proofErr w:type="spellStart"/>
      <w:r w:rsidRPr="0079130E">
        <w:rPr>
          <w:rFonts w:ascii="Arial" w:eastAsia="Calibri" w:hAnsi="Arial" w:cs="Arial"/>
          <w:kern w:val="2"/>
        </w:rPr>
        <w:t>Saccharopolyspora</w:t>
      </w:r>
      <w:proofErr w:type="spellEnd"/>
      <w:r w:rsidRPr="0079130E">
        <w:rPr>
          <w:rFonts w:ascii="Arial" w:eastAsia="Calibri" w:hAnsi="Arial" w:cs="Arial"/>
          <w:kern w:val="2"/>
        </w:rPr>
        <w:t xml:space="preserve"> and </w:t>
      </w:r>
      <w:proofErr w:type="spellStart"/>
      <w:r w:rsidRPr="0079130E">
        <w:rPr>
          <w:rFonts w:ascii="Arial" w:eastAsia="Calibri" w:hAnsi="Arial" w:cs="Arial"/>
          <w:kern w:val="2"/>
        </w:rPr>
        <w:t>Thermomyces</w:t>
      </w:r>
      <w:proofErr w:type="spellEnd"/>
      <w:r w:rsidRPr="0079130E">
        <w:rPr>
          <w:rFonts w:ascii="Arial" w:eastAsia="Calibri" w:hAnsi="Arial" w:cs="Arial"/>
          <w:kern w:val="2"/>
        </w:rPr>
        <w:t>, contributing to enhanced esterification and aldehyde formation.</w:t>
      </w:r>
    </w:p>
    <w:p w14:paraId="1F2E176C" w14:textId="78669D8D" w:rsid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The observed correlations between specific taxa and volatile compounds further emphasize the pivotal role of microbe–metabolite networks in shaping Baijiu aroma complexity. Understanding these relationships allows producers to better regulate </w:t>
      </w:r>
      <w:proofErr w:type="spellStart"/>
      <w:r w:rsidRPr="0079130E">
        <w:rPr>
          <w:rFonts w:ascii="Arial" w:eastAsia="Calibri" w:hAnsi="Arial" w:cs="Arial"/>
          <w:kern w:val="2"/>
        </w:rPr>
        <w:t>Daqu</w:t>
      </w:r>
      <w:proofErr w:type="spellEnd"/>
      <w:r w:rsidRPr="0079130E">
        <w:rPr>
          <w:rFonts w:ascii="Arial" w:eastAsia="Calibri" w:hAnsi="Arial" w:cs="Arial"/>
          <w:kern w:val="2"/>
        </w:rPr>
        <w:t xml:space="preserve"> fermentation conditions, enabling targeted manipulation of flavor profiles. Overall, this study advances the scientific basis for quality evaluation, standardization, and precision control in Baijiu manufacturing, supporting more consistent and desirable sensory outcomes.</w:t>
      </w:r>
    </w:p>
    <w:p w14:paraId="13B71214" w14:textId="713D4A60" w:rsidR="00546153" w:rsidRDefault="00546153" w:rsidP="0079130E">
      <w:pPr>
        <w:spacing w:after="160"/>
        <w:jc w:val="both"/>
        <w:rPr>
          <w:rFonts w:ascii="Arial" w:eastAsia="Calibri" w:hAnsi="Arial" w:cs="Arial"/>
          <w:kern w:val="2"/>
        </w:rPr>
      </w:pPr>
    </w:p>
    <w:p w14:paraId="6292CC27" w14:textId="77777777" w:rsidR="00546153" w:rsidRPr="009C5487" w:rsidRDefault="00546153" w:rsidP="00546153">
      <w:pPr>
        <w:rPr>
          <w:rFonts w:ascii="Calibri" w:eastAsia="Calibri" w:hAnsi="Calibri"/>
          <w:kern w:val="2"/>
          <w:highlight w:val="yellow"/>
        </w:rPr>
      </w:pPr>
      <w:bookmarkStart w:id="14" w:name="_Hlk197682619"/>
      <w:bookmarkStart w:id="15" w:name="_Hlk180402183"/>
      <w:bookmarkStart w:id="16" w:name="_Hlk183680988"/>
      <w:bookmarkStart w:id="17" w:name="_Hlk197351200"/>
      <w:r w:rsidRPr="009C5487">
        <w:rPr>
          <w:rFonts w:ascii="Calibri" w:eastAsia="Calibri" w:hAnsi="Calibri"/>
          <w:kern w:val="2"/>
          <w:highlight w:val="yellow"/>
        </w:rPr>
        <w:t>Disclaimer (Artificial intelligence)</w:t>
      </w:r>
    </w:p>
    <w:p w14:paraId="34AEE037" w14:textId="77777777" w:rsidR="00546153" w:rsidRPr="009C5487" w:rsidRDefault="00546153" w:rsidP="00546153">
      <w:pPr>
        <w:rPr>
          <w:rFonts w:ascii="Calibri" w:eastAsia="Calibri" w:hAnsi="Calibri"/>
          <w:kern w:val="2"/>
          <w:highlight w:val="yellow"/>
        </w:rPr>
      </w:pPr>
      <w:r w:rsidRPr="009C5487">
        <w:rPr>
          <w:rFonts w:ascii="Calibri" w:eastAsia="Calibri" w:hAnsi="Calibri"/>
          <w:kern w:val="2"/>
          <w:highlight w:val="yellow"/>
        </w:rPr>
        <w:t xml:space="preserve">Option 1: </w:t>
      </w:r>
    </w:p>
    <w:p w14:paraId="33DC74F9" w14:textId="77777777" w:rsidR="00546153" w:rsidRPr="009C5487" w:rsidRDefault="00546153" w:rsidP="00546153">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2B8049E0" w14:textId="77777777" w:rsidR="00546153" w:rsidRPr="009C5487" w:rsidRDefault="00546153" w:rsidP="00546153">
      <w:pPr>
        <w:rPr>
          <w:rFonts w:ascii="Calibri" w:eastAsia="Calibri" w:hAnsi="Calibri"/>
          <w:kern w:val="2"/>
          <w:highlight w:val="yellow"/>
        </w:rPr>
      </w:pPr>
      <w:r w:rsidRPr="009C5487">
        <w:rPr>
          <w:rFonts w:ascii="Calibri" w:eastAsia="Calibri" w:hAnsi="Calibri"/>
          <w:kern w:val="2"/>
          <w:highlight w:val="yellow"/>
        </w:rPr>
        <w:t xml:space="preserve">Option 2: </w:t>
      </w:r>
    </w:p>
    <w:p w14:paraId="739EF2E9" w14:textId="77777777" w:rsidR="00546153" w:rsidRPr="009C5487" w:rsidRDefault="00546153" w:rsidP="00546153">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D9BAFF" w14:textId="77777777" w:rsidR="00546153" w:rsidRPr="009C5487" w:rsidRDefault="00546153" w:rsidP="00546153">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2E7A745" w14:textId="77777777" w:rsidR="00546153" w:rsidRPr="009C5487" w:rsidRDefault="00546153" w:rsidP="00546153">
      <w:pPr>
        <w:rPr>
          <w:rFonts w:ascii="Calibri" w:eastAsia="Calibri" w:hAnsi="Calibri"/>
          <w:kern w:val="2"/>
          <w:highlight w:val="yellow"/>
        </w:rPr>
      </w:pPr>
      <w:r w:rsidRPr="009C5487">
        <w:rPr>
          <w:rFonts w:ascii="Calibri" w:eastAsia="Calibri" w:hAnsi="Calibri"/>
          <w:kern w:val="2"/>
          <w:highlight w:val="yellow"/>
        </w:rPr>
        <w:t>1.</w:t>
      </w:r>
    </w:p>
    <w:p w14:paraId="4C08EBB7" w14:textId="77777777" w:rsidR="00546153" w:rsidRPr="009C5487" w:rsidRDefault="00546153" w:rsidP="00546153">
      <w:pPr>
        <w:rPr>
          <w:rFonts w:ascii="Calibri" w:eastAsia="Calibri" w:hAnsi="Calibri"/>
          <w:kern w:val="2"/>
          <w:highlight w:val="yellow"/>
        </w:rPr>
      </w:pPr>
      <w:r w:rsidRPr="009C5487">
        <w:rPr>
          <w:rFonts w:ascii="Calibri" w:eastAsia="Calibri" w:hAnsi="Calibri"/>
          <w:kern w:val="2"/>
          <w:highlight w:val="yellow"/>
        </w:rPr>
        <w:t>2.</w:t>
      </w:r>
    </w:p>
    <w:p w14:paraId="0D47A9AB" w14:textId="77777777" w:rsidR="00546153" w:rsidRPr="00F870EF" w:rsidRDefault="00546153" w:rsidP="00546153">
      <w:pPr>
        <w:rPr>
          <w:rFonts w:ascii="Calibri" w:eastAsia="Calibri" w:hAnsi="Calibri"/>
          <w:kern w:val="2"/>
        </w:rPr>
      </w:pPr>
      <w:bookmarkStart w:id="18" w:name="_Hlk197682629"/>
      <w:bookmarkEnd w:id="14"/>
      <w:r w:rsidRPr="009C5487">
        <w:rPr>
          <w:rFonts w:ascii="Calibri" w:eastAsia="Calibri" w:hAnsi="Calibri"/>
          <w:kern w:val="2"/>
          <w:highlight w:val="yellow"/>
        </w:rPr>
        <w:t>3.</w:t>
      </w:r>
      <w:bookmarkStart w:id="19" w:name="_Hlk187485061"/>
      <w:bookmarkEnd w:id="15"/>
      <w:bookmarkEnd w:id="16"/>
      <w:bookmarkEnd w:id="18"/>
    </w:p>
    <w:bookmarkEnd w:id="17"/>
    <w:bookmarkEnd w:id="19"/>
    <w:p w14:paraId="575B3F28" w14:textId="77777777" w:rsidR="00546153" w:rsidRPr="0079130E" w:rsidRDefault="00546153" w:rsidP="0079130E">
      <w:pPr>
        <w:spacing w:after="160"/>
        <w:jc w:val="both"/>
        <w:rPr>
          <w:rFonts w:ascii="Arial" w:eastAsia="Calibri" w:hAnsi="Arial" w:cs="Arial"/>
          <w:kern w:val="2"/>
        </w:rPr>
      </w:pPr>
    </w:p>
    <w:p w14:paraId="4F8EE0AD" w14:textId="77777777" w:rsidR="00AC7458" w:rsidRPr="00FB3A86" w:rsidRDefault="00AC7458" w:rsidP="00AC7458">
      <w:pPr>
        <w:pStyle w:val="Body"/>
        <w:spacing w:after="0"/>
        <w:rPr>
          <w:rFonts w:ascii="Arial" w:hAnsi="Arial" w:cs="Arial"/>
        </w:rPr>
      </w:pPr>
    </w:p>
    <w:p w14:paraId="19EDBA88" w14:textId="77777777" w:rsidR="00315186" w:rsidRPr="00315186" w:rsidRDefault="00315186" w:rsidP="00441B6F"/>
    <w:p w14:paraId="5019C620" w14:textId="77777777" w:rsidR="00315186" w:rsidRPr="00315186" w:rsidRDefault="00315186" w:rsidP="00441B6F"/>
    <w:p w14:paraId="07D2A7D9" w14:textId="77777777" w:rsidR="00315186" w:rsidRPr="00315186" w:rsidRDefault="00315186" w:rsidP="00441B6F"/>
    <w:p w14:paraId="54CB7D79"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1D995BBB" w14:textId="77777777" w:rsidR="00790ADA" w:rsidRPr="00FB3A86" w:rsidRDefault="00790ADA" w:rsidP="00441B6F">
      <w:pPr>
        <w:pStyle w:val="ReferHead"/>
        <w:spacing w:after="0"/>
        <w:jc w:val="both"/>
        <w:rPr>
          <w:rFonts w:ascii="Arial" w:hAnsi="Arial" w:cs="Arial"/>
        </w:rPr>
      </w:pPr>
    </w:p>
    <w:p w14:paraId="7DE48880" w14:textId="77777777" w:rsidR="0079130E" w:rsidRPr="0079130E" w:rsidRDefault="0079130E" w:rsidP="0079130E">
      <w:pPr>
        <w:pStyle w:val="Appendix"/>
        <w:jc w:val="both"/>
        <w:rPr>
          <w:b w:val="0"/>
          <w:caps w:val="0"/>
          <w:sz w:val="20"/>
        </w:rPr>
      </w:pPr>
      <w:proofErr w:type="spellStart"/>
      <w:r w:rsidRPr="0079130E">
        <w:rPr>
          <w:b w:val="0"/>
          <w:caps w:val="0"/>
          <w:sz w:val="20"/>
        </w:rPr>
        <w:t>Ayitey</w:t>
      </w:r>
      <w:proofErr w:type="spellEnd"/>
      <w:r w:rsidRPr="0079130E">
        <w:rPr>
          <w:b w:val="0"/>
          <w:caps w:val="0"/>
          <w:sz w:val="20"/>
        </w:rPr>
        <w:t xml:space="preserve">, S., </w:t>
      </w:r>
      <w:proofErr w:type="spellStart"/>
      <w:r w:rsidRPr="0079130E">
        <w:rPr>
          <w:b w:val="0"/>
          <w:caps w:val="0"/>
          <w:sz w:val="20"/>
        </w:rPr>
        <w:t>Nijamdeen</w:t>
      </w:r>
      <w:proofErr w:type="spellEnd"/>
      <w:r w:rsidRPr="0079130E">
        <w:rPr>
          <w:b w:val="0"/>
          <w:caps w:val="0"/>
          <w:sz w:val="20"/>
        </w:rPr>
        <w:t xml:space="preserve">, T. W. G. F. M., Peiris, H., </w:t>
      </w:r>
      <w:proofErr w:type="spellStart"/>
      <w:r w:rsidRPr="0079130E">
        <w:rPr>
          <w:b w:val="0"/>
          <w:caps w:val="0"/>
          <w:sz w:val="20"/>
        </w:rPr>
        <w:t>Arachchilage</w:t>
      </w:r>
      <w:proofErr w:type="spellEnd"/>
      <w:r w:rsidRPr="0079130E">
        <w:rPr>
          <w:b w:val="0"/>
          <w:caps w:val="0"/>
          <w:sz w:val="20"/>
        </w:rPr>
        <w:t xml:space="preserve">, S. K., George, I. F., </w:t>
      </w:r>
      <w:proofErr w:type="spellStart"/>
      <w:r w:rsidRPr="0079130E">
        <w:rPr>
          <w:b w:val="0"/>
          <w:caps w:val="0"/>
          <w:sz w:val="20"/>
        </w:rPr>
        <w:t>Dahdouh-Guebas</w:t>
      </w:r>
      <w:proofErr w:type="spellEnd"/>
      <w:r w:rsidRPr="0079130E">
        <w:rPr>
          <w:b w:val="0"/>
          <w:caps w:val="0"/>
          <w:sz w:val="20"/>
        </w:rPr>
        <w:t xml:space="preserve">, F., &amp; </w:t>
      </w:r>
      <w:proofErr w:type="spellStart"/>
      <w:r w:rsidRPr="0079130E">
        <w:rPr>
          <w:b w:val="0"/>
          <w:caps w:val="0"/>
          <w:sz w:val="20"/>
        </w:rPr>
        <w:t>Deepananda</w:t>
      </w:r>
      <w:proofErr w:type="spellEnd"/>
      <w:r w:rsidRPr="0079130E">
        <w:rPr>
          <w:b w:val="0"/>
          <w:caps w:val="0"/>
          <w:sz w:val="20"/>
        </w:rPr>
        <w:t xml:space="preserve">, K. A. (2025). Environmental factors affecting the presence of coliform bacteria in water and oysters (Crassostrea </w:t>
      </w:r>
      <w:proofErr w:type="spellStart"/>
      <w:r w:rsidRPr="0079130E">
        <w:rPr>
          <w:b w:val="0"/>
          <w:caps w:val="0"/>
          <w:sz w:val="20"/>
        </w:rPr>
        <w:t>cucullata</w:t>
      </w:r>
      <w:proofErr w:type="spellEnd"/>
      <w:r w:rsidRPr="0079130E">
        <w:rPr>
          <w:b w:val="0"/>
          <w:caps w:val="0"/>
          <w:sz w:val="20"/>
        </w:rPr>
        <w:t xml:space="preserve"> Born, 1778) in Negombo lagoon, Sri Lanka. Marine Environmental Research, 107561.</w:t>
      </w:r>
    </w:p>
    <w:p w14:paraId="43559158" w14:textId="77777777" w:rsidR="0079130E" w:rsidRPr="0079130E" w:rsidRDefault="0079130E" w:rsidP="0079130E">
      <w:pPr>
        <w:pStyle w:val="Appendix"/>
        <w:jc w:val="both"/>
        <w:rPr>
          <w:b w:val="0"/>
          <w:caps w:val="0"/>
          <w:sz w:val="20"/>
        </w:rPr>
      </w:pPr>
      <w:r w:rsidRPr="0079130E">
        <w:rPr>
          <w:b w:val="0"/>
          <w:caps w:val="0"/>
          <w:sz w:val="20"/>
        </w:rPr>
        <w:t xml:space="preserve">Bai, Y., Miao, Z., Yan, R., Wang, X., Cheng, Z., Yang, J., ... &amp; Sun, B. (2024). </w:t>
      </w:r>
      <w:proofErr w:type="spellStart"/>
      <w:r w:rsidRPr="0079130E">
        <w:rPr>
          <w:b w:val="0"/>
          <w:caps w:val="0"/>
          <w:sz w:val="20"/>
        </w:rPr>
        <w:t>Daqu</w:t>
      </w:r>
      <w:proofErr w:type="spellEnd"/>
      <w:r w:rsidRPr="0079130E">
        <w:rPr>
          <w:b w:val="0"/>
          <w:caps w:val="0"/>
          <w:sz w:val="20"/>
        </w:rPr>
        <w:t xml:space="preserve"> regulates the balance of saccharification and alcoholic fermentation to promote Chinese baijiu fermentation. Food Bioscience, 61, 104723.</w:t>
      </w:r>
    </w:p>
    <w:p w14:paraId="44B5C259" w14:textId="77777777" w:rsidR="0079130E" w:rsidRPr="0079130E" w:rsidRDefault="0079130E" w:rsidP="0079130E">
      <w:pPr>
        <w:pStyle w:val="Appendix"/>
        <w:jc w:val="both"/>
        <w:rPr>
          <w:b w:val="0"/>
          <w:caps w:val="0"/>
          <w:sz w:val="20"/>
        </w:rPr>
      </w:pPr>
      <w:proofErr w:type="spellStart"/>
      <w:r w:rsidRPr="0079130E">
        <w:rPr>
          <w:b w:val="0"/>
          <w:caps w:val="0"/>
          <w:sz w:val="20"/>
        </w:rPr>
        <w:t>Bretträger</w:t>
      </w:r>
      <w:proofErr w:type="spellEnd"/>
      <w:r w:rsidRPr="0079130E">
        <w:rPr>
          <w:b w:val="0"/>
          <w:caps w:val="0"/>
          <w:sz w:val="20"/>
        </w:rPr>
        <w:t xml:space="preserve">, M., Sacher, B., </w:t>
      </w:r>
      <w:proofErr w:type="spellStart"/>
      <w:r w:rsidRPr="0079130E">
        <w:rPr>
          <w:b w:val="0"/>
          <w:caps w:val="0"/>
          <w:sz w:val="20"/>
        </w:rPr>
        <w:t>Gastl</w:t>
      </w:r>
      <w:proofErr w:type="spellEnd"/>
      <w:r w:rsidRPr="0079130E">
        <w:rPr>
          <w:b w:val="0"/>
          <w:caps w:val="0"/>
          <w:sz w:val="20"/>
        </w:rPr>
        <w:t xml:space="preserve">, M., &amp; Becker, T. (2024). The black gap: understanding the potential roles of black fungal-derived enzymes in malting and brewing quality: a review. Journal of the </w:t>
      </w:r>
      <w:proofErr w:type="spellStart"/>
      <w:r w:rsidRPr="0079130E">
        <w:rPr>
          <w:b w:val="0"/>
          <w:caps w:val="0"/>
          <w:sz w:val="20"/>
        </w:rPr>
        <w:t>american</w:t>
      </w:r>
      <w:proofErr w:type="spellEnd"/>
      <w:r w:rsidRPr="0079130E">
        <w:rPr>
          <w:b w:val="0"/>
          <w:caps w:val="0"/>
          <w:sz w:val="20"/>
        </w:rPr>
        <w:t xml:space="preserve"> Society of Brewing </w:t>
      </w:r>
      <w:proofErr w:type="spellStart"/>
      <w:r w:rsidRPr="0079130E">
        <w:rPr>
          <w:b w:val="0"/>
          <w:caps w:val="0"/>
          <w:sz w:val="20"/>
        </w:rPr>
        <w:t>chemiStS</w:t>
      </w:r>
      <w:proofErr w:type="spellEnd"/>
      <w:r w:rsidRPr="0079130E">
        <w:rPr>
          <w:b w:val="0"/>
          <w:caps w:val="0"/>
          <w:sz w:val="20"/>
        </w:rPr>
        <w:t>, 82(2), 93-108.</w:t>
      </w:r>
    </w:p>
    <w:p w14:paraId="0BEDA0F5" w14:textId="77777777" w:rsidR="0079130E" w:rsidRPr="0079130E" w:rsidRDefault="0079130E" w:rsidP="0079130E">
      <w:pPr>
        <w:pStyle w:val="Appendix"/>
        <w:jc w:val="both"/>
        <w:rPr>
          <w:b w:val="0"/>
          <w:caps w:val="0"/>
          <w:sz w:val="20"/>
        </w:rPr>
      </w:pPr>
      <w:r w:rsidRPr="0079130E">
        <w:rPr>
          <w:b w:val="0"/>
          <w:caps w:val="0"/>
          <w:sz w:val="20"/>
        </w:rPr>
        <w:t>Cairns, T. C., Zheng, X., Zheng, P., Sun, J., &amp; Meyer, V. (2021). Turning Inside Out: Filamentous Fungal Secretion and Its Applications in Biotechnology, Agriculture, and the Clinic. Journal of fungi (Basel, Switzerland), 7(7), 535. https://doi.org/10.3390/jof7070535</w:t>
      </w:r>
    </w:p>
    <w:p w14:paraId="36449B90" w14:textId="77777777" w:rsidR="0079130E" w:rsidRPr="0079130E" w:rsidRDefault="0079130E" w:rsidP="0079130E">
      <w:pPr>
        <w:pStyle w:val="Appendix"/>
        <w:jc w:val="both"/>
        <w:rPr>
          <w:b w:val="0"/>
          <w:caps w:val="0"/>
          <w:sz w:val="20"/>
        </w:rPr>
      </w:pPr>
      <w:r w:rsidRPr="0079130E">
        <w:rPr>
          <w:b w:val="0"/>
          <w:caps w:val="0"/>
          <w:sz w:val="20"/>
        </w:rPr>
        <w:t xml:space="preserve">Chen, X., Yin, J., Zhang, Y., Chen, J., </w:t>
      </w:r>
      <w:proofErr w:type="spellStart"/>
      <w:r w:rsidRPr="0079130E">
        <w:rPr>
          <w:b w:val="0"/>
          <w:caps w:val="0"/>
          <w:sz w:val="20"/>
        </w:rPr>
        <w:t>Bie</w:t>
      </w:r>
      <w:proofErr w:type="spellEnd"/>
      <w:r w:rsidRPr="0079130E">
        <w:rPr>
          <w:b w:val="0"/>
          <w:caps w:val="0"/>
          <w:sz w:val="20"/>
        </w:rPr>
        <w:t>, S., Song, X., ... &amp; Yu, H. (2025). Analysis of Volatile Organic Compounds Differences of Black and White Pepper by HS</w:t>
      </w:r>
      <w:r w:rsidRPr="0079130E">
        <w:rPr>
          <w:rFonts w:ascii="Cambria Math" w:hAnsi="Cambria Math" w:cs="Cambria Math"/>
          <w:b w:val="0"/>
          <w:caps w:val="0"/>
          <w:sz w:val="20"/>
        </w:rPr>
        <w:t>‐</w:t>
      </w:r>
      <w:r w:rsidRPr="0079130E">
        <w:rPr>
          <w:b w:val="0"/>
          <w:caps w:val="0"/>
          <w:sz w:val="20"/>
        </w:rPr>
        <w:t>GC</w:t>
      </w:r>
      <w:r w:rsidRPr="0079130E">
        <w:rPr>
          <w:rFonts w:ascii="Cambria Math" w:hAnsi="Cambria Math" w:cs="Cambria Math"/>
          <w:b w:val="0"/>
          <w:caps w:val="0"/>
          <w:sz w:val="20"/>
        </w:rPr>
        <w:t>‐</w:t>
      </w:r>
      <w:r w:rsidRPr="0079130E">
        <w:rPr>
          <w:b w:val="0"/>
          <w:caps w:val="0"/>
          <w:sz w:val="20"/>
        </w:rPr>
        <w:t>IMS and HS</w:t>
      </w:r>
      <w:r w:rsidRPr="0079130E">
        <w:rPr>
          <w:rFonts w:ascii="Cambria Math" w:hAnsi="Cambria Math" w:cs="Cambria Math"/>
          <w:b w:val="0"/>
          <w:caps w:val="0"/>
          <w:sz w:val="20"/>
        </w:rPr>
        <w:t>‐</w:t>
      </w:r>
      <w:r w:rsidRPr="0079130E">
        <w:rPr>
          <w:b w:val="0"/>
          <w:caps w:val="0"/>
          <w:sz w:val="20"/>
        </w:rPr>
        <w:t>SPME</w:t>
      </w:r>
      <w:r w:rsidRPr="0079130E">
        <w:rPr>
          <w:rFonts w:ascii="Cambria Math" w:hAnsi="Cambria Math" w:cs="Cambria Math"/>
          <w:b w:val="0"/>
          <w:caps w:val="0"/>
          <w:sz w:val="20"/>
        </w:rPr>
        <w:t>‐</w:t>
      </w:r>
      <w:r w:rsidRPr="0079130E">
        <w:rPr>
          <w:b w:val="0"/>
          <w:caps w:val="0"/>
          <w:sz w:val="20"/>
        </w:rPr>
        <w:t>GC</w:t>
      </w:r>
      <w:r w:rsidRPr="0079130E">
        <w:rPr>
          <w:rFonts w:ascii="Cambria Math" w:hAnsi="Cambria Math" w:cs="Cambria Math"/>
          <w:b w:val="0"/>
          <w:caps w:val="0"/>
          <w:sz w:val="20"/>
        </w:rPr>
        <w:t>‐</w:t>
      </w:r>
      <w:r w:rsidRPr="0079130E">
        <w:rPr>
          <w:b w:val="0"/>
          <w:caps w:val="0"/>
          <w:sz w:val="20"/>
        </w:rPr>
        <w:t>MS. Rapid Communications in Mass Spectrometry, 39(13), e10036.</w:t>
      </w:r>
    </w:p>
    <w:p w14:paraId="0110C4E0" w14:textId="77777777" w:rsidR="0079130E" w:rsidRDefault="0079130E" w:rsidP="0079130E">
      <w:pPr>
        <w:pStyle w:val="Appendix"/>
        <w:jc w:val="both"/>
        <w:rPr>
          <w:b w:val="0"/>
          <w:caps w:val="0"/>
          <w:sz w:val="20"/>
        </w:rPr>
      </w:pPr>
      <w:r w:rsidRPr="0079130E">
        <w:rPr>
          <w:b w:val="0"/>
          <w:caps w:val="0"/>
          <w:sz w:val="20"/>
        </w:rPr>
        <w:t xml:space="preserve">Cui, M., Hou, Q., Wang, Y., Zhao, X., Xin, C., Xu, L., &amp; Guo, Z. (2025). High-temperature </w:t>
      </w:r>
      <w:proofErr w:type="spellStart"/>
      <w:r w:rsidRPr="0079130E">
        <w:rPr>
          <w:b w:val="0"/>
          <w:caps w:val="0"/>
          <w:sz w:val="20"/>
        </w:rPr>
        <w:t>Daqu</w:t>
      </w:r>
      <w:proofErr w:type="spellEnd"/>
      <w:r w:rsidRPr="0079130E">
        <w:rPr>
          <w:b w:val="0"/>
          <w:caps w:val="0"/>
          <w:sz w:val="20"/>
        </w:rPr>
        <w:t xml:space="preserve"> of different colors from the Zibo region of China: Analysis of microbial community structure, physicochemical characteristics, and enzymatic activities. World Journal of Microbiology and Biotechnology, 41(10), 382.</w:t>
      </w:r>
    </w:p>
    <w:p w14:paraId="5B0525F0" w14:textId="6A3D4171" w:rsidR="00A57EBE" w:rsidRPr="0079130E" w:rsidRDefault="00A57EBE" w:rsidP="0079130E">
      <w:pPr>
        <w:pStyle w:val="Appendix"/>
        <w:jc w:val="both"/>
        <w:rPr>
          <w:b w:val="0"/>
          <w:caps w:val="0"/>
          <w:sz w:val="20"/>
        </w:rPr>
      </w:pPr>
      <w:r w:rsidRPr="00A57EBE">
        <w:rPr>
          <w:b w:val="0"/>
          <w:caps w:val="0"/>
          <w:sz w:val="20"/>
        </w:rPr>
        <w:t xml:space="preserve">Deng L, Mao X, Liu D, Ning X-Q, Shen Y, Chen B, </w:t>
      </w:r>
      <w:proofErr w:type="spellStart"/>
      <w:r w:rsidRPr="00A57EBE">
        <w:rPr>
          <w:b w:val="0"/>
          <w:caps w:val="0"/>
          <w:sz w:val="20"/>
        </w:rPr>
        <w:t>Nie</w:t>
      </w:r>
      <w:proofErr w:type="spellEnd"/>
      <w:r w:rsidRPr="00A57EBE">
        <w:rPr>
          <w:b w:val="0"/>
          <w:caps w:val="0"/>
          <w:sz w:val="20"/>
        </w:rPr>
        <w:t xml:space="preserve"> H-F, Huang D and Luo H-B (2020) Comparative Analysis of Physicochemical Properties and Microbial Composition in High-Temperature </w:t>
      </w:r>
      <w:proofErr w:type="spellStart"/>
      <w:r w:rsidRPr="00A57EBE">
        <w:rPr>
          <w:b w:val="0"/>
          <w:i/>
          <w:iCs/>
          <w:caps w:val="0"/>
          <w:sz w:val="20"/>
        </w:rPr>
        <w:t>Daqu</w:t>
      </w:r>
      <w:proofErr w:type="spellEnd"/>
      <w:r w:rsidRPr="00A57EBE">
        <w:rPr>
          <w:b w:val="0"/>
          <w:caps w:val="0"/>
          <w:sz w:val="20"/>
        </w:rPr>
        <w:t> With Different Colors. </w:t>
      </w:r>
      <w:r w:rsidRPr="00A57EBE">
        <w:rPr>
          <w:b w:val="0"/>
          <w:i/>
          <w:iCs/>
          <w:caps w:val="0"/>
          <w:sz w:val="20"/>
        </w:rPr>
        <w:t>Front. Microbiol.</w:t>
      </w:r>
      <w:r w:rsidRPr="00A57EBE">
        <w:rPr>
          <w:b w:val="0"/>
          <w:caps w:val="0"/>
          <w:sz w:val="20"/>
        </w:rPr>
        <w:t xml:space="preserve"> 11:588117. </w:t>
      </w:r>
      <w:proofErr w:type="spellStart"/>
      <w:r w:rsidRPr="00A57EBE">
        <w:rPr>
          <w:b w:val="0"/>
          <w:caps w:val="0"/>
          <w:sz w:val="20"/>
        </w:rPr>
        <w:t>doi</w:t>
      </w:r>
      <w:proofErr w:type="spellEnd"/>
      <w:r w:rsidRPr="00A57EBE">
        <w:rPr>
          <w:b w:val="0"/>
          <w:caps w:val="0"/>
          <w:sz w:val="20"/>
        </w:rPr>
        <w:t>: 10.3389/fmicb.2020.588117</w:t>
      </w:r>
    </w:p>
    <w:p w14:paraId="7B5D6584" w14:textId="77777777" w:rsidR="0079130E" w:rsidRPr="0079130E" w:rsidRDefault="0079130E" w:rsidP="0079130E">
      <w:pPr>
        <w:pStyle w:val="Appendix"/>
        <w:jc w:val="both"/>
        <w:rPr>
          <w:b w:val="0"/>
          <w:caps w:val="0"/>
          <w:sz w:val="20"/>
        </w:rPr>
      </w:pPr>
      <w:proofErr w:type="spellStart"/>
      <w:r w:rsidRPr="0079130E">
        <w:rPr>
          <w:b w:val="0"/>
          <w:caps w:val="0"/>
          <w:sz w:val="20"/>
        </w:rPr>
        <w:t>Houngbédji</w:t>
      </w:r>
      <w:proofErr w:type="spellEnd"/>
      <w:r w:rsidRPr="0079130E">
        <w:rPr>
          <w:b w:val="0"/>
          <w:caps w:val="0"/>
          <w:sz w:val="20"/>
        </w:rPr>
        <w:t xml:space="preserve">, M., Johansen, P., </w:t>
      </w:r>
      <w:proofErr w:type="spellStart"/>
      <w:r w:rsidRPr="0079130E">
        <w:rPr>
          <w:b w:val="0"/>
          <w:caps w:val="0"/>
          <w:sz w:val="20"/>
        </w:rPr>
        <w:t>Padonou</w:t>
      </w:r>
      <w:proofErr w:type="spellEnd"/>
      <w:r w:rsidRPr="0079130E">
        <w:rPr>
          <w:b w:val="0"/>
          <w:caps w:val="0"/>
          <w:sz w:val="20"/>
        </w:rPr>
        <w:t xml:space="preserve">, S. W., </w:t>
      </w:r>
      <w:proofErr w:type="spellStart"/>
      <w:r w:rsidRPr="0079130E">
        <w:rPr>
          <w:b w:val="0"/>
          <w:caps w:val="0"/>
          <w:sz w:val="20"/>
        </w:rPr>
        <w:t>Akissoé</w:t>
      </w:r>
      <w:proofErr w:type="spellEnd"/>
      <w:r w:rsidRPr="0079130E">
        <w:rPr>
          <w:b w:val="0"/>
          <w:caps w:val="0"/>
          <w:sz w:val="20"/>
        </w:rPr>
        <w:t xml:space="preserve">, N., </w:t>
      </w:r>
      <w:proofErr w:type="spellStart"/>
      <w:r w:rsidRPr="0079130E">
        <w:rPr>
          <w:b w:val="0"/>
          <w:caps w:val="0"/>
          <w:sz w:val="20"/>
        </w:rPr>
        <w:t>Arneborg</w:t>
      </w:r>
      <w:proofErr w:type="spellEnd"/>
      <w:r w:rsidRPr="0079130E">
        <w:rPr>
          <w:b w:val="0"/>
          <w:caps w:val="0"/>
          <w:sz w:val="20"/>
        </w:rPr>
        <w:t xml:space="preserve">, N., Nielsen, D. S., </w:t>
      </w:r>
      <w:proofErr w:type="spellStart"/>
      <w:r w:rsidRPr="0079130E">
        <w:rPr>
          <w:b w:val="0"/>
          <w:caps w:val="0"/>
          <w:sz w:val="20"/>
        </w:rPr>
        <w:t>Hounhouigan</w:t>
      </w:r>
      <w:proofErr w:type="spellEnd"/>
      <w:r w:rsidRPr="0079130E">
        <w:rPr>
          <w:b w:val="0"/>
          <w:caps w:val="0"/>
          <w:sz w:val="20"/>
        </w:rPr>
        <w:t xml:space="preserve">, D. J., &amp; Jespersen, L. (2018). Occurrence of lactic acid bacteria and yeasts at species and strain level during spontaneous fermentation of </w:t>
      </w:r>
      <w:proofErr w:type="spellStart"/>
      <w:r w:rsidRPr="0079130E">
        <w:rPr>
          <w:b w:val="0"/>
          <w:caps w:val="0"/>
          <w:sz w:val="20"/>
        </w:rPr>
        <w:t>mawè</w:t>
      </w:r>
      <w:proofErr w:type="spellEnd"/>
      <w:r w:rsidRPr="0079130E">
        <w:rPr>
          <w:b w:val="0"/>
          <w:caps w:val="0"/>
          <w:sz w:val="20"/>
        </w:rPr>
        <w:t>, a cereal dough produced in West Africa. Food microbiology, 76, 267–278. https://doi.org/10.1016/j.fm.2018.06.005</w:t>
      </w:r>
    </w:p>
    <w:p w14:paraId="490C763C" w14:textId="77777777" w:rsidR="0079130E" w:rsidRPr="0079130E" w:rsidRDefault="0079130E" w:rsidP="0079130E">
      <w:pPr>
        <w:pStyle w:val="Appendix"/>
        <w:jc w:val="both"/>
        <w:rPr>
          <w:b w:val="0"/>
          <w:caps w:val="0"/>
          <w:sz w:val="20"/>
        </w:rPr>
      </w:pPr>
      <w:r w:rsidRPr="0079130E">
        <w:rPr>
          <w:b w:val="0"/>
          <w:caps w:val="0"/>
          <w:sz w:val="20"/>
        </w:rPr>
        <w:t xml:space="preserve">Ge, D., Cai, W., Guo, Z., Wang, B., Liu, M., Shan, C., &amp; Wang, Y. (2024). Comparative analysis of bacterial community structure and physicochemical quality in high-temperature </w:t>
      </w:r>
      <w:proofErr w:type="spellStart"/>
      <w:r w:rsidRPr="0079130E">
        <w:rPr>
          <w:b w:val="0"/>
          <w:caps w:val="0"/>
          <w:sz w:val="20"/>
        </w:rPr>
        <w:t>Daqu</w:t>
      </w:r>
      <w:proofErr w:type="spellEnd"/>
      <w:r w:rsidRPr="0079130E">
        <w:rPr>
          <w:b w:val="0"/>
          <w:caps w:val="0"/>
          <w:sz w:val="20"/>
        </w:rPr>
        <w:t xml:space="preserve"> of different colors in </w:t>
      </w:r>
      <w:proofErr w:type="spellStart"/>
      <w:r w:rsidRPr="0079130E">
        <w:rPr>
          <w:b w:val="0"/>
          <w:caps w:val="0"/>
          <w:sz w:val="20"/>
        </w:rPr>
        <w:t>Qingzhou</w:t>
      </w:r>
      <w:proofErr w:type="spellEnd"/>
      <w:r w:rsidRPr="0079130E">
        <w:rPr>
          <w:b w:val="0"/>
          <w:caps w:val="0"/>
          <w:sz w:val="20"/>
        </w:rPr>
        <w:t xml:space="preserve"> production area. </w:t>
      </w:r>
      <w:proofErr w:type="spellStart"/>
      <w:r w:rsidRPr="0079130E">
        <w:rPr>
          <w:b w:val="0"/>
          <w:caps w:val="0"/>
          <w:sz w:val="20"/>
        </w:rPr>
        <w:t>Heliyon</w:t>
      </w:r>
      <w:proofErr w:type="spellEnd"/>
      <w:r w:rsidRPr="0079130E">
        <w:rPr>
          <w:b w:val="0"/>
          <w:caps w:val="0"/>
          <w:sz w:val="20"/>
        </w:rPr>
        <w:t>, 10(11).</w:t>
      </w:r>
    </w:p>
    <w:p w14:paraId="7E20B5C8" w14:textId="77777777" w:rsidR="0079130E" w:rsidRPr="0079130E" w:rsidRDefault="0079130E" w:rsidP="0079130E">
      <w:pPr>
        <w:pStyle w:val="Appendix"/>
        <w:jc w:val="both"/>
        <w:rPr>
          <w:b w:val="0"/>
          <w:caps w:val="0"/>
          <w:sz w:val="20"/>
        </w:rPr>
      </w:pPr>
      <w:r w:rsidRPr="0079130E">
        <w:rPr>
          <w:b w:val="0"/>
          <w:caps w:val="0"/>
          <w:sz w:val="20"/>
        </w:rPr>
        <w:t xml:space="preserve">Guo, X., Li, Q., Zhang, B., </w:t>
      </w:r>
      <w:proofErr w:type="spellStart"/>
      <w:r w:rsidRPr="0079130E">
        <w:rPr>
          <w:b w:val="0"/>
          <w:caps w:val="0"/>
          <w:sz w:val="20"/>
        </w:rPr>
        <w:t>Qiao</w:t>
      </w:r>
      <w:proofErr w:type="spellEnd"/>
      <w:r w:rsidRPr="0079130E">
        <w:rPr>
          <w:b w:val="0"/>
          <w:caps w:val="0"/>
          <w:sz w:val="20"/>
        </w:rPr>
        <w:t xml:space="preserve">, J., Ren, H., Song, L., ... &amp; Ding, X. (2025). Differences between second-and third-generation sequencing in capturing microbial community dynamics during </w:t>
      </w:r>
      <w:proofErr w:type="spellStart"/>
      <w:r w:rsidRPr="0079130E">
        <w:rPr>
          <w:b w:val="0"/>
          <w:caps w:val="0"/>
          <w:sz w:val="20"/>
        </w:rPr>
        <w:t>Nongxiangxing</w:t>
      </w:r>
      <w:proofErr w:type="spellEnd"/>
      <w:r w:rsidRPr="0079130E">
        <w:rPr>
          <w:b w:val="0"/>
          <w:caps w:val="0"/>
          <w:sz w:val="20"/>
        </w:rPr>
        <w:t xml:space="preserve"> </w:t>
      </w:r>
      <w:proofErr w:type="spellStart"/>
      <w:r w:rsidRPr="0079130E">
        <w:rPr>
          <w:b w:val="0"/>
          <w:caps w:val="0"/>
          <w:sz w:val="20"/>
        </w:rPr>
        <w:t>Daqu</w:t>
      </w:r>
      <w:proofErr w:type="spellEnd"/>
      <w:r w:rsidRPr="0079130E">
        <w:rPr>
          <w:b w:val="0"/>
          <w:caps w:val="0"/>
          <w:sz w:val="20"/>
        </w:rPr>
        <w:t xml:space="preserve"> storage. International Journal of Food Microbiology, 111501.</w:t>
      </w:r>
    </w:p>
    <w:p w14:paraId="47EABFA1" w14:textId="77777777" w:rsidR="0079130E" w:rsidRPr="0079130E" w:rsidRDefault="0079130E" w:rsidP="0079130E">
      <w:pPr>
        <w:pStyle w:val="Appendix"/>
        <w:jc w:val="both"/>
        <w:rPr>
          <w:b w:val="0"/>
          <w:caps w:val="0"/>
          <w:sz w:val="20"/>
        </w:rPr>
      </w:pPr>
      <w:r w:rsidRPr="0079130E">
        <w:rPr>
          <w:b w:val="0"/>
          <w:caps w:val="0"/>
          <w:sz w:val="20"/>
        </w:rPr>
        <w:t xml:space="preserve">Hu, A., Zhu, Y., Gao, Z., Zheng, J., Zhou, D., Zhang, L., ... &amp; Xu, S. (2025). Study on the correlation between microbial community succession and main flavor substances in the mashes of </w:t>
      </w:r>
      <w:proofErr w:type="spellStart"/>
      <w:r w:rsidRPr="0079130E">
        <w:rPr>
          <w:b w:val="0"/>
          <w:caps w:val="0"/>
          <w:sz w:val="20"/>
        </w:rPr>
        <w:t>Tanggou</w:t>
      </w:r>
      <w:proofErr w:type="spellEnd"/>
      <w:r w:rsidRPr="0079130E">
        <w:rPr>
          <w:b w:val="0"/>
          <w:caps w:val="0"/>
          <w:sz w:val="20"/>
        </w:rPr>
        <w:t xml:space="preserve"> liquor. Food Chemistry: X, 102486.</w:t>
      </w:r>
    </w:p>
    <w:p w14:paraId="13C654A3" w14:textId="77777777" w:rsidR="0079130E" w:rsidRPr="0079130E" w:rsidRDefault="0079130E" w:rsidP="0079130E">
      <w:pPr>
        <w:pStyle w:val="Appendix"/>
        <w:jc w:val="both"/>
        <w:rPr>
          <w:b w:val="0"/>
          <w:caps w:val="0"/>
          <w:sz w:val="20"/>
        </w:rPr>
      </w:pPr>
      <w:r w:rsidRPr="0079130E">
        <w:rPr>
          <w:b w:val="0"/>
          <w:caps w:val="0"/>
          <w:sz w:val="20"/>
        </w:rPr>
        <w:t>Kim, Y., Cho, M., Jeon, C. J., Goh, G., &amp; Kim, M. (2025). Neuroinflammatory suppression with protocatechuic acid attenuates Alzheimer’s disease phenotypes in 5× FAD transgenic mice. Biomedicine &amp; Pharmacotherapy, 192, 118598.</w:t>
      </w:r>
    </w:p>
    <w:p w14:paraId="3AA9C031" w14:textId="77777777" w:rsidR="0079130E" w:rsidRPr="0079130E" w:rsidRDefault="0079130E" w:rsidP="0079130E">
      <w:pPr>
        <w:pStyle w:val="Appendix"/>
        <w:jc w:val="both"/>
        <w:rPr>
          <w:b w:val="0"/>
          <w:caps w:val="0"/>
          <w:sz w:val="20"/>
        </w:rPr>
      </w:pPr>
      <w:r w:rsidRPr="0079130E">
        <w:rPr>
          <w:b w:val="0"/>
          <w:caps w:val="0"/>
          <w:sz w:val="20"/>
        </w:rPr>
        <w:t xml:space="preserve">Liang, Y., Shi, W., Wu, L. H., Zhang, X. J., Chai, L. J., Liu, G. Q., Zheng, L., Wang, S. T., Zhang, S. Y., Chen, F. W., Shen, C. H., Xu, Z. H., &amp; Lu, Z. M. (2023). </w:t>
      </w:r>
      <w:proofErr w:type="spellStart"/>
      <w:r w:rsidRPr="0079130E">
        <w:rPr>
          <w:b w:val="0"/>
          <w:caps w:val="0"/>
          <w:sz w:val="20"/>
        </w:rPr>
        <w:t>Solibacillus</w:t>
      </w:r>
      <w:proofErr w:type="spellEnd"/>
      <w:r w:rsidRPr="0079130E">
        <w:rPr>
          <w:b w:val="0"/>
          <w:caps w:val="0"/>
          <w:sz w:val="20"/>
        </w:rPr>
        <w:t xml:space="preserve"> </w:t>
      </w:r>
      <w:proofErr w:type="spellStart"/>
      <w:r w:rsidRPr="0079130E">
        <w:rPr>
          <w:b w:val="0"/>
          <w:caps w:val="0"/>
          <w:sz w:val="20"/>
        </w:rPr>
        <w:t>daqui</w:t>
      </w:r>
      <w:proofErr w:type="spellEnd"/>
      <w:r w:rsidRPr="0079130E">
        <w:rPr>
          <w:b w:val="0"/>
          <w:caps w:val="0"/>
          <w:sz w:val="20"/>
        </w:rPr>
        <w:t xml:space="preserve"> sp. </w:t>
      </w:r>
      <w:proofErr w:type="spellStart"/>
      <w:r w:rsidRPr="0079130E">
        <w:rPr>
          <w:b w:val="0"/>
          <w:caps w:val="0"/>
          <w:sz w:val="20"/>
        </w:rPr>
        <w:t>nov.</w:t>
      </w:r>
      <w:proofErr w:type="spellEnd"/>
      <w:r w:rsidRPr="0079130E">
        <w:rPr>
          <w:b w:val="0"/>
          <w:caps w:val="0"/>
          <w:sz w:val="20"/>
        </w:rPr>
        <w:t xml:space="preserve">, isolated from high-temperature </w:t>
      </w:r>
      <w:proofErr w:type="spellStart"/>
      <w:r w:rsidRPr="0079130E">
        <w:rPr>
          <w:b w:val="0"/>
          <w:caps w:val="0"/>
          <w:sz w:val="20"/>
        </w:rPr>
        <w:t>Daqu</w:t>
      </w:r>
      <w:proofErr w:type="spellEnd"/>
      <w:r w:rsidRPr="0079130E">
        <w:rPr>
          <w:b w:val="0"/>
          <w:caps w:val="0"/>
          <w:sz w:val="20"/>
        </w:rPr>
        <w:t>. International journal of systematic and evolutionary microbiology, 73(11), 10.1099/ijsem.0.006109. https://doi.org/10.1099/ijsem.0.006109</w:t>
      </w:r>
    </w:p>
    <w:p w14:paraId="1D3EDC83" w14:textId="77777777" w:rsidR="0079130E" w:rsidRPr="0079130E" w:rsidRDefault="0079130E" w:rsidP="0079130E">
      <w:pPr>
        <w:pStyle w:val="Appendix"/>
        <w:jc w:val="both"/>
        <w:rPr>
          <w:b w:val="0"/>
          <w:caps w:val="0"/>
          <w:sz w:val="20"/>
        </w:rPr>
      </w:pPr>
      <w:r w:rsidRPr="0079130E">
        <w:rPr>
          <w:b w:val="0"/>
          <w:caps w:val="0"/>
          <w:sz w:val="20"/>
        </w:rPr>
        <w:t>Li, Z., Li, D., Pan, D., Xia, Q., Sun, Y., Du, L., ... &amp; Cao, J. (2024). Insights into the mechanism of extracellular proteases from Penicillium on myofibrillar protein hydrolysis and volatile compound evolutions. Food Research International, 175, 113774.</w:t>
      </w:r>
    </w:p>
    <w:p w14:paraId="0F9E56B9" w14:textId="77777777" w:rsidR="0079130E" w:rsidRPr="0079130E" w:rsidRDefault="0079130E" w:rsidP="0079130E">
      <w:pPr>
        <w:pStyle w:val="Appendix"/>
        <w:jc w:val="both"/>
        <w:rPr>
          <w:b w:val="0"/>
          <w:caps w:val="0"/>
          <w:sz w:val="20"/>
        </w:rPr>
      </w:pPr>
      <w:r w:rsidRPr="0079130E">
        <w:rPr>
          <w:b w:val="0"/>
          <w:caps w:val="0"/>
          <w:sz w:val="20"/>
        </w:rPr>
        <w:lastRenderedPageBreak/>
        <w:t xml:space="preserve">Li, Z., Chen, Y., Zheng, J., </w:t>
      </w:r>
      <w:proofErr w:type="spellStart"/>
      <w:r w:rsidRPr="0079130E">
        <w:rPr>
          <w:b w:val="0"/>
          <w:caps w:val="0"/>
          <w:sz w:val="20"/>
        </w:rPr>
        <w:t>Su</w:t>
      </w:r>
      <w:proofErr w:type="spellEnd"/>
      <w:r w:rsidRPr="0079130E">
        <w:rPr>
          <w:b w:val="0"/>
          <w:caps w:val="0"/>
          <w:sz w:val="20"/>
        </w:rPr>
        <w:t>, J., Lu, Y., Xia, Y., &amp; Luo, H. (2025). From fungi to lactic acid bacteria: Dominant microorganisms govern stage-specific esters biosynthesis in pit microecology of strong-flavor baijiu. Food Research International, 117797.</w:t>
      </w:r>
    </w:p>
    <w:p w14:paraId="4871B579" w14:textId="77777777" w:rsidR="0079130E" w:rsidRPr="0079130E" w:rsidRDefault="0079130E" w:rsidP="0079130E">
      <w:pPr>
        <w:pStyle w:val="Appendix"/>
        <w:jc w:val="both"/>
        <w:rPr>
          <w:b w:val="0"/>
          <w:caps w:val="0"/>
          <w:sz w:val="20"/>
        </w:rPr>
      </w:pPr>
      <w:r w:rsidRPr="0079130E">
        <w:rPr>
          <w:b w:val="0"/>
          <w:caps w:val="0"/>
          <w:sz w:val="20"/>
        </w:rPr>
        <w:t xml:space="preserve">Lei, Y., Deng, Y., Xia, R., </w:t>
      </w:r>
      <w:proofErr w:type="spellStart"/>
      <w:r w:rsidRPr="0079130E">
        <w:rPr>
          <w:b w:val="0"/>
          <w:caps w:val="0"/>
          <w:sz w:val="20"/>
        </w:rPr>
        <w:t>Xie</w:t>
      </w:r>
      <w:proofErr w:type="spellEnd"/>
      <w:r w:rsidRPr="0079130E">
        <w:rPr>
          <w:b w:val="0"/>
          <w:caps w:val="0"/>
          <w:sz w:val="20"/>
        </w:rPr>
        <w:t>, B., Yang, Z., Xi, S., ... &amp; Tao, R. (2025). Full-length 16S rRNA-based exploration of body site-specific bacterial signatures for origin determination and individual identification. Forensic Science International, 112475.</w:t>
      </w:r>
    </w:p>
    <w:p w14:paraId="4D4BBA9F" w14:textId="77777777" w:rsidR="0079130E" w:rsidRPr="0079130E" w:rsidRDefault="0079130E" w:rsidP="0079130E">
      <w:pPr>
        <w:pStyle w:val="Appendix"/>
        <w:jc w:val="both"/>
        <w:rPr>
          <w:b w:val="0"/>
          <w:caps w:val="0"/>
          <w:sz w:val="20"/>
        </w:rPr>
      </w:pPr>
      <w:r w:rsidRPr="0079130E">
        <w:rPr>
          <w:b w:val="0"/>
          <w:caps w:val="0"/>
          <w:sz w:val="20"/>
        </w:rPr>
        <w:t xml:space="preserve">Lei, Z., Zhang, Z., Huang, J., Tang, Q., &amp; Zhou, R. (2025). Dynamic patterns of high-temperature </w:t>
      </w:r>
      <w:proofErr w:type="spellStart"/>
      <w:r w:rsidRPr="0079130E">
        <w:rPr>
          <w:b w:val="0"/>
          <w:caps w:val="0"/>
          <w:sz w:val="20"/>
        </w:rPr>
        <w:t>Daqu</w:t>
      </w:r>
      <w:proofErr w:type="spellEnd"/>
      <w:r w:rsidRPr="0079130E">
        <w:rPr>
          <w:b w:val="0"/>
          <w:caps w:val="0"/>
          <w:sz w:val="20"/>
        </w:rPr>
        <w:t xml:space="preserve"> attributes in continuous production: Investigating the impact of </w:t>
      </w:r>
      <w:proofErr w:type="spellStart"/>
      <w:r w:rsidRPr="0079130E">
        <w:rPr>
          <w:b w:val="0"/>
          <w:caps w:val="0"/>
          <w:sz w:val="20"/>
        </w:rPr>
        <w:t>Muqu</w:t>
      </w:r>
      <w:proofErr w:type="spellEnd"/>
      <w:r w:rsidRPr="0079130E">
        <w:rPr>
          <w:b w:val="0"/>
          <w:caps w:val="0"/>
          <w:sz w:val="20"/>
        </w:rPr>
        <w:t xml:space="preserve"> attributes, production site, and process heterogeneity. Food Bioscience, 68, 106417.</w:t>
      </w:r>
    </w:p>
    <w:p w14:paraId="6D435387" w14:textId="77777777" w:rsidR="0079130E" w:rsidRPr="0079130E" w:rsidRDefault="0079130E" w:rsidP="0079130E">
      <w:pPr>
        <w:pStyle w:val="Appendix"/>
        <w:jc w:val="both"/>
        <w:rPr>
          <w:b w:val="0"/>
          <w:caps w:val="0"/>
          <w:sz w:val="20"/>
        </w:rPr>
      </w:pPr>
      <w:r w:rsidRPr="0079130E">
        <w:rPr>
          <w:b w:val="0"/>
          <w:caps w:val="0"/>
          <w:sz w:val="20"/>
        </w:rPr>
        <w:t xml:space="preserve">Lu, Y., Yan, Q., Zhang, K., Zhang, J., Zou, W., Yang, J., &amp; Li, H. (2024). Generation of a synthetic autochthonous microbiota responsible for the essential flavors and brewing properties of </w:t>
      </w:r>
      <w:proofErr w:type="spellStart"/>
      <w:r w:rsidRPr="0079130E">
        <w:rPr>
          <w:b w:val="0"/>
          <w:caps w:val="0"/>
          <w:sz w:val="20"/>
        </w:rPr>
        <w:t>Daqu</w:t>
      </w:r>
      <w:proofErr w:type="spellEnd"/>
      <w:r w:rsidRPr="0079130E">
        <w:rPr>
          <w:b w:val="0"/>
          <w:caps w:val="0"/>
          <w:sz w:val="20"/>
        </w:rPr>
        <w:t>. Food Research International, 197, 115180.</w:t>
      </w:r>
    </w:p>
    <w:p w14:paraId="4AE86637" w14:textId="77777777" w:rsidR="0079130E" w:rsidRPr="0079130E" w:rsidRDefault="0079130E" w:rsidP="0079130E">
      <w:pPr>
        <w:pStyle w:val="Appendix"/>
        <w:jc w:val="both"/>
        <w:rPr>
          <w:b w:val="0"/>
          <w:caps w:val="0"/>
          <w:sz w:val="20"/>
        </w:rPr>
      </w:pPr>
      <w:r w:rsidRPr="0079130E">
        <w:rPr>
          <w:b w:val="0"/>
          <w:caps w:val="0"/>
          <w:sz w:val="20"/>
        </w:rPr>
        <w:t>Mandal, B., &amp; Das, B. K. (2025). eDNA Approaches for Ecosystem Health Monitoring: Focus on Pathogens, Vectors, and Microbial Assessment. In Laboratory Techniques for Fish Disease Diagnosis (pp. 573-622). Singapore: Springer Nature Singapore.</w:t>
      </w:r>
    </w:p>
    <w:p w14:paraId="50A635B4" w14:textId="77777777" w:rsidR="0079130E" w:rsidRPr="0079130E" w:rsidRDefault="0079130E" w:rsidP="0079130E">
      <w:pPr>
        <w:pStyle w:val="Appendix"/>
        <w:jc w:val="both"/>
        <w:rPr>
          <w:b w:val="0"/>
          <w:caps w:val="0"/>
          <w:sz w:val="20"/>
        </w:rPr>
      </w:pPr>
      <w:r w:rsidRPr="0079130E">
        <w:rPr>
          <w:b w:val="0"/>
          <w:caps w:val="0"/>
          <w:sz w:val="20"/>
        </w:rPr>
        <w:t xml:space="preserve">Ma, Q., Liu, L., Jiao, Y., </w:t>
      </w:r>
      <w:proofErr w:type="spellStart"/>
      <w:r w:rsidRPr="0079130E">
        <w:rPr>
          <w:b w:val="0"/>
          <w:caps w:val="0"/>
          <w:sz w:val="20"/>
        </w:rPr>
        <w:t>Qiao</w:t>
      </w:r>
      <w:proofErr w:type="spellEnd"/>
      <w:r w:rsidRPr="0079130E">
        <w:rPr>
          <w:b w:val="0"/>
          <w:caps w:val="0"/>
          <w:sz w:val="20"/>
        </w:rPr>
        <w:t xml:space="preserve">, X., Han, R., Li, X., ... &amp; </w:t>
      </w:r>
      <w:proofErr w:type="spellStart"/>
      <w:r w:rsidRPr="0079130E">
        <w:rPr>
          <w:b w:val="0"/>
          <w:caps w:val="0"/>
          <w:sz w:val="20"/>
        </w:rPr>
        <w:t>Kouame</w:t>
      </w:r>
      <w:proofErr w:type="spellEnd"/>
      <w:r w:rsidRPr="0079130E">
        <w:rPr>
          <w:b w:val="0"/>
          <w:caps w:val="0"/>
          <w:sz w:val="20"/>
        </w:rPr>
        <w:t xml:space="preserve">, K. J. E. P. (2024). Insights into flavor quality and metabolites profiles of fresh cheese with different probiotics by SPME-GC-MS and untargeted metabolomics. Food Research International, 197, 115154. </w:t>
      </w:r>
    </w:p>
    <w:p w14:paraId="13671F8C" w14:textId="77777777" w:rsidR="0079130E" w:rsidRPr="0079130E" w:rsidRDefault="0079130E" w:rsidP="0079130E">
      <w:pPr>
        <w:pStyle w:val="Appendix"/>
        <w:jc w:val="both"/>
        <w:rPr>
          <w:b w:val="0"/>
          <w:caps w:val="0"/>
          <w:sz w:val="20"/>
        </w:rPr>
      </w:pPr>
      <w:proofErr w:type="spellStart"/>
      <w:r w:rsidRPr="0079130E">
        <w:rPr>
          <w:b w:val="0"/>
          <w:caps w:val="0"/>
          <w:sz w:val="20"/>
        </w:rPr>
        <w:t>Qiao</w:t>
      </w:r>
      <w:proofErr w:type="spellEnd"/>
      <w:r w:rsidRPr="0079130E">
        <w:rPr>
          <w:b w:val="0"/>
          <w:caps w:val="0"/>
          <w:sz w:val="20"/>
        </w:rPr>
        <w:t>, J., Zhang, X., Xiao, F., Li, Y., &amp; Gao, W. (2024). Experimental investigation of mold growth risk among typical residential indoor materials: Case study in coastal city, China. Energy and Buildings, 304, 113885.</w:t>
      </w:r>
    </w:p>
    <w:p w14:paraId="7631F993" w14:textId="77777777" w:rsidR="0079130E" w:rsidRPr="0079130E" w:rsidRDefault="0079130E" w:rsidP="0079130E">
      <w:pPr>
        <w:pStyle w:val="Appendix"/>
        <w:jc w:val="both"/>
        <w:rPr>
          <w:b w:val="0"/>
          <w:caps w:val="0"/>
          <w:sz w:val="20"/>
        </w:rPr>
      </w:pPr>
      <w:r w:rsidRPr="0079130E">
        <w:rPr>
          <w:b w:val="0"/>
          <w:caps w:val="0"/>
          <w:sz w:val="20"/>
        </w:rPr>
        <w:t xml:space="preserve">Que, P., Yao, S., Hu, J., Hu, F., Wang, D., &amp; Huang, W. (2025). Associations of microbial communities with metabolites and enzyme activities in different colors of high-temperature </w:t>
      </w:r>
      <w:proofErr w:type="spellStart"/>
      <w:r w:rsidRPr="0079130E">
        <w:rPr>
          <w:b w:val="0"/>
          <w:caps w:val="0"/>
          <w:sz w:val="20"/>
        </w:rPr>
        <w:t>Daqu</w:t>
      </w:r>
      <w:proofErr w:type="spellEnd"/>
      <w:r w:rsidRPr="0079130E">
        <w:rPr>
          <w:b w:val="0"/>
          <w:caps w:val="0"/>
          <w:sz w:val="20"/>
        </w:rPr>
        <w:t>. World Journal of Microbiology and Biotechnology, 41(9), 324.</w:t>
      </w:r>
    </w:p>
    <w:p w14:paraId="764073AF" w14:textId="77777777" w:rsidR="0079130E" w:rsidRPr="0079130E" w:rsidRDefault="0079130E" w:rsidP="0079130E">
      <w:pPr>
        <w:pStyle w:val="Appendix"/>
        <w:jc w:val="both"/>
        <w:rPr>
          <w:b w:val="0"/>
          <w:caps w:val="0"/>
          <w:sz w:val="20"/>
        </w:rPr>
      </w:pPr>
      <w:r w:rsidRPr="0079130E">
        <w:rPr>
          <w:b w:val="0"/>
          <w:caps w:val="0"/>
          <w:sz w:val="20"/>
        </w:rPr>
        <w:t xml:space="preserve">Qu, D., Wang, Y., Cao, L., Hou, Q., Liu, Z., Zhong, J. A., &amp; Guo, Z. (2025). Low-temperature </w:t>
      </w:r>
      <w:proofErr w:type="spellStart"/>
      <w:r w:rsidRPr="0079130E">
        <w:rPr>
          <w:b w:val="0"/>
          <w:caps w:val="0"/>
          <w:sz w:val="20"/>
        </w:rPr>
        <w:t>Daqu</w:t>
      </w:r>
      <w:proofErr w:type="spellEnd"/>
      <w:r w:rsidRPr="0079130E">
        <w:rPr>
          <w:b w:val="0"/>
          <w:caps w:val="0"/>
          <w:sz w:val="20"/>
        </w:rPr>
        <w:t xml:space="preserve"> types differentially shape microbial and metabolic profiles in fermented grains: Insights from metagenomics and flavor omics. Food Bioscience, 107139.</w:t>
      </w:r>
    </w:p>
    <w:p w14:paraId="21A3075F" w14:textId="77777777" w:rsidR="0079130E" w:rsidRPr="0079130E" w:rsidRDefault="0079130E" w:rsidP="0079130E">
      <w:pPr>
        <w:pStyle w:val="Appendix"/>
        <w:jc w:val="both"/>
        <w:rPr>
          <w:b w:val="0"/>
          <w:caps w:val="0"/>
          <w:sz w:val="20"/>
        </w:rPr>
      </w:pPr>
      <w:proofErr w:type="spellStart"/>
      <w:r w:rsidRPr="0079130E">
        <w:rPr>
          <w:b w:val="0"/>
          <w:caps w:val="0"/>
          <w:sz w:val="20"/>
        </w:rPr>
        <w:t>Shanqimuge</w:t>
      </w:r>
      <w:proofErr w:type="spellEnd"/>
      <w:r w:rsidRPr="0079130E">
        <w:rPr>
          <w:b w:val="0"/>
          <w:caps w:val="0"/>
          <w:sz w:val="20"/>
        </w:rPr>
        <w:t xml:space="preserve">, Tang, P., </w:t>
      </w:r>
      <w:proofErr w:type="spellStart"/>
      <w:r w:rsidRPr="0079130E">
        <w:rPr>
          <w:b w:val="0"/>
          <w:caps w:val="0"/>
          <w:sz w:val="20"/>
        </w:rPr>
        <w:t>Qiao</w:t>
      </w:r>
      <w:proofErr w:type="spellEnd"/>
      <w:r w:rsidRPr="0079130E">
        <w:rPr>
          <w:b w:val="0"/>
          <w:caps w:val="0"/>
          <w:sz w:val="20"/>
        </w:rPr>
        <w:t>, M., Wang, F., Guo, Y., Wang, L., ... &amp; Lu, J. (2025). Unveiling the Metabolic Function of Three Types of High</w:t>
      </w:r>
      <w:r w:rsidRPr="0079130E">
        <w:rPr>
          <w:rFonts w:ascii="Cambria Math" w:hAnsi="Cambria Math" w:cs="Cambria Math"/>
          <w:b w:val="0"/>
          <w:caps w:val="0"/>
          <w:sz w:val="20"/>
        </w:rPr>
        <w:t>‐</w:t>
      </w:r>
      <w:r w:rsidRPr="0079130E">
        <w:rPr>
          <w:b w:val="0"/>
          <w:caps w:val="0"/>
          <w:sz w:val="20"/>
        </w:rPr>
        <w:t xml:space="preserve">Temperature </w:t>
      </w:r>
      <w:proofErr w:type="spellStart"/>
      <w:r w:rsidRPr="0079130E">
        <w:rPr>
          <w:b w:val="0"/>
          <w:caps w:val="0"/>
          <w:sz w:val="20"/>
        </w:rPr>
        <w:t>Daqu</w:t>
      </w:r>
      <w:proofErr w:type="spellEnd"/>
      <w:r w:rsidRPr="0079130E">
        <w:rPr>
          <w:b w:val="0"/>
          <w:caps w:val="0"/>
          <w:sz w:val="20"/>
        </w:rPr>
        <w:t xml:space="preserve"> During Baijiu Fermentation. Journal of Food Biochemistry, 2025(1), 6762405.</w:t>
      </w:r>
    </w:p>
    <w:p w14:paraId="065E98AA" w14:textId="77777777" w:rsidR="0079130E" w:rsidRPr="0079130E" w:rsidRDefault="0079130E" w:rsidP="0079130E">
      <w:pPr>
        <w:pStyle w:val="Appendix"/>
        <w:jc w:val="both"/>
        <w:rPr>
          <w:b w:val="0"/>
          <w:caps w:val="0"/>
          <w:sz w:val="20"/>
        </w:rPr>
      </w:pPr>
      <w:r w:rsidRPr="0079130E">
        <w:rPr>
          <w:b w:val="0"/>
          <w:caps w:val="0"/>
          <w:sz w:val="20"/>
        </w:rPr>
        <w:t xml:space="preserve">Shi, W., Chai, L. J., Zhao, H., Song, Y. N., Mei, J. L., He, Y. X., ... &amp; Xu, Z. H. (2024). Deciphering the effects of different types of high-temperature </w:t>
      </w:r>
      <w:proofErr w:type="spellStart"/>
      <w:r w:rsidRPr="0079130E">
        <w:rPr>
          <w:b w:val="0"/>
          <w:caps w:val="0"/>
          <w:sz w:val="20"/>
        </w:rPr>
        <w:t>Daqu</w:t>
      </w:r>
      <w:proofErr w:type="spellEnd"/>
      <w:r w:rsidRPr="0079130E">
        <w:rPr>
          <w:b w:val="0"/>
          <w:caps w:val="0"/>
          <w:sz w:val="20"/>
        </w:rPr>
        <w:t xml:space="preserve"> on the fermentation process and flavor profiles of sauce-flavor Baijiu. Food Bioscience, 61, 104917.</w:t>
      </w:r>
    </w:p>
    <w:p w14:paraId="76135A5E" w14:textId="77777777" w:rsidR="0079130E" w:rsidRPr="0079130E" w:rsidRDefault="0079130E" w:rsidP="0079130E">
      <w:pPr>
        <w:pStyle w:val="Appendix"/>
        <w:jc w:val="both"/>
        <w:rPr>
          <w:b w:val="0"/>
          <w:caps w:val="0"/>
          <w:sz w:val="20"/>
        </w:rPr>
      </w:pPr>
      <w:r w:rsidRPr="0079130E">
        <w:rPr>
          <w:b w:val="0"/>
          <w:caps w:val="0"/>
          <w:sz w:val="20"/>
        </w:rPr>
        <w:t xml:space="preserve">Snyder, A. B., Martin, N., &amp; </w:t>
      </w:r>
      <w:proofErr w:type="spellStart"/>
      <w:r w:rsidRPr="0079130E">
        <w:rPr>
          <w:b w:val="0"/>
          <w:caps w:val="0"/>
          <w:sz w:val="20"/>
        </w:rPr>
        <w:t>Wiedmann</w:t>
      </w:r>
      <w:proofErr w:type="spellEnd"/>
      <w:r w:rsidRPr="0079130E">
        <w:rPr>
          <w:b w:val="0"/>
          <w:caps w:val="0"/>
          <w:sz w:val="20"/>
        </w:rPr>
        <w:t>, M. (2024). Microbial food spoilage: impact, causative agents and control strategies. Nature Reviews Microbiology, 22(9), 528-542.</w:t>
      </w:r>
    </w:p>
    <w:p w14:paraId="5F7EB338" w14:textId="77777777" w:rsidR="0079130E" w:rsidRPr="0079130E" w:rsidRDefault="0079130E" w:rsidP="0079130E">
      <w:pPr>
        <w:pStyle w:val="Appendix"/>
        <w:jc w:val="both"/>
        <w:rPr>
          <w:b w:val="0"/>
          <w:caps w:val="0"/>
          <w:sz w:val="20"/>
        </w:rPr>
      </w:pPr>
      <w:r w:rsidRPr="0079130E">
        <w:rPr>
          <w:b w:val="0"/>
          <w:caps w:val="0"/>
          <w:sz w:val="20"/>
        </w:rPr>
        <w:t>Song, D., Zhong, X., Wu, Y., Guo, J., Song, L., &amp; Yang, L. (2025). From Artisan Experience to Scientific Elucidation: Preparation Processes, Microbial Diversity, and Food Applications of Chinese Traditional Fermentation Starters (Qu). Foods, 14(22), 3814.</w:t>
      </w:r>
    </w:p>
    <w:p w14:paraId="1AAE5AEA" w14:textId="77777777" w:rsidR="0079130E" w:rsidRPr="0079130E" w:rsidRDefault="0079130E" w:rsidP="0079130E">
      <w:pPr>
        <w:pStyle w:val="Appendix"/>
        <w:jc w:val="both"/>
        <w:rPr>
          <w:b w:val="0"/>
          <w:caps w:val="0"/>
          <w:sz w:val="20"/>
        </w:rPr>
      </w:pPr>
      <w:r w:rsidRPr="0079130E">
        <w:rPr>
          <w:b w:val="0"/>
          <w:caps w:val="0"/>
          <w:sz w:val="20"/>
        </w:rPr>
        <w:t>Sun, J., Zhu, Y., Wang, P., &amp; Sun, B. (2025). Research progress in the flavor chemistry and health effects of Baijiu. Agricultural Products Processing and Storage, 1(1), 1-21.</w:t>
      </w:r>
    </w:p>
    <w:p w14:paraId="2DE2883E" w14:textId="77777777" w:rsidR="0079130E" w:rsidRPr="0079130E" w:rsidRDefault="0079130E" w:rsidP="0079130E">
      <w:pPr>
        <w:pStyle w:val="Appendix"/>
        <w:jc w:val="both"/>
        <w:rPr>
          <w:b w:val="0"/>
          <w:caps w:val="0"/>
          <w:sz w:val="20"/>
        </w:rPr>
      </w:pPr>
      <w:r w:rsidRPr="0079130E">
        <w:rPr>
          <w:b w:val="0"/>
          <w:caps w:val="0"/>
          <w:sz w:val="20"/>
        </w:rPr>
        <w:t xml:space="preserve">Tang, Q., Zhang, Y., Huang, J., &amp; Zhou, R. (2025). Unraveling the unique microbiota and metabolites in three different colors </w:t>
      </w:r>
      <w:proofErr w:type="spellStart"/>
      <w:r w:rsidRPr="0079130E">
        <w:rPr>
          <w:b w:val="0"/>
          <w:caps w:val="0"/>
          <w:sz w:val="20"/>
        </w:rPr>
        <w:t>Jiangqu</w:t>
      </w:r>
      <w:proofErr w:type="spellEnd"/>
      <w:r w:rsidRPr="0079130E">
        <w:rPr>
          <w:b w:val="0"/>
          <w:caps w:val="0"/>
          <w:sz w:val="20"/>
        </w:rPr>
        <w:t xml:space="preserve"> through multidimensional analysis. Food chemistry, 466, 142256. https://doi.org/10.1016/j.foodchem.2024.142256</w:t>
      </w:r>
    </w:p>
    <w:p w14:paraId="66918611" w14:textId="77777777" w:rsidR="0079130E" w:rsidRPr="0079130E" w:rsidRDefault="0079130E" w:rsidP="0079130E">
      <w:pPr>
        <w:pStyle w:val="Appendix"/>
        <w:jc w:val="both"/>
        <w:rPr>
          <w:b w:val="0"/>
          <w:caps w:val="0"/>
          <w:sz w:val="20"/>
        </w:rPr>
      </w:pPr>
      <w:proofErr w:type="spellStart"/>
      <w:r w:rsidRPr="0079130E">
        <w:rPr>
          <w:b w:val="0"/>
          <w:caps w:val="0"/>
          <w:sz w:val="20"/>
        </w:rPr>
        <w:t>Topaloğlu</w:t>
      </w:r>
      <w:proofErr w:type="spellEnd"/>
      <w:r w:rsidRPr="0079130E">
        <w:rPr>
          <w:b w:val="0"/>
          <w:caps w:val="0"/>
          <w:sz w:val="20"/>
        </w:rPr>
        <w:t xml:space="preserve"> </w:t>
      </w:r>
      <w:proofErr w:type="spellStart"/>
      <w:r w:rsidRPr="0079130E">
        <w:rPr>
          <w:b w:val="0"/>
          <w:caps w:val="0"/>
          <w:sz w:val="20"/>
        </w:rPr>
        <w:t>Günan</w:t>
      </w:r>
      <w:proofErr w:type="spellEnd"/>
      <w:r w:rsidRPr="0079130E">
        <w:rPr>
          <w:b w:val="0"/>
          <w:caps w:val="0"/>
          <w:sz w:val="20"/>
        </w:rPr>
        <w:t xml:space="preserve">, K., &amp; </w:t>
      </w:r>
      <w:proofErr w:type="spellStart"/>
      <w:r w:rsidRPr="0079130E">
        <w:rPr>
          <w:b w:val="0"/>
          <w:caps w:val="0"/>
          <w:sz w:val="20"/>
        </w:rPr>
        <w:t>Yolci</w:t>
      </w:r>
      <w:proofErr w:type="spellEnd"/>
      <w:r w:rsidRPr="0079130E">
        <w:rPr>
          <w:b w:val="0"/>
          <w:caps w:val="0"/>
          <w:sz w:val="20"/>
        </w:rPr>
        <w:t xml:space="preserve"> </w:t>
      </w:r>
      <w:proofErr w:type="spellStart"/>
      <w:r w:rsidRPr="0079130E">
        <w:rPr>
          <w:b w:val="0"/>
          <w:caps w:val="0"/>
          <w:sz w:val="20"/>
        </w:rPr>
        <w:t>Ömeroğlu</w:t>
      </w:r>
      <w:proofErr w:type="spellEnd"/>
      <w:r w:rsidRPr="0079130E">
        <w:rPr>
          <w:b w:val="0"/>
          <w:caps w:val="0"/>
          <w:sz w:val="20"/>
        </w:rPr>
        <w:t>, P. (2025). Evaluation of Plant-Based Egg Substitutes in Vegan Muffins: Functional, Structural, and Nutritional Characterization. Foods (Basel, Switzerland), 14(17), 3012. https://doi.org/10.3390/foods14173012</w:t>
      </w:r>
    </w:p>
    <w:p w14:paraId="77D12851" w14:textId="77777777" w:rsidR="0079130E" w:rsidRPr="0079130E" w:rsidRDefault="0079130E" w:rsidP="0079130E">
      <w:pPr>
        <w:pStyle w:val="Appendix"/>
        <w:jc w:val="both"/>
        <w:rPr>
          <w:b w:val="0"/>
          <w:caps w:val="0"/>
          <w:sz w:val="20"/>
        </w:rPr>
      </w:pPr>
      <w:r w:rsidRPr="0079130E">
        <w:rPr>
          <w:b w:val="0"/>
          <w:caps w:val="0"/>
          <w:sz w:val="20"/>
        </w:rPr>
        <w:lastRenderedPageBreak/>
        <w:t>Wang, F., Li, H., Wu, Z., Yan, J., Feng, H., Liu, R., ... &amp; Wang, P. (2025). Genomic and Metabolomic Insights into Volatile and Nonvolatile Metabolite Variation from Fresh Leaves to the Turning Stages in Wuyi Rock Tea “</w:t>
      </w:r>
      <w:proofErr w:type="spellStart"/>
      <w:r w:rsidRPr="0079130E">
        <w:rPr>
          <w:b w:val="0"/>
          <w:caps w:val="0"/>
          <w:sz w:val="20"/>
        </w:rPr>
        <w:t>Rougui</w:t>
      </w:r>
      <w:proofErr w:type="spellEnd"/>
      <w:r w:rsidRPr="0079130E">
        <w:rPr>
          <w:b w:val="0"/>
          <w:caps w:val="0"/>
          <w:sz w:val="20"/>
        </w:rPr>
        <w:t>”. Journal of Agricultural and Food Chemistry, 73(39), 25089-25102.</w:t>
      </w:r>
    </w:p>
    <w:p w14:paraId="2E04AC14" w14:textId="77777777" w:rsidR="0079130E" w:rsidRPr="0079130E" w:rsidRDefault="0079130E" w:rsidP="0079130E">
      <w:pPr>
        <w:pStyle w:val="Appendix"/>
        <w:jc w:val="both"/>
        <w:rPr>
          <w:b w:val="0"/>
          <w:caps w:val="0"/>
          <w:sz w:val="20"/>
        </w:rPr>
      </w:pPr>
      <w:r w:rsidRPr="0079130E">
        <w:rPr>
          <w:b w:val="0"/>
          <w:caps w:val="0"/>
          <w:sz w:val="20"/>
        </w:rPr>
        <w:t xml:space="preserve">Wu, M., Luo, Y., Yao, Y., Ji, W., &amp; Xia, X. (2024). Multidimensional analysis of wheat original crucial endogenous enzymes driving microbial </w:t>
      </w:r>
      <w:proofErr w:type="gramStart"/>
      <w:r w:rsidRPr="0079130E">
        <w:rPr>
          <w:b w:val="0"/>
          <w:caps w:val="0"/>
          <w:sz w:val="20"/>
        </w:rPr>
        <w:t>communities</w:t>
      </w:r>
      <w:proofErr w:type="gramEnd"/>
      <w:r w:rsidRPr="0079130E">
        <w:rPr>
          <w:b w:val="0"/>
          <w:caps w:val="0"/>
          <w:sz w:val="20"/>
        </w:rPr>
        <w:t xml:space="preserve"> metabolism during high-temperature </w:t>
      </w:r>
      <w:proofErr w:type="spellStart"/>
      <w:r w:rsidRPr="0079130E">
        <w:rPr>
          <w:b w:val="0"/>
          <w:caps w:val="0"/>
          <w:sz w:val="20"/>
        </w:rPr>
        <w:t>Daqu</w:t>
      </w:r>
      <w:proofErr w:type="spellEnd"/>
      <w:r w:rsidRPr="0079130E">
        <w:rPr>
          <w:b w:val="0"/>
          <w:caps w:val="0"/>
          <w:sz w:val="20"/>
        </w:rPr>
        <w:t xml:space="preserve"> fermentation. International Journal of Food Microbiology, 413, 110589.</w:t>
      </w:r>
    </w:p>
    <w:p w14:paraId="044A5077" w14:textId="77777777" w:rsidR="0079130E" w:rsidRPr="0079130E" w:rsidRDefault="0079130E" w:rsidP="0079130E">
      <w:pPr>
        <w:pStyle w:val="Appendix"/>
        <w:jc w:val="both"/>
        <w:rPr>
          <w:b w:val="0"/>
          <w:caps w:val="0"/>
          <w:sz w:val="20"/>
        </w:rPr>
      </w:pPr>
      <w:r w:rsidRPr="0079130E">
        <w:rPr>
          <w:b w:val="0"/>
          <w:caps w:val="0"/>
          <w:sz w:val="20"/>
        </w:rPr>
        <w:t xml:space="preserve">Yang, Y., </w:t>
      </w:r>
      <w:proofErr w:type="spellStart"/>
      <w:r w:rsidRPr="0079130E">
        <w:rPr>
          <w:b w:val="0"/>
          <w:caps w:val="0"/>
          <w:sz w:val="20"/>
        </w:rPr>
        <w:t>Niu</w:t>
      </w:r>
      <w:proofErr w:type="spellEnd"/>
      <w:r w:rsidRPr="0079130E">
        <w:rPr>
          <w:b w:val="0"/>
          <w:caps w:val="0"/>
          <w:sz w:val="20"/>
        </w:rPr>
        <w:t xml:space="preserve">, M. S., Yu, H., Shi, W., Chai, L. J., Lu, Z. M., ... &amp; Shi, J. S. (2024). Exploring the contribution of temperature-adapted microbiota to enzyme profile of saccharification in </w:t>
      </w:r>
      <w:proofErr w:type="spellStart"/>
      <w:r w:rsidRPr="0079130E">
        <w:rPr>
          <w:b w:val="0"/>
          <w:caps w:val="0"/>
          <w:sz w:val="20"/>
        </w:rPr>
        <w:t>Daqu</w:t>
      </w:r>
      <w:proofErr w:type="spellEnd"/>
      <w:r w:rsidRPr="0079130E">
        <w:rPr>
          <w:b w:val="0"/>
          <w:caps w:val="0"/>
          <w:sz w:val="20"/>
        </w:rPr>
        <w:t xml:space="preserve"> using metagenomics and </w:t>
      </w:r>
      <w:proofErr w:type="spellStart"/>
      <w:r w:rsidRPr="0079130E">
        <w:rPr>
          <w:b w:val="0"/>
          <w:caps w:val="0"/>
          <w:sz w:val="20"/>
        </w:rPr>
        <w:t>metaproteomics</w:t>
      </w:r>
      <w:proofErr w:type="spellEnd"/>
      <w:r w:rsidRPr="0079130E">
        <w:rPr>
          <w:b w:val="0"/>
          <w:caps w:val="0"/>
          <w:sz w:val="20"/>
        </w:rPr>
        <w:t xml:space="preserve">. </w:t>
      </w:r>
      <w:proofErr w:type="spellStart"/>
      <w:r w:rsidRPr="0079130E">
        <w:rPr>
          <w:b w:val="0"/>
          <w:caps w:val="0"/>
          <w:sz w:val="20"/>
        </w:rPr>
        <w:t>Lwt</w:t>
      </w:r>
      <w:proofErr w:type="spellEnd"/>
      <w:r w:rsidRPr="0079130E">
        <w:rPr>
          <w:b w:val="0"/>
          <w:caps w:val="0"/>
          <w:sz w:val="20"/>
        </w:rPr>
        <w:t>, 197, 115916.</w:t>
      </w:r>
    </w:p>
    <w:p w14:paraId="31FD8680" w14:textId="77777777" w:rsidR="0079130E" w:rsidRPr="0079130E" w:rsidRDefault="0079130E" w:rsidP="0079130E">
      <w:pPr>
        <w:pStyle w:val="Appendix"/>
        <w:jc w:val="both"/>
        <w:rPr>
          <w:b w:val="0"/>
          <w:caps w:val="0"/>
          <w:sz w:val="20"/>
        </w:rPr>
      </w:pPr>
      <w:r w:rsidRPr="0079130E">
        <w:rPr>
          <w:b w:val="0"/>
          <w:caps w:val="0"/>
          <w:sz w:val="20"/>
        </w:rPr>
        <w:t xml:space="preserve">Yao, Y., Luo, Y., Wu, M., Gao, L., Zhang, J., Jiang, Z., ... &amp; Xia, X. (2025). Contribution of moisture to functional microbial succession and functional expression in medium-high temperature </w:t>
      </w:r>
      <w:proofErr w:type="spellStart"/>
      <w:r w:rsidRPr="0079130E">
        <w:rPr>
          <w:b w:val="0"/>
          <w:caps w:val="0"/>
          <w:sz w:val="20"/>
        </w:rPr>
        <w:t>Daqu</w:t>
      </w:r>
      <w:proofErr w:type="spellEnd"/>
      <w:r w:rsidRPr="0079130E">
        <w:rPr>
          <w:b w:val="0"/>
          <w:caps w:val="0"/>
          <w:sz w:val="20"/>
        </w:rPr>
        <w:t>. Food Bioscience, 106831.</w:t>
      </w:r>
    </w:p>
    <w:p w14:paraId="661DA8DA" w14:textId="77777777" w:rsidR="0079130E" w:rsidRPr="0079130E" w:rsidRDefault="0079130E" w:rsidP="0079130E">
      <w:pPr>
        <w:pStyle w:val="Appendix"/>
        <w:jc w:val="both"/>
        <w:rPr>
          <w:b w:val="0"/>
          <w:caps w:val="0"/>
          <w:sz w:val="20"/>
        </w:rPr>
      </w:pPr>
      <w:r w:rsidRPr="0079130E">
        <w:rPr>
          <w:b w:val="0"/>
          <w:caps w:val="0"/>
          <w:sz w:val="20"/>
        </w:rPr>
        <w:t>Zhang, M., Guo, D., Wang, H., Wu, G., Shi, Y., Zhou, J., ... &amp; Li, X. (2024). Analyzing microbial community and volatile compound profiles in the fermentation of cigar tobacco leaves. Applied Microbiology and Biotechnology, 108(1), 243.</w:t>
      </w:r>
    </w:p>
    <w:p w14:paraId="1AE3908F" w14:textId="77777777" w:rsidR="0079130E" w:rsidRPr="0079130E" w:rsidRDefault="0079130E" w:rsidP="0079130E">
      <w:pPr>
        <w:pStyle w:val="Appendix"/>
        <w:jc w:val="both"/>
        <w:rPr>
          <w:b w:val="0"/>
          <w:caps w:val="0"/>
          <w:sz w:val="20"/>
        </w:rPr>
      </w:pPr>
      <w:r w:rsidRPr="0079130E">
        <w:rPr>
          <w:b w:val="0"/>
          <w:caps w:val="0"/>
          <w:sz w:val="20"/>
        </w:rPr>
        <w:t>Zang, J., Lin, T., Xu, C., Lin, Y., Ma, K., Zhang, C., ... &amp; Li, W. (2025). Advances in Lactic Acid Bacteria and Their Metabolites in Fermented Foods: Mechanisms of Food Quality Enhancement, Gut Microbiota modulation, and Future Prospects. Food Reviews International, 1-35.</w:t>
      </w:r>
    </w:p>
    <w:p w14:paraId="272D7DDD" w14:textId="77777777" w:rsidR="0079130E" w:rsidRPr="0079130E" w:rsidRDefault="0079130E" w:rsidP="0079130E">
      <w:pPr>
        <w:pStyle w:val="Appendix"/>
        <w:jc w:val="both"/>
        <w:rPr>
          <w:b w:val="0"/>
          <w:caps w:val="0"/>
          <w:sz w:val="20"/>
        </w:rPr>
      </w:pPr>
      <w:r w:rsidRPr="0079130E">
        <w:rPr>
          <w:b w:val="0"/>
          <w:caps w:val="0"/>
          <w:sz w:val="20"/>
        </w:rPr>
        <w:t>Zhao, H., Liu, S., Zhu, L., &amp; Wang, Y. (2025). Microorganisms: The Key Regulators of Wine Quality. Comprehensive Reviews in Food Science and Food Safety, 24(3), e70198.</w:t>
      </w:r>
    </w:p>
    <w:p w14:paraId="17425ECE" w14:textId="77777777" w:rsidR="0079130E" w:rsidRPr="0079130E" w:rsidRDefault="0079130E" w:rsidP="0079130E">
      <w:pPr>
        <w:pStyle w:val="Appendix"/>
        <w:jc w:val="both"/>
        <w:rPr>
          <w:b w:val="0"/>
          <w:caps w:val="0"/>
          <w:sz w:val="20"/>
        </w:rPr>
      </w:pPr>
      <w:r w:rsidRPr="0079130E">
        <w:rPr>
          <w:b w:val="0"/>
          <w:caps w:val="0"/>
          <w:sz w:val="20"/>
        </w:rPr>
        <w:t xml:space="preserve">Zhao, Y., Han, Y., Cao, R., Xu, Y., &amp; Mu, X. (2025). </w:t>
      </w:r>
      <w:proofErr w:type="spellStart"/>
      <w:r w:rsidRPr="0079130E">
        <w:rPr>
          <w:b w:val="0"/>
          <w:caps w:val="0"/>
          <w:sz w:val="20"/>
        </w:rPr>
        <w:t>Multiomics</w:t>
      </w:r>
      <w:proofErr w:type="spellEnd"/>
      <w:r w:rsidRPr="0079130E">
        <w:rPr>
          <w:b w:val="0"/>
          <w:caps w:val="0"/>
          <w:sz w:val="20"/>
        </w:rPr>
        <w:t xml:space="preserve"> Insights into Microbiome Succession throughout Medium-Temperature </w:t>
      </w:r>
      <w:proofErr w:type="spellStart"/>
      <w:r w:rsidRPr="0079130E">
        <w:rPr>
          <w:b w:val="0"/>
          <w:caps w:val="0"/>
          <w:sz w:val="20"/>
        </w:rPr>
        <w:t>Daqu</w:t>
      </w:r>
      <w:proofErr w:type="spellEnd"/>
      <w:r w:rsidRPr="0079130E">
        <w:rPr>
          <w:b w:val="0"/>
          <w:caps w:val="0"/>
          <w:sz w:val="20"/>
        </w:rPr>
        <w:t xml:space="preserve"> Fermentation. ACS Food Science &amp; Technology, 5(3), 1193-1207.</w:t>
      </w:r>
    </w:p>
    <w:p w14:paraId="683BBE4E" w14:textId="77777777" w:rsidR="0079130E" w:rsidRPr="0079130E" w:rsidRDefault="0079130E" w:rsidP="0079130E">
      <w:pPr>
        <w:pStyle w:val="Appendix"/>
        <w:jc w:val="both"/>
        <w:rPr>
          <w:b w:val="0"/>
          <w:caps w:val="0"/>
          <w:sz w:val="20"/>
        </w:rPr>
      </w:pPr>
      <w:r w:rsidRPr="0079130E">
        <w:rPr>
          <w:b w:val="0"/>
          <w:caps w:val="0"/>
          <w:sz w:val="20"/>
        </w:rPr>
        <w:t xml:space="preserve">Zhong, Z., Liu, T., He, K., Zhong, M., Chen, X., </w:t>
      </w:r>
      <w:proofErr w:type="spellStart"/>
      <w:r w:rsidRPr="0079130E">
        <w:rPr>
          <w:b w:val="0"/>
          <w:caps w:val="0"/>
          <w:sz w:val="20"/>
        </w:rPr>
        <w:t>Xue</w:t>
      </w:r>
      <w:proofErr w:type="spellEnd"/>
      <w:r w:rsidRPr="0079130E">
        <w:rPr>
          <w:b w:val="0"/>
          <w:caps w:val="0"/>
          <w:sz w:val="20"/>
        </w:rPr>
        <w:t xml:space="preserve">, Y., ... &amp; Liu, J. (2024). Microbial enzymes: the bridge between </w:t>
      </w:r>
      <w:proofErr w:type="spellStart"/>
      <w:r w:rsidRPr="0079130E">
        <w:rPr>
          <w:b w:val="0"/>
          <w:caps w:val="0"/>
          <w:sz w:val="20"/>
        </w:rPr>
        <w:t>Daqu</w:t>
      </w:r>
      <w:proofErr w:type="spellEnd"/>
      <w:r w:rsidRPr="0079130E">
        <w:rPr>
          <w:b w:val="0"/>
          <w:caps w:val="0"/>
          <w:sz w:val="20"/>
        </w:rPr>
        <w:t xml:space="preserve"> flavor and microbial communities. Food Innovation and Advances, 3(4), 426-437.</w:t>
      </w:r>
    </w:p>
    <w:p w14:paraId="57009C63" w14:textId="77777777" w:rsidR="0079130E" w:rsidRPr="0079130E" w:rsidRDefault="0079130E" w:rsidP="0079130E">
      <w:pPr>
        <w:pStyle w:val="Appendix"/>
        <w:jc w:val="both"/>
        <w:rPr>
          <w:b w:val="0"/>
          <w:caps w:val="0"/>
          <w:sz w:val="20"/>
        </w:rPr>
      </w:pPr>
      <w:proofErr w:type="spellStart"/>
      <w:r w:rsidRPr="0079130E">
        <w:rPr>
          <w:b w:val="0"/>
          <w:caps w:val="0"/>
          <w:sz w:val="20"/>
        </w:rPr>
        <w:t>Zong</w:t>
      </w:r>
      <w:proofErr w:type="spellEnd"/>
      <w:r w:rsidRPr="0079130E">
        <w:rPr>
          <w:b w:val="0"/>
          <w:caps w:val="0"/>
          <w:sz w:val="20"/>
        </w:rPr>
        <w:t xml:space="preserve">, E., Bo, T., Dang, L., Zhang, J., Li, H., </w:t>
      </w:r>
      <w:proofErr w:type="spellStart"/>
      <w:r w:rsidRPr="0079130E">
        <w:rPr>
          <w:b w:val="0"/>
          <w:caps w:val="0"/>
          <w:sz w:val="20"/>
        </w:rPr>
        <w:t>Lv</w:t>
      </w:r>
      <w:proofErr w:type="spellEnd"/>
      <w:r w:rsidRPr="0079130E">
        <w:rPr>
          <w:b w:val="0"/>
          <w:caps w:val="0"/>
          <w:sz w:val="20"/>
        </w:rPr>
        <w:t xml:space="preserve">, N., ... &amp; Fan, S. (2024). Different functions can be provided by low temperature </w:t>
      </w:r>
      <w:proofErr w:type="spellStart"/>
      <w:r w:rsidRPr="0079130E">
        <w:rPr>
          <w:b w:val="0"/>
          <w:caps w:val="0"/>
          <w:sz w:val="20"/>
        </w:rPr>
        <w:t>Daqu</w:t>
      </w:r>
      <w:proofErr w:type="spellEnd"/>
      <w:r w:rsidRPr="0079130E">
        <w:rPr>
          <w:b w:val="0"/>
          <w:caps w:val="0"/>
          <w:sz w:val="20"/>
        </w:rPr>
        <w:t xml:space="preserve"> with different appearance features due to variations in the microbial community structure during fermentation. LWT, 193, 115763.</w:t>
      </w:r>
    </w:p>
    <w:p w14:paraId="1C3808B1" w14:textId="1241B5B4" w:rsidR="00B01FCD" w:rsidRPr="00FB3A86" w:rsidRDefault="00B01FCD" w:rsidP="0079130E">
      <w:pPr>
        <w:pStyle w:val="Appendix"/>
        <w:jc w:val="both"/>
        <w:rPr>
          <w:rFonts w:ascii="Arial" w:hAnsi="Arial" w:cs="Arial"/>
          <w:b w:val="0"/>
        </w:rPr>
      </w:pPr>
    </w:p>
    <w:sectPr w:rsidR="00B01FCD" w:rsidRPr="00FB3A86" w:rsidSect="007F67B7">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A03CF" w14:textId="77777777" w:rsidR="00D37B37" w:rsidRDefault="00D37B37" w:rsidP="00C37E61">
      <w:r>
        <w:separator/>
      </w:r>
    </w:p>
  </w:endnote>
  <w:endnote w:type="continuationSeparator" w:id="0">
    <w:p w14:paraId="4C3B3D54" w14:textId="77777777" w:rsidR="00D37B37" w:rsidRDefault="00D37B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07CC" w14:textId="77777777" w:rsidR="007F67B7" w:rsidRDefault="007F6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0BBA" w14:textId="5094EF70" w:rsidR="00C37E61" w:rsidRPr="000E54DF" w:rsidRDefault="00C37E61" w:rsidP="000E5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6D373" w14:textId="1297A97F" w:rsidR="00754C9A" w:rsidRPr="0034012C" w:rsidRDefault="00754C9A" w:rsidP="003401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45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F7EDB" w14:textId="77777777" w:rsidR="00D37B37" w:rsidRDefault="00D37B37" w:rsidP="00C37E61">
      <w:r>
        <w:separator/>
      </w:r>
    </w:p>
  </w:footnote>
  <w:footnote w:type="continuationSeparator" w:id="0">
    <w:p w14:paraId="75DA0FD1" w14:textId="77777777" w:rsidR="00D37B37" w:rsidRDefault="00D37B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82C6" w14:textId="25D0FCC2" w:rsidR="007F67B7" w:rsidRDefault="00D37B37">
    <w:pPr>
      <w:pStyle w:val="Header"/>
    </w:pPr>
    <w:r>
      <w:rPr>
        <w:noProof/>
      </w:rPr>
      <w:pict w14:anchorId="0B85C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CE02" w14:textId="500A47F6" w:rsidR="007F67B7" w:rsidRDefault="00D37B37">
    <w:pPr>
      <w:pStyle w:val="Header"/>
    </w:pPr>
    <w:r>
      <w:rPr>
        <w:noProof/>
      </w:rPr>
      <w:pict w14:anchorId="46629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AE6A" w14:textId="4D79389B" w:rsidR="00296529" w:rsidRPr="00296529" w:rsidRDefault="00D37B37" w:rsidP="00296529">
    <w:pPr>
      <w:ind w:left="2160"/>
      <w:jc w:val="center"/>
      <w:rPr>
        <w:rFonts w:ascii="Times New Roman" w:eastAsia="Calibri" w:hAnsi="Times New Roman"/>
        <w:i/>
        <w:sz w:val="18"/>
        <w:szCs w:val="22"/>
      </w:rPr>
    </w:pPr>
    <w:r>
      <w:rPr>
        <w:noProof/>
      </w:rPr>
      <w:pict w14:anchorId="4A202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73BA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CA723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8CE2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CAE0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1E0A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7C694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7356" w14:textId="7BF4557F" w:rsidR="007F67B7" w:rsidRDefault="00D37B37">
    <w:pPr>
      <w:pStyle w:val="Header"/>
    </w:pPr>
    <w:r>
      <w:rPr>
        <w:noProof/>
      </w:rPr>
      <w:pict w14:anchorId="0F744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0B15" w14:textId="03143799" w:rsidR="007F67B7" w:rsidRDefault="00D37B37">
    <w:pPr>
      <w:pStyle w:val="Header"/>
    </w:pPr>
    <w:r>
      <w:rPr>
        <w:noProof/>
      </w:rPr>
      <w:pict w14:anchorId="79C48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774B" w14:textId="0EA8CEE7" w:rsidR="007F67B7" w:rsidRDefault="00D37B37">
    <w:pPr>
      <w:pStyle w:val="Header"/>
    </w:pPr>
    <w:r>
      <w:rPr>
        <w:noProof/>
      </w:rPr>
      <w:pict w14:anchorId="45169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309C"/>
    <w:multiLevelType w:val="multilevel"/>
    <w:tmpl w:val="301C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417CB6"/>
    <w:multiLevelType w:val="multilevel"/>
    <w:tmpl w:val="6AA0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54030"/>
    <w:multiLevelType w:val="multilevel"/>
    <w:tmpl w:val="485AF25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C57AE"/>
    <w:multiLevelType w:val="multilevel"/>
    <w:tmpl w:val="D9DC5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35B55D2"/>
    <w:multiLevelType w:val="hybridMultilevel"/>
    <w:tmpl w:val="582CE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155373"/>
    <w:multiLevelType w:val="multilevel"/>
    <w:tmpl w:val="7420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81765"/>
    <w:multiLevelType w:val="multilevel"/>
    <w:tmpl w:val="493C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46316"/>
    <w:multiLevelType w:val="multilevel"/>
    <w:tmpl w:val="43987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62A03"/>
    <w:multiLevelType w:val="multilevel"/>
    <w:tmpl w:val="050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C74DC"/>
    <w:multiLevelType w:val="multilevel"/>
    <w:tmpl w:val="C380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623A6"/>
    <w:multiLevelType w:val="multilevel"/>
    <w:tmpl w:val="8E70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33248EF"/>
    <w:multiLevelType w:val="multilevel"/>
    <w:tmpl w:val="642A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96F6B7E"/>
    <w:multiLevelType w:val="multilevel"/>
    <w:tmpl w:val="3108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7E2B49"/>
    <w:multiLevelType w:val="multilevel"/>
    <w:tmpl w:val="B90EE21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2"/>
  </w:num>
  <w:num w:numId="8">
    <w:abstractNumId w:val="16"/>
  </w:num>
  <w:num w:numId="9">
    <w:abstractNumId w:val="37"/>
  </w:num>
  <w:num w:numId="10">
    <w:abstractNumId w:val="3"/>
  </w:num>
  <w:num w:numId="11">
    <w:abstractNumId w:val="30"/>
  </w:num>
  <w:num w:numId="12">
    <w:abstractNumId w:val="4"/>
  </w:num>
  <w:num w:numId="13">
    <w:abstractNumId w:val="28"/>
  </w:num>
  <w:num w:numId="14">
    <w:abstractNumId w:val="11"/>
  </w:num>
  <w:num w:numId="15">
    <w:abstractNumId w:val="33"/>
  </w:num>
  <w:num w:numId="16">
    <w:abstractNumId w:val="6"/>
  </w:num>
  <w:num w:numId="17">
    <w:abstractNumId w:val="34"/>
  </w:num>
  <w:num w:numId="18">
    <w:abstractNumId w:val="18"/>
  </w:num>
  <w:num w:numId="19">
    <w:abstractNumId w:val="42"/>
  </w:num>
  <w:num w:numId="20">
    <w:abstractNumId w:val="15"/>
  </w:num>
  <w:num w:numId="21">
    <w:abstractNumId w:val="12"/>
  </w:num>
  <w:num w:numId="22">
    <w:abstractNumId w:val="17"/>
  </w:num>
  <w:num w:numId="23">
    <w:abstractNumId w:val="31"/>
  </w:num>
  <w:num w:numId="24">
    <w:abstractNumId w:val="40"/>
  </w:num>
  <w:num w:numId="25">
    <w:abstractNumId w:val="5"/>
  </w:num>
  <w:num w:numId="26">
    <w:abstractNumId w:val="27"/>
  </w:num>
  <w:num w:numId="27">
    <w:abstractNumId w:val="32"/>
  </w:num>
  <w:num w:numId="28">
    <w:abstractNumId w:val="41"/>
  </w:num>
  <w:num w:numId="29">
    <w:abstractNumId w:val="36"/>
  </w:num>
  <w:num w:numId="30">
    <w:abstractNumId w:val="13"/>
  </w:num>
  <w:num w:numId="31">
    <w:abstractNumId w:val="8"/>
  </w:num>
  <w:num w:numId="32">
    <w:abstractNumId w:val="23"/>
  </w:num>
  <w:num w:numId="33">
    <w:abstractNumId w:val="39"/>
  </w:num>
  <w:num w:numId="34">
    <w:abstractNumId w:val="9"/>
  </w:num>
  <w:num w:numId="35">
    <w:abstractNumId w:val="20"/>
  </w:num>
  <w:num w:numId="36">
    <w:abstractNumId w:val="19"/>
  </w:num>
  <w:num w:numId="37">
    <w:abstractNumId w:val="29"/>
  </w:num>
  <w:num w:numId="38">
    <w:abstractNumId w:val="1"/>
  </w:num>
  <w:num w:numId="39">
    <w:abstractNumId w:val="21"/>
  </w:num>
  <w:num w:numId="40">
    <w:abstractNumId w:val="22"/>
  </w:num>
  <w:num w:numId="41">
    <w:abstractNumId w:val="38"/>
  </w:num>
  <w:num w:numId="42">
    <w:abstractNumId w:val="14"/>
  </w:num>
  <w:num w:numId="43">
    <w:abstractNumId w:val="2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5C79"/>
    <w:rsid w:val="000A47FA"/>
    <w:rsid w:val="000A65D3"/>
    <w:rsid w:val="000B1E33"/>
    <w:rsid w:val="000D689F"/>
    <w:rsid w:val="000E54D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012C"/>
    <w:rsid w:val="003512C2"/>
    <w:rsid w:val="00371FB6"/>
    <w:rsid w:val="003763C1"/>
    <w:rsid w:val="00376BBE"/>
    <w:rsid w:val="0039224F"/>
    <w:rsid w:val="003A43A4"/>
    <w:rsid w:val="003A7E18"/>
    <w:rsid w:val="003C4B60"/>
    <w:rsid w:val="003C4C86"/>
    <w:rsid w:val="003C6258"/>
    <w:rsid w:val="003E2904"/>
    <w:rsid w:val="00401927"/>
    <w:rsid w:val="0041027F"/>
    <w:rsid w:val="00412475"/>
    <w:rsid w:val="00412585"/>
    <w:rsid w:val="00423789"/>
    <w:rsid w:val="00440F43"/>
    <w:rsid w:val="00441B6F"/>
    <w:rsid w:val="00446221"/>
    <w:rsid w:val="00450E62"/>
    <w:rsid w:val="004539DB"/>
    <w:rsid w:val="00471A80"/>
    <w:rsid w:val="004D305E"/>
    <w:rsid w:val="004D404D"/>
    <w:rsid w:val="004D4277"/>
    <w:rsid w:val="00502516"/>
    <w:rsid w:val="00505F06"/>
    <w:rsid w:val="00506828"/>
    <w:rsid w:val="0053056E"/>
    <w:rsid w:val="00546153"/>
    <w:rsid w:val="00554FDA"/>
    <w:rsid w:val="005C784C"/>
    <w:rsid w:val="005D0CB7"/>
    <w:rsid w:val="005D17F6"/>
    <w:rsid w:val="005E5539"/>
    <w:rsid w:val="00602BF5"/>
    <w:rsid w:val="00617FDD"/>
    <w:rsid w:val="00633614"/>
    <w:rsid w:val="00633F68"/>
    <w:rsid w:val="00636EB2"/>
    <w:rsid w:val="006375B8"/>
    <w:rsid w:val="0066510A"/>
    <w:rsid w:val="00673F9F"/>
    <w:rsid w:val="00686953"/>
    <w:rsid w:val="006872DF"/>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130E"/>
    <w:rsid w:val="007D2288"/>
    <w:rsid w:val="007E088F"/>
    <w:rsid w:val="007F2114"/>
    <w:rsid w:val="007F67B7"/>
    <w:rsid w:val="007F7B32"/>
    <w:rsid w:val="00804BC2"/>
    <w:rsid w:val="0081431A"/>
    <w:rsid w:val="0083216F"/>
    <w:rsid w:val="00850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1E21"/>
    <w:rsid w:val="00935F93"/>
    <w:rsid w:val="009500A6"/>
    <w:rsid w:val="00957C18"/>
    <w:rsid w:val="009659BA"/>
    <w:rsid w:val="00983040"/>
    <w:rsid w:val="00992C8F"/>
    <w:rsid w:val="009B3FB9"/>
    <w:rsid w:val="009C2465"/>
    <w:rsid w:val="009D35A0"/>
    <w:rsid w:val="009D7EB7"/>
    <w:rsid w:val="009E048A"/>
    <w:rsid w:val="009E08E9"/>
    <w:rsid w:val="009E3DB9"/>
    <w:rsid w:val="009E6E35"/>
    <w:rsid w:val="009F0EDA"/>
    <w:rsid w:val="009F64F6"/>
    <w:rsid w:val="00A03B96"/>
    <w:rsid w:val="00A05B19"/>
    <w:rsid w:val="00A06B87"/>
    <w:rsid w:val="00A1134E"/>
    <w:rsid w:val="00A24E7E"/>
    <w:rsid w:val="00A258C3"/>
    <w:rsid w:val="00A347C0"/>
    <w:rsid w:val="00A51431"/>
    <w:rsid w:val="00A539AD"/>
    <w:rsid w:val="00A57EBE"/>
    <w:rsid w:val="00A6179A"/>
    <w:rsid w:val="00A94063"/>
    <w:rsid w:val="00AA6219"/>
    <w:rsid w:val="00AA74E0"/>
    <w:rsid w:val="00AB703F"/>
    <w:rsid w:val="00AC6BB8"/>
    <w:rsid w:val="00AC745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7B37"/>
    <w:rsid w:val="00D571BB"/>
    <w:rsid w:val="00D74CB0"/>
    <w:rsid w:val="00D8295D"/>
    <w:rsid w:val="00DA7960"/>
    <w:rsid w:val="00DC2A65"/>
    <w:rsid w:val="00DE15F0"/>
    <w:rsid w:val="00DE5663"/>
    <w:rsid w:val="00DE78AA"/>
    <w:rsid w:val="00E053D0"/>
    <w:rsid w:val="00E15994"/>
    <w:rsid w:val="00E2387A"/>
    <w:rsid w:val="00E3114E"/>
    <w:rsid w:val="00E31A70"/>
    <w:rsid w:val="00E35B02"/>
    <w:rsid w:val="00E50A5A"/>
    <w:rsid w:val="00E66496"/>
    <w:rsid w:val="00E66B35"/>
    <w:rsid w:val="00E66E10"/>
    <w:rsid w:val="00E769F6"/>
    <w:rsid w:val="00E8407C"/>
    <w:rsid w:val="00E84F3C"/>
    <w:rsid w:val="00EA012C"/>
    <w:rsid w:val="00EC3CCF"/>
    <w:rsid w:val="00EC6A55"/>
    <w:rsid w:val="00ED0288"/>
    <w:rsid w:val="00EE52CB"/>
    <w:rsid w:val="00EF581D"/>
    <w:rsid w:val="00EF7FD8"/>
    <w:rsid w:val="00F06F59"/>
    <w:rsid w:val="00F17988"/>
    <w:rsid w:val="00F22EFA"/>
    <w:rsid w:val="00F469F0"/>
    <w:rsid w:val="00F53273"/>
    <w:rsid w:val="00F755E4"/>
    <w:rsid w:val="00F77D02"/>
    <w:rsid w:val="00FB3A86"/>
    <w:rsid w:val="00FD36C8"/>
    <w:rsid w:val="00FE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1912FF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79130E"/>
    <w:pPr>
      <w:keepNext/>
      <w:keepLines/>
      <w:spacing w:before="4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rsid w:val="0079130E"/>
    <w:pPr>
      <w:keepNext/>
      <w:keepLines/>
      <w:spacing w:before="40"/>
      <w:outlineLvl w:val="2"/>
    </w:pPr>
    <w:rPr>
      <w:rFonts w:ascii="Times New Roman" w:hAnsi="Times New Roman"/>
      <w:color w:val="2F5496"/>
      <w:sz w:val="28"/>
      <w:szCs w:val="28"/>
    </w:rPr>
  </w:style>
  <w:style w:type="paragraph" w:styleId="Heading4">
    <w:name w:val="heading 4"/>
    <w:basedOn w:val="Normal"/>
    <w:next w:val="Normal"/>
    <w:link w:val="Heading4Char"/>
    <w:uiPriority w:val="9"/>
    <w:semiHidden/>
    <w:unhideWhenUsed/>
    <w:qFormat/>
    <w:rsid w:val="0079130E"/>
    <w:pPr>
      <w:keepNext/>
      <w:keepLines/>
      <w:spacing w:before="40"/>
      <w:outlineLvl w:val="3"/>
    </w:pPr>
    <w:rPr>
      <w:rFonts w:ascii="Times New Roman" w:hAnsi="Times New Roman"/>
      <w:i/>
      <w:iCs/>
      <w:color w:val="2F5496"/>
    </w:rPr>
  </w:style>
  <w:style w:type="paragraph" w:styleId="Heading5">
    <w:name w:val="heading 5"/>
    <w:basedOn w:val="Normal"/>
    <w:next w:val="Normal"/>
    <w:link w:val="Heading5Char"/>
    <w:uiPriority w:val="9"/>
    <w:semiHidden/>
    <w:unhideWhenUsed/>
    <w:qFormat/>
    <w:rsid w:val="0079130E"/>
    <w:pPr>
      <w:keepNext/>
      <w:keepLines/>
      <w:spacing w:before="40"/>
      <w:outlineLvl w:val="4"/>
    </w:pPr>
    <w:rPr>
      <w:rFonts w:ascii="Times New Roman" w:hAnsi="Times New Roman"/>
      <w:color w:val="2F5496"/>
    </w:rPr>
  </w:style>
  <w:style w:type="paragraph" w:styleId="Heading6">
    <w:name w:val="heading 6"/>
    <w:basedOn w:val="Normal"/>
    <w:next w:val="Normal"/>
    <w:link w:val="Heading6Char"/>
    <w:uiPriority w:val="9"/>
    <w:semiHidden/>
    <w:unhideWhenUsed/>
    <w:qFormat/>
    <w:rsid w:val="0079130E"/>
    <w:pPr>
      <w:keepNext/>
      <w:keepLines/>
      <w:spacing w:before="40"/>
      <w:outlineLvl w:val="5"/>
    </w:pPr>
    <w:rPr>
      <w:rFonts w:ascii="Times New Roman" w:hAnsi="Times New Roman"/>
      <w:i/>
      <w:iCs/>
      <w:color w:val="595959"/>
    </w:rPr>
  </w:style>
  <w:style w:type="paragraph" w:styleId="Heading7">
    <w:name w:val="heading 7"/>
    <w:basedOn w:val="Normal"/>
    <w:next w:val="Normal"/>
    <w:link w:val="Heading7Char"/>
    <w:uiPriority w:val="9"/>
    <w:semiHidden/>
    <w:unhideWhenUsed/>
    <w:qFormat/>
    <w:rsid w:val="0079130E"/>
    <w:pPr>
      <w:keepNext/>
      <w:keepLines/>
      <w:spacing w:before="40"/>
      <w:outlineLvl w:val="6"/>
    </w:pPr>
    <w:rPr>
      <w:rFonts w:ascii="Times New Roman" w:hAnsi="Times New Roman"/>
      <w:color w:val="595959"/>
    </w:rPr>
  </w:style>
  <w:style w:type="paragraph" w:styleId="Heading8">
    <w:name w:val="heading 8"/>
    <w:basedOn w:val="Normal"/>
    <w:next w:val="Normal"/>
    <w:link w:val="Heading8Char"/>
    <w:uiPriority w:val="9"/>
    <w:semiHidden/>
    <w:unhideWhenUsed/>
    <w:qFormat/>
    <w:rsid w:val="0079130E"/>
    <w:pPr>
      <w:keepNext/>
      <w:keepLines/>
      <w:spacing w:before="40"/>
      <w:outlineLvl w:val="7"/>
    </w:pPr>
    <w:rPr>
      <w:rFonts w:ascii="Times New Roman" w:hAnsi="Times New Roman"/>
      <w:i/>
      <w:iCs/>
      <w:color w:val="272727"/>
    </w:rPr>
  </w:style>
  <w:style w:type="paragraph" w:styleId="Heading9">
    <w:name w:val="heading 9"/>
    <w:basedOn w:val="Normal"/>
    <w:next w:val="Normal"/>
    <w:link w:val="Heading9Char"/>
    <w:uiPriority w:val="9"/>
    <w:semiHidden/>
    <w:unhideWhenUsed/>
    <w:qFormat/>
    <w:rsid w:val="0079130E"/>
    <w:pPr>
      <w:keepNext/>
      <w:keepLines/>
      <w:spacing w:before="40"/>
      <w:outlineLvl w:val="8"/>
    </w:pPr>
    <w:rPr>
      <w:rFonts w:ascii="Times New Roman" w:hAnsi="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7F2114"/>
    <w:pPr>
      <w:spacing w:line="400" w:lineRule="exact"/>
      <w:jc w:val="center"/>
    </w:pPr>
    <w:rPr>
      <w:rFonts w:ascii="Arial" w:eastAsiaTheme="minorEastAsia" w:hAnsi="Arial"/>
      <w:b/>
      <w:iCs/>
      <w:sz w:val="21"/>
      <w:szCs w:val="18"/>
    </w:rPr>
  </w:style>
  <w:style w:type="paragraph" w:customStyle="1" w:styleId="Heading21">
    <w:name w:val="Heading 21"/>
    <w:basedOn w:val="Normal"/>
    <w:next w:val="Normal"/>
    <w:uiPriority w:val="9"/>
    <w:unhideWhenUsed/>
    <w:qFormat/>
    <w:rsid w:val="0079130E"/>
    <w:pPr>
      <w:keepNext/>
      <w:keepLines/>
      <w:spacing w:before="160" w:after="80" w:line="278" w:lineRule="auto"/>
      <w:outlineLvl w:val="1"/>
    </w:pPr>
    <w:rPr>
      <w:rFonts w:ascii="Calibri Light" w:hAnsi="Calibri Light"/>
      <w:color w:val="2F5496"/>
      <w:kern w:val="2"/>
      <w:sz w:val="32"/>
      <w:szCs w:val="32"/>
    </w:rPr>
  </w:style>
  <w:style w:type="paragraph" w:customStyle="1" w:styleId="Heading31">
    <w:name w:val="Heading 31"/>
    <w:basedOn w:val="Normal"/>
    <w:next w:val="Normal"/>
    <w:uiPriority w:val="9"/>
    <w:unhideWhenUsed/>
    <w:qFormat/>
    <w:rsid w:val="0079130E"/>
    <w:pPr>
      <w:keepNext/>
      <w:keepLines/>
      <w:spacing w:before="160" w:after="80" w:line="278" w:lineRule="auto"/>
      <w:outlineLvl w:val="2"/>
    </w:pPr>
    <w:rPr>
      <w:rFonts w:ascii="Calibri" w:hAnsi="Calibri"/>
      <w:color w:val="2F5496"/>
      <w:kern w:val="2"/>
      <w:sz w:val="28"/>
      <w:szCs w:val="28"/>
    </w:rPr>
  </w:style>
  <w:style w:type="paragraph" w:customStyle="1" w:styleId="Heading41">
    <w:name w:val="Heading 41"/>
    <w:basedOn w:val="Normal"/>
    <w:next w:val="Normal"/>
    <w:uiPriority w:val="9"/>
    <w:unhideWhenUsed/>
    <w:qFormat/>
    <w:rsid w:val="0079130E"/>
    <w:pPr>
      <w:keepNext/>
      <w:keepLines/>
      <w:spacing w:before="80" w:after="40" w:line="278" w:lineRule="auto"/>
      <w:outlineLvl w:val="3"/>
    </w:pPr>
    <w:rPr>
      <w:rFonts w:ascii="Calibri" w:hAnsi="Calibri"/>
      <w:i/>
      <w:iCs/>
      <w:color w:val="2F5496"/>
      <w:kern w:val="2"/>
      <w:sz w:val="24"/>
      <w:szCs w:val="24"/>
    </w:rPr>
  </w:style>
  <w:style w:type="paragraph" w:customStyle="1" w:styleId="Heading51">
    <w:name w:val="Heading 51"/>
    <w:basedOn w:val="Normal"/>
    <w:next w:val="Normal"/>
    <w:uiPriority w:val="9"/>
    <w:semiHidden/>
    <w:unhideWhenUsed/>
    <w:qFormat/>
    <w:rsid w:val="0079130E"/>
    <w:pPr>
      <w:keepNext/>
      <w:keepLines/>
      <w:spacing w:before="80" w:after="40" w:line="278" w:lineRule="auto"/>
      <w:outlineLvl w:val="4"/>
    </w:pPr>
    <w:rPr>
      <w:rFonts w:ascii="Calibri" w:hAnsi="Calibri"/>
      <w:color w:val="2F5496"/>
      <w:kern w:val="2"/>
      <w:sz w:val="24"/>
      <w:szCs w:val="24"/>
    </w:rPr>
  </w:style>
  <w:style w:type="paragraph" w:customStyle="1" w:styleId="Heading61">
    <w:name w:val="Heading 61"/>
    <w:basedOn w:val="Normal"/>
    <w:next w:val="Normal"/>
    <w:uiPriority w:val="9"/>
    <w:semiHidden/>
    <w:unhideWhenUsed/>
    <w:qFormat/>
    <w:rsid w:val="0079130E"/>
    <w:pPr>
      <w:keepNext/>
      <w:keepLines/>
      <w:spacing w:before="40" w:line="278" w:lineRule="auto"/>
      <w:outlineLvl w:val="5"/>
    </w:pPr>
    <w:rPr>
      <w:rFonts w:ascii="Calibri" w:hAnsi="Calibri"/>
      <w:i/>
      <w:iCs/>
      <w:color w:val="595959"/>
      <w:kern w:val="2"/>
      <w:sz w:val="24"/>
      <w:szCs w:val="24"/>
    </w:rPr>
  </w:style>
  <w:style w:type="paragraph" w:customStyle="1" w:styleId="Heading71">
    <w:name w:val="Heading 71"/>
    <w:basedOn w:val="Normal"/>
    <w:next w:val="Normal"/>
    <w:uiPriority w:val="9"/>
    <w:semiHidden/>
    <w:unhideWhenUsed/>
    <w:qFormat/>
    <w:rsid w:val="0079130E"/>
    <w:pPr>
      <w:keepNext/>
      <w:keepLines/>
      <w:spacing w:before="40" w:line="278" w:lineRule="auto"/>
      <w:outlineLvl w:val="6"/>
    </w:pPr>
    <w:rPr>
      <w:rFonts w:ascii="Calibri" w:hAnsi="Calibri"/>
      <w:color w:val="595959"/>
      <w:kern w:val="2"/>
      <w:sz w:val="24"/>
      <w:szCs w:val="24"/>
    </w:rPr>
  </w:style>
  <w:style w:type="paragraph" w:customStyle="1" w:styleId="Heading81">
    <w:name w:val="Heading 81"/>
    <w:basedOn w:val="Normal"/>
    <w:next w:val="Normal"/>
    <w:uiPriority w:val="9"/>
    <w:semiHidden/>
    <w:unhideWhenUsed/>
    <w:qFormat/>
    <w:rsid w:val="0079130E"/>
    <w:pPr>
      <w:keepNext/>
      <w:keepLines/>
      <w:spacing w:line="278" w:lineRule="auto"/>
      <w:outlineLvl w:val="7"/>
    </w:pPr>
    <w:rPr>
      <w:rFonts w:ascii="Calibri" w:hAnsi="Calibri"/>
      <w:i/>
      <w:iCs/>
      <w:color w:val="272727"/>
      <w:kern w:val="2"/>
      <w:sz w:val="24"/>
      <w:szCs w:val="24"/>
    </w:rPr>
  </w:style>
  <w:style w:type="paragraph" w:customStyle="1" w:styleId="Heading91">
    <w:name w:val="Heading 91"/>
    <w:basedOn w:val="Normal"/>
    <w:next w:val="Normal"/>
    <w:uiPriority w:val="9"/>
    <w:semiHidden/>
    <w:unhideWhenUsed/>
    <w:qFormat/>
    <w:rsid w:val="0079130E"/>
    <w:pPr>
      <w:keepNext/>
      <w:keepLines/>
      <w:spacing w:line="278" w:lineRule="auto"/>
      <w:outlineLvl w:val="8"/>
    </w:pPr>
    <w:rPr>
      <w:rFonts w:ascii="Calibri" w:hAnsi="Calibri"/>
      <w:color w:val="272727"/>
      <w:kern w:val="2"/>
      <w:sz w:val="24"/>
      <w:szCs w:val="24"/>
    </w:rPr>
  </w:style>
  <w:style w:type="numbering" w:customStyle="1" w:styleId="NoList1">
    <w:name w:val="No List1"/>
    <w:next w:val="NoList"/>
    <w:uiPriority w:val="99"/>
    <w:semiHidden/>
    <w:unhideWhenUsed/>
    <w:rsid w:val="0079130E"/>
  </w:style>
  <w:style w:type="character" w:customStyle="1" w:styleId="Heading1Char">
    <w:name w:val="Heading 1 Char"/>
    <w:basedOn w:val="DefaultParagraphFont"/>
    <w:link w:val="Heading1"/>
    <w:uiPriority w:val="9"/>
    <w:rsid w:val="0079130E"/>
    <w:rPr>
      <w:rFonts w:ascii="Arial" w:hAnsi="Arial"/>
      <w:b/>
      <w:kern w:val="28"/>
      <w:sz w:val="28"/>
    </w:rPr>
  </w:style>
  <w:style w:type="character" w:customStyle="1" w:styleId="Heading2Char">
    <w:name w:val="Heading 2 Char"/>
    <w:basedOn w:val="DefaultParagraphFont"/>
    <w:link w:val="Heading2"/>
    <w:uiPriority w:val="9"/>
    <w:rsid w:val="0079130E"/>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rsid w:val="0079130E"/>
    <w:rPr>
      <w:rFonts w:eastAsia="Times New Roman" w:cs="Times New Roman"/>
      <w:color w:val="2F5496"/>
      <w:sz w:val="28"/>
      <w:szCs w:val="28"/>
    </w:rPr>
  </w:style>
  <w:style w:type="character" w:customStyle="1" w:styleId="Heading4Char">
    <w:name w:val="Heading 4 Char"/>
    <w:basedOn w:val="DefaultParagraphFont"/>
    <w:link w:val="Heading4"/>
    <w:uiPriority w:val="9"/>
    <w:rsid w:val="0079130E"/>
    <w:rPr>
      <w:rFonts w:eastAsia="Times New Roman" w:cs="Times New Roman"/>
      <w:i/>
      <w:iCs/>
      <w:color w:val="2F5496"/>
    </w:rPr>
  </w:style>
  <w:style w:type="character" w:customStyle="1" w:styleId="Heading5Char">
    <w:name w:val="Heading 5 Char"/>
    <w:basedOn w:val="DefaultParagraphFont"/>
    <w:link w:val="Heading5"/>
    <w:uiPriority w:val="9"/>
    <w:semiHidden/>
    <w:rsid w:val="0079130E"/>
    <w:rPr>
      <w:rFonts w:eastAsia="Times New Roman" w:cs="Times New Roman"/>
      <w:color w:val="2F5496"/>
    </w:rPr>
  </w:style>
  <w:style w:type="character" w:customStyle="1" w:styleId="Heading6Char">
    <w:name w:val="Heading 6 Char"/>
    <w:basedOn w:val="DefaultParagraphFont"/>
    <w:link w:val="Heading6"/>
    <w:uiPriority w:val="9"/>
    <w:semiHidden/>
    <w:rsid w:val="0079130E"/>
    <w:rPr>
      <w:rFonts w:eastAsia="Times New Roman" w:cs="Times New Roman"/>
      <w:i/>
      <w:iCs/>
      <w:color w:val="595959"/>
    </w:rPr>
  </w:style>
  <w:style w:type="character" w:customStyle="1" w:styleId="Heading7Char">
    <w:name w:val="Heading 7 Char"/>
    <w:basedOn w:val="DefaultParagraphFont"/>
    <w:link w:val="Heading7"/>
    <w:uiPriority w:val="9"/>
    <w:semiHidden/>
    <w:rsid w:val="0079130E"/>
    <w:rPr>
      <w:rFonts w:eastAsia="Times New Roman" w:cs="Times New Roman"/>
      <w:color w:val="595959"/>
    </w:rPr>
  </w:style>
  <w:style w:type="character" w:customStyle="1" w:styleId="Heading8Char">
    <w:name w:val="Heading 8 Char"/>
    <w:basedOn w:val="DefaultParagraphFont"/>
    <w:link w:val="Heading8"/>
    <w:uiPriority w:val="9"/>
    <w:semiHidden/>
    <w:rsid w:val="0079130E"/>
    <w:rPr>
      <w:rFonts w:eastAsia="Times New Roman" w:cs="Times New Roman"/>
      <w:i/>
      <w:iCs/>
      <w:color w:val="272727"/>
    </w:rPr>
  </w:style>
  <w:style w:type="character" w:customStyle="1" w:styleId="Heading9Char">
    <w:name w:val="Heading 9 Char"/>
    <w:basedOn w:val="DefaultParagraphFont"/>
    <w:link w:val="Heading9"/>
    <w:uiPriority w:val="9"/>
    <w:semiHidden/>
    <w:rsid w:val="0079130E"/>
    <w:rPr>
      <w:rFonts w:eastAsia="Times New Roman" w:cs="Times New Roman"/>
      <w:color w:val="272727"/>
    </w:rPr>
  </w:style>
  <w:style w:type="character" w:customStyle="1" w:styleId="TitleChar">
    <w:name w:val="Title Char"/>
    <w:basedOn w:val="DefaultParagraphFont"/>
    <w:link w:val="Title"/>
    <w:uiPriority w:val="10"/>
    <w:rsid w:val="0079130E"/>
    <w:rPr>
      <w:rFonts w:ascii="Helvetica" w:hAnsi="Helvetica"/>
      <w:b/>
      <w:kern w:val="28"/>
      <w:sz w:val="36"/>
    </w:rPr>
  </w:style>
  <w:style w:type="paragraph" w:customStyle="1" w:styleId="Subtitle1">
    <w:name w:val="Subtitle1"/>
    <w:basedOn w:val="Normal"/>
    <w:next w:val="Normal"/>
    <w:uiPriority w:val="11"/>
    <w:qFormat/>
    <w:rsid w:val="0079130E"/>
    <w:pPr>
      <w:numPr>
        <w:ilvl w:val="1"/>
      </w:numPr>
      <w:spacing w:after="160" w:line="278" w:lineRule="auto"/>
    </w:pPr>
    <w:rPr>
      <w:rFonts w:ascii="Calibri" w:hAnsi="Calibri"/>
      <w:color w:val="595959"/>
      <w:spacing w:val="15"/>
      <w:kern w:val="2"/>
      <w:sz w:val="28"/>
      <w:szCs w:val="28"/>
    </w:rPr>
  </w:style>
  <w:style w:type="character" w:customStyle="1" w:styleId="SubtitleChar">
    <w:name w:val="Subtitle Char"/>
    <w:basedOn w:val="DefaultParagraphFont"/>
    <w:link w:val="Subtitle"/>
    <w:uiPriority w:val="11"/>
    <w:rsid w:val="0079130E"/>
    <w:rPr>
      <w:rFonts w:eastAsia="Times New Roman" w:cs="Times New Roman"/>
      <w:color w:val="595959"/>
      <w:spacing w:val="15"/>
      <w:sz w:val="28"/>
      <w:szCs w:val="28"/>
    </w:rPr>
  </w:style>
  <w:style w:type="paragraph" w:customStyle="1" w:styleId="Quote1">
    <w:name w:val="Quote1"/>
    <w:basedOn w:val="Normal"/>
    <w:next w:val="Normal"/>
    <w:uiPriority w:val="29"/>
    <w:qFormat/>
    <w:rsid w:val="0079130E"/>
    <w:pPr>
      <w:spacing w:before="160" w:after="160" w:line="278" w:lineRule="auto"/>
      <w:jc w:val="center"/>
    </w:pPr>
    <w:rPr>
      <w:rFonts w:ascii="Calibri" w:eastAsia="Calibri" w:hAnsi="Calibri"/>
      <w:i/>
      <w:iCs/>
      <w:color w:val="404040"/>
      <w:kern w:val="2"/>
      <w:sz w:val="24"/>
      <w:szCs w:val="24"/>
    </w:rPr>
  </w:style>
  <w:style w:type="character" w:customStyle="1" w:styleId="QuoteChar">
    <w:name w:val="Quote Char"/>
    <w:basedOn w:val="DefaultParagraphFont"/>
    <w:link w:val="Quote"/>
    <w:uiPriority w:val="29"/>
    <w:rsid w:val="0079130E"/>
    <w:rPr>
      <w:i/>
      <w:iCs/>
      <w:color w:val="404040"/>
    </w:rPr>
  </w:style>
  <w:style w:type="paragraph" w:customStyle="1" w:styleId="ListParagraph1">
    <w:name w:val="List Paragraph1"/>
    <w:basedOn w:val="Normal"/>
    <w:next w:val="ListParagraph"/>
    <w:uiPriority w:val="34"/>
    <w:qFormat/>
    <w:rsid w:val="0079130E"/>
    <w:pPr>
      <w:spacing w:after="160" w:line="278" w:lineRule="auto"/>
      <w:ind w:left="720"/>
      <w:contextualSpacing/>
    </w:pPr>
    <w:rPr>
      <w:rFonts w:ascii="Calibri" w:eastAsia="Calibri" w:hAnsi="Calibri"/>
      <w:kern w:val="2"/>
      <w:sz w:val="24"/>
      <w:szCs w:val="24"/>
    </w:rPr>
  </w:style>
  <w:style w:type="character" w:customStyle="1" w:styleId="IntenseEmphasis1">
    <w:name w:val="Intense Emphasis1"/>
    <w:basedOn w:val="DefaultParagraphFont"/>
    <w:uiPriority w:val="21"/>
    <w:qFormat/>
    <w:rsid w:val="0079130E"/>
    <w:rPr>
      <w:i/>
      <w:iCs/>
      <w:color w:val="2F5496"/>
    </w:rPr>
  </w:style>
  <w:style w:type="paragraph" w:customStyle="1" w:styleId="IntenseQuote1">
    <w:name w:val="Intense Quote1"/>
    <w:basedOn w:val="Normal"/>
    <w:next w:val="Normal"/>
    <w:uiPriority w:val="30"/>
    <w:qFormat/>
    <w:rsid w:val="0079130E"/>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sz w:val="24"/>
      <w:szCs w:val="24"/>
    </w:rPr>
  </w:style>
  <w:style w:type="character" w:customStyle="1" w:styleId="IntenseQuoteChar">
    <w:name w:val="Intense Quote Char"/>
    <w:basedOn w:val="DefaultParagraphFont"/>
    <w:link w:val="IntenseQuote"/>
    <w:uiPriority w:val="30"/>
    <w:rsid w:val="0079130E"/>
    <w:rPr>
      <w:i/>
      <w:iCs/>
      <w:color w:val="2F5496"/>
    </w:rPr>
  </w:style>
  <w:style w:type="character" w:customStyle="1" w:styleId="IntenseReference1">
    <w:name w:val="Intense Reference1"/>
    <w:basedOn w:val="DefaultParagraphFont"/>
    <w:uiPriority w:val="32"/>
    <w:qFormat/>
    <w:rsid w:val="0079130E"/>
    <w:rPr>
      <w:b/>
      <w:bCs/>
      <w:smallCaps/>
      <w:color w:val="2F5496"/>
      <w:spacing w:val="5"/>
    </w:rPr>
  </w:style>
  <w:style w:type="character" w:customStyle="1" w:styleId="HeaderChar">
    <w:name w:val="Header Char"/>
    <w:basedOn w:val="DefaultParagraphFont"/>
    <w:link w:val="Header"/>
    <w:uiPriority w:val="99"/>
    <w:rsid w:val="0079130E"/>
    <w:rPr>
      <w:rFonts w:ascii="Helvetica" w:hAnsi="Helvetica"/>
    </w:rPr>
  </w:style>
  <w:style w:type="character" w:customStyle="1" w:styleId="FooterChar">
    <w:name w:val="Footer Char"/>
    <w:basedOn w:val="DefaultParagraphFont"/>
    <w:link w:val="Footer"/>
    <w:uiPriority w:val="99"/>
    <w:rsid w:val="0079130E"/>
    <w:rPr>
      <w:rFonts w:ascii="Helvetica" w:hAnsi="Helvetica"/>
    </w:rPr>
  </w:style>
  <w:style w:type="table" w:customStyle="1" w:styleId="TableGrid1">
    <w:name w:val="Table Grid1"/>
    <w:basedOn w:val="TableNormal"/>
    <w:next w:val="TableGrid"/>
    <w:uiPriority w:val="39"/>
    <w:rsid w:val="007913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79130E"/>
    <w:rPr>
      <w:rFonts w:ascii="Calibri" w:eastAsia="Calibri" w:hAnsi="Calibri"/>
      <w:kern w:val="2"/>
      <w:sz w:val="24"/>
      <w:szCs w:val="24"/>
    </w:rPr>
  </w:style>
  <w:style w:type="character" w:customStyle="1" w:styleId="Heading2Char1">
    <w:name w:val="Heading 2 Char1"/>
    <w:basedOn w:val="DefaultParagraphFont"/>
    <w:semiHidden/>
    <w:rsid w:val="0079130E"/>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semiHidden/>
    <w:rsid w:val="0079130E"/>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semiHidden/>
    <w:rsid w:val="0079130E"/>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semiHidden/>
    <w:rsid w:val="0079130E"/>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semiHidden/>
    <w:rsid w:val="0079130E"/>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semiHidden/>
    <w:rsid w:val="0079130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semiHidden/>
    <w:rsid w:val="0079130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79130E"/>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79130E"/>
    <w:pPr>
      <w:numPr>
        <w:ilvl w:val="1"/>
      </w:numPr>
      <w:spacing w:after="160"/>
    </w:pPr>
    <w:rPr>
      <w:rFonts w:ascii="Times New Roman" w:hAnsi="Times New Roman"/>
      <w:color w:val="595959"/>
      <w:spacing w:val="15"/>
      <w:sz w:val="28"/>
      <w:szCs w:val="28"/>
    </w:rPr>
  </w:style>
  <w:style w:type="character" w:customStyle="1" w:styleId="SubtitleChar1">
    <w:name w:val="Subtitle Char1"/>
    <w:basedOn w:val="DefaultParagraphFont"/>
    <w:rsid w:val="0079130E"/>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79130E"/>
    <w:pPr>
      <w:spacing w:before="200" w:after="160"/>
      <w:ind w:left="864" w:right="864"/>
      <w:jc w:val="center"/>
    </w:pPr>
    <w:rPr>
      <w:rFonts w:ascii="Times New Roman" w:hAnsi="Times New Roman"/>
      <w:i/>
      <w:iCs/>
      <w:color w:val="404040"/>
    </w:rPr>
  </w:style>
  <w:style w:type="character" w:customStyle="1" w:styleId="QuoteChar1">
    <w:name w:val="Quote Char1"/>
    <w:basedOn w:val="DefaultParagraphFont"/>
    <w:uiPriority w:val="29"/>
    <w:rsid w:val="0079130E"/>
    <w:rPr>
      <w:rFonts w:ascii="Helvetica" w:hAnsi="Helvetica"/>
      <w:i/>
      <w:iCs/>
      <w:color w:val="404040" w:themeColor="text1" w:themeTint="BF"/>
    </w:rPr>
  </w:style>
  <w:style w:type="paragraph" w:styleId="ListParagraph">
    <w:name w:val="List Paragraph"/>
    <w:basedOn w:val="Normal"/>
    <w:uiPriority w:val="34"/>
    <w:qFormat/>
    <w:rsid w:val="0079130E"/>
    <w:pPr>
      <w:ind w:left="720"/>
      <w:contextualSpacing/>
    </w:pPr>
  </w:style>
  <w:style w:type="character" w:styleId="IntenseEmphasis">
    <w:name w:val="Intense Emphasis"/>
    <w:basedOn w:val="DefaultParagraphFont"/>
    <w:uiPriority w:val="21"/>
    <w:qFormat/>
    <w:rsid w:val="0079130E"/>
    <w:rPr>
      <w:i/>
      <w:iCs/>
      <w:color w:val="4F81BD" w:themeColor="accent1"/>
    </w:rPr>
  </w:style>
  <w:style w:type="paragraph" w:styleId="IntenseQuote">
    <w:name w:val="Intense Quote"/>
    <w:basedOn w:val="Normal"/>
    <w:next w:val="Normal"/>
    <w:link w:val="IntenseQuoteChar"/>
    <w:uiPriority w:val="30"/>
    <w:qFormat/>
    <w:rsid w:val="0079130E"/>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2F5496"/>
    </w:rPr>
  </w:style>
  <w:style w:type="character" w:customStyle="1" w:styleId="IntenseQuoteChar1">
    <w:name w:val="Intense Quote Char1"/>
    <w:basedOn w:val="DefaultParagraphFont"/>
    <w:uiPriority w:val="30"/>
    <w:rsid w:val="0079130E"/>
    <w:rPr>
      <w:rFonts w:ascii="Helvetica" w:hAnsi="Helvetica"/>
      <w:i/>
      <w:iCs/>
      <w:color w:val="4F81BD" w:themeColor="accent1"/>
    </w:rPr>
  </w:style>
  <w:style w:type="character" w:styleId="IntenseReference">
    <w:name w:val="Intense Reference"/>
    <w:basedOn w:val="DefaultParagraphFont"/>
    <w:uiPriority w:val="32"/>
    <w:qFormat/>
    <w:rsid w:val="0079130E"/>
    <w:rPr>
      <w:b/>
      <w:bCs/>
      <w:smallCaps/>
      <w:color w:val="4F81BD" w:themeColor="accent1"/>
      <w:spacing w:val="5"/>
    </w:rPr>
  </w:style>
  <w:style w:type="paragraph" w:styleId="NoSpacing">
    <w:name w:val="No Spacing"/>
    <w:uiPriority w:val="1"/>
    <w:qFormat/>
    <w:rsid w:val="0079130E"/>
    <w:rPr>
      <w:rFonts w:ascii="Helvetica" w:hAnsi="Helvetica"/>
    </w:rPr>
  </w:style>
  <w:style w:type="paragraph" w:styleId="Revision">
    <w:name w:val="Revision"/>
    <w:hidden/>
    <w:uiPriority w:val="99"/>
    <w:semiHidden/>
    <w:rsid w:val="004D404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package" Target="embeddings/Microsoft_PowerPoint_Presentation.pptx"/><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PowerPoint_Presentation2.ppt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package" Target="embeddings/Microsoft_PowerPoint_Presentation1.pptx"/><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7726B-6F59-41DD-B4FA-9F72DEB0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TotalTime>
  <Pages>19</Pages>
  <Words>7268</Words>
  <Characters>41431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48602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16</cp:revision>
  <cp:lastPrinted>1999-07-06T11:00:00Z</cp:lastPrinted>
  <dcterms:created xsi:type="dcterms:W3CDTF">2014-10-25T14:34:00Z</dcterms:created>
  <dcterms:modified xsi:type="dcterms:W3CDTF">2025-11-22T07:46:00Z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2f81abb8-dbac-4c5a-b0ab-246ccf8941e5</vt:lpwstr>
  </property>
</Properties>
</file>