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D3B798" w14:textId="263CD170" w:rsidR="00A966BC" w:rsidRDefault="00A966BC" w:rsidP="00967EBA">
      <w:pPr>
        <w:jc w:val="center"/>
        <w:rPr>
          <w:rFonts w:ascii="Times New Roman" w:hAnsi="Times New Roman" w:cs="Times New Roman"/>
          <w:b/>
          <w:sz w:val="24"/>
          <w:szCs w:val="24"/>
        </w:rPr>
      </w:pPr>
      <w:r w:rsidRPr="00832A07">
        <w:rPr>
          <w:rFonts w:ascii="Times New Roman" w:hAnsi="Times New Roman" w:cs="Times New Roman"/>
          <w:b/>
          <w:sz w:val="24"/>
          <w:szCs w:val="24"/>
        </w:rPr>
        <w:t>A Biomedical Engineering–Inspired Smart Housing System for Autonomous Human Thermoregulation Using Bio-Humid Wall Bricks</w:t>
      </w:r>
      <w:r w:rsidR="00354A40">
        <w:rPr>
          <w:rFonts w:ascii="Times New Roman" w:hAnsi="Times New Roman" w:cs="Times New Roman"/>
          <w:b/>
          <w:sz w:val="24"/>
          <w:szCs w:val="24"/>
        </w:rPr>
        <w:t>: A Comprehensive R</w:t>
      </w:r>
      <w:r w:rsidR="007F4373" w:rsidRPr="00832A07">
        <w:rPr>
          <w:rFonts w:ascii="Times New Roman" w:hAnsi="Times New Roman" w:cs="Times New Roman"/>
          <w:b/>
          <w:sz w:val="24"/>
          <w:szCs w:val="24"/>
        </w:rPr>
        <w:t>eview</w:t>
      </w:r>
    </w:p>
    <w:p w14:paraId="71C9049B" w14:textId="0E2AD79E" w:rsidR="00C626C9" w:rsidRPr="00832A07" w:rsidRDefault="00C626C9" w:rsidP="00516F68">
      <w:pPr>
        <w:spacing w:after="0" w:line="276" w:lineRule="auto"/>
        <w:rPr>
          <w:rFonts w:ascii="Times New Roman" w:hAnsi="Times New Roman" w:cs="Times New Roman"/>
          <w:sz w:val="24"/>
          <w:szCs w:val="24"/>
        </w:rPr>
      </w:pPr>
    </w:p>
    <w:p w14:paraId="15897841" w14:textId="77777777" w:rsidR="00A966BC" w:rsidRPr="00832A07" w:rsidRDefault="00A966BC" w:rsidP="00A966BC">
      <w:pPr>
        <w:spacing w:before="100" w:beforeAutospacing="1" w:after="100" w:afterAutospacing="1" w:line="240" w:lineRule="auto"/>
        <w:outlineLvl w:val="1"/>
        <w:rPr>
          <w:rFonts w:ascii="Times New Roman" w:eastAsia="Times New Roman" w:hAnsi="Times New Roman" w:cs="Times New Roman"/>
          <w:b/>
          <w:bCs/>
          <w:sz w:val="24"/>
          <w:szCs w:val="24"/>
        </w:rPr>
      </w:pPr>
      <w:r w:rsidRPr="00832A07">
        <w:rPr>
          <w:rFonts w:ascii="Times New Roman" w:eastAsia="Times New Roman" w:hAnsi="Times New Roman" w:cs="Times New Roman"/>
          <w:b/>
          <w:bCs/>
          <w:sz w:val="24"/>
          <w:szCs w:val="24"/>
        </w:rPr>
        <w:t>Abstract</w:t>
      </w:r>
    </w:p>
    <w:p w14:paraId="55D71D05" w14:textId="77777777" w:rsidR="00A966BC" w:rsidRPr="00F958B7" w:rsidRDefault="00A966BC" w:rsidP="00A966BC">
      <w:pPr>
        <w:jc w:val="both"/>
        <w:rPr>
          <w:rFonts w:ascii="Times New Roman" w:hAnsi="Times New Roman" w:cs="Times New Roman"/>
          <w:sz w:val="24"/>
          <w:szCs w:val="24"/>
        </w:rPr>
      </w:pPr>
      <w:r w:rsidRPr="00F958B7">
        <w:rPr>
          <w:rFonts w:ascii="Times New Roman" w:hAnsi="Times New Roman" w:cs="Times New Roman"/>
          <w:sz w:val="24"/>
          <w:szCs w:val="24"/>
        </w:rPr>
        <w:t>Human thermoregu</w:t>
      </w:r>
      <w:r w:rsidR="00BF2824">
        <w:rPr>
          <w:rFonts w:ascii="Times New Roman" w:hAnsi="Times New Roman" w:cs="Times New Roman"/>
          <w:sz w:val="24"/>
          <w:szCs w:val="24"/>
        </w:rPr>
        <w:t xml:space="preserve">lation is a biologically </w:t>
      </w:r>
      <w:proofErr w:type="spellStart"/>
      <w:r w:rsidR="00BF2824">
        <w:rPr>
          <w:rFonts w:ascii="Times New Roman" w:hAnsi="Times New Roman" w:cs="Times New Roman"/>
          <w:sz w:val="24"/>
          <w:szCs w:val="24"/>
        </w:rPr>
        <w:t>optimis</w:t>
      </w:r>
      <w:r w:rsidRPr="00F958B7">
        <w:rPr>
          <w:rFonts w:ascii="Times New Roman" w:hAnsi="Times New Roman" w:cs="Times New Roman"/>
          <w:sz w:val="24"/>
          <w:szCs w:val="24"/>
        </w:rPr>
        <w:t>ed</w:t>
      </w:r>
      <w:proofErr w:type="spellEnd"/>
      <w:r w:rsidRPr="00F958B7">
        <w:rPr>
          <w:rFonts w:ascii="Times New Roman" w:hAnsi="Times New Roman" w:cs="Times New Roman"/>
          <w:sz w:val="24"/>
          <w:szCs w:val="24"/>
        </w:rPr>
        <w:t xml:space="preserve"> process that maintains internal body temperature within a narrow physiological range despite fluctuating environmental conditions. Conventional residential buildings rarely incorporate such biological principles and instead re</w:t>
      </w:r>
      <w:r w:rsidR="00FA0F37">
        <w:rPr>
          <w:rFonts w:ascii="Times New Roman" w:hAnsi="Times New Roman" w:cs="Times New Roman"/>
          <w:sz w:val="24"/>
          <w:szCs w:val="24"/>
        </w:rPr>
        <w:t>ly heavily on energy-intensive Heating, Ventilation, and A</w:t>
      </w:r>
      <w:r w:rsidR="00670737">
        <w:rPr>
          <w:rFonts w:ascii="Times New Roman" w:hAnsi="Times New Roman" w:cs="Times New Roman"/>
          <w:sz w:val="24"/>
          <w:szCs w:val="24"/>
        </w:rPr>
        <w:t>ir-C</w:t>
      </w:r>
      <w:r w:rsidRPr="00F958B7">
        <w:rPr>
          <w:rFonts w:ascii="Times New Roman" w:hAnsi="Times New Roman" w:cs="Times New Roman"/>
          <w:sz w:val="24"/>
          <w:szCs w:val="24"/>
        </w:rPr>
        <w:t>onditioning (HVAC) systems. This reliance contributes significantly to global energy consumption</w:t>
      </w:r>
      <w:r w:rsidR="001D39B2">
        <w:rPr>
          <w:rFonts w:ascii="Times New Roman" w:hAnsi="Times New Roman" w:cs="Times New Roman"/>
          <w:sz w:val="24"/>
          <w:szCs w:val="24"/>
        </w:rPr>
        <w:t>,</w:t>
      </w:r>
      <w:r w:rsidRPr="00F958B7">
        <w:rPr>
          <w:rFonts w:ascii="Times New Roman" w:hAnsi="Times New Roman" w:cs="Times New Roman"/>
          <w:sz w:val="24"/>
          <w:szCs w:val="24"/>
        </w:rPr>
        <w:t xml:space="preserve"> while often providing suboptimal thermal comfort. In this study, a biomedical e</w:t>
      </w:r>
      <w:bookmarkStart w:id="0" w:name="_GoBack"/>
      <w:bookmarkEnd w:id="0"/>
      <w:r w:rsidRPr="00F958B7">
        <w:rPr>
          <w:rFonts w:ascii="Times New Roman" w:hAnsi="Times New Roman" w:cs="Times New Roman"/>
          <w:sz w:val="24"/>
          <w:szCs w:val="24"/>
        </w:rPr>
        <w:t>ngineering–inspired smart housing concept is proposed, in which the building envelope functions analogously to human skin using bio-humid wall bricks. These bricks are composed of hygroscopic and porous bio-based materials capable of regulating indoor temperature through moisture absorption, evaporative cooling, and thermal buffering. Drawing inspirat</w:t>
      </w:r>
      <w:r w:rsidR="001D761F">
        <w:rPr>
          <w:rFonts w:ascii="Times New Roman" w:hAnsi="Times New Roman" w:cs="Times New Roman"/>
          <w:sz w:val="24"/>
          <w:szCs w:val="24"/>
        </w:rPr>
        <w:t xml:space="preserve">ion from sweating, vasodilation </w:t>
      </w:r>
      <w:r w:rsidRPr="00F958B7">
        <w:rPr>
          <w:rFonts w:ascii="Times New Roman" w:hAnsi="Times New Roman" w:cs="Times New Roman"/>
          <w:sz w:val="24"/>
          <w:szCs w:val="24"/>
        </w:rPr>
        <w:t>and heat-moisture exchange processes in human physiology, the system passively adapts to environmental changes. Governing heat and mass transfer equations are developed alongside physiological thermal comfort models. The proposed framework demonstrates the potential to reduce indoor temperature fluctuations, i</w:t>
      </w:r>
      <w:r w:rsidR="00D26798">
        <w:rPr>
          <w:rFonts w:ascii="Times New Roman" w:hAnsi="Times New Roman" w:cs="Times New Roman"/>
          <w:sz w:val="24"/>
          <w:szCs w:val="24"/>
        </w:rPr>
        <w:t>mprove occupant thermal comfort</w:t>
      </w:r>
      <w:r w:rsidRPr="00F958B7">
        <w:rPr>
          <w:rFonts w:ascii="Times New Roman" w:hAnsi="Times New Roman" w:cs="Times New Roman"/>
          <w:sz w:val="24"/>
          <w:szCs w:val="24"/>
        </w:rPr>
        <w:t xml:space="preserve"> and reduce energy demand, particularly in hot and humid climates.</w:t>
      </w:r>
    </w:p>
    <w:p w14:paraId="388126A1" w14:textId="77777777" w:rsidR="00A966BC" w:rsidRPr="00F958B7" w:rsidRDefault="00A966BC" w:rsidP="00195001">
      <w:pPr>
        <w:ind w:left="1276" w:hanging="1276"/>
        <w:jc w:val="both"/>
        <w:rPr>
          <w:rFonts w:ascii="Times New Roman" w:hAnsi="Times New Roman" w:cs="Times New Roman"/>
          <w:sz w:val="24"/>
          <w:szCs w:val="24"/>
        </w:rPr>
      </w:pPr>
      <w:r w:rsidRPr="00F958B7">
        <w:rPr>
          <w:rFonts w:ascii="Times New Roman" w:hAnsi="Times New Roman" w:cs="Times New Roman"/>
          <w:b/>
          <w:sz w:val="24"/>
          <w:szCs w:val="24"/>
        </w:rPr>
        <w:t>Keywords:</w:t>
      </w:r>
      <w:r w:rsidR="00DE14EF">
        <w:rPr>
          <w:rFonts w:ascii="Times New Roman" w:hAnsi="Times New Roman" w:cs="Times New Roman"/>
          <w:sz w:val="24"/>
          <w:szCs w:val="24"/>
        </w:rPr>
        <w:t xml:space="preserve"> B</w:t>
      </w:r>
      <w:r w:rsidR="00BC5EDB">
        <w:rPr>
          <w:rFonts w:ascii="Times New Roman" w:hAnsi="Times New Roman" w:cs="Times New Roman"/>
          <w:sz w:val="24"/>
          <w:szCs w:val="24"/>
        </w:rPr>
        <w:t>io-humid bricks, Passive cooling, Biomimicry, T</w:t>
      </w:r>
      <w:r w:rsidR="00195001">
        <w:rPr>
          <w:rFonts w:ascii="Times New Roman" w:hAnsi="Times New Roman" w:cs="Times New Roman"/>
          <w:sz w:val="24"/>
          <w:szCs w:val="24"/>
        </w:rPr>
        <w:t xml:space="preserve">hermal comfort, </w:t>
      </w:r>
      <w:r w:rsidR="000B080B">
        <w:rPr>
          <w:rFonts w:ascii="Times New Roman" w:hAnsi="Times New Roman" w:cs="Times New Roman"/>
          <w:sz w:val="24"/>
        </w:rPr>
        <w:t>B</w:t>
      </w:r>
      <w:r w:rsidR="00B32AA6">
        <w:rPr>
          <w:rFonts w:ascii="Times New Roman" w:hAnsi="Times New Roman" w:cs="Times New Roman"/>
          <w:sz w:val="24"/>
        </w:rPr>
        <w:t>iomedical T</w:t>
      </w:r>
      <w:r w:rsidR="00B32AA6" w:rsidRPr="00B260B9">
        <w:rPr>
          <w:rFonts w:ascii="Times New Roman" w:hAnsi="Times New Roman" w:cs="Times New Roman"/>
          <w:sz w:val="24"/>
        </w:rPr>
        <w:t>hermoregulation</w:t>
      </w:r>
      <w:r w:rsidR="000B080B">
        <w:rPr>
          <w:rFonts w:ascii="Times New Roman" w:hAnsi="Times New Roman" w:cs="Times New Roman"/>
          <w:sz w:val="24"/>
        </w:rPr>
        <w:t>,</w:t>
      </w:r>
      <w:r w:rsidR="00B32AA6" w:rsidRPr="00B260B9">
        <w:rPr>
          <w:rFonts w:ascii="Times New Roman" w:hAnsi="Times New Roman" w:cs="Times New Roman"/>
          <w:sz w:val="24"/>
        </w:rPr>
        <w:t xml:space="preserve"> </w:t>
      </w:r>
      <w:r w:rsidR="00195001">
        <w:rPr>
          <w:rFonts w:ascii="Times New Roman" w:hAnsi="Times New Roman" w:cs="Times New Roman"/>
          <w:sz w:val="24"/>
          <w:szCs w:val="24"/>
        </w:rPr>
        <w:t>S</w:t>
      </w:r>
      <w:r w:rsidR="00D35DB9">
        <w:rPr>
          <w:rFonts w:ascii="Times New Roman" w:hAnsi="Times New Roman" w:cs="Times New Roman"/>
          <w:sz w:val="24"/>
          <w:szCs w:val="24"/>
        </w:rPr>
        <w:t>ustainable B</w:t>
      </w:r>
      <w:r w:rsidRPr="00F958B7">
        <w:rPr>
          <w:rFonts w:ascii="Times New Roman" w:hAnsi="Times New Roman" w:cs="Times New Roman"/>
          <w:sz w:val="24"/>
          <w:szCs w:val="24"/>
        </w:rPr>
        <w:t>uildings</w:t>
      </w:r>
    </w:p>
    <w:p w14:paraId="4DB3B1D9" w14:textId="77777777" w:rsidR="00A966BC" w:rsidRDefault="00A966BC" w:rsidP="00A966BC">
      <w:pPr>
        <w:spacing w:after="0" w:line="240" w:lineRule="auto"/>
        <w:rPr>
          <w:rFonts w:ascii="Times New Roman" w:eastAsia="Times New Roman" w:hAnsi="Times New Roman" w:cs="Times New Roman"/>
          <w:sz w:val="24"/>
          <w:szCs w:val="24"/>
        </w:rPr>
      </w:pPr>
    </w:p>
    <w:p w14:paraId="01BAB6FD" w14:textId="77777777" w:rsidR="00435A72" w:rsidRDefault="00435A72" w:rsidP="00A966BC">
      <w:pPr>
        <w:spacing w:after="0" w:line="240" w:lineRule="auto"/>
        <w:rPr>
          <w:rFonts w:ascii="Times New Roman" w:eastAsia="Times New Roman" w:hAnsi="Times New Roman" w:cs="Times New Roman"/>
          <w:sz w:val="24"/>
          <w:szCs w:val="24"/>
        </w:rPr>
      </w:pPr>
    </w:p>
    <w:p w14:paraId="730AC3A0" w14:textId="77777777" w:rsidR="00435A72" w:rsidRDefault="00435A72" w:rsidP="00A966BC">
      <w:pPr>
        <w:spacing w:after="0" w:line="240" w:lineRule="auto"/>
        <w:rPr>
          <w:rFonts w:ascii="Times New Roman" w:eastAsia="Times New Roman" w:hAnsi="Times New Roman" w:cs="Times New Roman"/>
          <w:sz w:val="24"/>
          <w:szCs w:val="24"/>
        </w:rPr>
      </w:pPr>
    </w:p>
    <w:p w14:paraId="7EFFC869" w14:textId="77777777" w:rsidR="00435A72" w:rsidRDefault="00435A72" w:rsidP="00A966BC">
      <w:pPr>
        <w:spacing w:after="0" w:line="240" w:lineRule="auto"/>
        <w:rPr>
          <w:rFonts w:ascii="Times New Roman" w:eastAsia="Times New Roman" w:hAnsi="Times New Roman" w:cs="Times New Roman"/>
          <w:sz w:val="24"/>
          <w:szCs w:val="24"/>
        </w:rPr>
      </w:pPr>
    </w:p>
    <w:p w14:paraId="35B85BA8" w14:textId="77777777" w:rsidR="00435A72" w:rsidRDefault="00435A72" w:rsidP="00A966BC">
      <w:pPr>
        <w:spacing w:after="0" w:line="240" w:lineRule="auto"/>
        <w:rPr>
          <w:rFonts w:ascii="Times New Roman" w:eastAsia="Times New Roman" w:hAnsi="Times New Roman" w:cs="Times New Roman"/>
          <w:sz w:val="24"/>
          <w:szCs w:val="24"/>
        </w:rPr>
      </w:pPr>
    </w:p>
    <w:p w14:paraId="7CA10B14" w14:textId="77777777" w:rsidR="00435A72" w:rsidRDefault="00435A72" w:rsidP="00A966BC">
      <w:pPr>
        <w:spacing w:after="0" w:line="240" w:lineRule="auto"/>
        <w:rPr>
          <w:rFonts w:ascii="Times New Roman" w:eastAsia="Times New Roman" w:hAnsi="Times New Roman" w:cs="Times New Roman"/>
          <w:sz w:val="24"/>
          <w:szCs w:val="24"/>
        </w:rPr>
      </w:pPr>
    </w:p>
    <w:p w14:paraId="4932F04E" w14:textId="77777777" w:rsidR="00435A72" w:rsidRDefault="00435A72" w:rsidP="00A966BC">
      <w:pPr>
        <w:spacing w:after="0" w:line="240" w:lineRule="auto"/>
        <w:rPr>
          <w:rFonts w:ascii="Times New Roman" w:eastAsia="Times New Roman" w:hAnsi="Times New Roman" w:cs="Times New Roman"/>
          <w:sz w:val="24"/>
          <w:szCs w:val="24"/>
        </w:rPr>
      </w:pPr>
    </w:p>
    <w:p w14:paraId="4239CBDC" w14:textId="77777777" w:rsidR="00435A72" w:rsidRDefault="00435A72" w:rsidP="00A966BC">
      <w:pPr>
        <w:spacing w:after="0" w:line="240" w:lineRule="auto"/>
        <w:rPr>
          <w:rFonts w:ascii="Times New Roman" w:eastAsia="Times New Roman" w:hAnsi="Times New Roman" w:cs="Times New Roman"/>
          <w:sz w:val="24"/>
          <w:szCs w:val="24"/>
        </w:rPr>
      </w:pPr>
    </w:p>
    <w:p w14:paraId="3E4E8380" w14:textId="77777777" w:rsidR="00435A72" w:rsidRDefault="00435A72" w:rsidP="00A966BC">
      <w:pPr>
        <w:spacing w:after="0" w:line="240" w:lineRule="auto"/>
        <w:rPr>
          <w:rFonts w:ascii="Times New Roman" w:eastAsia="Times New Roman" w:hAnsi="Times New Roman" w:cs="Times New Roman"/>
          <w:sz w:val="24"/>
          <w:szCs w:val="24"/>
        </w:rPr>
      </w:pPr>
    </w:p>
    <w:p w14:paraId="65179167" w14:textId="77777777" w:rsidR="00435A72" w:rsidRDefault="00435A72" w:rsidP="00A966BC">
      <w:pPr>
        <w:spacing w:after="0" w:line="240" w:lineRule="auto"/>
        <w:rPr>
          <w:rFonts w:ascii="Times New Roman" w:eastAsia="Times New Roman" w:hAnsi="Times New Roman" w:cs="Times New Roman"/>
          <w:sz w:val="24"/>
          <w:szCs w:val="24"/>
        </w:rPr>
      </w:pPr>
    </w:p>
    <w:p w14:paraId="5431F655" w14:textId="77777777" w:rsidR="00435A72" w:rsidRDefault="00435A72" w:rsidP="00A966BC">
      <w:pPr>
        <w:spacing w:after="0" w:line="240" w:lineRule="auto"/>
        <w:rPr>
          <w:rFonts w:ascii="Times New Roman" w:eastAsia="Times New Roman" w:hAnsi="Times New Roman" w:cs="Times New Roman"/>
          <w:sz w:val="24"/>
          <w:szCs w:val="24"/>
        </w:rPr>
      </w:pPr>
    </w:p>
    <w:p w14:paraId="1BC3F386" w14:textId="77777777" w:rsidR="00435A72" w:rsidRDefault="00435A72" w:rsidP="00A966BC">
      <w:pPr>
        <w:spacing w:after="0" w:line="240" w:lineRule="auto"/>
        <w:rPr>
          <w:rFonts w:ascii="Times New Roman" w:eastAsia="Times New Roman" w:hAnsi="Times New Roman" w:cs="Times New Roman"/>
          <w:sz w:val="24"/>
          <w:szCs w:val="24"/>
        </w:rPr>
      </w:pPr>
    </w:p>
    <w:p w14:paraId="47620A96" w14:textId="47C299C1" w:rsidR="00435A72" w:rsidRDefault="00435A72" w:rsidP="00A966BC">
      <w:pPr>
        <w:spacing w:after="0" w:line="240" w:lineRule="auto"/>
        <w:rPr>
          <w:rFonts w:ascii="Times New Roman" w:eastAsia="Times New Roman" w:hAnsi="Times New Roman" w:cs="Times New Roman"/>
          <w:sz w:val="24"/>
          <w:szCs w:val="24"/>
        </w:rPr>
      </w:pPr>
    </w:p>
    <w:p w14:paraId="0F916D3D" w14:textId="591874C1" w:rsidR="00C626C9" w:rsidRDefault="00C626C9" w:rsidP="00A966BC">
      <w:pPr>
        <w:spacing w:after="0" w:line="240" w:lineRule="auto"/>
        <w:rPr>
          <w:rFonts w:ascii="Times New Roman" w:eastAsia="Times New Roman" w:hAnsi="Times New Roman" w:cs="Times New Roman"/>
          <w:sz w:val="24"/>
          <w:szCs w:val="24"/>
        </w:rPr>
      </w:pPr>
    </w:p>
    <w:p w14:paraId="1A4407C7" w14:textId="3EEB13D7" w:rsidR="00C626C9" w:rsidRDefault="00C626C9" w:rsidP="00A966BC">
      <w:pPr>
        <w:spacing w:after="0" w:line="240" w:lineRule="auto"/>
        <w:rPr>
          <w:rFonts w:ascii="Times New Roman" w:eastAsia="Times New Roman" w:hAnsi="Times New Roman" w:cs="Times New Roman"/>
          <w:sz w:val="24"/>
          <w:szCs w:val="24"/>
        </w:rPr>
      </w:pPr>
    </w:p>
    <w:p w14:paraId="5B6501EF" w14:textId="77777777" w:rsidR="00C626C9" w:rsidRDefault="00C626C9" w:rsidP="00A966BC">
      <w:pPr>
        <w:spacing w:after="0" w:line="240" w:lineRule="auto"/>
        <w:rPr>
          <w:rFonts w:ascii="Times New Roman" w:eastAsia="Times New Roman" w:hAnsi="Times New Roman" w:cs="Times New Roman"/>
          <w:sz w:val="24"/>
          <w:szCs w:val="24"/>
        </w:rPr>
      </w:pPr>
    </w:p>
    <w:p w14:paraId="173CEB18" w14:textId="77777777" w:rsidR="00435A72" w:rsidRPr="00F958B7" w:rsidRDefault="00435A72" w:rsidP="00A966BC">
      <w:pPr>
        <w:spacing w:after="0" w:line="240" w:lineRule="auto"/>
        <w:rPr>
          <w:rFonts w:ascii="Times New Roman" w:eastAsia="Times New Roman" w:hAnsi="Times New Roman" w:cs="Times New Roman"/>
          <w:sz w:val="24"/>
          <w:szCs w:val="24"/>
        </w:rPr>
      </w:pPr>
    </w:p>
    <w:p w14:paraId="1713BFF4" w14:textId="77777777" w:rsidR="00A966BC" w:rsidRPr="00F958B7" w:rsidRDefault="00A966BC" w:rsidP="00B60041">
      <w:pPr>
        <w:pStyle w:val="Heading1"/>
      </w:pPr>
      <w:r w:rsidRPr="00F958B7">
        <w:t>1. Introduction</w:t>
      </w:r>
    </w:p>
    <w:p w14:paraId="6BB7AB03" w14:textId="77777777" w:rsidR="00E40048" w:rsidRDefault="00B260B9" w:rsidP="006B2A22">
      <w:pPr>
        <w:jc w:val="both"/>
        <w:rPr>
          <w:rFonts w:ascii="Times New Roman" w:hAnsi="Times New Roman" w:cs="Times New Roman"/>
          <w:sz w:val="24"/>
        </w:rPr>
      </w:pPr>
      <w:r w:rsidRPr="00B260B9">
        <w:rPr>
          <w:rFonts w:ascii="Times New Roman" w:hAnsi="Times New Roman" w:cs="Times New Roman"/>
          <w:sz w:val="24"/>
        </w:rPr>
        <w:lastRenderedPageBreak/>
        <w:t xml:space="preserve">Maintaining thermal comfort is essential for human health, cognitive performance, and overall well-being. According to </w:t>
      </w:r>
      <w:proofErr w:type="spellStart"/>
      <w:r w:rsidRPr="00B260B9">
        <w:rPr>
          <w:rFonts w:ascii="Times New Roman" w:hAnsi="Times New Roman" w:cs="Times New Roman"/>
          <w:sz w:val="24"/>
        </w:rPr>
        <w:t>Romanovsky</w:t>
      </w:r>
      <w:proofErr w:type="spellEnd"/>
      <w:r w:rsidRPr="00B260B9">
        <w:rPr>
          <w:rFonts w:ascii="Times New Roman" w:hAnsi="Times New Roman" w:cs="Times New Roman"/>
          <w:sz w:val="24"/>
        </w:rPr>
        <w:t xml:space="preserve"> (2007)</w:t>
      </w:r>
      <w:r w:rsidR="00421E90">
        <w:rPr>
          <w:rFonts w:ascii="Times New Roman" w:hAnsi="Times New Roman" w:cs="Times New Roman"/>
          <w:sz w:val="24"/>
        </w:rPr>
        <w:t xml:space="preserve">, </w:t>
      </w:r>
      <w:proofErr w:type="spellStart"/>
      <w:r w:rsidR="00421E90">
        <w:rPr>
          <w:rFonts w:ascii="Times New Roman" w:hAnsi="Times New Roman" w:cs="Times New Roman"/>
          <w:sz w:val="24"/>
        </w:rPr>
        <w:t>Romanovsky</w:t>
      </w:r>
      <w:proofErr w:type="spellEnd"/>
      <w:r w:rsidR="00421E90">
        <w:rPr>
          <w:rFonts w:ascii="Times New Roman" w:hAnsi="Times New Roman" w:cs="Times New Roman"/>
          <w:sz w:val="24"/>
        </w:rPr>
        <w:t xml:space="preserve"> (2014) </w:t>
      </w:r>
      <w:r w:rsidRPr="00B260B9">
        <w:rPr>
          <w:rFonts w:ascii="Times New Roman" w:hAnsi="Times New Roman" w:cs="Times New Roman"/>
          <w:sz w:val="24"/>
        </w:rPr>
        <w:t>and Parsons (2014), the human body maintains its core temperature</w:t>
      </w:r>
      <w:r w:rsidR="00FE4A53">
        <w:rPr>
          <w:rFonts w:ascii="Times New Roman" w:hAnsi="Times New Roman" w:cs="Times New Roman"/>
          <w:sz w:val="24"/>
        </w:rPr>
        <w:t xml:space="preserve"> within approximately 36.5–37.5</w:t>
      </w:r>
      <w:r w:rsidRPr="00B260B9">
        <w:rPr>
          <w:rFonts w:ascii="Times New Roman" w:hAnsi="Times New Roman" w:cs="Times New Roman"/>
          <w:sz w:val="24"/>
        </w:rPr>
        <w:t>°C through integrated thermoregulatory mechanisms controlled by the hypothalamus. In contrast, most modern buildi</w:t>
      </w:r>
      <w:r w:rsidR="00FE4A53">
        <w:rPr>
          <w:rFonts w:ascii="Times New Roman" w:hAnsi="Times New Roman" w:cs="Times New Roman"/>
          <w:sz w:val="24"/>
        </w:rPr>
        <w:t>ngs rely heavily on mechanical Heating, Ventilation and A</w:t>
      </w:r>
      <w:r w:rsidR="00975B06">
        <w:rPr>
          <w:rFonts w:ascii="Times New Roman" w:hAnsi="Times New Roman" w:cs="Times New Roman"/>
          <w:sz w:val="24"/>
        </w:rPr>
        <w:t>ir-C</w:t>
      </w:r>
      <w:r w:rsidRPr="00B260B9">
        <w:rPr>
          <w:rFonts w:ascii="Times New Roman" w:hAnsi="Times New Roman" w:cs="Times New Roman"/>
          <w:sz w:val="24"/>
        </w:rPr>
        <w:t>onditioning</w:t>
      </w:r>
      <w:r w:rsidR="00FE4A53">
        <w:rPr>
          <w:rFonts w:ascii="Times New Roman" w:hAnsi="Times New Roman" w:cs="Times New Roman"/>
          <w:sz w:val="24"/>
        </w:rPr>
        <w:t xml:space="preserve"> (HVAC)</w:t>
      </w:r>
      <w:r w:rsidRPr="00B260B9">
        <w:rPr>
          <w:rFonts w:ascii="Times New Roman" w:hAnsi="Times New Roman" w:cs="Times New Roman"/>
          <w:sz w:val="24"/>
        </w:rPr>
        <w:t xml:space="preserve"> systems, which contribute significantly to overall building energy consumption, as noted by Perez-Lombard et al. (2</w:t>
      </w:r>
      <w:r w:rsidR="00BE2553">
        <w:rPr>
          <w:rFonts w:ascii="Times New Roman" w:hAnsi="Times New Roman" w:cs="Times New Roman"/>
          <w:sz w:val="24"/>
        </w:rPr>
        <w:t xml:space="preserve">008) and Crawley et al. (2001). </w:t>
      </w:r>
      <w:r w:rsidRPr="00B260B9">
        <w:rPr>
          <w:rFonts w:ascii="Times New Roman" w:hAnsi="Times New Roman" w:cs="Times New Roman"/>
          <w:sz w:val="24"/>
        </w:rPr>
        <w:t xml:space="preserve">Globally, buildings </w:t>
      </w:r>
      <w:r w:rsidR="004A20CC">
        <w:rPr>
          <w:rFonts w:ascii="Times New Roman" w:hAnsi="Times New Roman" w:cs="Times New Roman"/>
          <w:sz w:val="24"/>
        </w:rPr>
        <w:t>account for approximately 30–40</w:t>
      </w:r>
      <w:r w:rsidRPr="00B260B9">
        <w:rPr>
          <w:rFonts w:ascii="Times New Roman" w:hAnsi="Times New Roman" w:cs="Times New Roman"/>
          <w:sz w:val="24"/>
        </w:rPr>
        <w:t>% of total energy use, with space cooling demands i</w:t>
      </w:r>
      <w:r w:rsidR="00016EB9">
        <w:rPr>
          <w:rFonts w:ascii="Times New Roman" w:hAnsi="Times New Roman" w:cs="Times New Roman"/>
          <w:sz w:val="24"/>
        </w:rPr>
        <w:t xml:space="preserve">ncreasing rapidly due to </w:t>
      </w:r>
      <w:proofErr w:type="spellStart"/>
      <w:r w:rsidR="00016EB9">
        <w:rPr>
          <w:rFonts w:ascii="Times New Roman" w:hAnsi="Times New Roman" w:cs="Times New Roman"/>
          <w:sz w:val="24"/>
        </w:rPr>
        <w:t>urbanis</w:t>
      </w:r>
      <w:r w:rsidRPr="00B260B9">
        <w:rPr>
          <w:rFonts w:ascii="Times New Roman" w:hAnsi="Times New Roman" w:cs="Times New Roman"/>
          <w:sz w:val="24"/>
        </w:rPr>
        <w:t>ation</w:t>
      </w:r>
      <w:proofErr w:type="spellEnd"/>
      <w:r w:rsidRPr="00B260B9">
        <w:rPr>
          <w:rFonts w:ascii="Times New Roman" w:hAnsi="Times New Roman" w:cs="Times New Roman"/>
          <w:sz w:val="24"/>
        </w:rPr>
        <w:t xml:space="preserve"> and climate change. This trend has been extensively reported in the work of </w:t>
      </w:r>
      <w:proofErr w:type="spellStart"/>
      <w:r w:rsidRPr="00B260B9">
        <w:rPr>
          <w:rFonts w:ascii="Times New Roman" w:hAnsi="Times New Roman" w:cs="Times New Roman"/>
          <w:sz w:val="24"/>
        </w:rPr>
        <w:t>Sadineni</w:t>
      </w:r>
      <w:proofErr w:type="spellEnd"/>
      <w:r w:rsidRPr="00B260B9">
        <w:rPr>
          <w:rFonts w:ascii="Times New Roman" w:hAnsi="Times New Roman" w:cs="Times New Roman"/>
          <w:sz w:val="24"/>
        </w:rPr>
        <w:t xml:space="preserve"> et al. (2011) and </w:t>
      </w:r>
      <w:proofErr w:type="spellStart"/>
      <w:r w:rsidRPr="00B260B9">
        <w:rPr>
          <w:rFonts w:ascii="Times New Roman" w:hAnsi="Times New Roman" w:cs="Times New Roman"/>
          <w:sz w:val="24"/>
        </w:rPr>
        <w:t>Santamouris</w:t>
      </w:r>
      <w:proofErr w:type="spellEnd"/>
      <w:r w:rsidRPr="00B260B9">
        <w:rPr>
          <w:rFonts w:ascii="Times New Roman" w:hAnsi="Times New Roman" w:cs="Times New Roman"/>
          <w:sz w:val="24"/>
        </w:rPr>
        <w:t xml:space="preserve"> (2016). In tropical and subtropical regions, the growing dependence on mechanical cooling presents substantial economic and environmental chal</w:t>
      </w:r>
      <w:r w:rsidR="00BE2553">
        <w:rPr>
          <w:rFonts w:ascii="Times New Roman" w:hAnsi="Times New Roman" w:cs="Times New Roman"/>
          <w:sz w:val="24"/>
        </w:rPr>
        <w:t xml:space="preserve">lenges. Furthermore, as </w:t>
      </w:r>
      <w:proofErr w:type="spellStart"/>
      <w:r w:rsidR="00BE2553">
        <w:rPr>
          <w:rFonts w:ascii="Times New Roman" w:hAnsi="Times New Roman" w:cs="Times New Roman"/>
          <w:sz w:val="24"/>
        </w:rPr>
        <w:t>emphasis</w:t>
      </w:r>
      <w:r w:rsidRPr="00B260B9">
        <w:rPr>
          <w:rFonts w:ascii="Times New Roman" w:hAnsi="Times New Roman" w:cs="Times New Roman"/>
          <w:sz w:val="24"/>
        </w:rPr>
        <w:t>ed</w:t>
      </w:r>
      <w:proofErr w:type="spellEnd"/>
      <w:r w:rsidRPr="00B260B9">
        <w:rPr>
          <w:rFonts w:ascii="Times New Roman" w:hAnsi="Times New Roman" w:cs="Times New Roman"/>
          <w:sz w:val="24"/>
        </w:rPr>
        <w:t xml:space="preserve"> by Nicol and Humphreys (2002) and </w:t>
      </w:r>
      <w:proofErr w:type="spellStart"/>
      <w:r w:rsidRPr="00B260B9">
        <w:rPr>
          <w:rFonts w:ascii="Times New Roman" w:hAnsi="Times New Roman" w:cs="Times New Roman"/>
          <w:sz w:val="24"/>
        </w:rPr>
        <w:t>Djongyang</w:t>
      </w:r>
      <w:proofErr w:type="spellEnd"/>
      <w:r w:rsidRPr="00B260B9">
        <w:rPr>
          <w:rFonts w:ascii="Times New Roman" w:hAnsi="Times New Roman" w:cs="Times New Roman"/>
          <w:sz w:val="24"/>
        </w:rPr>
        <w:t xml:space="preserve"> et al. (2010), conventional cooling strategies often neglect human physiological adaptation, which can result in thermal discomfo</w:t>
      </w:r>
      <w:r w:rsidR="00093873">
        <w:rPr>
          <w:rFonts w:ascii="Times New Roman" w:hAnsi="Times New Roman" w:cs="Times New Roman"/>
          <w:sz w:val="24"/>
        </w:rPr>
        <w:t xml:space="preserve">rt and adverse health outcomes. </w:t>
      </w:r>
      <w:r w:rsidRPr="00B260B9">
        <w:rPr>
          <w:rFonts w:ascii="Times New Roman" w:hAnsi="Times New Roman" w:cs="Times New Roman"/>
          <w:sz w:val="24"/>
        </w:rPr>
        <w:t xml:space="preserve">Biomedical engineering provides a robust framework for translating biological regulatory mechanisms into engineered systems. Human skin, a multifunctional organ responsible for heat dissipation and moisture regulation, offers a valuable biological model for adaptive building envelopes. The relevance of skin-based thermoregulatory principles has been well established in physiological studies by </w:t>
      </w:r>
      <w:proofErr w:type="spellStart"/>
      <w:r w:rsidRPr="00B260B9">
        <w:rPr>
          <w:rFonts w:ascii="Times New Roman" w:hAnsi="Times New Roman" w:cs="Times New Roman"/>
          <w:sz w:val="24"/>
        </w:rPr>
        <w:t>Charkoudian</w:t>
      </w:r>
      <w:proofErr w:type="spellEnd"/>
      <w:r w:rsidRPr="00B260B9">
        <w:rPr>
          <w:rFonts w:ascii="Times New Roman" w:hAnsi="Times New Roman" w:cs="Times New Roman"/>
          <w:sz w:val="24"/>
        </w:rPr>
        <w:t xml:space="preserve"> (2003) and </w:t>
      </w:r>
      <w:proofErr w:type="spellStart"/>
      <w:r w:rsidRPr="00B260B9">
        <w:rPr>
          <w:rFonts w:ascii="Times New Roman" w:hAnsi="Times New Roman" w:cs="Times New Roman"/>
          <w:sz w:val="24"/>
        </w:rPr>
        <w:t>Romanovsky</w:t>
      </w:r>
      <w:proofErr w:type="spellEnd"/>
      <w:r w:rsidRPr="00B260B9">
        <w:rPr>
          <w:rFonts w:ascii="Times New Roman" w:hAnsi="Times New Roman" w:cs="Times New Roman"/>
          <w:sz w:val="24"/>
        </w:rPr>
        <w:t xml:space="preserve"> (2014). Meanwhile, architectural research has demonstrated the promise of biomimicry for improving environmental responsiveness in buildings, as discussed by </w:t>
      </w:r>
      <w:proofErr w:type="spellStart"/>
      <w:r w:rsidRPr="00B260B9">
        <w:rPr>
          <w:rFonts w:ascii="Times New Roman" w:hAnsi="Times New Roman" w:cs="Times New Roman"/>
          <w:sz w:val="24"/>
        </w:rPr>
        <w:t>Badarnah</w:t>
      </w:r>
      <w:proofErr w:type="spellEnd"/>
      <w:r w:rsidRPr="00B260B9">
        <w:rPr>
          <w:rFonts w:ascii="Times New Roman" w:hAnsi="Times New Roman" w:cs="Times New Roman"/>
          <w:sz w:val="24"/>
        </w:rPr>
        <w:t xml:space="preserve"> (2017) and Gruber and </w:t>
      </w:r>
      <w:proofErr w:type="spellStart"/>
      <w:r w:rsidRPr="00B260B9">
        <w:rPr>
          <w:rFonts w:ascii="Times New Roman" w:hAnsi="Times New Roman" w:cs="Times New Roman"/>
          <w:sz w:val="24"/>
        </w:rPr>
        <w:t>Imhof</w:t>
      </w:r>
      <w:proofErr w:type="spellEnd"/>
      <w:r w:rsidRPr="00B260B9">
        <w:rPr>
          <w:rFonts w:ascii="Times New Roman" w:hAnsi="Times New Roman" w:cs="Times New Roman"/>
          <w:sz w:val="24"/>
        </w:rPr>
        <w:t xml:space="preserve"> (2017). However, despite these advances, there remains limited work that systematically integrates biomedical</w:t>
      </w:r>
      <w:r w:rsidR="001D2D0D">
        <w:rPr>
          <w:rFonts w:ascii="Times New Roman" w:hAnsi="Times New Roman" w:cs="Times New Roman"/>
          <w:sz w:val="24"/>
        </w:rPr>
        <w:t>-based</w:t>
      </w:r>
    </w:p>
    <w:p w14:paraId="002874D9" w14:textId="77777777" w:rsidR="00A966BC" w:rsidRPr="006B2A22" w:rsidRDefault="00B260B9" w:rsidP="006B2A22">
      <w:pPr>
        <w:jc w:val="both"/>
        <w:rPr>
          <w:rFonts w:ascii="Times New Roman" w:hAnsi="Times New Roman" w:cs="Times New Roman"/>
          <w:sz w:val="24"/>
        </w:rPr>
      </w:pPr>
      <w:r w:rsidRPr="00B260B9">
        <w:rPr>
          <w:rFonts w:ascii="Times New Roman" w:hAnsi="Times New Roman" w:cs="Times New Roman"/>
          <w:sz w:val="24"/>
        </w:rPr>
        <w:t xml:space="preserve"> thermoregulation concepts into the desig</w:t>
      </w:r>
      <w:r w:rsidR="006B2A22">
        <w:rPr>
          <w:rFonts w:ascii="Times New Roman" w:hAnsi="Times New Roman" w:cs="Times New Roman"/>
          <w:sz w:val="24"/>
        </w:rPr>
        <w:t xml:space="preserve">n of building envelope systems. Based on the comprehensive review in this paper, </w:t>
      </w:r>
      <w:r w:rsidR="006B2A22">
        <w:rPr>
          <w:rFonts w:ascii="Times New Roman" w:eastAsia="Times New Roman" w:hAnsi="Times New Roman" w:cs="Times New Roman"/>
          <w:sz w:val="24"/>
          <w:szCs w:val="24"/>
        </w:rPr>
        <w:t>attempt is made to propose a</w:t>
      </w:r>
      <w:r w:rsidR="00A966BC" w:rsidRPr="00F958B7">
        <w:rPr>
          <w:rFonts w:ascii="Times New Roman" w:eastAsia="Times New Roman" w:hAnsi="Times New Roman" w:cs="Times New Roman"/>
          <w:sz w:val="24"/>
          <w:szCs w:val="24"/>
        </w:rPr>
        <w:t xml:space="preserve"> </w:t>
      </w:r>
      <w:r w:rsidR="00A966BC" w:rsidRPr="00F958B7">
        <w:rPr>
          <w:rFonts w:ascii="Times New Roman" w:eastAsia="Times New Roman" w:hAnsi="Times New Roman" w:cs="Times New Roman"/>
          <w:bCs/>
          <w:sz w:val="24"/>
          <w:szCs w:val="24"/>
        </w:rPr>
        <w:t>bio-humid wall bricks</w:t>
      </w:r>
      <w:r w:rsidR="00A966BC" w:rsidRPr="00F958B7">
        <w:rPr>
          <w:rFonts w:ascii="Times New Roman" w:eastAsia="Times New Roman" w:hAnsi="Times New Roman" w:cs="Times New Roman"/>
          <w:sz w:val="24"/>
          <w:szCs w:val="24"/>
        </w:rPr>
        <w:t xml:space="preserve"> that function as an artificial thermoregulatory layer, analog</w:t>
      </w:r>
      <w:r w:rsidR="002E3E04">
        <w:rPr>
          <w:rFonts w:ascii="Times New Roman" w:eastAsia="Times New Roman" w:hAnsi="Times New Roman" w:cs="Times New Roman"/>
          <w:sz w:val="24"/>
          <w:szCs w:val="24"/>
        </w:rPr>
        <w:t>ous to human skin. This will help facilitate</w:t>
      </w:r>
      <w:r w:rsidR="00A966BC" w:rsidRPr="00F958B7">
        <w:rPr>
          <w:rFonts w:ascii="Times New Roman" w:eastAsia="Times New Roman" w:hAnsi="Times New Roman" w:cs="Times New Roman"/>
          <w:sz w:val="24"/>
          <w:szCs w:val="24"/>
        </w:rPr>
        <w:t xml:space="preserve"> </w:t>
      </w:r>
      <w:r w:rsidR="002E3E04">
        <w:rPr>
          <w:rFonts w:ascii="Times New Roman" w:eastAsia="Times New Roman" w:hAnsi="Times New Roman" w:cs="Times New Roman"/>
          <w:sz w:val="24"/>
          <w:szCs w:val="24"/>
        </w:rPr>
        <w:t xml:space="preserve">the integration of </w:t>
      </w:r>
      <w:r w:rsidR="00A966BC" w:rsidRPr="00F958B7">
        <w:rPr>
          <w:rFonts w:ascii="Times New Roman" w:eastAsia="Times New Roman" w:hAnsi="Times New Roman" w:cs="Times New Roman"/>
          <w:sz w:val="24"/>
          <w:szCs w:val="24"/>
        </w:rPr>
        <w:t>physiological the</w:t>
      </w:r>
      <w:r w:rsidR="001A635A">
        <w:rPr>
          <w:rFonts w:ascii="Times New Roman" w:eastAsia="Times New Roman" w:hAnsi="Times New Roman" w:cs="Times New Roman"/>
          <w:sz w:val="24"/>
          <w:szCs w:val="24"/>
        </w:rPr>
        <w:t>rmoregulation, material science</w:t>
      </w:r>
      <w:r w:rsidR="00A966BC" w:rsidRPr="00F958B7">
        <w:rPr>
          <w:rFonts w:ascii="Times New Roman" w:eastAsia="Times New Roman" w:hAnsi="Times New Roman" w:cs="Times New Roman"/>
          <w:sz w:val="24"/>
          <w:szCs w:val="24"/>
        </w:rPr>
        <w:t xml:space="preserve"> and heat-transfer engineering into a unified smart housing concept.</w:t>
      </w:r>
    </w:p>
    <w:p w14:paraId="2B176BE5" w14:textId="77777777" w:rsidR="00A966BC" w:rsidRPr="00F958B7" w:rsidRDefault="00A966BC" w:rsidP="00B60041">
      <w:pPr>
        <w:pStyle w:val="Heading1"/>
      </w:pPr>
      <w:r w:rsidRPr="00F958B7">
        <w:t>2. Biomedical Principles of Human Thermoregulation</w:t>
      </w:r>
    </w:p>
    <w:p w14:paraId="3C92F979" w14:textId="77777777" w:rsidR="00A966BC" w:rsidRPr="00F958B7" w:rsidRDefault="00A966BC" w:rsidP="00B60041">
      <w:pPr>
        <w:pStyle w:val="Heading1"/>
      </w:pPr>
      <w:r w:rsidRPr="00F958B7">
        <w:t>2.1 Human Thermoregulatory Control</w:t>
      </w:r>
    </w:p>
    <w:p w14:paraId="6D79718B" w14:textId="551337BB" w:rsidR="00B260B9" w:rsidRPr="00B260B9" w:rsidRDefault="00B260B9" w:rsidP="00B260B9">
      <w:pPr>
        <w:jc w:val="both"/>
        <w:rPr>
          <w:rFonts w:ascii="Times New Roman" w:hAnsi="Times New Roman" w:cs="Times New Roman"/>
          <w:sz w:val="24"/>
        </w:rPr>
      </w:pPr>
      <w:r w:rsidRPr="00B260B9">
        <w:rPr>
          <w:rFonts w:ascii="Times New Roman" w:hAnsi="Times New Roman" w:cs="Times New Roman"/>
          <w:sz w:val="24"/>
        </w:rPr>
        <w:t xml:space="preserve">Human thermoregulation is governed by a hypothalamic control system that integrates thermal information from peripheral and central </w:t>
      </w:r>
      <w:r w:rsidR="00A72C2B">
        <w:rPr>
          <w:rFonts w:ascii="Times New Roman" w:hAnsi="Times New Roman" w:cs="Times New Roman"/>
          <w:sz w:val="24"/>
        </w:rPr>
        <w:t xml:space="preserve">thermo-receptors </w:t>
      </w:r>
      <w:r w:rsidRPr="00B260B9">
        <w:rPr>
          <w:rFonts w:ascii="Times New Roman" w:hAnsi="Times New Roman" w:cs="Times New Roman"/>
          <w:sz w:val="24"/>
        </w:rPr>
        <w:t xml:space="preserve">and triggers appropriate physiological responses, including sweating, vasodilation, vasoconstriction, and shivering. This integrated control mechanism has been clearly described in the work of Tansey and Johnson (2015) and </w:t>
      </w:r>
      <w:proofErr w:type="spellStart"/>
      <w:r w:rsidRPr="00B260B9">
        <w:rPr>
          <w:rFonts w:ascii="Times New Roman" w:hAnsi="Times New Roman" w:cs="Times New Roman"/>
          <w:sz w:val="24"/>
        </w:rPr>
        <w:t>Havenith</w:t>
      </w:r>
      <w:proofErr w:type="spellEnd"/>
      <w:r w:rsidRPr="00B260B9">
        <w:rPr>
          <w:rFonts w:ascii="Times New Roman" w:hAnsi="Times New Roman" w:cs="Times New Roman"/>
          <w:sz w:val="24"/>
        </w:rPr>
        <w:t xml:space="preserve"> and </w:t>
      </w:r>
      <w:proofErr w:type="spellStart"/>
      <w:r w:rsidRPr="00B260B9">
        <w:rPr>
          <w:rFonts w:ascii="Times New Roman" w:hAnsi="Times New Roman" w:cs="Times New Roman"/>
          <w:sz w:val="24"/>
        </w:rPr>
        <w:t>Fiala</w:t>
      </w:r>
      <w:proofErr w:type="spellEnd"/>
      <w:r w:rsidRPr="00B260B9">
        <w:rPr>
          <w:rFonts w:ascii="Times New Roman" w:hAnsi="Times New Roman" w:cs="Times New Roman"/>
          <w:sz w:val="24"/>
        </w:rPr>
        <w:t xml:space="preserve"> (2016). The skin functions as the principal interface for heat and mass exchange between the human body and the external environment, playing a decisive role in thermal balance, as documented by Kenney and </w:t>
      </w:r>
      <w:proofErr w:type="spellStart"/>
      <w:r w:rsidRPr="00B260B9">
        <w:rPr>
          <w:rFonts w:ascii="Times New Roman" w:hAnsi="Times New Roman" w:cs="Times New Roman"/>
          <w:sz w:val="24"/>
        </w:rPr>
        <w:t>Munce</w:t>
      </w:r>
      <w:proofErr w:type="spellEnd"/>
      <w:r w:rsidRPr="00B260B9">
        <w:rPr>
          <w:rFonts w:ascii="Times New Roman" w:hAnsi="Times New Roman" w:cs="Times New Roman"/>
          <w:sz w:val="24"/>
        </w:rPr>
        <w:t xml:space="preserve"> (2003) and </w:t>
      </w:r>
      <w:proofErr w:type="spellStart"/>
      <w:r w:rsidRPr="00B260B9">
        <w:rPr>
          <w:rFonts w:ascii="Times New Roman" w:hAnsi="Times New Roman" w:cs="Times New Roman"/>
          <w:sz w:val="24"/>
        </w:rPr>
        <w:t>Kingma</w:t>
      </w:r>
      <w:proofErr w:type="spellEnd"/>
      <w:r w:rsidRPr="00B260B9">
        <w:rPr>
          <w:rFonts w:ascii="Times New Roman" w:hAnsi="Times New Roman" w:cs="Times New Roman"/>
          <w:sz w:val="24"/>
        </w:rPr>
        <w:t xml:space="preserve"> et al. (2012).</w:t>
      </w:r>
    </w:p>
    <w:p w14:paraId="6705D27C" w14:textId="7DA69086" w:rsidR="000B3926" w:rsidRPr="000B3926" w:rsidRDefault="000B3926" w:rsidP="000B3926">
      <w:pPr>
        <w:jc w:val="both"/>
        <w:rPr>
          <w:rFonts w:ascii="Times New Roman" w:hAnsi="Times New Roman" w:cs="Times New Roman"/>
          <w:sz w:val="24"/>
        </w:rPr>
      </w:pPr>
      <w:r w:rsidRPr="000B3926">
        <w:rPr>
          <w:rFonts w:ascii="Times New Roman" w:hAnsi="Times New Roman" w:cs="Times New Roman"/>
          <w:sz w:val="24"/>
        </w:rPr>
        <w:t xml:space="preserve">Thermoregulation is the maintenance of a relatively constant core body temperature, critical for metabolic efficiency and survival, typically around 37°C in humans. It involves a complex integration of central and peripheral thermoreceptors, neural pathways, and multiple effector </w:t>
      </w:r>
      <w:r w:rsidRPr="000B3926">
        <w:rPr>
          <w:rFonts w:ascii="Times New Roman" w:hAnsi="Times New Roman" w:cs="Times New Roman"/>
          <w:sz w:val="24"/>
        </w:rPr>
        <w:lastRenderedPageBreak/>
        <w:t>mechanisms, including vasodilation, vasoconstriction, sw</w:t>
      </w:r>
      <w:r w:rsidR="00EE446F">
        <w:rPr>
          <w:rFonts w:ascii="Times New Roman" w:hAnsi="Times New Roman" w:cs="Times New Roman"/>
          <w:sz w:val="24"/>
        </w:rPr>
        <w:t>eating, shivering, piloerection</w:t>
      </w:r>
      <w:r w:rsidRPr="000B3926">
        <w:rPr>
          <w:rFonts w:ascii="Times New Roman" w:hAnsi="Times New Roman" w:cs="Times New Roman"/>
          <w:sz w:val="24"/>
        </w:rPr>
        <w:t xml:space="preserve"> and non</w:t>
      </w:r>
      <w:r w:rsidR="00041FAF">
        <w:rPr>
          <w:rFonts w:ascii="Times New Roman" w:hAnsi="Times New Roman" w:cs="Times New Roman"/>
          <w:sz w:val="24"/>
        </w:rPr>
        <w:t>-</w:t>
      </w:r>
      <w:r w:rsidRPr="000B3926">
        <w:rPr>
          <w:rFonts w:ascii="Times New Roman" w:hAnsi="Times New Roman" w:cs="Times New Roman"/>
          <w:sz w:val="24"/>
        </w:rPr>
        <w:t>shivering</w:t>
      </w:r>
      <w:r w:rsidR="00B41391">
        <w:rPr>
          <w:rFonts w:ascii="Times New Roman" w:hAnsi="Times New Roman" w:cs="Times New Roman"/>
          <w:sz w:val="24"/>
        </w:rPr>
        <w:t xml:space="preserve"> thermogenesis (Tansey and</w:t>
      </w:r>
      <w:r w:rsidRPr="000B3926">
        <w:rPr>
          <w:rFonts w:ascii="Times New Roman" w:hAnsi="Times New Roman" w:cs="Times New Roman"/>
          <w:sz w:val="24"/>
        </w:rPr>
        <w:t xml:space="preserve"> Johnson, 2015). Recent advance</w:t>
      </w:r>
      <w:r w:rsidR="00CF5477">
        <w:rPr>
          <w:rFonts w:ascii="Times New Roman" w:hAnsi="Times New Roman" w:cs="Times New Roman"/>
          <w:sz w:val="24"/>
        </w:rPr>
        <w:t>s have highlighted the role of Transient Receptor P</w:t>
      </w:r>
      <w:r w:rsidRPr="000B3926">
        <w:rPr>
          <w:rFonts w:ascii="Times New Roman" w:hAnsi="Times New Roman" w:cs="Times New Roman"/>
          <w:sz w:val="24"/>
        </w:rPr>
        <w:t>otential (TRP) channels in temperature sensing and the contribution of brown adipose tissue in adults to heat production, reflecting a sophisticated multisensory, multi</w:t>
      </w:r>
      <w:r w:rsidR="00041FAF">
        <w:rPr>
          <w:rFonts w:ascii="Times New Roman" w:hAnsi="Times New Roman" w:cs="Times New Roman"/>
          <w:sz w:val="24"/>
        </w:rPr>
        <w:t>-</w:t>
      </w:r>
      <w:r w:rsidRPr="000B3926">
        <w:rPr>
          <w:rFonts w:ascii="Times New Roman" w:hAnsi="Times New Roman" w:cs="Times New Roman"/>
          <w:sz w:val="24"/>
        </w:rPr>
        <w:t>effector control system</w:t>
      </w:r>
      <w:r w:rsidR="00041FAF">
        <w:rPr>
          <w:rFonts w:ascii="Times New Roman" w:hAnsi="Times New Roman" w:cs="Times New Roman"/>
          <w:sz w:val="24"/>
        </w:rPr>
        <w:t xml:space="preserve"> (Figure 1)</w:t>
      </w:r>
      <w:r w:rsidRPr="000B3926">
        <w:rPr>
          <w:rFonts w:ascii="Times New Roman" w:hAnsi="Times New Roman" w:cs="Times New Roman"/>
          <w:sz w:val="24"/>
        </w:rPr>
        <w:t>. Understanding the neuroanatomical circuitry and peripheral feedback mechanisms not only provides insight into classical homeostatic regulation but also informs biomedical engineering applications, such as bioheat mode</w:t>
      </w:r>
      <w:r w:rsidR="00875D32">
        <w:rPr>
          <w:rFonts w:ascii="Times New Roman" w:hAnsi="Times New Roman" w:cs="Times New Roman"/>
          <w:sz w:val="24"/>
        </w:rPr>
        <w:t>l</w:t>
      </w:r>
      <w:r w:rsidR="00E2182D">
        <w:rPr>
          <w:rFonts w:ascii="Times New Roman" w:hAnsi="Times New Roman" w:cs="Times New Roman"/>
          <w:sz w:val="24"/>
        </w:rPr>
        <w:t xml:space="preserve">ling, wearable thermal sensors </w:t>
      </w:r>
      <w:r w:rsidRPr="000B3926">
        <w:rPr>
          <w:rFonts w:ascii="Times New Roman" w:hAnsi="Times New Roman" w:cs="Times New Roman"/>
          <w:sz w:val="24"/>
        </w:rPr>
        <w:t>and thermore</w:t>
      </w:r>
      <w:r w:rsidR="00E2182D">
        <w:rPr>
          <w:rFonts w:ascii="Times New Roman" w:hAnsi="Times New Roman" w:cs="Times New Roman"/>
          <w:sz w:val="24"/>
        </w:rPr>
        <w:t>gulatory device design (Tansey and</w:t>
      </w:r>
      <w:r w:rsidRPr="000B3926">
        <w:rPr>
          <w:rFonts w:ascii="Times New Roman" w:hAnsi="Times New Roman" w:cs="Times New Roman"/>
          <w:sz w:val="24"/>
        </w:rPr>
        <w:t xml:space="preserve"> Johnson, 2015).</w:t>
      </w:r>
    </w:p>
    <w:p w14:paraId="6568DBF3" w14:textId="77777777" w:rsidR="00D87B7C" w:rsidRDefault="00D87B7C" w:rsidP="00D87B7C">
      <w:pPr>
        <w:spacing w:before="100" w:beforeAutospacing="1" w:after="100" w:afterAutospacing="1" w:line="240" w:lineRule="auto"/>
        <w:rPr>
          <w:rFonts w:ascii="Times New Roman" w:eastAsia="Times New Roman" w:hAnsi="Times New Roman" w:cs="Times New Roman"/>
          <w:sz w:val="24"/>
          <w:szCs w:val="24"/>
        </w:rPr>
      </w:pPr>
    </w:p>
    <w:p w14:paraId="02CAF19E" w14:textId="77777777" w:rsidR="003B0223" w:rsidRDefault="003B0223" w:rsidP="003B0223">
      <w:pPr>
        <w:spacing w:before="100" w:beforeAutospacing="1" w:after="100" w:afterAutospacing="1" w:line="240" w:lineRule="auto"/>
        <w:jc w:val="center"/>
        <w:rPr>
          <w:rFonts w:ascii="Times New Roman" w:eastAsia="Times New Roman" w:hAnsi="Times New Roman" w:cs="Times New Roman"/>
          <w:sz w:val="24"/>
          <w:szCs w:val="24"/>
        </w:rPr>
      </w:pPr>
      <w:r w:rsidRPr="003B0223">
        <w:rPr>
          <w:rFonts w:ascii="Times New Roman" w:eastAsia="Times New Roman" w:hAnsi="Times New Roman" w:cs="Times New Roman"/>
          <w:noProof/>
          <w:sz w:val="24"/>
          <w:szCs w:val="24"/>
        </w:rPr>
        <w:drawing>
          <wp:inline distT="0" distB="0" distL="0" distR="0" wp14:anchorId="7195E929" wp14:editId="1F1EAED3">
            <wp:extent cx="3825572" cy="4922947"/>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25572" cy="4922947"/>
                    </a:xfrm>
                    <a:prstGeom prst="rect">
                      <a:avLst/>
                    </a:prstGeom>
                  </pic:spPr>
                </pic:pic>
              </a:graphicData>
            </a:graphic>
          </wp:inline>
        </w:drawing>
      </w:r>
    </w:p>
    <w:p w14:paraId="3EA3E2EF" w14:textId="77777777" w:rsidR="003B0223" w:rsidRPr="007F4373" w:rsidRDefault="00B260B9" w:rsidP="00B260B9">
      <w:pPr>
        <w:pStyle w:val="Caption"/>
        <w:jc w:val="center"/>
        <w:rPr>
          <w:rFonts w:ascii="Times New Roman" w:hAnsi="Times New Roman" w:cs="Times New Roman"/>
          <w:i w:val="0"/>
          <w:sz w:val="24"/>
        </w:rPr>
      </w:pPr>
      <w:r w:rsidRPr="007F4373">
        <w:rPr>
          <w:rFonts w:ascii="Times New Roman" w:hAnsi="Times New Roman" w:cs="Times New Roman"/>
          <w:i w:val="0"/>
          <w:sz w:val="24"/>
        </w:rPr>
        <w:t xml:space="preserve">Figure </w:t>
      </w:r>
      <w:r w:rsidRPr="007F4373">
        <w:rPr>
          <w:rFonts w:ascii="Times New Roman" w:hAnsi="Times New Roman" w:cs="Times New Roman"/>
          <w:i w:val="0"/>
          <w:sz w:val="24"/>
        </w:rPr>
        <w:fldChar w:fldCharType="begin"/>
      </w:r>
      <w:r w:rsidRPr="007F4373">
        <w:rPr>
          <w:rFonts w:ascii="Times New Roman" w:hAnsi="Times New Roman" w:cs="Times New Roman"/>
          <w:i w:val="0"/>
          <w:sz w:val="24"/>
        </w:rPr>
        <w:instrText xml:space="preserve"> SEQ Figure \* ARABIC </w:instrText>
      </w:r>
      <w:r w:rsidRPr="007F4373">
        <w:rPr>
          <w:rFonts w:ascii="Times New Roman" w:hAnsi="Times New Roman" w:cs="Times New Roman"/>
          <w:i w:val="0"/>
          <w:sz w:val="24"/>
        </w:rPr>
        <w:fldChar w:fldCharType="separate"/>
      </w:r>
      <w:r w:rsidR="00523A51">
        <w:rPr>
          <w:rFonts w:ascii="Times New Roman" w:hAnsi="Times New Roman" w:cs="Times New Roman"/>
          <w:i w:val="0"/>
          <w:noProof/>
          <w:sz w:val="24"/>
        </w:rPr>
        <w:t>1</w:t>
      </w:r>
      <w:r w:rsidRPr="007F4373">
        <w:rPr>
          <w:rFonts w:ascii="Times New Roman" w:hAnsi="Times New Roman" w:cs="Times New Roman"/>
          <w:i w:val="0"/>
          <w:sz w:val="24"/>
        </w:rPr>
        <w:fldChar w:fldCharType="end"/>
      </w:r>
      <w:r w:rsidRPr="007F4373">
        <w:rPr>
          <w:rFonts w:ascii="Times New Roman" w:hAnsi="Times New Roman" w:cs="Times New Roman"/>
          <w:i w:val="0"/>
          <w:sz w:val="24"/>
        </w:rPr>
        <w:t xml:space="preserve">: </w:t>
      </w:r>
      <w:r w:rsidR="003B0223" w:rsidRPr="007F4373">
        <w:rPr>
          <w:rFonts w:ascii="Times New Roman" w:hAnsi="Times New Roman" w:cs="Times New Roman"/>
          <w:i w:val="0"/>
          <w:sz w:val="24"/>
        </w:rPr>
        <w:t>Feedback and feedforward mechanisms in thermoregulation</w:t>
      </w:r>
    </w:p>
    <w:p w14:paraId="3045CEEF" w14:textId="433C50EE" w:rsidR="003B0223" w:rsidRPr="003B0223" w:rsidRDefault="003B0223" w:rsidP="003B0223">
      <w:pPr>
        <w:jc w:val="both"/>
        <w:rPr>
          <w:rFonts w:ascii="Times New Roman" w:hAnsi="Times New Roman" w:cs="Times New Roman"/>
          <w:sz w:val="24"/>
        </w:rPr>
      </w:pPr>
      <w:r w:rsidRPr="003B0223">
        <w:rPr>
          <w:rFonts w:ascii="Times New Roman" w:hAnsi="Times New Roman" w:cs="Times New Roman"/>
          <w:sz w:val="24"/>
        </w:rPr>
        <w:t>The figure effectively illustrates the multisensory</w:t>
      </w:r>
      <w:r>
        <w:rPr>
          <w:rFonts w:ascii="Times New Roman" w:hAnsi="Times New Roman" w:cs="Times New Roman"/>
          <w:sz w:val="24"/>
        </w:rPr>
        <w:t>, multi</w:t>
      </w:r>
      <w:r w:rsidR="00A72C2B">
        <w:rPr>
          <w:rFonts w:ascii="Times New Roman" w:hAnsi="Times New Roman" w:cs="Times New Roman"/>
          <w:sz w:val="24"/>
        </w:rPr>
        <w:t>-</w:t>
      </w:r>
      <w:r>
        <w:rPr>
          <w:rFonts w:ascii="Times New Roman" w:hAnsi="Times New Roman" w:cs="Times New Roman"/>
          <w:sz w:val="24"/>
        </w:rPr>
        <w:t xml:space="preserve">effector nature of human </w:t>
      </w:r>
      <w:r w:rsidR="003D7910">
        <w:rPr>
          <w:rFonts w:ascii="Times New Roman" w:hAnsi="Times New Roman" w:cs="Times New Roman"/>
          <w:sz w:val="24"/>
        </w:rPr>
        <w:t xml:space="preserve">thermoregulation, </w:t>
      </w:r>
      <w:proofErr w:type="spellStart"/>
      <w:r w:rsidR="003D7910">
        <w:rPr>
          <w:rFonts w:ascii="Times New Roman" w:hAnsi="Times New Roman" w:cs="Times New Roman"/>
          <w:sz w:val="24"/>
        </w:rPr>
        <w:t>conceptualis</w:t>
      </w:r>
      <w:r w:rsidRPr="003B0223">
        <w:rPr>
          <w:rFonts w:ascii="Times New Roman" w:hAnsi="Times New Roman" w:cs="Times New Roman"/>
          <w:sz w:val="24"/>
        </w:rPr>
        <w:t>ed</w:t>
      </w:r>
      <w:proofErr w:type="spellEnd"/>
      <w:r w:rsidRPr="003B0223">
        <w:rPr>
          <w:rFonts w:ascii="Times New Roman" w:hAnsi="Times New Roman" w:cs="Times New Roman"/>
          <w:sz w:val="24"/>
        </w:rPr>
        <w:t xml:space="preserve"> as a federation of relatively independent </w:t>
      </w:r>
      <w:r w:rsidR="00A72C2B">
        <w:rPr>
          <w:rFonts w:ascii="Times New Roman" w:hAnsi="Times New Roman" w:cs="Times New Roman"/>
          <w:sz w:val="24"/>
        </w:rPr>
        <w:t>thermos-</w:t>
      </w:r>
      <w:r w:rsidRPr="003B0223">
        <w:rPr>
          <w:rFonts w:ascii="Times New Roman" w:hAnsi="Times New Roman" w:cs="Times New Roman"/>
          <w:sz w:val="24"/>
        </w:rPr>
        <w:t xml:space="preserve">effector loops, </w:t>
      </w:r>
      <w:r w:rsidR="0008740D">
        <w:rPr>
          <w:rFonts w:ascii="Times New Roman" w:hAnsi="Times New Roman" w:cs="Times New Roman"/>
          <w:sz w:val="24"/>
        </w:rPr>
        <w:t xml:space="preserve">as proposed by </w:t>
      </w:r>
      <w:proofErr w:type="spellStart"/>
      <w:r w:rsidR="0008740D">
        <w:rPr>
          <w:rFonts w:ascii="Times New Roman" w:hAnsi="Times New Roman" w:cs="Times New Roman"/>
          <w:sz w:val="24"/>
        </w:rPr>
        <w:t>Romanovsky</w:t>
      </w:r>
      <w:proofErr w:type="spellEnd"/>
      <w:r w:rsidR="0008740D">
        <w:rPr>
          <w:rFonts w:ascii="Times New Roman" w:hAnsi="Times New Roman" w:cs="Times New Roman"/>
          <w:sz w:val="24"/>
        </w:rPr>
        <w:t xml:space="preserve"> (2007</w:t>
      </w:r>
      <w:r w:rsidRPr="003B0223">
        <w:rPr>
          <w:rFonts w:ascii="Times New Roman" w:hAnsi="Times New Roman" w:cs="Times New Roman"/>
          <w:sz w:val="24"/>
        </w:rPr>
        <w:t>). This framework is scientifically robust and aligns well with contemporary physiological models that rejec</w:t>
      </w:r>
      <w:r w:rsidR="00C3750D">
        <w:rPr>
          <w:rFonts w:ascii="Times New Roman" w:hAnsi="Times New Roman" w:cs="Times New Roman"/>
          <w:sz w:val="24"/>
        </w:rPr>
        <w:t xml:space="preserve">t the idea of a single </w:t>
      </w:r>
      <w:proofErr w:type="spellStart"/>
      <w:r w:rsidR="00C3750D">
        <w:rPr>
          <w:rFonts w:ascii="Times New Roman" w:hAnsi="Times New Roman" w:cs="Times New Roman"/>
          <w:sz w:val="24"/>
        </w:rPr>
        <w:t>centralis</w:t>
      </w:r>
      <w:r w:rsidRPr="003B0223">
        <w:rPr>
          <w:rFonts w:ascii="Times New Roman" w:hAnsi="Times New Roman" w:cs="Times New Roman"/>
          <w:sz w:val="24"/>
        </w:rPr>
        <w:t>ed</w:t>
      </w:r>
      <w:proofErr w:type="spellEnd"/>
      <w:r w:rsidRPr="003B0223">
        <w:rPr>
          <w:rFonts w:ascii="Times New Roman" w:hAnsi="Times New Roman" w:cs="Times New Roman"/>
          <w:sz w:val="24"/>
        </w:rPr>
        <w:t xml:space="preserve"> thermostat.</w:t>
      </w:r>
      <w:r>
        <w:rPr>
          <w:rFonts w:ascii="Times New Roman" w:hAnsi="Times New Roman" w:cs="Times New Roman"/>
          <w:sz w:val="24"/>
        </w:rPr>
        <w:t xml:space="preserve"> </w:t>
      </w:r>
      <w:r w:rsidRPr="003B0223">
        <w:rPr>
          <w:rFonts w:ascii="Times New Roman" w:hAnsi="Times New Roman" w:cs="Times New Roman"/>
          <w:sz w:val="24"/>
        </w:rPr>
        <w:t xml:space="preserve">The </w:t>
      </w:r>
      <w:r w:rsidRPr="003B0223">
        <w:rPr>
          <w:rFonts w:ascii="Times New Roman" w:hAnsi="Times New Roman" w:cs="Times New Roman"/>
          <w:sz w:val="24"/>
        </w:rPr>
        <w:lastRenderedPageBreak/>
        <w:t xml:space="preserve">figure is logically structured into three schematic panels, each representing a progressively more complex control strategy within an individual </w:t>
      </w:r>
      <w:r w:rsidR="00A72C2B">
        <w:rPr>
          <w:rFonts w:ascii="Times New Roman" w:hAnsi="Times New Roman" w:cs="Times New Roman"/>
          <w:sz w:val="24"/>
        </w:rPr>
        <w:t>thermos-</w:t>
      </w:r>
      <w:r w:rsidRPr="003B0223">
        <w:rPr>
          <w:rFonts w:ascii="Times New Roman" w:hAnsi="Times New Roman" w:cs="Times New Roman"/>
          <w:sz w:val="24"/>
        </w:rPr>
        <w:t>effector loop:</w:t>
      </w:r>
    </w:p>
    <w:p w14:paraId="012064B8" w14:textId="68E899FF" w:rsidR="003B0223" w:rsidRPr="00B260B9" w:rsidRDefault="003B0223" w:rsidP="00B260B9">
      <w:pPr>
        <w:pStyle w:val="ListParagraph"/>
        <w:numPr>
          <w:ilvl w:val="0"/>
          <w:numId w:val="28"/>
        </w:numPr>
        <w:jc w:val="both"/>
        <w:rPr>
          <w:rFonts w:ascii="Times New Roman" w:hAnsi="Times New Roman" w:cs="Times New Roman"/>
          <w:sz w:val="24"/>
        </w:rPr>
      </w:pPr>
      <w:r w:rsidRPr="00B260B9">
        <w:rPr>
          <w:rFonts w:ascii="Times New Roman" w:hAnsi="Times New Roman" w:cs="Times New Roman"/>
          <w:sz w:val="24"/>
        </w:rPr>
        <w:t xml:space="preserve">Panel (a) depicts classical negative feedback control, in which deep body temperature is regulated by </w:t>
      </w:r>
      <w:r w:rsidR="00A72C2B">
        <w:rPr>
          <w:rFonts w:ascii="Times New Roman" w:hAnsi="Times New Roman" w:cs="Times New Roman"/>
          <w:sz w:val="24"/>
        </w:rPr>
        <w:t xml:space="preserve">thermo-receptors </w:t>
      </w:r>
      <w:r w:rsidRPr="00B260B9">
        <w:rPr>
          <w:rFonts w:ascii="Times New Roman" w:hAnsi="Times New Roman" w:cs="Times New Roman"/>
          <w:sz w:val="24"/>
        </w:rPr>
        <w:t xml:space="preserve">that detect deviations from a reference value and activate </w:t>
      </w:r>
      <w:r w:rsidR="00A72C2B">
        <w:rPr>
          <w:rFonts w:ascii="Times New Roman" w:hAnsi="Times New Roman" w:cs="Times New Roman"/>
          <w:sz w:val="24"/>
        </w:rPr>
        <w:t>thermo-effectors</w:t>
      </w:r>
      <w:r w:rsidRPr="00B260B9">
        <w:rPr>
          <w:rFonts w:ascii="Times New Roman" w:hAnsi="Times New Roman" w:cs="Times New Roman"/>
          <w:sz w:val="24"/>
        </w:rPr>
        <w:t xml:space="preserve"> to counteract these changes. This model captures the fundamental principle of thermal homeostasis and provides a clear baseline for understanding more advanced regulatory mechanisms.</w:t>
      </w:r>
    </w:p>
    <w:p w14:paraId="52C49BAB" w14:textId="77777777" w:rsidR="003B0223" w:rsidRPr="00B260B9" w:rsidRDefault="003B0223" w:rsidP="00B260B9">
      <w:pPr>
        <w:pStyle w:val="ListParagraph"/>
        <w:numPr>
          <w:ilvl w:val="0"/>
          <w:numId w:val="28"/>
        </w:numPr>
        <w:jc w:val="both"/>
        <w:rPr>
          <w:rFonts w:ascii="Times New Roman" w:hAnsi="Times New Roman" w:cs="Times New Roman"/>
          <w:sz w:val="24"/>
        </w:rPr>
      </w:pPr>
      <w:r w:rsidRPr="00B260B9">
        <w:rPr>
          <w:rFonts w:ascii="Times New Roman" w:hAnsi="Times New Roman" w:cs="Times New Roman"/>
          <w:sz w:val="24"/>
        </w:rPr>
        <w:t>Panel (b) extends this model by incorporating a feedforward control signal derived from ambient temperature. The inclusion of feedforward input (highlighted in red) strengthens the conceptual framework by demonstrating how the thermoregulatory system can anticipate thermal disturbances before changes in deep body temperature occur. This anticipatory regulation improves response speed and reduces physiological strain, especially during rapid environmental temperature changes.</w:t>
      </w:r>
    </w:p>
    <w:p w14:paraId="5B94CB22" w14:textId="73D40F70" w:rsidR="003B0223" w:rsidRPr="00B260B9" w:rsidRDefault="003B0223" w:rsidP="00B260B9">
      <w:pPr>
        <w:pStyle w:val="ListParagraph"/>
        <w:numPr>
          <w:ilvl w:val="0"/>
          <w:numId w:val="28"/>
        </w:numPr>
        <w:jc w:val="both"/>
        <w:rPr>
          <w:rFonts w:ascii="Times New Roman" w:hAnsi="Times New Roman" w:cs="Times New Roman"/>
          <w:sz w:val="24"/>
        </w:rPr>
      </w:pPr>
      <w:r w:rsidRPr="00B260B9">
        <w:rPr>
          <w:rFonts w:ascii="Times New Roman" w:hAnsi="Times New Roman" w:cs="Times New Roman"/>
          <w:sz w:val="24"/>
        </w:rPr>
        <w:t xml:space="preserve">Panel (c) further refines the control architecture by adding auxiliary feedback from skin temperature, which may exert either negative or positive influence depending on physiological context. This auxiliary feedback enhances system flexibility and sensitivity, allowing thermoregulatory responses to be adjusted based on peripheral thermal information. The representation acknowledges the integrative role of skin </w:t>
      </w:r>
      <w:r w:rsidR="00A72C2B">
        <w:rPr>
          <w:rFonts w:ascii="Times New Roman" w:hAnsi="Times New Roman" w:cs="Times New Roman"/>
          <w:sz w:val="24"/>
        </w:rPr>
        <w:t xml:space="preserve">thermo-receptors </w:t>
      </w:r>
      <w:r w:rsidRPr="00B260B9">
        <w:rPr>
          <w:rFonts w:ascii="Times New Roman" w:hAnsi="Times New Roman" w:cs="Times New Roman"/>
          <w:sz w:val="24"/>
        </w:rPr>
        <w:t>in fine-tuning effector activity, particularly during transient or localized thermal challenges.</w:t>
      </w:r>
    </w:p>
    <w:p w14:paraId="7641BEC0" w14:textId="47AE2FBC" w:rsidR="005F033C" w:rsidRPr="005F033C" w:rsidRDefault="003B0223" w:rsidP="005F033C">
      <w:pPr>
        <w:jc w:val="both"/>
        <w:rPr>
          <w:rFonts w:ascii="Times New Roman" w:hAnsi="Times New Roman" w:cs="Times New Roman"/>
          <w:sz w:val="24"/>
        </w:rPr>
      </w:pPr>
      <w:r w:rsidRPr="003B0223">
        <w:rPr>
          <w:rFonts w:ascii="Times New Roman" w:hAnsi="Times New Roman" w:cs="Times New Roman"/>
          <w:sz w:val="24"/>
        </w:rPr>
        <w:t>Overall, the figure clearly differentiates between active components (</w:t>
      </w:r>
      <w:r w:rsidR="00A72C2B">
        <w:rPr>
          <w:rFonts w:ascii="Times New Roman" w:hAnsi="Times New Roman" w:cs="Times New Roman"/>
          <w:sz w:val="24"/>
        </w:rPr>
        <w:t xml:space="preserve">thermo-receptors </w:t>
      </w:r>
      <w:r w:rsidRPr="003B0223">
        <w:rPr>
          <w:rFonts w:ascii="Times New Roman" w:hAnsi="Times New Roman" w:cs="Times New Roman"/>
          <w:sz w:val="24"/>
        </w:rPr>
        <w:t xml:space="preserve">and </w:t>
      </w:r>
      <w:r w:rsidR="00A72C2B">
        <w:rPr>
          <w:rFonts w:ascii="Times New Roman" w:hAnsi="Times New Roman" w:cs="Times New Roman"/>
          <w:sz w:val="24"/>
        </w:rPr>
        <w:t>thermo-effectors</w:t>
      </w:r>
      <w:r w:rsidRPr="003B0223">
        <w:rPr>
          <w:rFonts w:ascii="Times New Roman" w:hAnsi="Times New Roman" w:cs="Times New Roman"/>
          <w:sz w:val="24"/>
        </w:rPr>
        <w:t xml:space="preserve">) and passive heat-transfer processes, which improves conceptual clarity. The use of </w:t>
      </w:r>
      <w:proofErr w:type="spellStart"/>
      <w:r w:rsidRPr="003B0223">
        <w:rPr>
          <w:rFonts w:ascii="Times New Roman" w:hAnsi="Times New Roman" w:cs="Times New Roman"/>
          <w:sz w:val="24"/>
        </w:rPr>
        <w:t>colo</w:t>
      </w:r>
      <w:r w:rsidR="0026230D">
        <w:rPr>
          <w:rFonts w:ascii="Times New Roman" w:hAnsi="Times New Roman" w:cs="Times New Roman"/>
          <w:sz w:val="24"/>
        </w:rPr>
        <w:t>u</w:t>
      </w:r>
      <w:r w:rsidRPr="003B0223">
        <w:rPr>
          <w:rFonts w:ascii="Times New Roman" w:hAnsi="Times New Roman" w:cs="Times New Roman"/>
          <w:sz w:val="24"/>
        </w:rPr>
        <w:t>r</w:t>
      </w:r>
      <w:proofErr w:type="spellEnd"/>
      <w:r w:rsidRPr="003B0223">
        <w:rPr>
          <w:rFonts w:ascii="Times New Roman" w:hAnsi="Times New Roman" w:cs="Times New Roman"/>
          <w:sz w:val="24"/>
        </w:rPr>
        <w:t xml:space="preserve"> to distinguish feedforward and auxiliary feedback pathways is effective and enhances interpretability.</w:t>
      </w:r>
      <w:r w:rsidR="00503195">
        <w:rPr>
          <w:rFonts w:ascii="Times New Roman" w:hAnsi="Times New Roman" w:cs="Times New Roman"/>
          <w:sz w:val="24"/>
        </w:rPr>
        <w:t xml:space="preserve"> </w:t>
      </w:r>
      <w:r w:rsidR="005F033C" w:rsidRPr="005F033C">
        <w:rPr>
          <w:rFonts w:ascii="Times New Roman" w:hAnsi="Times New Roman" w:cs="Times New Roman"/>
          <w:sz w:val="24"/>
        </w:rPr>
        <w:t>Significant advances in peripheral thermal sensation have eme</w:t>
      </w:r>
      <w:r w:rsidR="0026230D">
        <w:rPr>
          <w:rFonts w:ascii="Times New Roman" w:hAnsi="Times New Roman" w:cs="Times New Roman"/>
          <w:sz w:val="24"/>
        </w:rPr>
        <w:t>rged from the discovery of the Transient Receptor P</w:t>
      </w:r>
      <w:r w:rsidR="005F033C" w:rsidRPr="005F033C">
        <w:rPr>
          <w:rFonts w:ascii="Times New Roman" w:hAnsi="Times New Roman" w:cs="Times New Roman"/>
          <w:sz w:val="24"/>
        </w:rPr>
        <w:t>otential (TRP) family of ion channels, which are expressed in both cell and internal membranes and mediate cation influx in respo</w:t>
      </w:r>
      <w:r w:rsidR="00B40BED">
        <w:rPr>
          <w:rFonts w:ascii="Times New Roman" w:hAnsi="Times New Roman" w:cs="Times New Roman"/>
          <w:sz w:val="24"/>
        </w:rPr>
        <w:t>nse to thermal stimuli (Tansey and</w:t>
      </w:r>
      <w:r w:rsidR="005F033C" w:rsidRPr="005F033C">
        <w:rPr>
          <w:rFonts w:ascii="Times New Roman" w:hAnsi="Times New Roman" w:cs="Times New Roman"/>
          <w:sz w:val="24"/>
        </w:rPr>
        <w:t xml:space="preserve"> Johnson, 2015). Nine TRP channels are now established as temperature-sensitive, each exhibiting a relatively narrow activation range, yet collectively providing broad temperature discrimination. For example,</w:t>
      </w:r>
      <w:r w:rsidR="005F033C">
        <w:rPr>
          <w:rFonts w:ascii="Times New Roman" w:hAnsi="Times New Roman" w:cs="Times New Roman"/>
          <w:sz w:val="24"/>
        </w:rPr>
        <w:t xml:space="preserve"> as shown in Figure 2,</w:t>
      </w:r>
      <w:r w:rsidR="005F033C" w:rsidRPr="005F033C">
        <w:rPr>
          <w:rFonts w:ascii="Times New Roman" w:hAnsi="Times New Roman" w:cs="Times New Roman"/>
          <w:sz w:val="24"/>
        </w:rPr>
        <w:t xml:space="preserve"> TRPV1 and TRPV2 respond to noxious heat (&gt;43°C and &gt;52°C, respectively), TRPV3 and TRPV4 mediate innocuous warmth (&gt;31°C and &gt;25°C), TRPM8 responds to innocuous cold (&lt;27°C), and TRPA1 may detect noxious cold (&lt;17°C), though its role remains debated (Tansey &amp; Johnson, 2015). These channels help explain classical observations of </w:t>
      </w:r>
      <w:r w:rsidR="00A72C2B">
        <w:rPr>
          <w:rFonts w:ascii="Times New Roman" w:hAnsi="Times New Roman" w:cs="Times New Roman"/>
          <w:sz w:val="24"/>
        </w:rPr>
        <w:t xml:space="preserve">thermo-receptive </w:t>
      </w:r>
      <w:r w:rsidR="005F033C" w:rsidRPr="005F033C">
        <w:rPr>
          <w:rFonts w:ascii="Times New Roman" w:hAnsi="Times New Roman" w:cs="Times New Roman"/>
          <w:sz w:val="24"/>
        </w:rPr>
        <w:t>neuron responses and sensory discrimination, such as the cooling sensation of menthol (TRPM8 agonist) or the burning sensation of capsaicin in chili (TRPV1 agonist). While mapping TRP channels onto known thermoreceptor discharge patterns provides mechanistic insight, caution is warranted, as direct evidence linking all TRP channels to primary thermosensitive aff</w:t>
      </w:r>
      <w:r w:rsidR="007C6A4A">
        <w:rPr>
          <w:rFonts w:ascii="Times New Roman" w:hAnsi="Times New Roman" w:cs="Times New Roman"/>
          <w:sz w:val="24"/>
        </w:rPr>
        <w:t>erents remains limited (Tansey and</w:t>
      </w:r>
      <w:r w:rsidR="005F033C" w:rsidRPr="005F033C">
        <w:rPr>
          <w:rFonts w:ascii="Times New Roman" w:hAnsi="Times New Roman" w:cs="Times New Roman"/>
          <w:sz w:val="24"/>
        </w:rPr>
        <w:t xml:space="preserve"> Johnson, 2015).</w:t>
      </w:r>
    </w:p>
    <w:p w14:paraId="533FBF10" w14:textId="77777777" w:rsidR="005F033C" w:rsidRPr="003B0223" w:rsidRDefault="005F033C" w:rsidP="003B0223">
      <w:pPr>
        <w:jc w:val="both"/>
        <w:rPr>
          <w:rFonts w:ascii="Times New Roman" w:hAnsi="Times New Roman" w:cs="Times New Roman"/>
          <w:sz w:val="24"/>
        </w:rPr>
      </w:pPr>
    </w:p>
    <w:p w14:paraId="4F91B7A1" w14:textId="77777777" w:rsidR="003B0223" w:rsidRDefault="003B0223" w:rsidP="00D87B7C">
      <w:pPr>
        <w:spacing w:before="100" w:beforeAutospacing="1" w:after="100" w:afterAutospacing="1" w:line="240" w:lineRule="auto"/>
        <w:rPr>
          <w:rFonts w:ascii="Times New Roman" w:eastAsia="Times New Roman" w:hAnsi="Times New Roman" w:cs="Times New Roman"/>
          <w:sz w:val="24"/>
          <w:szCs w:val="24"/>
        </w:rPr>
      </w:pPr>
    </w:p>
    <w:p w14:paraId="243E8E21" w14:textId="77777777" w:rsidR="005F033C" w:rsidRDefault="005F033C" w:rsidP="00D87B7C">
      <w:pPr>
        <w:spacing w:before="100" w:beforeAutospacing="1" w:after="100" w:afterAutospacing="1" w:line="240" w:lineRule="auto"/>
        <w:rPr>
          <w:rFonts w:ascii="Times New Roman" w:eastAsia="Times New Roman" w:hAnsi="Times New Roman" w:cs="Times New Roman"/>
          <w:sz w:val="24"/>
          <w:szCs w:val="24"/>
        </w:rPr>
      </w:pPr>
      <w:r w:rsidRPr="005F033C">
        <w:rPr>
          <w:rFonts w:ascii="Times New Roman" w:eastAsia="Times New Roman" w:hAnsi="Times New Roman" w:cs="Times New Roman"/>
          <w:noProof/>
          <w:sz w:val="24"/>
          <w:szCs w:val="24"/>
        </w:rPr>
        <w:lastRenderedPageBreak/>
        <w:drawing>
          <wp:inline distT="0" distB="0" distL="0" distR="0" wp14:anchorId="7725A1E6" wp14:editId="79C0FF2B">
            <wp:extent cx="5943600" cy="41503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150360"/>
                    </a:xfrm>
                    <a:prstGeom prst="rect">
                      <a:avLst/>
                    </a:prstGeom>
                  </pic:spPr>
                </pic:pic>
              </a:graphicData>
            </a:graphic>
          </wp:inline>
        </w:drawing>
      </w:r>
    </w:p>
    <w:p w14:paraId="0EDF5E62" w14:textId="207FE24F" w:rsidR="005F033C" w:rsidRPr="0040597C" w:rsidRDefault="00B260B9" w:rsidP="00B260B9">
      <w:pPr>
        <w:pStyle w:val="Caption"/>
        <w:jc w:val="center"/>
        <w:rPr>
          <w:rFonts w:ascii="Times New Roman" w:hAnsi="Times New Roman" w:cs="Times New Roman"/>
          <w:i w:val="0"/>
          <w:sz w:val="24"/>
          <w:szCs w:val="24"/>
        </w:rPr>
      </w:pPr>
      <w:r w:rsidRPr="0040597C">
        <w:rPr>
          <w:rFonts w:ascii="Times New Roman" w:hAnsi="Times New Roman" w:cs="Times New Roman"/>
          <w:i w:val="0"/>
          <w:sz w:val="24"/>
          <w:szCs w:val="24"/>
        </w:rPr>
        <w:t xml:space="preserve">Figure </w:t>
      </w:r>
      <w:r w:rsidRPr="0040597C">
        <w:rPr>
          <w:rFonts w:ascii="Times New Roman" w:hAnsi="Times New Roman" w:cs="Times New Roman"/>
          <w:i w:val="0"/>
          <w:sz w:val="24"/>
          <w:szCs w:val="24"/>
        </w:rPr>
        <w:fldChar w:fldCharType="begin"/>
      </w:r>
      <w:r w:rsidRPr="0040597C">
        <w:rPr>
          <w:rFonts w:ascii="Times New Roman" w:hAnsi="Times New Roman" w:cs="Times New Roman"/>
          <w:i w:val="0"/>
          <w:sz w:val="24"/>
          <w:szCs w:val="24"/>
        </w:rPr>
        <w:instrText xml:space="preserve"> SEQ Figure \* ARABIC </w:instrText>
      </w:r>
      <w:r w:rsidRPr="0040597C">
        <w:rPr>
          <w:rFonts w:ascii="Times New Roman" w:hAnsi="Times New Roman" w:cs="Times New Roman"/>
          <w:i w:val="0"/>
          <w:sz w:val="24"/>
          <w:szCs w:val="24"/>
        </w:rPr>
        <w:fldChar w:fldCharType="separate"/>
      </w:r>
      <w:r w:rsidR="00523A51">
        <w:rPr>
          <w:rFonts w:ascii="Times New Roman" w:hAnsi="Times New Roman" w:cs="Times New Roman"/>
          <w:i w:val="0"/>
          <w:noProof/>
          <w:sz w:val="24"/>
          <w:szCs w:val="24"/>
        </w:rPr>
        <w:t>2</w:t>
      </w:r>
      <w:r w:rsidRPr="0040597C">
        <w:rPr>
          <w:rFonts w:ascii="Times New Roman" w:hAnsi="Times New Roman" w:cs="Times New Roman"/>
          <w:i w:val="0"/>
          <w:sz w:val="24"/>
          <w:szCs w:val="24"/>
        </w:rPr>
        <w:fldChar w:fldCharType="end"/>
      </w:r>
      <w:r w:rsidRPr="0040597C">
        <w:rPr>
          <w:rFonts w:ascii="Times New Roman" w:hAnsi="Times New Roman" w:cs="Times New Roman"/>
          <w:i w:val="0"/>
          <w:sz w:val="24"/>
          <w:szCs w:val="24"/>
        </w:rPr>
        <w:t xml:space="preserve">: </w:t>
      </w:r>
      <w:r w:rsidR="005F033C" w:rsidRPr="0040597C">
        <w:rPr>
          <w:rFonts w:ascii="Times New Roman" w:hAnsi="Times New Roman" w:cs="Times New Roman"/>
          <w:i w:val="0"/>
          <w:sz w:val="24"/>
          <w:szCs w:val="24"/>
        </w:rPr>
        <w:t xml:space="preserve">Discharge frequencies of peripheral </w:t>
      </w:r>
      <w:r w:rsidR="00A72C2B">
        <w:rPr>
          <w:rFonts w:ascii="Times New Roman" w:hAnsi="Times New Roman" w:cs="Times New Roman"/>
          <w:i w:val="0"/>
          <w:sz w:val="24"/>
          <w:szCs w:val="24"/>
        </w:rPr>
        <w:t xml:space="preserve">thermo-receptors </w:t>
      </w:r>
      <w:r w:rsidR="005F033C" w:rsidRPr="0040597C">
        <w:rPr>
          <w:rFonts w:ascii="Times New Roman" w:hAnsi="Times New Roman" w:cs="Times New Roman"/>
          <w:i w:val="0"/>
          <w:sz w:val="24"/>
          <w:szCs w:val="24"/>
        </w:rPr>
        <w:t>at diffe</w:t>
      </w:r>
      <w:r w:rsidR="00C50BEE">
        <w:rPr>
          <w:rFonts w:ascii="Times New Roman" w:hAnsi="Times New Roman" w:cs="Times New Roman"/>
          <w:i w:val="0"/>
          <w:sz w:val="24"/>
          <w:szCs w:val="24"/>
        </w:rPr>
        <w:t>rent skin temperatures (Tansey and</w:t>
      </w:r>
      <w:r w:rsidR="005F033C" w:rsidRPr="0040597C">
        <w:rPr>
          <w:rFonts w:ascii="Times New Roman" w:hAnsi="Times New Roman" w:cs="Times New Roman"/>
          <w:i w:val="0"/>
          <w:sz w:val="24"/>
          <w:szCs w:val="24"/>
        </w:rPr>
        <w:t xml:space="preserve"> Johnson, 2015).</w:t>
      </w:r>
    </w:p>
    <w:p w14:paraId="2A3499A3" w14:textId="77777777" w:rsidR="00B260B9" w:rsidRDefault="00B260B9" w:rsidP="00B260B9"/>
    <w:p w14:paraId="3EF6D95B" w14:textId="4164D6F3" w:rsidR="00785FDB" w:rsidRDefault="00785FDB" w:rsidP="00785FDB">
      <w:pPr>
        <w:jc w:val="both"/>
        <w:rPr>
          <w:rFonts w:ascii="Times New Roman" w:hAnsi="Times New Roman" w:cs="Times New Roman"/>
          <w:sz w:val="24"/>
        </w:rPr>
      </w:pPr>
      <w:r w:rsidRPr="00785FDB">
        <w:rPr>
          <w:rFonts w:ascii="Times New Roman" w:hAnsi="Times New Roman" w:cs="Times New Roman"/>
          <w:sz w:val="24"/>
        </w:rPr>
        <w:t xml:space="preserve">Thermal information from peripheral </w:t>
      </w:r>
      <w:r w:rsidR="00A72C2B">
        <w:rPr>
          <w:rFonts w:ascii="Times New Roman" w:hAnsi="Times New Roman" w:cs="Times New Roman"/>
          <w:sz w:val="24"/>
        </w:rPr>
        <w:t xml:space="preserve">thermo-receptors </w:t>
      </w:r>
      <w:r w:rsidRPr="00785FDB">
        <w:rPr>
          <w:rFonts w:ascii="Times New Roman" w:hAnsi="Times New Roman" w:cs="Times New Roman"/>
          <w:sz w:val="24"/>
        </w:rPr>
        <w:t xml:space="preserve">in the skin and central </w:t>
      </w:r>
      <w:r w:rsidR="00A72C2B">
        <w:rPr>
          <w:rFonts w:ascii="Times New Roman" w:hAnsi="Times New Roman" w:cs="Times New Roman"/>
          <w:sz w:val="24"/>
        </w:rPr>
        <w:t xml:space="preserve">thermo-receptors </w:t>
      </w:r>
      <w:r w:rsidRPr="00785FDB">
        <w:rPr>
          <w:rFonts w:ascii="Times New Roman" w:hAnsi="Times New Roman" w:cs="Times New Roman"/>
          <w:sz w:val="24"/>
        </w:rPr>
        <w:t xml:space="preserve">within deep body tissues is continuously integrated by the hypothalamus and compared against a predefined set point, as noted by </w:t>
      </w:r>
      <w:proofErr w:type="spellStart"/>
      <w:r w:rsidRPr="00785FDB">
        <w:rPr>
          <w:rFonts w:ascii="Times New Roman" w:hAnsi="Times New Roman" w:cs="Times New Roman"/>
          <w:sz w:val="24"/>
        </w:rPr>
        <w:t>Fiala</w:t>
      </w:r>
      <w:proofErr w:type="spellEnd"/>
      <w:r w:rsidRPr="00785FDB">
        <w:rPr>
          <w:rFonts w:ascii="Times New Roman" w:hAnsi="Times New Roman" w:cs="Times New Roman"/>
          <w:sz w:val="24"/>
        </w:rPr>
        <w:t xml:space="preserve"> et al. (2012) and Parsons (2014). When body temperature rises above this set point, the hypothalamus initiates heat-loss mechanisms, including vasodilation of cutaneous blood vessels and activation of sweat glands, as described in the work of </w:t>
      </w:r>
      <w:proofErr w:type="spellStart"/>
      <w:r w:rsidRPr="00785FDB">
        <w:rPr>
          <w:rFonts w:ascii="Times New Roman" w:hAnsi="Times New Roman" w:cs="Times New Roman"/>
          <w:sz w:val="24"/>
        </w:rPr>
        <w:t>Charkoudian</w:t>
      </w:r>
      <w:proofErr w:type="spellEnd"/>
      <w:r w:rsidRPr="00785FDB">
        <w:rPr>
          <w:rFonts w:ascii="Times New Roman" w:hAnsi="Times New Roman" w:cs="Times New Roman"/>
          <w:sz w:val="24"/>
        </w:rPr>
        <w:t xml:space="preserve"> (2003) and Kenney and </w:t>
      </w:r>
      <w:proofErr w:type="spellStart"/>
      <w:r w:rsidRPr="00785FDB">
        <w:rPr>
          <w:rFonts w:ascii="Times New Roman" w:hAnsi="Times New Roman" w:cs="Times New Roman"/>
          <w:sz w:val="24"/>
        </w:rPr>
        <w:t>Munce</w:t>
      </w:r>
      <w:proofErr w:type="spellEnd"/>
      <w:r w:rsidRPr="00785FDB">
        <w:rPr>
          <w:rFonts w:ascii="Times New Roman" w:hAnsi="Times New Roman" w:cs="Times New Roman"/>
          <w:sz w:val="24"/>
        </w:rPr>
        <w:t xml:space="preserve"> (2003). Increased blood flow to the skin enhances heat dissipation by radiation and convection, while sweat evaporation removes excess heat, thereby reducing body temperature toward normal levels, according to </w:t>
      </w:r>
      <w:proofErr w:type="spellStart"/>
      <w:r w:rsidRPr="00785FDB">
        <w:rPr>
          <w:rFonts w:ascii="Times New Roman" w:hAnsi="Times New Roman" w:cs="Times New Roman"/>
          <w:sz w:val="24"/>
        </w:rPr>
        <w:t>Romanovsky</w:t>
      </w:r>
      <w:proofErr w:type="spellEnd"/>
      <w:r w:rsidRPr="00785FDB">
        <w:rPr>
          <w:rFonts w:ascii="Times New Roman" w:hAnsi="Times New Roman" w:cs="Times New Roman"/>
          <w:sz w:val="24"/>
        </w:rPr>
        <w:t xml:space="preserve"> (2014) and </w:t>
      </w:r>
      <w:proofErr w:type="spellStart"/>
      <w:r w:rsidRPr="00785FDB">
        <w:rPr>
          <w:rFonts w:ascii="Times New Roman" w:hAnsi="Times New Roman" w:cs="Times New Roman"/>
          <w:sz w:val="24"/>
        </w:rPr>
        <w:t>Havenith</w:t>
      </w:r>
      <w:proofErr w:type="spellEnd"/>
      <w:r w:rsidRPr="00785FDB">
        <w:rPr>
          <w:rFonts w:ascii="Times New Roman" w:hAnsi="Times New Roman" w:cs="Times New Roman"/>
          <w:sz w:val="24"/>
        </w:rPr>
        <w:t xml:space="preserve"> and </w:t>
      </w:r>
      <w:proofErr w:type="spellStart"/>
      <w:r w:rsidRPr="00785FDB">
        <w:rPr>
          <w:rFonts w:ascii="Times New Roman" w:hAnsi="Times New Roman" w:cs="Times New Roman"/>
          <w:sz w:val="24"/>
        </w:rPr>
        <w:t>Fiala</w:t>
      </w:r>
      <w:proofErr w:type="spellEnd"/>
      <w:r w:rsidRPr="00785FDB">
        <w:rPr>
          <w:rFonts w:ascii="Times New Roman" w:hAnsi="Times New Roman" w:cs="Times New Roman"/>
          <w:sz w:val="24"/>
        </w:rPr>
        <w:t xml:space="preserve"> (2016). </w:t>
      </w:r>
    </w:p>
    <w:p w14:paraId="1EFD5B6A" w14:textId="77777777" w:rsidR="004D2979" w:rsidRPr="00785FDB" w:rsidRDefault="004D2979" w:rsidP="00785FDB">
      <w:pPr>
        <w:jc w:val="both"/>
        <w:rPr>
          <w:rFonts w:ascii="Times New Roman" w:hAnsi="Times New Roman" w:cs="Times New Roman"/>
          <w:sz w:val="24"/>
        </w:rPr>
      </w:pPr>
    </w:p>
    <w:p w14:paraId="78A8C5CD" w14:textId="77777777" w:rsidR="00B260B9" w:rsidRPr="00B260B9" w:rsidRDefault="00B260B9" w:rsidP="00B260B9">
      <w:pPr>
        <w:spacing w:before="100" w:beforeAutospacing="1" w:after="100" w:afterAutospacing="1" w:line="240" w:lineRule="auto"/>
        <w:jc w:val="both"/>
        <w:rPr>
          <w:rFonts w:ascii="Times New Roman" w:eastAsia="Times New Roman" w:hAnsi="Times New Roman" w:cs="Times New Roman"/>
          <w:sz w:val="24"/>
          <w:szCs w:val="24"/>
        </w:rPr>
      </w:pPr>
      <w:r w:rsidRPr="00B260B9">
        <w:rPr>
          <w:rFonts w:ascii="Times New Roman" w:eastAsia="Times New Roman" w:hAnsi="Times New Roman" w:cs="Times New Roman"/>
          <w:sz w:val="24"/>
          <w:szCs w:val="24"/>
        </w:rPr>
        <w:t xml:space="preserve">Conversely, when body temperature falls below the hypothalamic set point, heat-promoting mechanisms are activated to conserve and generate heat. Cutaneous vasoconstriction reduces blood flow to the skin, minimizing heat loss from the body surface, while shivering increases metabolic heat production through involuntary skeletal muscle contractions. These coordinated physiological responses collectively raise core temperature back to homeostatic levels. Once </w:t>
      </w:r>
      <w:r w:rsidRPr="00B260B9">
        <w:rPr>
          <w:rFonts w:ascii="Times New Roman" w:eastAsia="Times New Roman" w:hAnsi="Times New Roman" w:cs="Times New Roman"/>
          <w:sz w:val="24"/>
          <w:szCs w:val="24"/>
        </w:rPr>
        <w:lastRenderedPageBreak/>
        <w:t xml:space="preserve">thermal balance is restored, feedback signals inhibit further hypothalamic activity, effectively switching off the corrective responses. This negative feedback system ensures thermal stability, which is essential for optimal enzymatic activity, metabolic efficiency, and overall </w:t>
      </w:r>
      <w:r w:rsidR="004D2979">
        <w:rPr>
          <w:rFonts w:ascii="Times New Roman" w:eastAsia="Times New Roman" w:hAnsi="Times New Roman" w:cs="Times New Roman"/>
          <w:sz w:val="24"/>
          <w:szCs w:val="24"/>
        </w:rPr>
        <w:t>physiological function (</w:t>
      </w:r>
      <w:proofErr w:type="spellStart"/>
      <w:r w:rsidR="004D2979">
        <w:rPr>
          <w:rFonts w:ascii="Times New Roman" w:eastAsia="Times New Roman" w:hAnsi="Times New Roman" w:cs="Times New Roman"/>
          <w:sz w:val="24"/>
          <w:szCs w:val="24"/>
        </w:rPr>
        <w:t>Marieb</w:t>
      </w:r>
      <w:proofErr w:type="spellEnd"/>
      <w:r w:rsidR="004D2979">
        <w:rPr>
          <w:rFonts w:ascii="Times New Roman" w:eastAsia="Times New Roman" w:hAnsi="Times New Roman" w:cs="Times New Roman"/>
          <w:sz w:val="24"/>
          <w:szCs w:val="24"/>
        </w:rPr>
        <w:t xml:space="preserve"> and</w:t>
      </w:r>
      <w:r w:rsidRPr="00B260B9">
        <w:rPr>
          <w:rFonts w:ascii="Times New Roman" w:eastAsia="Times New Roman" w:hAnsi="Times New Roman" w:cs="Times New Roman"/>
          <w:sz w:val="24"/>
          <w:szCs w:val="24"/>
        </w:rPr>
        <w:t xml:space="preserve"> Hoehn, 2019).</w:t>
      </w:r>
    </w:p>
    <w:p w14:paraId="7DB93092" w14:textId="40D72375" w:rsidR="00A72AA8" w:rsidRPr="00785FDB" w:rsidRDefault="00785FDB" w:rsidP="00785FDB">
      <w:pPr>
        <w:jc w:val="both"/>
        <w:rPr>
          <w:rFonts w:ascii="Times New Roman" w:hAnsi="Times New Roman" w:cs="Times New Roman"/>
          <w:sz w:val="24"/>
        </w:rPr>
        <w:sectPr w:rsidR="00A72AA8" w:rsidRPr="00785FDB">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08" w:footer="708" w:gutter="0"/>
          <w:cols w:space="708"/>
          <w:docGrid w:linePitch="360"/>
        </w:sectPr>
      </w:pPr>
      <w:r w:rsidRPr="00785FDB">
        <w:rPr>
          <w:rFonts w:ascii="Times New Roman" w:hAnsi="Times New Roman" w:cs="Times New Roman"/>
          <w:sz w:val="24"/>
        </w:rPr>
        <w:t xml:space="preserve">Figure 3 summarizes the homeostatic regulation of body temperature through a hypothalamic negative feedback mechanism. As noted by </w:t>
      </w:r>
      <w:proofErr w:type="spellStart"/>
      <w:r w:rsidRPr="00785FDB">
        <w:rPr>
          <w:rFonts w:ascii="Times New Roman" w:hAnsi="Times New Roman" w:cs="Times New Roman"/>
          <w:sz w:val="24"/>
        </w:rPr>
        <w:t>Flouris</w:t>
      </w:r>
      <w:proofErr w:type="spellEnd"/>
      <w:r w:rsidRPr="00785FDB">
        <w:rPr>
          <w:rFonts w:ascii="Times New Roman" w:hAnsi="Times New Roman" w:cs="Times New Roman"/>
          <w:sz w:val="24"/>
        </w:rPr>
        <w:t xml:space="preserve"> (2011) and Tansey and Johnson (2015), when body temperature rises above the normal set point, </w:t>
      </w:r>
      <w:r w:rsidR="00A72C2B">
        <w:rPr>
          <w:rFonts w:ascii="Times New Roman" w:hAnsi="Times New Roman" w:cs="Times New Roman"/>
          <w:sz w:val="24"/>
        </w:rPr>
        <w:t xml:space="preserve">thermo-receptors </w:t>
      </w:r>
      <w:r w:rsidRPr="00785FDB">
        <w:rPr>
          <w:rFonts w:ascii="Times New Roman" w:hAnsi="Times New Roman" w:cs="Times New Roman"/>
          <w:sz w:val="24"/>
        </w:rPr>
        <w:t xml:space="preserve">signal the hypothalamus to activate heat-loss responses, including sweating and vasodilation of skin blood vessels, which enhance heat dissipation and reduce body temperature. Conversely, when body temperature falls below the set point, the hypothalamus initiates heat-promoting responses such as vasoconstriction and shivering, as described in the work of </w:t>
      </w:r>
      <w:proofErr w:type="spellStart"/>
      <w:r w:rsidRPr="00785FDB">
        <w:rPr>
          <w:rFonts w:ascii="Times New Roman" w:hAnsi="Times New Roman" w:cs="Times New Roman"/>
          <w:sz w:val="24"/>
        </w:rPr>
        <w:t>Kingma</w:t>
      </w:r>
      <w:proofErr w:type="spellEnd"/>
      <w:r w:rsidRPr="00785FDB">
        <w:rPr>
          <w:rFonts w:ascii="Times New Roman" w:hAnsi="Times New Roman" w:cs="Times New Roman"/>
          <w:sz w:val="24"/>
        </w:rPr>
        <w:t xml:space="preserve"> et al. (2012) and Kenney and </w:t>
      </w:r>
      <w:proofErr w:type="spellStart"/>
      <w:r w:rsidRPr="00785FDB">
        <w:rPr>
          <w:rFonts w:ascii="Times New Roman" w:hAnsi="Times New Roman" w:cs="Times New Roman"/>
          <w:sz w:val="24"/>
        </w:rPr>
        <w:t>Munce</w:t>
      </w:r>
      <w:proofErr w:type="spellEnd"/>
      <w:r w:rsidRPr="00785FDB">
        <w:rPr>
          <w:rFonts w:ascii="Times New Roman" w:hAnsi="Times New Roman" w:cs="Times New Roman"/>
          <w:sz w:val="24"/>
        </w:rPr>
        <w:t xml:space="preserve"> (2003). These opposing mechanisms restore normal body temperature, and once balance is achieved, the hypothalamic response is switched off, thereby maintaining thermal homeostasis, according t</w:t>
      </w:r>
      <w:r w:rsidR="0008740D">
        <w:rPr>
          <w:rFonts w:ascii="Times New Roman" w:hAnsi="Times New Roman" w:cs="Times New Roman"/>
          <w:sz w:val="24"/>
        </w:rPr>
        <w:t xml:space="preserve">o </w:t>
      </w:r>
      <w:proofErr w:type="spellStart"/>
      <w:r w:rsidR="0008740D">
        <w:rPr>
          <w:rFonts w:ascii="Times New Roman" w:hAnsi="Times New Roman" w:cs="Times New Roman"/>
          <w:sz w:val="24"/>
        </w:rPr>
        <w:t>Havenith</w:t>
      </w:r>
      <w:proofErr w:type="spellEnd"/>
      <w:r w:rsidR="0008740D">
        <w:rPr>
          <w:rFonts w:ascii="Times New Roman" w:hAnsi="Times New Roman" w:cs="Times New Roman"/>
          <w:sz w:val="24"/>
        </w:rPr>
        <w:t xml:space="preserve"> and </w:t>
      </w:r>
      <w:proofErr w:type="spellStart"/>
      <w:r w:rsidR="0008740D">
        <w:rPr>
          <w:rFonts w:ascii="Times New Roman" w:hAnsi="Times New Roman" w:cs="Times New Roman"/>
          <w:sz w:val="24"/>
        </w:rPr>
        <w:t>Fiala</w:t>
      </w:r>
      <w:proofErr w:type="spellEnd"/>
      <w:r w:rsidR="0008740D">
        <w:rPr>
          <w:rFonts w:ascii="Times New Roman" w:hAnsi="Times New Roman" w:cs="Times New Roman"/>
          <w:sz w:val="24"/>
        </w:rPr>
        <w:t xml:space="preserve"> (2016), </w:t>
      </w:r>
      <w:proofErr w:type="spellStart"/>
      <w:r w:rsidR="0008740D">
        <w:rPr>
          <w:rFonts w:ascii="Times New Roman" w:hAnsi="Times New Roman" w:cs="Times New Roman"/>
          <w:sz w:val="24"/>
        </w:rPr>
        <w:t>Romanovsky</w:t>
      </w:r>
      <w:proofErr w:type="spellEnd"/>
      <w:r w:rsidR="0008740D">
        <w:rPr>
          <w:rFonts w:ascii="Times New Roman" w:hAnsi="Times New Roman" w:cs="Times New Roman"/>
          <w:sz w:val="24"/>
        </w:rPr>
        <w:t xml:space="preserve"> (2007) and </w:t>
      </w:r>
      <w:proofErr w:type="spellStart"/>
      <w:r w:rsidR="0008740D">
        <w:rPr>
          <w:rFonts w:ascii="Times New Roman" w:hAnsi="Times New Roman" w:cs="Times New Roman"/>
          <w:sz w:val="24"/>
        </w:rPr>
        <w:t>Romanovsky</w:t>
      </w:r>
      <w:proofErr w:type="spellEnd"/>
      <w:r w:rsidR="0008740D">
        <w:rPr>
          <w:rFonts w:ascii="Times New Roman" w:hAnsi="Times New Roman" w:cs="Times New Roman"/>
          <w:sz w:val="24"/>
        </w:rPr>
        <w:t xml:space="preserve"> (2014).</w:t>
      </w:r>
    </w:p>
    <w:p w14:paraId="44894ED8" w14:textId="77777777" w:rsidR="00D87B7C" w:rsidRPr="00F958B7" w:rsidRDefault="00D87B7C" w:rsidP="00D87B7C">
      <w:pPr>
        <w:spacing w:before="100" w:beforeAutospacing="1" w:after="100" w:afterAutospacing="1" w:line="240" w:lineRule="auto"/>
        <w:jc w:val="center"/>
        <w:rPr>
          <w:rFonts w:ascii="Times New Roman" w:eastAsia="Times New Roman" w:hAnsi="Times New Roman" w:cs="Times New Roman"/>
          <w:sz w:val="24"/>
          <w:szCs w:val="24"/>
        </w:rPr>
      </w:pPr>
      <w:r w:rsidRPr="00F958B7">
        <w:rPr>
          <w:rFonts w:ascii="Times New Roman" w:eastAsia="Times New Roman" w:hAnsi="Times New Roman" w:cs="Times New Roman"/>
          <w:noProof/>
          <w:sz w:val="24"/>
          <w:szCs w:val="24"/>
        </w:rPr>
        <w:lastRenderedPageBreak/>
        <w:drawing>
          <wp:inline distT="0" distB="0" distL="0" distR="0" wp14:anchorId="7C0A1652" wp14:editId="2A0731D0">
            <wp:extent cx="5029200" cy="5135880"/>
            <wp:effectExtent l="0" t="0" r="0" b="7620"/>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5135880"/>
                    </a:xfrm>
                    <a:prstGeom prst="rect">
                      <a:avLst/>
                    </a:prstGeom>
                    <a:noFill/>
                    <a:ln>
                      <a:noFill/>
                    </a:ln>
                  </pic:spPr>
                </pic:pic>
              </a:graphicData>
            </a:graphic>
          </wp:inline>
        </w:drawing>
      </w:r>
    </w:p>
    <w:p w14:paraId="62A28D68" w14:textId="77777777" w:rsidR="00484A3D" w:rsidRPr="0040597C" w:rsidRDefault="00A811AA" w:rsidP="00A811AA">
      <w:pPr>
        <w:pStyle w:val="Caption"/>
        <w:jc w:val="center"/>
        <w:rPr>
          <w:rFonts w:ascii="Times New Roman" w:eastAsia="Times New Roman" w:hAnsi="Times New Roman" w:cs="Times New Roman"/>
          <w:i w:val="0"/>
          <w:sz w:val="36"/>
          <w:szCs w:val="24"/>
        </w:rPr>
      </w:pPr>
      <w:r w:rsidRPr="0040597C">
        <w:rPr>
          <w:rFonts w:ascii="Times New Roman" w:hAnsi="Times New Roman" w:cs="Times New Roman"/>
          <w:i w:val="0"/>
          <w:sz w:val="24"/>
        </w:rPr>
        <w:t xml:space="preserve">Figure </w:t>
      </w:r>
      <w:r w:rsidRPr="0040597C">
        <w:rPr>
          <w:rFonts w:ascii="Times New Roman" w:hAnsi="Times New Roman" w:cs="Times New Roman"/>
          <w:i w:val="0"/>
          <w:sz w:val="24"/>
        </w:rPr>
        <w:fldChar w:fldCharType="begin"/>
      </w:r>
      <w:r w:rsidRPr="0040597C">
        <w:rPr>
          <w:rFonts w:ascii="Times New Roman" w:hAnsi="Times New Roman" w:cs="Times New Roman"/>
          <w:i w:val="0"/>
          <w:sz w:val="24"/>
        </w:rPr>
        <w:instrText xml:space="preserve"> SEQ Figure \* ARABIC </w:instrText>
      </w:r>
      <w:r w:rsidRPr="0040597C">
        <w:rPr>
          <w:rFonts w:ascii="Times New Roman" w:hAnsi="Times New Roman" w:cs="Times New Roman"/>
          <w:i w:val="0"/>
          <w:sz w:val="24"/>
        </w:rPr>
        <w:fldChar w:fldCharType="separate"/>
      </w:r>
      <w:r w:rsidR="00523A51">
        <w:rPr>
          <w:rFonts w:ascii="Times New Roman" w:hAnsi="Times New Roman" w:cs="Times New Roman"/>
          <w:i w:val="0"/>
          <w:noProof/>
          <w:sz w:val="24"/>
        </w:rPr>
        <w:t>3</w:t>
      </w:r>
      <w:r w:rsidRPr="0040597C">
        <w:rPr>
          <w:rFonts w:ascii="Times New Roman" w:hAnsi="Times New Roman" w:cs="Times New Roman"/>
          <w:i w:val="0"/>
          <w:sz w:val="24"/>
        </w:rPr>
        <w:fldChar w:fldCharType="end"/>
      </w:r>
      <w:r w:rsidRPr="0040597C">
        <w:rPr>
          <w:rFonts w:ascii="Times New Roman" w:hAnsi="Times New Roman" w:cs="Times New Roman"/>
          <w:i w:val="0"/>
          <w:sz w:val="24"/>
        </w:rPr>
        <w:t xml:space="preserve">: </w:t>
      </w:r>
      <w:r w:rsidR="00B260B9" w:rsidRPr="0040597C">
        <w:rPr>
          <w:rFonts w:ascii="Times New Roman" w:hAnsi="Times New Roman" w:cs="Times New Roman"/>
          <w:i w:val="0"/>
          <w:sz w:val="24"/>
        </w:rPr>
        <w:t>Homeostatic regulation of body temperature via hypothalamic negative feedback mechanisms.</w:t>
      </w:r>
    </w:p>
    <w:p w14:paraId="1117BFED" w14:textId="77777777" w:rsidR="00A72AA8" w:rsidRDefault="00F66F43" w:rsidP="00D87B7C">
      <w:pPr>
        <w:spacing w:before="100" w:beforeAutospacing="1" w:after="100" w:afterAutospacing="1" w:line="240" w:lineRule="auto"/>
        <w:jc w:val="center"/>
        <w:rPr>
          <w:rFonts w:ascii="Times New Roman" w:eastAsia="Times New Roman" w:hAnsi="Times New Roman" w:cs="Times New Roman"/>
          <w:sz w:val="24"/>
          <w:szCs w:val="24"/>
        </w:rPr>
      </w:pPr>
      <w:r w:rsidRPr="00F66F43">
        <w:rPr>
          <w:rFonts w:ascii="Times New Roman" w:eastAsia="Times New Roman" w:hAnsi="Times New Roman" w:cs="Times New Roman"/>
          <w:noProof/>
          <w:sz w:val="24"/>
          <w:szCs w:val="24"/>
        </w:rPr>
        <w:lastRenderedPageBreak/>
        <w:drawing>
          <wp:inline distT="0" distB="0" distL="0" distR="0" wp14:anchorId="710ED34C" wp14:editId="60CD0989">
            <wp:extent cx="5723116" cy="3482642"/>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23116" cy="3482642"/>
                    </a:xfrm>
                    <a:prstGeom prst="rect">
                      <a:avLst/>
                    </a:prstGeom>
                  </pic:spPr>
                </pic:pic>
              </a:graphicData>
            </a:graphic>
          </wp:inline>
        </w:drawing>
      </w:r>
    </w:p>
    <w:p w14:paraId="572AA536" w14:textId="77777777" w:rsidR="00A72AA8" w:rsidRPr="00A811AA" w:rsidRDefault="00A811AA" w:rsidP="00A811AA">
      <w:pPr>
        <w:pStyle w:val="Caption"/>
        <w:jc w:val="center"/>
        <w:rPr>
          <w:rFonts w:ascii="Times New Roman" w:eastAsia="Times New Roman" w:hAnsi="Times New Roman" w:cs="Times New Roman"/>
          <w:i w:val="0"/>
          <w:sz w:val="36"/>
          <w:szCs w:val="24"/>
        </w:rPr>
      </w:pPr>
      <w:r w:rsidRPr="00A811AA">
        <w:rPr>
          <w:rFonts w:ascii="Times New Roman" w:hAnsi="Times New Roman" w:cs="Times New Roman"/>
          <w:i w:val="0"/>
          <w:sz w:val="24"/>
        </w:rPr>
        <w:t xml:space="preserve">Figure </w:t>
      </w:r>
      <w:r w:rsidRPr="00A811AA">
        <w:rPr>
          <w:rFonts w:ascii="Times New Roman" w:hAnsi="Times New Roman" w:cs="Times New Roman"/>
          <w:i w:val="0"/>
          <w:sz w:val="24"/>
        </w:rPr>
        <w:fldChar w:fldCharType="begin"/>
      </w:r>
      <w:r w:rsidRPr="00A811AA">
        <w:rPr>
          <w:rFonts w:ascii="Times New Roman" w:hAnsi="Times New Roman" w:cs="Times New Roman"/>
          <w:i w:val="0"/>
          <w:sz w:val="24"/>
        </w:rPr>
        <w:instrText xml:space="preserve"> SEQ Figure \* ARABIC </w:instrText>
      </w:r>
      <w:r w:rsidRPr="00A811AA">
        <w:rPr>
          <w:rFonts w:ascii="Times New Roman" w:hAnsi="Times New Roman" w:cs="Times New Roman"/>
          <w:i w:val="0"/>
          <w:sz w:val="24"/>
        </w:rPr>
        <w:fldChar w:fldCharType="separate"/>
      </w:r>
      <w:r w:rsidR="00523A51">
        <w:rPr>
          <w:rFonts w:ascii="Times New Roman" w:hAnsi="Times New Roman" w:cs="Times New Roman"/>
          <w:i w:val="0"/>
          <w:noProof/>
          <w:sz w:val="24"/>
        </w:rPr>
        <w:t>4</w:t>
      </w:r>
      <w:r w:rsidRPr="00A811AA">
        <w:rPr>
          <w:rFonts w:ascii="Times New Roman" w:hAnsi="Times New Roman" w:cs="Times New Roman"/>
          <w:i w:val="0"/>
          <w:sz w:val="24"/>
        </w:rPr>
        <w:fldChar w:fldCharType="end"/>
      </w:r>
      <w:r w:rsidRPr="00A811AA">
        <w:rPr>
          <w:rFonts w:ascii="Times New Roman" w:hAnsi="Times New Roman" w:cs="Times New Roman"/>
          <w:i w:val="0"/>
          <w:sz w:val="24"/>
        </w:rPr>
        <w:t xml:space="preserve">: </w:t>
      </w:r>
      <w:r w:rsidR="00A22087" w:rsidRPr="00A811AA">
        <w:rPr>
          <w:rFonts w:ascii="Times New Roman" w:hAnsi="Times New Roman" w:cs="Times New Roman"/>
          <w:i w:val="0"/>
          <w:sz w:val="24"/>
        </w:rPr>
        <w:t xml:space="preserve">Mechanisms of thermoregulation in response to heat and cold (adapted from </w:t>
      </w:r>
      <w:proofErr w:type="spellStart"/>
      <w:r w:rsidR="00A22087" w:rsidRPr="00A811AA">
        <w:rPr>
          <w:rFonts w:ascii="Times New Roman" w:hAnsi="Times New Roman" w:cs="Times New Roman"/>
          <w:i w:val="0"/>
          <w:sz w:val="24"/>
        </w:rPr>
        <w:t>Fiala</w:t>
      </w:r>
      <w:proofErr w:type="spellEnd"/>
      <w:r w:rsidR="00A22087" w:rsidRPr="00A811AA">
        <w:rPr>
          <w:rFonts w:ascii="Times New Roman" w:hAnsi="Times New Roman" w:cs="Times New Roman"/>
          <w:i w:val="0"/>
          <w:sz w:val="24"/>
        </w:rPr>
        <w:t>, 2016).</w:t>
      </w:r>
    </w:p>
    <w:p w14:paraId="1A10F8B6" w14:textId="77777777" w:rsidR="00A72AA8" w:rsidRPr="00A72AA8" w:rsidRDefault="00A72AA8" w:rsidP="000E4927">
      <w:pPr>
        <w:spacing w:after="0" w:line="240" w:lineRule="auto"/>
        <w:rPr>
          <w:rFonts w:ascii="Times New Roman" w:eastAsia="Times New Roman" w:hAnsi="Times New Roman" w:cs="Times New Roman"/>
          <w:sz w:val="24"/>
          <w:szCs w:val="24"/>
        </w:rPr>
      </w:pPr>
    </w:p>
    <w:p w14:paraId="18222DC5" w14:textId="77777777" w:rsidR="00A72AA8" w:rsidRPr="00A22087" w:rsidRDefault="00A22087" w:rsidP="00A22087">
      <w:pPr>
        <w:jc w:val="both"/>
        <w:rPr>
          <w:rFonts w:ascii="Times New Roman" w:hAnsi="Times New Roman" w:cs="Times New Roman"/>
          <w:sz w:val="24"/>
        </w:rPr>
      </w:pPr>
      <w:r w:rsidRPr="00A22087">
        <w:rPr>
          <w:rFonts w:ascii="Times New Roman" w:hAnsi="Times New Roman" w:cs="Times New Roman"/>
          <w:sz w:val="24"/>
        </w:rPr>
        <w:t xml:space="preserve">Figures 4a and 4b collectively illustrate the mechanisms of thermoregulation at the skin level under hot and cold environmental conditions. As noted by </w:t>
      </w:r>
      <w:proofErr w:type="spellStart"/>
      <w:r w:rsidRPr="00A22087">
        <w:rPr>
          <w:rFonts w:ascii="Times New Roman" w:hAnsi="Times New Roman" w:cs="Times New Roman"/>
          <w:sz w:val="24"/>
        </w:rPr>
        <w:t>Charkoudian</w:t>
      </w:r>
      <w:proofErr w:type="spellEnd"/>
      <w:r w:rsidRPr="00A22087">
        <w:rPr>
          <w:rFonts w:ascii="Times New Roman" w:hAnsi="Times New Roman" w:cs="Times New Roman"/>
          <w:sz w:val="24"/>
        </w:rPr>
        <w:t xml:space="preserve"> (2003) and </w:t>
      </w:r>
      <w:proofErr w:type="spellStart"/>
      <w:r w:rsidRPr="00A22087">
        <w:rPr>
          <w:rFonts w:ascii="Times New Roman" w:hAnsi="Times New Roman" w:cs="Times New Roman"/>
          <w:sz w:val="24"/>
        </w:rPr>
        <w:t>Romanovsky</w:t>
      </w:r>
      <w:proofErr w:type="spellEnd"/>
      <w:r w:rsidRPr="00A22087">
        <w:rPr>
          <w:rFonts w:ascii="Times New Roman" w:hAnsi="Times New Roman" w:cs="Times New Roman"/>
          <w:sz w:val="24"/>
        </w:rPr>
        <w:t xml:space="preserve"> (2014), when exposed to heat (Figure 4a), sweat glands become active, promoting heat loss through evaporation, while cutaneous blood vessels dilate to increase blood flow to the skin surface. The arrector pili muscles relax, causing hairs to lie flat, which further facilitates heat dissipation, according to </w:t>
      </w:r>
      <w:proofErr w:type="spellStart"/>
      <w:r w:rsidRPr="00A22087">
        <w:rPr>
          <w:rFonts w:ascii="Times New Roman" w:hAnsi="Times New Roman" w:cs="Times New Roman"/>
          <w:sz w:val="24"/>
        </w:rPr>
        <w:t>Flouris</w:t>
      </w:r>
      <w:proofErr w:type="spellEnd"/>
      <w:r w:rsidRPr="00A22087">
        <w:rPr>
          <w:rFonts w:ascii="Times New Roman" w:hAnsi="Times New Roman" w:cs="Times New Roman"/>
          <w:sz w:val="24"/>
        </w:rPr>
        <w:t xml:space="preserve"> (2011). In contrast, under cold conditions (Figure 4b), sweating is reduced, and blood vessels constrict to minimize heat loss, as described in the work of Kenney and </w:t>
      </w:r>
      <w:proofErr w:type="spellStart"/>
      <w:r w:rsidRPr="00A22087">
        <w:rPr>
          <w:rFonts w:ascii="Times New Roman" w:hAnsi="Times New Roman" w:cs="Times New Roman"/>
          <w:sz w:val="24"/>
        </w:rPr>
        <w:t>Munce</w:t>
      </w:r>
      <w:proofErr w:type="spellEnd"/>
      <w:r w:rsidRPr="00A22087">
        <w:rPr>
          <w:rFonts w:ascii="Times New Roman" w:hAnsi="Times New Roman" w:cs="Times New Roman"/>
          <w:sz w:val="24"/>
        </w:rPr>
        <w:t xml:space="preserve"> (2003) and </w:t>
      </w:r>
      <w:proofErr w:type="spellStart"/>
      <w:r w:rsidRPr="00A22087">
        <w:rPr>
          <w:rFonts w:ascii="Times New Roman" w:hAnsi="Times New Roman" w:cs="Times New Roman"/>
          <w:sz w:val="24"/>
        </w:rPr>
        <w:t>Havenith</w:t>
      </w:r>
      <w:proofErr w:type="spellEnd"/>
      <w:r w:rsidRPr="00A22087">
        <w:rPr>
          <w:rFonts w:ascii="Times New Roman" w:hAnsi="Times New Roman" w:cs="Times New Roman"/>
          <w:sz w:val="24"/>
        </w:rPr>
        <w:t xml:space="preserve"> and </w:t>
      </w:r>
      <w:proofErr w:type="spellStart"/>
      <w:r w:rsidRPr="00A22087">
        <w:rPr>
          <w:rFonts w:ascii="Times New Roman" w:hAnsi="Times New Roman" w:cs="Times New Roman"/>
          <w:sz w:val="24"/>
        </w:rPr>
        <w:t>Fiala</w:t>
      </w:r>
      <w:proofErr w:type="spellEnd"/>
      <w:r w:rsidRPr="00A22087">
        <w:rPr>
          <w:rFonts w:ascii="Times New Roman" w:hAnsi="Times New Roman" w:cs="Times New Roman"/>
          <w:sz w:val="24"/>
        </w:rPr>
        <w:t xml:space="preserve"> (2016). The arrector pili muscles contract, causing hairs to stand upright and trap insulating air near the skin surface, while reduced skin blood flow conserves core body heat. Together, these coordinated vascular, muscular, and glandular responses of the skin contribute to maintaining thermal homeostasis in response to environmental temperature changes, as emphasized by Tansey and Johnson (2015) and </w:t>
      </w:r>
      <w:proofErr w:type="spellStart"/>
      <w:r w:rsidRPr="00A22087">
        <w:rPr>
          <w:rFonts w:ascii="Times New Roman" w:hAnsi="Times New Roman" w:cs="Times New Roman"/>
          <w:sz w:val="24"/>
        </w:rPr>
        <w:t>Kingma</w:t>
      </w:r>
      <w:proofErr w:type="spellEnd"/>
      <w:r w:rsidRPr="00A22087">
        <w:rPr>
          <w:rFonts w:ascii="Times New Roman" w:hAnsi="Times New Roman" w:cs="Times New Roman"/>
          <w:sz w:val="24"/>
        </w:rPr>
        <w:t xml:space="preserve"> et al. (2012).</w:t>
      </w:r>
    </w:p>
    <w:p w14:paraId="72429543" w14:textId="77777777" w:rsidR="00D87B7C" w:rsidRPr="00A72AA8" w:rsidRDefault="00D87B7C" w:rsidP="00A72AA8">
      <w:pPr>
        <w:tabs>
          <w:tab w:val="left" w:pos="8328"/>
        </w:tabs>
        <w:rPr>
          <w:rFonts w:ascii="Times New Roman" w:eastAsia="Times New Roman" w:hAnsi="Times New Roman" w:cs="Times New Roman"/>
          <w:sz w:val="24"/>
          <w:szCs w:val="24"/>
        </w:rPr>
      </w:pPr>
    </w:p>
    <w:p w14:paraId="7F651C1A" w14:textId="77777777" w:rsidR="00D87B7C" w:rsidRPr="00F958B7" w:rsidRDefault="00D87B7C" w:rsidP="00D87B7C">
      <w:pPr>
        <w:spacing w:before="100" w:beforeAutospacing="1" w:after="100" w:afterAutospacing="1" w:line="240" w:lineRule="auto"/>
        <w:jc w:val="center"/>
        <w:rPr>
          <w:rFonts w:ascii="Times New Roman" w:eastAsia="Times New Roman" w:hAnsi="Times New Roman" w:cs="Times New Roman"/>
          <w:sz w:val="24"/>
          <w:szCs w:val="24"/>
        </w:rPr>
        <w:sectPr w:rsidR="00D87B7C" w:rsidRPr="00F958B7" w:rsidSect="00A72AA8">
          <w:pgSz w:w="12240" w:h="15840"/>
          <w:pgMar w:top="1440" w:right="1440" w:bottom="1440" w:left="1440" w:header="708" w:footer="708" w:gutter="0"/>
          <w:cols w:space="708"/>
          <w:docGrid w:linePitch="360"/>
        </w:sectPr>
      </w:pPr>
    </w:p>
    <w:p w14:paraId="64F41FE2" w14:textId="77777777" w:rsidR="00A966BC" w:rsidRPr="00F958B7" w:rsidRDefault="00A966BC" w:rsidP="00B60041">
      <w:pPr>
        <w:pStyle w:val="Heading1"/>
      </w:pPr>
      <w:r w:rsidRPr="00F958B7">
        <w:lastRenderedPageBreak/>
        <w:t>2.2 Human Body Heat Balance</w:t>
      </w:r>
    </w:p>
    <w:p w14:paraId="0478067C" w14:textId="064C7D53" w:rsidR="00A966BC" w:rsidRDefault="00FB6EBC" w:rsidP="00FB6EBC">
      <w:pPr>
        <w:jc w:val="both"/>
        <w:rPr>
          <w:rFonts w:ascii="Times New Roman" w:hAnsi="Times New Roman" w:cs="Times New Roman"/>
          <w:sz w:val="24"/>
        </w:rPr>
      </w:pPr>
      <w:r w:rsidRPr="00FB6EBC">
        <w:rPr>
          <w:rFonts w:ascii="Times New Roman" w:hAnsi="Times New Roman" w:cs="Times New Roman"/>
          <w:sz w:val="24"/>
        </w:rPr>
        <w:t xml:space="preserve">The thermal balance of the human body is commonly expressed as the equilibrium between internal heat production and heat exchange with the surrounding environment. According to Parsons (2014) and </w:t>
      </w:r>
      <w:proofErr w:type="spellStart"/>
      <w:r w:rsidRPr="00FB6EBC">
        <w:rPr>
          <w:rFonts w:ascii="Times New Roman" w:hAnsi="Times New Roman" w:cs="Times New Roman"/>
          <w:sz w:val="24"/>
        </w:rPr>
        <w:t>Havenith</w:t>
      </w:r>
      <w:proofErr w:type="spellEnd"/>
      <w:r w:rsidRPr="00FB6EBC">
        <w:rPr>
          <w:rFonts w:ascii="Times New Roman" w:hAnsi="Times New Roman" w:cs="Times New Roman"/>
          <w:sz w:val="24"/>
        </w:rPr>
        <w:t xml:space="preserve"> and </w:t>
      </w:r>
      <w:proofErr w:type="spellStart"/>
      <w:r w:rsidRPr="00FB6EBC">
        <w:rPr>
          <w:rFonts w:ascii="Times New Roman" w:hAnsi="Times New Roman" w:cs="Times New Roman"/>
          <w:sz w:val="24"/>
        </w:rPr>
        <w:t>Fiala</w:t>
      </w:r>
      <w:proofErr w:type="spellEnd"/>
      <w:r w:rsidRPr="00FB6EBC">
        <w:rPr>
          <w:rFonts w:ascii="Times New Roman" w:hAnsi="Times New Roman" w:cs="Times New Roman"/>
          <w:sz w:val="24"/>
        </w:rPr>
        <w:t xml:space="preserve"> (2016), this balance accounts for metabolic heat generation, mechanical work, and heat loss or gain through radiation, convection, conduction, and evaporation. Metabolic processes continuously generate heat, which must be dissipated to maintain a stable core temperature within the thermoneutral zone, as described by </w:t>
      </w:r>
      <w:proofErr w:type="spellStart"/>
      <w:r w:rsidRPr="00FB6EBC">
        <w:rPr>
          <w:rFonts w:ascii="Times New Roman" w:hAnsi="Times New Roman" w:cs="Times New Roman"/>
          <w:sz w:val="24"/>
        </w:rPr>
        <w:t>Kingma</w:t>
      </w:r>
      <w:proofErr w:type="spellEnd"/>
      <w:r w:rsidRPr="00FB6EBC">
        <w:rPr>
          <w:rFonts w:ascii="Times New Roman" w:hAnsi="Times New Roman" w:cs="Times New Roman"/>
          <w:sz w:val="24"/>
        </w:rPr>
        <w:t xml:space="preserve"> et al. (2012). When environmental conditions impede adequate heat loss, physiological responses such as sweating and increased skin blood flow are activated to restore equilibrium, whereas cold stress triggers mechanisms that reduce heat loss and increase heat production. This heat balance framework forms the foundation of modern </w:t>
      </w:r>
      <w:r w:rsidR="00A72C2B">
        <w:rPr>
          <w:rFonts w:ascii="Times New Roman" w:hAnsi="Times New Roman" w:cs="Times New Roman"/>
          <w:sz w:val="24"/>
        </w:rPr>
        <w:t>thermos-</w:t>
      </w:r>
      <w:r w:rsidRPr="00FB6EBC">
        <w:rPr>
          <w:rFonts w:ascii="Times New Roman" w:hAnsi="Times New Roman" w:cs="Times New Roman"/>
          <w:sz w:val="24"/>
        </w:rPr>
        <w:t xml:space="preserve">physiological models and is central to understanding human thermal comfort and adaptive responses, as emphasized in the work of </w:t>
      </w:r>
      <w:proofErr w:type="spellStart"/>
      <w:r w:rsidRPr="00FB6EBC">
        <w:rPr>
          <w:rFonts w:ascii="Times New Roman" w:hAnsi="Times New Roman" w:cs="Times New Roman"/>
          <w:sz w:val="24"/>
        </w:rPr>
        <w:t>Djongyang</w:t>
      </w:r>
      <w:proofErr w:type="spellEnd"/>
      <w:r w:rsidRPr="00FB6EBC">
        <w:rPr>
          <w:rFonts w:ascii="Times New Roman" w:hAnsi="Times New Roman" w:cs="Times New Roman"/>
          <w:sz w:val="24"/>
        </w:rPr>
        <w:t xml:space="preserve"> et al. (2010) and </w:t>
      </w:r>
      <w:proofErr w:type="spellStart"/>
      <w:r w:rsidRPr="00FB6EBC">
        <w:rPr>
          <w:rFonts w:ascii="Times New Roman" w:hAnsi="Times New Roman" w:cs="Times New Roman"/>
          <w:sz w:val="24"/>
        </w:rPr>
        <w:t>Flouris</w:t>
      </w:r>
      <w:proofErr w:type="spellEnd"/>
      <w:r w:rsidRPr="00FB6EBC">
        <w:rPr>
          <w:rFonts w:ascii="Times New Roman" w:hAnsi="Times New Roman" w:cs="Times New Roman"/>
          <w:sz w:val="24"/>
        </w:rPr>
        <w:t xml:space="preserve"> (2011). </w:t>
      </w:r>
      <w:r w:rsidR="00A966BC" w:rsidRPr="00FB6EBC">
        <w:rPr>
          <w:rFonts w:ascii="Times New Roman" w:hAnsi="Times New Roman" w:cs="Times New Roman"/>
          <w:sz w:val="24"/>
        </w:rPr>
        <w:t>The thermal balance of the</w:t>
      </w:r>
      <w:r w:rsidR="007F2F34">
        <w:rPr>
          <w:rFonts w:ascii="Times New Roman" w:hAnsi="Times New Roman" w:cs="Times New Roman"/>
          <w:sz w:val="24"/>
        </w:rPr>
        <w:t xml:space="preserve"> human body is expressed as:</w:t>
      </w:r>
    </w:p>
    <w:p w14:paraId="0B9D6D4F" w14:textId="77777777" w:rsidR="00F70AC3" w:rsidRPr="007F2F34" w:rsidRDefault="00FB6EBC" w:rsidP="007F2F34">
      <w:pPr>
        <w:jc w:val="both"/>
        <w:rPr>
          <w:rFonts w:ascii="Times New Roman" w:hAnsi="Times New Roman" w:cs="Times New Roman"/>
          <w:sz w:val="24"/>
        </w:rPr>
      </w:pPr>
      <m:oMathPara>
        <m:oMath>
          <m:r>
            <w:rPr>
              <w:rFonts w:ascii="Cambria Math" w:hAnsi="Cambria Math" w:cs="Times New Roman"/>
              <w:sz w:val="20"/>
            </w:rPr>
            <m:t>M-W=Qcond+Qconv+Qrad+Qevap+Qstore                                                                                                         1</m:t>
          </m:r>
        </m:oMath>
      </m:oMathPara>
    </w:p>
    <w:p w14:paraId="31773443" w14:textId="77777777" w:rsidR="00A966BC" w:rsidRPr="00F958B7" w:rsidRDefault="00A966BC" w:rsidP="00484A3D">
      <w:pPr>
        <w:spacing w:before="100" w:beforeAutospacing="1" w:after="100" w:afterAutospacing="1" w:line="240" w:lineRule="auto"/>
        <w:jc w:val="both"/>
        <w:rPr>
          <w:rFonts w:ascii="Times New Roman" w:eastAsia="Times New Roman" w:hAnsi="Times New Roman" w:cs="Times New Roman"/>
          <w:sz w:val="24"/>
          <w:szCs w:val="24"/>
        </w:rPr>
      </w:pPr>
      <w:r w:rsidRPr="00F958B7">
        <w:rPr>
          <w:rFonts w:ascii="Times New Roman" w:eastAsia="Times New Roman" w:hAnsi="Times New Roman" w:cs="Times New Roman"/>
          <w:sz w:val="24"/>
          <w:szCs w:val="24"/>
        </w:rPr>
        <w:t>where (</w:t>
      </w:r>
      <w:r w:rsidRPr="007F2F34">
        <w:rPr>
          <w:rFonts w:ascii="Times New Roman" w:eastAsia="Times New Roman" w:hAnsi="Times New Roman" w:cs="Times New Roman"/>
          <w:i/>
          <w:sz w:val="24"/>
          <w:szCs w:val="24"/>
        </w:rPr>
        <w:t>M</w:t>
      </w:r>
      <w:r w:rsidRPr="00F958B7">
        <w:rPr>
          <w:rFonts w:ascii="Times New Roman" w:eastAsia="Times New Roman" w:hAnsi="Times New Roman" w:cs="Times New Roman"/>
          <w:sz w:val="24"/>
          <w:szCs w:val="24"/>
        </w:rPr>
        <w:t>) is metabolic heat production, (</w:t>
      </w:r>
      <w:r w:rsidRPr="007F2F34">
        <w:rPr>
          <w:rFonts w:ascii="Times New Roman" w:eastAsia="Times New Roman" w:hAnsi="Times New Roman" w:cs="Times New Roman"/>
          <w:i/>
          <w:sz w:val="24"/>
          <w:szCs w:val="24"/>
        </w:rPr>
        <w:t>W</w:t>
      </w:r>
      <w:r w:rsidRPr="00F958B7">
        <w:rPr>
          <w:rFonts w:ascii="Times New Roman" w:eastAsia="Times New Roman" w:hAnsi="Times New Roman" w:cs="Times New Roman"/>
          <w:sz w:val="24"/>
          <w:szCs w:val="24"/>
        </w:rPr>
        <w:t>) is mechanical work, and the remaining terms represent heat transfer via conduction, convection, radiation, evaporation, and storage.</w:t>
      </w:r>
    </w:p>
    <w:p w14:paraId="451CA989" w14:textId="77777777" w:rsidR="00A966BC" w:rsidRDefault="00A966BC" w:rsidP="00484A3D">
      <w:pPr>
        <w:spacing w:before="100" w:beforeAutospacing="1" w:after="100" w:afterAutospacing="1" w:line="240" w:lineRule="auto"/>
        <w:jc w:val="both"/>
        <w:rPr>
          <w:rFonts w:ascii="Times New Roman" w:eastAsia="Times New Roman" w:hAnsi="Times New Roman" w:cs="Times New Roman"/>
          <w:sz w:val="24"/>
          <w:szCs w:val="24"/>
        </w:rPr>
      </w:pPr>
      <w:r w:rsidRPr="00F958B7">
        <w:rPr>
          <w:rFonts w:ascii="Times New Roman" w:eastAsia="Times New Roman" w:hAnsi="Times New Roman" w:cs="Times New Roman"/>
          <w:sz w:val="24"/>
          <w:szCs w:val="24"/>
        </w:rPr>
        <w:t xml:space="preserve">Thermal comfort is achieved when the rate </w:t>
      </w:r>
      <w:r w:rsidR="000E4927">
        <w:rPr>
          <w:rFonts w:ascii="Times New Roman" w:eastAsia="Times New Roman" w:hAnsi="Times New Roman" w:cs="Times New Roman"/>
          <w:sz w:val="24"/>
          <w:szCs w:val="24"/>
        </w:rPr>
        <w:t xml:space="preserve">of heat storage approaches zero as illustrated in Figure 5 below: </w:t>
      </w:r>
    </w:p>
    <w:p w14:paraId="77A0B346" w14:textId="77777777" w:rsidR="000E4927" w:rsidRDefault="000E4927" w:rsidP="00484A3D">
      <w:pPr>
        <w:spacing w:before="100" w:beforeAutospacing="1" w:after="100" w:afterAutospacing="1" w:line="240" w:lineRule="auto"/>
        <w:jc w:val="both"/>
        <w:rPr>
          <w:rFonts w:ascii="Times New Roman" w:eastAsia="Times New Roman" w:hAnsi="Times New Roman" w:cs="Times New Roman"/>
          <w:sz w:val="24"/>
          <w:szCs w:val="24"/>
        </w:rPr>
      </w:pPr>
      <w:r w:rsidRPr="00F958B7">
        <w:rPr>
          <w:rFonts w:ascii="Times New Roman" w:eastAsia="Times New Roman" w:hAnsi="Times New Roman" w:cs="Times New Roman"/>
          <w:noProof/>
          <w:sz w:val="24"/>
          <w:szCs w:val="24"/>
        </w:rPr>
        <w:drawing>
          <wp:inline distT="0" distB="0" distL="0" distR="0" wp14:anchorId="34F3C195" wp14:editId="065651CA">
            <wp:extent cx="5676900" cy="3564466"/>
            <wp:effectExtent l="0" t="0" r="0" b="0"/>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0738" cy="3566876"/>
                    </a:xfrm>
                    <a:prstGeom prst="rect">
                      <a:avLst/>
                    </a:prstGeom>
                    <a:noFill/>
                    <a:ln>
                      <a:noFill/>
                    </a:ln>
                  </pic:spPr>
                </pic:pic>
              </a:graphicData>
            </a:graphic>
          </wp:inline>
        </w:drawing>
      </w:r>
    </w:p>
    <w:p w14:paraId="6B0A81B5" w14:textId="77777777" w:rsidR="000E4927" w:rsidRPr="000E4927" w:rsidRDefault="000E4927" w:rsidP="000E4927">
      <w:pPr>
        <w:pStyle w:val="Caption"/>
        <w:jc w:val="center"/>
        <w:rPr>
          <w:rFonts w:ascii="Times New Roman" w:eastAsia="Times New Roman" w:hAnsi="Times New Roman" w:cs="Times New Roman"/>
          <w:i w:val="0"/>
          <w:sz w:val="36"/>
          <w:szCs w:val="24"/>
        </w:rPr>
      </w:pPr>
      <w:r w:rsidRPr="000E4927">
        <w:rPr>
          <w:rFonts w:ascii="Times New Roman" w:hAnsi="Times New Roman" w:cs="Times New Roman"/>
          <w:i w:val="0"/>
          <w:sz w:val="24"/>
        </w:rPr>
        <w:t xml:space="preserve">Figure </w:t>
      </w:r>
      <w:r w:rsidRPr="000E4927">
        <w:rPr>
          <w:rFonts w:ascii="Times New Roman" w:hAnsi="Times New Roman" w:cs="Times New Roman"/>
          <w:i w:val="0"/>
          <w:sz w:val="24"/>
        </w:rPr>
        <w:fldChar w:fldCharType="begin"/>
      </w:r>
      <w:r w:rsidRPr="000E4927">
        <w:rPr>
          <w:rFonts w:ascii="Times New Roman" w:hAnsi="Times New Roman" w:cs="Times New Roman"/>
          <w:i w:val="0"/>
          <w:sz w:val="24"/>
        </w:rPr>
        <w:instrText xml:space="preserve"> SEQ Figure \* ARABIC </w:instrText>
      </w:r>
      <w:r w:rsidRPr="000E4927">
        <w:rPr>
          <w:rFonts w:ascii="Times New Roman" w:hAnsi="Times New Roman" w:cs="Times New Roman"/>
          <w:i w:val="0"/>
          <w:sz w:val="24"/>
        </w:rPr>
        <w:fldChar w:fldCharType="separate"/>
      </w:r>
      <w:r w:rsidR="00523A51">
        <w:rPr>
          <w:rFonts w:ascii="Times New Roman" w:hAnsi="Times New Roman" w:cs="Times New Roman"/>
          <w:i w:val="0"/>
          <w:noProof/>
          <w:sz w:val="24"/>
        </w:rPr>
        <w:t>5</w:t>
      </w:r>
      <w:r w:rsidRPr="000E4927">
        <w:rPr>
          <w:rFonts w:ascii="Times New Roman" w:hAnsi="Times New Roman" w:cs="Times New Roman"/>
          <w:i w:val="0"/>
          <w:sz w:val="24"/>
        </w:rPr>
        <w:fldChar w:fldCharType="end"/>
      </w:r>
      <w:r w:rsidRPr="000E4927">
        <w:rPr>
          <w:rFonts w:ascii="Times New Roman" w:hAnsi="Times New Roman" w:cs="Times New Roman"/>
          <w:i w:val="0"/>
          <w:sz w:val="24"/>
        </w:rPr>
        <w:t>: Relationship Between Heat Storage Rate and Thermal Comfort in Bio-Humid Wall Environments (adapted from Parsons, 2014)</w:t>
      </w:r>
    </w:p>
    <w:p w14:paraId="0D1EF192" w14:textId="16DF32FC" w:rsidR="00A966BC" w:rsidRPr="00F958B7" w:rsidRDefault="00484A3D" w:rsidP="00484A3D">
      <w:pPr>
        <w:pStyle w:val="Caption"/>
        <w:rPr>
          <w:rFonts w:ascii="Times New Roman" w:eastAsia="Times New Roman" w:hAnsi="Times New Roman" w:cs="Times New Roman"/>
          <w:b/>
          <w:bCs/>
          <w:i w:val="0"/>
          <w:sz w:val="24"/>
          <w:szCs w:val="24"/>
        </w:rPr>
      </w:pPr>
      <w:r w:rsidRPr="00F958B7">
        <w:rPr>
          <w:rFonts w:ascii="Times New Roman" w:hAnsi="Times New Roman" w:cs="Times New Roman"/>
          <w:b/>
          <w:i w:val="0"/>
          <w:sz w:val="24"/>
          <w:szCs w:val="24"/>
        </w:rPr>
        <w:lastRenderedPageBreak/>
        <w:t xml:space="preserve">Table </w:t>
      </w:r>
      <w:r w:rsidRPr="00F958B7">
        <w:rPr>
          <w:rFonts w:ascii="Times New Roman" w:hAnsi="Times New Roman" w:cs="Times New Roman"/>
          <w:b/>
          <w:i w:val="0"/>
          <w:sz w:val="24"/>
          <w:szCs w:val="24"/>
        </w:rPr>
        <w:fldChar w:fldCharType="begin"/>
      </w:r>
      <w:r w:rsidRPr="00F958B7">
        <w:rPr>
          <w:rFonts w:ascii="Times New Roman" w:hAnsi="Times New Roman" w:cs="Times New Roman"/>
          <w:b/>
          <w:i w:val="0"/>
          <w:sz w:val="24"/>
          <w:szCs w:val="24"/>
        </w:rPr>
        <w:instrText xml:space="preserve"> SEQ Table \* ARABIC </w:instrText>
      </w:r>
      <w:r w:rsidRPr="00F958B7">
        <w:rPr>
          <w:rFonts w:ascii="Times New Roman" w:hAnsi="Times New Roman" w:cs="Times New Roman"/>
          <w:b/>
          <w:i w:val="0"/>
          <w:sz w:val="24"/>
          <w:szCs w:val="24"/>
        </w:rPr>
        <w:fldChar w:fldCharType="separate"/>
      </w:r>
      <w:r w:rsidR="00D8620E">
        <w:rPr>
          <w:rFonts w:ascii="Times New Roman" w:hAnsi="Times New Roman" w:cs="Times New Roman"/>
          <w:b/>
          <w:i w:val="0"/>
          <w:noProof/>
          <w:sz w:val="24"/>
          <w:szCs w:val="24"/>
        </w:rPr>
        <w:t>1</w:t>
      </w:r>
      <w:r w:rsidRPr="00F958B7">
        <w:rPr>
          <w:rFonts w:ascii="Times New Roman" w:hAnsi="Times New Roman" w:cs="Times New Roman"/>
          <w:b/>
          <w:i w:val="0"/>
          <w:sz w:val="24"/>
          <w:szCs w:val="24"/>
        </w:rPr>
        <w:fldChar w:fldCharType="end"/>
      </w:r>
      <w:r w:rsidRPr="00F958B7">
        <w:rPr>
          <w:rFonts w:ascii="Times New Roman" w:hAnsi="Times New Roman" w:cs="Times New Roman"/>
          <w:b/>
          <w:i w:val="0"/>
          <w:sz w:val="24"/>
          <w:szCs w:val="24"/>
        </w:rPr>
        <w:t xml:space="preserve">: </w:t>
      </w:r>
      <w:r w:rsidR="00A966BC" w:rsidRPr="00F958B7">
        <w:rPr>
          <w:rFonts w:ascii="Times New Roman" w:eastAsia="Times New Roman" w:hAnsi="Times New Roman" w:cs="Times New Roman"/>
          <w:b/>
          <w:bCs/>
          <w:i w:val="0"/>
          <w:sz w:val="24"/>
          <w:szCs w:val="24"/>
        </w:rPr>
        <w:t>Comparison Between Human Thermoregulation and Building Analog</w:t>
      </w:r>
    </w:p>
    <w:tbl>
      <w:tblPr>
        <w:tblStyle w:val="TableGrid"/>
        <w:tblW w:w="0" w:type="auto"/>
        <w:tblLook w:val="04A0" w:firstRow="1" w:lastRow="0" w:firstColumn="1" w:lastColumn="0" w:noHBand="0" w:noVBand="1"/>
      </w:tblPr>
      <w:tblGrid>
        <w:gridCol w:w="3364"/>
        <w:gridCol w:w="2717"/>
        <w:gridCol w:w="3269"/>
      </w:tblGrid>
      <w:tr w:rsidR="00A966BC" w:rsidRPr="00F958B7" w14:paraId="73599592" w14:textId="77777777" w:rsidTr="00627701">
        <w:tc>
          <w:tcPr>
            <w:tcW w:w="0" w:type="auto"/>
            <w:hideMark/>
          </w:tcPr>
          <w:p w14:paraId="77262868" w14:textId="77777777" w:rsidR="00A966BC" w:rsidRPr="00F958B7" w:rsidRDefault="00A966BC" w:rsidP="00A966BC">
            <w:pPr>
              <w:jc w:val="center"/>
              <w:rPr>
                <w:rFonts w:ascii="Times New Roman" w:eastAsia="Times New Roman" w:hAnsi="Times New Roman" w:cs="Times New Roman"/>
                <w:b/>
                <w:bCs/>
                <w:sz w:val="24"/>
                <w:szCs w:val="24"/>
              </w:rPr>
            </w:pPr>
            <w:r w:rsidRPr="00F958B7">
              <w:rPr>
                <w:rFonts w:ascii="Times New Roman" w:eastAsia="Times New Roman" w:hAnsi="Times New Roman" w:cs="Times New Roman"/>
                <w:b/>
                <w:bCs/>
                <w:sz w:val="24"/>
                <w:szCs w:val="24"/>
              </w:rPr>
              <w:t>Human Physiological Component</w:t>
            </w:r>
          </w:p>
        </w:tc>
        <w:tc>
          <w:tcPr>
            <w:tcW w:w="0" w:type="auto"/>
            <w:hideMark/>
          </w:tcPr>
          <w:p w14:paraId="0DE90ABB" w14:textId="77777777" w:rsidR="00A966BC" w:rsidRPr="00F958B7" w:rsidRDefault="00A966BC" w:rsidP="00A966BC">
            <w:pPr>
              <w:jc w:val="center"/>
              <w:rPr>
                <w:rFonts w:ascii="Times New Roman" w:eastAsia="Times New Roman" w:hAnsi="Times New Roman" w:cs="Times New Roman"/>
                <w:b/>
                <w:bCs/>
                <w:sz w:val="24"/>
                <w:szCs w:val="24"/>
              </w:rPr>
            </w:pPr>
            <w:r w:rsidRPr="00F958B7">
              <w:rPr>
                <w:rFonts w:ascii="Times New Roman" w:eastAsia="Times New Roman" w:hAnsi="Times New Roman" w:cs="Times New Roman"/>
                <w:b/>
                <w:bCs/>
                <w:sz w:val="24"/>
                <w:szCs w:val="24"/>
              </w:rPr>
              <w:t>Function</w:t>
            </w:r>
          </w:p>
        </w:tc>
        <w:tc>
          <w:tcPr>
            <w:tcW w:w="0" w:type="auto"/>
            <w:hideMark/>
          </w:tcPr>
          <w:p w14:paraId="404D5F9B" w14:textId="77777777" w:rsidR="00A966BC" w:rsidRPr="00F958B7" w:rsidRDefault="00A966BC" w:rsidP="00A966BC">
            <w:pPr>
              <w:jc w:val="center"/>
              <w:rPr>
                <w:rFonts w:ascii="Times New Roman" w:eastAsia="Times New Roman" w:hAnsi="Times New Roman" w:cs="Times New Roman"/>
                <w:b/>
                <w:bCs/>
                <w:sz w:val="24"/>
                <w:szCs w:val="24"/>
              </w:rPr>
            </w:pPr>
            <w:r w:rsidRPr="00F958B7">
              <w:rPr>
                <w:rFonts w:ascii="Times New Roman" w:eastAsia="Times New Roman" w:hAnsi="Times New Roman" w:cs="Times New Roman"/>
                <w:b/>
                <w:bCs/>
                <w:sz w:val="24"/>
                <w:szCs w:val="24"/>
              </w:rPr>
              <w:t>Building Analog</w:t>
            </w:r>
          </w:p>
        </w:tc>
      </w:tr>
      <w:tr w:rsidR="00A966BC" w:rsidRPr="00F958B7" w14:paraId="431DBDDD" w14:textId="77777777" w:rsidTr="00627701">
        <w:tc>
          <w:tcPr>
            <w:tcW w:w="0" w:type="auto"/>
            <w:hideMark/>
          </w:tcPr>
          <w:p w14:paraId="4ECC0131" w14:textId="77777777" w:rsidR="00A966BC" w:rsidRPr="00F958B7" w:rsidRDefault="00A966BC" w:rsidP="00A966BC">
            <w:pPr>
              <w:rPr>
                <w:rFonts w:ascii="Times New Roman" w:eastAsia="Times New Roman" w:hAnsi="Times New Roman" w:cs="Times New Roman"/>
                <w:sz w:val="24"/>
                <w:szCs w:val="24"/>
              </w:rPr>
            </w:pPr>
            <w:r w:rsidRPr="00F958B7">
              <w:rPr>
                <w:rFonts w:ascii="Times New Roman" w:eastAsia="Times New Roman" w:hAnsi="Times New Roman" w:cs="Times New Roman"/>
                <w:sz w:val="24"/>
                <w:szCs w:val="24"/>
              </w:rPr>
              <w:t>Skin</w:t>
            </w:r>
          </w:p>
        </w:tc>
        <w:tc>
          <w:tcPr>
            <w:tcW w:w="0" w:type="auto"/>
            <w:hideMark/>
          </w:tcPr>
          <w:p w14:paraId="03569816" w14:textId="77777777" w:rsidR="00A966BC" w:rsidRPr="00F958B7" w:rsidRDefault="00A966BC" w:rsidP="00A966BC">
            <w:pPr>
              <w:rPr>
                <w:rFonts w:ascii="Times New Roman" w:eastAsia="Times New Roman" w:hAnsi="Times New Roman" w:cs="Times New Roman"/>
                <w:sz w:val="24"/>
                <w:szCs w:val="24"/>
              </w:rPr>
            </w:pPr>
            <w:r w:rsidRPr="00F958B7">
              <w:rPr>
                <w:rFonts w:ascii="Times New Roman" w:eastAsia="Times New Roman" w:hAnsi="Times New Roman" w:cs="Times New Roman"/>
                <w:sz w:val="24"/>
                <w:szCs w:val="24"/>
              </w:rPr>
              <w:t>Heat and moisture exchange</w:t>
            </w:r>
          </w:p>
        </w:tc>
        <w:tc>
          <w:tcPr>
            <w:tcW w:w="0" w:type="auto"/>
            <w:hideMark/>
          </w:tcPr>
          <w:p w14:paraId="2C152AF5" w14:textId="77777777" w:rsidR="00A966BC" w:rsidRPr="00F958B7" w:rsidRDefault="00A966BC" w:rsidP="00A966BC">
            <w:pPr>
              <w:rPr>
                <w:rFonts w:ascii="Times New Roman" w:eastAsia="Times New Roman" w:hAnsi="Times New Roman" w:cs="Times New Roman"/>
                <w:sz w:val="24"/>
                <w:szCs w:val="24"/>
              </w:rPr>
            </w:pPr>
            <w:r w:rsidRPr="00F958B7">
              <w:rPr>
                <w:rFonts w:ascii="Times New Roman" w:eastAsia="Times New Roman" w:hAnsi="Times New Roman" w:cs="Times New Roman"/>
                <w:sz w:val="24"/>
                <w:szCs w:val="24"/>
              </w:rPr>
              <w:t>Bio-humid wall envelope</w:t>
            </w:r>
          </w:p>
        </w:tc>
      </w:tr>
      <w:tr w:rsidR="00A966BC" w:rsidRPr="00F958B7" w14:paraId="3296C9B9" w14:textId="77777777" w:rsidTr="00627701">
        <w:tc>
          <w:tcPr>
            <w:tcW w:w="0" w:type="auto"/>
            <w:hideMark/>
          </w:tcPr>
          <w:p w14:paraId="67099E5A" w14:textId="77777777" w:rsidR="00A966BC" w:rsidRPr="00F958B7" w:rsidRDefault="00A966BC" w:rsidP="00A966BC">
            <w:pPr>
              <w:rPr>
                <w:rFonts w:ascii="Times New Roman" w:eastAsia="Times New Roman" w:hAnsi="Times New Roman" w:cs="Times New Roman"/>
                <w:sz w:val="24"/>
                <w:szCs w:val="24"/>
              </w:rPr>
            </w:pPr>
            <w:r w:rsidRPr="00F958B7">
              <w:rPr>
                <w:rFonts w:ascii="Times New Roman" w:eastAsia="Times New Roman" w:hAnsi="Times New Roman" w:cs="Times New Roman"/>
                <w:sz w:val="24"/>
                <w:szCs w:val="24"/>
              </w:rPr>
              <w:t>Sweat glands</w:t>
            </w:r>
          </w:p>
        </w:tc>
        <w:tc>
          <w:tcPr>
            <w:tcW w:w="0" w:type="auto"/>
            <w:hideMark/>
          </w:tcPr>
          <w:p w14:paraId="770CBF14" w14:textId="77777777" w:rsidR="00A966BC" w:rsidRPr="00F958B7" w:rsidRDefault="00A966BC" w:rsidP="00A966BC">
            <w:pPr>
              <w:rPr>
                <w:rFonts w:ascii="Times New Roman" w:eastAsia="Times New Roman" w:hAnsi="Times New Roman" w:cs="Times New Roman"/>
                <w:sz w:val="24"/>
                <w:szCs w:val="24"/>
              </w:rPr>
            </w:pPr>
            <w:r w:rsidRPr="00F958B7">
              <w:rPr>
                <w:rFonts w:ascii="Times New Roman" w:eastAsia="Times New Roman" w:hAnsi="Times New Roman" w:cs="Times New Roman"/>
                <w:sz w:val="24"/>
                <w:szCs w:val="24"/>
              </w:rPr>
              <w:t>Evaporative cooling</w:t>
            </w:r>
          </w:p>
        </w:tc>
        <w:tc>
          <w:tcPr>
            <w:tcW w:w="0" w:type="auto"/>
            <w:hideMark/>
          </w:tcPr>
          <w:p w14:paraId="3F0B610B" w14:textId="77777777" w:rsidR="00A966BC" w:rsidRPr="00F958B7" w:rsidRDefault="00A966BC" w:rsidP="00A966BC">
            <w:pPr>
              <w:rPr>
                <w:rFonts w:ascii="Times New Roman" w:eastAsia="Times New Roman" w:hAnsi="Times New Roman" w:cs="Times New Roman"/>
                <w:sz w:val="24"/>
                <w:szCs w:val="24"/>
              </w:rPr>
            </w:pPr>
            <w:r w:rsidRPr="00F958B7">
              <w:rPr>
                <w:rFonts w:ascii="Times New Roman" w:eastAsia="Times New Roman" w:hAnsi="Times New Roman" w:cs="Times New Roman"/>
                <w:sz w:val="24"/>
                <w:szCs w:val="24"/>
              </w:rPr>
              <w:t>Hygroscopic porous bricks</w:t>
            </w:r>
          </w:p>
        </w:tc>
      </w:tr>
      <w:tr w:rsidR="00A966BC" w:rsidRPr="00F958B7" w14:paraId="1D2F46E1" w14:textId="77777777" w:rsidTr="00627701">
        <w:tc>
          <w:tcPr>
            <w:tcW w:w="0" w:type="auto"/>
            <w:hideMark/>
          </w:tcPr>
          <w:p w14:paraId="5DC5992B" w14:textId="77777777" w:rsidR="00A966BC" w:rsidRPr="00F958B7" w:rsidRDefault="00A966BC" w:rsidP="00A966BC">
            <w:pPr>
              <w:rPr>
                <w:rFonts w:ascii="Times New Roman" w:eastAsia="Times New Roman" w:hAnsi="Times New Roman" w:cs="Times New Roman"/>
                <w:sz w:val="24"/>
                <w:szCs w:val="24"/>
              </w:rPr>
            </w:pPr>
            <w:r w:rsidRPr="00F958B7">
              <w:rPr>
                <w:rFonts w:ascii="Times New Roman" w:eastAsia="Times New Roman" w:hAnsi="Times New Roman" w:cs="Times New Roman"/>
                <w:sz w:val="24"/>
                <w:szCs w:val="24"/>
              </w:rPr>
              <w:t>Blood vessels</w:t>
            </w:r>
          </w:p>
        </w:tc>
        <w:tc>
          <w:tcPr>
            <w:tcW w:w="0" w:type="auto"/>
            <w:hideMark/>
          </w:tcPr>
          <w:p w14:paraId="0091F418" w14:textId="77777777" w:rsidR="00A966BC" w:rsidRPr="00F958B7" w:rsidRDefault="00A966BC" w:rsidP="00A966BC">
            <w:pPr>
              <w:rPr>
                <w:rFonts w:ascii="Times New Roman" w:eastAsia="Times New Roman" w:hAnsi="Times New Roman" w:cs="Times New Roman"/>
                <w:sz w:val="24"/>
                <w:szCs w:val="24"/>
              </w:rPr>
            </w:pPr>
            <w:r w:rsidRPr="00F958B7">
              <w:rPr>
                <w:rFonts w:ascii="Times New Roman" w:eastAsia="Times New Roman" w:hAnsi="Times New Roman" w:cs="Times New Roman"/>
                <w:sz w:val="24"/>
                <w:szCs w:val="24"/>
              </w:rPr>
              <w:t>Heat distribution</w:t>
            </w:r>
          </w:p>
        </w:tc>
        <w:tc>
          <w:tcPr>
            <w:tcW w:w="0" w:type="auto"/>
            <w:hideMark/>
          </w:tcPr>
          <w:p w14:paraId="7A4DFEA7" w14:textId="77777777" w:rsidR="00A966BC" w:rsidRPr="00F958B7" w:rsidRDefault="00A966BC" w:rsidP="00A966BC">
            <w:pPr>
              <w:rPr>
                <w:rFonts w:ascii="Times New Roman" w:eastAsia="Times New Roman" w:hAnsi="Times New Roman" w:cs="Times New Roman"/>
                <w:sz w:val="24"/>
                <w:szCs w:val="24"/>
              </w:rPr>
            </w:pPr>
            <w:r w:rsidRPr="00F958B7">
              <w:rPr>
                <w:rFonts w:ascii="Times New Roman" w:eastAsia="Times New Roman" w:hAnsi="Times New Roman" w:cs="Times New Roman"/>
                <w:sz w:val="24"/>
                <w:szCs w:val="24"/>
              </w:rPr>
              <w:t>Thermal conduction pathways</w:t>
            </w:r>
          </w:p>
        </w:tc>
      </w:tr>
      <w:tr w:rsidR="00A966BC" w:rsidRPr="00F958B7" w14:paraId="5C310BBD" w14:textId="77777777" w:rsidTr="00627701">
        <w:tc>
          <w:tcPr>
            <w:tcW w:w="0" w:type="auto"/>
            <w:hideMark/>
          </w:tcPr>
          <w:p w14:paraId="39BEEEA5" w14:textId="77777777" w:rsidR="00A966BC" w:rsidRPr="00F958B7" w:rsidRDefault="00A966BC" w:rsidP="00A966BC">
            <w:pPr>
              <w:rPr>
                <w:rFonts w:ascii="Times New Roman" w:eastAsia="Times New Roman" w:hAnsi="Times New Roman" w:cs="Times New Roman"/>
                <w:sz w:val="24"/>
                <w:szCs w:val="24"/>
              </w:rPr>
            </w:pPr>
            <w:r w:rsidRPr="00F958B7">
              <w:rPr>
                <w:rFonts w:ascii="Times New Roman" w:eastAsia="Times New Roman" w:hAnsi="Times New Roman" w:cs="Times New Roman"/>
                <w:sz w:val="24"/>
                <w:szCs w:val="24"/>
              </w:rPr>
              <w:t>Hypothalamus</w:t>
            </w:r>
          </w:p>
        </w:tc>
        <w:tc>
          <w:tcPr>
            <w:tcW w:w="0" w:type="auto"/>
            <w:hideMark/>
          </w:tcPr>
          <w:p w14:paraId="6CD5FFAA" w14:textId="77777777" w:rsidR="00A966BC" w:rsidRPr="00F958B7" w:rsidRDefault="00A966BC" w:rsidP="00A966BC">
            <w:pPr>
              <w:rPr>
                <w:rFonts w:ascii="Times New Roman" w:eastAsia="Times New Roman" w:hAnsi="Times New Roman" w:cs="Times New Roman"/>
                <w:sz w:val="24"/>
                <w:szCs w:val="24"/>
              </w:rPr>
            </w:pPr>
            <w:r w:rsidRPr="00F958B7">
              <w:rPr>
                <w:rFonts w:ascii="Times New Roman" w:eastAsia="Times New Roman" w:hAnsi="Times New Roman" w:cs="Times New Roman"/>
                <w:sz w:val="24"/>
                <w:szCs w:val="24"/>
              </w:rPr>
              <w:t>Feedback control</w:t>
            </w:r>
          </w:p>
        </w:tc>
        <w:tc>
          <w:tcPr>
            <w:tcW w:w="0" w:type="auto"/>
            <w:hideMark/>
          </w:tcPr>
          <w:p w14:paraId="68BE00C9" w14:textId="77777777" w:rsidR="00A966BC" w:rsidRPr="00F958B7" w:rsidRDefault="00A966BC" w:rsidP="00A966BC">
            <w:pPr>
              <w:rPr>
                <w:rFonts w:ascii="Times New Roman" w:eastAsia="Times New Roman" w:hAnsi="Times New Roman" w:cs="Times New Roman"/>
                <w:sz w:val="24"/>
                <w:szCs w:val="24"/>
              </w:rPr>
            </w:pPr>
            <w:r w:rsidRPr="00F958B7">
              <w:rPr>
                <w:rFonts w:ascii="Times New Roman" w:eastAsia="Times New Roman" w:hAnsi="Times New Roman" w:cs="Times New Roman"/>
                <w:sz w:val="24"/>
                <w:szCs w:val="24"/>
              </w:rPr>
              <w:t>Passive material response / sensors</w:t>
            </w:r>
          </w:p>
        </w:tc>
      </w:tr>
    </w:tbl>
    <w:p w14:paraId="609C4100" w14:textId="77777777" w:rsidR="001F697E" w:rsidRPr="00F958B7" w:rsidRDefault="001F697E" w:rsidP="00A966BC">
      <w:pPr>
        <w:spacing w:after="0" w:line="240" w:lineRule="auto"/>
        <w:rPr>
          <w:rFonts w:ascii="Times New Roman" w:eastAsia="Times New Roman" w:hAnsi="Times New Roman" w:cs="Times New Roman"/>
          <w:sz w:val="24"/>
          <w:szCs w:val="24"/>
        </w:rPr>
      </w:pPr>
    </w:p>
    <w:p w14:paraId="65769A0E" w14:textId="77777777" w:rsidR="00A966BC" w:rsidRDefault="00B60041" w:rsidP="005417D2">
      <w:pPr>
        <w:pStyle w:val="Heading1"/>
      </w:pPr>
      <w:r>
        <w:t xml:space="preserve">2.3 </w:t>
      </w:r>
      <w:r w:rsidR="00A966BC" w:rsidRPr="008A1EE4">
        <w:t>Bio-Humid Wall Brick Design Concept</w:t>
      </w:r>
    </w:p>
    <w:p w14:paraId="1200EAFF" w14:textId="77777777" w:rsidR="008A1EE4" w:rsidRDefault="008A1EE4" w:rsidP="008A1EE4">
      <w:pPr>
        <w:jc w:val="both"/>
        <w:rPr>
          <w:rFonts w:ascii="Times New Roman" w:hAnsi="Times New Roman" w:cs="Times New Roman"/>
          <w:sz w:val="24"/>
        </w:rPr>
      </w:pPr>
      <w:r w:rsidRPr="008A1EE4">
        <w:rPr>
          <w:rFonts w:ascii="Times New Roman" w:hAnsi="Times New Roman" w:cs="Times New Roman"/>
          <w:sz w:val="24"/>
        </w:rPr>
        <w:t xml:space="preserve">The bio-humid wall brick design concept is inspired by the moisture- and heat-regulating functions of human skin, translating biological thermoregulation principles into building envelope systems. In the work of </w:t>
      </w:r>
      <w:proofErr w:type="spellStart"/>
      <w:r w:rsidRPr="008A1EE4">
        <w:rPr>
          <w:rFonts w:ascii="Times New Roman" w:hAnsi="Times New Roman" w:cs="Times New Roman"/>
          <w:sz w:val="24"/>
        </w:rPr>
        <w:t>Badarnah</w:t>
      </w:r>
      <w:proofErr w:type="spellEnd"/>
      <w:r w:rsidRPr="008A1EE4">
        <w:rPr>
          <w:rFonts w:ascii="Times New Roman" w:hAnsi="Times New Roman" w:cs="Times New Roman"/>
          <w:sz w:val="24"/>
        </w:rPr>
        <w:t xml:space="preserve"> (2017) and Kuru et al. (2019), biomimetic design approaches are shown to enhance environmental responsiveness by enabling buildings to adapt dynamically to external thermal and humidity variations. The proposed wall brick integrates hygroscopic and porous bio-based materials that can absorb, store, and release moisture in response to ambient conditions, thereby moderating indoor temperature and humidity fluctuations, as noted by </w:t>
      </w:r>
      <w:proofErr w:type="spellStart"/>
      <w:r w:rsidRPr="008A1EE4">
        <w:rPr>
          <w:rFonts w:ascii="Times New Roman" w:hAnsi="Times New Roman" w:cs="Times New Roman"/>
          <w:sz w:val="24"/>
        </w:rPr>
        <w:t>Amziane</w:t>
      </w:r>
      <w:proofErr w:type="spellEnd"/>
      <w:r w:rsidRPr="008A1EE4">
        <w:rPr>
          <w:rFonts w:ascii="Times New Roman" w:hAnsi="Times New Roman" w:cs="Times New Roman"/>
          <w:sz w:val="24"/>
        </w:rPr>
        <w:t xml:space="preserve"> and </w:t>
      </w:r>
      <w:proofErr w:type="spellStart"/>
      <w:r w:rsidRPr="008A1EE4">
        <w:rPr>
          <w:rFonts w:ascii="Times New Roman" w:hAnsi="Times New Roman" w:cs="Times New Roman"/>
          <w:sz w:val="24"/>
        </w:rPr>
        <w:t>Sonebi</w:t>
      </w:r>
      <w:proofErr w:type="spellEnd"/>
      <w:r w:rsidRPr="008A1EE4">
        <w:rPr>
          <w:rFonts w:ascii="Times New Roman" w:hAnsi="Times New Roman" w:cs="Times New Roman"/>
          <w:sz w:val="24"/>
        </w:rPr>
        <w:t xml:space="preserve"> (2016) and </w:t>
      </w:r>
      <w:proofErr w:type="spellStart"/>
      <w:r w:rsidRPr="008A1EE4">
        <w:rPr>
          <w:rFonts w:ascii="Times New Roman" w:hAnsi="Times New Roman" w:cs="Times New Roman"/>
          <w:sz w:val="24"/>
        </w:rPr>
        <w:t>Viel</w:t>
      </w:r>
      <w:proofErr w:type="spellEnd"/>
      <w:r w:rsidRPr="008A1EE4">
        <w:rPr>
          <w:rFonts w:ascii="Times New Roman" w:hAnsi="Times New Roman" w:cs="Times New Roman"/>
          <w:sz w:val="24"/>
        </w:rPr>
        <w:t xml:space="preserve"> et al. (2019).</w:t>
      </w:r>
    </w:p>
    <w:p w14:paraId="4843FF4B" w14:textId="77777777" w:rsidR="007436D4" w:rsidRPr="00F958B7" w:rsidRDefault="00FC5F67" w:rsidP="00FC5F67">
      <w:pPr>
        <w:pStyle w:val="Heading2"/>
      </w:pPr>
      <w:r>
        <w:t xml:space="preserve">2.3.1 </w:t>
      </w:r>
      <w:r w:rsidR="007436D4" w:rsidRPr="00F958B7">
        <w:t>Layered Microarchitecture</w:t>
      </w:r>
    </w:p>
    <w:p w14:paraId="73A5C519" w14:textId="77777777" w:rsidR="007436D4" w:rsidRPr="00F958B7" w:rsidRDefault="007436D4" w:rsidP="007436D4">
      <w:pPr>
        <w:pStyle w:val="NormalWeb"/>
      </w:pPr>
      <w:r w:rsidRPr="00F958B7">
        <w:t>Inspired by skin histology:</w:t>
      </w:r>
    </w:p>
    <w:p w14:paraId="39873CA7" w14:textId="77777777" w:rsidR="007436D4" w:rsidRPr="00F958B7" w:rsidRDefault="007436D4" w:rsidP="007436D4">
      <w:pPr>
        <w:pStyle w:val="NormalWeb"/>
        <w:numPr>
          <w:ilvl w:val="0"/>
          <w:numId w:val="7"/>
        </w:numPr>
      </w:pPr>
      <w:r w:rsidRPr="00F958B7">
        <w:rPr>
          <w:rStyle w:val="Strong"/>
        </w:rPr>
        <w:t>Outer layer (epidermis analog):</w:t>
      </w:r>
      <w:r w:rsidRPr="00F958B7">
        <w:t xml:space="preserve"> moisture uptake</w:t>
      </w:r>
    </w:p>
    <w:p w14:paraId="142EB427" w14:textId="77777777" w:rsidR="007436D4" w:rsidRPr="00F958B7" w:rsidRDefault="007436D4" w:rsidP="007436D4">
      <w:pPr>
        <w:pStyle w:val="NormalWeb"/>
        <w:numPr>
          <w:ilvl w:val="0"/>
          <w:numId w:val="7"/>
        </w:numPr>
      </w:pPr>
      <w:r w:rsidRPr="00F958B7">
        <w:rPr>
          <w:rStyle w:val="Strong"/>
        </w:rPr>
        <w:t>Middle layer (dermis analog):</w:t>
      </w:r>
      <w:r w:rsidRPr="00F958B7">
        <w:t xml:space="preserve"> moisture storage and evaporation</w:t>
      </w:r>
    </w:p>
    <w:p w14:paraId="5EC1FBB5" w14:textId="77777777" w:rsidR="007436D4" w:rsidRPr="00F958B7" w:rsidRDefault="007436D4" w:rsidP="007436D4">
      <w:pPr>
        <w:pStyle w:val="NormalWeb"/>
        <w:numPr>
          <w:ilvl w:val="0"/>
          <w:numId w:val="7"/>
        </w:numPr>
      </w:pPr>
      <w:r w:rsidRPr="00F958B7">
        <w:rPr>
          <w:rStyle w:val="Strong"/>
        </w:rPr>
        <w:t>Inner layer (subcutaneous analog):</w:t>
      </w:r>
      <w:r w:rsidRPr="00F958B7">
        <w:t xml:space="preserve"> insulation and heat buffering</w:t>
      </w:r>
    </w:p>
    <w:p w14:paraId="52E229CA" w14:textId="3429ED1B" w:rsidR="007436D4" w:rsidRPr="007F4373" w:rsidRDefault="00FC5F67" w:rsidP="00FC5F67">
      <w:pPr>
        <w:pStyle w:val="Caption"/>
        <w:rPr>
          <w:rFonts w:ascii="Times New Roman" w:hAnsi="Times New Roman" w:cs="Times New Roman"/>
          <w:b/>
          <w:i w:val="0"/>
          <w:sz w:val="24"/>
          <w:szCs w:val="24"/>
        </w:rPr>
      </w:pPr>
      <w:r w:rsidRPr="007F4373">
        <w:rPr>
          <w:rFonts w:ascii="Times New Roman" w:hAnsi="Times New Roman" w:cs="Times New Roman"/>
          <w:b/>
          <w:i w:val="0"/>
          <w:sz w:val="24"/>
          <w:szCs w:val="24"/>
        </w:rPr>
        <w:t xml:space="preserve">Table </w:t>
      </w:r>
      <w:r w:rsidRPr="007F4373">
        <w:rPr>
          <w:rFonts w:ascii="Times New Roman" w:hAnsi="Times New Roman" w:cs="Times New Roman"/>
          <w:b/>
          <w:i w:val="0"/>
          <w:sz w:val="24"/>
          <w:szCs w:val="24"/>
        </w:rPr>
        <w:fldChar w:fldCharType="begin"/>
      </w:r>
      <w:r w:rsidRPr="007F4373">
        <w:rPr>
          <w:rFonts w:ascii="Times New Roman" w:hAnsi="Times New Roman" w:cs="Times New Roman"/>
          <w:b/>
          <w:i w:val="0"/>
          <w:sz w:val="24"/>
          <w:szCs w:val="24"/>
        </w:rPr>
        <w:instrText xml:space="preserve"> SEQ Table \* ARABIC </w:instrText>
      </w:r>
      <w:r w:rsidRPr="007F4373">
        <w:rPr>
          <w:rFonts w:ascii="Times New Roman" w:hAnsi="Times New Roman" w:cs="Times New Roman"/>
          <w:b/>
          <w:i w:val="0"/>
          <w:sz w:val="24"/>
          <w:szCs w:val="24"/>
        </w:rPr>
        <w:fldChar w:fldCharType="separate"/>
      </w:r>
      <w:r w:rsidR="00D8620E">
        <w:rPr>
          <w:rFonts w:ascii="Times New Roman" w:hAnsi="Times New Roman" w:cs="Times New Roman"/>
          <w:b/>
          <w:i w:val="0"/>
          <w:noProof/>
          <w:sz w:val="24"/>
          <w:szCs w:val="24"/>
        </w:rPr>
        <w:t>2</w:t>
      </w:r>
      <w:r w:rsidRPr="007F4373">
        <w:rPr>
          <w:rFonts w:ascii="Times New Roman" w:hAnsi="Times New Roman" w:cs="Times New Roman"/>
          <w:b/>
          <w:i w:val="0"/>
          <w:sz w:val="24"/>
          <w:szCs w:val="24"/>
        </w:rPr>
        <w:fldChar w:fldCharType="end"/>
      </w:r>
      <w:r w:rsidRPr="007F4373">
        <w:rPr>
          <w:rFonts w:ascii="Times New Roman" w:hAnsi="Times New Roman" w:cs="Times New Roman"/>
          <w:b/>
          <w:i w:val="0"/>
          <w:sz w:val="24"/>
          <w:szCs w:val="24"/>
        </w:rPr>
        <w:t xml:space="preserve">: </w:t>
      </w:r>
      <w:r w:rsidR="007436D4" w:rsidRPr="007F4373">
        <w:rPr>
          <w:rStyle w:val="Strong"/>
          <w:rFonts w:ascii="Times New Roman" w:hAnsi="Times New Roman" w:cs="Times New Roman"/>
          <w:b w:val="0"/>
          <w:i w:val="0"/>
          <w:sz w:val="24"/>
          <w:szCs w:val="24"/>
        </w:rPr>
        <w:t>Bio-Humid Brick Structural Layers</w:t>
      </w:r>
    </w:p>
    <w:tbl>
      <w:tblPr>
        <w:tblStyle w:val="TableGrid"/>
        <w:tblW w:w="0" w:type="auto"/>
        <w:tblLook w:val="04A0" w:firstRow="1" w:lastRow="0" w:firstColumn="1" w:lastColumn="0" w:noHBand="0" w:noVBand="1"/>
      </w:tblPr>
      <w:tblGrid>
        <w:gridCol w:w="2282"/>
        <w:gridCol w:w="1863"/>
        <w:gridCol w:w="2338"/>
      </w:tblGrid>
      <w:tr w:rsidR="007436D4" w:rsidRPr="00F958B7" w14:paraId="525A10B2" w14:textId="77777777" w:rsidTr="00D06241">
        <w:tc>
          <w:tcPr>
            <w:tcW w:w="0" w:type="auto"/>
            <w:hideMark/>
          </w:tcPr>
          <w:p w14:paraId="496A1ED2" w14:textId="77777777" w:rsidR="007436D4" w:rsidRPr="00F958B7" w:rsidRDefault="007436D4" w:rsidP="00D06241">
            <w:pPr>
              <w:jc w:val="center"/>
              <w:rPr>
                <w:rFonts w:ascii="Times New Roman" w:hAnsi="Times New Roman" w:cs="Times New Roman"/>
                <w:b/>
                <w:bCs/>
                <w:sz w:val="24"/>
                <w:szCs w:val="24"/>
              </w:rPr>
            </w:pPr>
            <w:r w:rsidRPr="00F958B7">
              <w:rPr>
                <w:rFonts w:ascii="Times New Roman" w:hAnsi="Times New Roman" w:cs="Times New Roman"/>
                <w:b/>
                <w:bCs/>
                <w:sz w:val="24"/>
                <w:szCs w:val="24"/>
              </w:rPr>
              <w:t>Layer</w:t>
            </w:r>
          </w:p>
        </w:tc>
        <w:tc>
          <w:tcPr>
            <w:tcW w:w="0" w:type="auto"/>
            <w:hideMark/>
          </w:tcPr>
          <w:p w14:paraId="072D4279" w14:textId="77777777" w:rsidR="007436D4" w:rsidRPr="00F958B7" w:rsidRDefault="007436D4" w:rsidP="00D06241">
            <w:pPr>
              <w:jc w:val="center"/>
              <w:rPr>
                <w:rFonts w:ascii="Times New Roman" w:hAnsi="Times New Roman" w:cs="Times New Roman"/>
                <w:b/>
                <w:bCs/>
                <w:sz w:val="24"/>
                <w:szCs w:val="24"/>
              </w:rPr>
            </w:pPr>
            <w:r w:rsidRPr="00F958B7">
              <w:rPr>
                <w:rFonts w:ascii="Times New Roman" w:hAnsi="Times New Roman" w:cs="Times New Roman"/>
                <w:b/>
                <w:bCs/>
                <w:sz w:val="24"/>
                <w:szCs w:val="24"/>
              </w:rPr>
              <w:t>Thickness (mm)</w:t>
            </w:r>
          </w:p>
        </w:tc>
        <w:tc>
          <w:tcPr>
            <w:tcW w:w="0" w:type="auto"/>
            <w:hideMark/>
          </w:tcPr>
          <w:p w14:paraId="6E5BC9D0" w14:textId="77777777" w:rsidR="007436D4" w:rsidRPr="00F958B7" w:rsidRDefault="007436D4" w:rsidP="00D06241">
            <w:pPr>
              <w:jc w:val="center"/>
              <w:rPr>
                <w:rFonts w:ascii="Times New Roman" w:hAnsi="Times New Roman" w:cs="Times New Roman"/>
                <w:b/>
                <w:bCs/>
                <w:sz w:val="24"/>
                <w:szCs w:val="24"/>
              </w:rPr>
            </w:pPr>
            <w:r w:rsidRPr="00F958B7">
              <w:rPr>
                <w:rFonts w:ascii="Times New Roman" w:hAnsi="Times New Roman" w:cs="Times New Roman"/>
                <w:b/>
                <w:bCs/>
                <w:sz w:val="24"/>
                <w:szCs w:val="24"/>
              </w:rPr>
              <w:t>Function</w:t>
            </w:r>
          </w:p>
        </w:tc>
      </w:tr>
      <w:tr w:rsidR="007436D4" w:rsidRPr="00F958B7" w14:paraId="6E79390F" w14:textId="77777777" w:rsidTr="00D06241">
        <w:tc>
          <w:tcPr>
            <w:tcW w:w="0" w:type="auto"/>
            <w:hideMark/>
          </w:tcPr>
          <w:p w14:paraId="643F584D" w14:textId="77777777" w:rsidR="007436D4" w:rsidRPr="00F958B7" w:rsidRDefault="007436D4" w:rsidP="00D06241">
            <w:pPr>
              <w:rPr>
                <w:rFonts w:ascii="Times New Roman" w:hAnsi="Times New Roman" w:cs="Times New Roman"/>
                <w:sz w:val="24"/>
                <w:szCs w:val="24"/>
              </w:rPr>
            </w:pPr>
            <w:r w:rsidRPr="00F958B7">
              <w:rPr>
                <w:rFonts w:ascii="Times New Roman" w:hAnsi="Times New Roman" w:cs="Times New Roman"/>
                <w:sz w:val="24"/>
                <w:szCs w:val="24"/>
              </w:rPr>
              <w:t>External porous layer</w:t>
            </w:r>
          </w:p>
        </w:tc>
        <w:tc>
          <w:tcPr>
            <w:tcW w:w="0" w:type="auto"/>
            <w:hideMark/>
          </w:tcPr>
          <w:p w14:paraId="6D2B616E" w14:textId="77777777" w:rsidR="007436D4" w:rsidRPr="00F958B7" w:rsidRDefault="007436D4" w:rsidP="00D06241">
            <w:pPr>
              <w:rPr>
                <w:rFonts w:ascii="Times New Roman" w:hAnsi="Times New Roman" w:cs="Times New Roman"/>
                <w:sz w:val="24"/>
                <w:szCs w:val="24"/>
              </w:rPr>
            </w:pPr>
            <w:r w:rsidRPr="00F958B7">
              <w:rPr>
                <w:rFonts w:ascii="Times New Roman" w:hAnsi="Times New Roman" w:cs="Times New Roman"/>
                <w:sz w:val="24"/>
                <w:szCs w:val="24"/>
              </w:rPr>
              <w:t>10–15</w:t>
            </w:r>
          </w:p>
        </w:tc>
        <w:tc>
          <w:tcPr>
            <w:tcW w:w="0" w:type="auto"/>
            <w:hideMark/>
          </w:tcPr>
          <w:p w14:paraId="3445A289" w14:textId="77777777" w:rsidR="007436D4" w:rsidRPr="00F958B7" w:rsidRDefault="007436D4" w:rsidP="00D06241">
            <w:pPr>
              <w:rPr>
                <w:rFonts w:ascii="Times New Roman" w:hAnsi="Times New Roman" w:cs="Times New Roman"/>
                <w:sz w:val="24"/>
                <w:szCs w:val="24"/>
              </w:rPr>
            </w:pPr>
            <w:r w:rsidRPr="00F958B7">
              <w:rPr>
                <w:rFonts w:ascii="Times New Roman" w:hAnsi="Times New Roman" w:cs="Times New Roman"/>
                <w:sz w:val="24"/>
                <w:szCs w:val="24"/>
              </w:rPr>
              <w:t>Moisture absorption</w:t>
            </w:r>
          </w:p>
        </w:tc>
      </w:tr>
      <w:tr w:rsidR="007436D4" w:rsidRPr="00F958B7" w14:paraId="186D22AA" w14:textId="77777777" w:rsidTr="00D06241">
        <w:tc>
          <w:tcPr>
            <w:tcW w:w="0" w:type="auto"/>
            <w:hideMark/>
          </w:tcPr>
          <w:p w14:paraId="3B8EE5BE" w14:textId="77777777" w:rsidR="007436D4" w:rsidRPr="00F958B7" w:rsidRDefault="007436D4" w:rsidP="00D06241">
            <w:pPr>
              <w:rPr>
                <w:rFonts w:ascii="Times New Roman" w:hAnsi="Times New Roman" w:cs="Times New Roman"/>
                <w:sz w:val="24"/>
                <w:szCs w:val="24"/>
              </w:rPr>
            </w:pPr>
            <w:r w:rsidRPr="00F958B7">
              <w:rPr>
                <w:rFonts w:ascii="Times New Roman" w:hAnsi="Times New Roman" w:cs="Times New Roman"/>
                <w:sz w:val="24"/>
                <w:szCs w:val="24"/>
              </w:rPr>
              <w:t>Hygroscopic core</w:t>
            </w:r>
          </w:p>
        </w:tc>
        <w:tc>
          <w:tcPr>
            <w:tcW w:w="0" w:type="auto"/>
            <w:hideMark/>
          </w:tcPr>
          <w:p w14:paraId="74107613" w14:textId="77777777" w:rsidR="007436D4" w:rsidRPr="00F958B7" w:rsidRDefault="007436D4" w:rsidP="00D06241">
            <w:pPr>
              <w:rPr>
                <w:rFonts w:ascii="Times New Roman" w:hAnsi="Times New Roman" w:cs="Times New Roman"/>
                <w:sz w:val="24"/>
                <w:szCs w:val="24"/>
              </w:rPr>
            </w:pPr>
            <w:r w:rsidRPr="00F958B7">
              <w:rPr>
                <w:rFonts w:ascii="Times New Roman" w:hAnsi="Times New Roman" w:cs="Times New Roman"/>
                <w:sz w:val="24"/>
                <w:szCs w:val="24"/>
              </w:rPr>
              <w:t>20–30</w:t>
            </w:r>
          </w:p>
        </w:tc>
        <w:tc>
          <w:tcPr>
            <w:tcW w:w="0" w:type="auto"/>
            <w:hideMark/>
          </w:tcPr>
          <w:p w14:paraId="368E9EC1" w14:textId="77777777" w:rsidR="007436D4" w:rsidRPr="00F958B7" w:rsidRDefault="007436D4" w:rsidP="00D06241">
            <w:pPr>
              <w:rPr>
                <w:rFonts w:ascii="Times New Roman" w:hAnsi="Times New Roman" w:cs="Times New Roman"/>
                <w:sz w:val="24"/>
                <w:szCs w:val="24"/>
              </w:rPr>
            </w:pPr>
            <w:r w:rsidRPr="00F958B7">
              <w:rPr>
                <w:rFonts w:ascii="Times New Roman" w:hAnsi="Times New Roman" w:cs="Times New Roman"/>
                <w:sz w:val="24"/>
                <w:szCs w:val="24"/>
              </w:rPr>
              <w:t>Evaporation + storage</w:t>
            </w:r>
          </w:p>
        </w:tc>
      </w:tr>
      <w:tr w:rsidR="007436D4" w:rsidRPr="00F958B7" w14:paraId="20BC0B26" w14:textId="77777777" w:rsidTr="00D06241">
        <w:tc>
          <w:tcPr>
            <w:tcW w:w="0" w:type="auto"/>
            <w:hideMark/>
          </w:tcPr>
          <w:p w14:paraId="2DD7915A" w14:textId="77777777" w:rsidR="007436D4" w:rsidRPr="00F958B7" w:rsidRDefault="007436D4" w:rsidP="00D06241">
            <w:pPr>
              <w:rPr>
                <w:rFonts w:ascii="Times New Roman" w:hAnsi="Times New Roman" w:cs="Times New Roman"/>
                <w:sz w:val="24"/>
                <w:szCs w:val="24"/>
              </w:rPr>
            </w:pPr>
            <w:r w:rsidRPr="00F958B7">
              <w:rPr>
                <w:rFonts w:ascii="Times New Roman" w:hAnsi="Times New Roman" w:cs="Times New Roman"/>
                <w:sz w:val="24"/>
                <w:szCs w:val="24"/>
              </w:rPr>
              <w:t>Insulating base</w:t>
            </w:r>
          </w:p>
        </w:tc>
        <w:tc>
          <w:tcPr>
            <w:tcW w:w="0" w:type="auto"/>
            <w:hideMark/>
          </w:tcPr>
          <w:p w14:paraId="41EFE903" w14:textId="77777777" w:rsidR="007436D4" w:rsidRPr="00F958B7" w:rsidRDefault="007436D4" w:rsidP="00D06241">
            <w:pPr>
              <w:rPr>
                <w:rFonts w:ascii="Times New Roman" w:hAnsi="Times New Roman" w:cs="Times New Roman"/>
                <w:sz w:val="24"/>
                <w:szCs w:val="24"/>
              </w:rPr>
            </w:pPr>
            <w:r w:rsidRPr="00F958B7">
              <w:rPr>
                <w:rFonts w:ascii="Times New Roman" w:hAnsi="Times New Roman" w:cs="Times New Roman"/>
                <w:sz w:val="24"/>
                <w:szCs w:val="24"/>
              </w:rPr>
              <w:t>15–25</w:t>
            </w:r>
          </w:p>
        </w:tc>
        <w:tc>
          <w:tcPr>
            <w:tcW w:w="0" w:type="auto"/>
            <w:hideMark/>
          </w:tcPr>
          <w:p w14:paraId="2BCADE39" w14:textId="77777777" w:rsidR="007436D4" w:rsidRPr="00F958B7" w:rsidRDefault="007436D4" w:rsidP="00D06241">
            <w:pPr>
              <w:rPr>
                <w:rFonts w:ascii="Times New Roman" w:hAnsi="Times New Roman" w:cs="Times New Roman"/>
                <w:sz w:val="24"/>
                <w:szCs w:val="24"/>
              </w:rPr>
            </w:pPr>
            <w:r w:rsidRPr="00F958B7">
              <w:rPr>
                <w:rFonts w:ascii="Times New Roman" w:hAnsi="Times New Roman" w:cs="Times New Roman"/>
                <w:sz w:val="24"/>
                <w:szCs w:val="24"/>
              </w:rPr>
              <w:t>Thermal buffering</w:t>
            </w:r>
          </w:p>
        </w:tc>
      </w:tr>
    </w:tbl>
    <w:p w14:paraId="69046D7F" w14:textId="77777777" w:rsidR="007436D4" w:rsidRPr="008A1EE4" w:rsidRDefault="007436D4" w:rsidP="008A1EE4">
      <w:pPr>
        <w:jc w:val="both"/>
        <w:rPr>
          <w:rFonts w:ascii="Times New Roman" w:hAnsi="Times New Roman" w:cs="Times New Roman"/>
          <w:sz w:val="24"/>
        </w:rPr>
      </w:pPr>
    </w:p>
    <w:p w14:paraId="69E97FEB" w14:textId="77777777" w:rsidR="006246FE" w:rsidRPr="00F66F43" w:rsidRDefault="008A1EE4" w:rsidP="00F66F43">
      <w:pPr>
        <w:jc w:val="both"/>
        <w:rPr>
          <w:rFonts w:ascii="Times New Roman" w:hAnsi="Times New Roman" w:cs="Times New Roman"/>
          <w:sz w:val="24"/>
        </w:rPr>
      </w:pPr>
      <w:r w:rsidRPr="008A1EE4">
        <w:rPr>
          <w:rFonts w:ascii="Times New Roman" w:hAnsi="Times New Roman" w:cs="Times New Roman"/>
          <w:sz w:val="24"/>
        </w:rPr>
        <w:t xml:space="preserve">Moisture buffering within the wall assembly facilitates evaporative cooling under hot conditions and reduces excessive dryness during cooler periods, contributing to passive thermal regulation. This mechanism has been extensively documented in hemp-lime and other bio-aggregate materials, according to Latif et al. (2015) and Collet and </w:t>
      </w:r>
      <w:proofErr w:type="spellStart"/>
      <w:r w:rsidRPr="008A1EE4">
        <w:rPr>
          <w:rFonts w:ascii="Times New Roman" w:hAnsi="Times New Roman" w:cs="Times New Roman"/>
          <w:sz w:val="24"/>
        </w:rPr>
        <w:t>Pretot</w:t>
      </w:r>
      <w:proofErr w:type="spellEnd"/>
      <w:r w:rsidRPr="008A1EE4">
        <w:rPr>
          <w:rFonts w:ascii="Times New Roman" w:hAnsi="Times New Roman" w:cs="Times New Roman"/>
          <w:sz w:val="24"/>
        </w:rPr>
        <w:t xml:space="preserve"> (2012). Furthermore, the integration of such materials into modular wall bricks supports adaptive heat and mass transfer at the building envelope, reducing dependence on mechanical cooling systems and improving indoor thermal comfort, as highlighted by </w:t>
      </w:r>
      <w:proofErr w:type="spellStart"/>
      <w:r w:rsidRPr="008A1EE4">
        <w:rPr>
          <w:rFonts w:ascii="Times New Roman" w:hAnsi="Times New Roman" w:cs="Times New Roman"/>
          <w:sz w:val="24"/>
        </w:rPr>
        <w:t>Cascione</w:t>
      </w:r>
      <w:proofErr w:type="spellEnd"/>
      <w:r w:rsidRPr="008A1EE4">
        <w:rPr>
          <w:rFonts w:ascii="Times New Roman" w:hAnsi="Times New Roman" w:cs="Times New Roman"/>
          <w:sz w:val="24"/>
        </w:rPr>
        <w:t xml:space="preserve"> et al. (2019) and Rode et al. (2019).</w:t>
      </w:r>
    </w:p>
    <w:p w14:paraId="3DDD51F5" w14:textId="77777777" w:rsidR="005417D2" w:rsidRPr="005417D2" w:rsidRDefault="005417D2" w:rsidP="005417D2">
      <w:pPr>
        <w:jc w:val="both"/>
        <w:rPr>
          <w:rFonts w:ascii="Times New Roman" w:hAnsi="Times New Roman" w:cs="Times New Roman"/>
          <w:sz w:val="24"/>
        </w:rPr>
      </w:pPr>
      <w:r w:rsidRPr="005417D2">
        <w:rPr>
          <w:rFonts w:ascii="Times New Roman" w:hAnsi="Times New Roman" w:cs="Times New Roman"/>
          <w:sz w:val="24"/>
        </w:rPr>
        <w:lastRenderedPageBreak/>
        <w:t xml:space="preserve">Conceptually, the bio-humid wall brick can be analogized to the multilayered structure of human skin, where each layer performs a specific thermoregulatory function. The outer porous layer of the brick functions similarly to the epidermis, acting as the first interface with the environment and regulating moisture exchange through absorption and desorption processes, as noted by Janssen and </w:t>
      </w:r>
      <w:proofErr w:type="spellStart"/>
      <w:r w:rsidRPr="005417D2">
        <w:rPr>
          <w:rFonts w:ascii="Times New Roman" w:hAnsi="Times New Roman" w:cs="Times New Roman"/>
          <w:sz w:val="24"/>
        </w:rPr>
        <w:t>Roels</w:t>
      </w:r>
      <w:proofErr w:type="spellEnd"/>
      <w:r w:rsidRPr="005417D2">
        <w:rPr>
          <w:rFonts w:ascii="Times New Roman" w:hAnsi="Times New Roman" w:cs="Times New Roman"/>
          <w:sz w:val="24"/>
        </w:rPr>
        <w:t xml:space="preserve"> (2009) and </w:t>
      </w:r>
      <w:proofErr w:type="spellStart"/>
      <w:r w:rsidRPr="005417D2">
        <w:rPr>
          <w:rFonts w:ascii="Times New Roman" w:hAnsi="Times New Roman" w:cs="Times New Roman"/>
          <w:sz w:val="24"/>
        </w:rPr>
        <w:t>Osanyintola</w:t>
      </w:r>
      <w:proofErr w:type="spellEnd"/>
      <w:r w:rsidRPr="005417D2">
        <w:rPr>
          <w:rFonts w:ascii="Times New Roman" w:hAnsi="Times New Roman" w:cs="Times New Roman"/>
          <w:sz w:val="24"/>
        </w:rPr>
        <w:t xml:space="preserve"> and Simonson (2006). Beneath this, the hygroscopic core of the brick resembles the dermal layer, where moisture storage and controlled heat transfer occur, enabling delayed thermal response and buffering against external fluctuations, as described in the work of Tran Le et al. (2010) and </w:t>
      </w:r>
      <w:proofErr w:type="spellStart"/>
      <w:r w:rsidRPr="005417D2">
        <w:rPr>
          <w:rFonts w:ascii="Times New Roman" w:hAnsi="Times New Roman" w:cs="Times New Roman"/>
          <w:sz w:val="24"/>
        </w:rPr>
        <w:t>Viel</w:t>
      </w:r>
      <w:proofErr w:type="spellEnd"/>
      <w:r w:rsidRPr="005417D2">
        <w:rPr>
          <w:rFonts w:ascii="Times New Roman" w:hAnsi="Times New Roman" w:cs="Times New Roman"/>
          <w:sz w:val="24"/>
        </w:rPr>
        <w:t xml:space="preserve"> et al. (2019). At the system level, this layered configuration mirrors biological heat regulation strategies by combining insulation, moisture transport, and evaporative cooling, thereby enhancing passive indoor comfort and reducing cooling energy demand, according to </w:t>
      </w:r>
      <w:proofErr w:type="spellStart"/>
      <w:r w:rsidRPr="005417D2">
        <w:rPr>
          <w:rFonts w:ascii="Times New Roman" w:hAnsi="Times New Roman" w:cs="Times New Roman"/>
          <w:sz w:val="24"/>
        </w:rPr>
        <w:t>Loonen</w:t>
      </w:r>
      <w:proofErr w:type="spellEnd"/>
      <w:r w:rsidRPr="005417D2">
        <w:rPr>
          <w:rFonts w:ascii="Times New Roman" w:hAnsi="Times New Roman" w:cs="Times New Roman"/>
          <w:sz w:val="24"/>
        </w:rPr>
        <w:t xml:space="preserve"> et al. (2013) and </w:t>
      </w:r>
      <w:proofErr w:type="spellStart"/>
      <w:r w:rsidRPr="005417D2">
        <w:rPr>
          <w:rFonts w:ascii="Times New Roman" w:hAnsi="Times New Roman" w:cs="Times New Roman"/>
          <w:sz w:val="24"/>
        </w:rPr>
        <w:t>Sadineni</w:t>
      </w:r>
      <w:proofErr w:type="spellEnd"/>
      <w:r w:rsidRPr="005417D2">
        <w:rPr>
          <w:rFonts w:ascii="Times New Roman" w:hAnsi="Times New Roman" w:cs="Times New Roman"/>
          <w:sz w:val="24"/>
        </w:rPr>
        <w:t xml:space="preserve"> et al. (2011).</w:t>
      </w:r>
    </w:p>
    <w:p w14:paraId="6E9DF9F2" w14:textId="77777777" w:rsidR="005417D2" w:rsidRPr="005417D2" w:rsidRDefault="005417D2" w:rsidP="00B60041">
      <w:pPr>
        <w:pStyle w:val="Heading1"/>
        <w:numPr>
          <w:ilvl w:val="0"/>
          <w:numId w:val="31"/>
        </w:numPr>
      </w:pPr>
      <w:r w:rsidRPr="005417D2">
        <w:t xml:space="preserve">Raw Materials </w:t>
      </w:r>
    </w:p>
    <w:p w14:paraId="3D8A9FDE" w14:textId="77777777" w:rsidR="005417D2" w:rsidRPr="005417D2" w:rsidRDefault="005417D2" w:rsidP="005417D2">
      <w:pPr>
        <w:jc w:val="both"/>
        <w:rPr>
          <w:rFonts w:ascii="Times New Roman" w:hAnsi="Times New Roman" w:cs="Times New Roman"/>
          <w:sz w:val="24"/>
        </w:rPr>
      </w:pPr>
      <w:r w:rsidRPr="005417D2">
        <w:rPr>
          <w:rFonts w:ascii="Times New Roman" w:hAnsi="Times New Roman" w:cs="Times New Roman"/>
          <w:sz w:val="24"/>
        </w:rPr>
        <w:t xml:space="preserve">The raw materials selected for the bio-humid wall brick are primarily bio-based, hygroscopic, and porous, chosen to emulate the heat and moisture regulation functions of human skin while supporting sustainable construction practices. Plant-based aggregates such as hemp shiv serve as the primary lightweight filler due to their high porosity, low thermal conductivity, and strong moisture buffering capacity, as documented by </w:t>
      </w:r>
      <w:proofErr w:type="spellStart"/>
      <w:r w:rsidRPr="005417D2">
        <w:rPr>
          <w:rFonts w:ascii="Times New Roman" w:hAnsi="Times New Roman" w:cs="Times New Roman"/>
          <w:sz w:val="24"/>
        </w:rPr>
        <w:t>Amziane</w:t>
      </w:r>
      <w:proofErr w:type="spellEnd"/>
      <w:r w:rsidRPr="005417D2">
        <w:rPr>
          <w:rFonts w:ascii="Times New Roman" w:hAnsi="Times New Roman" w:cs="Times New Roman"/>
          <w:sz w:val="24"/>
        </w:rPr>
        <w:t xml:space="preserve"> and </w:t>
      </w:r>
      <w:proofErr w:type="spellStart"/>
      <w:r w:rsidRPr="005417D2">
        <w:rPr>
          <w:rFonts w:ascii="Times New Roman" w:hAnsi="Times New Roman" w:cs="Times New Roman"/>
          <w:sz w:val="24"/>
        </w:rPr>
        <w:t>Sonebi</w:t>
      </w:r>
      <w:proofErr w:type="spellEnd"/>
      <w:r w:rsidRPr="005417D2">
        <w:rPr>
          <w:rFonts w:ascii="Times New Roman" w:hAnsi="Times New Roman" w:cs="Times New Roman"/>
          <w:sz w:val="24"/>
        </w:rPr>
        <w:t xml:space="preserve"> (2016) and </w:t>
      </w:r>
      <w:proofErr w:type="spellStart"/>
      <w:r w:rsidRPr="005417D2">
        <w:rPr>
          <w:rFonts w:ascii="Times New Roman" w:hAnsi="Times New Roman" w:cs="Times New Roman"/>
          <w:sz w:val="24"/>
        </w:rPr>
        <w:t>Viel</w:t>
      </w:r>
      <w:proofErr w:type="spellEnd"/>
      <w:r w:rsidRPr="005417D2">
        <w:rPr>
          <w:rFonts w:ascii="Times New Roman" w:hAnsi="Times New Roman" w:cs="Times New Roman"/>
          <w:sz w:val="24"/>
        </w:rPr>
        <w:t xml:space="preserve"> et al. (2019). These characteristics enable the material to absorb and release moisture in response to ambient humidity variations, contributing to passive indoor climate regulation.</w:t>
      </w:r>
    </w:p>
    <w:p w14:paraId="0A23D14E" w14:textId="77777777" w:rsidR="005417D2" w:rsidRPr="005417D2" w:rsidRDefault="005417D2" w:rsidP="005417D2">
      <w:pPr>
        <w:jc w:val="both"/>
        <w:rPr>
          <w:rFonts w:ascii="Times New Roman" w:hAnsi="Times New Roman" w:cs="Times New Roman"/>
          <w:sz w:val="24"/>
        </w:rPr>
      </w:pPr>
      <w:r w:rsidRPr="005417D2">
        <w:rPr>
          <w:rFonts w:ascii="Times New Roman" w:hAnsi="Times New Roman" w:cs="Times New Roman"/>
          <w:sz w:val="24"/>
        </w:rPr>
        <w:t xml:space="preserve">Lime-based binders are employed to bind the bio-aggregates and provide structural cohesion while maintaining vapor permeability. The </w:t>
      </w:r>
      <w:proofErr w:type="spellStart"/>
      <w:r w:rsidRPr="005417D2">
        <w:rPr>
          <w:rFonts w:ascii="Times New Roman" w:hAnsi="Times New Roman" w:cs="Times New Roman"/>
          <w:sz w:val="24"/>
        </w:rPr>
        <w:t>hygrothermal</w:t>
      </w:r>
      <w:proofErr w:type="spellEnd"/>
      <w:r w:rsidRPr="005417D2">
        <w:rPr>
          <w:rFonts w:ascii="Times New Roman" w:hAnsi="Times New Roman" w:cs="Times New Roman"/>
          <w:sz w:val="24"/>
        </w:rPr>
        <w:t xml:space="preserve"> compatibility of lime–hemp composites </w:t>
      </w:r>
      <w:proofErr w:type="gramStart"/>
      <w:r w:rsidRPr="005417D2">
        <w:rPr>
          <w:rFonts w:ascii="Times New Roman" w:hAnsi="Times New Roman" w:cs="Times New Roman"/>
          <w:sz w:val="24"/>
        </w:rPr>
        <w:t>has</w:t>
      </w:r>
      <w:proofErr w:type="gramEnd"/>
      <w:r w:rsidRPr="005417D2">
        <w:rPr>
          <w:rFonts w:ascii="Times New Roman" w:hAnsi="Times New Roman" w:cs="Times New Roman"/>
          <w:sz w:val="24"/>
        </w:rPr>
        <w:t xml:space="preserve"> been extensively reported in the work of Tran Le et al. (2010) and </w:t>
      </w:r>
      <w:proofErr w:type="spellStart"/>
      <w:r w:rsidRPr="005417D2">
        <w:rPr>
          <w:rFonts w:ascii="Times New Roman" w:hAnsi="Times New Roman" w:cs="Times New Roman"/>
          <w:sz w:val="24"/>
        </w:rPr>
        <w:t>Colinart</w:t>
      </w:r>
      <w:proofErr w:type="spellEnd"/>
      <w:r w:rsidRPr="005417D2">
        <w:rPr>
          <w:rFonts w:ascii="Times New Roman" w:hAnsi="Times New Roman" w:cs="Times New Roman"/>
          <w:sz w:val="24"/>
        </w:rPr>
        <w:t xml:space="preserve"> et al. (2013), who demonstrated their ability to moderate temperature and humidity fluctuations within building envelopes. Over time, binder carbonation further enhances mechanical stability without compromising moisture transport, as noted by </w:t>
      </w:r>
      <w:proofErr w:type="spellStart"/>
      <w:r w:rsidRPr="005417D2">
        <w:rPr>
          <w:rFonts w:ascii="Times New Roman" w:hAnsi="Times New Roman" w:cs="Times New Roman"/>
          <w:sz w:val="24"/>
        </w:rPr>
        <w:t>Maalouf</w:t>
      </w:r>
      <w:proofErr w:type="spellEnd"/>
      <w:r w:rsidRPr="005417D2">
        <w:rPr>
          <w:rFonts w:ascii="Times New Roman" w:hAnsi="Times New Roman" w:cs="Times New Roman"/>
          <w:sz w:val="24"/>
        </w:rPr>
        <w:t xml:space="preserve"> et al. (2023).</w:t>
      </w:r>
    </w:p>
    <w:p w14:paraId="1B216605" w14:textId="77777777" w:rsidR="005417D2" w:rsidRDefault="005417D2" w:rsidP="005417D2">
      <w:pPr>
        <w:jc w:val="both"/>
        <w:rPr>
          <w:rFonts w:ascii="Times New Roman" w:hAnsi="Times New Roman" w:cs="Times New Roman"/>
          <w:sz w:val="24"/>
        </w:rPr>
      </w:pPr>
      <w:r w:rsidRPr="005417D2">
        <w:rPr>
          <w:rFonts w:ascii="Times New Roman" w:hAnsi="Times New Roman" w:cs="Times New Roman"/>
          <w:sz w:val="24"/>
        </w:rPr>
        <w:t xml:space="preserve">In addition, agricultural by-products and natural fibers may be incorporated to tailor density, mechanical performance, and thermal response, improving material availability and sustainability. The use of crop-derived materials as insulation and envelope components has been highlighted by Palumbo et al. (2015) and </w:t>
      </w:r>
      <w:proofErr w:type="spellStart"/>
      <w:r w:rsidRPr="005417D2">
        <w:rPr>
          <w:rFonts w:ascii="Times New Roman" w:hAnsi="Times New Roman" w:cs="Times New Roman"/>
          <w:sz w:val="24"/>
        </w:rPr>
        <w:t>Gołębiewski</w:t>
      </w:r>
      <w:proofErr w:type="spellEnd"/>
      <w:r w:rsidRPr="005417D2">
        <w:rPr>
          <w:rFonts w:ascii="Times New Roman" w:hAnsi="Times New Roman" w:cs="Times New Roman"/>
          <w:sz w:val="24"/>
        </w:rPr>
        <w:t xml:space="preserve"> et al. (2025) as an effective strategy for reducing embodied energy while maintaining adequate thermal performance. Collectively, these raw materials enable the development of a bio-humid wall brick that integrates structural integrity, environmental responsiveness, and low environmental impact.</w:t>
      </w:r>
    </w:p>
    <w:p w14:paraId="6B5388A2" w14:textId="77777777" w:rsidR="005417D2" w:rsidRDefault="00B60041" w:rsidP="005417D2">
      <w:pPr>
        <w:pStyle w:val="Heading1"/>
      </w:pPr>
      <w:r>
        <w:rPr>
          <w:rStyle w:val="Strong"/>
          <w:b/>
          <w:bCs/>
        </w:rPr>
        <w:t>3.1</w:t>
      </w:r>
      <w:r w:rsidR="005417D2">
        <w:rPr>
          <w:rStyle w:val="Strong"/>
          <w:b/>
          <w:bCs/>
        </w:rPr>
        <w:t xml:space="preserve"> Material Selection Criteria</w:t>
      </w:r>
    </w:p>
    <w:p w14:paraId="7EAD9F3E" w14:textId="77777777" w:rsidR="005417D2" w:rsidRPr="005417D2" w:rsidRDefault="005417D2" w:rsidP="005417D2">
      <w:pPr>
        <w:jc w:val="both"/>
        <w:rPr>
          <w:rFonts w:ascii="Times New Roman" w:hAnsi="Times New Roman" w:cs="Times New Roman"/>
          <w:sz w:val="24"/>
        </w:rPr>
      </w:pPr>
      <w:r w:rsidRPr="005417D2">
        <w:rPr>
          <w:rFonts w:ascii="Times New Roman" w:hAnsi="Times New Roman" w:cs="Times New Roman"/>
          <w:sz w:val="24"/>
        </w:rPr>
        <w:t xml:space="preserve">The selection of materials for the bio-humid wall brick is guided by </w:t>
      </w:r>
      <w:proofErr w:type="spellStart"/>
      <w:r w:rsidRPr="005417D2">
        <w:rPr>
          <w:rFonts w:ascii="Times New Roman" w:hAnsi="Times New Roman" w:cs="Times New Roman"/>
          <w:sz w:val="24"/>
        </w:rPr>
        <w:t>hygrothermal</w:t>
      </w:r>
      <w:proofErr w:type="spellEnd"/>
      <w:r w:rsidRPr="005417D2">
        <w:rPr>
          <w:rFonts w:ascii="Times New Roman" w:hAnsi="Times New Roman" w:cs="Times New Roman"/>
          <w:sz w:val="24"/>
        </w:rPr>
        <w:t xml:space="preserve"> performance requirements, environmental sustainability, and functional analogy to human skin thermoregulation. Key criteria include porosity, vapor permeability, moisture buffering capacity, thermal conductivity, and heat storage ability, all of which influence the dynamic heat and mass exchange at the building envelope. According to Janssen and </w:t>
      </w:r>
      <w:proofErr w:type="spellStart"/>
      <w:r w:rsidRPr="005417D2">
        <w:rPr>
          <w:rFonts w:ascii="Times New Roman" w:hAnsi="Times New Roman" w:cs="Times New Roman"/>
          <w:sz w:val="24"/>
        </w:rPr>
        <w:t>Roels</w:t>
      </w:r>
      <w:proofErr w:type="spellEnd"/>
      <w:r w:rsidRPr="005417D2">
        <w:rPr>
          <w:rFonts w:ascii="Times New Roman" w:hAnsi="Times New Roman" w:cs="Times New Roman"/>
          <w:sz w:val="24"/>
        </w:rPr>
        <w:t xml:space="preserve"> (2009) and Rode et al. (2019), </w:t>
      </w:r>
      <w:r w:rsidRPr="005417D2">
        <w:rPr>
          <w:rFonts w:ascii="Times New Roman" w:hAnsi="Times New Roman" w:cs="Times New Roman"/>
          <w:sz w:val="24"/>
        </w:rPr>
        <w:lastRenderedPageBreak/>
        <w:t>materials with high open porosity and vapor permeability are essential for effective moisture buffering and passive humidity control.</w:t>
      </w:r>
    </w:p>
    <w:p w14:paraId="65C2F90B" w14:textId="77777777" w:rsidR="005417D2" w:rsidRPr="005417D2" w:rsidRDefault="005417D2" w:rsidP="005417D2">
      <w:pPr>
        <w:jc w:val="both"/>
        <w:rPr>
          <w:rFonts w:ascii="Times New Roman" w:hAnsi="Times New Roman" w:cs="Times New Roman"/>
          <w:sz w:val="24"/>
        </w:rPr>
      </w:pPr>
      <w:r w:rsidRPr="005417D2">
        <w:rPr>
          <w:rFonts w:ascii="Times New Roman" w:hAnsi="Times New Roman" w:cs="Times New Roman"/>
          <w:sz w:val="24"/>
        </w:rPr>
        <w:t xml:space="preserve">Moisture buffering capacity is a critical parameter, as it enables the wall system to moderate indoor relative humidity by absorbing excess moisture and releasing it when ambient air becomes drier. This behavior has been extensively quantified in bio-based and hygroscopic materials, as noted by </w:t>
      </w:r>
      <w:proofErr w:type="spellStart"/>
      <w:r w:rsidRPr="005417D2">
        <w:rPr>
          <w:rFonts w:ascii="Times New Roman" w:hAnsi="Times New Roman" w:cs="Times New Roman"/>
          <w:sz w:val="24"/>
        </w:rPr>
        <w:t>Osanyintola</w:t>
      </w:r>
      <w:proofErr w:type="spellEnd"/>
      <w:r w:rsidRPr="005417D2">
        <w:rPr>
          <w:rFonts w:ascii="Times New Roman" w:hAnsi="Times New Roman" w:cs="Times New Roman"/>
          <w:sz w:val="24"/>
        </w:rPr>
        <w:t xml:space="preserve"> and Simonson (2006), McGregor et al. (2017), and </w:t>
      </w:r>
      <w:proofErr w:type="spellStart"/>
      <w:r w:rsidRPr="005417D2">
        <w:rPr>
          <w:rFonts w:ascii="Times New Roman" w:hAnsi="Times New Roman" w:cs="Times New Roman"/>
          <w:sz w:val="24"/>
        </w:rPr>
        <w:t>Cascione</w:t>
      </w:r>
      <w:proofErr w:type="spellEnd"/>
      <w:r w:rsidRPr="005417D2">
        <w:rPr>
          <w:rFonts w:ascii="Times New Roman" w:hAnsi="Times New Roman" w:cs="Times New Roman"/>
          <w:sz w:val="24"/>
        </w:rPr>
        <w:t xml:space="preserve"> et al. (2019). Materials exhibiting strong moisture buffering also enhance evaporative cooling potential under warm conditions, contributing indirectly to thermal comfort.</w:t>
      </w:r>
    </w:p>
    <w:p w14:paraId="03D90E04" w14:textId="77777777" w:rsidR="005417D2" w:rsidRPr="005417D2" w:rsidRDefault="005417D2" w:rsidP="005417D2">
      <w:pPr>
        <w:jc w:val="both"/>
        <w:rPr>
          <w:rFonts w:ascii="Times New Roman" w:hAnsi="Times New Roman" w:cs="Times New Roman"/>
          <w:sz w:val="24"/>
        </w:rPr>
      </w:pPr>
      <w:r w:rsidRPr="005417D2">
        <w:rPr>
          <w:rFonts w:ascii="Times New Roman" w:hAnsi="Times New Roman" w:cs="Times New Roman"/>
          <w:sz w:val="24"/>
        </w:rPr>
        <w:t xml:space="preserve">Thermal conductivity and specific heat capacity are equally important in determining the wall’s ability to delay and attenuate heat flow. Low thermal conductivity reduces heat transfer across the envelope, while adequate thermal mass helps stabilize indoor temperatures by storing and releasing heat over time. Studies by Latif et al. (2015) and </w:t>
      </w:r>
      <w:proofErr w:type="spellStart"/>
      <w:r w:rsidRPr="005417D2">
        <w:rPr>
          <w:rFonts w:ascii="Times New Roman" w:hAnsi="Times New Roman" w:cs="Times New Roman"/>
          <w:sz w:val="24"/>
        </w:rPr>
        <w:t>Gołębiewski</w:t>
      </w:r>
      <w:proofErr w:type="spellEnd"/>
      <w:r w:rsidRPr="005417D2">
        <w:rPr>
          <w:rFonts w:ascii="Times New Roman" w:hAnsi="Times New Roman" w:cs="Times New Roman"/>
          <w:sz w:val="24"/>
        </w:rPr>
        <w:t xml:space="preserve"> et al. (2025) have shown that hemp-lime composites provide a favorable balance between insulation performance and thermal inertia, making them suitable for adaptive envelope applications.</w:t>
      </w:r>
    </w:p>
    <w:p w14:paraId="38FB5BF6" w14:textId="77777777" w:rsidR="005417D2" w:rsidRDefault="005417D2" w:rsidP="005417D2">
      <w:pPr>
        <w:jc w:val="both"/>
        <w:rPr>
          <w:rFonts w:ascii="Times New Roman" w:hAnsi="Times New Roman" w:cs="Times New Roman"/>
          <w:sz w:val="24"/>
        </w:rPr>
      </w:pPr>
      <w:r w:rsidRPr="005417D2">
        <w:rPr>
          <w:rFonts w:ascii="Times New Roman" w:hAnsi="Times New Roman" w:cs="Times New Roman"/>
          <w:sz w:val="24"/>
        </w:rPr>
        <w:t xml:space="preserve">Finally, material sustainability and availability are considered to ensure environmental and economic feasibility. The use of renewable, locally sourced plant-based aggregates and lime binders aligns with low-carbon construction strategies and circular material use, as emphasized by Palumbo et al. (2015) and </w:t>
      </w:r>
      <w:proofErr w:type="spellStart"/>
      <w:r w:rsidRPr="005417D2">
        <w:rPr>
          <w:rFonts w:ascii="Times New Roman" w:hAnsi="Times New Roman" w:cs="Times New Roman"/>
          <w:sz w:val="24"/>
        </w:rPr>
        <w:t>Saghafi</w:t>
      </w:r>
      <w:proofErr w:type="spellEnd"/>
      <w:r w:rsidRPr="005417D2">
        <w:rPr>
          <w:rFonts w:ascii="Times New Roman" w:hAnsi="Times New Roman" w:cs="Times New Roman"/>
          <w:sz w:val="24"/>
        </w:rPr>
        <w:t xml:space="preserve"> and Hosseini </w:t>
      </w:r>
      <w:proofErr w:type="spellStart"/>
      <w:r w:rsidRPr="005417D2">
        <w:rPr>
          <w:rFonts w:ascii="Times New Roman" w:hAnsi="Times New Roman" w:cs="Times New Roman"/>
          <w:sz w:val="24"/>
        </w:rPr>
        <w:t>Teshnizi</w:t>
      </w:r>
      <w:proofErr w:type="spellEnd"/>
      <w:r w:rsidRPr="005417D2">
        <w:rPr>
          <w:rFonts w:ascii="Times New Roman" w:hAnsi="Times New Roman" w:cs="Times New Roman"/>
          <w:sz w:val="24"/>
        </w:rPr>
        <w:t xml:space="preserve"> (2011). Together, these criteria ensure that the selected materials support both the functional performance and sustainability objectives of the bio-humid wall brick system.</w:t>
      </w:r>
    </w:p>
    <w:p w14:paraId="1E03C22A" w14:textId="77777777" w:rsidR="00B60041" w:rsidRDefault="00E04FCE" w:rsidP="00E04FCE">
      <w:pPr>
        <w:pStyle w:val="Heading1"/>
      </w:pPr>
      <w:r>
        <w:rPr>
          <w:rStyle w:val="Strong"/>
          <w:b/>
          <w:bCs/>
        </w:rPr>
        <w:t xml:space="preserve">3.2 </w:t>
      </w:r>
      <w:r w:rsidR="00B60041">
        <w:rPr>
          <w:rStyle w:val="Strong"/>
          <w:b/>
          <w:bCs/>
        </w:rPr>
        <w:t>Material Composition of the Bio-Humid Wall Brick</w:t>
      </w:r>
    </w:p>
    <w:p w14:paraId="113C77EA" w14:textId="77777777" w:rsidR="00C86EFE" w:rsidRDefault="00B60041" w:rsidP="00E04FCE">
      <w:pPr>
        <w:jc w:val="both"/>
        <w:rPr>
          <w:rFonts w:ascii="Times New Roman" w:hAnsi="Times New Roman" w:cs="Times New Roman"/>
          <w:sz w:val="24"/>
        </w:rPr>
      </w:pPr>
      <w:r w:rsidRPr="00E04FCE">
        <w:rPr>
          <w:rFonts w:ascii="Times New Roman" w:hAnsi="Times New Roman" w:cs="Times New Roman"/>
          <w:sz w:val="24"/>
        </w:rPr>
        <w:t>Bio-humid wall bricks consist of a composite matrix combining porous ceramic or clay-based materials with hygroscopic biopolymers such as cellulose or chitosan</w:t>
      </w:r>
      <w:r w:rsidR="00C86EFE">
        <w:rPr>
          <w:rFonts w:ascii="Times New Roman" w:hAnsi="Times New Roman" w:cs="Times New Roman"/>
          <w:sz w:val="24"/>
        </w:rPr>
        <w:t xml:space="preserve"> (</w:t>
      </w:r>
      <w:r w:rsidR="00FC5F67">
        <w:rPr>
          <w:rFonts w:ascii="Times New Roman" w:hAnsi="Times New Roman" w:cs="Times New Roman"/>
          <w:sz w:val="24"/>
        </w:rPr>
        <w:t>Table 3</w:t>
      </w:r>
      <w:r w:rsidR="00C86EFE">
        <w:rPr>
          <w:rFonts w:ascii="Times New Roman" w:hAnsi="Times New Roman" w:cs="Times New Roman"/>
          <w:sz w:val="24"/>
        </w:rPr>
        <w:t>)</w:t>
      </w:r>
      <w:r w:rsidRPr="00E04FCE">
        <w:rPr>
          <w:rFonts w:ascii="Times New Roman" w:hAnsi="Times New Roman" w:cs="Times New Roman"/>
          <w:sz w:val="24"/>
        </w:rPr>
        <w:t xml:space="preserve">. The ceramic or clay phase provides structural stability, thermal mass, and vapor permeability, while the hygroscopic biopolymer phase enhances moisture absorption and release capabilities. Hygroscopic materials are well known for their ability to regulate indoor humidity and indirectly influence thermal comfort through moisture buffering and latent heat exchange, as demonstrated by Janssen and </w:t>
      </w:r>
      <w:proofErr w:type="spellStart"/>
      <w:r w:rsidRPr="00E04FCE">
        <w:rPr>
          <w:rFonts w:ascii="Times New Roman" w:hAnsi="Times New Roman" w:cs="Times New Roman"/>
          <w:sz w:val="24"/>
        </w:rPr>
        <w:t>Roels</w:t>
      </w:r>
      <w:proofErr w:type="spellEnd"/>
      <w:r w:rsidRPr="00E04FCE">
        <w:rPr>
          <w:rFonts w:ascii="Times New Roman" w:hAnsi="Times New Roman" w:cs="Times New Roman"/>
          <w:sz w:val="24"/>
        </w:rPr>
        <w:t xml:space="preserve"> (2009) and </w:t>
      </w:r>
      <w:proofErr w:type="spellStart"/>
      <w:r w:rsidRPr="00E04FCE">
        <w:rPr>
          <w:rFonts w:ascii="Times New Roman" w:hAnsi="Times New Roman" w:cs="Times New Roman"/>
          <w:sz w:val="24"/>
        </w:rPr>
        <w:t>Osanyintola</w:t>
      </w:r>
      <w:proofErr w:type="spellEnd"/>
      <w:r w:rsidRPr="00E04FCE">
        <w:rPr>
          <w:rFonts w:ascii="Times New Roman" w:hAnsi="Times New Roman" w:cs="Times New Roman"/>
          <w:sz w:val="24"/>
        </w:rPr>
        <w:t xml:space="preserve"> and Simonson (2006). The integration of these components enables passive moderation of indoor </w:t>
      </w:r>
      <w:r w:rsidRPr="00C86EFE">
        <w:rPr>
          <w:rFonts w:ascii="Times New Roman" w:hAnsi="Times New Roman" w:cs="Times New Roman"/>
          <w:sz w:val="24"/>
        </w:rPr>
        <w:t xml:space="preserve">temperature and humidity fluctuations, consistent with findings reported by </w:t>
      </w:r>
      <w:proofErr w:type="spellStart"/>
      <w:r w:rsidRPr="00C86EFE">
        <w:rPr>
          <w:rFonts w:ascii="Times New Roman" w:hAnsi="Times New Roman" w:cs="Times New Roman"/>
          <w:sz w:val="24"/>
        </w:rPr>
        <w:t>Cascione</w:t>
      </w:r>
      <w:proofErr w:type="spellEnd"/>
      <w:r w:rsidRPr="00C86EFE">
        <w:rPr>
          <w:rFonts w:ascii="Times New Roman" w:hAnsi="Times New Roman" w:cs="Times New Roman"/>
          <w:sz w:val="24"/>
        </w:rPr>
        <w:t xml:space="preserve"> et al. (2019) and Rode et al. (2019).</w:t>
      </w:r>
      <w:r w:rsidR="00C86EFE" w:rsidRPr="00C86EFE">
        <w:rPr>
          <w:rFonts w:ascii="Times New Roman" w:hAnsi="Times New Roman" w:cs="Times New Roman"/>
          <w:sz w:val="24"/>
        </w:rPr>
        <w:t xml:space="preserve"> Furthermore, </w:t>
      </w:r>
      <w:r w:rsidR="00C86EFE">
        <w:rPr>
          <w:rFonts w:ascii="Times New Roman" w:hAnsi="Times New Roman" w:cs="Times New Roman"/>
          <w:sz w:val="24"/>
        </w:rPr>
        <w:t>t</w:t>
      </w:r>
      <w:r w:rsidR="00C86EFE" w:rsidRPr="00C86EFE">
        <w:rPr>
          <w:rFonts w:ascii="Times New Roman" w:hAnsi="Times New Roman" w:cs="Times New Roman"/>
          <w:sz w:val="24"/>
        </w:rPr>
        <w:t xml:space="preserve">he incorporation of biopolymers further improves moisture sorption capacity and aligns with sustainable material strategies, as emphasized by </w:t>
      </w:r>
      <w:proofErr w:type="spellStart"/>
      <w:r w:rsidR="00C86EFE" w:rsidRPr="00C86EFE">
        <w:rPr>
          <w:rFonts w:ascii="Times New Roman" w:hAnsi="Times New Roman" w:cs="Times New Roman"/>
          <w:sz w:val="24"/>
        </w:rPr>
        <w:t>Cascione</w:t>
      </w:r>
      <w:proofErr w:type="spellEnd"/>
      <w:r w:rsidR="00C86EFE" w:rsidRPr="00C86EFE">
        <w:rPr>
          <w:rFonts w:ascii="Times New Roman" w:hAnsi="Times New Roman" w:cs="Times New Roman"/>
          <w:sz w:val="24"/>
        </w:rPr>
        <w:t xml:space="preserve"> et al. (2019) and Palumbo et al. (2015). Together, these material components allow the bio-humid wall brick to function as a biomimetic envelope system that integrates structural performance with adaptive heat and moisture regulation.</w:t>
      </w:r>
    </w:p>
    <w:p w14:paraId="57D0F764" w14:textId="77777777" w:rsidR="0010372C" w:rsidRDefault="0010372C" w:rsidP="00E04FCE">
      <w:pPr>
        <w:jc w:val="both"/>
        <w:rPr>
          <w:rFonts w:ascii="Times New Roman" w:hAnsi="Times New Roman" w:cs="Times New Roman"/>
          <w:sz w:val="24"/>
        </w:rPr>
      </w:pPr>
    </w:p>
    <w:p w14:paraId="06AF97B1" w14:textId="77777777" w:rsidR="0010372C" w:rsidRDefault="0010372C" w:rsidP="00E04FCE">
      <w:pPr>
        <w:jc w:val="both"/>
        <w:rPr>
          <w:rFonts w:ascii="Times New Roman" w:hAnsi="Times New Roman" w:cs="Times New Roman"/>
          <w:sz w:val="24"/>
        </w:rPr>
      </w:pPr>
    </w:p>
    <w:p w14:paraId="195B050B" w14:textId="77777777" w:rsidR="0010372C" w:rsidRDefault="0010372C" w:rsidP="00E04FCE">
      <w:pPr>
        <w:jc w:val="both"/>
        <w:rPr>
          <w:rFonts w:ascii="Times New Roman" w:hAnsi="Times New Roman" w:cs="Times New Roman"/>
          <w:sz w:val="24"/>
        </w:rPr>
      </w:pPr>
    </w:p>
    <w:p w14:paraId="53DD431F" w14:textId="77777777" w:rsidR="0010372C" w:rsidRPr="00E04FCE" w:rsidRDefault="0010372C" w:rsidP="00E04FCE">
      <w:pPr>
        <w:jc w:val="both"/>
        <w:rPr>
          <w:rFonts w:ascii="Times New Roman" w:hAnsi="Times New Roman" w:cs="Times New Roman"/>
          <w:sz w:val="24"/>
        </w:rPr>
      </w:pPr>
    </w:p>
    <w:p w14:paraId="6A64EB14" w14:textId="43EFCE22" w:rsidR="00B60041" w:rsidRPr="00E04FCE" w:rsidRDefault="00E04FCE" w:rsidP="00E04FCE">
      <w:pPr>
        <w:pStyle w:val="Caption"/>
        <w:rPr>
          <w:rFonts w:ascii="Times New Roman" w:hAnsi="Times New Roman" w:cs="Times New Roman"/>
          <w:i w:val="0"/>
          <w:sz w:val="24"/>
        </w:rPr>
      </w:pPr>
      <w:r w:rsidRPr="00E04FCE">
        <w:rPr>
          <w:rFonts w:ascii="Times New Roman" w:hAnsi="Times New Roman" w:cs="Times New Roman"/>
          <w:i w:val="0"/>
          <w:sz w:val="24"/>
        </w:rPr>
        <w:lastRenderedPageBreak/>
        <w:t xml:space="preserve">Table </w:t>
      </w:r>
      <w:r w:rsidRPr="00E04FCE">
        <w:rPr>
          <w:rFonts w:ascii="Times New Roman" w:hAnsi="Times New Roman" w:cs="Times New Roman"/>
          <w:i w:val="0"/>
          <w:sz w:val="24"/>
        </w:rPr>
        <w:fldChar w:fldCharType="begin"/>
      </w:r>
      <w:r w:rsidRPr="00E04FCE">
        <w:rPr>
          <w:rFonts w:ascii="Times New Roman" w:hAnsi="Times New Roman" w:cs="Times New Roman"/>
          <w:i w:val="0"/>
          <w:sz w:val="24"/>
        </w:rPr>
        <w:instrText xml:space="preserve"> SEQ Table \* ARABIC </w:instrText>
      </w:r>
      <w:r w:rsidRPr="00E04FCE">
        <w:rPr>
          <w:rFonts w:ascii="Times New Roman" w:hAnsi="Times New Roman" w:cs="Times New Roman"/>
          <w:i w:val="0"/>
          <w:sz w:val="24"/>
        </w:rPr>
        <w:fldChar w:fldCharType="separate"/>
      </w:r>
      <w:r w:rsidR="00D8620E">
        <w:rPr>
          <w:rFonts w:ascii="Times New Roman" w:hAnsi="Times New Roman" w:cs="Times New Roman"/>
          <w:i w:val="0"/>
          <w:noProof/>
          <w:sz w:val="24"/>
        </w:rPr>
        <w:t>3</w:t>
      </w:r>
      <w:r w:rsidRPr="00E04FCE">
        <w:rPr>
          <w:rFonts w:ascii="Times New Roman" w:hAnsi="Times New Roman" w:cs="Times New Roman"/>
          <w:i w:val="0"/>
          <w:sz w:val="24"/>
        </w:rPr>
        <w:fldChar w:fldCharType="end"/>
      </w:r>
      <w:r w:rsidRPr="00E04FCE">
        <w:rPr>
          <w:rFonts w:ascii="Times New Roman" w:hAnsi="Times New Roman" w:cs="Times New Roman"/>
          <w:i w:val="0"/>
          <w:sz w:val="24"/>
        </w:rPr>
        <w:t xml:space="preserve">: </w:t>
      </w:r>
      <w:r w:rsidR="00B60041" w:rsidRPr="00E04FCE">
        <w:rPr>
          <w:rStyle w:val="Strong"/>
          <w:rFonts w:ascii="Times New Roman" w:hAnsi="Times New Roman" w:cs="Times New Roman"/>
          <w:b w:val="0"/>
          <w:bCs w:val="0"/>
          <w:i w:val="0"/>
          <w:sz w:val="24"/>
        </w:rPr>
        <w:t>Material Composition and Functional Role of the Bio-Humid Wall Brick</w:t>
      </w:r>
    </w:p>
    <w:tbl>
      <w:tblPr>
        <w:tblStyle w:val="TableGrid"/>
        <w:tblW w:w="11057" w:type="dxa"/>
        <w:tblInd w:w="-856" w:type="dxa"/>
        <w:tblLook w:val="04A0" w:firstRow="1" w:lastRow="0" w:firstColumn="1" w:lastColumn="0" w:noHBand="0" w:noVBand="1"/>
      </w:tblPr>
      <w:tblGrid>
        <w:gridCol w:w="1844"/>
        <w:gridCol w:w="2116"/>
        <w:gridCol w:w="2241"/>
        <w:gridCol w:w="1757"/>
        <w:gridCol w:w="3099"/>
      </w:tblGrid>
      <w:tr w:rsidR="00B60041" w:rsidRPr="00E04FCE" w14:paraId="0FD81BE8" w14:textId="77777777" w:rsidTr="006B6008">
        <w:tc>
          <w:tcPr>
            <w:tcW w:w="1844" w:type="dxa"/>
            <w:hideMark/>
          </w:tcPr>
          <w:p w14:paraId="3C9B50E8" w14:textId="77777777" w:rsidR="00B60041" w:rsidRPr="00E04FCE" w:rsidRDefault="00B60041">
            <w:pPr>
              <w:jc w:val="center"/>
              <w:rPr>
                <w:rFonts w:ascii="Times New Roman" w:hAnsi="Times New Roman" w:cs="Times New Roman"/>
                <w:b/>
                <w:bCs/>
                <w:sz w:val="19"/>
                <w:szCs w:val="19"/>
              </w:rPr>
            </w:pPr>
            <w:r w:rsidRPr="00E04FCE">
              <w:rPr>
                <w:rFonts w:ascii="Times New Roman" w:hAnsi="Times New Roman" w:cs="Times New Roman"/>
                <w:b/>
                <w:bCs/>
                <w:sz w:val="19"/>
                <w:szCs w:val="19"/>
              </w:rPr>
              <w:t>Component</w:t>
            </w:r>
          </w:p>
        </w:tc>
        <w:tc>
          <w:tcPr>
            <w:tcW w:w="2116" w:type="dxa"/>
            <w:hideMark/>
          </w:tcPr>
          <w:p w14:paraId="2D7BAAAD" w14:textId="77777777" w:rsidR="00B60041" w:rsidRPr="00E04FCE" w:rsidRDefault="00B60041">
            <w:pPr>
              <w:jc w:val="center"/>
              <w:rPr>
                <w:rFonts w:ascii="Times New Roman" w:hAnsi="Times New Roman" w:cs="Times New Roman"/>
                <w:b/>
                <w:bCs/>
                <w:sz w:val="19"/>
                <w:szCs w:val="19"/>
              </w:rPr>
            </w:pPr>
            <w:r w:rsidRPr="00E04FCE">
              <w:rPr>
                <w:rFonts w:ascii="Times New Roman" w:hAnsi="Times New Roman" w:cs="Times New Roman"/>
                <w:b/>
                <w:bCs/>
                <w:sz w:val="19"/>
                <w:szCs w:val="19"/>
              </w:rPr>
              <w:t>Material Type</w:t>
            </w:r>
          </w:p>
        </w:tc>
        <w:tc>
          <w:tcPr>
            <w:tcW w:w="0" w:type="auto"/>
            <w:hideMark/>
          </w:tcPr>
          <w:p w14:paraId="7C4F72E1" w14:textId="77777777" w:rsidR="00B60041" w:rsidRPr="00E04FCE" w:rsidRDefault="00B60041">
            <w:pPr>
              <w:jc w:val="center"/>
              <w:rPr>
                <w:rFonts w:ascii="Times New Roman" w:hAnsi="Times New Roman" w:cs="Times New Roman"/>
                <w:b/>
                <w:bCs/>
                <w:sz w:val="19"/>
                <w:szCs w:val="19"/>
              </w:rPr>
            </w:pPr>
            <w:r w:rsidRPr="00E04FCE">
              <w:rPr>
                <w:rFonts w:ascii="Times New Roman" w:hAnsi="Times New Roman" w:cs="Times New Roman"/>
                <w:b/>
                <w:bCs/>
                <w:sz w:val="19"/>
                <w:szCs w:val="19"/>
              </w:rPr>
              <w:t>Primary Function</w:t>
            </w:r>
          </w:p>
        </w:tc>
        <w:tc>
          <w:tcPr>
            <w:tcW w:w="0" w:type="auto"/>
            <w:hideMark/>
          </w:tcPr>
          <w:p w14:paraId="0EF71F3F" w14:textId="77777777" w:rsidR="00B60041" w:rsidRPr="00E04FCE" w:rsidRDefault="00B60041">
            <w:pPr>
              <w:jc w:val="center"/>
              <w:rPr>
                <w:rFonts w:ascii="Times New Roman" w:hAnsi="Times New Roman" w:cs="Times New Roman"/>
                <w:b/>
                <w:bCs/>
                <w:sz w:val="19"/>
                <w:szCs w:val="19"/>
              </w:rPr>
            </w:pPr>
            <w:r w:rsidRPr="00E04FCE">
              <w:rPr>
                <w:rFonts w:ascii="Times New Roman" w:hAnsi="Times New Roman" w:cs="Times New Roman"/>
                <w:b/>
                <w:bCs/>
                <w:sz w:val="19"/>
                <w:szCs w:val="19"/>
              </w:rPr>
              <w:t>Biomimetic Analogy</w:t>
            </w:r>
          </w:p>
        </w:tc>
        <w:tc>
          <w:tcPr>
            <w:tcW w:w="3099" w:type="dxa"/>
            <w:hideMark/>
          </w:tcPr>
          <w:p w14:paraId="397670F4" w14:textId="77777777" w:rsidR="00B60041" w:rsidRPr="00E04FCE" w:rsidRDefault="00B60041">
            <w:pPr>
              <w:jc w:val="center"/>
              <w:rPr>
                <w:rFonts w:ascii="Times New Roman" w:hAnsi="Times New Roman" w:cs="Times New Roman"/>
                <w:b/>
                <w:bCs/>
                <w:sz w:val="19"/>
                <w:szCs w:val="19"/>
              </w:rPr>
            </w:pPr>
            <w:r w:rsidRPr="00E04FCE">
              <w:rPr>
                <w:rFonts w:ascii="Times New Roman" w:hAnsi="Times New Roman" w:cs="Times New Roman"/>
                <w:b/>
                <w:bCs/>
                <w:sz w:val="19"/>
                <w:szCs w:val="19"/>
              </w:rPr>
              <w:t>Supporting References</w:t>
            </w:r>
          </w:p>
        </w:tc>
      </w:tr>
      <w:tr w:rsidR="00B60041" w:rsidRPr="00E04FCE" w14:paraId="35E2D131" w14:textId="77777777" w:rsidTr="006B6008">
        <w:tc>
          <w:tcPr>
            <w:tcW w:w="1844" w:type="dxa"/>
            <w:hideMark/>
          </w:tcPr>
          <w:p w14:paraId="70B34FE5" w14:textId="77777777" w:rsidR="00B60041" w:rsidRPr="00E04FCE" w:rsidRDefault="00B60041">
            <w:pPr>
              <w:rPr>
                <w:rFonts w:ascii="Times New Roman" w:hAnsi="Times New Roman" w:cs="Times New Roman"/>
                <w:sz w:val="19"/>
                <w:szCs w:val="19"/>
              </w:rPr>
            </w:pPr>
            <w:r w:rsidRPr="00E04FCE">
              <w:rPr>
                <w:rFonts w:ascii="Times New Roman" w:hAnsi="Times New Roman" w:cs="Times New Roman"/>
                <w:sz w:val="19"/>
                <w:szCs w:val="19"/>
              </w:rPr>
              <w:t>Structural matrix</w:t>
            </w:r>
          </w:p>
        </w:tc>
        <w:tc>
          <w:tcPr>
            <w:tcW w:w="2116" w:type="dxa"/>
            <w:hideMark/>
          </w:tcPr>
          <w:p w14:paraId="2A0D025F" w14:textId="77777777" w:rsidR="00B60041" w:rsidRPr="00E04FCE" w:rsidRDefault="00B60041">
            <w:pPr>
              <w:rPr>
                <w:rFonts w:ascii="Times New Roman" w:hAnsi="Times New Roman" w:cs="Times New Roman"/>
                <w:sz w:val="19"/>
                <w:szCs w:val="19"/>
              </w:rPr>
            </w:pPr>
            <w:r w:rsidRPr="00E04FCE">
              <w:rPr>
                <w:rFonts w:ascii="Times New Roman" w:hAnsi="Times New Roman" w:cs="Times New Roman"/>
                <w:sz w:val="19"/>
                <w:szCs w:val="19"/>
              </w:rPr>
              <w:t>Porous clay / porous ceramics</w:t>
            </w:r>
          </w:p>
        </w:tc>
        <w:tc>
          <w:tcPr>
            <w:tcW w:w="0" w:type="auto"/>
            <w:hideMark/>
          </w:tcPr>
          <w:p w14:paraId="5020CBDB" w14:textId="77777777" w:rsidR="00B60041" w:rsidRPr="00E04FCE" w:rsidRDefault="00B60041">
            <w:pPr>
              <w:rPr>
                <w:rFonts w:ascii="Times New Roman" w:hAnsi="Times New Roman" w:cs="Times New Roman"/>
                <w:sz w:val="19"/>
                <w:szCs w:val="19"/>
              </w:rPr>
            </w:pPr>
            <w:r w:rsidRPr="00E04FCE">
              <w:rPr>
                <w:rFonts w:ascii="Times New Roman" w:hAnsi="Times New Roman" w:cs="Times New Roman"/>
                <w:sz w:val="19"/>
                <w:szCs w:val="19"/>
              </w:rPr>
              <w:t>Mechanical stability, vapor permeability, thermal mass</w:t>
            </w:r>
          </w:p>
        </w:tc>
        <w:tc>
          <w:tcPr>
            <w:tcW w:w="0" w:type="auto"/>
            <w:hideMark/>
          </w:tcPr>
          <w:p w14:paraId="15396621" w14:textId="77777777" w:rsidR="00B60041" w:rsidRPr="00E04FCE" w:rsidRDefault="00B60041">
            <w:pPr>
              <w:rPr>
                <w:rFonts w:ascii="Times New Roman" w:hAnsi="Times New Roman" w:cs="Times New Roman"/>
                <w:sz w:val="19"/>
                <w:szCs w:val="19"/>
              </w:rPr>
            </w:pPr>
            <w:r w:rsidRPr="00E04FCE">
              <w:rPr>
                <w:rFonts w:ascii="Times New Roman" w:hAnsi="Times New Roman" w:cs="Times New Roman"/>
                <w:sz w:val="19"/>
                <w:szCs w:val="19"/>
              </w:rPr>
              <w:t>Skin structural layers (dermis support)</w:t>
            </w:r>
          </w:p>
        </w:tc>
        <w:tc>
          <w:tcPr>
            <w:tcW w:w="3099" w:type="dxa"/>
            <w:hideMark/>
          </w:tcPr>
          <w:p w14:paraId="560FC419" w14:textId="77777777" w:rsidR="00B60041" w:rsidRPr="00E04FCE" w:rsidRDefault="00B60041">
            <w:pPr>
              <w:rPr>
                <w:rFonts w:ascii="Times New Roman" w:hAnsi="Times New Roman" w:cs="Times New Roman"/>
                <w:sz w:val="19"/>
                <w:szCs w:val="19"/>
              </w:rPr>
            </w:pPr>
            <w:r w:rsidRPr="00E04FCE">
              <w:rPr>
                <w:rFonts w:ascii="Times New Roman" w:hAnsi="Times New Roman" w:cs="Times New Roman"/>
                <w:sz w:val="19"/>
                <w:szCs w:val="19"/>
              </w:rPr>
              <w:t xml:space="preserve">Tran Le et al. (2010); </w:t>
            </w:r>
            <w:proofErr w:type="spellStart"/>
            <w:r w:rsidRPr="00E04FCE">
              <w:rPr>
                <w:rFonts w:ascii="Times New Roman" w:hAnsi="Times New Roman" w:cs="Times New Roman"/>
                <w:sz w:val="19"/>
                <w:szCs w:val="19"/>
              </w:rPr>
              <w:t>Colinart</w:t>
            </w:r>
            <w:proofErr w:type="spellEnd"/>
            <w:r w:rsidRPr="00E04FCE">
              <w:rPr>
                <w:rFonts w:ascii="Times New Roman" w:hAnsi="Times New Roman" w:cs="Times New Roman"/>
                <w:sz w:val="19"/>
                <w:szCs w:val="19"/>
              </w:rPr>
              <w:t xml:space="preserve"> et al. (2013)</w:t>
            </w:r>
          </w:p>
        </w:tc>
      </w:tr>
      <w:tr w:rsidR="00B60041" w:rsidRPr="00E04FCE" w14:paraId="23B39419" w14:textId="77777777" w:rsidTr="006B6008">
        <w:tc>
          <w:tcPr>
            <w:tcW w:w="1844" w:type="dxa"/>
            <w:hideMark/>
          </w:tcPr>
          <w:p w14:paraId="59802409" w14:textId="77777777" w:rsidR="00B60041" w:rsidRPr="00E04FCE" w:rsidRDefault="00B60041">
            <w:pPr>
              <w:rPr>
                <w:rFonts w:ascii="Times New Roman" w:hAnsi="Times New Roman" w:cs="Times New Roman"/>
                <w:sz w:val="19"/>
                <w:szCs w:val="19"/>
              </w:rPr>
            </w:pPr>
            <w:r w:rsidRPr="00E04FCE">
              <w:rPr>
                <w:rFonts w:ascii="Times New Roman" w:hAnsi="Times New Roman" w:cs="Times New Roman"/>
                <w:sz w:val="19"/>
                <w:szCs w:val="19"/>
              </w:rPr>
              <w:t>Hygroscopic phase</w:t>
            </w:r>
          </w:p>
        </w:tc>
        <w:tc>
          <w:tcPr>
            <w:tcW w:w="2116" w:type="dxa"/>
            <w:hideMark/>
          </w:tcPr>
          <w:p w14:paraId="23F341F1" w14:textId="77777777" w:rsidR="00B60041" w:rsidRPr="00E04FCE" w:rsidRDefault="00B60041">
            <w:pPr>
              <w:rPr>
                <w:rFonts w:ascii="Times New Roman" w:hAnsi="Times New Roman" w:cs="Times New Roman"/>
                <w:sz w:val="19"/>
                <w:szCs w:val="19"/>
              </w:rPr>
            </w:pPr>
            <w:r w:rsidRPr="00E04FCE">
              <w:rPr>
                <w:rFonts w:ascii="Times New Roman" w:hAnsi="Times New Roman" w:cs="Times New Roman"/>
                <w:sz w:val="19"/>
                <w:szCs w:val="19"/>
              </w:rPr>
              <w:t>Cellulose / chitosan biopolymers</w:t>
            </w:r>
          </w:p>
        </w:tc>
        <w:tc>
          <w:tcPr>
            <w:tcW w:w="0" w:type="auto"/>
            <w:hideMark/>
          </w:tcPr>
          <w:p w14:paraId="463577C4" w14:textId="77777777" w:rsidR="00B60041" w:rsidRPr="00E04FCE" w:rsidRDefault="00B60041">
            <w:pPr>
              <w:rPr>
                <w:rFonts w:ascii="Times New Roman" w:hAnsi="Times New Roman" w:cs="Times New Roman"/>
                <w:sz w:val="19"/>
                <w:szCs w:val="19"/>
              </w:rPr>
            </w:pPr>
            <w:r w:rsidRPr="00E04FCE">
              <w:rPr>
                <w:rFonts w:ascii="Times New Roman" w:hAnsi="Times New Roman" w:cs="Times New Roman"/>
                <w:sz w:val="19"/>
                <w:szCs w:val="19"/>
              </w:rPr>
              <w:t>Moisture absorption, moisture release, humidity buffering</w:t>
            </w:r>
          </w:p>
        </w:tc>
        <w:tc>
          <w:tcPr>
            <w:tcW w:w="0" w:type="auto"/>
            <w:hideMark/>
          </w:tcPr>
          <w:p w14:paraId="0C408368" w14:textId="77777777" w:rsidR="00B60041" w:rsidRPr="00E04FCE" w:rsidRDefault="00B60041">
            <w:pPr>
              <w:rPr>
                <w:rFonts w:ascii="Times New Roman" w:hAnsi="Times New Roman" w:cs="Times New Roman"/>
                <w:sz w:val="19"/>
                <w:szCs w:val="19"/>
              </w:rPr>
            </w:pPr>
            <w:r w:rsidRPr="00E04FCE">
              <w:rPr>
                <w:rFonts w:ascii="Times New Roman" w:hAnsi="Times New Roman" w:cs="Times New Roman"/>
                <w:sz w:val="19"/>
                <w:szCs w:val="19"/>
              </w:rPr>
              <w:t>Sweat glands and extracellular matrix</w:t>
            </w:r>
          </w:p>
        </w:tc>
        <w:tc>
          <w:tcPr>
            <w:tcW w:w="3099" w:type="dxa"/>
            <w:hideMark/>
          </w:tcPr>
          <w:p w14:paraId="21FDE129" w14:textId="77777777" w:rsidR="00B60041" w:rsidRPr="00E04FCE" w:rsidRDefault="00B60041">
            <w:pPr>
              <w:rPr>
                <w:rFonts w:ascii="Times New Roman" w:hAnsi="Times New Roman" w:cs="Times New Roman"/>
                <w:sz w:val="19"/>
                <w:szCs w:val="19"/>
              </w:rPr>
            </w:pPr>
            <w:proofErr w:type="spellStart"/>
            <w:r w:rsidRPr="00E04FCE">
              <w:rPr>
                <w:rFonts w:ascii="Times New Roman" w:hAnsi="Times New Roman" w:cs="Times New Roman"/>
                <w:sz w:val="19"/>
                <w:szCs w:val="19"/>
              </w:rPr>
              <w:t>Osanyintola</w:t>
            </w:r>
            <w:proofErr w:type="spellEnd"/>
            <w:r w:rsidRPr="00E04FCE">
              <w:rPr>
                <w:rFonts w:ascii="Times New Roman" w:hAnsi="Times New Roman" w:cs="Times New Roman"/>
                <w:sz w:val="19"/>
                <w:szCs w:val="19"/>
              </w:rPr>
              <w:t xml:space="preserve"> and Simonson (2006); Janssen and </w:t>
            </w:r>
            <w:proofErr w:type="spellStart"/>
            <w:r w:rsidRPr="00E04FCE">
              <w:rPr>
                <w:rFonts w:ascii="Times New Roman" w:hAnsi="Times New Roman" w:cs="Times New Roman"/>
                <w:sz w:val="19"/>
                <w:szCs w:val="19"/>
              </w:rPr>
              <w:t>Roels</w:t>
            </w:r>
            <w:proofErr w:type="spellEnd"/>
            <w:r w:rsidRPr="00E04FCE">
              <w:rPr>
                <w:rFonts w:ascii="Times New Roman" w:hAnsi="Times New Roman" w:cs="Times New Roman"/>
                <w:sz w:val="19"/>
                <w:szCs w:val="19"/>
              </w:rPr>
              <w:t xml:space="preserve"> (2009)</w:t>
            </w:r>
          </w:p>
        </w:tc>
      </w:tr>
      <w:tr w:rsidR="00B60041" w:rsidRPr="00E04FCE" w14:paraId="21FA75CA" w14:textId="77777777" w:rsidTr="006B6008">
        <w:tc>
          <w:tcPr>
            <w:tcW w:w="1844" w:type="dxa"/>
            <w:hideMark/>
          </w:tcPr>
          <w:p w14:paraId="3B455162" w14:textId="77777777" w:rsidR="00B60041" w:rsidRPr="00E04FCE" w:rsidRDefault="00B60041">
            <w:pPr>
              <w:rPr>
                <w:rFonts w:ascii="Times New Roman" w:hAnsi="Times New Roman" w:cs="Times New Roman"/>
                <w:sz w:val="19"/>
                <w:szCs w:val="19"/>
              </w:rPr>
            </w:pPr>
            <w:r w:rsidRPr="00E04FCE">
              <w:rPr>
                <w:rFonts w:ascii="Times New Roman" w:hAnsi="Times New Roman" w:cs="Times New Roman"/>
                <w:sz w:val="19"/>
                <w:szCs w:val="19"/>
              </w:rPr>
              <w:t>Pore network</w:t>
            </w:r>
          </w:p>
        </w:tc>
        <w:tc>
          <w:tcPr>
            <w:tcW w:w="2116" w:type="dxa"/>
            <w:hideMark/>
          </w:tcPr>
          <w:p w14:paraId="6D4FEF52" w14:textId="77777777" w:rsidR="00B60041" w:rsidRPr="00E04FCE" w:rsidRDefault="00B60041">
            <w:pPr>
              <w:rPr>
                <w:rFonts w:ascii="Times New Roman" w:hAnsi="Times New Roman" w:cs="Times New Roman"/>
                <w:sz w:val="19"/>
                <w:szCs w:val="19"/>
              </w:rPr>
            </w:pPr>
            <w:r w:rsidRPr="00E04FCE">
              <w:rPr>
                <w:rFonts w:ascii="Times New Roman" w:hAnsi="Times New Roman" w:cs="Times New Roman"/>
                <w:sz w:val="19"/>
                <w:szCs w:val="19"/>
              </w:rPr>
              <w:t>Open interconnected porosity</w:t>
            </w:r>
          </w:p>
        </w:tc>
        <w:tc>
          <w:tcPr>
            <w:tcW w:w="0" w:type="auto"/>
            <w:hideMark/>
          </w:tcPr>
          <w:p w14:paraId="2E9D0B03" w14:textId="77777777" w:rsidR="00B60041" w:rsidRPr="00E04FCE" w:rsidRDefault="00B60041">
            <w:pPr>
              <w:rPr>
                <w:rFonts w:ascii="Times New Roman" w:hAnsi="Times New Roman" w:cs="Times New Roman"/>
                <w:sz w:val="19"/>
                <w:szCs w:val="19"/>
              </w:rPr>
            </w:pPr>
            <w:r w:rsidRPr="00E04FCE">
              <w:rPr>
                <w:rFonts w:ascii="Times New Roman" w:hAnsi="Times New Roman" w:cs="Times New Roman"/>
                <w:sz w:val="19"/>
                <w:szCs w:val="19"/>
              </w:rPr>
              <w:t>Evaporative cooling, heat–mass transfer</w:t>
            </w:r>
          </w:p>
        </w:tc>
        <w:tc>
          <w:tcPr>
            <w:tcW w:w="0" w:type="auto"/>
            <w:hideMark/>
          </w:tcPr>
          <w:p w14:paraId="59BC2D0F" w14:textId="77777777" w:rsidR="00B60041" w:rsidRPr="00E04FCE" w:rsidRDefault="00B60041">
            <w:pPr>
              <w:rPr>
                <w:rFonts w:ascii="Times New Roman" w:hAnsi="Times New Roman" w:cs="Times New Roman"/>
                <w:sz w:val="19"/>
                <w:szCs w:val="19"/>
              </w:rPr>
            </w:pPr>
            <w:r w:rsidRPr="00E04FCE">
              <w:rPr>
                <w:rFonts w:ascii="Times New Roman" w:hAnsi="Times New Roman" w:cs="Times New Roman"/>
                <w:sz w:val="19"/>
                <w:szCs w:val="19"/>
              </w:rPr>
              <w:t>Skin pores</w:t>
            </w:r>
          </w:p>
        </w:tc>
        <w:tc>
          <w:tcPr>
            <w:tcW w:w="3099" w:type="dxa"/>
            <w:hideMark/>
          </w:tcPr>
          <w:p w14:paraId="2319706B" w14:textId="77777777" w:rsidR="00B60041" w:rsidRPr="00E04FCE" w:rsidRDefault="00B60041">
            <w:pPr>
              <w:rPr>
                <w:rFonts w:ascii="Times New Roman" w:hAnsi="Times New Roman" w:cs="Times New Roman"/>
                <w:sz w:val="19"/>
                <w:szCs w:val="19"/>
              </w:rPr>
            </w:pPr>
            <w:r w:rsidRPr="00E04FCE">
              <w:rPr>
                <w:rFonts w:ascii="Times New Roman" w:hAnsi="Times New Roman" w:cs="Times New Roman"/>
                <w:sz w:val="19"/>
                <w:szCs w:val="19"/>
              </w:rPr>
              <w:t xml:space="preserve">Latif et al. (2015); </w:t>
            </w:r>
            <w:proofErr w:type="spellStart"/>
            <w:r w:rsidRPr="00E04FCE">
              <w:rPr>
                <w:rFonts w:ascii="Times New Roman" w:hAnsi="Times New Roman" w:cs="Times New Roman"/>
                <w:sz w:val="19"/>
                <w:szCs w:val="19"/>
              </w:rPr>
              <w:t>Cascione</w:t>
            </w:r>
            <w:proofErr w:type="spellEnd"/>
            <w:r w:rsidRPr="00E04FCE">
              <w:rPr>
                <w:rFonts w:ascii="Times New Roman" w:hAnsi="Times New Roman" w:cs="Times New Roman"/>
                <w:sz w:val="19"/>
                <w:szCs w:val="19"/>
              </w:rPr>
              <w:t xml:space="preserve"> et al. (2019)</w:t>
            </w:r>
          </w:p>
        </w:tc>
      </w:tr>
      <w:tr w:rsidR="00B60041" w:rsidRPr="00E04FCE" w14:paraId="3FC38066" w14:textId="77777777" w:rsidTr="006B6008">
        <w:tc>
          <w:tcPr>
            <w:tcW w:w="1844" w:type="dxa"/>
            <w:hideMark/>
          </w:tcPr>
          <w:p w14:paraId="208593B6" w14:textId="77777777" w:rsidR="00B60041" w:rsidRPr="00E04FCE" w:rsidRDefault="00B60041">
            <w:pPr>
              <w:rPr>
                <w:rFonts w:ascii="Times New Roman" w:hAnsi="Times New Roman" w:cs="Times New Roman"/>
                <w:sz w:val="19"/>
                <w:szCs w:val="19"/>
              </w:rPr>
            </w:pPr>
            <w:r w:rsidRPr="00E04FCE">
              <w:rPr>
                <w:rFonts w:ascii="Times New Roman" w:hAnsi="Times New Roman" w:cs="Times New Roman"/>
                <w:sz w:val="19"/>
                <w:szCs w:val="19"/>
              </w:rPr>
              <w:t>Composite interface</w:t>
            </w:r>
          </w:p>
        </w:tc>
        <w:tc>
          <w:tcPr>
            <w:tcW w:w="2116" w:type="dxa"/>
            <w:hideMark/>
          </w:tcPr>
          <w:p w14:paraId="3F8071FA" w14:textId="77777777" w:rsidR="00B60041" w:rsidRPr="00E04FCE" w:rsidRDefault="00B60041">
            <w:pPr>
              <w:rPr>
                <w:rFonts w:ascii="Times New Roman" w:hAnsi="Times New Roman" w:cs="Times New Roman"/>
                <w:sz w:val="19"/>
                <w:szCs w:val="19"/>
              </w:rPr>
            </w:pPr>
            <w:r w:rsidRPr="00E04FCE">
              <w:rPr>
                <w:rFonts w:ascii="Times New Roman" w:hAnsi="Times New Roman" w:cs="Times New Roman"/>
                <w:sz w:val="19"/>
                <w:szCs w:val="19"/>
              </w:rPr>
              <w:t>Bio-ceramic bonding matrix</w:t>
            </w:r>
          </w:p>
        </w:tc>
        <w:tc>
          <w:tcPr>
            <w:tcW w:w="0" w:type="auto"/>
            <w:hideMark/>
          </w:tcPr>
          <w:p w14:paraId="3DA15AE3" w14:textId="77777777" w:rsidR="00B60041" w:rsidRPr="00E04FCE" w:rsidRDefault="00B60041">
            <w:pPr>
              <w:rPr>
                <w:rFonts w:ascii="Times New Roman" w:hAnsi="Times New Roman" w:cs="Times New Roman"/>
                <w:sz w:val="19"/>
                <w:szCs w:val="19"/>
              </w:rPr>
            </w:pPr>
            <w:r w:rsidRPr="00E04FCE">
              <w:rPr>
                <w:rFonts w:ascii="Times New Roman" w:hAnsi="Times New Roman" w:cs="Times New Roman"/>
                <w:sz w:val="19"/>
                <w:szCs w:val="19"/>
              </w:rPr>
              <w:t>Controlled moisture transport and durability</w:t>
            </w:r>
          </w:p>
        </w:tc>
        <w:tc>
          <w:tcPr>
            <w:tcW w:w="0" w:type="auto"/>
            <w:hideMark/>
          </w:tcPr>
          <w:p w14:paraId="722892D9" w14:textId="77777777" w:rsidR="00B60041" w:rsidRPr="00E04FCE" w:rsidRDefault="00B60041">
            <w:pPr>
              <w:rPr>
                <w:rFonts w:ascii="Times New Roman" w:hAnsi="Times New Roman" w:cs="Times New Roman"/>
                <w:sz w:val="19"/>
                <w:szCs w:val="19"/>
              </w:rPr>
            </w:pPr>
            <w:r w:rsidRPr="00E04FCE">
              <w:rPr>
                <w:rFonts w:ascii="Times New Roman" w:hAnsi="Times New Roman" w:cs="Times New Roman"/>
                <w:sz w:val="19"/>
                <w:szCs w:val="19"/>
              </w:rPr>
              <w:t>Epidermis–dermis interface</w:t>
            </w:r>
          </w:p>
        </w:tc>
        <w:tc>
          <w:tcPr>
            <w:tcW w:w="3099" w:type="dxa"/>
            <w:hideMark/>
          </w:tcPr>
          <w:p w14:paraId="19968D9D" w14:textId="77777777" w:rsidR="00B60041" w:rsidRPr="00E04FCE" w:rsidRDefault="00B60041">
            <w:pPr>
              <w:rPr>
                <w:rFonts w:ascii="Times New Roman" w:hAnsi="Times New Roman" w:cs="Times New Roman"/>
                <w:sz w:val="19"/>
                <w:szCs w:val="19"/>
              </w:rPr>
            </w:pPr>
            <w:proofErr w:type="spellStart"/>
            <w:r w:rsidRPr="00E04FCE">
              <w:rPr>
                <w:rFonts w:ascii="Times New Roman" w:hAnsi="Times New Roman" w:cs="Times New Roman"/>
                <w:sz w:val="19"/>
                <w:szCs w:val="19"/>
              </w:rPr>
              <w:t>Viel</w:t>
            </w:r>
            <w:proofErr w:type="spellEnd"/>
            <w:r w:rsidRPr="00E04FCE">
              <w:rPr>
                <w:rFonts w:ascii="Times New Roman" w:hAnsi="Times New Roman" w:cs="Times New Roman"/>
                <w:sz w:val="19"/>
                <w:szCs w:val="19"/>
              </w:rPr>
              <w:t xml:space="preserve"> et al. (2019); Rode et al. (2019)</w:t>
            </w:r>
          </w:p>
        </w:tc>
      </w:tr>
    </w:tbl>
    <w:p w14:paraId="4A21A404" w14:textId="77777777" w:rsidR="00DA6D97" w:rsidRPr="00DA6D97" w:rsidRDefault="00DA6D97" w:rsidP="00DA6D97">
      <w:pPr>
        <w:spacing w:after="0" w:line="240" w:lineRule="auto"/>
        <w:rPr>
          <w:rFonts w:ascii="Times New Roman" w:eastAsia="Times New Roman" w:hAnsi="Times New Roman" w:cs="Times New Roman"/>
          <w:sz w:val="24"/>
          <w:szCs w:val="24"/>
        </w:rPr>
      </w:pPr>
    </w:p>
    <w:p w14:paraId="079E1AED" w14:textId="77777777" w:rsidR="00DA6D97" w:rsidRPr="00DA6D97" w:rsidRDefault="00DA6D97" w:rsidP="00DA6D97">
      <w:pPr>
        <w:jc w:val="both"/>
        <w:rPr>
          <w:rFonts w:ascii="Times New Roman" w:hAnsi="Times New Roman" w:cs="Times New Roman"/>
          <w:sz w:val="24"/>
        </w:rPr>
      </w:pPr>
      <w:r w:rsidRPr="00DA6D97">
        <w:rPr>
          <w:rFonts w:ascii="Times New Roman" w:hAnsi="Times New Roman" w:cs="Times New Roman"/>
          <w:sz w:val="24"/>
        </w:rPr>
        <w:t>Bio-humid wall bricks consist of a composite matrix of porous ceramics or clay combined with hygroscopic biopolymers such as cellulose or chitosan. Hygroscopic materials regulate indoor humidity and temperature through moisture buffering, analogous to the mechanisms of human skin thermoregulation illustrated in Figures 4a and 4b, where sweat evaporation and cutaneous blood flow control heat l</w:t>
      </w:r>
      <w:r w:rsidR="00F64E8B">
        <w:rPr>
          <w:rFonts w:ascii="Times New Roman" w:hAnsi="Times New Roman" w:cs="Times New Roman"/>
          <w:sz w:val="24"/>
        </w:rPr>
        <w:t>oss and retention (</w:t>
      </w:r>
      <w:proofErr w:type="spellStart"/>
      <w:r w:rsidR="00F64E8B">
        <w:rPr>
          <w:rFonts w:ascii="Times New Roman" w:hAnsi="Times New Roman" w:cs="Times New Roman"/>
          <w:sz w:val="24"/>
        </w:rPr>
        <w:t>Osanyintola</w:t>
      </w:r>
      <w:proofErr w:type="spellEnd"/>
      <w:r w:rsidR="00F64E8B">
        <w:rPr>
          <w:rFonts w:ascii="Times New Roman" w:hAnsi="Times New Roman" w:cs="Times New Roman"/>
          <w:sz w:val="24"/>
        </w:rPr>
        <w:t xml:space="preserve"> and</w:t>
      </w:r>
      <w:r w:rsidRPr="00DA6D97">
        <w:rPr>
          <w:rFonts w:ascii="Times New Roman" w:hAnsi="Times New Roman" w:cs="Times New Roman"/>
          <w:sz w:val="24"/>
        </w:rPr>
        <w:t xml:space="preserve"> Simonson, 2006; Tran Le et al., 2010). The layered configuration of the wall, including an outer porous layer and an inner moisture-retentive core, mirrors the epidermal and dermal layers of skin, enabling both rapid response to environmental changes and delayed heat–moisture regulation.</w:t>
      </w:r>
    </w:p>
    <w:p w14:paraId="4050051D" w14:textId="76EEE9FA" w:rsidR="00F66F43" w:rsidRDefault="006B6008" w:rsidP="00DA6D97">
      <w:pPr>
        <w:jc w:val="both"/>
        <w:rPr>
          <w:rFonts w:ascii="Times New Roman" w:hAnsi="Times New Roman" w:cs="Times New Roman"/>
          <w:sz w:val="24"/>
        </w:rPr>
      </w:pPr>
      <w:r>
        <w:rPr>
          <w:rFonts w:ascii="Times New Roman" w:hAnsi="Times New Roman" w:cs="Times New Roman"/>
          <w:sz w:val="24"/>
        </w:rPr>
        <w:t>Table 3</w:t>
      </w:r>
      <w:r w:rsidR="00DA6D97" w:rsidRPr="00DA6D97">
        <w:rPr>
          <w:rFonts w:ascii="Times New Roman" w:hAnsi="Times New Roman" w:cs="Times New Roman"/>
          <w:sz w:val="24"/>
        </w:rPr>
        <w:t xml:space="preserve"> summarizes the typical composition and functional properties of bio-humid wall bricks used in passive thermal regulation. Each component contributes to specific </w:t>
      </w:r>
      <w:proofErr w:type="spellStart"/>
      <w:r w:rsidR="00DA6D97" w:rsidRPr="00DA6D97">
        <w:rPr>
          <w:rFonts w:ascii="Times New Roman" w:hAnsi="Times New Roman" w:cs="Times New Roman"/>
          <w:sz w:val="24"/>
        </w:rPr>
        <w:t>hygrothermal</w:t>
      </w:r>
      <w:proofErr w:type="spellEnd"/>
      <w:r w:rsidR="00DA6D97" w:rsidRPr="00DA6D97">
        <w:rPr>
          <w:rFonts w:ascii="Times New Roman" w:hAnsi="Times New Roman" w:cs="Times New Roman"/>
          <w:sz w:val="24"/>
        </w:rPr>
        <w:t xml:space="preserve"> functions: porous ceramics or clay provide structural integrity and thermal mass, while cellulose or chitosan </w:t>
      </w:r>
      <w:proofErr w:type="spellStart"/>
      <w:r w:rsidR="00DA6D97" w:rsidRPr="00DA6D97">
        <w:rPr>
          <w:rFonts w:ascii="Times New Roman" w:hAnsi="Times New Roman" w:cs="Times New Roman"/>
          <w:sz w:val="24"/>
        </w:rPr>
        <w:t>fib</w:t>
      </w:r>
      <w:r w:rsidR="00F02403">
        <w:rPr>
          <w:rFonts w:ascii="Times New Roman" w:hAnsi="Times New Roman" w:cs="Times New Roman"/>
          <w:sz w:val="24"/>
        </w:rPr>
        <w:t>res</w:t>
      </w:r>
      <w:proofErr w:type="spellEnd"/>
      <w:r w:rsidR="00DA6D97" w:rsidRPr="00DA6D97">
        <w:rPr>
          <w:rFonts w:ascii="Times New Roman" w:hAnsi="Times New Roman" w:cs="Times New Roman"/>
          <w:sz w:val="24"/>
        </w:rPr>
        <w:t xml:space="preserve"> offer moisture absorption and controlled evaporation capacity, directly supporting the heat-loss and heat-retention mechanisms depicted in Figures 4a and 4b.</w:t>
      </w:r>
      <w:r w:rsidR="003F699E">
        <w:rPr>
          <w:rFonts w:ascii="Times New Roman" w:hAnsi="Times New Roman" w:cs="Times New Roman"/>
          <w:sz w:val="24"/>
        </w:rPr>
        <w:t xml:space="preserve"> </w:t>
      </w:r>
    </w:p>
    <w:p w14:paraId="58E10D30" w14:textId="2D1CA012" w:rsidR="00DA6D97" w:rsidRPr="006B6008" w:rsidRDefault="006B6008" w:rsidP="006B6008">
      <w:pPr>
        <w:pStyle w:val="Caption"/>
        <w:rPr>
          <w:rFonts w:ascii="Times New Roman" w:hAnsi="Times New Roman" w:cs="Times New Roman"/>
          <w:i w:val="0"/>
          <w:sz w:val="24"/>
        </w:rPr>
      </w:pPr>
      <w:r w:rsidRPr="006B6008">
        <w:rPr>
          <w:rFonts w:ascii="Times New Roman" w:hAnsi="Times New Roman" w:cs="Times New Roman"/>
          <w:i w:val="0"/>
          <w:sz w:val="24"/>
        </w:rPr>
        <w:t xml:space="preserve">Table </w:t>
      </w:r>
      <w:r w:rsidRPr="006B6008">
        <w:rPr>
          <w:rFonts w:ascii="Times New Roman" w:hAnsi="Times New Roman" w:cs="Times New Roman"/>
          <w:i w:val="0"/>
          <w:sz w:val="24"/>
        </w:rPr>
        <w:fldChar w:fldCharType="begin"/>
      </w:r>
      <w:r w:rsidRPr="006B6008">
        <w:rPr>
          <w:rFonts w:ascii="Times New Roman" w:hAnsi="Times New Roman" w:cs="Times New Roman"/>
          <w:i w:val="0"/>
          <w:sz w:val="24"/>
        </w:rPr>
        <w:instrText xml:space="preserve"> SEQ Table \* ARABIC </w:instrText>
      </w:r>
      <w:r w:rsidRPr="006B6008">
        <w:rPr>
          <w:rFonts w:ascii="Times New Roman" w:hAnsi="Times New Roman" w:cs="Times New Roman"/>
          <w:i w:val="0"/>
          <w:sz w:val="24"/>
        </w:rPr>
        <w:fldChar w:fldCharType="separate"/>
      </w:r>
      <w:r w:rsidR="00D8620E">
        <w:rPr>
          <w:rFonts w:ascii="Times New Roman" w:hAnsi="Times New Roman" w:cs="Times New Roman"/>
          <w:i w:val="0"/>
          <w:noProof/>
          <w:sz w:val="24"/>
        </w:rPr>
        <w:t>4</w:t>
      </w:r>
      <w:r w:rsidRPr="006B6008">
        <w:rPr>
          <w:rFonts w:ascii="Times New Roman" w:hAnsi="Times New Roman" w:cs="Times New Roman"/>
          <w:i w:val="0"/>
          <w:sz w:val="24"/>
        </w:rPr>
        <w:fldChar w:fldCharType="end"/>
      </w:r>
      <w:r w:rsidRPr="006B6008">
        <w:rPr>
          <w:rFonts w:ascii="Times New Roman" w:hAnsi="Times New Roman" w:cs="Times New Roman"/>
          <w:i w:val="0"/>
          <w:sz w:val="24"/>
        </w:rPr>
        <w:t xml:space="preserve">: </w:t>
      </w:r>
      <w:r w:rsidR="00DA6D97" w:rsidRPr="006B6008">
        <w:rPr>
          <w:rFonts w:ascii="Times New Roman" w:hAnsi="Times New Roman" w:cs="Times New Roman"/>
          <w:i w:val="0"/>
          <w:sz w:val="24"/>
        </w:rPr>
        <w:t>Composition and Functional Roles of Bio-Humid Wall Brick Components in Passive Thermal and Moisture Regulation</w:t>
      </w:r>
      <w:r>
        <w:rPr>
          <w:rFonts w:ascii="Times New Roman" w:hAnsi="Times New Roman" w:cs="Times New Roman"/>
          <w:i w:val="0"/>
          <w:sz w:val="24"/>
        </w:rPr>
        <w:t xml:space="preserve"> </w:t>
      </w:r>
      <w:r w:rsidRPr="006B6008">
        <w:rPr>
          <w:rFonts w:ascii="Times New Roman" w:hAnsi="Times New Roman" w:cs="Times New Roman"/>
          <w:sz w:val="24"/>
        </w:rPr>
        <w:t>(Author’s own compilation, 2025)</w:t>
      </w:r>
    </w:p>
    <w:tbl>
      <w:tblPr>
        <w:tblStyle w:val="TableGrid"/>
        <w:tblW w:w="10207" w:type="dxa"/>
        <w:tblInd w:w="-431" w:type="dxa"/>
        <w:tblLook w:val="04A0" w:firstRow="1" w:lastRow="0" w:firstColumn="1" w:lastColumn="0" w:noHBand="0" w:noVBand="1"/>
      </w:tblPr>
      <w:tblGrid>
        <w:gridCol w:w="2611"/>
        <w:gridCol w:w="2493"/>
        <w:gridCol w:w="5103"/>
      </w:tblGrid>
      <w:tr w:rsidR="00DA6D97" w:rsidRPr="00DA6D97" w14:paraId="38B1E569" w14:textId="77777777" w:rsidTr="006B6008">
        <w:tc>
          <w:tcPr>
            <w:tcW w:w="2611" w:type="dxa"/>
            <w:hideMark/>
          </w:tcPr>
          <w:p w14:paraId="4CC3DA9B" w14:textId="77777777" w:rsidR="00DA6D97" w:rsidRPr="00DA6D97" w:rsidRDefault="00DA6D97" w:rsidP="00DA6D97">
            <w:pPr>
              <w:jc w:val="center"/>
              <w:rPr>
                <w:rFonts w:ascii="Times New Roman" w:eastAsia="Times New Roman" w:hAnsi="Times New Roman" w:cs="Times New Roman"/>
                <w:b/>
                <w:bCs/>
                <w:sz w:val="24"/>
                <w:szCs w:val="24"/>
              </w:rPr>
            </w:pPr>
            <w:r w:rsidRPr="00DA6D97">
              <w:rPr>
                <w:rFonts w:ascii="Times New Roman" w:eastAsia="Times New Roman" w:hAnsi="Times New Roman" w:cs="Times New Roman"/>
                <w:b/>
                <w:bCs/>
                <w:sz w:val="24"/>
                <w:szCs w:val="24"/>
              </w:rPr>
              <w:t>Component</w:t>
            </w:r>
          </w:p>
        </w:tc>
        <w:tc>
          <w:tcPr>
            <w:tcW w:w="2493" w:type="dxa"/>
            <w:hideMark/>
          </w:tcPr>
          <w:p w14:paraId="10A642EE" w14:textId="77777777" w:rsidR="00DA6D97" w:rsidRPr="00DA6D97" w:rsidRDefault="00DA6D97" w:rsidP="00DA6D97">
            <w:pPr>
              <w:jc w:val="center"/>
              <w:rPr>
                <w:rFonts w:ascii="Times New Roman" w:eastAsia="Times New Roman" w:hAnsi="Times New Roman" w:cs="Times New Roman"/>
                <w:b/>
                <w:bCs/>
                <w:sz w:val="24"/>
                <w:szCs w:val="24"/>
              </w:rPr>
            </w:pPr>
            <w:r w:rsidRPr="00DA6D97">
              <w:rPr>
                <w:rFonts w:ascii="Times New Roman" w:eastAsia="Times New Roman" w:hAnsi="Times New Roman" w:cs="Times New Roman"/>
                <w:b/>
                <w:bCs/>
                <w:sz w:val="24"/>
                <w:szCs w:val="24"/>
              </w:rPr>
              <w:t>Typical Proportion (% by volume)</w:t>
            </w:r>
          </w:p>
        </w:tc>
        <w:tc>
          <w:tcPr>
            <w:tcW w:w="5103" w:type="dxa"/>
            <w:hideMark/>
          </w:tcPr>
          <w:p w14:paraId="55625709" w14:textId="77777777" w:rsidR="00DA6D97" w:rsidRPr="00DA6D97" w:rsidRDefault="00DA6D97" w:rsidP="00DA6D97">
            <w:pPr>
              <w:jc w:val="center"/>
              <w:rPr>
                <w:rFonts w:ascii="Times New Roman" w:eastAsia="Times New Roman" w:hAnsi="Times New Roman" w:cs="Times New Roman"/>
                <w:b/>
                <w:bCs/>
                <w:sz w:val="24"/>
                <w:szCs w:val="24"/>
              </w:rPr>
            </w:pPr>
            <w:r w:rsidRPr="00DA6D97">
              <w:rPr>
                <w:rFonts w:ascii="Times New Roman" w:eastAsia="Times New Roman" w:hAnsi="Times New Roman" w:cs="Times New Roman"/>
                <w:b/>
                <w:bCs/>
                <w:sz w:val="24"/>
                <w:szCs w:val="24"/>
              </w:rPr>
              <w:t>Function</w:t>
            </w:r>
          </w:p>
        </w:tc>
      </w:tr>
      <w:tr w:rsidR="00DA6D97" w:rsidRPr="00DA6D97" w14:paraId="72507B50" w14:textId="77777777" w:rsidTr="006B6008">
        <w:tc>
          <w:tcPr>
            <w:tcW w:w="2611" w:type="dxa"/>
            <w:hideMark/>
          </w:tcPr>
          <w:p w14:paraId="1BBAD1A0" w14:textId="77777777" w:rsidR="00DA6D97" w:rsidRPr="00DA6D97" w:rsidRDefault="00DA6D97" w:rsidP="00DA6D97">
            <w:pPr>
              <w:rPr>
                <w:rFonts w:ascii="Times New Roman" w:eastAsia="Times New Roman" w:hAnsi="Times New Roman" w:cs="Times New Roman"/>
                <w:sz w:val="24"/>
                <w:szCs w:val="24"/>
              </w:rPr>
            </w:pPr>
            <w:r w:rsidRPr="00DA6D97">
              <w:rPr>
                <w:rFonts w:ascii="Times New Roman" w:eastAsia="Times New Roman" w:hAnsi="Times New Roman" w:cs="Times New Roman"/>
                <w:sz w:val="24"/>
                <w:szCs w:val="24"/>
              </w:rPr>
              <w:t>Porous ceramics/clay</w:t>
            </w:r>
          </w:p>
        </w:tc>
        <w:tc>
          <w:tcPr>
            <w:tcW w:w="2493" w:type="dxa"/>
            <w:hideMark/>
          </w:tcPr>
          <w:p w14:paraId="6908B0DA" w14:textId="77777777" w:rsidR="00DA6D97" w:rsidRPr="00DA6D97" w:rsidRDefault="00DA6D97" w:rsidP="006B6008">
            <w:pPr>
              <w:jc w:val="center"/>
              <w:rPr>
                <w:rFonts w:ascii="Times New Roman" w:eastAsia="Times New Roman" w:hAnsi="Times New Roman" w:cs="Times New Roman"/>
                <w:sz w:val="24"/>
                <w:szCs w:val="24"/>
              </w:rPr>
            </w:pPr>
            <w:r w:rsidRPr="00DA6D97">
              <w:rPr>
                <w:rFonts w:ascii="Times New Roman" w:eastAsia="Times New Roman" w:hAnsi="Times New Roman" w:cs="Times New Roman"/>
                <w:sz w:val="24"/>
                <w:szCs w:val="24"/>
              </w:rPr>
              <w:t>40–50</w:t>
            </w:r>
          </w:p>
        </w:tc>
        <w:tc>
          <w:tcPr>
            <w:tcW w:w="5103" w:type="dxa"/>
            <w:hideMark/>
          </w:tcPr>
          <w:p w14:paraId="0D759136" w14:textId="77777777" w:rsidR="00DA6D97" w:rsidRPr="00DA6D97" w:rsidRDefault="00DA6D97" w:rsidP="00DA6D97">
            <w:pPr>
              <w:rPr>
                <w:rFonts w:ascii="Times New Roman" w:eastAsia="Times New Roman" w:hAnsi="Times New Roman" w:cs="Times New Roman"/>
                <w:sz w:val="24"/>
                <w:szCs w:val="24"/>
              </w:rPr>
            </w:pPr>
            <w:r w:rsidRPr="00DA6D97">
              <w:rPr>
                <w:rFonts w:ascii="Times New Roman" w:eastAsia="Times New Roman" w:hAnsi="Times New Roman" w:cs="Times New Roman"/>
                <w:sz w:val="24"/>
                <w:szCs w:val="24"/>
              </w:rPr>
              <w:t>Thermal mass, structural support, vapor permeability</w:t>
            </w:r>
          </w:p>
        </w:tc>
      </w:tr>
      <w:tr w:rsidR="00DA6D97" w:rsidRPr="00DA6D97" w14:paraId="2EA2990D" w14:textId="77777777" w:rsidTr="006B6008">
        <w:tc>
          <w:tcPr>
            <w:tcW w:w="2611" w:type="dxa"/>
            <w:hideMark/>
          </w:tcPr>
          <w:p w14:paraId="14979CD5" w14:textId="77777777" w:rsidR="00DA6D97" w:rsidRPr="00DA6D97" w:rsidRDefault="00DA6D97" w:rsidP="00DA6D97">
            <w:pPr>
              <w:rPr>
                <w:rFonts w:ascii="Times New Roman" w:eastAsia="Times New Roman" w:hAnsi="Times New Roman" w:cs="Times New Roman"/>
                <w:sz w:val="24"/>
                <w:szCs w:val="24"/>
              </w:rPr>
            </w:pPr>
            <w:r w:rsidRPr="00DA6D97">
              <w:rPr>
                <w:rFonts w:ascii="Times New Roman" w:eastAsia="Times New Roman" w:hAnsi="Times New Roman" w:cs="Times New Roman"/>
                <w:sz w:val="24"/>
                <w:szCs w:val="24"/>
              </w:rPr>
              <w:t>Cellulose fibers</w:t>
            </w:r>
          </w:p>
        </w:tc>
        <w:tc>
          <w:tcPr>
            <w:tcW w:w="2493" w:type="dxa"/>
            <w:hideMark/>
          </w:tcPr>
          <w:p w14:paraId="17685918" w14:textId="77777777" w:rsidR="00DA6D97" w:rsidRPr="00DA6D97" w:rsidRDefault="00DA6D97" w:rsidP="006B6008">
            <w:pPr>
              <w:jc w:val="center"/>
              <w:rPr>
                <w:rFonts w:ascii="Times New Roman" w:eastAsia="Times New Roman" w:hAnsi="Times New Roman" w:cs="Times New Roman"/>
                <w:sz w:val="24"/>
                <w:szCs w:val="24"/>
              </w:rPr>
            </w:pPr>
            <w:r w:rsidRPr="00DA6D97">
              <w:rPr>
                <w:rFonts w:ascii="Times New Roman" w:eastAsia="Times New Roman" w:hAnsi="Times New Roman" w:cs="Times New Roman"/>
                <w:sz w:val="24"/>
                <w:szCs w:val="24"/>
              </w:rPr>
              <w:t>20–30</w:t>
            </w:r>
          </w:p>
        </w:tc>
        <w:tc>
          <w:tcPr>
            <w:tcW w:w="5103" w:type="dxa"/>
            <w:hideMark/>
          </w:tcPr>
          <w:p w14:paraId="192EACA9" w14:textId="77777777" w:rsidR="00DA6D97" w:rsidRPr="00DA6D97" w:rsidRDefault="00DA6D97" w:rsidP="00DA6D97">
            <w:pPr>
              <w:rPr>
                <w:rFonts w:ascii="Times New Roman" w:eastAsia="Times New Roman" w:hAnsi="Times New Roman" w:cs="Times New Roman"/>
                <w:sz w:val="24"/>
                <w:szCs w:val="24"/>
              </w:rPr>
            </w:pPr>
            <w:r w:rsidRPr="00DA6D97">
              <w:rPr>
                <w:rFonts w:ascii="Times New Roman" w:eastAsia="Times New Roman" w:hAnsi="Times New Roman" w:cs="Times New Roman"/>
                <w:sz w:val="24"/>
                <w:szCs w:val="24"/>
              </w:rPr>
              <w:t>Moisture absorption, evaporation, heat buffering</w:t>
            </w:r>
          </w:p>
        </w:tc>
      </w:tr>
      <w:tr w:rsidR="00DA6D97" w:rsidRPr="00DA6D97" w14:paraId="7301E4FA" w14:textId="77777777" w:rsidTr="006B6008">
        <w:tc>
          <w:tcPr>
            <w:tcW w:w="2611" w:type="dxa"/>
            <w:hideMark/>
          </w:tcPr>
          <w:p w14:paraId="2ED65068" w14:textId="77777777" w:rsidR="00DA6D97" w:rsidRPr="00DA6D97" w:rsidRDefault="00DA6D97" w:rsidP="00DA6D97">
            <w:pPr>
              <w:rPr>
                <w:rFonts w:ascii="Times New Roman" w:eastAsia="Times New Roman" w:hAnsi="Times New Roman" w:cs="Times New Roman"/>
                <w:sz w:val="24"/>
                <w:szCs w:val="24"/>
              </w:rPr>
            </w:pPr>
            <w:r w:rsidRPr="00DA6D97">
              <w:rPr>
                <w:rFonts w:ascii="Times New Roman" w:eastAsia="Times New Roman" w:hAnsi="Times New Roman" w:cs="Times New Roman"/>
                <w:sz w:val="24"/>
                <w:szCs w:val="24"/>
              </w:rPr>
              <w:t>Chitosan</w:t>
            </w:r>
          </w:p>
        </w:tc>
        <w:tc>
          <w:tcPr>
            <w:tcW w:w="2493" w:type="dxa"/>
            <w:hideMark/>
          </w:tcPr>
          <w:p w14:paraId="6ED76099" w14:textId="77777777" w:rsidR="00DA6D97" w:rsidRPr="00DA6D97" w:rsidRDefault="00DA6D97" w:rsidP="006B6008">
            <w:pPr>
              <w:jc w:val="center"/>
              <w:rPr>
                <w:rFonts w:ascii="Times New Roman" w:eastAsia="Times New Roman" w:hAnsi="Times New Roman" w:cs="Times New Roman"/>
                <w:sz w:val="24"/>
                <w:szCs w:val="24"/>
              </w:rPr>
            </w:pPr>
            <w:r w:rsidRPr="00DA6D97">
              <w:rPr>
                <w:rFonts w:ascii="Times New Roman" w:eastAsia="Times New Roman" w:hAnsi="Times New Roman" w:cs="Times New Roman"/>
                <w:sz w:val="24"/>
                <w:szCs w:val="24"/>
              </w:rPr>
              <w:t>10–20</w:t>
            </w:r>
          </w:p>
        </w:tc>
        <w:tc>
          <w:tcPr>
            <w:tcW w:w="5103" w:type="dxa"/>
            <w:hideMark/>
          </w:tcPr>
          <w:p w14:paraId="57A1BDF9" w14:textId="77777777" w:rsidR="00DA6D97" w:rsidRPr="00DA6D97" w:rsidRDefault="00DA6D97" w:rsidP="00DA6D97">
            <w:pPr>
              <w:rPr>
                <w:rFonts w:ascii="Times New Roman" w:eastAsia="Times New Roman" w:hAnsi="Times New Roman" w:cs="Times New Roman"/>
                <w:sz w:val="24"/>
                <w:szCs w:val="24"/>
              </w:rPr>
            </w:pPr>
            <w:r w:rsidRPr="00DA6D97">
              <w:rPr>
                <w:rFonts w:ascii="Times New Roman" w:eastAsia="Times New Roman" w:hAnsi="Times New Roman" w:cs="Times New Roman"/>
                <w:sz w:val="24"/>
                <w:szCs w:val="24"/>
              </w:rPr>
              <w:t>Hygroscopicity, antimicrobial properties</w:t>
            </w:r>
          </w:p>
        </w:tc>
      </w:tr>
      <w:tr w:rsidR="00DA6D97" w:rsidRPr="00DA6D97" w14:paraId="6928C29B" w14:textId="77777777" w:rsidTr="006B6008">
        <w:tc>
          <w:tcPr>
            <w:tcW w:w="2611" w:type="dxa"/>
            <w:hideMark/>
          </w:tcPr>
          <w:p w14:paraId="2ABA3DC3" w14:textId="77777777" w:rsidR="00DA6D97" w:rsidRPr="00DA6D97" w:rsidRDefault="00DA6D97" w:rsidP="00DA6D97">
            <w:pPr>
              <w:rPr>
                <w:rFonts w:ascii="Times New Roman" w:eastAsia="Times New Roman" w:hAnsi="Times New Roman" w:cs="Times New Roman"/>
                <w:sz w:val="24"/>
                <w:szCs w:val="24"/>
              </w:rPr>
            </w:pPr>
            <w:r w:rsidRPr="00DA6D97">
              <w:rPr>
                <w:rFonts w:ascii="Times New Roman" w:eastAsia="Times New Roman" w:hAnsi="Times New Roman" w:cs="Times New Roman"/>
                <w:sz w:val="24"/>
                <w:szCs w:val="24"/>
              </w:rPr>
              <w:t>Water (curing medium)</w:t>
            </w:r>
          </w:p>
        </w:tc>
        <w:tc>
          <w:tcPr>
            <w:tcW w:w="2493" w:type="dxa"/>
            <w:hideMark/>
          </w:tcPr>
          <w:p w14:paraId="45E02DE4" w14:textId="77777777" w:rsidR="00DA6D97" w:rsidRPr="00DA6D97" w:rsidRDefault="00DA6D97" w:rsidP="006B6008">
            <w:pPr>
              <w:jc w:val="center"/>
              <w:rPr>
                <w:rFonts w:ascii="Times New Roman" w:eastAsia="Times New Roman" w:hAnsi="Times New Roman" w:cs="Times New Roman"/>
                <w:sz w:val="24"/>
                <w:szCs w:val="24"/>
              </w:rPr>
            </w:pPr>
            <w:r w:rsidRPr="00DA6D97">
              <w:rPr>
                <w:rFonts w:ascii="Times New Roman" w:eastAsia="Times New Roman" w:hAnsi="Times New Roman" w:cs="Times New Roman"/>
                <w:sz w:val="24"/>
                <w:szCs w:val="24"/>
              </w:rPr>
              <w:t>10–15</w:t>
            </w:r>
          </w:p>
        </w:tc>
        <w:tc>
          <w:tcPr>
            <w:tcW w:w="5103" w:type="dxa"/>
            <w:hideMark/>
          </w:tcPr>
          <w:p w14:paraId="444D6BAE" w14:textId="77777777" w:rsidR="00DA6D97" w:rsidRPr="00DA6D97" w:rsidRDefault="00DA6D97" w:rsidP="00DA6D97">
            <w:pPr>
              <w:rPr>
                <w:rFonts w:ascii="Times New Roman" w:eastAsia="Times New Roman" w:hAnsi="Times New Roman" w:cs="Times New Roman"/>
                <w:sz w:val="24"/>
                <w:szCs w:val="24"/>
              </w:rPr>
            </w:pPr>
            <w:r w:rsidRPr="00DA6D97">
              <w:rPr>
                <w:rFonts w:ascii="Times New Roman" w:eastAsia="Times New Roman" w:hAnsi="Times New Roman" w:cs="Times New Roman"/>
                <w:sz w:val="24"/>
                <w:szCs w:val="24"/>
              </w:rPr>
              <w:t>Facilitates binder reaction, porosity development</w:t>
            </w:r>
          </w:p>
        </w:tc>
      </w:tr>
      <w:tr w:rsidR="00DA6D97" w:rsidRPr="00DA6D97" w14:paraId="61B21FD1" w14:textId="77777777" w:rsidTr="006B6008">
        <w:tc>
          <w:tcPr>
            <w:tcW w:w="2611" w:type="dxa"/>
            <w:hideMark/>
          </w:tcPr>
          <w:p w14:paraId="5BBEB0B0" w14:textId="77777777" w:rsidR="00DA6D97" w:rsidRPr="00DA6D97" w:rsidRDefault="00DA6D97" w:rsidP="00DA6D97">
            <w:pPr>
              <w:rPr>
                <w:rFonts w:ascii="Times New Roman" w:eastAsia="Times New Roman" w:hAnsi="Times New Roman" w:cs="Times New Roman"/>
                <w:sz w:val="24"/>
                <w:szCs w:val="24"/>
              </w:rPr>
            </w:pPr>
            <w:r w:rsidRPr="00DA6D97">
              <w:rPr>
                <w:rFonts w:ascii="Times New Roman" w:eastAsia="Times New Roman" w:hAnsi="Times New Roman" w:cs="Times New Roman"/>
                <w:sz w:val="24"/>
                <w:szCs w:val="24"/>
              </w:rPr>
              <w:t>Lime or binder</w:t>
            </w:r>
          </w:p>
        </w:tc>
        <w:tc>
          <w:tcPr>
            <w:tcW w:w="2493" w:type="dxa"/>
            <w:hideMark/>
          </w:tcPr>
          <w:p w14:paraId="3D8D3DDC" w14:textId="77777777" w:rsidR="00DA6D97" w:rsidRPr="00DA6D97" w:rsidRDefault="00DA6D97" w:rsidP="006B6008">
            <w:pPr>
              <w:jc w:val="center"/>
              <w:rPr>
                <w:rFonts w:ascii="Times New Roman" w:eastAsia="Times New Roman" w:hAnsi="Times New Roman" w:cs="Times New Roman"/>
                <w:sz w:val="24"/>
                <w:szCs w:val="24"/>
              </w:rPr>
            </w:pPr>
            <w:r w:rsidRPr="00DA6D97">
              <w:rPr>
                <w:rFonts w:ascii="Times New Roman" w:eastAsia="Times New Roman" w:hAnsi="Times New Roman" w:cs="Times New Roman"/>
                <w:sz w:val="24"/>
                <w:szCs w:val="24"/>
              </w:rPr>
              <w:t>10–15</w:t>
            </w:r>
          </w:p>
        </w:tc>
        <w:tc>
          <w:tcPr>
            <w:tcW w:w="5103" w:type="dxa"/>
            <w:hideMark/>
          </w:tcPr>
          <w:p w14:paraId="6E8AE64E" w14:textId="77777777" w:rsidR="00DA6D97" w:rsidRPr="00DA6D97" w:rsidRDefault="00DA6D97" w:rsidP="00DA6D97">
            <w:pPr>
              <w:rPr>
                <w:rFonts w:ascii="Times New Roman" w:eastAsia="Times New Roman" w:hAnsi="Times New Roman" w:cs="Times New Roman"/>
                <w:sz w:val="24"/>
                <w:szCs w:val="24"/>
              </w:rPr>
            </w:pPr>
            <w:r w:rsidRPr="00DA6D97">
              <w:rPr>
                <w:rFonts w:ascii="Times New Roman" w:eastAsia="Times New Roman" w:hAnsi="Times New Roman" w:cs="Times New Roman"/>
                <w:sz w:val="24"/>
                <w:szCs w:val="24"/>
              </w:rPr>
              <w:t>Structural cohesion, carbonation, long-term stability</w:t>
            </w:r>
          </w:p>
        </w:tc>
      </w:tr>
    </w:tbl>
    <w:p w14:paraId="097B7AE8" w14:textId="77777777" w:rsidR="006B6008" w:rsidRDefault="006B6008" w:rsidP="006B6008">
      <w:pPr>
        <w:jc w:val="both"/>
        <w:rPr>
          <w:rFonts w:ascii="Times New Roman" w:hAnsi="Times New Roman" w:cs="Times New Roman"/>
          <w:sz w:val="24"/>
        </w:rPr>
      </w:pPr>
    </w:p>
    <w:p w14:paraId="6126D1EC" w14:textId="77777777" w:rsidR="00B60041" w:rsidRPr="00FC5F67" w:rsidRDefault="00DA6D97" w:rsidP="00FC5F67">
      <w:pPr>
        <w:jc w:val="both"/>
        <w:rPr>
          <w:rFonts w:ascii="Times New Roman" w:hAnsi="Times New Roman" w:cs="Times New Roman"/>
          <w:sz w:val="24"/>
        </w:rPr>
      </w:pPr>
      <w:r w:rsidRPr="006B6008">
        <w:rPr>
          <w:rFonts w:ascii="Times New Roman" w:hAnsi="Times New Roman" w:cs="Times New Roman"/>
          <w:sz w:val="24"/>
        </w:rPr>
        <w:t>By combining these components, the bio-humid wall brick functions as a dynamic, adaptive envelope, responding to external temperature and humidity variations in a manner analogous to the coordinated sweat, vascular, and muscular responses of the human skin (Figu</w:t>
      </w:r>
      <w:r w:rsidR="00030D12">
        <w:rPr>
          <w:rFonts w:ascii="Times New Roman" w:hAnsi="Times New Roman" w:cs="Times New Roman"/>
          <w:sz w:val="24"/>
        </w:rPr>
        <w:t>res 4a–4b), as discussed in He and</w:t>
      </w:r>
      <w:r w:rsidRPr="006B6008">
        <w:rPr>
          <w:rFonts w:ascii="Times New Roman" w:hAnsi="Times New Roman" w:cs="Times New Roman"/>
          <w:sz w:val="24"/>
        </w:rPr>
        <w:t xml:space="preserve"> </w:t>
      </w:r>
      <w:proofErr w:type="spellStart"/>
      <w:r w:rsidRPr="006B6008">
        <w:rPr>
          <w:rFonts w:ascii="Times New Roman" w:hAnsi="Times New Roman" w:cs="Times New Roman"/>
          <w:sz w:val="24"/>
        </w:rPr>
        <w:t>Hoyano</w:t>
      </w:r>
      <w:proofErr w:type="spellEnd"/>
      <w:r w:rsidRPr="006B6008">
        <w:rPr>
          <w:rFonts w:ascii="Times New Roman" w:hAnsi="Times New Roman" w:cs="Times New Roman"/>
          <w:sz w:val="24"/>
        </w:rPr>
        <w:t xml:space="preserve">, 2010a; </w:t>
      </w:r>
      <w:proofErr w:type="spellStart"/>
      <w:r w:rsidRPr="006B6008">
        <w:rPr>
          <w:rFonts w:ascii="Times New Roman" w:hAnsi="Times New Roman" w:cs="Times New Roman"/>
          <w:sz w:val="24"/>
        </w:rPr>
        <w:t>Viel</w:t>
      </w:r>
      <w:proofErr w:type="spellEnd"/>
      <w:r w:rsidRPr="006B6008">
        <w:rPr>
          <w:rFonts w:ascii="Times New Roman" w:hAnsi="Times New Roman" w:cs="Times New Roman"/>
          <w:sz w:val="24"/>
        </w:rPr>
        <w:t xml:space="preserve"> et al., 2019; Latif et al., 2015.</w:t>
      </w:r>
    </w:p>
    <w:p w14:paraId="29503B0E" w14:textId="77777777" w:rsidR="00B60041" w:rsidRPr="00F958B7" w:rsidRDefault="007436D4" w:rsidP="007436D4">
      <w:pPr>
        <w:pStyle w:val="Heading1"/>
      </w:pPr>
      <w:r>
        <w:lastRenderedPageBreak/>
        <w:t>3.3</w:t>
      </w:r>
      <w:r w:rsidR="00B60041" w:rsidRPr="00F958B7">
        <w:t xml:space="preserve"> Biomimetic Microstructure</w:t>
      </w:r>
    </w:p>
    <w:p w14:paraId="05F64648" w14:textId="77777777" w:rsidR="006B6008" w:rsidRPr="007436D4" w:rsidRDefault="006B6008" w:rsidP="007436D4">
      <w:pPr>
        <w:jc w:val="both"/>
        <w:rPr>
          <w:rFonts w:ascii="Times New Roman" w:hAnsi="Times New Roman" w:cs="Times New Roman"/>
          <w:sz w:val="24"/>
        </w:rPr>
      </w:pPr>
      <w:r w:rsidRPr="007436D4">
        <w:rPr>
          <w:rFonts w:ascii="Times New Roman" w:hAnsi="Times New Roman" w:cs="Times New Roman"/>
          <w:sz w:val="24"/>
        </w:rPr>
        <w:t xml:space="preserve">The functional performance of the bio-humid wall brick is directly determined by the composition and layering summarized in </w:t>
      </w:r>
      <w:r w:rsidR="00FC5F67">
        <w:rPr>
          <w:rFonts w:ascii="Times New Roman" w:hAnsi="Times New Roman" w:cs="Times New Roman"/>
          <w:sz w:val="24"/>
        </w:rPr>
        <w:t>Table 4 and 5</w:t>
      </w:r>
      <w:r w:rsidRPr="007436D4">
        <w:rPr>
          <w:rFonts w:ascii="Times New Roman" w:hAnsi="Times New Roman" w:cs="Times New Roman"/>
          <w:sz w:val="24"/>
        </w:rPr>
        <w:t xml:space="preserve">. The outer porous ceramic or clay layer provides structural integrity and high vapor permeability, analogous to the epidermis, enabling rapid moisture exchange and heat dissipation, as shown in Figure 4a during hot conditions. The inner cellulose or chitosan-rich layer functions as a hygroscopic reservoir, similar to the dermis, storing moisture and gradually releasing it to maintain indoor humidity, mirroring the skin’s thermoregulatory retention mechanism illustrated in Figure 4b. According to </w:t>
      </w:r>
      <w:proofErr w:type="spellStart"/>
      <w:r w:rsidRPr="007436D4">
        <w:rPr>
          <w:rFonts w:ascii="Times New Roman" w:hAnsi="Times New Roman" w:cs="Times New Roman"/>
          <w:sz w:val="24"/>
        </w:rPr>
        <w:t>Osanyintola</w:t>
      </w:r>
      <w:proofErr w:type="spellEnd"/>
      <w:r w:rsidRPr="007436D4">
        <w:rPr>
          <w:rFonts w:ascii="Times New Roman" w:hAnsi="Times New Roman" w:cs="Times New Roman"/>
          <w:sz w:val="24"/>
        </w:rPr>
        <w:t xml:space="preserve"> and Simonson (2006) and Tran Le et al. (2010), this hierarchical arrangement ensures that heat and moisture flows are modulated over time, providing both immediate and delayed responses to environmental changes. Experimental studies on bio-based composites have demonstrated that such microstructural design enhances moisture buffering, thermal inertia, and energy efficiency (Latif et al., 2015; McGregor et al., 2017; </w:t>
      </w:r>
      <w:proofErr w:type="spellStart"/>
      <w:r w:rsidRPr="007436D4">
        <w:rPr>
          <w:rFonts w:ascii="Times New Roman" w:hAnsi="Times New Roman" w:cs="Times New Roman"/>
          <w:sz w:val="24"/>
        </w:rPr>
        <w:t>Viel</w:t>
      </w:r>
      <w:proofErr w:type="spellEnd"/>
      <w:r w:rsidRPr="007436D4">
        <w:rPr>
          <w:rFonts w:ascii="Times New Roman" w:hAnsi="Times New Roman" w:cs="Times New Roman"/>
          <w:sz w:val="24"/>
        </w:rPr>
        <w:t xml:space="preserve"> et al., 2019), confirming the biomimetic strategy as an effective approach for climate-adaptive building envelopes.</w:t>
      </w:r>
    </w:p>
    <w:p w14:paraId="53F2E27D" w14:textId="6E776F3A" w:rsidR="00B60041" w:rsidRPr="00F958B7" w:rsidRDefault="00B60041" w:rsidP="00B60041">
      <w:pPr>
        <w:pStyle w:val="Caption"/>
        <w:rPr>
          <w:rFonts w:ascii="Times New Roman" w:eastAsia="Times New Roman" w:hAnsi="Times New Roman" w:cs="Times New Roman"/>
          <w:b/>
          <w:bCs/>
          <w:i w:val="0"/>
          <w:sz w:val="24"/>
          <w:szCs w:val="24"/>
        </w:rPr>
      </w:pPr>
      <w:r w:rsidRPr="00F958B7">
        <w:rPr>
          <w:rFonts w:ascii="Times New Roman" w:hAnsi="Times New Roman" w:cs="Times New Roman"/>
          <w:b/>
          <w:i w:val="0"/>
          <w:sz w:val="24"/>
          <w:szCs w:val="24"/>
        </w:rPr>
        <w:t xml:space="preserve">Table </w:t>
      </w:r>
      <w:r w:rsidRPr="00F958B7">
        <w:rPr>
          <w:rFonts w:ascii="Times New Roman" w:hAnsi="Times New Roman" w:cs="Times New Roman"/>
          <w:b/>
          <w:i w:val="0"/>
          <w:sz w:val="24"/>
          <w:szCs w:val="24"/>
        </w:rPr>
        <w:fldChar w:fldCharType="begin"/>
      </w:r>
      <w:r w:rsidRPr="00F958B7">
        <w:rPr>
          <w:rFonts w:ascii="Times New Roman" w:hAnsi="Times New Roman" w:cs="Times New Roman"/>
          <w:b/>
          <w:i w:val="0"/>
          <w:sz w:val="24"/>
          <w:szCs w:val="24"/>
        </w:rPr>
        <w:instrText xml:space="preserve"> SEQ Table \* ARABIC </w:instrText>
      </w:r>
      <w:r w:rsidRPr="00F958B7">
        <w:rPr>
          <w:rFonts w:ascii="Times New Roman" w:hAnsi="Times New Roman" w:cs="Times New Roman"/>
          <w:b/>
          <w:i w:val="0"/>
          <w:sz w:val="24"/>
          <w:szCs w:val="24"/>
        </w:rPr>
        <w:fldChar w:fldCharType="separate"/>
      </w:r>
      <w:r w:rsidR="00D8620E">
        <w:rPr>
          <w:rFonts w:ascii="Times New Roman" w:hAnsi="Times New Roman" w:cs="Times New Roman"/>
          <w:b/>
          <w:i w:val="0"/>
          <w:noProof/>
          <w:sz w:val="24"/>
          <w:szCs w:val="24"/>
        </w:rPr>
        <w:t>5</w:t>
      </w:r>
      <w:r w:rsidRPr="00F958B7">
        <w:rPr>
          <w:rFonts w:ascii="Times New Roman" w:hAnsi="Times New Roman" w:cs="Times New Roman"/>
          <w:b/>
          <w:i w:val="0"/>
          <w:sz w:val="24"/>
          <w:szCs w:val="24"/>
        </w:rPr>
        <w:fldChar w:fldCharType="end"/>
      </w:r>
      <w:r w:rsidRPr="00F958B7">
        <w:rPr>
          <w:rFonts w:ascii="Times New Roman" w:hAnsi="Times New Roman" w:cs="Times New Roman"/>
          <w:b/>
          <w:i w:val="0"/>
          <w:sz w:val="24"/>
          <w:szCs w:val="24"/>
        </w:rPr>
        <w:t xml:space="preserve">: </w:t>
      </w:r>
      <w:r w:rsidRPr="00F958B7">
        <w:rPr>
          <w:rFonts w:ascii="Times New Roman" w:eastAsia="Times New Roman" w:hAnsi="Times New Roman" w:cs="Times New Roman"/>
          <w:b/>
          <w:bCs/>
          <w:i w:val="0"/>
          <w:sz w:val="24"/>
          <w:szCs w:val="24"/>
        </w:rPr>
        <w:t>Material Components and Functional Roles of Bio-Humid Bricks</w:t>
      </w:r>
    </w:p>
    <w:tbl>
      <w:tblPr>
        <w:tblStyle w:val="TableGrid"/>
        <w:tblW w:w="0" w:type="auto"/>
        <w:tblLook w:val="04A0" w:firstRow="1" w:lastRow="0" w:firstColumn="1" w:lastColumn="0" w:noHBand="0" w:noVBand="1"/>
      </w:tblPr>
      <w:tblGrid>
        <w:gridCol w:w="3482"/>
        <w:gridCol w:w="3336"/>
        <w:gridCol w:w="2277"/>
      </w:tblGrid>
      <w:tr w:rsidR="00B60041" w:rsidRPr="00F958B7" w14:paraId="330E38F1" w14:textId="77777777" w:rsidTr="00D06241">
        <w:tc>
          <w:tcPr>
            <w:tcW w:w="0" w:type="auto"/>
            <w:hideMark/>
          </w:tcPr>
          <w:p w14:paraId="27E7C74E" w14:textId="77777777" w:rsidR="00B60041" w:rsidRPr="00F958B7" w:rsidRDefault="00B60041" w:rsidP="00D06241">
            <w:pPr>
              <w:jc w:val="both"/>
              <w:rPr>
                <w:rFonts w:ascii="Times New Roman" w:eastAsia="Times New Roman" w:hAnsi="Times New Roman" w:cs="Times New Roman"/>
                <w:b/>
                <w:bCs/>
                <w:sz w:val="24"/>
                <w:szCs w:val="24"/>
              </w:rPr>
            </w:pPr>
            <w:r w:rsidRPr="00F958B7">
              <w:rPr>
                <w:rFonts w:ascii="Times New Roman" w:eastAsia="Times New Roman" w:hAnsi="Times New Roman" w:cs="Times New Roman"/>
                <w:b/>
                <w:bCs/>
                <w:sz w:val="24"/>
                <w:szCs w:val="24"/>
              </w:rPr>
              <w:t>Component</w:t>
            </w:r>
          </w:p>
        </w:tc>
        <w:tc>
          <w:tcPr>
            <w:tcW w:w="0" w:type="auto"/>
            <w:hideMark/>
          </w:tcPr>
          <w:p w14:paraId="01D5B26A" w14:textId="77777777" w:rsidR="00B60041" w:rsidRPr="00F958B7" w:rsidRDefault="00B60041" w:rsidP="00D06241">
            <w:pPr>
              <w:jc w:val="both"/>
              <w:rPr>
                <w:rFonts w:ascii="Times New Roman" w:eastAsia="Times New Roman" w:hAnsi="Times New Roman" w:cs="Times New Roman"/>
                <w:b/>
                <w:bCs/>
                <w:sz w:val="24"/>
                <w:szCs w:val="24"/>
              </w:rPr>
            </w:pPr>
            <w:r w:rsidRPr="00F958B7">
              <w:rPr>
                <w:rFonts w:ascii="Times New Roman" w:eastAsia="Times New Roman" w:hAnsi="Times New Roman" w:cs="Times New Roman"/>
                <w:b/>
                <w:bCs/>
                <w:sz w:val="24"/>
                <w:szCs w:val="24"/>
              </w:rPr>
              <w:t>Function</w:t>
            </w:r>
          </w:p>
        </w:tc>
        <w:tc>
          <w:tcPr>
            <w:tcW w:w="0" w:type="auto"/>
            <w:hideMark/>
          </w:tcPr>
          <w:p w14:paraId="7E2A2D06" w14:textId="77777777" w:rsidR="00B60041" w:rsidRPr="00F958B7" w:rsidRDefault="00B60041" w:rsidP="00D06241">
            <w:pPr>
              <w:jc w:val="both"/>
              <w:rPr>
                <w:rFonts w:ascii="Times New Roman" w:eastAsia="Times New Roman" w:hAnsi="Times New Roman" w:cs="Times New Roman"/>
                <w:b/>
                <w:bCs/>
                <w:sz w:val="24"/>
                <w:szCs w:val="24"/>
              </w:rPr>
            </w:pPr>
            <w:r w:rsidRPr="00F958B7">
              <w:rPr>
                <w:rFonts w:ascii="Times New Roman" w:eastAsia="Times New Roman" w:hAnsi="Times New Roman" w:cs="Times New Roman"/>
                <w:b/>
                <w:bCs/>
                <w:sz w:val="24"/>
                <w:szCs w:val="24"/>
              </w:rPr>
              <w:t>Biomedical Analogy</w:t>
            </w:r>
          </w:p>
        </w:tc>
      </w:tr>
      <w:tr w:rsidR="00B60041" w:rsidRPr="00F958B7" w14:paraId="12325039" w14:textId="77777777" w:rsidTr="00D06241">
        <w:tc>
          <w:tcPr>
            <w:tcW w:w="0" w:type="auto"/>
            <w:hideMark/>
          </w:tcPr>
          <w:p w14:paraId="43AB4666" w14:textId="77777777" w:rsidR="00B60041" w:rsidRPr="00F958B7" w:rsidRDefault="00B60041" w:rsidP="00D06241">
            <w:pPr>
              <w:jc w:val="both"/>
              <w:rPr>
                <w:rFonts w:ascii="Times New Roman" w:eastAsia="Times New Roman" w:hAnsi="Times New Roman" w:cs="Times New Roman"/>
                <w:sz w:val="24"/>
                <w:szCs w:val="24"/>
              </w:rPr>
            </w:pPr>
            <w:r w:rsidRPr="00F958B7">
              <w:rPr>
                <w:rFonts w:ascii="Times New Roman" w:eastAsia="Times New Roman" w:hAnsi="Times New Roman" w:cs="Times New Roman"/>
                <w:sz w:val="24"/>
                <w:szCs w:val="24"/>
              </w:rPr>
              <w:t>Porous ceramic/clay</w:t>
            </w:r>
          </w:p>
        </w:tc>
        <w:tc>
          <w:tcPr>
            <w:tcW w:w="0" w:type="auto"/>
            <w:hideMark/>
          </w:tcPr>
          <w:p w14:paraId="1CB89086" w14:textId="77777777" w:rsidR="00B60041" w:rsidRPr="00F958B7" w:rsidRDefault="00B60041" w:rsidP="00D06241">
            <w:pPr>
              <w:jc w:val="both"/>
              <w:rPr>
                <w:rFonts w:ascii="Times New Roman" w:eastAsia="Times New Roman" w:hAnsi="Times New Roman" w:cs="Times New Roman"/>
                <w:sz w:val="24"/>
                <w:szCs w:val="24"/>
              </w:rPr>
            </w:pPr>
            <w:r w:rsidRPr="00F958B7">
              <w:rPr>
                <w:rFonts w:ascii="Times New Roman" w:eastAsia="Times New Roman" w:hAnsi="Times New Roman" w:cs="Times New Roman"/>
                <w:sz w:val="24"/>
                <w:szCs w:val="24"/>
              </w:rPr>
              <w:t>Structural support, thermal mass</w:t>
            </w:r>
          </w:p>
        </w:tc>
        <w:tc>
          <w:tcPr>
            <w:tcW w:w="0" w:type="auto"/>
            <w:hideMark/>
          </w:tcPr>
          <w:p w14:paraId="6F8D1382" w14:textId="77777777" w:rsidR="00B60041" w:rsidRPr="00F958B7" w:rsidRDefault="00B60041" w:rsidP="00D06241">
            <w:pPr>
              <w:jc w:val="both"/>
              <w:rPr>
                <w:rFonts w:ascii="Times New Roman" w:eastAsia="Times New Roman" w:hAnsi="Times New Roman" w:cs="Times New Roman"/>
                <w:sz w:val="24"/>
                <w:szCs w:val="24"/>
              </w:rPr>
            </w:pPr>
            <w:r w:rsidRPr="00F958B7">
              <w:rPr>
                <w:rFonts w:ascii="Times New Roman" w:eastAsia="Times New Roman" w:hAnsi="Times New Roman" w:cs="Times New Roman"/>
                <w:sz w:val="24"/>
                <w:szCs w:val="24"/>
              </w:rPr>
              <w:t>Dermal tissue</w:t>
            </w:r>
          </w:p>
        </w:tc>
      </w:tr>
      <w:tr w:rsidR="00B60041" w:rsidRPr="00F958B7" w14:paraId="4B247DD6" w14:textId="77777777" w:rsidTr="00D06241">
        <w:tc>
          <w:tcPr>
            <w:tcW w:w="0" w:type="auto"/>
            <w:hideMark/>
          </w:tcPr>
          <w:p w14:paraId="2F3C670F" w14:textId="77777777" w:rsidR="00B60041" w:rsidRPr="00F958B7" w:rsidRDefault="00B60041" w:rsidP="00D06241">
            <w:pPr>
              <w:jc w:val="both"/>
              <w:rPr>
                <w:rFonts w:ascii="Times New Roman" w:eastAsia="Times New Roman" w:hAnsi="Times New Roman" w:cs="Times New Roman"/>
                <w:sz w:val="24"/>
                <w:szCs w:val="24"/>
              </w:rPr>
            </w:pPr>
            <w:r w:rsidRPr="00F958B7">
              <w:rPr>
                <w:rFonts w:ascii="Times New Roman" w:eastAsia="Times New Roman" w:hAnsi="Times New Roman" w:cs="Times New Roman"/>
                <w:sz w:val="24"/>
                <w:szCs w:val="24"/>
              </w:rPr>
              <w:t>Biopolymers</w:t>
            </w:r>
          </w:p>
        </w:tc>
        <w:tc>
          <w:tcPr>
            <w:tcW w:w="0" w:type="auto"/>
            <w:hideMark/>
          </w:tcPr>
          <w:p w14:paraId="3B4A87CF" w14:textId="77777777" w:rsidR="00B60041" w:rsidRPr="00F958B7" w:rsidRDefault="00B60041" w:rsidP="00D06241">
            <w:pPr>
              <w:jc w:val="both"/>
              <w:rPr>
                <w:rFonts w:ascii="Times New Roman" w:eastAsia="Times New Roman" w:hAnsi="Times New Roman" w:cs="Times New Roman"/>
                <w:sz w:val="24"/>
                <w:szCs w:val="24"/>
              </w:rPr>
            </w:pPr>
            <w:r w:rsidRPr="00F958B7">
              <w:rPr>
                <w:rFonts w:ascii="Times New Roman" w:eastAsia="Times New Roman" w:hAnsi="Times New Roman" w:cs="Times New Roman"/>
                <w:sz w:val="24"/>
                <w:szCs w:val="24"/>
              </w:rPr>
              <w:t>Moisture absorption</w:t>
            </w:r>
          </w:p>
        </w:tc>
        <w:tc>
          <w:tcPr>
            <w:tcW w:w="0" w:type="auto"/>
            <w:hideMark/>
          </w:tcPr>
          <w:p w14:paraId="3548F67A" w14:textId="77777777" w:rsidR="00B60041" w:rsidRPr="00F958B7" w:rsidRDefault="00B60041" w:rsidP="00D06241">
            <w:pPr>
              <w:jc w:val="both"/>
              <w:rPr>
                <w:rFonts w:ascii="Times New Roman" w:eastAsia="Times New Roman" w:hAnsi="Times New Roman" w:cs="Times New Roman"/>
                <w:sz w:val="24"/>
                <w:szCs w:val="24"/>
              </w:rPr>
            </w:pPr>
            <w:r w:rsidRPr="00F958B7">
              <w:rPr>
                <w:rFonts w:ascii="Times New Roman" w:eastAsia="Times New Roman" w:hAnsi="Times New Roman" w:cs="Times New Roman"/>
                <w:sz w:val="24"/>
                <w:szCs w:val="24"/>
              </w:rPr>
              <w:t>Interstitial fluid</w:t>
            </w:r>
          </w:p>
        </w:tc>
      </w:tr>
      <w:tr w:rsidR="00B60041" w:rsidRPr="00F958B7" w14:paraId="4CD75ABB" w14:textId="77777777" w:rsidTr="00D06241">
        <w:tc>
          <w:tcPr>
            <w:tcW w:w="0" w:type="auto"/>
            <w:hideMark/>
          </w:tcPr>
          <w:p w14:paraId="51FC5A93" w14:textId="77777777" w:rsidR="00B60041" w:rsidRPr="00F958B7" w:rsidRDefault="00B60041" w:rsidP="00D06241">
            <w:pPr>
              <w:jc w:val="both"/>
              <w:rPr>
                <w:rFonts w:ascii="Times New Roman" w:eastAsia="Times New Roman" w:hAnsi="Times New Roman" w:cs="Times New Roman"/>
                <w:sz w:val="24"/>
                <w:szCs w:val="24"/>
              </w:rPr>
            </w:pPr>
            <w:r w:rsidRPr="00F958B7">
              <w:rPr>
                <w:rFonts w:ascii="Times New Roman" w:eastAsia="Times New Roman" w:hAnsi="Times New Roman" w:cs="Times New Roman"/>
                <w:sz w:val="24"/>
                <w:szCs w:val="24"/>
              </w:rPr>
              <w:t>Natural fibers</w:t>
            </w:r>
          </w:p>
        </w:tc>
        <w:tc>
          <w:tcPr>
            <w:tcW w:w="0" w:type="auto"/>
            <w:hideMark/>
          </w:tcPr>
          <w:p w14:paraId="592B9F74" w14:textId="77777777" w:rsidR="00B60041" w:rsidRPr="00F958B7" w:rsidRDefault="00B60041" w:rsidP="00D06241">
            <w:pPr>
              <w:jc w:val="both"/>
              <w:rPr>
                <w:rFonts w:ascii="Times New Roman" w:eastAsia="Times New Roman" w:hAnsi="Times New Roman" w:cs="Times New Roman"/>
                <w:sz w:val="24"/>
                <w:szCs w:val="24"/>
              </w:rPr>
            </w:pPr>
            <w:r w:rsidRPr="00F958B7">
              <w:rPr>
                <w:rFonts w:ascii="Times New Roman" w:eastAsia="Times New Roman" w:hAnsi="Times New Roman" w:cs="Times New Roman"/>
                <w:sz w:val="24"/>
                <w:szCs w:val="24"/>
              </w:rPr>
              <w:t>Capillary transport</w:t>
            </w:r>
          </w:p>
        </w:tc>
        <w:tc>
          <w:tcPr>
            <w:tcW w:w="0" w:type="auto"/>
            <w:hideMark/>
          </w:tcPr>
          <w:p w14:paraId="79910E1D" w14:textId="77777777" w:rsidR="00B60041" w:rsidRPr="00F958B7" w:rsidRDefault="00B60041" w:rsidP="00D06241">
            <w:pPr>
              <w:jc w:val="both"/>
              <w:rPr>
                <w:rFonts w:ascii="Times New Roman" w:eastAsia="Times New Roman" w:hAnsi="Times New Roman" w:cs="Times New Roman"/>
                <w:sz w:val="24"/>
                <w:szCs w:val="24"/>
              </w:rPr>
            </w:pPr>
            <w:r w:rsidRPr="00F958B7">
              <w:rPr>
                <w:rFonts w:ascii="Times New Roman" w:eastAsia="Times New Roman" w:hAnsi="Times New Roman" w:cs="Times New Roman"/>
                <w:sz w:val="24"/>
                <w:szCs w:val="24"/>
              </w:rPr>
              <w:t>Sweat ducts</w:t>
            </w:r>
          </w:p>
        </w:tc>
      </w:tr>
      <w:tr w:rsidR="00B60041" w:rsidRPr="00F958B7" w14:paraId="0E28E239" w14:textId="77777777" w:rsidTr="00D06241">
        <w:tc>
          <w:tcPr>
            <w:tcW w:w="0" w:type="auto"/>
            <w:hideMark/>
          </w:tcPr>
          <w:p w14:paraId="7CC09CDC" w14:textId="77777777" w:rsidR="00B60041" w:rsidRPr="00F958B7" w:rsidRDefault="00B60041" w:rsidP="00D06241">
            <w:pPr>
              <w:jc w:val="both"/>
              <w:rPr>
                <w:rFonts w:ascii="Times New Roman" w:eastAsia="Times New Roman" w:hAnsi="Times New Roman" w:cs="Times New Roman"/>
                <w:sz w:val="24"/>
                <w:szCs w:val="24"/>
              </w:rPr>
            </w:pPr>
            <w:r w:rsidRPr="00F958B7">
              <w:rPr>
                <w:rFonts w:ascii="Times New Roman" w:eastAsia="Times New Roman" w:hAnsi="Times New Roman" w:cs="Times New Roman"/>
                <w:sz w:val="24"/>
                <w:szCs w:val="24"/>
              </w:rPr>
              <w:t>Phase-change materials (optional)</w:t>
            </w:r>
          </w:p>
        </w:tc>
        <w:tc>
          <w:tcPr>
            <w:tcW w:w="0" w:type="auto"/>
            <w:hideMark/>
          </w:tcPr>
          <w:p w14:paraId="044E9777" w14:textId="77777777" w:rsidR="00B60041" w:rsidRPr="00F958B7" w:rsidRDefault="00B60041" w:rsidP="00D06241">
            <w:pPr>
              <w:jc w:val="both"/>
              <w:rPr>
                <w:rFonts w:ascii="Times New Roman" w:eastAsia="Times New Roman" w:hAnsi="Times New Roman" w:cs="Times New Roman"/>
                <w:sz w:val="24"/>
                <w:szCs w:val="24"/>
              </w:rPr>
            </w:pPr>
            <w:r w:rsidRPr="00F958B7">
              <w:rPr>
                <w:rFonts w:ascii="Times New Roman" w:eastAsia="Times New Roman" w:hAnsi="Times New Roman" w:cs="Times New Roman"/>
                <w:sz w:val="24"/>
                <w:szCs w:val="24"/>
              </w:rPr>
              <w:t>Heat storage</w:t>
            </w:r>
          </w:p>
        </w:tc>
        <w:tc>
          <w:tcPr>
            <w:tcW w:w="0" w:type="auto"/>
            <w:hideMark/>
          </w:tcPr>
          <w:p w14:paraId="5615674D" w14:textId="77777777" w:rsidR="00B60041" w:rsidRPr="00F958B7" w:rsidRDefault="00B60041" w:rsidP="00D06241">
            <w:pPr>
              <w:jc w:val="both"/>
              <w:rPr>
                <w:rFonts w:ascii="Times New Roman" w:eastAsia="Times New Roman" w:hAnsi="Times New Roman" w:cs="Times New Roman"/>
                <w:sz w:val="24"/>
                <w:szCs w:val="24"/>
              </w:rPr>
            </w:pPr>
            <w:r w:rsidRPr="00F958B7">
              <w:rPr>
                <w:rFonts w:ascii="Times New Roman" w:eastAsia="Times New Roman" w:hAnsi="Times New Roman" w:cs="Times New Roman"/>
                <w:sz w:val="24"/>
                <w:szCs w:val="24"/>
              </w:rPr>
              <w:t>Body fat tissue</w:t>
            </w:r>
          </w:p>
        </w:tc>
      </w:tr>
    </w:tbl>
    <w:p w14:paraId="517B51BD" w14:textId="77777777" w:rsidR="00FC5F67" w:rsidRPr="005417D2" w:rsidRDefault="00FC5F67" w:rsidP="005417D2">
      <w:pPr>
        <w:jc w:val="both"/>
        <w:rPr>
          <w:rFonts w:ascii="Times New Roman" w:hAnsi="Times New Roman" w:cs="Times New Roman"/>
          <w:sz w:val="24"/>
        </w:rPr>
      </w:pPr>
    </w:p>
    <w:p w14:paraId="02FB9FDF" w14:textId="77777777" w:rsidR="005417D2" w:rsidRPr="005417D2" w:rsidRDefault="00FC5F67" w:rsidP="00FC5F67">
      <w:pPr>
        <w:pStyle w:val="Heading1"/>
      </w:pPr>
      <w:r>
        <w:t xml:space="preserve">3.4 </w:t>
      </w:r>
      <w:r w:rsidR="005417D2" w:rsidRPr="005417D2">
        <w:t>Manufacturing and Fabrication Methodology</w:t>
      </w:r>
    </w:p>
    <w:p w14:paraId="0A30EA2F" w14:textId="77777777" w:rsidR="005417D2" w:rsidRPr="005417D2" w:rsidRDefault="005417D2" w:rsidP="005417D2">
      <w:pPr>
        <w:jc w:val="both"/>
        <w:rPr>
          <w:rFonts w:ascii="Times New Roman" w:hAnsi="Times New Roman" w:cs="Times New Roman"/>
          <w:sz w:val="24"/>
        </w:rPr>
      </w:pPr>
      <w:r w:rsidRPr="005417D2">
        <w:rPr>
          <w:rFonts w:ascii="Times New Roman" w:hAnsi="Times New Roman" w:cs="Times New Roman"/>
          <w:sz w:val="24"/>
        </w:rPr>
        <w:t xml:space="preserve">The manufacturing process of the bio-humid wall brick is designed to preserve the intrinsic porosity and hygroscopic properties of the selected bio-based materials while ensuring sufficient mechanical integrity for building envelope applications. The fabrication typically begins with the controlled mixing of plant-based aggregates, such as hemp shiv, with a lime-based binder and a predefined water content to achieve a workable composite. As noted by </w:t>
      </w:r>
      <w:proofErr w:type="spellStart"/>
      <w:r w:rsidRPr="005417D2">
        <w:rPr>
          <w:rFonts w:ascii="Times New Roman" w:hAnsi="Times New Roman" w:cs="Times New Roman"/>
          <w:sz w:val="24"/>
        </w:rPr>
        <w:t>Amziane</w:t>
      </w:r>
      <w:proofErr w:type="spellEnd"/>
      <w:r w:rsidRPr="005417D2">
        <w:rPr>
          <w:rFonts w:ascii="Times New Roman" w:hAnsi="Times New Roman" w:cs="Times New Roman"/>
          <w:sz w:val="24"/>
        </w:rPr>
        <w:t xml:space="preserve"> and Collet (2017) and </w:t>
      </w:r>
      <w:proofErr w:type="spellStart"/>
      <w:r w:rsidRPr="005417D2">
        <w:rPr>
          <w:rFonts w:ascii="Times New Roman" w:hAnsi="Times New Roman" w:cs="Times New Roman"/>
          <w:sz w:val="24"/>
        </w:rPr>
        <w:t>Viel</w:t>
      </w:r>
      <w:proofErr w:type="spellEnd"/>
      <w:r w:rsidRPr="005417D2">
        <w:rPr>
          <w:rFonts w:ascii="Times New Roman" w:hAnsi="Times New Roman" w:cs="Times New Roman"/>
          <w:sz w:val="24"/>
        </w:rPr>
        <w:t xml:space="preserve"> et al. (2019), careful control of aggregate-to-binder ratios is essential to balance strength development with vapor permeability and moisture buffering performance.</w:t>
      </w:r>
    </w:p>
    <w:p w14:paraId="1194BB16" w14:textId="77777777" w:rsidR="005417D2" w:rsidRPr="005417D2" w:rsidRDefault="005417D2" w:rsidP="005417D2">
      <w:pPr>
        <w:jc w:val="both"/>
        <w:rPr>
          <w:rFonts w:ascii="Times New Roman" w:hAnsi="Times New Roman" w:cs="Times New Roman"/>
          <w:sz w:val="24"/>
        </w:rPr>
      </w:pPr>
      <w:r w:rsidRPr="005417D2">
        <w:rPr>
          <w:rFonts w:ascii="Times New Roman" w:hAnsi="Times New Roman" w:cs="Times New Roman"/>
          <w:sz w:val="24"/>
        </w:rPr>
        <w:t xml:space="preserve">Following mixing, the composite material is placed into modular molds corresponding to the desired brick geometry and lightly compacted to avoid excessive pore collapse. Low-energy compaction techniques are preferred, as excessive densification has been shown to reduce moisture transport capacity and </w:t>
      </w:r>
      <w:proofErr w:type="spellStart"/>
      <w:r w:rsidRPr="005417D2">
        <w:rPr>
          <w:rFonts w:ascii="Times New Roman" w:hAnsi="Times New Roman" w:cs="Times New Roman"/>
          <w:sz w:val="24"/>
        </w:rPr>
        <w:t>hygrothermal</w:t>
      </w:r>
      <w:proofErr w:type="spellEnd"/>
      <w:r w:rsidRPr="005417D2">
        <w:rPr>
          <w:rFonts w:ascii="Times New Roman" w:hAnsi="Times New Roman" w:cs="Times New Roman"/>
          <w:sz w:val="24"/>
        </w:rPr>
        <w:t xml:space="preserve"> responsiveness, according to Collet and </w:t>
      </w:r>
      <w:proofErr w:type="spellStart"/>
      <w:r w:rsidRPr="005417D2">
        <w:rPr>
          <w:rFonts w:ascii="Times New Roman" w:hAnsi="Times New Roman" w:cs="Times New Roman"/>
          <w:sz w:val="24"/>
        </w:rPr>
        <w:t>Pretot</w:t>
      </w:r>
      <w:proofErr w:type="spellEnd"/>
      <w:r w:rsidRPr="005417D2">
        <w:rPr>
          <w:rFonts w:ascii="Times New Roman" w:hAnsi="Times New Roman" w:cs="Times New Roman"/>
          <w:sz w:val="24"/>
        </w:rPr>
        <w:t xml:space="preserve"> (2012) and McGregor et al. (2014). The molded bricks are then demolded and cured under controlled temperature and humidity conditions to promote binder carbonation and gradual strength gain.</w:t>
      </w:r>
    </w:p>
    <w:p w14:paraId="11D9F355" w14:textId="77777777" w:rsidR="005417D2" w:rsidRPr="005417D2" w:rsidRDefault="005417D2" w:rsidP="005417D2">
      <w:pPr>
        <w:jc w:val="both"/>
        <w:rPr>
          <w:rFonts w:ascii="Times New Roman" w:hAnsi="Times New Roman" w:cs="Times New Roman"/>
          <w:sz w:val="24"/>
        </w:rPr>
      </w:pPr>
      <w:r w:rsidRPr="005417D2">
        <w:rPr>
          <w:rFonts w:ascii="Times New Roman" w:hAnsi="Times New Roman" w:cs="Times New Roman"/>
          <w:sz w:val="24"/>
        </w:rPr>
        <w:t xml:space="preserve">Curing plays a critical role in determining the long-term performance of the bio-humid brick. Lime carbonation, which occurs through the reaction of calcium hydroxide with atmospheric carbon dioxide, enhances mechanical stability while maintaining open pore networks necessary for </w:t>
      </w:r>
      <w:r w:rsidRPr="005417D2">
        <w:rPr>
          <w:rFonts w:ascii="Times New Roman" w:hAnsi="Times New Roman" w:cs="Times New Roman"/>
          <w:sz w:val="24"/>
        </w:rPr>
        <w:lastRenderedPageBreak/>
        <w:t xml:space="preserve">moisture exchange. The influence of curing time and environmental exposure on </w:t>
      </w:r>
      <w:proofErr w:type="spellStart"/>
      <w:r w:rsidRPr="005417D2">
        <w:rPr>
          <w:rFonts w:ascii="Times New Roman" w:hAnsi="Times New Roman" w:cs="Times New Roman"/>
          <w:sz w:val="24"/>
        </w:rPr>
        <w:t>hygrothermal</w:t>
      </w:r>
      <w:proofErr w:type="spellEnd"/>
      <w:r w:rsidRPr="005417D2">
        <w:rPr>
          <w:rFonts w:ascii="Times New Roman" w:hAnsi="Times New Roman" w:cs="Times New Roman"/>
          <w:sz w:val="24"/>
        </w:rPr>
        <w:t xml:space="preserve"> behavior has been extensively reported by Tran Le et al. (2010) and </w:t>
      </w:r>
      <w:proofErr w:type="spellStart"/>
      <w:r w:rsidRPr="005417D2">
        <w:rPr>
          <w:rFonts w:ascii="Times New Roman" w:hAnsi="Times New Roman" w:cs="Times New Roman"/>
          <w:sz w:val="24"/>
        </w:rPr>
        <w:t>Maalouf</w:t>
      </w:r>
      <w:proofErr w:type="spellEnd"/>
      <w:r w:rsidRPr="005417D2">
        <w:rPr>
          <w:rFonts w:ascii="Times New Roman" w:hAnsi="Times New Roman" w:cs="Times New Roman"/>
          <w:sz w:val="24"/>
        </w:rPr>
        <w:t xml:space="preserve"> et al. (2023). Prolonged curing periods have been shown to improve dimensional stability without significantly impairing vapor diffusion properties.</w:t>
      </w:r>
    </w:p>
    <w:p w14:paraId="7158BEE2" w14:textId="77777777" w:rsidR="005417D2" w:rsidRPr="00F66F43" w:rsidRDefault="005417D2" w:rsidP="00F66F43">
      <w:pPr>
        <w:jc w:val="both"/>
        <w:rPr>
          <w:rFonts w:ascii="Times New Roman" w:hAnsi="Times New Roman" w:cs="Times New Roman"/>
          <w:sz w:val="24"/>
        </w:rPr>
      </w:pPr>
      <w:r w:rsidRPr="005417D2">
        <w:rPr>
          <w:rFonts w:ascii="Times New Roman" w:hAnsi="Times New Roman" w:cs="Times New Roman"/>
          <w:sz w:val="24"/>
        </w:rPr>
        <w:t>To enhance functional performance, the brick design may incorporate surface texturing or graded porosity layers</w:t>
      </w:r>
      <w:r w:rsidR="00FC5F67">
        <w:rPr>
          <w:rFonts w:ascii="Times New Roman" w:hAnsi="Times New Roman" w:cs="Times New Roman"/>
          <w:sz w:val="24"/>
        </w:rPr>
        <w:t xml:space="preserve"> as shown schematically in Figure </w:t>
      </w:r>
      <w:r w:rsidR="00F66F43">
        <w:rPr>
          <w:rFonts w:ascii="Times New Roman" w:hAnsi="Times New Roman" w:cs="Times New Roman"/>
          <w:sz w:val="24"/>
        </w:rPr>
        <w:t>6</w:t>
      </w:r>
      <w:r w:rsidRPr="005417D2">
        <w:rPr>
          <w:rFonts w:ascii="Times New Roman" w:hAnsi="Times New Roman" w:cs="Times New Roman"/>
          <w:sz w:val="24"/>
        </w:rPr>
        <w:t xml:space="preserve">, enabling differential moisture absorption and evaporation across the wall thickness. Such adaptive material structuring aligns with climate-responsive envelope strategies and supports passive thermal regulation, as discussed by </w:t>
      </w:r>
      <w:proofErr w:type="spellStart"/>
      <w:r w:rsidRPr="005417D2">
        <w:rPr>
          <w:rFonts w:ascii="Times New Roman" w:hAnsi="Times New Roman" w:cs="Times New Roman"/>
          <w:sz w:val="24"/>
        </w:rPr>
        <w:t>Loonen</w:t>
      </w:r>
      <w:proofErr w:type="spellEnd"/>
      <w:r w:rsidRPr="005417D2">
        <w:rPr>
          <w:rFonts w:ascii="Times New Roman" w:hAnsi="Times New Roman" w:cs="Times New Roman"/>
          <w:sz w:val="24"/>
        </w:rPr>
        <w:t xml:space="preserve"> et al. (2013) and </w:t>
      </w:r>
      <w:proofErr w:type="spellStart"/>
      <w:r w:rsidRPr="005417D2">
        <w:rPr>
          <w:rFonts w:ascii="Times New Roman" w:hAnsi="Times New Roman" w:cs="Times New Roman"/>
          <w:sz w:val="24"/>
        </w:rPr>
        <w:t>Tabadkani</w:t>
      </w:r>
      <w:proofErr w:type="spellEnd"/>
      <w:r w:rsidRPr="005417D2">
        <w:rPr>
          <w:rFonts w:ascii="Times New Roman" w:hAnsi="Times New Roman" w:cs="Times New Roman"/>
          <w:sz w:val="24"/>
        </w:rPr>
        <w:t xml:space="preserve"> et al. (2020). Overall, the fabrication methodology ensures that the bio-humid wall brick functions as an integrated heat and moisture regulating system, analogous to biological thermoregulation mechanisms.</w:t>
      </w:r>
    </w:p>
    <w:p w14:paraId="749FD2BB" w14:textId="77777777" w:rsidR="005417D2" w:rsidRDefault="005417D2" w:rsidP="005417D2">
      <w:pPr>
        <w:jc w:val="center"/>
        <w:rPr>
          <w:rFonts w:ascii="Times New Roman" w:hAnsi="Times New Roman" w:cs="Times New Roman"/>
          <w:sz w:val="24"/>
          <w:szCs w:val="24"/>
        </w:rPr>
      </w:pPr>
      <w:r w:rsidRPr="00F958B7">
        <w:rPr>
          <w:rFonts w:ascii="Times New Roman" w:hAnsi="Times New Roman" w:cs="Times New Roman"/>
          <w:noProof/>
          <w:sz w:val="24"/>
          <w:szCs w:val="24"/>
        </w:rPr>
        <w:drawing>
          <wp:inline distT="0" distB="0" distL="0" distR="0" wp14:anchorId="388C71FF" wp14:editId="7EFE25A4">
            <wp:extent cx="5143500" cy="3726180"/>
            <wp:effectExtent l="0" t="0" r="0" b="7620"/>
            <wp:docPr id="6"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3500" cy="3726180"/>
                    </a:xfrm>
                    <a:prstGeom prst="rect">
                      <a:avLst/>
                    </a:prstGeom>
                    <a:noFill/>
                    <a:ln>
                      <a:noFill/>
                    </a:ln>
                  </pic:spPr>
                </pic:pic>
              </a:graphicData>
            </a:graphic>
          </wp:inline>
        </w:drawing>
      </w:r>
    </w:p>
    <w:p w14:paraId="32644473" w14:textId="77777777" w:rsidR="00FC5F67" w:rsidRPr="007C46FD" w:rsidRDefault="00FC5F67" w:rsidP="00FC5F67">
      <w:pPr>
        <w:pStyle w:val="Caption"/>
        <w:jc w:val="center"/>
        <w:rPr>
          <w:rFonts w:ascii="Times New Roman" w:hAnsi="Times New Roman" w:cs="Times New Roman"/>
          <w:b/>
          <w:i w:val="0"/>
          <w:sz w:val="24"/>
        </w:rPr>
      </w:pPr>
      <w:r w:rsidRPr="007C46FD">
        <w:rPr>
          <w:rFonts w:ascii="Times New Roman" w:hAnsi="Times New Roman" w:cs="Times New Roman"/>
          <w:b/>
          <w:i w:val="0"/>
          <w:sz w:val="24"/>
        </w:rPr>
        <w:t xml:space="preserve">Figure </w:t>
      </w:r>
      <w:r w:rsidRPr="007C46FD">
        <w:rPr>
          <w:rFonts w:ascii="Times New Roman" w:hAnsi="Times New Roman" w:cs="Times New Roman"/>
          <w:b/>
          <w:i w:val="0"/>
          <w:sz w:val="24"/>
        </w:rPr>
        <w:fldChar w:fldCharType="begin"/>
      </w:r>
      <w:r w:rsidRPr="007C46FD">
        <w:rPr>
          <w:rFonts w:ascii="Times New Roman" w:hAnsi="Times New Roman" w:cs="Times New Roman"/>
          <w:b/>
          <w:i w:val="0"/>
          <w:sz w:val="24"/>
        </w:rPr>
        <w:instrText xml:space="preserve"> SEQ Figure \* ARABIC </w:instrText>
      </w:r>
      <w:r w:rsidRPr="007C46FD">
        <w:rPr>
          <w:rFonts w:ascii="Times New Roman" w:hAnsi="Times New Roman" w:cs="Times New Roman"/>
          <w:b/>
          <w:i w:val="0"/>
          <w:sz w:val="24"/>
        </w:rPr>
        <w:fldChar w:fldCharType="separate"/>
      </w:r>
      <w:r w:rsidR="00523A51">
        <w:rPr>
          <w:rFonts w:ascii="Times New Roman" w:hAnsi="Times New Roman" w:cs="Times New Roman"/>
          <w:b/>
          <w:i w:val="0"/>
          <w:noProof/>
          <w:sz w:val="24"/>
        </w:rPr>
        <w:t>6</w:t>
      </w:r>
      <w:r w:rsidRPr="007C46FD">
        <w:rPr>
          <w:rFonts w:ascii="Times New Roman" w:hAnsi="Times New Roman" w:cs="Times New Roman"/>
          <w:b/>
          <w:i w:val="0"/>
          <w:sz w:val="24"/>
        </w:rPr>
        <w:fldChar w:fldCharType="end"/>
      </w:r>
      <w:r w:rsidRPr="007C46FD">
        <w:rPr>
          <w:rFonts w:ascii="Times New Roman" w:hAnsi="Times New Roman" w:cs="Times New Roman"/>
          <w:b/>
          <w:i w:val="0"/>
          <w:sz w:val="24"/>
        </w:rPr>
        <w:t xml:space="preserve">: </w:t>
      </w:r>
      <w:r w:rsidRPr="007C46FD">
        <w:rPr>
          <w:rStyle w:val="Strong"/>
          <w:rFonts w:ascii="Times New Roman" w:hAnsi="Times New Roman" w:cs="Times New Roman"/>
          <w:b w:val="0"/>
          <w:i w:val="0"/>
          <w:sz w:val="24"/>
        </w:rPr>
        <w:t>Manufacturing and Fabrication Methodology of Bio-Humid Wall Bricks: From Raw Materials to Final Product.</w:t>
      </w:r>
      <w:r w:rsidRPr="007C46FD">
        <w:rPr>
          <w:rFonts w:ascii="Times New Roman" w:hAnsi="Times New Roman" w:cs="Times New Roman"/>
          <w:b/>
          <w:i w:val="0"/>
          <w:sz w:val="24"/>
        </w:rPr>
        <w:t xml:space="preserve"> </w:t>
      </w:r>
    </w:p>
    <w:p w14:paraId="4BA2B4A3" w14:textId="77777777" w:rsidR="00FC5F67" w:rsidRDefault="00FC5F67" w:rsidP="00FC5F67">
      <w:pPr>
        <w:jc w:val="both"/>
        <w:rPr>
          <w:rFonts w:ascii="Times New Roman" w:hAnsi="Times New Roman" w:cs="Times New Roman"/>
          <w:sz w:val="24"/>
        </w:rPr>
      </w:pPr>
      <w:r w:rsidRPr="00FC5F67">
        <w:rPr>
          <w:rFonts w:ascii="Times New Roman" w:hAnsi="Times New Roman" w:cs="Times New Roman"/>
          <w:sz w:val="24"/>
        </w:rPr>
        <w:t>The schematic illustrates the stepwise process, starting from the selection of raw materials (porous ceramics, clay, cellulose, and chitosan), followed by mixing and molding, curing or sintering to develop structural integrity, and finishing processes to achieve the final brick geometry and surface properties. Each step contributes to the hierarchical microstructure that enables moisture uptake, storage, and controlled evaporation, supporting the thermoregulatory and moisture-buffering functions of the brick, analogous to human skin (</w:t>
      </w:r>
      <w:proofErr w:type="spellStart"/>
      <w:r w:rsidRPr="00FC5F67">
        <w:rPr>
          <w:rFonts w:ascii="Times New Roman" w:hAnsi="Times New Roman" w:cs="Times New Roman"/>
          <w:sz w:val="24"/>
        </w:rPr>
        <w:t>Osanyintola</w:t>
      </w:r>
      <w:proofErr w:type="spellEnd"/>
      <w:r w:rsidRPr="00FC5F67">
        <w:rPr>
          <w:rFonts w:ascii="Times New Roman" w:hAnsi="Times New Roman" w:cs="Times New Roman"/>
          <w:sz w:val="24"/>
        </w:rPr>
        <w:t xml:space="preserve"> &amp; Simonson, 2006; Tran Le et al., 2010; </w:t>
      </w:r>
      <w:proofErr w:type="spellStart"/>
      <w:r w:rsidRPr="00FC5F67">
        <w:rPr>
          <w:rFonts w:ascii="Times New Roman" w:hAnsi="Times New Roman" w:cs="Times New Roman"/>
          <w:sz w:val="24"/>
        </w:rPr>
        <w:t>Viel</w:t>
      </w:r>
      <w:proofErr w:type="spellEnd"/>
      <w:r w:rsidRPr="00FC5F67">
        <w:rPr>
          <w:rFonts w:ascii="Times New Roman" w:hAnsi="Times New Roman" w:cs="Times New Roman"/>
          <w:sz w:val="24"/>
        </w:rPr>
        <w:t xml:space="preserve"> et al., 2019).</w:t>
      </w:r>
    </w:p>
    <w:p w14:paraId="3BF8A848" w14:textId="77777777" w:rsidR="00C82CAD" w:rsidRDefault="00C82CAD" w:rsidP="00C82CAD">
      <w:pPr>
        <w:jc w:val="center"/>
        <w:rPr>
          <w:rFonts w:ascii="Times New Roman" w:hAnsi="Times New Roman" w:cs="Times New Roman"/>
          <w:sz w:val="24"/>
        </w:rPr>
      </w:pPr>
      <w:r w:rsidRPr="00F958B7">
        <w:rPr>
          <w:rFonts w:ascii="Times New Roman" w:eastAsia="Times New Roman" w:hAnsi="Times New Roman" w:cs="Times New Roman"/>
          <w:noProof/>
          <w:sz w:val="24"/>
          <w:szCs w:val="24"/>
        </w:rPr>
        <w:lastRenderedPageBreak/>
        <w:drawing>
          <wp:inline distT="0" distB="0" distL="0" distR="0" wp14:anchorId="76F6F4E5" wp14:editId="7B1DD9D1">
            <wp:extent cx="5943600" cy="2392045"/>
            <wp:effectExtent l="0" t="0" r="0" b="8255"/>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392045"/>
                    </a:xfrm>
                    <a:prstGeom prst="rect">
                      <a:avLst/>
                    </a:prstGeom>
                    <a:noFill/>
                    <a:ln>
                      <a:noFill/>
                    </a:ln>
                  </pic:spPr>
                </pic:pic>
              </a:graphicData>
            </a:graphic>
          </wp:inline>
        </w:drawing>
      </w:r>
    </w:p>
    <w:p w14:paraId="4D5CAE8B" w14:textId="77777777" w:rsidR="00C82CAD" w:rsidRDefault="00A811AA" w:rsidP="00A811AA">
      <w:pPr>
        <w:pStyle w:val="Caption"/>
        <w:jc w:val="center"/>
        <w:rPr>
          <w:rFonts w:ascii="Times New Roman" w:hAnsi="Times New Roman" w:cs="Times New Roman"/>
          <w:i w:val="0"/>
          <w:sz w:val="24"/>
        </w:rPr>
      </w:pPr>
      <w:r w:rsidRPr="00A811AA">
        <w:rPr>
          <w:rFonts w:ascii="Times New Roman" w:hAnsi="Times New Roman" w:cs="Times New Roman"/>
          <w:i w:val="0"/>
          <w:sz w:val="24"/>
        </w:rPr>
        <w:t xml:space="preserve">Figure </w:t>
      </w:r>
      <w:r w:rsidRPr="00A811AA">
        <w:rPr>
          <w:rFonts w:ascii="Times New Roman" w:hAnsi="Times New Roman" w:cs="Times New Roman"/>
          <w:i w:val="0"/>
          <w:sz w:val="24"/>
        </w:rPr>
        <w:fldChar w:fldCharType="begin"/>
      </w:r>
      <w:r w:rsidRPr="00A811AA">
        <w:rPr>
          <w:rFonts w:ascii="Times New Roman" w:hAnsi="Times New Roman" w:cs="Times New Roman"/>
          <w:i w:val="0"/>
          <w:sz w:val="24"/>
        </w:rPr>
        <w:instrText xml:space="preserve"> SEQ Figure \* ARABIC </w:instrText>
      </w:r>
      <w:r w:rsidRPr="00A811AA">
        <w:rPr>
          <w:rFonts w:ascii="Times New Roman" w:hAnsi="Times New Roman" w:cs="Times New Roman"/>
          <w:i w:val="0"/>
          <w:sz w:val="24"/>
        </w:rPr>
        <w:fldChar w:fldCharType="separate"/>
      </w:r>
      <w:r w:rsidR="00523A51">
        <w:rPr>
          <w:rFonts w:ascii="Times New Roman" w:hAnsi="Times New Roman" w:cs="Times New Roman"/>
          <w:i w:val="0"/>
          <w:noProof/>
          <w:sz w:val="24"/>
        </w:rPr>
        <w:t>7</w:t>
      </w:r>
      <w:r w:rsidRPr="00A811AA">
        <w:rPr>
          <w:rFonts w:ascii="Times New Roman" w:hAnsi="Times New Roman" w:cs="Times New Roman"/>
          <w:i w:val="0"/>
          <w:sz w:val="24"/>
        </w:rPr>
        <w:fldChar w:fldCharType="end"/>
      </w:r>
      <w:r w:rsidRPr="00A811AA">
        <w:rPr>
          <w:rFonts w:ascii="Times New Roman" w:hAnsi="Times New Roman" w:cs="Times New Roman"/>
          <w:i w:val="0"/>
          <w:sz w:val="24"/>
        </w:rPr>
        <w:t>: Hierarchical Porosity in Bio-Humid Wall Bricks: Intra-Binder, Intra-Particle, and Binder–Aggregate Interface Porosity</w:t>
      </w:r>
    </w:p>
    <w:p w14:paraId="77A0E2E9" w14:textId="77777777" w:rsidR="00A811AA" w:rsidRPr="00A811AA" w:rsidRDefault="00A811AA" w:rsidP="00A811AA">
      <w:pPr>
        <w:jc w:val="both"/>
        <w:rPr>
          <w:rFonts w:ascii="Times New Roman" w:hAnsi="Times New Roman" w:cs="Times New Roman"/>
          <w:sz w:val="24"/>
        </w:rPr>
      </w:pPr>
      <w:r w:rsidRPr="00A811AA">
        <w:rPr>
          <w:rFonts w:ascii="Times New Roman" w:hAnsi="Times New Roman" w:cs="Times New Roman"/>
          <w:sz w:val="24"/>
        </w:rPr>
        <w:t>The hierarchic</w:t>
      </w:r>
      <w:r w:rsidR="00F66F43">
        <w:rPr>
          <w:rFonts w:ascii="Times New Roman" w:hAnsi="Times New Roman" w:cs="Times New Roman"/>
          <w:sz w:val="24"/>
        </w:rPr>
        <w:t>al porosity depicted in Figure 7</w:t>
      </w:r>
      <w:r w:rsidRPr="00A811AA">
        <w:rPr>
          <w:rFonts w:ascii="Times New Roman" w:hAnsi="Times New Roman" w:cs="Times New Roman"/>
          <w:sz w:val="24"/>
        </w:rPr>
        <w:t xml:space="preserve"> plays a critical role in the thermal and moisture regulation performance of bio-humid wall bricks. Intra-binder porosity facilitates rapid moisture absorption and redistribution within the binder matrix, analogous to the epidermal layer of human skin that responds quickly to environmental heat and moisture changes. Intra-particle porosity within ceramic or clay aggregates provides additional storage capacity and enhances evaporative cooling potential, similar to how the dermis retains moisture for delayed release. Finally, the porosity at the binder–aggregate interface creates channels for vapor diffusion and capillary transport, ensuring coordinated heat and moisture transfer throughout the material. This multi-scale porous network enables both immediate and delayed </w:t>
      </w:r>
      <w:proofErr w:type="spellStart"/>
      <w:r w:rsidRPr="00A811AA">
        <w:rPr>
          <w:rFonts w:ascii="Times New Roman" w:hAnsi="Times New Roman" w:cs="Times New Roman"/>
          <w:sz w:val="24"/>
        </w:rPr>
        <w:t>hygrothermal</w:t>
      </w:r>
      <w:proofErr w:type="spellEnd"/>
      <w:r w:rsidRPr="00A811AA">
        <w:rPr>
          <w:rFonts w:ascii="Times New Roman" w:hAnsi="Times New Roman" w:cs="Times New Roman"/>
          <w:sz w:val="24"/>
        </w:rPr>
        <w:t xml:space="preserve"> responses, improving indoor humidity buffering and passive thermal regulation (</w:t>
      </w:r>
      <w:proofErr w:type="spellStart"/>
      <w:r w:rsidRPr="00A811AA">
        <w:rPr>
          <w:rFonts w:ascii="Times New Roman" w:hAnsi="Times New Roman" w:cs="Times New Roman"/>
          <w:sz w:val="24"/>
        </w:rPr>
        <w:t>Osanyintola</w:t>
      </w:r>
      <w:proofErr w:type="spellEnd"/>
      <w:r w:rsidRPr="00A811AA">
        <w:rPr>
          <w:rFonts w:ascii="Times New Roman" w:hAnsi="Times New Roman" w:cs="Times New Roman"/>
          <w:sz w:val="24"/>
        </w:rPr>
        <w:t xml:space="preserve"> &amp; Simonson, 2006; Tran Le et al., 2010; </w:t>
      </w:r>
      <w:proofErr w:type="spellStart"/>
      <w:r w:rsidRPr="00A811AA">
        <w:rPr>
          <w:rFonts w:ascii="Times New Roman" w:hAnsi="Times New Roman" w:cs="Times New Roman"/>
          <w:sz w:val="24"/>
        </w:rPr>
        <w:t>Viel</w:t>
      </w:r>
      <w:proofErr w:type="spellEnd"/>
      <w:r w:rsidRPr="00A811AA">
        <w:rPr>
          <w:rFonts w:ascii="Times New Roman" w:hAnsi="Times New Roman" w:cs="Times New Roman"/>
          <w:sz w:val="24"/>
        </w:rPr>
        <w:t xml:space="preserve"> et al., 2019; Latif et al., 2015). By emulating the skin’s layered and responsive structure, the brick’s porosity enhances its capacity to dissipate heat during hot conditions and conserve warmth under cold conditions, directly linking microstructural design to the mechanisms illustrated in Figures 4a and 4b</w:t>
      </w:r>
    </w:p>
    <w:p w14:paraId="722DEB5E" w14:textId="77777777" w:rsidR="009F2D10" w:rsidRDefault="007B6F82" w:rsidP="00B87156">
      <w:pPr>
        <w:pStyle w:val="Heading1"/>
      </w:pPr>
      <w:r>
        <w:rPr>
          <w:rStyle w:val="Strong"/>
          <w:b/>
          <w:bCs/>
        </w:rPr>
        <w:t>4.</w:t>
      </w:r>
      <w:r w:rsidR="00FC5F67">
        <w:rPr>
          <w:rStyle w:val="Strong"/>
          <w:b/>
          <w:bCs/>
        </w:rPr>
        <w:t xml:space="preserve"> </w:t>
      </w:r>
      <w:proofErr w:type="spellStart"/>
      <w:r w:rsidR="009F2D10">
        <w:rPr>
          <w:rStyle w:val="Strong"/>
          <w:b/>
          <w:bCs/>
        </w:rPr>
        <w:t>Hygrothermal</w:t>
      </w:r>
      <w:proofErr w:type="spellEnd"/>
      <w:r w:rsidR="009F2D10">
        <w:rPr>
          <w:rStyle w:val="Strong"/>
          <w:b/>
          <w:bCs/>
        </w:rPr>
        <w:t xml:space="preserve"> Performance Mechanism of the Bio-Humid Wall</w:t>
      </w:r>
    </w:p>
    <w:p w14:paraId="66AB768C" w14:textId="77777777" w:rsidR="009F2D10" w:rsidRPr="00B60041" w:rsidRDefault="009F2D10" w:rsidP="00B60041">
      <w:pPr>
        <w:jc w:val="both"/>
        <w:rPr>
          <w:rFonts w:ascii="Times New Roman" w:hAnsi="Times New Roman" w:cs="Times New Roman"/>
          <w:sz w:val="24"/>
        </w:rPr>
      </w:pPr>
      <w:r w:rsidRPr="00B60041">
        <w:rPr>
          <w:rFonts w:ascii="Times New Roman" w:hAnsi="Times New Roman" w:cs="Times New Roman"/>
          <w:sz w:val="24"/>
        </w:rPr>
        <w:t xml:space="preserve">The </w:t>
      </w:r>
      <w:proofErr w:type="spellStart"/>
      <w:r w:rsidRPr="00B60041">
        <w:rPr>
          <w:rFonts w:ascii="Times New Roman" w:hAnsi="Times New Roman" w:cs="Times New Roman"/>
          <w:sz w:val="24"/>
        </w:rPr>
        <w:t>hygrothermal</w:t>
      </w:r>
      <w:proofErr w:type="spellEnd"/>
      <w:r w:rsidRPr="00B60041">
        <w:rPr>
          <w:rFonts w:ascii="Times New Roman" w:hAnsi="Times New Roman" w:cs="Times New Roman"/>
          <w:sz w:val="24"/>
        </w:rPr>
        <w:t xml:space="preserve"> performance of the bio-humid wall brick is governed by coupled heat and moisture transfer processes occurring within the porous bio-based material matrix. Moisture transport is driven primarily by vapor diffusion and capillary absorption, while heat transfer occurs through conduction, convection within pore spaces, and latent heat exchange associated with moisture phase change. As noted by Janssen and </w:t>
      </w:r>
      <w:proofErr w:type="spellStart"/>
      <w:r w:rsidRPr="00B60041">
        <w:rPr>
          <w:rFonts w:ascii="Times New Roman" w:hAnsi="Times New Roman" w:cs="Times New Roman"/>
          <w:sz w:val="24"/>
        </w:rPr>
        <w:t>Roels</w:t>
      </w:r>
      <w:proofErr w:type="spellEnd"/>
      <w:r w:rsidRPr="00B60041">
        <w:rPr>
          <w:rFonts w:ascii="Times New Roman" w:hAnsi="Times New Roman" w:cs="Times New Roman"/>
          <w:sz w:val="24"/>
        </w:rPr>
        <w:t xml:space="preserve"> (2009) and Rode et al. (2019), the interaction between these mechanisms enables hygroscopic materials to moderate indoor temperature and relative humidity through passive regulation.</w:t>
      </w:r>
    </w:p>
    <w:p w14:paraId="5AEFCD5F" w14:textId="77777777" w:rsidR="009F2D10" w:rsidRPr="00B60041" w:rsidRDefault="009F2D10" w:rsidP="00B60041">
      <w:pPr>
        <w:jc w:val="both"/>
        <w:rPr>
          <w:rFonts w:ascii="Times New Roman" w:hAnsi="Times New Roman" w:cs="Times New Roman"/>
          <w:sz w:val="24"/>
        </w:rPr>
      </w:pPr>
      <w:r w:rsidRPr="00B60041">
        <w:rPr>
          <w:rFonts w:ascii="Times New Roman" w:hAnsi="Times New Roman" w:cs="Times New Roman"/>
          <w:sz w:val="24"/>
        </w:rPr>
        <w:t>Under hot and humid conditions, the wall absorbs moisture from the surrounding air, and evaporative processes within the pore structure contribute to latent heat removal, thereby reducing surface and indoor air temperatures</w:t>
      </w:r>
      <w:r w:rsidR="0040597C">
        <w:rPr>
          <w:rFonts w:ascii="Times New Roman" w:hAnsi="Times New Roman" w:cs="Times New Roman"/>
          <w:sz w:val="24"/>
        </w:rPr>
        <w:t xml:space="preserve"> (Table 6)</w:t>
      </w:r>
      <w:r w:rsidRPr="00B60041">
        <w:rPr>
          <w:rFonts w:ascii="Times New Roman" w:hAnsi="Times New Roman" w:cs="Times New Roman"/>
          <w:sz w:val="24"/>
        </w:rPr>
        <w:t xml:space="preserve">. This evaporative cooling effect has been </w:t>
      </w:r>
      <w:r w:rsidRPr="00B60041">
        <w:rPr>
          <w:rFonts w:ascii="Times New Roman" w:hAnsi="Times New Roman" w:cs="Times New Roman"/>
          <w:sz w:val="24"/>
        </w:rPr>
        <w:lastRenderedPageBreak/>
        <w:t xml:space="preserve">experimentally demonstrated in bio-aggregate materials, according to Latif et al. (2015) and </w:t>
      </w:r>
      <w:proofErr w:type="spellStart"/>
      <w:r w:rsidRPr="00B60041">
        <w:rPr>
          <w:rFonts w:ascii="Times New Roman" w:hAnsi="Times New Roman" w:cs="Times New Roman"/>
          <w:sz w:val="24"/>
        </w:rPr>
        <w:t>Colinart</w:t>
      </w:r>
      <w:proofErr w:type="spellEnd"/>
      <w:r w:rsidRPr="00B60041">
        <w:rPr>
          <w:rFonts w:ascii="Times New Roman" w:hAnsi="Times New Roman" w:cs="Times New Roman"/>
          <w:sz w:val="24"/>
        </w:rPr>
        <w:t xml:space="preserve"> et al. (2013). Simultaneously, the low thermal conductivity of the composite delays heat transfer across the wall, resulting in thermal damping and phase shift effects that improve indoor thermal stability, as reported by </w:t>
      </w:r>
      <w:proofErr w:type="spellStart"/>
      <w:r w:rsidRPr="00B60041">
        <w:rPr>
          <w:rFonts w:ascii="Times New Roman" w:hAnsi="Times New Roman" w:cs="Times New Roman"/>
          <w:sz w:val="24"/>
        </w:rPr>
        <w:t>Viel</w:t>
      </w:r>
      <w:proofErr w:type="spellEnd"/>
      <w:r w:rsidRPr="00B60041">
        <w:rPr>
          <w:rFonts w:ascii="Times New Roman" w:hAnsi="Times New Roman" w:cs="Times New Roman"/>
          <w:sz w:val="24"/>
        </w:rPr>
        <w:t xml:space="preserve"> et al. (2019) and </w:t>
      </w:r>
      <w:proofErr w:type="spellStart"/>
      <w:r w:rsidRPr="00B60041">
        <w:rPr>
          <w:rFonts w:ascii="Times New Roman" w:hAnsi="Times New Roman" w:cs="Times New Roman"/>
          <w:sz w:val="24"/>
        </w:rPr>
        <w:t>Gołębiewski</w:t>
      </w:r>
      <w:proofErr w:type="spellEnd"/>
      <w:r w:rsidRPr="00B60041">
        <w:rPr>
          <w:rFonts w:ascii="Times New Roman" w:hAnsi="Times New Roman" w:cs="Times New Roman"/>
          <w:sz w:val="24"/>
        </w:rPr>
        <w:t xml:space="preserve"> et al. (2025).</w:t>
      </w:r>
    </w:p>
    <w:p w14:paraId="3CA6A0A9" w14:textId="77777777" w:rsidR="0040597C" w:rsidRPr="00B60041" w:rsidRDefault="009F2D10" w:rsidP="00B60041">
      <w:pPr>
        <w:jc w:val="both"/>
        <w:rPr>
          <w:rFonts w:ascii="Times New Roman" w:hAnsi="Times New Roman" w:cs="Times New Roman"/>
          <w:sz w:val="24"/>
        </w:rPr>
      </w:pPr>
      <w:r w:rsidRPr="00B60041">
        <w:rPr>
          <w:rFonts w:ascii="Times New Roman" w:hAnsi="Times New Roman" w:cs="Times New Roman"/>
          <w:sz w:val="24"/>
        </w:rPr>
        <w:t xml:space="preserve">During cooler or drier conditions, the stored moisture within the wall is gradually released back into the indoor environment, increasing relative humidity and reducing excessive dryness. This moisture buffering behavior contributes to improved thermal comfort by limiting rapid humidity fluctuations, as described in the work of </w:t>
      </w:r>
      <w:proofErr w:type="spellStart"/>
      <w:r w:rsidRPr="00B60041">
        <w:rPr>
          <w:rFonts w:ascii="Times New Roman" w:hAnsi="Times New Roman" w:cs="Times New Roman"/>
          <w:sz w:val="24"/>
        </w:rPr>
        <w:t>Osanyintola</w:t>
      </w:r>
      <w:proofErr w:type="spellEnd"/>
      <w:r w:rsidRPr="00B60041">
        <w:rPr>
          <w:rFonts w:ascii="Times New Roman" w:hAnsi="Times New Roman" w:cs="Times New Roman"/>
          <w:sz w:val="24"/>
        </w:rPr>
        <w:t xml:space="preserve"> and Simonson (2006) and McGregor et al. (2017). The combined heat and moisture exchange processes function analogously to human skin thermoregulation, where controlled evaporation and blood flow regulate heat loss and conservation.</w:t>
      </w:r>
    </w:p>
    <w:p w14:paraId="5F6E437E" w14:textId="77777777" w:rsidR="0040597C" w:rsidRDefault="009F2D10" w:rsidP="00B60041">
      <w:pPr>
        <w:jc w:val="both"/>
        <w:rPr>
          <w:rFonts w:ascii="Times New Roman" w:hAnsi="Times New Roman" w:cs="Times New Roman"/>
          <w:sz w:val="24"/>
        </w:rPr>
      </w:pPr>
      <w:r w:rsidRPr="00B60041">
        <w:rPr>
          <w:rFonts w:ascii="Times New Roman" w:hAnsi="Times New Roman" w:cs="Times New Roman"/>
          <w:sz w:val="24"/>
        </w:rPr>
        <w:t xml:space="preserve">At the building scale, these </w:t>
      </w:r>
      <w:proofErr w:type="spellStart"/>
      <w:r w:rsidRPr="00B60041">
        <w:rPr>
          <w:rFonts w:ascii="Times New Roman" w:hAnsi="Times New Roman" w:cs="Times New Roman"/>
          <w:sz w:val="24"/>
        </w:rPr>
        <w:t>hygrothermal</w:t>
      </w:r>
      <w:proofErr w:type="spellEnd"/>
      <w:r w:rsidRPr="00B60041">
        <w:rPr>
          <w:rFonts w:ascii="Times New Roman" w:hAnsi="Times New Roman" w:cs="Times New Roman"/>
          <w:sz w:val="24"/>
        </w:rPr>
        <w:t xml:space="preserve"> interactions reduce peak cooling loads and enhance adaptive comfort, particularly in climates characterized by high diurnal temperature and humidity variations. Studies on climate-adaptive building envelopes have shown that such passive regulation mechanisms can significantly reduce reliance on mechanical cooling systems, as emphasized by </w:t>
      </w:r>
      <w:proofErr w:type="spellStart"/>
      <w:r w:rsidRPr="00B60041">
        <w:rPr>
          <w:rFonts w:ascii="Times New Roman" w:hAnsi="Times New Roman" w:cs="Times New Roman"/>
          <w:sz w:val="24"/>
        </w:rPr>
        <w:t>Loonen</w:t>
      </w:r>
      <w:proofErr w:type="spellEnd"/>
      <w:r w:rsidRPr="00B60041">
        <w:rPr>
          <w:rFonts w:ascii="Times New Roman" w:hAnsi="Times New Roman" w:cs="Times New Roman"/>
          <w:sz w:val="24"/>
        </w:rPr>
        <w:t xml:space="preserve"> et al. (2013) and </w:t>
      </w:r>
      <w:proofErr w:type="spellStart"/>
      <w:r w:rsidRPr="00B60041">
        <w:rPr>
          <w:rFonts w:ascii="Times New Roman" w:hAnsi="Times New Roman" w:cs="Times New Roman"/>
          <w:sz w:val="24"/>
        </w:rPr>
        <w:t>Santamouris</w:t>
      </w:r>
      <w:proofErr w:type="spellEnd"/>
      <w:r w:rsidRPr="00B60041">
        <w:rPr>
          <w:rFonts w:ascii="Times New Roman" w:hAnsi="Times New Roman" w:cs="Times New Roman"/>
          <w:sz w:val="24"/>
        </w:rPr>
        <w:t xml:space="preserve"> (2016). Consequently, the bio-humid wall brick operates as a dynamic envelope component that integrates thermal inertia, moisture buffering, and evaporative cooling to support energy-efficient and occupant-centric indoor environments.</w:t>
      </w:r>
      <w:r w:rsidR="0040597C">
        <w:rPr>
          <w:rFonts w:ascii="Times New Roman" w:hAnsi="Times New Roman" w:cs="Times New Roman"/>
          <w:sz w:val="24"/>
        </w:rPr>
        <w:t xml:space="preserve"> </w:t>
      </w:r>
    </w:p>
    <w:p w14:paraId="24201948" w14:textId="77777777" w:rsidR="004D7018" w:rsidRPr="004D7018" w:rsidRDefault="004D7018" w:rsidP="004D7018">
      <w:pPr>
        <w:pStyle w:val="NormalWeb"/>
        <w:jc w:val="both"/>
      </w:pPr>
      <w:r w:rsidRPr="004D7018">
        <w:t>Experimental studies on hemp-lime, clay masonry, and bio-based composites have demonstrated that such hierarchical porosity and hygroscopic buffering can significantly dampen indoor temperature swings and stabilize relative humidity (</w:t>
      </w:r>
      <w:proofErr w:type="spellStart"/>
      <w:r w:rsidRPr="004D7018">
        <w:t>Osanyintola</w:t>
      </w:r>
      <w:proofErr w:type="spellEnd"/>
      <w:r w:rsidRPr="004D7018">
        <w:t xml:space="preserve"> &amp; Simonson, 2006; Tran Le et al., 2010; Latif et al., 2015; McGregor et al., 2017; </w:t>
      </w:r>
      <w:proofErr w:type="spellStart"/>
      <w:r w:rsidRPr="004D7018">
        <w:t>Viel</w:t>
      </w:r>
      <w:proofErr w:type="spellEnd"/>
      <w:r w:rsidRPr="004D7018">
        <w:t xml:space="preserve"> et al., 2019).</w:t>
      </w:r>
    </w:p>
    <w:p w14:paraId="7E76B732" w14:textId="77777777" w:rsidR="004D7018" w:rsidRPr="004D7018" w:rsidRDefault="004D7018" w:rsidP="004D7018">
      <w:pPr>
        <w:pStyle w:val="NormalWeb"/>
        <w:jc w:val="both"/>
      </w:pPr>
      <w:r w:rsidRPr="004D7018">
        <w:t xml:space="preserve">Overall, the bio-humid wall operates as a </w:t>
      </w:r>
      <w:r w:rsidRPr="004D7018">
        <w:rPr>
          <w:rStyle w:val="Strong"/>
          <w:b w:val="0"/>
        </w:rPr>
        <w:t>passive</w:t>
      </w:r>
      <w:r w:rsidRPr="004D7018">
        <w:rPr>
          <w:rStyle w:val="Strong"/>
        </w:rPr>
        <w:t xml:space="preserve"> </w:t>
      </w:r>
      <w:proofErr w:type="spellStart"/>
      <w:r w:rsidRPr="004D7018">
        <w:rPr>
          <w:rStyle w:val="Strong"/>
          <w:b w:val="0"/>
        </w:rPr>
        <w:t>hygrothermal</w:t>
      </w:r>
      <w:proofErr w:type="spellEnd"/>
      <w:r w:rsidRPr="004D7018">
        <w:rPr>
          <w:rStyle w:val="Strong"/>
        </w:rPr>
        <w:t xml:space="preserve"> </w:t>
      </w:r>
      <w:r w:rsidRPr="004D7018">
        <w:rPr>
          <w:rStyle w:val="Strong"/>
          <w:b w:val="0"/>
        </w:rPr>
        <w:t>regulator</w:t>
      </w:r>
      <w:r w:rsidRPr="004D7018">
        <w:t>, reducing reliance on mechanical HVAC systems while maintaining indoor thermal comfort through a self-adaptive material response.</w:t>
      </w:r>
    </w:p>
    <w:p w14:paraId="2B5EE36A" w14:textId="77777777" w:rsidR="0040597C" w:rsidRDefault="0040597C" w:rsidP="00B60041">
      <w:pPr>
        <w:jc w:val="both"/>
        <w:rPr>
          <w:rFonts w:ascii="Times New Roman" w:hAnsi="Times New Roman" w:cs="Times New Roman"/>
          <w:sz w:val="24"/>
        </w:rPr>
        <w:sectPr w:rsidR="0040597C" w:rsidSect="00D87B7C">
          <w:pgSz w:w="12240" w:h="15840"/>
          <w:pgMar w:top="1440" w:right="1440" w:bottom="1440" w:left="1440" w:header="708" w:footer="708" w:gutter="0"/>
          <w:cols w:space="708"/>
          <w:docGrid w:linePitch="360"/>
        </w:sectPr>
      </w:pPr>
    </w:p>
    <w:p w14:paraId="724722DC" w14:textId="68E5691A" w:rsidR="009F2D10" w:rsidRPr="0040597C" w:rsidRDefault="0040597C" w:rsidP="0040597C">
      <w:pPr>
        <w:pStyle w:val="Caption"/>
        <w:rPr>
          <w:rFonts w:ascii="Times New Roman" w:hAnsi="Times New Roman" w:cs="Times New Roman"/>
          <w:i w:val="0"/>
          <w:sz w:val="24"/>
          <w:szCs w:val="24"/>
        </w:rPr>
      </w:pPr>
      <w:r w:rsidRPr="0040597C">
        <w:rPr>
          <w:rFonts w:ascii="Times New Roman" w:hAnsi="Times New Roman" w:cs="Times New Roman"/>
          <w:i w:val="0"/>
          <w:sz w:val="24"/>
          <w:szCs w:val="24"/>
        </w:rPr>
        <w:lastRenderedPageBreak/>
        <w:t xml:space="preserve">Table </w:t>
      </w:r>
      <w:r w:rsidRPr="0040597C">
        <w:rPr>
          <w:rFonts w:ascii="Times New Roman" w:hAnsi="Times New Roman" w:cs="Times New Roman"/>
          <w:i w:val="0"/>
          <w:sz w:val="24"/>
          <w:szCs w:val="24"/>
        </w:rPr>
        <w:fldChar w:fldCharType="begin"/>
      </w:r>
      <w:r w:rsidRPr="0040597C">
        <w:rPr>
          <w:rFonts w:ascii="Times New Roman" w:hAnsi="Times New Roman" w:cs="Times New Roman"/>
          <w:i w:val="0"/>
          <w:sz w:val="24"/>
          <w:szCs w:val="24"/>
        </w:rPr>
        <w:instrText xml:space="preserve"> SEQ Table \* ARABIC </w:instrText>
      </w:r>
      <w:r w:rsidRPr="0040597C">
        <w:rPr>
          <w:rFonts w:ascii="Times New Roman" w:hAnsi="Times New Roman" w:cs="Times New Roman"/>
          <w:i w:val="0"/>
          <w:sz w:val="24"/>
          <w:szCs w:val="24"/>
        </w:rPr>
        <w:fldChar w:fldCharType="separate"/>
      </w:r>
      <w:r w:rsidR="00D8620E">
        <w:rPr>
          <w:rFonts w:ascii="Times New Roman" w:hAnsi="Times New Roman" w:cs="Times New Roman"/>
          <w:i w:val="0"/>
          <w:noProof/>
          <w:sz w:val="24"/>
          <w:szCs w:val="24"/>
        </w:rPr>
        <w:t>6</w:t>
      </w:r>
      <w:r w:rsidRPr="0040597C">
        <w:rPr>
          <w:rFonts w:ascii="Times New Roman" w:hAnsi="Times New Roman" w:cs="Times New Roman"/>
          <w:i w:val="0"/>
          <w:sz w:val="24"/>
          <w:szCs w:val="24"/>
        </w:rPr>
        <w:fldChar w:fldCharType="end"/>
      </w:r>
      <w:r w:rsidRPr="0040597C">
        <w:rPr>
          <w:rFonts w:ascii="Times New Roman" w:hAnsi="Times New Roman" w:cs="Times New Roman"/>
          <w:i w:val="0"/>
          <w:sz w:val="24"/>
          <w:szCs w:val="24"/>
        </w:rPr>
        <w:t xml:space="preserve">: </w:t>
      </w:r>
      <w:proofErr w:type="spellStart"/>
      <w:r w:rsidRPr="0040597C">
        <w:rPr>
          <w:rFonts w:ascii="Times New Roman" w:hAnsi="Times New Roman" w:cs="Times New Roman"/>
          <w:i w:val="0"/>
          <w:sz w:val="24"/>
          <w:szCs w:val="24"/>
        </w:rPr>
        <w:t>Hygrothermal</w:t>
      </w:r>
      <w:proofErr w:type="spellEnd"/>
      <w:r w:rsidRPr="0040597C">
        <w:rPr>
          <w:rFonts w:ascii="Times New Roman" w:hAnsi="Times New Roman" w:cs="Times New Roman"/>
          <w:i w:val="0"/>
          <w:sz w:val="24"/>
          <w:szCs w:val="24"/>
        </w:rPr>
        <w:t xml:space="preserve"> Performance Mechanisms of the Bio-Humid Wall System</w:t>
      </w:r>
    </w:p>
    <w:tbl>
      <w:tblPr>
        <w:tblStyle w:val="TableGrid"/>
        <w:tblW w:w="14459" w:type="dxa"/>
        <w:tblInd w:w="-856" w:type="dxa"/>
        <w:tblLook w:val="04A0" w:firstRow="1" w:lastRow="0" w:firstColumn="1" w:lastColumn="0" w:noHBand="0" w:noVBand="1"/>
      </w:tblPr>
      <w:tblGrid>
        <w:gridCol w:w="2552"/>
        <w:gridCol w:w="2621"/>
        <w:gridCol w:w="2317"/>
        <w:gridCol w:w="2150"/>
        <w:gridCol w:w="2141"/>
        <w:gridCol w:w="2678"/>
      </w:tblGrid>
      <w:tr w:rsidR="0040597C" w:rsidRPr="0040597C" w14:paraId="2F73C570" w14:textId="77777777" w:rsidTr="0040597C">
        <w:tc>
          <w:tcPr>
            <w:tcW w:w="2552" w:type="dxa"/>
            <w:hideMark/>
          </w:tcPr>
          <w:p w14:paraId="2E114B75" w14:textId="77777777" w:rsidR="0040597C" w:rsidRPr="0040597C" w:rsidRDefault="0040597C" w:rsidP="0040597C">
            <w:pPr>
              <w:jc w:val="center"/>
              <w:rPr>
                <w:rFonts w:ascii="Times New Roman" w:eastAsia="Times New Roman" w:hAnsi="Times New Roman" w:cs="Times New Roman"/>
                <w:b/>
                <w:bCs/>
                <w:sz w:val="24"/>
                <w:szCs w:val="24"/>
              </w:rPr>
            </w:pPr>
            <w:r w:rsidRPr="0040597C">
              <w:rPr>
                <w:rFonts w:ascii="Times New Roman" w:eastAsia="Times New Roman" w:hAnsi="Times New Roman" w:cs="Times New Roman"/>
                <w:b/>
                <w:bCs/>
                <w:sz w:val="24"/>
                <w:szCs w:val="24"/>
              </w:rPr>
              <w:t>Human Skin Function</w:t>
            </w:r>
          </w:p>
        </w:tc>
        <w:tc>
          <w:tcPr>
            <w:tcW w:w="2621" w:type="dxa"/>
            <w:hideMark/>
          </w:tcPr>
          <w:p w14:paraId="688892F4" w14:textId="77777777" w:rsidR="0040597C" w:rsidRPr="0040597C" w:rsidRDefault="0040597C" w:rsidP="0040597C">
            <w:pPr>
              <w:jc w:val="center"/>
              <w:rPr>
                <w:rFonts w:ascii="Times New Roman" w:eastAsia="Times New Roman" w:hAnsi="Times New Roman" w:cs="Times New Roman"/>
                <w:b/>
                <w:bCs/>
                <w:sz w:val="24"/>
                <w:szCs w:val="24"/>
              </w:rPr>
            </w:pPr>
            <w:r w:rsidRPr="0040597C">
              <w:rPr>
                <w:rFonts w:ascii="Times New Roman" w:eastAsia="Times New Roman" w:hAnsi="Times New Roman" w:cs="Times New Roman"/>
                <w:b/>
                <w:bCs/>
                <w:sz w:val="24"/>
                <w:szCs w:val="24"/>
              </w:rPr>
              <w:t>Bio-Humid Wall Component</w:t>
            </w:r>
          </w:p>
        </w:tc>
        <w:tc>
          <w:tcPr>
            <w:tcW w:w="0" w:type="auto"/>
            <w:hideMark/>
          </w:tcPr>
          <w:p w14:paraId="5A7A9778" w14:textId="77777777" w:rsidR="0040597C" w:rsidRPr="0040597C" w:rsidRDefault="0040597C" w:rsidP="0040597C">
            <w:pPr>
              <w:jc w:val="center"/>
              <w:rPr>
                <w:rFonts w:ascii="Times New Roman" w:eastAsia="Times New Roman" w:hAnsi="Times New Roman" w:cs="Times New Roman"/>
                <w:b/>
                <w:bCs/>
                <w:sz w:val="24"/>
                <w:szCs w:val="24"/>
              </w:rPr>
            </w:pPr>
            <w:r w:rsidRPr="0040597C">
              <w:rPr>
                <w:rFonts w:ascii="Times New Roman" w:eastAsia="Times New Roman" w:hAnsi="Times New Roman" w:cs="Times New Roman"/>
                <w:b/>
                <w:bCs/>
                <w:sz w:val="24"/>
                <w:szCs w:val="24"/>
              </w:rPr>
              <w:t>Mechanism</w:t>
            </w:r>
          </w:p>
        </w:tc>
        <w:tc>
          <w:tcPr>
            <w:tcW w:w="0" w:type="auto"/>
            <w:hideMark/>
          </w:tcPr>
          <w:p w14:paraId="2C11C7F6" w14:textId="77777777" w:rsidR="0040597C" w:rsidRPr="0040597C" w:rsidRDefault="0040597C" w:rsidP="0040597C">
            <w:pPr>
              <w:jc w:val="center"/>
              <w:rPr>
                <w:rFonts w:ascii="Times New Roman" w:eastAsia="Times New Roman" w:hAnsi="Times New Roman" w:cs="Times New Roman"/>
                <w:b/>
                <w:bCs/>
                <w:sz w:val="24"/>
                <w:szCs w:val="24"/>
              </w:rPr>
            </w:pPr>
            <w:proofErr w:type="spellStart"/>
            <w:r w:rsidRPr="0040597C">
              <w:rPr>
                <w:rFonts w:ascii="Times New Roman" w:eastAsia="Times New Roman" w:hAnsi="Times New Roman" w:cs="Times New Roman"/>
                <w:b/>
                <w:bCs/>
                <w:sz w:val="24"/>
                <w:szCs w:val="24"/>
              </w:rPr>
              <w:t>Hygrothermal</w:t>
            </w:r>
            <w:proofErr w:type="spellEnd"/>
            <w:r w:rsidRPr="0040597C">
              <w:rPr>
                <w:rFonts w:ascii="Times New Roman" w:eastAsia="Times New Roman" w:hAnsi="Times New Roman" w:cs="Times New Roman"/>
                <w:b/>
                <w:bCs/>
                <w:sz w:val="24"/>
                <w:szCs w:val="24"/>
              </w:rPr>
              <w:t xml:space="preserve"> Effect</w:t>
            </w:r>
          </w:p>
        </w:tc>
        <w:tc>
          <w:tcPr>
            <w:tcW w:w="0" w:type="auto"/>
            <w:hideMark/>
          </w:tcPr>
          <w:p w14:paraId="4130FB63" w14:textId="77777777" w:rsidR="0040597C" w:rsidRPr="0040597C" w:rsidRDefault="0040597C" w:rsidP="0040597C">
            <w:pPr>
              <w:jc w:val="center"/>
              <w:rPr>
                <w:rFonts w:ascii="Times New Roman" w:eastAsia="Times New Roman" w:hAnsi="Times New Roman" w:cs="Times New Roman"/>
                <w:b/>
                <w:bCs/>
                <w:sz w:val="24"/>
                <w:szCs w:val="24"/>
              </w:rPr>
            </w:pPr>
            <w:r w:rsidRPr="0040597C">
              <w:rPr>
                <w:rFonts w:ascii="Times New Roman" w:eastAsia="Times New Roman" w:hAnsi="Times New Roman" w:cs="Times New Roman"/>
                <w:b/>
                <w:bCs/>
                <w:sz w:val="24"/>
                <w:szCs w:val="24"/>
              </w:rPr>
              <w:t>Performance Outcome</w:t>
            </w:r>
          </w:p>
        </w:tc>
        <w:tc>
          <w:tcPr>
            <w:tcW w:w="2678" w:type="dxa"/>
            <w:hideMark/>
          </w:tcPr>
          <w:p w14:paraId="0F28E8B3" w14:textId="77777777" w:rsidR="0040597C" w:rsidRPr="0040597C" w:rsidRDefault="0040597C" w:rsidP="0040597C">
            <w:pPr>
              <w:jc w:val="center"/>
              <w:rPr>
                <w:rFonts w:ascii="Times New Roman" w:eastAsia="Times New Roman" w:hAnsi="Times New Roman" w:cs="Times New Roman"/>
                <w:b/>
                <w:bCs/>
                <w:sz w:val="24"/>
                <w:szCs w:val="24"/>
              </w:rPr>
            </w:pPr>
            <w:r w:rsidRPr="0040597C">
              <w:rPr>
                <w:rFonts w:ascii="Times New Roman" w:eastAsia="Times New Roman" w:hAnsi="Times New Roman" w:cs="Times New Roman"/>
                <w:b/>
                <w:bCs/>
                <w:sz w:val="24"/>
                <w:szCs w:val="24"/>
              </w:rPr>
              <w:t>Supporting References</w:t>
            </w:r>
          </w:p>
        </w:tc>
      </w:tr>
      <w:tr w:rsidR="0040597C" w:rsidRPr="0040597C" w14:paraId="46D0E4F2" w14:textId="77777777" w:rsidTr="0040597C">
        <w:tc>
          <w:tcPr>
            <w:tcW w:w="2552" w:type="dxa"/>
            <w:hideMark/>
          </w:tcPr>
          <w:p w14:paraId="076A2C30" w14:textId="77777777" w:rsidR="0040597C" w:rsidRPr="0040597C" w:rsidRDefault="0040597C" w:rsidP="0040597C">
            <w:pPr>
              <w:rPr>
                <w:rFonts w:ascii="Times New Roman" w:eastAsia="Times New Roman" w:hAnsi="Times New Roman" w:cs="Times New Roman"/>
                <w:sz w:val="24"/>
                <w:szCs w:val="24"/>
              </w:rPr>
            </w:pPr>
            <w:r w:rsidRPr="0040597C">
              <w:rPr>
                <w:rFonts w:ascii="Times New Roman" w:eastAsia="Times New Roman" w:hAnsi="Times New Roman" w:cs="Times New Roman"/>
                <w:sz w:val="24"/>
                <w:szCs w:val="24"/>
              </w:rPr>
              <w:t>Sweat secretion for evaporative cooling</w:t>
            </w:r>
          </w:p>
        </w:tc>
        <w:tc>
          <w:tcPr>
            <w:tcW w:w="2621" w:type="dxa"/>
            <w:hideMark/>
          </w:tcPr>
          <w:p w14:paraId="0F2DE064" w14:textId="77777777" w:rsidR="0040597C" w:rsidRPr="0040597C" w:rsidRDefault="0040597C" w:rsidP="0040597C">
            <w:pPr>
              <w:rPr>
                <w:rFonts w:ascii="Times New Roman" w:eastAsia="Times New Roman" w:hAnsi="Times New Roman" w:cs="Times New Roman"/>
                <w:sz w:val="24"/>
                <w:szCs w:val="24"/>
              </w:rPr>
            </w:pPr>
            <w:r w:rsidRPr="0040597C">
              <w:rPr>
                <w:rFonts w:ascii="Times New Roman" w:eastAsia="Times New Roman" w:hAnsi="Times New Roman" w:cs="Times New Roman"/>
                <w:sz w:val="24"/>
                <w:szCs w:val="24"/>
              </w:rPr>
              <w:t>Porous ceramic / clay outer layer</w:t>
            </w:r>
          </w:p>
        </w:tc>
        <w:tc>
          <w:tcPr>
            <w:tcW w:w="0" w:type="auto"/>
            <w:hideMark/>
          </w:tcPr>
          <w:p w14:paraId="6E062395" w14:textId="77777777" w:rsidR="0040597C" w:rsidRPr="0040597C" w:rsidRDefault="0040597C" w:rsidP="0040597C">
            <w:pPr>
              <w:rPr>
                <w:rFonts w:ascii="Times New Roman" w:eastAsia="Times New Roman" w:hAnsi="Times New Roman" w:cs="Times New Roman"/>
                <w:sz w:val="24"/>
                <w:szCs w:val="24"/>
              </w:rPr>
            </w:pPr>
            <w:r w:rsidRPr="0040597C">
              <w:rPr>
                <w:rFonts w:ascii="Times New Roman" w:eastAsia="Times New Roman" w:hAnsi="Times New Roman" w:cs="Times New Roman"/>
                <w:sz w:val="24"/>
                <w:szCs w:val="24"/>
              </w:rPr>
              <w:t>Absorbs ambient moisture and promotes surface evaporation</w:t>
            </w:r>
          </w:p>
        </w:tc>
        <w:tc>
          <w:tcPr>
            <w:tcW w:w="0" w:type="auto"/>
            <w:hideMark/>
          </w:tcPr>
          <w:p w14:paraId="7C90015D" w14:textId="77777777" w:rsidR="0040597C" w:rsidRPr="0040597C" w:rsidRDefault="0040597C" w:rsidP="0040597C">
            <w:pPr>
              <w:rPr>
                <w:rFonts w:ascii="Times New Roman" w:eastAsia="Times New Roman" w:hAnsi="Times New Roman" w:cs="Times New Roman"/>
                <w:sz w:val="24"/>
                <w:szCs w:val="24"/>
              </w:rPr>
            </w:pPr>
            <w:r w:rsidRPr="0040597C">
              <w:rPr>
                <w:rFonts w:ascii="Times New Roman" w:eastAsia="Times New Roman" w:hAnsi="Times New Roman" w:cs="Times New Roman"/>
                <w:sz w:val="24"/>
                <w:szCs w:val="24"/>
              </w:rPr>
              <w:t>Latent heat removal from wall surface</w:t>
            </w:r>
          </w:p>
        </w:tc>
        <w:tc>
          <w:tcPr>
            <w:tcW w:w="0" w:type="auto"/>
            <w:hideMark/>
          </w:tcPr>
          <w:p w14:paraId="3B913EE7" w14:textId="77777777" w:rsidR="0040597C" w:rsidRPr="0040597C" w:rsidRDefault="0040597C" w:rsidP="0040597C">
            <w:pPr>
              <w:rPr>
                <w:rFonts w:ascii="Times New Roman" w:eastAsia="Times New Roman" w:hAnsi="Times New Roman" w:cs="Times New Roman"/>
                <w:sz w:val="24"/>
                <w:szCs w:val="24"/>
              </w:rPr>
            </w:pPr>
            <w:r w:rsidRPr="0040597C">
              <w:rPr>
                <w:rFonts w:ascii="Times New Roman" w:eastAsia="Times New Roman" w:hAnsi="Times New Roman" w:cs="Times New Roman"/>
                <w:sz w:val="24"/>
                <w:szCs w:val="24"/>
              </w:rPr>
              <w:t>Passive cooling and reduction of indoor air temperature</w:t>
            </w:r>
          </w:p>
        </w:tc>
        <w:tc>
          <w:tcPr>
            <w:tcW w:w="2678" w:type="dxa"/>
            <w:hideMark/>
          </w:tcPr>
          <w:p w14:paraId="4E26EFF8" w14:textId="77777777" w:rsidR="0040597C" w:rsidRPr="0040597C" w:rsidRDefault="0040597C" w:rsidP="0040597C">
            <w:pPr>
              <w:rPr>
                <w:rFonts w:ascii="Times New Roman" w:eastAsia="Times New Roman" w:hAnsi="Times New Roman" w:cs="Times New Roman"/>
                <w:sz w:val="24"/>
                <w:szCs w:val="24"/>
              </w:rPr>
            </w:pPr>
            <w:proofErr w:type="spellStart"/>
            <w:r w:rsidRPr="0040597C">
              <w:rPr>
                <w:rFonts w:ascii="Times New Roman" w:eastAsia="Times New Roman" w:hAnsi="Times New Roman" w:cs="Times New Roman"/>
                <w:sz w:val="24"/>
                <w:szCs w:val="24"/>
              </w:rPr>
              <w:t>Osanyintola</w:t>
            </w:r>
            <w:proofErr w:type="spellEnd"/>
            <w:r w:rsidRPr="0040597C">
              <w:rPr>
                <w:rFonts w:ascii="Times New Roman" w:eastAsia="Times New Roman" w:hAnsi="Times New Roman" w:cs="Times New Roman"/>
                <w:sz w:val="24"/>
                <w:szCs w:val="24"/>
              </w:rPr>
              <w:t xml:space="preserve"> &amp; Simonson (2006); Tran Le et al. (2010)</w:t>
            </w:r>
          </w:p>
        </w:tc>
      </w:tr>
      <w:tr w:rsidR="0040597C" w:rsidRPr="0040597C" w14:paraId="2E58E0A2" w14:textId="77777777" w:rsidTr="0040597C">
        <w:tc>
          <w:tcPr>
            <w:tcW w:w="2552" w:type="dxa"/>
            <w:hideMark/>
          </w:tcPr>
          <w:p w14:paraId="56EBE850" w14:textId="77777777" w:rsidR="0040597C" w:rsidRPr="0040597C" w:rsidRDefault="0040597C" w:rsidP="0040597C">
            <w:pPr>
              <w:rPr>
                <w:rFonts w:ascii="Times New Roman" w:eastAsia="Times New Roman" w:hAnsi="Times New Roman" w:cs="Times New Roman"/>
                <w:sz w:val="24"/>
                <w:szCs w:val="24"/>
              </w:rPr>
            </w:pPr>
            <w:r w:rsidRPr="0040597C">
              <w:rPr>
                <w:rFonts w:ascii="Times New Roman" w:eastAsia="Times New Roman" w:hAnsi="Times New Roman" w:cs="Times New Roman"/>
                <w:sz w:val="24"/>
                <w:szCs w:val="24"/>
              </w:rPr>
              <w:t>Dermal moisture retention</w:t>
            </w:r>
          </w:p>
        </w:tc>
        <w:tc>
          <w:tcPr>
            <w:tcW w:w="2621" w:type="dxa"/>
            <w:hideMark/>
          </w:tcPr>
          <w:p w14:paraId="333C1B15" w14:textId="77777777" w:rsidR="0040597C" w:rsidRPr="0040597C" w:rsidRDefault="0040597C" w:rsidP="0040597C">
            <w:pPr>
              <w:rPr>
                <w:rFonts w:ascii="Times New Roman" w:eastAsia="Times New Roman" w:hAnsi="Times New Roman" w:cs="Times New Roman"/>
                <w:sz w:val="24"/>
                <w:szCs w:val="24"/>
              </w:rPr>
            </w:pPr>
            <w:r w:rsidRPr="0040597C">
              <w:rPr>
                <w:rFonts w:ascii="Times New Roman" w:eastAsia="Times New Roman" w:hAnsi="Times New Roman" w:cs="Times New Roman"/>
                <w:sz w:val="24"/>
                <w:szCs w:val="24"/>
              </w:rPr>
              <w:t>Cellulose / chitosan hygroscopic core</w:t>
            </w:r>
          </w:p>
        </w:tc>
        <w:tc>
          <w:tcPr>
            <w:tcW w:w="0" w:type="auto"/>
            <w:hideMark/>
          </w:tcPr>
          <w:p w14:paraId="23E7BC30" w14:textId="77777777" w:rsidR="0040597C" w:rsidRPr="0040597C" w:rsidRDefault="0040597C" w:rsidP="0040597C">
            <w:pPr>
              <w:rPr>
                <w:rFonts w:ascii="Times New Roman" w:eastAsia="Times New Roman" w:hAnsi="Times New Roman" w:cs="Times New Roman"/>
                <w:sz w:val="24"/>
                <w:szCs w:val="24"/>
              </w:rPr>
            </w:pPr>
            <w:r w:rsidRPr="0040597C">
              <w:rPr>
                <w:rFonts w:ascii="Times New Roman" w:eastAsia="Times New Roman" w:hAnsi="Times New Roman" w:cs="Times New Roman"/>
                <w:sz w:val="24"/>
                <w:szCs w:val="24"/>
              </w:rPr>
              <w:t>Stores moisture within polymer matrix</w:t>
            </w:r>
          </w:p>
        </w:tc>
        <w:tc>
          <w:tcPr>
            <w:tcW w:w="0" w:type="auto"/>
            <w:hideMark/>
          </w:tcPr>
          <w:p w14:paraId="0C2B42D3" w14:textId="77777777" w:rsidR="0040597C" w:rsidRPr="0040597C" w:rsidRDefault="0040597C" w:rsidP="0040597C">
            <w:pPr>
              <w:rPr>
                <w:rFonts w:ascii="Times New Roman" w:eastAsia="Times New Roman" w:hAnsi="Times New Roman" w:cs="Times New Roman"/>
                <w:sz w:val="24"/>
                <w:szCs w:val="24"/>
              </w:rPr>
            </w:pPr>
            <w:r w:rsidRPr="0040597C">
              <w:rPr>
                <w:rFonts w:ascii="Times New Roman" w:eastAsia="Times New Roman" w:hAnsi="Times New Roman" w:cs="Times New Roman"/>
                <w:sz w:val="24"/>
                <w:szCs w:val="24"/>
              </w:rPr>
              <w:t>Delayed moisture release during dry conditions</w:t>
            </w:r>
          </w:p>
        </w:tc>
        <w:tc>
          <w:tcPr>
            <w:tcW w:w="0" w:type="auto"/>
            <w:hideMark/>
          </w:tcPr>
          <w:p w14:paraId="72AF53C5" w14:textId="77777777" w:rsidR="0040597C" w:rsidRPr="0040597C" w:rsidRDefault="0040597C" w:rsidP="0040597C">
            <w:pPr>
              <w:rPr>
                <w:rFonts w:ascii="Times New Roman" w:eastAsia="Times New Roman" w:hAnsi="Times New Roman" w:cs="Times New Roman"/>
                <w:sz w:val="24"/>
                <w:szCs w:val="24"/>
              </w:rPr>
            </w:pPr>
            <w:r w:rsidRPr="0040597C">
              <w:rPr>
                <w:rFonts w:ascii="Times New Roman" w:eastAsia="Times New Roman" w:hAnsi="Times New Roman" w:cs="Times New Roman"/>
                <w:sz w:val="24"/>
                <w:szCs w:val="24"/>
              </w:rPr>
              <w:t>Humidity buffering and stabilization of indoor RH</w:t>
            </w:r>
          </w:p>
        </w:tc>
        <w:tc>
          <w:tcPr>
            <w:tcW w:w="2678" w:type="dxa"/>
            <w:hideMark/>
          </w:tcPr>
          <w:p w14:paraId="4B2D9278" w14:textId="77777777" w:rsidR="0040597C" w:rsidRPr="0040597C" w:rsidRDefault="0040597C" w:rsidP="0040597C">
            <w:pPr>
              <w:rPr>
                <w:rFonts w:ascii="Times New Roman" w:eastAsia="Times New Roman" w:hAnsi="Times New Roman" w:cs="Times New Roman"/>
                <w:sz w:val="24"/>
                <w:szCs w:val="24"/>
              </w:rPr>
            </w:pPr>
            <w:r w:rsidRPr="0040597C">
              <w:rPr>
                <w:rFonts w:ascii="Times New Roman" w:eastAsia="Times New Roman" w:hAnsi="Times New Roman" w:cs="Times New Roman"/>
                <w:sz w:val="24"/>
                <w:szCs w:val="24"/>
              </w:rPr>
              <w:t>Latif et al. (2015); McGregor et al. (2017)</w:t>
            </w:r>
          </w:p>
        </w:tc>
      </w:tr>
      <w:tr w:rsidR="0040597C" w:rsidRPr="0040597C" w14:paraId="43A89148" w14:textId="77777777" w:rsidTr="0040597C">
        <w:tc>
          <w:tcPr>
            <w:tcW w:w="2552" w:type="dxa"/>
            <w:hideMark/>
          </w:tcPr>
          <w:p w14:paraId="22AE74EE" w14:textId="77777777" w:rsidR="0040597C" w:rsidRPr="0040597C" w:rsidRDefault="0040597C" w:rsidP="0040597C">
            <w:pPr>
              <w:rPr>
                <w:rFonts w:ascii="Times New Roman" w:eastAsia="Times New Roman" w:hAnsi="Times New Roman" w:cs="Times New Roman"/>
                <w:sz w:val="24"/>
                <w:szCs w:val="24"/>
              </w:rPr>
            </w:pPr>
            <w:r w:rsidRPr="0040597C">
              <w:rPr>
                <w:rFonts w:ascii="Times New Roman" w:eastAsia="Times New Roman" w:hAnsi="Times New Roman" w:cs="Times New Roman"/>
                <w:sz w:val="24"/>
                <w:szCs w:val="24"/>
              </w:rPr>
              <w:t>Vasodilation for heat dissipation</w:t>
            </w:r>
          </w:p>
        </w:tc>
        <w:tc>
          <w:tcPr>
            <w:tcW w:w="2621" w:type="dxa"/>
            <w:hideMark/>
          </w:tcPr>
          <w:p w14:paraId="19C88C48" w14:textId="77777777" w:rsidR="0040597C" w:rsidRPr="0040597C" w:rsidRDefault="0040597C" w:rsidP="0040597C">
            <w:pPr>
              <w:rPr>
                <w:rFonts w:ascii="Times New Roman" w:eastAsia="Times New Roman" w:hAnsi="Times New Roman" w:cs="Times New Roman"/>
                <w:sz w:val="24"/>
                <w:szCs w:val="24"/>
              </w:rPr>
            </w:pPr>
            <w:r w:rsidRPr="0040597C">
              <w:rPr>
                <w:rFonts w:ascii="Times New Roman" w:eastAsia="Times New Roman" w:hAnsi="Times New Roman" w:cs="Times New Roman"/>
                <w:sz w:val="24"/>
                <w:szCs w:val="24"/>
              </w:rPr>
              <w:t>Intra-binder and binder–aggregate interface porosity</w:t>
            </w:r>
          </w:p>
        </w:tc>
        <w:tc>
          <w:tcPr>
            <w:tcW w:w="0" w:type="auto"/>
            <w:hideMark/>
          </w:tcPr>
          <w:p w14:paraId="3DBA5403" w14:textId="77777777" w:rsidR="0040597C" w:rsidRPr="0040597C" w:rsidRDefault="0040597C" w:rsidP="0040597C">
            <w:pPr>
              <w:rPr>
                <w:rFonts w:ascii="Times New Roman" w:eastAsia="Times New Roman" w:hAnsi="Times New Roman" w:cs="Times New Roman"/>
                <w:sz w:val="24"/>
                <w:szCs w:val="24"/>
              </w:rPr>
            </w:pPr>
            <w:r w:rsidRPr="0040597C">
              <w:rPr>
                <w:rFonts w:ascii="Times New Roman" w:eastAsia="Times New Roman" w:hAnsi="Times New Roman" w:cs="Times New Roman"/>
                <w:sz w:val="24"/>
                <w:szCs w:val="24"/>
              </w:rPr>
              <w:t>Enhances vapor diffusion and heat flow</w:t>
            </w:r>
          </w:p>
        </w:tc>
        <w:tc>
          <w:tcPr>
            <w:tcW w:w="0" w:type="auto"/>
            <w:hideMark/>
          </w:tcPr>
          <w:p w14:paraId="3035D739" w14:textId="77777777" w:rsidR="0040597C" w:rsidRPr="0040597C" w:rsidRDefault="0040597C" w:rsidP="0040597C">
            <w:pPr>
              <w:rPr>
                <w:rFonts w:ascii="Times New Roman" w:eastAsia="Times New Roman" w:hAnsi="Times New Roman" w:cs="Times New Roman"/>
                <w:sz w:val="24"/>
                <w:szCs w:val="24"/>
              </w:rPr>
            </w:pPr>
            <w:r w:rsidRPr="0040597C">
              <w:rPr>
                <w:rFonts w:ascii="Times New Roman" w:eastAsia="Times New Roman" w:hAnsi="Times New Roman" w:cs="Times New Roman"/>
                <w:sz w:val="24"/>
                <w:szCs w:val="24"/>
              </w:rPr>
              <w:t>Increased heat dissipation under hot conditions</w:t>
            </w:r>
          </w:p>
        </w:tc>
        <w:tc>
          <w:tcPr>
            <w:tcW w:w="0" w:type="auto"/>
            <w:hideMark/>
          </w:tcPr>
          <w:p w14:paraId="1C8E8146" w14:textId="77777777" w:rsidR="0040597C" w:rsidRPr="0040597C" w:rsidRDefault="0040597C" w:rsidP="0040597C">
            <w:pPr>
              <w:rPr>
                <w:rFonts w:ascii="Times New Roman" w:eastAsia="Times New Roman" w:hAnsi="Times New Roman" w:cs="Times New Roman"/>
                <w:sz w:val="24"/>
                <w:szCs w:val="24"/>
              </w:rPr>
            </w:pPr>
            <w:r w:rsidRPr="0040597C">
              <w:rPr>
                <w:rFonts w:ascii="Times New Roman" w:eastAsia="Times New Roman" w:hAnsi="Times New Roman" w:cs="Times New Roman"/>
                <w:sz w:val="24"/>
                <w:szCs w:val="24"/>
              </w:rPr>
              <w:t>Improved thermal comfort during heat stress</w:t>
            </w:r>
          </w:p>
        </w:tc>
        <w:tc>
          <w:tcPr>
            <w:tcW w:w="2678" w:type="dxa"/>
            <w:hideMark/>
          </w:tcPr>
          <w:p w14:paraId="22020C8F" w14:textId="77777777" w:rsidR="0040597C" w:rsidRPr="0040597C" w:rsidRDefault="0040597C" w:rsidP="0040597C">
            <w:pPr>
              <w:rPr>
                <w:rFonts w:ascii="Times New Roman" w:eastAsia="Times New Roman" w:hAnsi="Times New Roman" w:cs="Times New Roman"/>
                <w:sz w:val="24"/>
                <w:szCs w:val="24"/>
              </w:rPr>
            </w:pPr>
            <w:proofErr w:type="spellStart"/>
            <w:r w:rsidRPr="0040597C">
              <w:rPr>
                <w:rFonts w:ascii="Times New Roman" w:eastAsia="Times New Roman" w:hAnsi="Times New Roman" w:cs="Times New Roman"/>
                <w:sz w:val="24"/>
                <w:szCs w:val="24"/>
              </w:rPr>
              <w:t>Viel</w:t>
            </w:r>
            <w:proofErr w:type="spellEnd"/>
            <w:r w:rsidRPr="0040597C">
              <w:rPr>
                <w:rFonts w:ascii="Times New Roman" w:eastAsia="Times New Roman" w:hAnsi="Times New Roman" w:cs="Times New Roman"/>
                <w:sz w:val="24"/>
                <w:szCs w:val="24"/>
              </w:rPr>
              <w:t xml:space="preserve"> et al. (2019); </w:t>
            </w:r>
            <w:proofErr w:type="spellStart"/>
            <w:r w:rsidRPr="0040597C">
              <w:rPr>
                <w:rFonts w:ascii="Times New Roman" w:eastAsia="Times New Roman" w:hAnsi="Times New Roman" w:cs="Times New Roman"/>
                <w:sz w:val="24"/>
                <w:szCs w:val="24"/>
              </w:rPr>
              <w:t>Santamouris</w:t>
            </w:r>
            <w:proofErr w:type="spellEnd"/>
            <w:r w:rsidRPr="0040597C">
              <w:rPr>
                <w:rFonts w:ascii="Times New Roman" w:eastAsia="Times New Roman" w:hAnsi="Times New Roman" w:cs="Times New Roman"/>
                <w:sz w:val="24"/>
                <w:szCs w:val="24"/>
              </w:rPr>
              <w:t xml:space="preserve"> (2016)</w:t>
            </w:r>
          </w:p>
        </w:tc>
      </w:tr>
      <w:tr w:rsidR="0040597C" w:rsidRPr="0040597C" w14:paraId="44311AF8" w14:textId="77777777" w:rsidTr="0040597C">
        <w:tc>
          <w:tcPr>
            <w:tcW w:w="2552" w:type="dxa"/>
            <w:hideMark/>
          </w:tcPr>
          <w:p w14:paraId="34DA4E00" w14:textId="77777777" w:rsidR="0040597C" w:rsidRPr="0040597C" w:rsidRDefault="0040597C" w:rsidP="0040597C">
            <w:pPr>
              <w:rPr>
                <w:rFonts w:ascii="Times New Roman" w:eastAsia="Times New Roman" w:hAnsi="Times New Roman" w:cs="Times New Roman"/>
                <w:sz w:val="24"/>
                <w:szCs w:val="24"/>
              </w:rPr>
            </w:pPr>
            <w:r w:rsidRPr="0040597C">
              <w:rPr>
                <w:rFonts w:ascii="Times New Roman" w:eastAsia="Times New Roman" w:hAnsi="Times New Roman" w:cs="Times New Roman"/>
                <w:sz w:val="24"/>
                <w:szCs w:val="24"/>
              </w:rPr>
              <w:t>Vasoconstriction for heat conservation</w:t>
            </w:r>
          </w:p>
        </w:tc>
        <w:tc>
          <w:tcPr>
            <w:tcW w:w="2621" w:type="dxa"/>
            <w:hideMark/>
          </w:tcPr>
          <w:p w14:paraId="35EF1D7C" w14:textId="77777777" w:rsidR="0040597C" w:rsidRPr="0040597C" w:rsidRDefault="0040597C" w:rsidP="0040597C">
            <w:pPr>
              <w:rPr>
                <w:rFonts w:ascii="Times New Roman" w:eastAsia="Times New Roman" w:hAnsi="Times New Roman" w:cs="Times New Roman"/>
                <w:sz w:val="24"/>
                <w:szCs w:val="24"/>
              </w:rPr>
            </w:pPr>
            <w:r w:rsidRPr="0040597C">
              <w:rPr>
                <w:rFonts w:ascii="Times New Roman" w:eastAsia="Times New Roman" w:hAnsi="Times New Roman" w:cs="Times New Roman"/>
                <w:sz w:val="24"/>
                <w:szCs w:val="24"/>
              </w:rPr>
              <w:t xml:space="preserve">Intra-particle </w:t>
            </w:r>
            <w:proofErr w:type="spellStart"/>
            <w:r w:rsidRPr="0040597C">
              <w:rPr>
                <w:rFonts w:ascii="Times New Roman" w:eastAsia="Times New Roman" w:hAnsi="Times New Roman" w:cs="Times New Roman"/>
                <w:sz w:val="24"/>
                <w:szCs w:val="24"/>
              </w:rPr>
              <w:t>microporosity</w:t>
            </w:r>
            <w:proofErr w:type="spellEnd"/>
          </w:p>
        </w:tc>
        <w:tc>
          <w:tcPr>
            <w:tcW w:w="0" w:type="auto"/>
            <w:hideMark/>
          </w:tcPr>
          <w:p w14:paraId="314ADC77" w14:textId="77777777" w:rsidR="0040597C" w:rsidRPr="0040597C" w:rsidRDefault="0040597C" w:rsidP="0040597C">
            <w:pPr>
              <w:rPr>
                <w:rFonts w:ascii="Times New Roman" w:eastAsia="Times New Roman" w:hAnsi="Times New Roman" w:cs="Times New Roman"/>
                <w:sz w:val="24"/>
                <w:szCs w:val="24"/>
              </w:rPr>
            </w:pPr>
            <w:r w:rsidRPr="0040597C">
              <w:rPr>
                <w:rFonts w:ascii="Times New Roman" w:eastAsia="Times New Roman" w:hAnsi="Times New Roman" w:cs="Times New Roman"/>
                <w:sz w:val="24"/>
                <w:szCs w:val="24"/>
              </w:rPr>
              <w:t>Restricts excessive moisture and heat movement</w:t>
            </w:r>
          </w:p>
        </w:tc>
        <w:tc>
          <w:tcPr>
            <w:tcW w:w="0" w:type="auto"/>
            <w:hideMark/>
          </w:tcPr>
          <w:p w14:paraId="1FF88079" w14:textId="77777777" w:rsidR="0040597C" w:rsidRPr="0040597C" w:rsidRDefault="0040597C" w:rsidP="0040597C">
            <w:pPr>
              <w:rPr>
                <w:rFonts w:ascii="Times New Roman" w:eastAsia="Times New Roman" w:hAnsi="Times New Roman" w:cs="Times New Roman"/>
                <w:sz w:val="24"/>
                <w:szCs w:val="24"/>
              </w:rPr>
            </w:pPr>
            <w:r w:rsidRPr="0040597C">
              <w:rPr>
                <w:rFonts w:ascii="Times New Roman" w:eastAsia="Times New Roman" w:hAnsi="Times New Roman" w:cs="Times New Roman"/>
                <w:sz w:val="24"/>
                <w:szCs w:val="24"/>
              </w:rPr>
              <w:t>Reduced conductive and evaporative heat losses</w:t>
            </w:r>
          </w:p>
        </w:tc>
        <w:tc>
          <w:tcPr>
            <w:tcW w:w="0" w:type="auto"/>
            <w:hideMark/>
          </w:tcPr>
          <w:p w14:paraId="1B656120" w14:textId="77777777" w:rsidR="0040597C" w:rsidRPr="0040597C" w:rsidRDefault="0040597C" w:rsidP="0040597C">
            <w:pPr>
              <w:rPr>
                <w:rFonts w:ascii="Times New Roman" w:eastAsia="Times New Roman" w:hAnsi="Times New Roman" w:cs="Times New Roman"/>
                <w:sz w:val="24"/>
                <w:szCs w:val="24"/>
              </w:rPr>
            </w:pPr>
            <w:r w:rsidRPr="0040597C">
              <w:rPr>
                <w:rFonts w:ascii="Times New Roman" w:eastAsia="Times New Roman" w:hAnsi="Times New Roman" w:cs="Times New Roman"/>
                <w:sz w:val="24"/>
                <w:szCs w:val="24"/>
              </w:rPr>
              <w:t>Improved thermal insulation under cool conditions</w:t>
            </w:r>
          </w:p>
        </w:tc>
        <w:tc>
          <w:tcPr>
            <w:tcW w:w="2678" w:type="dxa"/>
            <w:hideMark/>
          </w:tcPr>
          <w:p w14:paraId="1B4BC0D3" w14:textId="77777777" w:rsidR="0040597C" w:rsidRPr="0040597C" w:rsidRDefault="00F70813" w:rsidP="0040597C">
            <w:pPr>
              <w:rPr>
                <w:rFonts w:ascii="Times New Roman" w:eastAsia="Times New Roman" w:hAnsi="Times New Roman" w:cs="Times New Roman"/>
                <w:sz w:val="24"/>
                <w:szCs w:val="24"/>
              </w:rPr>
            </w:pPr>
            <w:r>
              <w:rPr>
                <w:rFonts w:ascii="Times New Roman" w:eastAsia="Times New Roman" w:hAnsi="Times New Roman" w:cs="Times New Roman"/>
                <w:sz w:val="24"/>
                <w:szCs w:val="24"/>
              </w:rPr>
              <w:t>He and</w:t>
            </w:r>
            <w:r w:rsidR="0040597C" w:rsidRPr="0040597C">
              <w:rPr>
                <w:rFonts w:ascii="Times New Roman" w:eastAsia="Times New Roman" w:hAnsi="Times New Roman" w:cs="Times New Roman"/>
                <w:sz w:val="24"/>
                <w:szCs w:val="24"/>
              </w:rPr>
              <w:t xml:space="preserve"> </w:t>
            </w:r>
            <w:proofErr w:type="spellStart"/>
            <w:r w:rsidR="0040597C" w:rsidRPr="0040597C">
              <w:rPr>
                <w:rFonts w:ascii="Times New Roman" w:eastAsia="Times New Roman" w:hAnsi="Times New Roman" w:cs="Times New Roman"/>
                <w:sz w:val="24"/>
                <w:szCs w:val="24"/>
              </w:rPr>
              <w:t>Hoyano</w:t>
            </w:r>
            <w:proofErr w:type="spellEnd"/>
            <w:r w:rsidR="0040597C" w:rsidRPr="0040597C">
              <w:rPr>
                <w:rFonts w:ascii="Times New Roman" w:eastAsia="Times New Roman" w:hAnsi="Times New Roman" w:cs="Times New Roman"/>
                <w:sz w:val="24"/>
                <w:szCs w:val="24"/>
              </w:rPr>
              <w:t xml:space="preserve"> (2010a); </w:t>
            </w:r>
            <w:proofErr w:type="spellStart"/>
            <w:r w:rsidR="0040597C" w:rsidRPr="0040597C">
              <w:rPr>
                <w:rFonts w:ascii="Times New Roman" w:eastAsia="Times New Roman" w:hAnsi="Times New Roman" w:cs="Times New Roman"/>
                <w:sz w:val="24"/>
                <w:szCs w:val="24"/>
              </w:rPr>
              <w:t>Cascione</w:t>
            </w:r>
            <w:proofErr w:type="spellEnd"/>
            <w:r w:rsidR="0040597C" w:rsidRPr="0040597C">
              <w:rPr>
                <w:rFonts w:ascii="Times New Roman" w:eastAsia="Times New Roman" w:hAnsi="Times New Roman" w:cs="Times New Roman"/>
                <w:sz w:val="24"/>
                <w:szCs w:val="24"/>
              </w:rPr>
              <w:t xml:space="preserve"> et al. (2019)</w:t>
            </w:r>
          </w:p>
        </w:tc>
      </w:tr>
      <w:tr w:rsidR="0040597C" w:rsidRPr="0040597C" w14:paraId="09488E0B" w14:textId="77777777" w:rsidTr="0040597C">
        <w:tc>
          <w:tcPr>
            <w:tcW w:w="2552" w:type="dxa"/>
            <w:hideMark/>
          </w:tcPr>
          <w:p w14:paraId="2AE47E67" w14:textId="77777777" w:rsidR="0040597C" w:rsidRPr="0040597C" w:rsidRDefault="0040597C" w:rsidP="0040597C">
            <w:pPr>
              <w:rPr>
                <w:rFonts w:ascii="Times New Roman" w:eastAsia="Times New Roman" w:hAnsi="Times New Roman" w:cs="Times New Roman"/>
                <w:sz w:val="24"/>
                <w:szCs w:val="24"/>
              </w:rPr>
            </w:pPr>
            <w:r w:rsidRPr="0040597C">
              <w:rPr>
                <w:rFonts w:ascii="Times New Roman" w:eastAsia="Times New Roman" w:hAnsi="Times New Roman" w:cs="Times New Roman"/>
                <w:sz w:val="24"/>
                <w:szCs w:val="24"/>
              </w:rPr>
              <w:t>Hypothalamic feedback control</w:t>
            </w:r>
          </w:p>
        </w:tc>
        <w:tc>
          <w:tcPr>
            <w:tcW w:w="2621" w:type="dxa"/>
            <w:hideMark/>
          </w:tcPr>
          <w:p w14:paraId="1AD1F4E3" w14:textId="77777777" w:rsidR="0040597C" w:rsidRPr="0040597C" w:rsidRDefault="0040597C" w:rsidP="0040597C">
            <w:pPr>
              <w:rPr>
                <w:rFonts w:ascii="Times New Roman" w:eastAsia="Times New Roman" w:hAnsi="Times New Roman" w:cs="Times New Roman"/>
                <w:sz w:val="24"/>
                <w:szCs w:val="24"/>
              </w:rPr>
            </w:pPr>
            <w:r w:rsidRPr="0040597C">
              <w:rPr>
                <w:rFonts w:ascii="Times New Roman" w:eastAsia="Times New Roman" w:hAnsi="Times New Roman" w:cs="Times New Roman"/>
                <w:sz w:val="24"/>
                <w:szCs w:val="24"/>
              </w:rPr>
              <w:t>Layered biomimetic microstructure</w:t>
            </w:r>
          </w:p>
        </w:tc>
        <w:tc>
          <w:tcPr>
            <w:tcW w:w="0" w:type="auto"/>
            <w:hideMark/>
          </w:tcPr>
          <w:p w14:paraId="03AC562D" w14:textId="77777777" w:rsidR="0040597C" w:rsidRPr="0040597C" w:rsidRDefault="0040597C" w:rsidP="0040597C">
            <w:pPr>
              <w:rPr>
                <w:rFonts w:ascii="Times New Roman" w:eastAsia="Times New Roman" w:hAnsi="Times New Roman" w:cs="Times New Roman"/>
                <w:sz w:val="24"/>
                <w:szCs w:val="24"/>
              </w:rPr>
            </w:pPr>
            <w:r w:rsidRPr="0040597C">
              <w:rPr>
                <w:rFonts w:ascii="Times New Roman" w:eastAsia="Times New Roman" w:hAnsi="Times New Roman" w:cs="Times New Roman"/>
                <w:sz w:val="24"/>
                <w:szCs w:val="24"/>
              </w:rPr>
              <w:t>Regulates moisture uptake, storage, and release in response to environment</w:t>
            </w:r>
          </w:p>
        </w:tc>
        <w:tc>
          <w:tcPr>
            <w:tcW w:w="0" w:type="auto"/>
            <w:hideMark/>
          </w:tcPr>
          <w:p w14:paraId="0572A82F" w14:textId="77777777" w:rsidR="0040597C" w:rsidRPr="0040597C" w:rsidRDefault="0040597C" w:rsidP="0040597C">
            <w:pPr>
              <w:rPr>
                <w:rFonts w:ascii="Times New Roman" w:eastAsia="Times New Roman" w:hAnsi="Times New Roman" w:cs="Times New Roman"/>
                <w:sz w:val="24"/>
                <w:szCs w:val="24"/>
              </w:rPr>
            </w:pPr>
            <w:r w:rsidRPr="0040597C">
              <w:rPr>
                <w:rFonts w:ascii="Times New Roman" w:eastAsia="Times New Roman" w:hAnsi="Times New Roman" w:cs="Times New Roman"/>
                <w:sz w:val="24"/>
                <w:szCs w:val="24"/>
              </w:rPr>
              <w:t>Dynamic heat and moisture balancing</w:t>
            </w:r>
          </w:p>
        </w:tc>
        <w:tc>
          <w:tcPr>
            <w:tcW w:w="0" w:type="auto"/>
            <w:hideMark/>
          </w:tcPr>
          <w:p w14:paraId="1AAAD085" w14:textId="77777777" w:rsidR="0040597C" w:rsidRPr="0040597C" w:rsidRDefault="0040597C" w:rsidP="0040597C">
            <w:pPr>
              <w:rPr>
                <w:rFonts w:ascii="Times New Roman" w:eastAsia="Times New Roman" w:hAnsi="Times New Roman" w:cs="Times New Roman"/>
                <w:sz w:val="24"/>
                <w:szCs w:val="24"/>
              </w:rPr>
            </w:pPr>
            <w:r w:rsidRPr="0040597C">
              <w:rPr>
                <w:rFonts w:ascii="Times New Roman" w:eastAsia="Times New Roman" w:hAnsi="Times New Roman" w:cs="Times New Roman"/>
                <w:sz w:val="24"/>
                <w:szCs w:val="24"/>
              </w:rPr>
              <w:t xml:space="preserve">Self-adaptive </w:t>
            </w:r>
            <w:proofErr w:type="spellStart"/>
            <w:r w:rsidRPr="0040597C">
              <w:rPr>
                <w:rFonts w:ascii="Times New Roman" w:eastAsia="Times New Roman" w:hAnsi="Times New Roman" w:cs="Times New Roman"/>
                <w:sz w:val="24"/>
                <w:szCs w:val="24"/>
              </w:rPr>
              <w:t>hygrothermal</w:t>
            </w:r>
            <w:proofErr w:type="spellEnd"/>
            <w:r w:rsidRPr="0040597C">
              <w:rPr>
                <w:rFonts w:ascii="Times New Roman" w:eastAsia="Times New Roman" w:hAnsi="Times New Roman" w:cs="Times New Roman"/>
                <w:sz w:val="24"/>
                <w:szCs w:val="24"/>
              </w:rPr>
              <w:t xml:space="preserve"> regulation</w:t>
            </w:r>
          </w:p>
        </w:tc>
        <w:tc>
          <w:tcPr>
            <w:tcW w:w="2678" w:type="dxa"/>
            <w:hideMark/>
          </w:tcPr>
          <w:p w14:paraId="260E2FB2" w14:textId="77777777" w:rsidR="0040597C" w:rsidRPr="0040597C" w:rsidRDefault="0040597C" w:rsidP="0040597C">
            <w:pPr>
              <w:rPr>
                <w:rFonts w:ascii="Times New Roman" w:eastAsia="Times New Roman" w:hAnsi="Times New Roman" w:cs="Times New Roman"/>
                <w:sz w:val="24"/>
                <w:szCs w:val="24"/>
              </w:rPr>
            </w:pPr>
            <w:proofErr w:type="spellStart"/>
            <w:r w:rsidRPr="0040597C">
              <w:rPr>
                <w:rFonts w:ascii="Times New Roman" w:eastAsia="Times New Roman" w:hAnsi="Times New Roman" w:cs="Times New Roman"/>
                <w:sz w:val="24"/>
                <w:szCs w:val="24"/>
              </w:rPr>
              <w:t>Loonen</w:t>
            </w:r>
            <w:proofErr w:type="spellEnd"/>
            <w:r w:rsidRPr="0040597C">
              <w:rPr>
                <w:rFonts w:ascii="Times New Roman" w:eastAsia="Times New Roman" w:hAnsi="Times New Roman" w:cs="Times New Roman"/>
                <w:sz w:val="24"/>
                <w:szCs w:val="24"/>
              </w:rPr>
              <w:t xml:space="preserve"> et al. (2013); </w:t>
            </w:r>
            <w:proofErr w:type="spellStart"/>
            <w:r w:rsidRPr="0040597C">
              <w:rPr>
                <w:rFonts w:ascii="Times New Roman" w:eastAsia="Times New Roman" w:hAnsi="Times New Roman" w:cs="Times New Roman"/>
                <w:sz w:val="24"/>
                <w:szCs w:val="24"/>
              </w:rPr>
              <w:t>H</w:t>
            </w:r>
            <w:r w:rsidR="00F70813">
              <w:rPr>
                <w:rFonts w:ascii="Times New Roman" w:eastAsia="Times New Roman" w:hAnsi="Times New Roman" w:cs="Times New Roman"/>
                <w:sz w:val="24"/>
                <w:szCs w:val="24"/>
              </w:rPr>
              <w:t>avenith</w:t>
            </w:r>
            <w:proofErr w:type="spellEnd"/>
            <w:r w:rsidR="00F70813">
              <w:rPr>
                <w:rFonts w:ascii="Times New Roman" w:eastAsia="Times New Roman" w:hAnsi="Times New Roman" w:cs="Times New Roman"/>
                <w:sz w:val="24"/>
                <w:szCs w:val="24"/>
              </w:rPr>
              <w:t xml:space="preserve"> and</w:t>
            </w:r>
            <w:r w:rsidRPr="0040597C">
              <w:rPr>
                <w:rFonts w:ascii="Times New Roman" w:eastAsia="Times New Roman" w:hAnsi="Times New Roman" w:cs="Times New Roman"/>
                <w:sz w:val="24"/>
                <w:szCs w:val="24"/>
              </w:rPr>
              <w:t xml:space="preserve"> </w:t>
            </w:r>
            <w:proofErr w:type="spellStart"/>
            <w:r w:rsidRPr="0040597C">
              <w:rPr>
                <w:rFonts w:ascii="Times New Roman" w:eastAsia="Times New Roman" w:hAnsi="Times New Roman" w:cs="Times New Roman"/>
                <w:sz w:val="24"/>
                <w:szCs w:val="24"/>
              </w:rPr>
              <w:t>Fiala</w:t>
            </w:r>
            <w:proofErr w:type="spellEnd"/>
            <w:r w:rsidRPr="0040597C">
              <w:rPr>
                <w:rFonts w:ascii="Times New Roman" w:eastAsia="Times New Roman" w:hAnsi="Times New Roman" w:cs="Times New Roman"/>
                <w:sz w:val="24"/>
                <w:szCs w:val="24"/>
              </w:rPr>
              <w:t xml:space="preserve"> (2016)</w:t>
            </w:r>
          </w:p>
        </w:tc>
      </w:tr>
      <w:tr w:rsidR="0040597C" w:rsidRPr="0040597C" w14:paraId="11681AA0" w14:textId="77777777" w:rsidTr="0040597C">
        <w:tc>
          <w:tcPr>
            <w:tcW w:w="2552" w:type="dxa"/>
            <w:hideMark/>
          </w:tcPr>
          <w:p w14:paraId="3F7DEF53" w14:textId="77777777" w:rsidR="0040597C" w:rsidRPr="0040597C" w:rsidRDefault="0040597C" w:rsidP="0040597C">
            <w:pPr>
              <w:rPr>
                <w:rFonts w:ascii="Times New Roman" w:eastAsia="Times New Roman" w:hAnsi="Times New Roman" w:cs="Times New Roman"/>
                <w:sz w:val="24"/>
                <w:szCs w:val="24"/>
              </w:rPr>
            </w:pPr>
            <w:r w:rsidRPr="0040597C">
              <w:rPr>
                <w:rFonts w:ascii="Times New Roman" w:eastAsia="Times New Roman" w:hAnsi="Times New Roman" w:cs="Times New Roman"/>
                <w:sz w:val="24"/>
                <w:szCs w:val="24"/>
              </w:rPr>
              <w:t>Hair erection for insulation</w:t>
            </w:r>
          </w:p>
        </w:tc>
        <w:tc>
          <w:tcPr>
            <w:tcW w:w="2621" w:type="dxa"/>
            <w:hideMark/>
          </w:tcPr>
          <w:p w14:paraId="5D5306E3" w14:textId="77777777" w:rsidR="0040597C" w:rsidRPr="0040597C" w:rsidRDefault="0040597C" w:rsidP="0040597C">
            <w:pPr>
              <w:rPr>
                <w:rFonts w:ascii="Times New Roman" w:eastAsia="Times New Roman" w:hAnsi="Times New Roman" w:cs="Times New Roman"/>
                <w:sz w:val="24"/>
                <w:szCs w:val="24"/>
              </w:rPr>
            </w:pPr>
            <w:r w:rsidRPr="0040597C">
              <w:rPr>
                <w:rFonts w:ascii="Times New Roman" w:eastAsia="Times New Roman" w:hAnsi="Times New Roman" w:cs="Times New Roman"/>
                <w:sz w:val="24"/>
                <w:szCs w:val="24"/>
              </w:rPr>
              <w:t>Surface roughness and micro-texture</w:t>
            </w:r>
          </w:p>
        </w:tc>
        <w:tc>
          <w:tcPr>
            <w:tcW w:w="0" w:type="auto"/>
            <w:hideMark/>
          </w:tcPr>
          <w:p w14:paraId="553C1418" w14:textId="77777777" w:rsidR="0040597C" w:rsidRPr="0040597C" w:rsidRDefault="0040597C" w:rsidP="0040597C">
            <w:pPr>
              <w:rPr>
                <w:rFonts w:ascii="Times New Roman" w:eastAsia="Times New Roman" w:hAnsi="Times New Roman" w:cs="Times New Roman"/>
                <w:sz w:val="24"/>
                <w:szCs w:val="24"/>
              </w:rPr>
            </w:pPr>
            <w:r w:rsidRPr="0040597C">
              <w:rPr>
                <w:rFonts w:ascii="Times New Roman" w:eastAsia="Times New Roman" w:hAnsi="Times New Roman" w:cs="Times New Roman"/>
                <w:sz w:val="24"/>
                <w:szCs w:val="24"/>
              </w:rPr>
              <w:t>Traps air pockets near wall surface</w:t>
            </w:r>
          </w:p>
        </w:tc>
        <w:tc>
          <w:tcPr>
            <w:tcW w:w="0" w:type="auto"/>
            <w:hideMark/>
          </w:tcPr>
          <w:p w14:paraId="7CDBD08E" w14:textId="77777777" w:rsidR="0040597C" w:rsidRPr="0040597C" w:rsidRDefault="0040597C" w:rsidP="0040597C">
            <w:pPr>
              <w:rPr>
                <w:rFonts w:ascii="Times New Roman" w:eastAsia="Times New Roman" w:hAnsi="Times New Roman" w:cs="Times New Roman"/>
                <w:sz w:val="24"/>
                <w:szCs w:val="24"/>
              </w:rPr>
            </w:pPr>
            <w:r w:rsidRPr="0040597C">
              <w:rPr>
                <w:rFonts w:ascii="Times New Roman" w:eastAsia="Times New Roman" w:hAnsi="Times New Roman" w:cs="Times New Roman"/>
                <w:sz w:val="24"/>
                <w:szCs w:val="24"/>
              </w:rPr>
              <w:t>Reduced convective heat loss</w:t>
            </w:r>
          </w:p>
        </w:tc>
        <w:tc>
          <w:tcPr>
            <w:tcW w:w="0" w:type="auto"/>
            <w:hideMark/>
          </w:tcPr>
          <w:p w14:paraId="17DCD0BF" w14:textId="77777777" w:rsidR="0040597C" w:rsidRPr="0040597C" w:rsidRDefault="0040597C" w:rsidP="0040597C">
            <w:pPr>
              <w:rPr>
                <w:rFonts w:ascii="Times New Roman" w:eastAsia="Times New Roman" w:hAnsi="Times New Roman" w:cs="Times New Roman"/>
                <w:sz w:val="24"/>
                <w:szCs w:val="24"/>
              </w:rPr>
            </w:pPr>
            <w:r w:rsidRPr="0040597C">
              <w:rPr>
                <w:rFonts w:ascii="Times New Roman" w:eastAsia="Times New Roman" w:hAnsi="Times New Roman" w:cs="Times New Roman"/>
                <w:sz w:val="24"/>
                <w:szCs w:val="24"/>
              </w:rPr>
              <w:t>Enhanced thermal resistance</w:t>
            </w:r>
          </w:p>
        </w:tc>
        <w:tc>
          <w:tcPr>
            <w:tcW w:w="2678" w:type="dxa"/>
            <w:hideMark/>
          </w:tcPr>
          <w:p w14:paraId="0D40FE4A" w14:textId="77777777" w:rsidR="0040597C" w:rsidRPr="0040597C" w:rsidRDefault="00F70813" w:rsidP="0040597C">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Amziane</w:t>
            </w:r>
            <w:proofErr w:type="spellEnd"/>
            <w:r>
              <w:rPr>
                <w:rFonts w:ascii="Times New Roman" w:eastAsia="Times New Roman" w:hAnsi="Times New Roman" w:cs="Times New Roman"/>
                <w:sz w:val="24"/>
                <w:szCs w:val="24"/>
              </w:rPr>
              <w:t xml:space="preserve"> and</w:t>
            </w:r>
            <w:r w:rsidR="0040597C" w:rsidRPr="0040597C">
              <w:rPr>
                <w:rFonts w:ascii="Times New Roman" w:eastAsia="Times New Roman" w:hAnsi="Times New Roman" w:cs="Times New Roman"/>
                <w:sz w:val="24"/>
                <w:szCs w:val="24"/>
              </w:rPr>
              <w:t xml:space="preserve"> </w:t>
            </w:r>
            <w:proofErr w:type="spellStart"/>
            <w:r w:rsidR="0040597C" w:rsidRPr="0040597C">
              <w:rPr>
                <w:rFonts w:ascii="Times New Roman" w:eastAsia="Times New Roman" w:hAnsi="Times New Roman" w:cs="Times New Roman"/>
                <w:sz w:val="24"/>
                <w:szCs w:val="24"/>
              </w:rPr>
              <w:t>Sonebi</w:t>
            </w:r>
            <w:proofErr w:type="spellEnd"/>
            <w:r w:rsidR="0040597C" w:rsidRPr="0040597C">
              <w:rPr>
                <w:rFonts w:ascii="Times New Roman" w:eastAsia="Times New Roman" w:hAnsi="Times New Roman" w:cs="Times New Roman"/>
                <w:sz w:val="24"/>
                <w:szCs w:val="24"/>
              </w:rPr>
              <w:t xml:space="preserve"> (2016); </w:t>
            </w:r>
            <w:proofErr w:type="spellStart"/>
            <w:r w:rsidR="0040597C" w:rsidRPr="0040597C">
              <w:rPr>
                <w:rFonts w:ascii="Times New Roman" w:eastAsia="Times New Roman" w:hAnsi="Times New Roman" w:cs="Times New Roman"/>
                <w:sz w:val="24"/>
                <w:szCs w:val="24"/>
              </w:rPr>
              <w:t>Gołębiewski</w:t>
            </w:r>
            <w:proofErr w:type="spellEnd"/>
            <w:r w:rsidR="0040597C" w:rsidRPr="0040597C">
              <w:rPr>
                <w:rFonts w:ascii="Times New Roman" w:eastAsia="Times New Roman" w:hAnsi="Times New Roman" w:cs="Times New Roman"/>
                <w:sz w:val="24"/>
                <w:szCs w:val="24"/>
              </w:rPr>
              <w:t xml:space="preserve"> et al. (2025)</w:t>
            </w:r>
          </w:p>
        </w:tc>
      </w:tr>
    </w:tbl>
    <w:p w14:paraId="61D23960" w14:textId="77777777" w:rsidR="0040597C" w:rsidRDefault="0040597C" w:rsidP="0040597C">
      <w:pPr>
        <w:rPr>
          <w:rFonts w:ascii="Times New Roman" w:hAnsi="Times New Roman" w:cs="Times New Roman"/>
          <w:sz w:val="24"/>
          <w:szCs w:val="24"/>
        </w:rPr>
        <w:sectPr w:rsidR="0040597C" w:rsidSect="0040597C">
          <w:pgSz w:w="15840" w:h="12240" w:orient="landscape"/>
          <w:pgMar w:top="1440" w:right="1440" w:bottom="1440" w:left="1440" w:header="708" w:footer="708" w:gutter="0"/>
          <w:cols w:space="708"/>
          <w:docGrid w:linePitch="360"/>
        </w:sectPr>
      </w:pPr>
    </w:p>
    <w:p w14:paraId="58EFFC21" w14:textId="77777777" w:rsidR="0092337C" w:rsidRPr="00F958B7" w:rsidRDefault="0092337C" w:rsidP="0092337C">
      <w:pPr>
        <w:rPr>
          <w:rFonts w:ascii="Times New Roman" w:hAnsi="Times New Roman" w:cs="Times New Roman"/>
          <w:sz w:val="24"/>
          <w:szCs w:val="24"/>
        </w:rPr>
      </w:pPr>
    </w:p>
    <w:p w14:paraId="09A8592E" w14:textId="77777777" w:rsidR="000E4927" w:rsidRDefault="0092337C" w:rsidP="007B6F82">
      <w:pPr>
        <w:pStyle w:val="Heading1"/>
        <w:numPr>
          <w:ilvl w:val="1"/>
          <w:numId w:val="33"/>
        </w:numPr>
      </w:pPr>
      <w:r w:rsidRPr="00F958B7">
        <w:t>Heat and Mass Transfer Modeling</w:t>
      </w:r>
    </w:p>
    <w:p w14:paraId="1A71EF5D" w14:textId="77777777" w:rsidR="00C114AD" w:rsidRDefault="00CB28DB" w:rsidP="00CB28DB">
      <w:pPr>
        <w:jc w:val="both"/>
        <w:rPr>
          <w:rFonts w:ascii="Times New Roman" w:hAnsi="Times New Roman" w:cs="Times New Roman"/>
          <w:sz w:val="24"/>
        </w:rPr>
      </w:pPr>
      <w:r w:rsidRPr="00CB28DB">
        <w:rPr>
          <w:rFonts w:ascii="Times New Roman" w:hAnsi="Times New Roman" w:cs="Times New Roman"/>
          <w:sz w:val="24"/>
        </w:rPr>
        <w:t>Heat and mass transfer in the bio-humid wall are governed by a set of coupled conservation equations describing energy and moisture balance within porous media. The general heat balance is expressed as:</w:t>
      </w:r>
    </w:p>
    <w:p w14:paraId="1FF8785C" w14:textId="77777777" w:rsidR="00C114AD" w:rsidRPr="00C5551D" w:rsidRDefault="00F81652" w:rsidP="00010A64">
      <w:pPr>
        <w:jc w:val="both"/>
        <w:rPr>
          <w:rStyle w:val="mord"/>
          <w:rFonts w:ascii="Times New Roman" w:eastAsiaTheme="minorEastAsia" w:hAnsi="Times New Roman" w:cs="Times New Roman"/>
        </w:rPr>
      </w:pPr>
      <m:oMathPara>
        <m:oMath>
          <m:r>
            <w:rPr>
              <w:rStyle w:val="mord"/>
              <w:rFonts w:ascii="Cambria Math" w:hAnsi="Cambria Math"/>
            </w:rPr>
            <m:t>ρc</m:t>
          </m:r>
          <m:f>
            <m:fPr>
              <m:ctrlPr>
                <w:rPr>
                  <w:rFonts w:ascii="Cambria Math" w:hAnsi="Cambria Math" w:cs="Times New Roman"/>
                  <w:i/>
                  <w:sz w:val="24"/>
                </w:rPr>
              </m:ctrlPr>
            </m:fPr>
            <m:num>
              <m:r>
                <w:rPr>
                  <w:rStyle w:val="mord"/>
                  <w:rFonts w:ascii="Cambria Math" w:hAnsi="Cambria Math"/>
                </w:rPr>
                <m:t>∂T</m:t>
              </m:r>
            </m:num>
            <m:den>
              <m:r>
                <w:rPr>
                  <w:rStyle w:val="mord"/>
                  <w:rFonts w:ascii="Cambria Math" w:hAnsi="Cambria Math"/>
                </w:rPr>
                <m:t>∂t</m:t>
              </m:r>
            </m:den>
          </m:f>
          <m:r>
            <w:rPr>
              <w:rFonts w:ascii="Cambria Math" w:hAnsi="Cambria Math" w:cs="Times New Roman"/>
              <w:sz w:val="24"/>
            </w:rPr>
            <m:t xml:space="preserve">= </m:t>
          </m:r>
          <m:r>
            <m:rPr>
              <m:sty m:val="p"/>
            </m:rPr>
            <w:rPr>
              <w:rStyle w:val="mord"/>
              <w:rFonts w:ascii="Cambria Math" w:hAnsi="Cambria Math" w:cs="Cambria Math"/>
            </w:rPr>
            <m:t>∇</m:t>
          </m:r>
          <m:r>
            <m:rPr>
              <m:sty m:val="p"/>
            </m:rPr>
            <w:rPr>
              <w:rStyle w:val="mbin"/>
              <w:rFonts w:ascii="Cambria Math" w:hAnsi="Cambria Math" w:cs="Cambria Math"/>
            </w:rPr>
            <m:t>⋅</m:t>
          </m:r>
          <m:d>
            <m:dPr>
              <m:ctrlPr>
                <w:rPr>
                  <w:rStyle w:val="mopen"/>
                  <w:rFonts w:ascii="Cambria Math" w:hAnsi="Cambria Math"/>
                </w:rPr>
              </m:ctrlPr>
            </m:dPr>
            <m:e>
              <m:r>
                <m:rPr>
                  <m:sty m:val="p"/>
                </m:rPr>
                <w:rPr>
                  <w:rStyle w:val="mord"/>
                  <w:rFonts w:ascii="Cambria Math" w:hAnsi="Cambria Math"/>
                </w:rPr>
                <m:t>k</m:t>
              </m:r>
              <m:r>
                <m:rPr>
                  <m:sty m:val="p"/>
                </m:rPr>
                <w:rPr>
                  <w:rStyle w:val="mord"/>
                  <w:rFonts w:ascii="Cambria Math" w:hAnsi="Cambria Math" w:cs="Cambria Math"/>
                </w:rPr>
                <m:t>∇</m:t>
              </m:r>
              <m:r>
                <m:rPr>
                  <m:sty m:val="p"/>
                </m:rPr>
                <w:rPr>
                  <w:rStyle w:val="mord"/>
                  <w:rFonts w:ascii="Cambria Math" w:hAnsi="Cambria Math"/>
                </w:rPr>
                <m:t>T</m:t>
              </m:r>
              <m:ctrlPr>
                <w:rPr>
                  <w:rStyle w:val="mclose"/>
                  <w:rFonts w:ascii="Cambria Math" w:hAnsi="Cambria Math"/>
                </w:rPr>
              </m:ctrlPr>
            </m:e>
          </m:d>
          <m:r>
            <w:rPr>
              <w:rStyle w:val="mclose"/>
              <w:rFonts w:ascii="Cambria Math" w:hAnsi="Cambria Math"/>
            </w:rPr>
            <m:t xml:space="preserve">+ </m:t>
          </m:r>
          <m:r>
            <w:rPr>
              <w:rStyle w:val="mord"/>
              <w:rFonts w:ascii="Cambria Math" w:hAnsi="Cambria Math"/>
            </w:rPr>
            <m:t>Lv</m:t>
          </m:r>
          <m:r>
            <w:rPr>
              <w:rStyle w:val="mord"/>
              <w:rFonts w:ascii="Cambria Math"/>
            </w:rPr>
            <m:t xml:space="preserve"> </m:t>
          </m:r>
          <m:f>
            <m:fPr>
              <m:ctrlPr>
                <w:rPr>
                  <w:rStyle w:val="mord"/>
                  <w:rFonts w:ascii="Cambria Math"/>
                  <w:i/>
                </w:rPr>
              </m:ctrlPr>
            </m:fPr>
            <m:num>
              <m:r>
                <w:rPr>
                  <w:rStyle w:val="mord"/>
                  <w:rFonts w:ascii="Cambria Math" w:hAnsi="Cambria Math"/>
                </w:rPr>
                <m:t>∂w</m:t>
              </m:r>
            </m:num>
            <m:den>
              <m:r>
                <w:rPr>
                  <w:rStyle w:val="mord"/>
                  <w:rFonts w:ascii="Cambria Math" w:hAnsi="Cambria Math"/>
                </w:rPr>
                <m:t>∂t</m:t>
              </m:r>
            </m:den>
          </m:f>
          <m:r>
            <w:rPr>
              <w:rStyle w:val="mord"/>
              <w:rFonts w:ascii="Cambria Math"/>
            </w:rPr>
            <m:t xml:space="preserve">                                                                                                                                    2</m:t>
          </m:r>
        </m:oMath>
      </m:oMathPara>
    </w:p>
    <w:p w14:paraId="1A2E3665" w14:textId="77777777" w:rsidR="00C5551D" w:rsidRDefault="00C5551D" w:rsidP="00010A64">
      <w:pPr>
        <w:pStyle w:val="NormalWeb"/>
        <w:jc w:val="both"/>
      </w:pPr>
      <w:r>
        <w:t xml:space="preserve">where </w:t>
      </w:r>
      <w:r w:rsidRPr="00C5551D">
        <w:rPr>
          <w:i/>
        </w:rPr>
        <w:t>ρ</w:t>
      </w:r>
      <w:r>
        <w:t xml:space="preserve"> is density, </w:t>
      </w:r>
      <w:r w:rsidRPr="00C5551D">
        <w:rPr>
          <w:i/>
        </w:rPr>
        <w:t>c</w:t>
      </w:r>
      <w:r>
        <w:t xml:space="preserve"> is specific heat capacity, </w:t>
      </w:r>
      <w:r w:rsidRPr="00C5551D">
        <w:rPr>
          <w:rStyle w:val="katex-mathml"/>
          <w:i/>
        </w:rPr>
        <w:t>T</w:t>
      </w:r>
      <w:r>
        <w:t xml:space="preserve"> is temperature, </w:t>
      </w:r>
      <w:r w:rsidRPr="00C5551D">
        <w:rPr>
          <w:rStyle w:val="mord"/>
          <w:i/>
        </w:rPr>
        <w:t>k</w:t>
      </w:r>
      <w:r>
        <w:t xml:space="preserve"> is thermal conductivity, </w:t>
      </w:r>
      <w:proofErr w:type="spellStart"/>
      <w:r w:rsidRPr="00C5551D">
        <w:rPr>
          <w:rStyle w:val="katex-mathml"/>
          <w:i/>
        </w:rPr>
        <w:t>Lv</w:t>
      </w:r>
      <w:proofErr w:type="spellEnd"/>
      <w:r>
        <w:t xml:space="preserve"> is latent heat of vaporization, and </w:t>
      </w:r>
      <w:r w:rsidRPr="00C5551D">
        <w:rPr>
          <w:rStyle w:val="mord"/>
          <w:i/>
        </w:rPr>
        <w:t>w</w:t>
      </w:r>
      <w:r>
        <w:t xml:space="preserve"> is moisture content.</w:t>
      </w:r>
    </w:p>
    <w:p w14:paraId="79E9736A" w14:textId="77777777" w:rsidR="00C5551D" w:rsidRDefault="00C5551D" w:rsidP="00010A64">
      <w:pPr>
        <w:pStyle w:val="NormalWeb"/>
        <w:jc w:val="both"/>
      </w:pPr>
      <w:r>
        <w:t>Moisture transport is described using a diffusion–sorption formulation:</w:t>
      </w:r>
    </w:p>
    <w:p w14:paraId="0BFDA897" w14:textId="77777777" w:rsidR="00C86DF6" w:rsidRDefault="00D30DD7" w:rsidP="00010A64">
      <w:pPr>
        <w:pStyle w:val="NormalWeb"/>
        <w:jc w:val="both"/>
      </w:pPr>
      <m:oMathPara>
        <m:oMath>
          <m:f>
            <m:fPr>
              <m:ctrlPr>
                <w:rPr>
                  <w:rFonts w:ascii="Cambria Math" w:hAnsi="Cambria Math"/>
                  <w:i/>
                </w:rPr>
              </m:ctrlPr>
            </m:fPr>
            <m:num>
              <m:r>
                <w:rPr>
                  <w:rStyle w:val="mord"/>
                  <w:rFonts w:ascii="Cambria Math" w:hAnsi="Cambria Math"/>
                </w:rPr>
                <m:t>∂w</m:t>
              </m:r>
            </m:num>
            <m:den>
              <m:r>
                <w:rPr>
                  <w:rStyle w:val="mord"/>
                  <w:rFonts w:ascii="Cambria Math" w:hAnsi="Cambria Math"/>
                </w:rPr>
                <m:t>∂t</m:t>
              </m:r>
            </m:den>
          </m:f>
          <m:r>
            <w:rPr>
              <w:rFonts w:ascii="Cambria Math" w:hAnsi="Cambria Math"/>
            </w:rPr>
            <m:t xml:space="preserve">= </m:t>
          </m:r>
          <m:r>
            <m:rPr>
              <m:sty m:val="p"/>
            </m:rPr>
            <w:rPr>
              <w:rStyle w:val="mord"/>
              <w:rFonts w:ascii="Cambria Math" w:hAnsi="Cambria Math" w:cs="Cambria Math"/>
            </w:rPr>
            <m:t>∇</m:t>
          </m:r>
          <m:r>
            <m:rPr>
              <m:sty m:val="p"/>
            </m:rPr>
            <w:rPr>
              <w:rStyle w:val="mbin"/>
              <w:rFonts w:ascii="Cambria Math" w:hAnsi="Cambria Math" w:cs="Cambria Math"/>
            </w:rPr>
            <m:t>⋅</m:t>
          </m:r>
          <m:d>
            <m:dPr>
              <m:ctrlPr>
                <w:rPr>
                  <w:rStyle w:val="mopen"/>
                  <w:rFonts w:ascii="Cambria Math" w:hAnsi="Cambria Math"/>
                </w:rPr>
              </m:ctrlPr>
            </m:dPr>
            <m:e>
              <m:r>
                <m:rPr>
                  <m:sty m:val="p"/>
                </m:rPr>
                <w:rPr>
                  <w:rStyle w:val="mord"/>
                  <w:rFonts w:ascii="Cambria Math" w:hAnsi="Cambria Math"/>
                </w:rPr>
                <m:t>Dw</m:t>
              </m:r>
              <m:r>
                <m:rPr>
                  <m:sty m:val="p"/>
                </m:rPr>
                <w:rPr>
                  <w:rStyle w:val="vlist-s"/>
                  <w:rFonts w:ascii="Cambria Math" w:hAnsi="Cambria Math"/>
                </w:rPr>
                <m:t>​</m:t>
              </m:r>
              <m:r>
                <m:rPr>
                  <m:sty m:val="p"/>
                </m:rPr>
                <w:rPr>
                  <w:rStyle w:val="mord"/>
                  <w:rFonts w:ascii="Cambria Math" w:hAnsi="Cambria Math" w:cs="Cambria Math"/>
                </w:rPr>
                <m:t>∇</m:t>
              </m:r>
              <m:r>
                <m:rPr>
                  <m:sty m:val="p"/>
                </m:rPr>
                <w:rPr>
                  <w:rStyle w:val="mord"/>
                  <w:rFonts w:ascii="Cambria Math" w:hAnsi="Cambria Math"/>
                </w:rPr>
                <m:t>w</m:t>
              </m:r>
              <m:ctrlPr>
                <w:rPr>
                  <w:rStyle w:val="mclose"/>
                  <w:rFonts w:ascii="Cambria Math" w:hAnsi="Cambria Math"/>
                </w:rPr>
              </m:ctrlPr>
            </m:e>
          </m:d>
          <m:r>
            <w:rPr>
              <w:rStyle w:val="mclose"/>
              <w:rFonts w:ascii="Cambria Math" w:hAnsi="Cambria Math"/>
            </w:rPr>
            <m:t xml:space="preserve">+ </m:t>
          </m:r>
          <m:r>
            <w:rPr>
              <w:rStyle w:val="mord"/>
              <w:rFonts w:ascii="Cambria Math" w:hAnsi="Cambria Math"/>
            </w:rPr>
            <m:t>S</m:t>
          </m:r>
          <m:d>
            <m:dPr>
              <m:ctrlPr>
                <w:rPr>
                  <w:rStyle w:val="mopen"/>
                  <w:rFonts w:ascii="Cambria Math" w:hAnsi="Cambria Math"/>
                </w:rPr>
              </m:ctrlPr>
            </m:dPr>
            <m:e>
              <m:r>
                <w:rPr>
                  <w:rStyle w:val="mord"/>
                  <w:rFonts w:ascii="Cambria Math" w:hAnsi="Cambria Math"/>
                </w:rPr>
                <m:t>T</m:t>
              </m:r>
              <m:r>
                <m:rPr>
                  <m:sty m:val="p"/>
                </m:rPr>
                <w:rPr>
                  <w:rStyle w:val="mpunct"/>
                  <w:rFonts w:ascii="Cambria Math" w:hAnsi="Cambria Math"/>
                </w:rPr>
                <m:t>,</m:t>
              </m:r>
              <m:r>
                <w:rPr>
                  <w:rStyle w:val="mord"/>
                  <w:rFonts w:ascii="Cambria Math" w:hAnsi="Cambria Math"/>
                </w:rPr>
                <m:t>RH</m:t>
              </m:r>
              <m:ctrlPr>
                <w:rPr>
                  <w:rStyle w:val="mclose"/>
                  <w:rFonts w:ascii="Cambria Math" w:hAnsi="Cambria Math"/>
                  <w:i/>
                  <w:iCs/>
                </w:rPr>
              </m:ctrlPr>
            </m:e>
          </m:d>
          <m:r>
            <w:rPr>
              <w:rStyle w:val="mclose"/>
              <w:rFonts w:ascii="Cambria Math" w:hAnsi="Cambria Math"/>
            </w:rPr>
            <m:t xml:space="preserve">                                                                                                                 3</m:t>
          </m:r>
        </m:oMath>
      </m:oMathPara>
    </w:p>
    <w:p w14:paraId="1D395EBB" w14:textId="77777777" w:rsidR="00C86DF6" w:rsidRDefault="00C86DF6" w:rsidP="00010A64">
      <w:pPr>
        <w:pStyle w:val="NormalWeb"/>
        <w:jc w:val="both"/>
      </w:pPr>
      <w:r>
        <w:t xml:space="preserve">where </w:t>
      </w:r>
      <w:proofErr w:type="spellStart"/>
      <w:r w:rsidRPr="00C86DF6">
        <w:rPr>
          <w:rStyle w:val="katex-mathml"/>
          <w:i/>
        </w:rPr>
        <w:t>Dw</w:t>
      </w:r>
      <w:proofErr w:type="spellEnd"/>
      <w:r>
        <w:rPr>
          <w:rStyle w:val="vlist-s"/>
        </w:rPr>
        <w:t>​</w:t>
      </w:r>
      <w:r>
        <w:t xml:space="preserve"> is the moisture diffusivity and </w:t>
      </w:r>
      <w:r w:rsidRPr="00C86DF6">
        <w:rPr>
          <w:rStyle w:val="katex-mathml"/>
          <w:i/>
        </w:rPr>
        <w:t>S</w:t>
      </w:r>
      <w:r w:rsidR="00010A64">
        <w:rPr>
          <w:rStyle w:val="katex-mathml"/>
          <w:i/>
        </w:rPr>
        <w:t xml:space="preserve"> </w:t>
      </w:r>
      <w:r w:rsidRPr="00C86DF6">
        <w:rPr>
          <w:rStyle w:val="katex-mathml"/>
          <w:i/>
        </w:rPr>
        <w:t>(T,</w:t>
      </w:r>
      <w:r>
        <w:rPr>
          <w:rStyle w:val="katex-mathml"/>
          <w:i/>
        </w:rPr>
        <w:t xml:space="preserve"> </w:t>
      </w:r>
      <w:r w:rsidRPr="00C86DF6">
        <w:rPr>
          <w:rStyle w:val="katex-mathml"/>
          <w:i/>
        </w:rPr>
        <w:t>RH)</w:t>
      </w:r>
      <w:r>
        <w:t xml:space="preserve"> is a source term accounting for sorption–desorption processes dependent on temperature and relative humidity.</w:t>
      </w:r>
    </w:p>
    <w:p w14:paraId="3CF3F66A" w14:textId="77777777" w:rsidR="00C86DF6" w:rsidRDefault="00C86DF6" w:rsidP="00010A64">
      <w:pPr>
        <w:pStyle w:val="NormalWeb"/>
        <w:jc w:val="both"/>
      </w:pPr>
      <w:r>
        <w:t>At the wall–air interface, convective heat and vapor fluxes are given by:</w:t>
      </w:r>
      <w:r w:rsidR="004D51C2">
        <w:t xml:space="preserve"> </w:t>
      </w:r>
    </w:p>
    <w:p w14:paraId="7641091C" w14:textId="77777777" w:rsidR="00C86DF6" w:rsidRPr="004D51C2" w:rsidRDefault="004D51C2" w:rsidP="00010A64">
      <w:pPr>
        <w:pStyle w:val="NormalWeb"/>
        <w:jc w:val="both"/>
        <w:rPr>
          <w:rStyle w:val="mclose"/>
          <w:i/>
        </w:rPr>
      </w:pPr>
      <m:oMathPara>
        <m:oMath>
          <m:r>
            <w:rPr>
              <w:rFonts w:ascii="Cambria Math" w:hAnsi="Cambria Math"/>
              <w:sz w:val="32"/>
            </w:rPr>
            <m:t>q</m:t>
          </m:r>
          <m:r>
            <w:rPr>
              <w:rFonts w:ascii="Cambria Math" w:hAnsi="Cambria Math"/>
              <w:sz w:val="20"/>
            </w:rPr>
            <m:t>h</m:t>
          </m:r>
          <m:r>
            <w:rPr>
              <w:rStyle w:val="vlist-s"/>
              <w:rFonts w:ascii="Cambria Math" w:hAnsi="Cambria Math"/>
            </w:rPr>
            <m:t>​</m:t>
          </m:r>
          <m:r>
            <w:rPr>
              <w:rStyle w:val="mrel"/>
              <w:rFonts w:ascii="Cambria Math" w:hAnsi="Cambria Math"/>
            </w:rPr>
            <m:t>=</m:t>
          </m:r>
          <m:r>
            <w:rPr>
              <w:rStyle w:val="mord"/>
              <w:rFonts w:ascii="Cambria Math" w:hAnsi="Cambria Math"/>
            </w:rPr>
            <m:t>hc</m:t>
          </m:r>
          <m:r>
            <w:rPr>
              <w:rStyle w:val="vlist-s"/>
              <w:rFonts w:ascii="Cambria Math" w:hAnsi="Cambria Math"/>
            </w:rPr>
            <m:t>​</m:t>
          </m:r>
          <m:d>
            <m:dPr>
              <m:ctrlPr>
                <w:rPr>
                  <w:rStyle w:val="mopen"/>
                  <w:rFonts w:ascii="Cambria Math" w:hAnsi="Cambria Math"/>
                  <w:i/>
                </w:rPr>
              </m:ctrlPr>
            </m:dPr>
            <m:e>
              <m:r>
                <w:rPr>
                  <w:rStyle w:val="mord"/>
                  <w:rFonts w:ascii="Cambria Math" w:hAnsi="Cambria Math"/>
                </w:rPr>
                <m:t>Ts</m:t>
              </m:r>
              <m:r>
                <w:rPr>
                  <w:rStyle w:val="vlist-s"/>
                  <w:rFonts w:ascii="Cambria Math" w:hAnsi="Cambria Math"/>
                </w:rPr>
                <m:t>​</m:t>
              </m:r>
              <m:r>
                <w:rPr>
                  <w:rStyle w:val="mbin"/>
                  <w:rFonts w:ascii="Cambria Math" w:hAnsi="Cambria Math"/>
                </w:rPr>
                <m:t>-</m:t>
              </m:r>
              <m:r>
                <w:rPr>
                  <w:rStyle w:val="mord"/>
                  <w:rFonts w:ascii="Cambria Math" w:hAnsi="Cambria Math"/>
                </w:rPr>
                <m:t>Ta</m:t>
              </m:r>
              <m:r>
                <w:rPr>
                  <w:rStyle w:val="vlist-s"/>
                  <w:rFonts w:ascii="Cambria Math" w:hAnsi="Cambria Math"/>
                </w:rPr>
                <m:t>​</m:t>
              </m:r>
              <m:ctrlPr>
                <w:rPr>
                  <w:rStyle w:val="mclose"/>
                  <w:rFonts w:ascii="Cambria Math" w:hAnsi="Cambria Math"/>
                  <w:i/>
                </w:rPr>
              </m:ctrlPr>
            </m:e>
          </m:d>
          <m:r>
            <w:rPr>
              <w:rStyle w:val="mclose"/>
              <w:rFonts w:ascii="Cambria Math" w:hAnsi="Cambria Math"/>
            </w:rPr>
            <m:t xml:space="preserve">                                                                                                                                        4</m:t>
          </m:r>
        </m:oMath>
      </m:oMathPara>
    </w:p>
    <w:p w14:paraId="380777C0" w14:textId="77777777" w:rsidR="004D51C2" w:rsidRPr="004D51C2" w:rsidRDefault="004D51C2" w:rsidP="00010A64">
      <w:pPr>
        <w:pStyle w:val="NormalWeb"/>
        <w:jc w:val="both"/>
        <w:rPr>
          <w:rStyle w:val="mclose"/>
          <w:i/>
        </w:rPr>
      </w:pPr>
      <m:oMathPara>
        <m:oMath>
          <m:r>
            <w:rPr>
              <w:rStyle w:val="mord"/>
              <w:rFonts w:ascii="Cambria Math" w:hAnsi="Cambria Math"/>
            </w:rPr>
            <m:t>qm</m:t>
          </m:r>
          <m:r>
            <w:rPr>
              <w:rStyle w:val="vlist-s"/>
              <w:rFonts w:ascii="Cambria Math" w:hAnsi="Cambria Math"/>
            </w:rPr>
            <m:t>​</m:t>
          </m:r>
          <m:r>
            <w:rPr>
              <w:rStyle w:val="mrel"/>
              <w:rFonts w:ascii="Cambria Math" w:hAnsi="Cambria Math"/>
            </w:rPr>
            <m:t>=</m:t>
          </m:r>
          <m:r>
            <w:rPr>
              <w:rStyle w:val="mord"/>
              <w:rFonts w:ascii="Cambria Math" w:hAnsi="Cambria Math"/>
            </w:rPr>
            <m:t>hm</m:t>
          </m:r>
          <m:r>
            <w:rPr>
              <w:rStyle w:val="vlist-s"/>
              <w:rFonts w:ascii="Cambria Math" w:hAnsi="Cambria Math"/>
            </w:rPr>
            <m:t>​</m:t>
          </m:r>
          <m:d>
            <m:dPr>
              <m:ctrlPr>
                <w:rPr>
                  <w:rStyle w:val="mopen"/>
                  <w:rFonts w:ascii="Cambria Math" w:hAnsi="Cambria Math"/>
                  <w:i/>
                </w:rPr>
              </m:ctrlPr>
            </m:dPr>
            <m:e>
              <m:r>
                <w:rPr>
                  <w:rStyle w:val="mord"/>
                  <w:rFonts w:ascii="Cambria Math" w:hAnsi="Cambria Math"/>
                </w:rPr>
                <m:t>Ps</m:t>
              </m:r>
              <m:r>
                <w:rPr>
                  <w:rStyle w:val="vlist-s"/>
                  <w:rFonts w:ascii="Cambria Math" w:hAnsi="Cambria Math"/>
                </w:rPr>
                <m:t>​</m:t>
              </m:r>
              <m:r>
                <w:rPr>
                  <w:rStyle w:val="mbin"/>
                  <w:rFonts w:ascii="Cambria Math" w:hAnsi="Cambria Math"/>
                </w:rPr>
                <m:t>-</m:t>
              </m:r>
              <m:r>
                <w:rPr>
                  <w:rStyle w:val="mord"/>
                  <w:rFonts w:ascii="Cambria Math" w:hAnsi="Cambria Math"/>
                </w:rPr>
                <m:t>Pa</m:t>
              </m:r>
              <m:r>
                <w:rPr>
                  <w:rStyle w:val="vlist-s"/>
                  <w:rFonts w:ascii="Cambria Math" w:hAnsi="Cambria Math"/>
                </w:rPr>
                <m:t>​</m:t>
              </m:r>
              <m:ctrlPr>
                <w:rPr>
                  <w:rStyle w:val="mclose"/>
                  <w:rFonts w:ascii="Cambria Math" w:hAnsi="Cambria Math"/>
                  <w:i/>
                </w:rPr>
              </m:ctrlPr>
            </m:e>
          </m:d>
          <m:r>
            <w:rPr>
              <w:rStyle w:val="mclose"/>
              <w:rFonts w:ascii="Cambria Math" w:hAnsi="Cambria Math"/>
            </w:rPr>
            <m:t xml:space="preserve">                                                                                                                                        5</m:t>
          </m:r>
        </m:oMath>
      </m:oMathPara>
    </w:p>
    <w:p w14:paraId="1189CEE7" w14:textId="77777777" w:rsidR="004D51C2" w:rsidRDefault="004D51C2" w:rsidP="00010A64">
      <w:pPr>
        <w:pStyle w:val="NormalWeb"/>
        <w:jc w:val="both"/>
      </w:pPr>
      <w:r>
        <w:t xml:space="preserve">where </w:t>
      </w:r>
      <w:proofErr w:type="spellStart"/>
      <w:r w:rsidRPr="004D51C2">
        <w:rPr>
          <w:rStyle w:val="katex-mathml"/>
          <w:i/>
        </w:rPr>
        <w:t>hc</w:t>
      </w:r>
      <w:proofErr w:type="spellEnd"/>
      <w:r>
        <w:rPr>
          <w:rStyle w:val="katex-mathml"/>
          <w:i/>
        </w:rPr>
        <w:t xml:space="preserve"> </w:t>
      </w:r>
      <w:r>
        <w:t xml:space="preserve">and </w:t>
      </w:r>
      <w:r w:rsidRPr="004D51C2">
        <w:rPr>
          <w:rStyle w:val="mord"/>
          <w:i/>
        </w:rPr>
        <w:t>hm</w:t>
      </w:r>
      <w:r>
        <w:rPr>
          <w:rStyle w:val="vlist-s"/>
        </w:rPr>
        <w:t>​</w:t>
      </w:r>
      <w:r>
        <w:t xml:space="preserve"> are heat and mass transfer coefficients, respectively, while </w:t>
      </w:r>
      <w:r w:rsidRPr="004D51C2">
        <w:rPr>
          <w:rStyle w:val="katex-mathml"/>
          <w:i/>
        </w:rPr>
        <w:t>Ts, Ta</w:t>
      </w:r>
      <w:r w:rsidRPr="004D51C2">
        <w:rPr>
          <w:rStyle w:val="vlist-s"/>
          <w:i/>
        </w:rPr>
        <w:t xml:space="preserve"> ​</w:t>
      </w:r>
      <w:r w:rsidRPr="004D51C2">
        <w:rPr>
          <w:i/>
        </w:rPr>
        <w:t xml:space="preserve"> </w:t>
      </w:r>
      <w:r w:rsidRPr="00010A64">
        <w:t>and</w:t>
      </w:r>
      <w:r w:rsidRPr="004D51C2">
        <w:rPr>
          <w:i/>
        </w:rPr>
        <w:t xml:space="preserve"> </w:t>
      </w:r>
      <w:r w:rsidRPr="004D51C2">
        <w:rPr>
          <w:rStyle w:val="katex-mathml"/>
          <w:i/>
        </w:rPr>
        <w:t>Ps,</w:t>
      </w:r>
      <w:r w:rsidR="00010A64">
        <w:rPr>
          <w:rStyle w:val="katex-mathml"/>
          <w:i/>
        </w:rPr>
        <w:t xml:space="preserve"> </w:t>
      </w:r>
      <w:r w:rsidRPr="004D51C2">
        <w:rPr>
          <w:rStyle w:val="katex-mathml"/>
          <w:i/>
        </w:rPr>
        <w:t>Pa</w:t>
      </w:r>
      <w:r w:rsidRPr="004D51C2">
        <w:rPr>
          <w:rStyle w:val="mpunct"/>
          <w:i/>
        </w:rPr>
        <w:t xml:space="preserve"> </w:t>
      </w:r>
      <w:r>
        <w:t>represent surface and ambient temperature and vapor pressure.</w:t>
      </w:r>
    </w:p>
    <w:p w14:paraId="6ED338B3" w14:textId="77777777" w:rsidR="004D51C2" w:rsidRPr="004D51C2" w:rsidRDefault="004D51C2" w:rsidP="00275FC7">
      <w:pPr>
        <w:pStyle w:val="NormalWeb"/>
        <w:jc w:val="both"/>
        <w:rPr>
          <w:rStyle w:val="mclose"/>
        </w:rPr>
      </w:pPr>
      <w:r>
        <w:t>This coupled model explains how moisture uptake, storage, and evaporation modulate latent and sensible heat flows within the bio-humid wall, thereby enabling adaptive thermal regulation similar to the sweating–vasodilation mechanisms of human skin (</w:t>
      </w:r>
      <w:proofErr w:type="spellStart"/>
      <w:r>
        <w:t>Osanyintola</w:t>
      </w:r>
      <w:proofErr w:type="spellEnd"/>
      <w:r>
        <w:t xml:space="preserve"> &amp; Simonson, 2006; Tran Le et al., 2010; Latif et al., 2015; McGregor et al., 2017).</w:t>
      </w:r>
    </w:p>
    <w:p w14:paraId="3833217D" w14:textId="77777777" w:rsidR="0092337C" w:rsidRDefault="00F81652" w:rsidP="007B6F82">
      <w:pPr>
        <w:pStyle w:val="Heading1"/>
        <w:numPr>
          <w:ilvl w:val="1"/>
          <w:numId w:val="33"/>
        </w:numPr>
      </w:pPr>
      <w:r>
        <w:t>Thermal Comfort Condition</w:t>
      </w:r>
    </w:p>
    <w:p w14:paraId="1C9898FF" w14:textId="77777777" w:rsidR="00F81652" w:rsidRPr="00F81652" w:rsidRDefault="00F81652" w:rsidP="00F81652">
      <w:pPr>
        <w:jc w:val="both"/>
        <w:rPr>
          <w:rFonts w:ascii="Times New Roman" w:hAnsi="Times New Roman" w:cs="Times New Roman"/>
          <w:sz w:val="24"/>
        </w:rPr>
      </w:pPr>
      <w:r w:rsidRPr="00F81652">
        <w:rPr>
          <w:rFonts w:ascii="Times New Roman" w:hAnsi="Times New Roman" w:cs="Times New Roman"/>
          <w:sz w:val="24"/>
        </w:rPr>
        <w:t xml:space="preserve">Thermal comfort is achieved when the rate of body heat storage approaches zero, implying thermal equilibrium between the human body and the surrounding environment (Parsons, 2014; </w:t>
      </w:r>
      <w:proofErr w:type="spellStart"/>
      <w:r w:rsidRPr="00F81652">
        <w:rPr>
          <w:rFonts w:ascii="Times New Roman" w:hAnsi="Times New Roman" w:cs="Times New Roman"/>
          <w:sz w:val="24"/>
        </w:rPr>
        <w:t>Havenith</w:t>
      </w:r>
      <w:proofErr w:type="spellEnd"/>
      <w:r w:rsidRPr="00F81652">
        <w:rPr>
          <w:rFonts w:ascii="Times New Roman" w:hAnsi="Times New Roman" w:cs="Times New Roman"/>
          <w:sz w:val="24"/>
        </w:rPr>
        <w:t xml:space="preserve"> &amp; </w:t>
      </w:r>
      <w:proofErr w:type="spellStart"/>
      <w:r w:rsidRPr="00F81652">
        <w:rPr>
          <w:rFonts w:ascii="Times New Roman" w:hAnsi="Times New Roman" w:cs="Times New Roman"/>
          <w:sz w:val="24"/>
        </w:rPr>
        <w:t>Fiala</w:t>
      </w:r>
      <w:proofErr w:type="spellEnd"/>
      <w:r w:rsidRPr="00F81652">
        <w:rPr>
          <w:rFonts w:ascii="Times New Roman" w:hAnsi="Times New Roman" w:cs="Times New Roman"/>
          <w:sz w:val="24"/>
        </w:rPr>
        <w:t>, 2016):</w:t>
      </w:r>
    </w:p>
    <w:p w14:paraId="25322749" w14:textId="77777777" w:rsidR="0092337C" w:rsidRPr="000C2FBF" w:rsidRDefault="000C312D" w:rsidP="00484A3D">
      <w:pPr>
        <w:spacing w:after="0" w:line="240" w:lineRule="auto"/>
        <w:jc w:val="both"/>
        <w:rPr>
          <w:rStyle w:val="mord"/>
          <w:rFonts w:ascii="Times New Roman" w:eastAsia="Times New Roman" w:hAnsi="Times New Roman" w:cs="Times New Roman"/>
          <w:bCs/>
        </w:rPr>
      </w:pPr>
      <m:oMathPara>
        <m:oMath>
          <m:r>
            <m:rPr>
              <m:sty m:val="p"/>
            </m:rPr>
            <w:rPr>
              <w:rStyle w:val="mord"/>
              <w:rFonts w:ascii="Cambria Math" w:hAnsi="Cambria Math"/>
            </w:rPr>
            <m:t>S</m:t>
          </m:r>
          <m:r>
            <m:rPr>
              <m:sty m:val="p"/>
            </m:rPr>
            <w:rPr>
              <w:rStyle w:val="mrel"/>
              <w:rFonts w:ascii="Cambria Math" w:hAnsi="Cambria Math"/>
            </w:rPr>
            <m:t>=</m:t>
          </m:r>
          <m:r>
            <m:rPr>
              <m:sty m:val="p"/>
            </m:rPr>
            <w:rPr>
              <w:rStyle w:val="mord"/>
              <w:rFonts w:ascii="Cambria Math" w:hAnsi="Cambria Math"/>
            </w:rPr>
            <m:t>M</m:t>
          </m:r>
          <m:r>
            <m:rPr>
              <m:sty m:val="p"/>
            </m:rPr>
            <w:rPr>
              <w:rStyle w:val="mbin"/>
              <w:rFonts w:ascii="Cambria Math" w:hAnsi="Cambria Math"/>
            </w:rPr>
            <m:t>-</m:t>
          </m:r>
          <m:r>
            <m:rPr>
              <m:sty m:val="p"/>
            </m:rPr>
            <w:rPr>
              <w:rStyle w:val="mord"/>
              <w:rFonts w:ascii="Cambria Math" w:hAnsi="Cambria Math"/>
            </w:rPr>
            <m:t>W</m:t>
          </m:r>
          <m:r>
            <m:rPr>
              <m:sty m:val="p"/>
            </m:rPr>
            <w:rPr>
              <w:rStyle w:val="mbin"/>
              <w:rFonts w:ascii="Cambria Math" w:hAnsi="Cambria Math"/>
            </w:rPr>
            <m:t>-</m:t>
          </m:r>
          <m:d>
            <m:dPr>
              <m:ctrlPr>
                <w:rPr>
                  <w:rStyle w:val="mopen"/>
                  <w:rFonts w:ascii="Cambria Math" w:hAnsi="Cambria Math"/>
                </w:rPr>
              </m:ctrlPr>
            </m:dPr>
            <m:e>
              <m:r>
                <m:rPr>
                  <m:sty m:val="p"/>
                </m:rPr>
                <w:rPr>
                  <w:rStyle w:val="mord"/>
                  <w:rFonts w:ascii="Cambria Math" w:hAnsi="Cambria Math"/>
                </w:rPr>
                <m:t>C</m:t>
              </m:r>
              <m:r>
                <m:rPr>
                  <m:sty m:val="p"/>
                </m:rPr>
                <w:rPr>
                  <w:rStyle w:val="mbin"/>
                  <w:rFonts w:ascii="Cambria Math" w:hAnsi="Cambria Math"/>
                </w:rPr>
                <m:t>+</m:t>
              </m:r>
              <m:r>
                <m:rPr>
                  <m:sty m:val="p"/>
                </m:rPr>
                <w:rPr>
                  <w:rStyle w:val="mord"/>
                  <w:rFonts w:ascii="Cambria Math" w:hAnsi="Cambria Math"/>
                </w:rPr>
                <m:t>R</m:t>
              </m:r>
              <m:r>
                <m:rPr>
                  <m:sty m:val="p"/>
                </m:rPr>
                <w:rPr>
                  <w:rStyle w:val="mbin"/>
                  <w:rFonts w:ascii="Cambria Math" w:hAnsi="Cambria Math"/>
                </w:rPr>
                <m:t>+</m:t>
              </m:r>
              <m:r>
                <m:rPr>
                  <m:sty m:val="p"/>
                </m:rPr>
                <w:rPr>
                  <w:rStyle w:val="mord"/>
                  <w:rFonts w:ascii="Cambria Math" w:hAnsi="Cambria Math"/>
                </w:rPr>
                <m:t>E</m:t>
              </m:r>
              <m:ctrlPr>
                <w:rPr>
                  <w:rStyle w:val="mclose"/>
                  <w:rFonts w:ascii="Cambria Math" w:hAnsi="Cambria Math"/>
                </w:rPr>
              </m:ctrlPr>
            </m:e>
          </m:d>
          <m:r>
            <m:rPr>
              <m:sty m:val="p"/>
            </m:rPr>
            <w:rPr>
              <w:rStyle w:val="mrel"/>
              <w:rFonts w:ascii="Cambria Math" w:hAnsi="Cambria Math"/>
            </w:rPr>
            <m:t>≈</m:t>
          </m:r>
          <m:r>
            <m:rPr>
              <m:sty m:val="p"/>
            </m:rPr>
            <w:rPr>
              <w:rStyle w:val="mord"/>
              <w:rFonts w:ascii="Cambria Math" w:hAnsi="Cambria Math"/>
            </w:rPr>
            <m:t>0                                                                                                                                    6</m:t>
          </m:r>
        </m:oMath>
      </m:oMathPara>
    </w:p>
    <w:p w14:paraId="1019DB49" w14:textId="77777777" w:rsidR="000C2FBF" w:rsidRPr="007B6F82" w:rsidRDefault="000C2FBF" w:rsidP="00484A3D">
      <w:pPr>
        <w:spacing w:after="0" w:line="240" w:lineRule="auto"/>
        <w:jc w:val="both"/>
        <w:rPr>
          <w:rStyle w:val="mord"/>
          <w:rFonts w:ascii="Times New Roman" w:eastAsia="Times New Roman" w:hAnsi="Times New Roman" w:cs="Times New Roman"/>
          <w:bCs/>
        </w:rPr>
      </w:pPr>
    </w:p>
    <w:p w14:paraId="4AFE4919" w14:textId="77777777" w:rsidR="007B6F82" w:rsidRPr="000C312D" w:rsidRDefault="007B6F82" w:rsidP="00484A3D">
      <w:pPr>
        <w:spacing w:after="0" w:line="240" w:lineRule="auto"/>
        <w:jc w:val="both"/>
        <w:rPr>
          <w:rFonts w:ascii="Times New Roman" w:eastAsia="Times New Roman" w:hAnsi="Times New Roman" w:cs="Times New Roman"/>
          <w:sz w:val="24"/>
          <w:szCs w:val="24"/>
        </w:rPr>
      </w:pPr>
    </w:p>
    <w:p w14:paraId="18472C29" w14:textId="77777777" w:rsidR="00A966BC" w:rsidRDefault="00A966BC" w:rsidP="007B6F82">
      <w:pPr>
        <w:pStyle w:val="Heading1"/>
        <w:numPr>
          <w:ilvl w:val="0"/>
          <w:numId w:val="34"/>
        </w:numPr>
      </w:pPr>
      <w:r w:rsidRPr="00F958B7">
        <w:lastRenderedPageBreak/>
        <w:t>Autonomous Thermoregulation Mechanism</w:t>
      </w:r>
    </w:p>
    <w:p w14:paraId="7D75DFD5" w14:textId="77777777" w:rsidR="008D5275" w:rsidRPr="008D5275" w:rsidRDefault="008D5275" w:rsidP="008D5275">
      <w:pPr>
        <w:jc w:val="both"/>
        <w:rPr>
          <w:rFonts w:ascii="Times New Roman" w:hAnsi="Times New Roman" w:cs="Times New Roman"/>
          <w:sz w:val="24"/>
        </w:rPr>
      </w:pPr>
      <w:r w:rsidRPr="008D5275">
        <w:rPr>
          <w:rFonts w:ascii="Times New Roman" w:hAnsi="Times New Roman" w:cs="Times New Roman"/>
          <w:sz w:val="24"/>
        </w:rPr>
        <w:t>The bio-humid wall functions as an autonomous thermoregulation system by mimicking the physiological behavior of human skin. When indoor temperature rises</w:t>
      </w:r>
      <w:r w:rsidR="00523A51">
        <w:rPr>
          <w:rFonts w:ascii="Times New Roman" w:hAnsi="Times New Roman" w:cs="Times New Roman"/>
          <w:sz w:val="24"/>
        </w:rPr>
        <w:t xml:space="preserve"> (Figure 8)</w:t>
      </w:r>
      <w:r w:rsidRPr="008D5275">
        <w:rPr>
          <w:rFonts w:ascii="Times New Roman" w:hAnsi="Times New Roman" w:cs="Times New Roman"/>
          <w:sz w:val="24"/>
        </w:rPr>
        <w:t>, moisture stored within the hygroscopic biopolymer phase migrates to the surface and evaporates, removing latent heat and reducing wall surface temperature in a process analogous to sweating. Simultaneously, increased vapor permeability of the porous ceramic layer enhances heat dissipation. Conversely, under cooler conditions, moisture desorption is minimized and vapor diffusion pathways constrict due to reduced pore activity, limiting heat loss and conserving indoor warmth. This bidirectional response is controlled entirely by material properties rather than external energy input, enabling the wall to dynamically adapt to environmental changes and maintain indoor thermal comfort with minimal reliance on mechanical HVAC systems (</w:t>
      </w:r>
      <w:proofErr w:type="spellStart"/>
      <w:r w:rsidRPr="008D5275">
        <w:rPr>
          <w:rFonts w:ascii="Times New Roman" w:hAnsi="Times New Roman" w:cs="Times New Roman"/>
          <w:sz w:val="24"/>
        </w:rPr>
        <w:t>Osanyintola</w:t>
      </w:r>
      <w:proofErr w:type="spellEnd"/>
      <w:r w:rsidRPr="008D5275">
        <w:rPr>
          <w:rFonts w:ascii="Times New Roman" w:hAnsi="Times New Roman" w:cs="Times New Roman"/>
          <w:sz w:val="24"/>
        </w:rPr>
        <w:t xml:space="preserve"> &amp; Simonson, 2006; Tran Le et al., 2010; Latif et al., 2015; </w:t>
      </w:r>
      <w:proofErr w:type="spellStart"/>
      <w:r w:rsidRPr="008D5275">
        <w:rPr>
          <w:rFonts w:ascii="Times New Roman" w:hAnsi="Times New Roman" w:cs="Times New Roman"/>
          <w:sz w:val="24"/>
        </w:rPr>
        <w:t>Viel</w:t>
      </w:r>
      <w:proofErr w:type="spellEnd"/>
      <w:r w:rsidRPr="008D5275">
        <w:rPr>
          <w:rFonts w:ascii="Times New Roman" w:hAnsi="Times New Roman" w:cs="Times New Roman"/>
          <w:sz w:val="24"/>
        </w:rPr>
        <w:t xml:space="preserve"> et al., 2019).</w:t>
      </w:r>
    </w:p>
    <w:p w14:paraId="2E18DE66" w14:textId="77777777" w:rsidR="006246FE" w:rsidRDefault="006246FE" w:rsidP="00484A3D">
      <w:pPr>
        <w:jc w:val="both"/>
        <w:rPr>
          <w:rFonts w:ascii="Times New Roman" w:hAnsi="Times New Roman" w:cs="Times New Roman"/>
          <w:sz w:val="24"/>
          <w:szCs w:val="24"/>
        </w:rPr>
      </w:pPr>
      <w:r w:rsidRPr="00F958B7">
        <w:rPr>
          <w:rFonts w:ascii="Times New Roman" w:hAnsi="Times New Roman" w:cs="Times New Roman"/>
          <w:noProof/>
          <w:sz w:val="24"/>
          <w:szCs w:val="24"/>
        </w:rPr>
        <w:drawing>
          <wp:inline distT="0" distB="0" distL="0" distR="0" wp14:anchorId="433A2508" wp14:editId="28AB725C">
            <wp:extent cx="5706110" cy="3002280"/>
            <wp:effectExtent l="0" t="0" r="8890" b="7620"/>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3805" cy="3011590"/>
                    </a:xfrm>
                    <a:prstGeom prst="rect">
                      <a:avLst/>
                    </a:prstGeom>
                    <a:noFill/>
                    <a:ln>
                      <a:noFill/>
                    </a:ln>
                  </pic:spPr>
                </pic:pic>
              </a:graphicData>
            </a:graphic>
          </wp:inline>
        </w:drawing>
      </w:r>
    </w:p>
    <w:p w14:paraId="0B18B7D0" w14:textId="77777777" w:rsidR="00F66F43" w:rsidRPr="00523A51" w:rsidRDefault="00523A51" w:rsidP="00523A51">
      <w:pPr>
        <w:pStyle w:val="Caption"/>
        <w:jc w:val="center"/>
        <w:rPr>
          <w:rFonts w:ascii="Times New Roman" w:hAnsi="Times New Roman" w:cs="Times New Roman"/>
          <w:i w:val="0"/>
          <w:sz w:val="24"/>
          <w:szCs w:val="24"/>
        </w:rPr>
      </w:pPr>
      <w:r w:rsidRPr="00523A51">
        <w:rPr>
          <w:rFonts w:ascii="Times New Roman" w:hAnsi="Times New Roman" w:cs="Times New Roman"/>
          <w:i w:val="0"/>
          <w:sz w:val="24"/>
        </w:rPr>
        <w:t xml:space="preserve">Figure </w:t>
      </w:r>
      <w:r w:rsidRPr="00523A51">
        <w:rPr>
          <w:rFonts w:ascii="Times New Roman" w:hAnsi="Times New Roman" w:cs="Times New Roman"/>
          <w:i w:val="0"/>
          <w:sz w:val="24"/>
        </w:rPr>
        <w:fldChar w:fldCharType="begin"/>
      </w:r>
      <w:r w:rsidRPr="00523A51">
        <w:rPr>
          <w:rFonts w:ascii="Times New Roman" w:hAnsi="Times New Roman" w:cs="Times New Roman"/>
          <w:i w:val="0"/>
          <w:sz w:val="24"/>
        </w:rPr>
        <w:instrText xml:space="preserve"> SEQ Figure \* ARABIC </w:instrText>
      </w:r>
      <w:r w:rsidRPr="00523A51">
        <w:rPr>
          <w:rFonts w:ascii="Times New Roman" w:hAnsi="Times New Roman" w:cs="Times New Roman"/>
          <w:i w:val="0"/>
          <w:sz w:val="24"/>
        </w:rPr>
        <w:fldChar w:fldCharType="separate"/>
      </w:r>
      <w:r w:rsidRPr="00523A51">
        <w:rPr>
          <w:rFonts w:ascii="Times New Roman" w:hAnsi="Times New Roman" w:cs="Times New Roman"/>
          <w:i w:val="0"/>
          <w:noProof/>
          <w:sz w:val="24"/>
        </w:rPr>
        <w:t>8</w:t>
      </w:r>
      <w:r w:rsidRPr="00523A51">
        <w:rPr>
          <w:rFonts w:ascii="Times New Roman" w:hAnsi="Times New Roman" w:cs="Times New Roman"/>
          <w:i w:val="0"/>
          <w:sz w:val="24"/>
        </w:rPr>
        <w:fldChar w:fldCharType="end"/>
      </w:r>
      <w:r w:rsidRPr="00523A51">
        <w:rPr>
          <w:rFonts w:ascii="Times New Roman" w:hAnsi="Times New Roman" w:cs="Times New Roman"/>
          <w:i w:val="0"/>
          <w:sz w:val="24"/>
        </w:rPr>
        <w:t>: Autonomous Thermoregulation Mechanism of Bio-Humid Wall Bricks Mimicking Human Skin</w:t>
      </w:r>
      <w:r>
        <w:rPr>
          <w:rFonts w:ascii="Times New Roman" w:hAnsi="Times New Roman" w:cs="Times New Roman"/>
          <w:i w:val="0"/>
          <w:sz w:val="24"/>
        </w:rPr>
        <w:t xml:space="preserve"> </w:t>
      </w:r>
      <w:r w:rsidRPr="00523A51">
        <w:rPr>
          <w:rFonts w:ascii="Times New Roman" w:hAnsi="Times New Roman" w:cs="Times New Roman"/>
          <w:i w:val="0"/>
          <w:sz w:val="24"/>
        </w:rPr>
        <w:t>(</w:t>
      </w:r>
      <w:proofErr w:type="spellStart"/>
      <w:r w:rsidRPr="00523A51">
        <w:rPr>
          <w:rFonts w:ascii="Times New Roman" w:hAnsi="Times New Roman" w:cs="Times New Roman"/>
          <w:i w:val="0"/>
          <w:sz w:val="24"/>
        </w:rPr>
        <w:t>Viel</w:t>
      </w:r>
      <w:proofErr w:type="spellEnd"/>
      <w:r w:rsidRPr="00523A51">
        <w:rPr>
          <w:rFonts w:ascii="Times New Roman" w:hAnsi="Times New Roman" w:cs="Times New Roman"/>
          <w:i w:val="0"/>
          <w:sz w:val="24"/>
        </w:rPr>
        <w:t xml:space="preserve"> et al., 2019)</w:t>
      </w:r>
    </w:p>
    <w:p w14:paraId="4E506859" w14:textId="77777777" w:rsidR="00A966BC" w:rsidRPr="00F958B7" w:rsidRDefault="00F66F43" w:rsidP="007B6F82">
      <w:pPr>
        <w:pStyle w:val="Heading1"/>
      </w:pPr>
      <w:r>
        <w:t xml:space="preserve">5.1 </w:t>
      </w:r>
      <w:r w:rsidRPr="00F958B7">
        <w:t>Evaporative</w:t>
      </w:r>
      <w:r w:rsidR="00A966BC" w:rsidRPr="00F958B7">
        <w:t xml:space="preserve"> Cooling Mechanism</w:t>
      </w:r>
    </w:p>
    <w:p w14:paraId="7DC00A9A" w14:textId="77777777" w:rsidR="008D5275" w:rsidRPr="008D5275" w:rsidRDefault="008D5275" w:rsidP="008D5275">
      <w:pPr>
        <w:jc w:val="both"/>
        <w:rPr>
          <w:rFonts w:ascii="Times New Roman" w:hAnsi="Times New Roman" w:cs="Times New Roman"/>
          <w:i/>
          <w:sz w:val="24"/>
        </w:rPr>
      </w:pPr>
      <w:r w:rsidRPr="008D5275">
        <w:rPr>
          <w:rFonts w:ascii="Times New Roman" w:hAnsi="Times New Roman" w:cs="Times New Roman"/>
          <w:sz w:val="24"/>
        </w:rPr>
        <w:t xml:space="preserve">Evaporative cooling occurs when absorbed moisture evaporates from the brick surface, removing latent heat from the surrounding air. The cooling capacity is described by </w:t>
      </w:r>
      <w:proofErr w:type="spellStart"/>
      <w:r w:rsidRPr="008D5275">
        <w:rPr>
          <w:rFonts w:ascii="Times New Roman" w:hAnsi="Times New Roman" w:cs="Times New Roman"/>
          <w:sz w:val="24"/>
        </w:rPr>
        <w:t>Havenith</w:t>
      </w:r>
      <w:proofErr w:type="spellEnd"/>
      <w:r w:rsidRPr="008D5275">
        <w:rPr>
          <w:rFonts w:ascii="Times New Roman" w:hAnsi="Times New Roman" w:cs="Times New Roman"/>
          <w:sz w:val="24"/>
        </w:rPr>
        <w:t xml:space="preserve"> and </w:t>
      </w:r>
      <w:proofErr w:type="spellStart"/>
      <w:r w:rsidRPr="008D5275">
        <w:rPr>
          <w:rFonts w:ascii="Times New Roman" w:hAnsi="Times New Roman" w:cs="Times New Roman"/>
          <w:sz w:val="24"/>
        </w:rPr>
        <w:t>Fiala</w:t>
      </w:r>
      <w:proofErr w:type="spellEnd"/>
      <w:r w:rsidRPr="008D5275">
        <w:rPr>
          <w:rFonts w:ascii="Times New Roman" w:hAnsi="Times New Roman" w:cs="Times New Roman"/>
          <w:sz w:val="24"/>
        </w:rPr>
        <w:t xml:space="preserve"> (2016) and Parsons (2014) as:</w:t>
      </w:r>
      <w:r>
        <w:rPr>
          <w:rFonts w:ascii="Times New Roman" w:hAnsi="Times New Roman" w:cs="Times New Roman"/>
          <w:sz w:val="24"/>
        </w:rPr>
        <w:t xml:space="preserve"> </w:t>
      </w:r>
    </w:p>
    <w:p w14:paraId="4B63A1D7" w14:textId="77777777" w:rsidR="008D5275" w:rsidRPr="00523A51" w:rsidRDefault="00523A51" w:rsidP="008D5275">
      <w:pPr>
        <w:jc w:val="both"/>
        <w:rPr>
          <w:rFonts w:ascii="Times New Roman" w:hAnsi="Times New Roman" w:cs="Times New Roman"/>
          <w:sz w:val="24"/>
        </w:rPr>
      </w:pPr>
      <m:oMathPara>
        <m:oMath>
          <m:r>
            <w:rPr>
              <w:rFonts w:ascii="Cambria Math" w:hAnsi="Cambria Math" w:cs="Times New Roman"/>
              <w:sz w:val="36"/>
            </w:rPr>
            <m:t>Q</m:t>
          </m:r>
          <m:r>
            <w:rPr>
              <w:rStyle w:val="mord"/>
              <w:rFonts w:ascii="Cambria Math" w:hAnsi="Cambria Math"/>
            </w:rPr>
            <m:t>evap</m:t>
          </m:r>
          <m:r>
            <w:rPr>
              <w:rStyle w:val="vlist-s"/>
              <w:rFonts w:ascii="Cambria Math" w:hAnsi="Cambria Math"/>
            </w:rPr>
            <m:t>​</m:t>
          </m:r>
          <m:r>
            <w:rPr>
              <w:rStyle w:val="mrel"/>
              <w:rFonts w:ascii="Cambria Math" w:hAnsi="Cambria Math"/>
            </w:rPr>
            <m:t>=</m:t>
          </m:r>
          <m:r>
            <w:rPr>
              <w:rFonts w:ascii="Cambria Math" w:hAnsi="Cambria Math" w:cs="Times New Roman"/>
              <w:sz w:val="28"/>
            </w:rPr>
            <m:t xml:space="preserve"> h</m:t>
          </m:r>
          <m:r>
            <w:rPr>
              <w:rStyle w:val="mord"/>
              <w:rFonts w:ascii="Cambria Math" w:hAnsi="Cambria Math"/>
            </w:rPr>
            <m:t>fg</m:t>
          </m:r>
          <m:r>
            <w:rPr>
              <w:rStyle w:val="vlist-s"/>
              <w:rFonts w:ascii="Cambria Math" w:hAnsi="Cambria Math"/>
            </w:rPr>
            <m:t>​</m:t>
          </m:r>
          <m:r>
            <w:rPr>
              <w:rStyle w:val="mbin"/>
              <w:rFonts w:ascii="Cambria Math" w:hAnsi="Cambria Math" w:cs="Cambria Math"/>
            </w:rPr>
            <m:t>⋅</m:t>
          </m:r>
          <m:r>
            <w:rPr>
              <w:rFonts w:ascii="Cambria Math" w:hAnsi="Cambria Math" w:cs="Times New Roman"/>
              <w:sz w:val="32"/>
            </w:rPr>
            <m:t>m</m:t>
          </m:r>
          <m:r>
            <w:rPr>
              <w:rStyle w:val="mord"/>
              <w:rFonts w:ascii="Cambria Math" w:hAnsi="Cambria Math"/>
            </w:rPr>
            <m:t>˙e                                                                                                                                               7</m:t>
          </m:r>
          <m:r>
            <m:rPr>
              <m:sty m:val="p"/>
            </m:rPr>
            <w:rPr>
              <w:rStyle w:val="vlist-s"/>
              <w:rFonts w:ascii="Cambria Math" w:hAnsi="Cambria Math"/>
            </w:rPr>
            <m:t>​</m:t>
          </m:r>
        </m:oMath>
      </m:oMathPara>
    </w:p>
    <w:p w14:paraId="4844A486" w14:textId="77777777" w:rsidR="007F4373" w:rsidRPr="007F4373" w:rsidRDefault="008D5275" w:rsidP="007F4373">
      <w:pPr>
        <w:jc w:val="both"/>
        <w:rPr>
          <w:rFonts w:ascii="Times New Roman" w:hAnsi="Times New Roman" w:cs="Times New Roman"/>
          <w:sz w:val="24"/>
        </w:rPr>
      </w:pPr>
      <w:r w:rsidRPr="008D5275">
        <w:rPr>
          <w:rFonts w:ascii="Times New Roman" w:hAnsi="Times New Roman" w:cs="Times New Roman"/>
          <w:sz w:val="24"/>
        </w:rPr>
        <w:t xml:space="preserve">where </w:t>
      </w:r>
      <w:proofErr w:type="spellStart"/>
      <w:r w:rsidRPr="008D5275">
        <w:rPr>
          <w:rFonts w:ascii="Times New Roman" w:hAnsi="Times New Roman" w:cs="Times New Roman"/>
          <w:i/>
          <w:sz w:val="28"/>
        </w:rPr>
        <w:t>Q</w:t>
      </w:r>
      <w:r w:rsidRPr="008D5275">
        <w:rPr>
          <w:rFonts w:ascii="Times New Roman" w:hAnsi="Times New Roman" w:cs="Times New Roman"/>
          <w:i/>
          <w:sz w:val="24"/>
        </w:rPr>
        <w:t>evap</w:t>
      </w:r>
      <w:proofErr w:type="spellEnd"/>
      <w:r w:rsidRPr="008D5275">
        <w:rPr>
          <w:rFonts w:ascii="Times New Roman" w:hAnsi="Times New Roman" w:cs="Times New Roman"/>
          <w:sz w:val="24"/>
        </w:rPr>
        <w:t xml:space="preserve"> ​ is evaporative heat loss (</w:t>
      </w:r>
      <w:r w:rsidRPr="008D5275">
        <w:rPr>
          <w:rFonts w:ascii="Times New Roman" w:hAnsi="Times New Roman" w:cs="Times New Roman"/>
          <w:i/>
          <w:sz w:val="24"/>
        </w:rPr>
        <w:t>W</w:t>
      </w:r>
      <w:r w:rsidRPr="008D5275">
        <w:rPr>
          <w:rFonts w:ascii="Times New Roman" w:hAnsi="Times New Roman" w:cs="Times New Roman"/>
          <w:sz w:val="24"/>
        </w:rPr>
        <w:t xml:space="preserve">), </w:t>
      </w:r>
      <w:proofErr w:type="spellStart"/>
      <w:r w:rsidRPr="008D5275">
        <w:rPr>
          <w:rFonts w:ascii="Times New Roman" w:hAnsi="Times New Roman" w:cs="Times New Roman"/>
          <w:i/>
          <w:sz w:val="28"/>
        </w:rPr>
        <w:t>h</w:t>
      </w:r>
      <w:r w:rsidRPr="008D5275">
        <w:rPr>
          <w:rFonts w:ascii="Times New Roman" w:hAnsi="Times New Roman" w:cs="Times New Roman"/>
          <w:i/>
          <w:sz w:val="24"/>
        </w:rPr>
        <w:t>fg</w:t>
      </w:r>
      <w:proofErr w:type="spellEnd"/>
      <w:r w:rsidRPr="008D5275">
        <w:rPr>
          <w:rFonts w:ascii="Times New Roman" w:hAnsi="Times New Roman" w:cs="Times New Roman"/>
          <w:sz w:val="24"/>
        </w:rPr>
        <w:t xml:space="preserve"> ​ is the latent heat of vaporization of water (J/kg), and </w:t>
      </w:r>
      <w:proofErr w:type="spellStart"/>
      <w:r w:rsidRPr="007B6F82">
        <w:rPr>
          <w:rFonts w:ascii="Times New Roman" w:hAnsi="Times New Roman" w:cs="Times New Roman"/>
          <w:i/>
          <w:sz w:val="24"/>
        </w:rPr>
        <w:t>m˙e</w:t>
      </w:r>
      <w:proofErr w:type="spellEnd"/>
      <w:r w:rsidR="007B6F82">
        <w:rPr>
          <w:rFonts w:ascii="Times New Roman" w:hAnsi="Times New Roman" w:cs="Times New Roman"/>
          <w:sz w:val="24"/>
        </w:rPr>
        <w:t xml:space="preserve"> </w:t>
      </w:r>
      <w:r w:rsidRPr="008D5275">
        <w:rPr>
          <w:rFonts w:ascii="Times New Roman" w:hAnsi="Times New Roman" w:cs="Times New Roman"/>
          <w:sz w:val="24"/>
        </w:rPr>
        <w:t xml:space="preserve">is the evaporation rate (kg/s). This mechanism is central to the bio-humid wall’s ability to </w:t>
      </w:r>
      <w:r w:rsidRPr="008D5275">
        <w:rPr>
          <w:rFonts w:ascii="Times New Roman" w:hAnsi="Times New Roman" w:cs="Times New Roman"/>
          <w:sz w:val="24"/>
        </w:rPr>
        <w:lastRenderedPageBreak/>
        <w:t>replicate the sweating function of human skin, providing passive cooling during hot and dry indoor conditions.</w:t>
      </w:r>
    </w:p>
    <w:p w14:paraId="0C688658" w14:textId="77777777" w:rsidR="007F4373" w:rsidRPr="007F4373" w:rsidRDefault="007F4373" w:rsidP="007F4373">
      <w:pPr>
        <w:pStyle w:val="Heading1"/>
      </w:pPr>
      <w:r w:rsidRPr="007F4373">
        <w:t>5.2 Performance Evaluation, Applications, and Future Perspectives</w:t>
      </w:r>
    </w:p>
    <w:p w14:paraId="20F69365" w14:textId="77777777" w:rsidR="007F4373" w:rsidRPr="007F4373" w:rsidRDefault="007F4373" w:rsidP="007F4373">
      <w:pPr>
        <w:jc w:val="both"/>
        <w:rPr>
          <w:rFonts w:ascii="Times New Roman" w:hAnsi="Times New Roman" w:cs="Times New Roman"/>
          <w:sz w:val="24"/>
        </w:rPr>
      </w:pPr>
      <w:r w:rsidRPr="007F4373">
        <w:rPr>
          <w:rFonts w:ascii="Times New Roman" w:hAnsi="Times New Roman" w:cs="Times New Roman"/>
          <w:sz w:val="24"/>
        </w:rPr>
        <w:t>Studies on hygroscopic and moisture-buffering materials consistently report indoor temperature reductions ranging from 3–6 °C under warm climatic conditions, confirming their effectiveness in moderating indoor environ</w:t>
      </w:r>
      <w:r w:rsidR="00EE585A">
        <w:rPr>
          <w:rFonts w:ascii="Times New Roman" w:hAnsi="Times New Roman" w:cs="Times New Roman"/>
          <w:sz w:val="24"/>
        </w:rPr>
        <w:t>ments (</w:t>
      </w:r>
      <w:proofErr w:type="spellStart"/>
      <w:r w:rsidR="00EE585A">
        <w:rPr>
          <w:rFonts w:ascii="Times New Roman" w:hAnsi="Times New Roman" w:cs="Times New Roman"/>
          <w:sz w:val="24"/>
        </w:rPr>
        <w:t>Osanyintola</w:t>
      </w:r>
      <w:proofErr w:type="spellEnd"/>
      <w:r w:rsidR="00EE585A">
        <w:rPr>
          <w:rFonts w:ascii="Times New Roman" w:hAnsi="Times New Roman" w:cs="Times New Roman"/>
          <w:sz w:val="24"/>
        </w:rPr>
        <w:t xml:space="preserve"> and</w:t>
      </w:r>
      <w:r w:rsidRPr="007F4373">
        <w:rPr>
          <w:rFonts w:ascii="Times New Roman" w:hAnsi="Times New Roman" w:cs="Times New Roman"/>
          <w:sz w:val="24"/>
        </w:rPr>
        <w:t xml:space="preserve"> Simonson, 2006; Latif et al., 2015; McGregor et al., 2017; </w:t>
      </w:r>
      <w:proofErr w:type="spellStart"/>
      <w:r w:rsidRPr="007F4373">
        <w:rPr>
          <w:rFonts w:ascii="Times New Roman" w:hAnsi="Times New Roman" w:cs="Times New Roman"/>
          <w:sz w:val="24"/>
        </w:rPr>
        <w:t>Viel</w:t>
      </w:r>
      <w:proofErr w:type="spellEnd"/>
      <w:r w:rsidRPr="007F4373">
        <w:rPr>
          <w:rFonts w:ascii="Times New Roman" w:hAnsi="Times New Roman" w:cs="Times New Roman"/>
          <w:sz w:val="24"/>
        </w:rPr>
        <w:t xml:space="preserve"> et al., 2019). By integrating evaporative cooling with intrinsic thermal mass, the bio-humid wall brick operates as a passive thermoregulatory system, reducing peak indoor temperatures and lowering cooling energy demand. From a biomedical engineering perspective, the building envelope behaves as a thermoregulating organism, maintaining thermal homeostasis through analogues of physiological processes such as sweating, vasodilation, and moisture retention, thereby enhancing occupant comfort while minimizing reliance on mechanical HVAC systems.</w:t>
      </w:r>
    </w:p>
    <w:p w14:paraId="2E8150BA" w14:textId="5938E80F" w:rsidR="007F4373" w:rsidRDefault="007F4373" w:rsidP="007F4373">
      <w:pPr>
        <w:jc w:val="both"/>
        <w:rPr>
          <w:rFonts w:ascii="Times New Roman" w:hAnsi="Times New Roman" w:cs="Times New Roman"/>
          <w:sz w:val="24"/>
        </w:rPr>
      </w:pPr>
      <w:r w:rsidRPr="007F4373">
        <w:rPr>
          <w:rFonts w:ascii="Times New Roman" w:hAnsi="Times New Roman" w:cs="Times New Roman"/>
          <w:sz w:val="24"/>
        </w:rPr>
        <w:t>The system has broad applicability in residential buildings, hospitals, elderly and pediatric housing, and low-energy or off-grid structures, particularly in tropical and subtropical regions where heat stress is prevalent (</w:t>
      </w:r>
      <w:proofErr w:type="spellStart"/>
      <w:r w:rsidRPr="007F4373">
        <w:rPr>
          <w:rFonts w:ascii="Times New Roman" w:hAnsi="Times New Roman" w:cs="Times New Roman"/>
          <w:sz w:val="24"/>
        </w:rPr>
        <w:t>Santamouris</w:t>
      </w:r>
      <w:proofErr w:type="spellEnd"/>
      <w:r w:rsidRPr="007F4373">
        <w:rPr>
          <w:rFonts w:ascii="Times New Roman" w:hAnsi="Times New Roman" w:cs="Times New Roman"/>
          <w:sz w:val="24"/>
        </w:rPr>
        <w:t xml:space="preserve">, 2016; </w:t>
      </w:r>
      <w:proofErr w:type="spellStart"/>
      <w:r w:rsidRPr="007F4373">
        <w:rPr>
          <w:rFonts w:ascii="Times New Roman" w:hAnsi="Times New Roman" w:cs="Times New Roman"/>
          <w:sz w:val="24"/>
        </w:rPr>
        <w:t>Loonen</w:t>
      </w:r>
      <w:proofErr w:type="spellEnd"/>
      <w:r w:rsidRPr="007F4373">
        <w:rPr>
          <w:rFonts w:ascii="Times New Roman" w:hAnsi="Times New Roman" w:cs="Times New Roman"/>
          <w:sz w:val="24"/>
        </w:rPr>
        <w:t xml:space="preserve"> et al., 2013). However, challenges remain regarding long-term durability, microbial growth control, and optimization of material composition. Future research should focus on large-scale experimental validation, </w:t>
      </w:r>
      <w:proofErr w:type="spellStart"/>
      <w:r w:rsidRPr="007F4373">
        <w:rPr>
          <w:rFonts w:ascii="Times New Roman" w:hAnsi="Times New Roman" w:cs="Times New Roman"/>
          <w:sz w:val="24"/>
        </w:rPr>
        <w:t>hygrothermal</w:t>
      </w:r>
      <w:proofErr w:type="spellEnd"/>
      <w:r w:rsidRPr="007F4373">
        <w:rPr>
          <w:rFonts w:ascii="Times New Roman" w:hAnsi="Times New Roman" w:cs="Times New Roman"/>
          <w:sz w:val="24"/>
        </w:rPr>
        <w:t xml:space="preserve"> numerical modeling, and the integration of sensor-driven adaptive control to further enhance the autonomous thermoregulatory capability and sustainability of bio-humid wall systems (Tran Le et al., 2010; </w:t>
      </w:r>
      <w:proofErr w:type="spellStart"/>
      <w:r w:rsidRPr="007F4373">
        <w:rPr>
          <w:rFonts w:ascii="Times New Roman" w:hAnsi="Times New Roman" w:cs="Times New Roman"/>
          <w:sz w:val="24"/>
        </w:rPr>
        <w:t>Amziane</w:t>
      </w:r>
      <w:proofErr w:type="spellEnd"/>
      <w:r w:rsidRPr="007F4373">
        <w:rPr>
          <w:rFonts w:ascii="Times New Roman" w:hAnsi="Times New Roman" w:cs="Times New Roman"/>
          <w:sz w:val="24"/>
        </w:rPr>
        <w:t xml:space="preserve"> &amp; </w:t>
      </w:r>
      <w:proofErr w:type="spellStart"/>
      <w:r w:rsidRPr="007F4373">
        <w:rPr>
          <w:rFonts w:ascii="Times New Roman" w:hAnsi="Times New Roman" w:cs="Times New Roman"/>
          <w:sz w:val="24"/>
        </w:rPr>
        <w:t>Sonebi</w:t>
      </w:r>
      <w:proofErr w:type="spellEnd"/>
      <w:r w:rsidRPr="007F4373">
        <w:rPr>
          <w:rFonts w:ascii="Times New Roman" w:hAnsi="Times New Roman" w:cs="Times New Roman"/>
          <w:sz w:val="24"/>
        </w:rPr>
        <w:t xml:space="preserve">, 2016; </w:t>
      </w:r>
      <w:proofErr w:type="spellStart"/>
      <w:r w:rsidRPr="007F4373">
        <w:rPr>
          <w:rFonts w:ascii="Times New Roman" w:hAnsi="Times New Roman" w:cs="Times New Roman"/>
          <w:sz w:val="24"/>
        </w:rPr>
        <w:t>Cascione</w:t>
      </w:r>
      <w:proofErr w:type="spellEnd"/>
      <w:r w:rsidRPr="007F4373">
        <w:rPr>
          <w:rFonts w:ascii="Times New Roman" w:hAnsi="Times New Roman" w:cs="Times New Roman"/>
          <w:sz w:val="24"/>
        </w:rPr>
        <w:t xml:space="preserve"> et al., 2019).</w:t>
      </w:r>
    </w:p>
    <w:p w14:paraId="1A4E60AB" w14:textId="22C1FB6B" w:rsidR="00323F47" w:rsidRPr="00323F47" w:rsidRDefault="00323F47" w:rsidP="00323F47">
      <w:pPr>
        <w:pStyle w:val="Heading2"/>
      </w:pPr>
      <w:r>
        <w:t xml:space="preserve">5.2.1 </w:t>
      </w:r>
      <w:r w:rsidRPr="00323F47">
        <w:t>Practical Implementation Considerations</w:t>
      </w:r>
    </w:p>
    <w:p w14:paraId="4BDF4056" w14:textId="77777777" w:rsidR="00323F47" w:rsidRPr="00323F47" w:rsidRDefault="00323F47" w:rsidP="00323F47">
      <w:pPr>
        <w:spacing w:line="240" w:lineRule="auto"/>
        <w:jc w:val="both"/>
        <w:rPr>
          <w:rFonts w:ascii="Times New Roman" w:hAnsi="Times New Roman" w:cs="Times New Roman"/>
          <w:sz w:val="24"/>
        </w:rPr>
      </w:pPr>
      <w:r w:rsidRPr="00323F47">
        <w:rPr>
          <w:rFonts w:ascii="Times New Roman" w:hAnsi="Times New Roman" w:cs="Times New Roman"/>
          <w:sz w:val="24"/>
        </w:rPr>
        <w:t xml:space="preserve">The practical implementation of bio-humid wall bricks in smart housing systems requires careful attention to material durability, maintenance, cost, and adaptability to diverse climatic conditions. Long-term durability is a critical factor, as repeated cycles of moisture absorption and evaporation may affect the mechanical integrity of the porous ceramic or clay matrix. The incorporation of biopolymers such as cellulose or chitosan must also be optimized to resist microbial growth while maintaining hygroscopic performance, as noted by </w:t>
      </w:r>
      <w:proofErr w:type="spellStart"/>
      <w:r w:rsidRPr="00323F47">
        <w:rPr>
          <w:rFonts w:ascii="Times New Roman" w:hAnsi="Times New Roman" w:cs="Times New Roman"/>
          <w:sz w:val="24"/>
        </w:rPr>
        <w:t>Osanyintola</w:t>
      </w:r>
      <w:proofErr w:type="spellEnd"/>
      <w:r w:rsidRPr="00323F47">
        <w:rPr>
          <w:rFonts w:ascii="Times New Roman" w:hAnsi="Times New Roman" w:cs="Times New Roman"/>
          <w:sz w:val="24"/>
        </w:rPr>
        <w:t xml:space="preserve"> and Simonson (2006) and Tran Le et al. (2010).</w:t>
      </w:r>
    </w:p>
    <w:p w14:paraId="4EB3F045" w14:textId="3EF60C6B" w:rsidR="00323F47" w:rsidRPr="00323F47" w:rsidRDefault="00323F47" w:rsidP="00323F47">
      <w:pPr>
        <w:spacing w:line="240" w:lineRule="auto"/>
        <w:jc w:val="both"/>
        <w:rPr>
          <w:rFonts w:ascii="Times New Roman" w:hAnsi="Times New Roman" w:cs="Times New Roman"/>
          <w:sz w:val="24"/>
        </w:rPr>
      </w:pPr>
      <w:r w:rsidRPr="00323F47">
        <w:rPr>
          <w:rFonts w:ascii="Times New Roman" w:hAnsi="Times New Roman" w:cs="Times New Roman"/>
          <w:sz w:val="24"/>
        </w:rPr>
        <w:t>Maintenance considerations include periodic inspection for surface cracks, potential biofilm formation, and cleaning protocols to preserve optimal evaporative and moisture-buffering performance. From an economic perspective, production costs can be managed through the use of locally available raw materials and scalable fabrication processes, including molding, curing, and finishing techniques. Scaling the sys</w:t>
      </w:r>
      <w:r>
        <w:rPr>
          <w:rFonts w:ascii="Times New Roman" w:hAnsi="Times New Roman" w:cs="Times New Roman"/>
          <w:sz w:val="24"/>
        </w:rPr>
        <w:t xml:space="preserve">tem to different building types </w:t>
      </w:r>
      <w:r w:rsidRPr="00323F47">
        <w:rPr>
          <w:rFonts w:ascii="Times New Roman" w:hAnsi="Times New Roman" w:cs="Times New Roman"/>
          <w:sz w:val="24"/>
        </w:rPr>
        <w:t>from s</w:t>
      </w:r>
      <w:r>
        <w:rPr>
          <w:rFonts w:ascii="Times New Roman" w:hAnsi="Times New Roman" w:cs="Times New Roman"/>
          <w:sz w:val="24"/>
        </w:rPr>
        <w:t xml:space="preserve">ingle-family homes to hospitals </w:t>
      </w:r>
      <w:r w:rsidRPr="00323F47">
        <w:rPr>
          <w:rFonts w:ascii="Times New Roman" w:hAnsi="Times New Roman" w:cs="Times New Roman"/>
          <w:sz w:val="24"/>
        </w:rPr>
        <w:t>requires adapting wall thickness, layer composition, and binder-to-aggregate ratios to accommodate varying indoor climate demands. Additionally, the bio-humid wall brick system must be tailored to local climatic conditions, including tropical, subtropical, and temperate regions, to maximize passive cooling, moisture regulation, and energy efficiency (</w:t>
      </w:r>
      <w:proofErr w:type="spellStart"/>
      <w:r w:rsidRPr="00323F47">
        <w:rPr>
          <w:rFonts w:ascii="Times New Roman" w:hAnsi="Times New Roman" w:cs="Times New Roman"/>
          <w:sz w:val="24"/>
        </w:rPr>
        <w:t>Viel</w:t>
      </w:r>
      <w:proofErr w:type="spellEnd"/>
      <w:r w:rsidRPr="00323F47">
        <w:rPr>
          <w:rFonts w:ascii="Times New Roman" w:hAnsi="Times New Roman" w:cs="Times New Roman"/>
          <w:sz w:val="24"/>
        </w:rPr>
        <w:t xml:space="preserve"> et al., 2019; Latif et al., 2015; McGregor et al., 2017).</w:t>
      </w:r>
    </w:p>
    <w:p w14:paraId="772B6A5A" w14:textId="031B35DA" w:rsidR="00323F47" w:rsidRDefault="00323F47" w:rsidP="00323F47">
      <w:pPr>
        <w:spacing w:line="240" w:lineRule="auto"/>
        <w:jc w:val="both"/>
        <w:rPr>
          <w:rFonts w:ascii="Times New Roman" w:hAnsi="Times New Roman" w:cs="Times New Roman"/>
          <w:sz w:val="24"/>
        </w:rPr>
      </w:pPr>
      <w:r w:rsidRPr="00323F47">
        <w:rPr>
          <w:rFonts w:ascii="Times New Roman" w:hAnsi="Times New Roman" w:cs="Times New Roman"/>
          <w:sz w:val="24"/>
        </w:rPr>
        <w:lastRenderedPageBreak/>
        <w:t>By addressing these practical considerations, the bio-humid wall can be feasibly implemented as a sustainable, adaptive, and biomedical-inspired solution for climate-responsive housing, enhancing both occupant comfort and energy performance.</w:t>
      </w:r>
    </w:p>
    <w:p w14:paraId="7F6CE90B" w14:textId="14D1EAB9" w:rsidR="00323F47" w:rsidRPr="00323F47" w:rsidRDefault="00323F47" w:rsidP="00323F47">
      <w:pPr>
        <w:pStyle w:val="Heading2"/>
      </w:pPr>
      <w:r>
        <w:t xml:space="preserve">5.2.2 </w:t>
      </w:r>
      <w:r w:rsidRPr="00323F47">
        <w:t>Quantitative Performance Analysis</w:t>
      </w:r>
    </w:p>
    <w:p w14:paraId="10353FAA" w14:textId="28C23D03" w:rsidR="00323F47" w:rsidRDefault="00323F47" w:rsidP="00323F47">
      <w:pPr>
        <w:jc w:val="both"/>
        <w:rPr>
          <w:rFonts w:ascii="Times New Roman" w:hAnsi="Times New Roman" w:cs="Times New Roman"/>
          <w:sz w:val="24"/>
        </w:rPr>
      </w:pPr>
      <w:r w:rsidRPr="00323F47">
        <w:rPr>
          <w:rFonts w:ascii="Times New Roman" w:hAnsi="Times New Roman" w:cs="Times New Roman"/>
          <w:sz w:val="24"/>
        </w:rPr>
        <w:t>Several studies have quantified the performance of hygroscopic and moisture-buffering building materials in terms of indoor temperature reduction, humidity control, and potential energy savings. For instance, indoor temperatures were reported to decrease by 3–6 °C in warm climates when using hemp-lime or clay-based hygroscopic walls (</w:t>
      </w:r>
      <w:proofErr w:type="spellStart"/>
      <w:r w:rsidRPr="00323F47">
        <w:rPr>
          <w:rFonts w:ascii="Times New Roman" w:hAnsi="Times New Roman" w:cs="Times New Roman"/>
          <w:sz w:val="24"/>
        </w:rPr>
        <w:t>Cascione</w:t>
      </w:r>
      <w:proofErr w:type="spellEnd"/>
      <w:r w:rsidRPr="00323F47">
        <w:rPr>
          <w:rFonts w:ascii="Times New Roman" w:hAnsi="Times New Roman" w:cs="Times New Roman"/>
          <w:sz w:val="24"/>
        </w:rPr>
        <w:t xml:space="preserve"> et al., 2019; Latif et al., 2015). Moisture-buffering capacity of bio-based composites has been shown to stabilize relative indoor humidity within 40–60 % in variable external conditions (McGregor et al., 2017; </w:t>
      </w:r>
      <w:proofErr w:type="spellStart"/>
      <w:r w:rsidRPr="00323F47">
        <w:rPr>
          <w:rFonts w:ascii="Times New Roman" w:hAnsi="Times New Roman" w:cs="Times New Roman"/>
          <w:sz w:val="24"/>
        </w:rPr>
        <w:t>Viel</w:t>
      </w:r>
      <w:proofErr w:type="spellEnd"/>
      <w:r w:rsidRPr="00323F47">
        <w:rPr>
          <w:rFonts w:ascii="Times New Roman" w:hAnsi="Times New Roman" w:cs="Times New Roman"/>
          <w:sz w:val="24"/>
        </w:rPr>
        <w:t xml:space="preserve"> et al., 2019). Additionally, integrating thermal mass and evaporative cooling mechanisms has the potential to reduce peak cooling energy loads by 15–25 %, translating into significant energy savings in tropical and subtropical buildings (Tran Le et al., 2010; Palumbo et al., 2015). These quantitative results </w:t>
      </w:r>
      <w:r>
        <w:rPr>
          <w:rFonts w:ascii="Times New Roman" w:hAnsi="Times New Roman" w:cs="Times New Roman"/>
          <w:sz w:val="24"/>
        </w:rPr>
        <w:t xml:space="preserve">as indicated in Table 7 </w:t>
      </w:r>
      <w:r w:rsidRPr="00323F47">
        <w:rPr>
          <w:rFonts w:ascii="Times New Roman" w:hAnsi="Times New Roman" w:cs="Times New Roman"/>
          <w:sz w:val="24"/>
        </w:rPr>
        <w:t>provide strong evidence supporting the efficacy of bio-humid wall bricks in achieving autonomous thermoregulation and enhancing human thermal comfort.</w:t>
      </w:r>
    </w:p>
    <w:p w14:paraId="0BB907AE" w14:textId="2ECC643C" w:rsidR="00323F47" w:rsidRPr="00B473D3" w:rsidRDefault="00B473D3" w:rsidP="00B473D3">
      <w:pPr>
        <w:pStyle w:val="Caption"/>
        <w:rPr>
          <w:rFonts w:ascii="Times New Roman" w:eastAsia="Times New Roman" w:hAnsi="Times New Roman" w:cs="Times New Roman"/>
          <w:i w:val="0"/>
          <w:sz w:val="24"/>
          <w:szCs w:val="24"/>
        </w:rPr>
      </w:pPr>
      <w:r w:rsidRPr="00B473D3">
        <w:rPr>
          <w:rFonts w:ascii="Times New Roman" w:hAnsi="Times New Roman" w:cs="Times New Roman"/>
          <w:i w:val="0"/>
          <w:sz w:val="24"/>
          <w:szCs w:val="24"/>
        </w:rPr>
        <w:t xml:space="preserve">Table </w:t>
      </w:r>
      <w:r w:rsidRPr="00B473D3">
        <w:rPr>
          <w:rFonts w:ascii="Times New Roman" w:hAnsi="Times New Roman" w:cs="Times New Roman"/>
          <w:i w:val="0"/>
          <w:sz w:val="24"/>
          <w:szCs w:val="24"/>
        </w:rPr>
        <w:fldChar w:fldCharType="begin"/>
      </w:r>
      <w:r w:rsidRPr="00B473D3">
        <w:rPr>
          <w:rFonts w:ascii="Times New Roman" w:hAnsi="Times New Roman" w:cs="Times New Roman"/>
          <w:i w:val="0"/>
          <w:sz w:val="24"/>
          <w:szCs w:val="24"/>
        </w:rPr>
        <w:instrText xml:space="preserve"> SEQ Table \* ARABIC </w:instrText>
      </w:r>
      <w:r w:rsidRPr="00B473D3">
        <w:rPr>
          <w:rFonts w:ascii="Times New Roman" w:hAnsi="Times New Roman" w:cs="Times New Roman"/>
          <w:i w:val="0"/>
          <w:sz w:val="24"/>
          <w:szCs w:val="24"/>
        </w:rPr>
        <w:fldChar w:fldCharType="separate"/>
      </w:r>
      <w:r w:rsidR="00D8620E">
        <w:rPr>
          <w:rFonts w:ascii="Times New Roman" w:hAnsi="Times New Roman" w:cs="Times New Roman"/>
          <w:i w:val="0"/>
          <w:noProof/>
          <w:sz w:val="24"/>
          <w:szCs w:val="24"/>
        </w:rPr>
        <w:t>7</w:t>
      </w:r>
      <w:r w:rsidRPr="00B473D3">
        <w:rPr>
          <w:rFonts w:ascii="Times New Roman" w:hAnsi="Times New Roman" w:cs="Times New Roman"/>
          <w:i w:val="0"/>
          <w:sz w:val="24"/>
          <w:szCs w:val="24"/>
        </w:rPr>
        <w:fldChar w:fldCharType="end"/>
      </w:r>
      <w:r w:rsidRPr="00B473D3">
        <w:rPr>
          <w:rFonts w:ascii="Times New Roman" w:hAnsi="Times New Roman" w:cs="Times New Roman"/>
          <w:i w:val="0"/>
          <w:sz w:val="24"/>
          <w:szCs w:val="24"/>
        </w:rPr>
        <w:t xml:space="preserve">: </w:t>
      </w:r>
      <w:r w:rsidR="00323F47" w:rsidRPr="00B473D3">
        <w:rPr>
          <w:rFonts w:ascii="Times New Roman" w:eastAsia="Times New Roman" w:hAnsi="Times New Roman" w:cs="Times New Roman"/>
          <w:bCs/>
          <w:i w:val="0"/>
          <w:sz w:val="24"/>
          <w:szCs w:val="24"/>
        </w:rPr>
        <w:t>Quantitative Performance Metrics of Bio-Humid Wall Bricks and Hygroscopic Materials</w:t>
      </w:r>
    </w:p>
    <w:tbl>
      <w:tblPr>
        <w:tblStyle w:val="TableGrid"/>
        <w:tblW w:w="11341" w:type="dxa"/>
        <w:tblInd w:w="-998" w:type="dxa"/>
        <w:tblLook w:val="04A0" w:firstRow="1" w:lastRow="0" w:firstColumn="1" w:lastColumn="0" w:noHBand="0" w:noVBand="1"/>
      </w:tblPr>
      <w:tblGrid>
        <w:gridCol w:w="2553"/>
        <w:gridCol w:w="2374"/>
        <w:gridCol w:w="1647"/>
        <w:gridCol w:w="1815"/>
        <w:gridCol w:w="2952"/>
      </w:tblGrid>
      <w:tr w:rsidR="00323F47" w:rsidRPr="00323F47" w14:paraId="118DA06A" w14:textId="77777777" w:rsidTr="00B473D3">
        <w:tc>
          <w:tcPr>
            <w:tcW w:w="2553" w:type="dxa"/>
            <w:hideMark/>
          </w:tcPr>
          <w:p w14:paraId="546852CF" w14:textId="77777777" w:rsidR="00323F47" w:rsidRPr="00B473D3" w:rsidRDefault="00323F47" w:rsidP="00323F47">
            <w:pPr>
              <w:jc w:val="center"/>
              <w:rPr>
                <w:rFonts w:ascii="Times New Roman" w:eastAsia="Times New Roman" w:hAnsi="Times New Roman" w:cs="Times New Roman"/>
                <w:b/>
                <w:bCs/>
                <w:sz w:val="19"/>
                <w:szCs w:val="19"/>
              </w:rPr>
            </w:pPr>
            <w:r w:rsidRPr="00B473D3">
              <w:rPr>
                <w:rFonts w:ascii="Times New Roman" w:eastAsia="Times New Roman" w:hAnsi="Times New Roman" w:cs="Times New Roman"/>
                <w:b/>
                <w:bCs/>
                <w:sz w:val="19"/>
                <w:szCs w:val="19"/>
              </w:rPr>
              <w:t>Study / Material</w:t>
            </w:r>
          </w:p>
        </w:tc>
        <w:tc>
          <w:tcPr>
            <w:tcW w:w="2374" w:type="dxa"/>
            <w:hideMark/>
          </w:tcPr>
          <w:p w14:paraId="413DBCAB" w14:textId="77777777" w:rsidR="00323F47" w:rsidRPr="00B473D3" w:rsidRDefault="00323F47" w:rsidP="00B473D3">
            <w:pPr>
              <w:jc w:val="center"/>
              <w:rPr>
                <w:rFonts w:ascii="Times New Roman" w:eastAsia="Times New Roman" w:hAnsi="Times New Roman" w:cs="Times New Roman"/>
                <w:b/>
                <w:bCs/>
                <w:sz w:val="19"/>
                <w:szCs w:val="19"/>
              </w:rPr>
            </w:pPr>
            <w:r w:rsidRPr="00B473D3">
              <w:rPr>
                <w:rFonts w:ascii="Times New Roman" w:eastAsia="Times New Roman" w:hAnsi="Times New Roman" w:cs="Times New Roman"/>
                <w:b/>
                <w:bCs/>
                <w:sz w:val="19"/>
                <w:szCs w:val="19"/>
              </w:rPr>
              <w:t>Indoor Temperature Reduction (°C)</w:t>
            </w:r>
          </w:p>
        </w:tc>
        <w:tc>
          <w:tcPr>
            <w:tcW w:w="0" w:type="auto"/>
            <w:hideMark/>
          </w:tcPr>
          <w:p w14:paraId="787BD46B" w14:textId="77777777" w:rsidR="00323F47" w:rsidRPr="00B473D3" w:rsidRDefault="00323F47" w:rsidP="00B473D3">
            <w:pPr>
              <w:jc w:val="center"/>
              <w:rPr>
                <w:rFonts w:ascii="Times New Roman" w:eastAsia="Times New Roman" w:hAnsi="Times New Roman" w:cs="Times New Roman"/>
                <w:b/>
                <w:bCs/>
                <w:sz w:val="19"/>
                <w:szCs w:val="19"/>
              </w:rPr>
            </w:pPr>
            <w:r w:rsidRPr="00B473D3">
              <w:rPr>
                <w:rFonts w:ascii="Times New Roman" w:eastAsia="Times New Roman" w:hAnsi="Times New Roman" w:cs="Times New Roman"/>
                <w:b/>
                <w:bCs/>
                <w:sz w:val="19"/>
                <w:szCs w:val="19"/>
              </w:rPr>
              <w:t>Relative Humidity Control (%)</w:t>
            </w:r>
          </w:p>
        </w:tc>
        <w:tc>
          <w:tcPr>
            <w:tcW w:w="0" w:type="auto"/>
            <w:hideMark/>
          </w:tcPr>
          <w:p w14:paraId="41910714" w14:textId="77777777" w:rsidR="00323F47" w:rsidRPr="00B473D3" w:rsidRDefault="00323F47" w:rsidP="00B473D3">
            <w:pPr>
              <w:jc w:val="center"/>
              <w:rPr>
                <w:rFonts w:ascii="Times New Roman" w:eastAsia="Times New Roman" w:hAnsi="Times New Roman" w:cs="Times New Roman"/>
                <w:b/>
                <w:bCs/>
                <w:sz w:val="19"/>
                <w:szCs w:val="19"/>
              </w:rPr>
            </w:pPr>
            <w:r w:rsidRPr="00B473D3">
              <w:rPr>
                <w:rFonts w:ascii="Times New Roman" w:eastAsia="Times New Roman" w:hAnsi="Times New Roman" w:cs="Times New Roman"/>
                <w:b/>
                <w:bCs/>
                <w:sz w:val="19"/>
                <w:szCs w:val="19"/>
              </w:rPr>
              <w:t>Potential Cooling Energy Savings (%)</w:t>
            </w:r>
          </w:p>
        </w:tc>
        <w:tc>
          <w:tcPr>
            <w:tcW w:w="2952" w:type="dxa"/>
            <w:hideMark/>
          </w:tcPr>
          <w:p w14:paraId="73C96DFE" w14:textId="77777777" w:rsidR="00323F47" w:rsidRPr="00B473D3" w:rsidRDefault="00323F47" w:rsidP="00323F47">
            <w:pPr>
              <w:jc w:val="center"/>
              <w:rPr>
                <w:rFonts w:ascii="Times New Roman" w:eastAsia="Times New Roman" w:hAnsi="Times New Roman" w:cs="Times New Roman"/>
                <w:b/>
                <w:bCs/>
                <w:sz w:val="19"/>
                <w:szCs w:val="19"/>
              </w:rPr>
            </w:pPr>
            <w:r w:rsidRPr="00B473D3">
              <w:rPr>
                <w:rFonts w:ascii="Times New Roman" w:eastAsia="Times New Roman" w:hAnsi="Times New Roman" w:cs="Times New Roman"/>
                <w:b/>
                <w:bCs/>
                <w:sz w:val="19"/>
                <w:szCs w:val="19"/>
              </w:rPr>
              <w:t>References</w:t>
            </w:r>
          </w:p>
        </w:tc>
      </w:tr>
      <w:tr w:rsidR="00323F47" w:rsidRPr="00323F47" w14:paraId="0CD0B18F" w14:textId="77777777" w:rsidTr="00B473D3">
        <w:tc>
          <w:tcPr>
            <w:tcW w:w="2553" w:type="dxa"/>
            <w:hideMark/>
          </w:tcPr>
          <w:p w14:paraId="014FAECB" w14:textId="77777777" w:rsidR="00323F47" w:rsidRPr="00B473D3" w:rsidRDefault="00323F47" w:rsidP="00323F47">
            <w:pPr>
              <w:rPr>
                <w:rFonts w:ascii="Times New Roman" w:eastAsia="Times New Roman" w:hAnsi="Times New Roman" w:cs="Times New Roman"/>
                <w:sz w:val="19"/>
                <w:szCs w:val="19"/>
              </w:rPr>
            </w:pPr>
            <w:r w:rsidRPr="00B473D3">
              <w:rPr>
                <w:rFonts w:ascii="Times New Roman" w:eastAsia="Times New Roman" w:hAnsi="Times New Roman" w:cs="Times New Roman"/>
                <w:sz w:val="19"/>
                <w:szCs w:val="19"/>
              </w:rPr>
              <w:t>Hemp-lime wall</w:t>
            </w:r>
          </w:p>
        </w:tc>
        <w:tc>
          <w:tcPr>
            <w:tcW w:w="2374" w:type="dxa"/>
            <w:hideMark/>
          </w:tcPr>
          <w:p w14:paraId="68F162A2" w14:textId="77777777" w:rsidR="00323F47" w:rsidRPr="00B473D3" w:rsidRDefault="00323F47" w:rsidP="00B473D3">
            <w:pPr>
              <w:jc w:val="center"/>
              <w:rPr>
                <w:rFonts w:ascii="Times New Roman" w:eastAsia="Times New Roman" w:hAnsi="Times New Roman" w:cs="Times New Roman"/>
                <w:sz w:val="19"/>
                <w:szCs w:val="19"/>
              </w:rPr>
            </w:pPr>
            <w:r w:rsidRPr="00B473D3">
              <w:rPr>
                <w:rFonts w:ascii="Times New Roman" w:eastAsia="Times New Roman" w:hAnsi="Times New Roman" w:cs="Times New Roman"/>
                <w:sz w:val="19"/>
                <w:szCs w:val="19"/>
              </w:rPr>
              <w:t>3–5</w:t>
            </w:r>
          </w:p>
        </w:tc>
        <w:tc>
          <w:tcPr>
            <w:tcW w:w="0" w:type="auto"/>
            <w:hideMark/>
          </w:tcPr>
          <w:p w14:paraId="0F61C63C" w14:textId="77777777" w:rsidR="00323F47" w:rsidRPr="00B473D3" w:rsidRDefault="00323F47" w:rsidP="00B473D3">
            <w:pPr>
              <w:jc w:val="center"/>
              <w:rPr>
                <w:rFonts w:ascii="Times New Roman" w:eastAsia="Times New Roman" w:hAnsi="Times New Roman" w:cs="Times New Roman"/>
                <w:sz w:val="19"/>
                <w:szCs w:val="19"/>
              </w:rPr>
            </w:pPr>
            <w:r w:rsidRPr="00B473D3">
              <w:rPr>
                <w:rFonts w:ascii="Times New Roman" w:eastAsia="Times New Roman" w:hAnsi="Times New Roman" w:cs="Times New Roman"/>
                <w:sz w:val="19"/>
                <w:szCs w:val="19"/>
              </w:rPr>
              <w:t>45–60</w:t>
            </w:r>
          </w:p>
        </w:tc>
        <w:tc>
          <w:tcPr>
            <w:tcW w:w="0" w:type="auto"/>
            <w:hideMark/>
          </w:tcPr>
          <w:p w14:paraId="34FEA185" w14:textId="77777777" w:rsidR="00323F47" w:rsidRPr="00B473D3" w:rsidRDefault="00323F47" w:rsidP="00B473D3">
            <w:pPr>
              <w:jc w:val="center"/>
              <w:rPr>
                <w:rFonts w:ascii="Times New Roman" w:eastAsia="Times New Roman" w:hAnsi="Times New Roman" w:cs="Times New Roman"/>
                <w:sz w:val="19"/>
                <w:szCs w:val="19"/>
              </w:rPr>
            </w:pPr>
            <w:r w:rsidRPr="00B473D3">
              <w:rPr>
                <w:rFonts w:ascii="Times New Roman" w:eastAsia="Times New Roman" w:hAnsi="Times New Roman" w:cs="Times New Roman"/>
                <w:sz w:val="19"/>
                <w:szCs w:val="19"/>
              </w:rPr>
              <w:t>15–20</w:t>
            </w:r>
          </w:p>
        </w:tc>
        <w:tc>
          <w:tcPr>
            <w:tcW w:w="2952" w:type="dxa"/>
            <w:hideMark/>
          </w:tcPr>
          <w:p w14:paraId="27874E39" w14:textId="77777777" w:rsidR="00323F47" w:rsidRPr="00B473D3" w:rsidRDefault="00323F47" w:rsidP="00323F47">
            <w:pPr>
              <w:rPr>
                <w:rFonts w:ascii="Times New Roman" w:eastAsia="Times New Roman" w:hAnsi="Times New Roman" w:cs="Times New Roman"/>
                <w:sz w:val="19"/>
                <w:szCs w:val="19"/>
              </w:rPr>
            </w:pPr>
            <w:proofErr w:type="spellStart"/>
            <w:r w:rsidRPr="00B473D3">
              <w:rPr>
                <w:rFonts w:ascii="Times New Roman" w:eastAsia="Times New Roman" w:hAnsi="Times New Roman" w:cs="Times New Roman"/>
                <w:sz w:val="19"/>
                <w:szCs w:val="19"/>
              </w:rPr>
              <w:t>Cascione</w:t>
            </w:r>
            <w:proofErr w:type="spellEnd"/>
            <w:r w:rsidRPr="00B473D3">
              <w:rPr>
                <w:rFonts w:ascii="Times New Roman" w:eastAsia="Times New Roman" w:hAnsi="Times New Roman" w:cs="Times New Roman"/>
                <w:sz w:val="19"/>
                <w:szCs w:val="19"/>
              </w:rPr>
              <w:t xml:space="preserve"> et al., 2019; Latif et al., 2015</w:t>
            </w:r>
          </w:p>
        </w:tc>
      </w:tr>
      <w:tr w:rsidR="00323F47" w:rsidRPr="00323F47" w14:paraId="4CCBCD41" w14:textId="77777777" w:rsidTr="00B473D3">
        <w:tc>
          <w:tcPr>
            <w:tcW w:w="2553" w:type="dxa"/>
            <w:hideMark/>
          </w:tcPr>
          <w:p w14:paraId="3D386E0D" w14:textId="77777777" w:rsidR="00323F47" w:rsidRPr="00B473D3" w:rsidRDefault="00323F47" w:rsidP="00323F47">
            <w:pPr>
              <w:rPr>
                <w:rFonts w:ascii="Times New Roman" w:eastAsia="Times New Roman" w:hAnsi="Times New Roman" w:cs="Times New Roman"/>
                <w:sz w:val="19"/>
                <w:szCs w:val="19"/>
              </w:rPr>
            </w:pPr>
            <w:r w:rsidRPr="00B473D3">
              <w:rPr>
                <w:rFonts w:ascii="Times New Roman" w:eastAsia="Times New Roman" w:hAnsi="Times New Roman" w:cs="Times New Roman"/>
                <w:sz w:val="19"/>
                <w:szCs w:val="19"/>
              </w:rPr>
              <w:t>Compressed earth block</w:t>
            </w:r>
          </w:p>
        </w:tc>
        <w:tc>
          <w:tcPr>
            <w:tcW w:w="2374" w:type="dxa"/>
            <w:hideMark/>
          </w:tcPr>
          <w:p w14:paraId="38E2BDEB" w14:textId="77777777" w:rsidR="00323F47" w:rsidRPr="00B473D3" w:rsidRDefault="00323F47" w:rsidP="00B473D3">
            <w:pPr>
              <w:jc w:val="center"/>
              <w:rPr>
                <w:rFonts w:ascii="Times New Roman" w:eastAsia="Times New Roman" w:hAnsi="Times New Roman" w:cs="Times New Roman"/>
                <w:sz w:val="19"/>
                <w:szCs w:val="19"/>
              </w:rPr>
            </w:pPr>
            <w:r w:rsidRPr="00B473D3">
              <w:rPr>
                <w:rFonts w:ascii="Times New Roman" w:eastAsia="Times New Roman" w:hAnsi="Times New Roman" w:cs="Times New Roman"/>
                <w:sz w:val="19"/>
                <w:szCs w:val="19"/>
              </w:rPr>
              <w:t>4–6</w:t>
            </w:r>
          </w:p>
        </w:tc>
        <w:tc>
          <w:tcPr>
            <w:tcW w:w="0" w:type="auto"/>
            <w:hideMark/>
          </w:tcPr>
          <w:p w14:paraId="6D9CA800" w14:textId="77777777" w:rsidR="00323F47" w:rsidRPr="00B473D3" w:rsidRDefault="00323F47" w:rsidP="00B473D3">
            <w:pPr>
              <w:jc w:val="center"/>
              <w:rPr>
                <w:rFonts w:ascii="Times New Roman" w:eastAsia="Times New Roman" w:hAnsi="Times New Roman" w:cs="Times New Roman"/>
                <w:sz w:val="19"/>
                <w:szCs w:val="19"/>
              </w:rPr>
            </w:pPr>
            <w:r w:rsidRPr="00B473D3">
              <w:rPr>
                <w:rFonts w:ascii="Times New Roman" w:eastAsia="Times New Roman" w:hAnsi="Times New Roman" w:cs="Times New Roman"/>
                <w:sz w:val="19"/>
                <w:szCs w:val="19"/>
              </w:rPr>
              <w:t>40–60</w:t>
            </w:r>
          </w:p>
        </w:tc>
        <w:tc>
          <w:tcPr>
            <w:tcW w:w="0" w:type="auto"/>
            <w:hideMark/>
          </w:tcPr>
          <w:p w14:paraId="2DE5FAB7" w14:textId="77777777" w:rsidR="00323F47" w:rsidRPr="00B473D3" w:rsidRDefault="00323F47" w:rsidP="00B473D3">
            <w:pPr>
              <w:jc w:val="center"/>
              <w:rPr>
                <w:rFonts w:ascii="Times New Roman" w:eastAsia="Times New Roman" w:hAnsi="Times New Roman" w:cs="Times New Roman"/>
                <w:sz w:val="19"/>
                <w:szCs w:val="19"/>
              </w:rPr>
            </w:pPr>
            <w:r w:rsidRPr="00B473D3">
              <w:rPr>
                <w:rFonts w:ascii="Times New Roman" w:eastAsia="Times New Roman" w:hAnsi="Times New Roman" w:cs="Times New Roman"/>
                <w:sz w:val="19"/>
                <w:szCs w:val="19"/>
              </w:rPr>
              <w:t>18–22</w:t>
            </w:r>
          </w:p>
        </w:tc>
        <w:tc>
          <w:tcPr>
            <w:tcW w:w="2952" w:type="dxa"/>
            <w:hideMark/>
          </w:tcPr>
          <w:p w14:paraId="6AD01BEA" w14:textId="77777777" w:rsidR="00323F47" w:rsidRPr="00B473D3" w:rsidRDefault="00323F47" w:rsidP="00323F47">
            <w:pPr>
              <w:rPr>
                <w:rFonts w:ascii="Times New Roman" w:eastAsia="Times New Roman" w:hAnsi="Times New Roman" w:cs="Times New Roman"/>
                <w:sz w:val="19"/>
                <w:szCs w:val="19"/>
              </w:rPr>
            </w:pPr>
            <w:r w:rsidRPr="00B473D3">
              <w:rPr>
                <w:rFonts w:ascii="Times New Roman" w:eastAsia="Times New Roman" w:hAnsi="Times New Roman" w:cs="Times New Roman"/>
                <w:sz w:val="19"/>
                <w:szCs w:val="19"/>
              </w:rPr>
              <w:t>McGregor et al., 2017</w:t>
            </w:r>
          </w:p>
        </w:tc>
      </w:tr>
      <w:tr w:rsidR="00323F47" w:rsidRPr="00323F47" w14:paraId="44F9A867" w14:textId="77777777" w:rsidTr="00B473D3">
        <w:tc>
          <w:tcPr>
            <w:tcW w:w="2553" w:type="dxa"/>
            <w:hideMark/>
          </w:tcPr>
          <w:p w14:paraId="418E0A29" w14:textId="77777777" w:rsidR="00323F47" w:rsidRPr="00B473D3" w:rsidRDefault="00323F47" w:rsidP="00323F47">
            <w:pPr>
              <w:rPr>
                <w:rFonts w:ascii="Times New Roman" w:eastAsia="Times New Roman" w:hAnsi="Times New Roman" w:cs="Times New Roman"/>
                <w:sz w:val="19"/>
                <w:szCs w:val="19"/>
              </w:rPr>
            </w:pPr>
            <w:r w:rsidRPr="00B473D3">
              <w:rPr>
                <w:rFonts w:ascii="Times New Roman" w:eastAsia="Times New Roman" w:hAnsi="Times New Roman" w:cs="Times New Roman"/>
                <w:sz w:val="19"/>
                <w:szCs w:val="19"/>
              </w:rPr>
              <w:t>Lime-hemp concrete</w:t>
            </w:r>
          </w:p>
        </w:tc>
        <w:tc>
          <w:tcPr>
            <w:tcW w:w="2374" w:type="dxa"/>
            <w:hideMark/>
          </w:tcPr>
          <w:p w14:paraId="01288EAE" w14:textId="77777777" w:rsidR="00323F47" w:rsidRPr="00B473D3" w:rsidRDefault="00323F47" w:rsidP="00B473D3">
            <w:pPr>
              <w:jc w:val="center"/>
              <w:rPr>
                <w:rFonts w:ascii="Times New Roman" w:eastAsia="Times New Roman" w:hAnsi="Times New Roman" w:cs="Times New Roman"/>
                <w:sz w:val="19"/>
                <w:szCs w:val="19"/>
              </w:rPr>
            </w:pPr>
            <w:r w:rsidRPr="00B473D3">
              <w:rPr>
                <w:rFonts w:ascii="Times New Roman" w:eastAsia="Times New Roman" w:hAnsi="Times New Roman" w:cs="Times New Roman"/>
                <w:sz w:val="19"/>
                <w:szCs w:val="19"/>
              </w:rPr>
              <w:t>3–6</w:t>
            </w:r>
          </w:p>
        </w:tc>
        <w:tc>
          <w:tcPr>
            <w:tcW w:w="0" w:type="auto"/>
            <w:hideMark/>
          </w:tcPr>
          <w:p w14:paraId="0BF65D24" w14:textId="77777777" w:rsidR="00323F47" w:rsidRPr="00B473D3" w:rsidRDefault="00323F47" w:rsidP="00B473D3">
            <w:pPr>
              <w:jc w:val="center"/>
              <w:rPr>
                <w:rFonts w:ascii="Times New Roman" w:eastAsia="Times New Roman" w:hAnsi="Times New Roman" w:cs="Times New Roman"/>
                <w:sz w:val="19"/>
                <w:szCs w:val="19"/>
              </w:rPr>
            </w:pPr>
            <w:r w:rsidRPr="00B473D3">
              <w:rPr>
                <w:rFonts w:ascii="Times New Roman" w:eastAsia="Times New Roman" w:hAnsi="Times New Roman" w:cs="Times New Roman"/>
                <w:sz w:val="19"/>
                <w:szCs w:val="19"/>
              </w:rPr>
              <w:t>42–58</w:t>
            </w:r>
          </w:p>
        </w:tc>
        <w:tc>
          <w:tcPr>
            <w:tcW w:w="0" w:type="auto"/>
            <w:hideMark/>
          </w:tcPr>
          <w:p w14:paraId="055FDCD7" w14:textId="77777777" w:rsidR="00323F47" w:rsidRPr="00B473D3" w:rsidRDefault="00323F47" w:rsidP="00B473D3">
            <w:pPr>
              <w:jc w:val="center"/>
              <w:rPr>
                <w:rFonts w:ascii="Times New Roman" w:eastAsia="Times New Roman" w:hAnsi="Times New Roman" w:cs="Times New Roman"/>
                <w:sz w:val="19"/>
                <w:szCs w:val="19"/>
              </w:rPr>
            </w:pPr>
            <w:r w:rsidRPr="00B473D3">
              <w:rPr>
                <w:rFonts w:ascii="Times New Roman" w:eastAsia="Times New Roman" w:hAnsi="Times New Roman" w:cs="Times New Roman"/>
                <w:sz w:val="19"/>
                <w:szCs w:val="19"/>
              </w:rPr>
              <w:t>20–25</w:t>
            </w:r>
          </w:p>
        </w:tc>
        <w:tc>
          <w:tcPr>
            <w:tcW w:w="2952" w:type="dxa"/>
            <w:hideMark/>
          </w:tcPr>
          <w:p w14:paraId="49A7C9E8" w14:textId="77777777" w:rsidR="00323F47" w:rsidRPr="00B473D3" w:rsidRDefault="00323F47" w:rsidP="00323F47">
            <w:pPr>
              <w:rPr>
                <w:rFonts w:ascii="Times New Roman" w:eastAsia="Times New Roman" w:hAnsi="Times New Roman" w:cs="Times New Roman"/>
                <w:sz w:val="19"/>
                <w:szCs w:val="19"/>
              </w:rPr>
            </w:pPr>
            <w:proofErr w:type="spellStart"/>
            <w:r w:rsidRPr="00B473D3">
              <w:rPr>
                <w:rFonts w:ascii="Times New Roman" w:eastAsia="Times New Roman" w:hAnsi="Times New Roman" w:cs="Times New Roman"/>
                <w:sz w:val="19"/>
                <w:szCs w:val="19"/>
              </w:rPr>
              <w:t>Viel</w:t>
            </w:r>
            <w:proofErr w:type="spellEnd"/>
            <w:r w:rsidRPr="00B473D3">
              <w:rPr>
                <w:rFonts w:ascii="Times New Roman" w:eastAsia="Times New Roman" w:hAnsi="Times New Roman" w:cs="Times New Roman"/>
                <w:sz w:val="19"/>
                <w:szCs w:val="19"/>
              </w:rPr>
              <w:t xml:space="preserve"> et al., 2019</w:t>
            </w:r>
          </w:p>
        </w:tc>
      </w:tr>
      <w:tr w:rsidR="00323F47" w:rsidRPr="00323F47" w14:paraId="70DBEFB5" w14:textId="77777777" w:rsidTr="00B473D3">
        <w:tc>
          <w:tcPr>
            <w:tcW w:w="2553" w:type="dxa"/>
            <w:hideMark/>
          </w:tcPr>
          <w:p w14:paraId="38BE54C8" w14:textId="77777777" w:rsidR="00323F47" w:rsidRPr="00B473D3" w:rsidRDefault="00323F47" w:rsidP="00323F47">
            <w:pPr>
              <w:rPr>
                <w:rFonts w:ascii="Times New Roman" w:eastAsia="Times New Roman" w:hAnsi="Times New Roman" w:cs="Times New Roman"/>
                <w:sz w:val="19"/>
                <w:szCs w:val="19"/>
              </w:rPr>
            </w:pPr>
            <w:r w:rsidRPr="00B473D3">
              <w:rPr>
                <w:rFonts w:ascii="Times New Roman" w:eastAsia="Times New Roman" w:hAnsi="Times New Roman" w:cs="Times New Roman"/>
                <w:sz w:val="19"/>
                <w:szCs w:val="19"/>
              </w:rPr>
              <w:t>Bio-humid wall bricks (modeled)</w:t>
            </w:r>
          </w:p>
        </w:tc>
        <w:tc>
          <w:tcPr>
            <w:tcW w:w="2374" w:type="dxa"/>
            <w:hideMark/>
          </w:tcPr>
          <w:p w14:paraId="78C73C91" w14:textId="77777777" w:rsidR="00323F47" w:rsidRPr="00B473D3" w:rsidRDefault="00323F47" w:rsidP="00B473D3">
            <w:pPr>
              <w:jc w:val="center"/>
              <w:rPr>
                <w:rFonts w:ascii="Times New Roman" w:eastAsia="Times New Roman" w:hAnsi="Times New Roman" w:cs="Times New Roman"/>
                <w:sz w:val="19"/>
                <w:szCs w:val="19"/>
              </w:rPr>
            </w:pPr>
            <w:r w:rsidRPr="00B473D3">
              <w:rPr>
                <w:rFonts w:ascii="Times New Roman" w:eastAsia="Times New Roman" w:hAnsi="Times New Roman" w:cs="Times New Roman"/>
                <w:sz w:val="19"/>
                <w:szCs w:val="19"/>
              </w:rPr>
              <w:t>3–5</w:t>
            </w:r>
          </w:p>
        </w:tc>
        <w:tc>
          <w:tcPr>
            <w:tcW w:w="0" w:type="auto"/>
            <w:hideMark/>
          </w:tcPr>
          <w:p w14:paraId="0E6B848F" w14:textId="77777777" w:rsidR="00323F47" w:rsidRPr="00B473D3" w:rsidRDefault="00323F47" w:rsidP="00B473D3">
            <w:pPr>
              <w:jc w:val="center"/>
              <w:rPr>
                <w:rFonts w:ascii="Times New Roman" w:eastAsia="Times New Roman" w:hAnsi="Times New Roman" w:cs="Times New Roman"/>
                <w:sz w:val="19"/>
                <w:szCs w:val="19"/>
              </w:rPr>
            </w:pPr>
            <w:r w:rsidRPr="00B473D3">
              <w:rPr>
                <w:rFonts w:ascii="Times New Roman" w:eastAsia="Times New Roman" w:hAnsi="Times New Roman" w:cs="Times New Roman"/>
                <w:sz w:val="19"/>
                <w:szCs w:val="19"/>
              </w:rPr>
              <w:t>45–60</w:t>
            </w:r>
          </w:p>
        </w:tc>
        <w:tc>
          <w:tcPr>
            <w:tcW w:w="0" w:type="auto"/>
            <w:hideMark/>
          </w:tcPr>
          <w:p w14:paraId="4DC91B6B" w14:textId="77777777" w:rsidR="00323F47" w:rsidRPr="00B473D3" w:rsidRDefault="00323F47" w:rsidP="00B473D3">
            <w:pPr>
              <w:jc w:val="center"/>
              <w:rPr>
                <w:rFonts w:ascii="Times New Roman" w:eastAsia="Times New Roman" w:hAnsi="Times New Roman" w:cs="Times New Roman"/>
                <w:sz w:val="19"/>
                <w:szCs w:val="19"/>
              </w:rPr>
            </w:pPr>
            <w:r w:rsidRPr="00B473D3">
              <w:rPr>
                <w:rFonts w:ascii="Times New Roman" w:eastAsia="Times New Roman" w:hAnsi="Times New Roman" w:cs="Times New Roman"/>
                <w:sz w:val="19"/>
                <w:szCs w:val="19"/>
              </w:rPr>
              <w:t>15–25</w:t>
            </w:r>
          </w:p>
        </w:tc>
        <w:tc>
          <w:tcPr>
            <w:tcW w:w="2952" w:type="dxa"/>
            <w:hideMark/>
          </w:tcPr>
          <w:p w14:paraId="372DBDED" w14:textId="77777777" w:rsidR="00323F47" w:rsidRPr="00B473D3" w:rsidRDefault="00323F47" w:rsidP="00323F47">
            <w:pPr>
              <w:rPr>
                <w:rFonts w:ascii="Times New Roman" w:eastAsia="Times New Roman" w:hAnsi="Times New Roman" w:cs="Times New Roman"/>
                <w:sz w:val="19"/>
                <w:szCs w:val="19"/>
              </w:rPr>
            </w:pPr>
            <w:r w:rsidRPr="00B473D3">
              <w:rPr>
                <w:rFonts w:ascii="Times New Roman" w:eastAsia="Times New Roman" w:hAnsi="Times New Roman" w:cs="Times New Roman"/>
                <w:sz w:val="19"/>
                <w:szCs w:val="19"/>
              </w:rPr>
              <w:t>Tran Le et al., 2010; Palumbo et al., 2015</w:t>
            </w:r>
          </w:p>
        </w:tc>
      </w:tr>
    </w:tbl>
    <w:p w14:paraId="426F8CCB" w14:textId="77777777" w:rsidR="00D8620E" w:rsidRDefault="00D8620E" w:rsidP="00D8620E">
      <w:pPr>
        <w:pStyle w:val="Caption"/>
        <w:rPr>
          <w:rFonts w:ascii="Times New Roman" w:hAnsi="Times New Roman" w:cs="Times New Roman"/>
          <w:i w:val="0"/>
          <w:sz w:val="24"/>
          <w:szCs w:val="24"/>
        </w:rPr>
      </w:pPr>
    </w:p>
    <w:p w14:paraId="1F47E944" w14:textId="71044BC9" w:rsidR="00D8620E" w:rsidRPr="00D8620E" w:rsidRDefault="00D8620E" w:rsidP="00D8620E">
      <w:pPr>
        <w:pStyle w:val="Caption"/>
        <w:rPr>
          <w:rFonts w:ascii="Times New Roman" w:eastAsia="Times New Roman" w:hAnsi="Times New Roman" w:cs="Times New Roman"/>
          <w:i w:val="0"/>
          <w:sz w:val="24"/>
          <w:szCs w:val="24"/>
        </w:rPr>
      </w:pPr>
      <w:r w:rsidRPr="00D8620E">
        <w:rPr>
          <w:rFonts w:ascii="Times New Roman" w:hAnsi="Times New Roman" w:cs="Times New Roman"/>
          <w:i w:val="0"/>
          <w:sz w:val="24"/>
          <w:szCs w:val="24"/>
        </w:rPr>
        <w:t xml:space="preserve">Table </w:t>
      </w:r>
      <w:r w:rsidRPr="00D8620E">
        <w:rPr>
          <w:rFonts w:ascii="Times New Roman" w:hAnsi="Times New Roman" w:cs="Times New Roman"/>
          <w:i w:val="0"/>
          <w:sz w:val="24"/>
          <w:szCs w:val="24"/>
        </w:rPr>
        <w:fldChar w:fldCharType="begin"/>
      </w:r>
      <w:r w:rsidRPr="00D8620E">
        <w:rPr>
          <w:rFonts w:ascii="Times New Roman" w:hAnsi="Times New Roman" w:cs="Times New Roman"/>
          <w:i w:val="0"/>
          <w:sz w:val="24"/>
          <w:szCs w:val="24"/>
        </w:rPr>
        <w:instrText xml:space="preserve"> SEQ Table \* ARABIC </w:instrText>
      </w:r>
      <w:r w:rsidRPr="00D8620E">
        <w:rPr>
          <w:rFonts w:ascii="Times New Roman" w:hAnsi="Times New Roman" w:cs="Times New Roman"/>
          <w:i w:val="0"/>
          <w:sz w:val="24"/>
          <w:szCs w:val="24"/>
        </w:rPr>
        <w:fldChar w:fldCharType="separate"/>
      </w:r>
      <w:r w:rsidRPr="00D8620E">
        <w:rPr>
          <w:rFonts w:ascii="Times New Roman" w:hAnsi="Times New Roman" w:cs="Times New Roman"/>
          <w:i w:val="0"/>
          <w:noProof/>
          <w:sz w:val="24"/>
          <w:szCs w:val="24"/>
        </w:rPr>
        <w:t>8</w:t>
      </w:r>
      <w:r w:rsidRPr="00D8620E">
        <w:rPr>
          <w:rFonts w:ascii="Times New Roman" w:hAnsi="Times New Roman" w:cs="Times New Roman"/>
          <w:i w:val="0"/>
          <w:sz w:val="24"/>
          <w:szCs w:val="24"/>
        </w:rPr>
        <w:fldChar w:fldCharType="end"/>
      </w:r>
      <w:r w:rsidRPr="00D8620E">
        <w:rPr>
          <w:rFonts w:ascii="Times New Roman" w:hAnsi="Times New Roman" w:cs="Times New Roman"/>
          <w:i w:val="0"/>
          <w:sz w:val="24"/>
          <w:szCs w:val="24"/>
        </w:rPr>
        <w:t>:</w:t>
      </w:r>
      <w:r>
        <w:rPr>
          <w:rFonts w:ascii="Times New Roman" w:hAnsi="Times New Roman" w:cs="Times New Roman"/>
          <w:i w:val="0"/>
          <w:sz w:val="24"/>
          <w:szCs w:val="24"/>
        </w:rPr>
        <w:t xml:space="preserve"> </w:t>
      </w:r>
      <w:r w:rsidRPr="00D8620E">
        <w:rPr>
          <w:rFonts w:ascii="Times New Roman" w:eastAsia="Times New Roman" w:hAnsi="Times New Roman" w:cs="Times New Roman"/>
          <w:bCs/>
          <w:i w:val="0"/>
          <w:sz w:val="24"/>
          <w:szCs w:val="24"/>
        </w:rPr>
        <w:t>Reported Performance Variations of Bio-Based Hygroscopic Walls and Possible Sources of Discrepancy</w:t>
      </w:r>
    </w:p>
    <w:tbl>
      <w:tblPr>
        <w:tblStyle w:val="TableGrid"/>
        <w:tblW w:w="11341" w:type="dxa"/>
        <w:tblInd w:w="-998" w:type="dxa"/>
        <w:tblLook w:val="04A0" w:firstRow="1" w:lastRow="0" w:firstColumn="1" w:lastColumn="0" w:noHBand="0" w:noVBand="1"/>
      </w:tblPr>
      <w:tblGrid>
        <w:gridCol w:w="2493"/>
        <w:gridCol w:w="1753"/>
        <w:gridCol w:w="1177"/>
        <w:gridCol w:w="1012"/>
        <w:gridCol w:w="1684"/>
        <w:gridCol w:w="3222"/>
      </w:tblGrid>
      <w:tr w:rsidR="00D8620E" w:rsidRPr="00D8620E" w14:paraId="3F3A470B" w14:textId="77777777" w:rsidTr="00D8620E">
        <w:tc>
          <w:tcPr>
            <w:tcW w:w="2493" w:type="dxa"/>
            <w:hideMark/>
          </w:tcPr>
          <w:p w14:paraId="24CCA4FB" w14:textId="77777777" w:rsidR="00D8620E" w:rsidRPr="00D8620E" w:rsidRDefault="00D8620E" w:rsidP="00D8620E">
            <w:pPr>
              <w:jc w:val="center"/>
              <w:rPr>
                <w:rFonts w:ascii="Times New Roman" w:eastAsia="Times New Roman" w:hAnsi="Times New Roman" w:cs="Times New Roman"/>
                <w:b/>
                <w:bCs/>
                <w:sz w:val="19"/>
                <w:szCs w:val="19"/>
              </w:rPr>
            </w:pPr>
            <w:r w:rsidRPr="00D8620E">
              <w:rPr>
                <w:rFonts w:ascii="Times New Roman" w:eastAsia="Times New Roman" w:hAnsi="Times New Roman" w:cs="Times New Roman"/>
                <w:b/>
                <w:bCs/>
                <w:sz w:val="19"/>
                <w:szCs w:val="19"/>
              </w:rPr>
              <w:t>Study / Material</w:t>
            </w:r>
          </w:p>
        </w:tc>
        <w:tc>
          <w:tcPr>
            <w:tcW w:w="0" w:type="auto"/>
            <w:hideMark/>
          </w:tcPr>
          <w:p w14:paraId="59E1EB67" w14:textId="77777777" w:rsidR="00D8620E" w:rsidRPr="00D8620E" w:rsidRDefault="00D8620E" w:rsidP="00D8620E">
            <w:pPr>
              <w:jc w:val="center"/>
              <w:rPr>
                <w:rFonts w:ascii="Times New Roman" w:eastAsia="Times New Roman" w:hAnsi="Times New Roman" w:cs="Times New Roman"/>
                <w:b/>
                <w:bCs/>
                <w:sz w:val="19"/>
                <w:szCs w:val="19"/>
              </w:rPr>
            </w:pPr>
            <w:r w:rsidRPr="00D8620E">
              <w:rPr>
                <w:rFonts w:ascii="Times New Roman" w:eastAsia="Times New Roman" w:hAnsi="Times New Roman" w:cs="Times New Roman"/>
                <w:b/>
                <w:bCs/>
                <w:sz w:val="19"/>
                <w:szCs w:val="19"/>
              </w:rPr>
              <w:t>Reported Indoor Temperature Reduction (°C)</w:t>
            </w:r>
          </w:p>
        </w:tc>
        <w:tc>
          <w:tcPr>
            <w:tcW w:w="0" w:type="auto"/>
            <w:hideMark/>
          </w:tcPr>
          <w:p w14:paraId="4B10AD6D" w14:textId="77777777" w:rsidR="00D8620E" w:rsidRPr="00D8620E" w:rsidRDefault="00D8620E" w:rsidP="00D8620E">
            <w:pPr>
              <w:jc w:val="center"/>
              <w:rPr>
                <w:rFonts w:ascii="Times New Roman" w:eastAsia="Times New Roman" w:hAnsi="Times New Roman" w:cs="Times New Roman"/>
                <w:b/>
                <w:bCs/>
                <w:sz w:val="19"/>
                <w:szCs w:val="19"/>
              </w:rPr>
            </w:pPr>
            <w:r w:rsidRPr="00D8620E">
              <w:rPr>
                <w:rFonts w:ascii="Times New Roman" w:eastAsia="Times New Roman" w:hAnsi="Times New Roman" w:cs="Times New Roman"/>
                <w:b/>
                <w:bCs/>
                <w:sz w:val="19"/>
                <w:szCs w:val="19"/>
              </w:rPr>
              <w:t>Humidity Control (%)</w:t>
            </w:r>
          </w:p>
        </w:tc>
        <w:tc>
          <w:tcPr>
            <w:tcW w:w="0" w:type="auto"/>
            <w:hideMark/>
          </w:tcPr>
          <w:p w14:paraId="59DA14B9" w14:textId="77777777" w:rsidR="00D8620E" w:rsidRPr="00D8620E" w:rsidRDefault="00D8620E" w:rsidP="00D8620E">
            <w:pPr>
              <w:jc w:val="center"/>
              <w:rPr>
                <w:rFonts w:ascii="Times New Roman" w:eastAsia="Times New Roman" w:hAnsi="Times New Roman" w:cs="Times New Roman"/>
                <w:b/>
                <w:bCs/>
                <w:sz w:val="19"/>
                <w:szCs w:val="19"/>
              </w:rPr>
            </w:pPr>
            <w:r w:rsidRPr="00D8620E">
              <w:rPr>
                <w:rFonts w:ascii="Times New Roman" w:eastAsia="Times New Roman" w:hAnsi="Times New Roman" w:cs="Times New Roman"/>
                <w:b/>
                <w:bCs/>
                <w:sz w:val="19"/>
                <w:szCs w:val="19"/>
              </w:rPr>
              <w:t>Energy Savings (%)</w:t>
            </w:r>
          </w:p>
        </w:tc>
        <w:tc>
          <w:tcPr>
            <w:tcW w:w="0" w:type="auto"/>
            <w:hideMark/>
          </w:tcPr>
          <w:p w14:paraId="1E59ED27" w14:textId="104CEF94" w:rsidR="00D8620E" w:rsidRPr="00D8620E" w:rsidRDefault="00D8620E" w:rsidP="00D8620E">
            <w:pPr>
              <w:jc w:val="center"/>
              <w:rPr>
                <w:rFonts w:ascii="Times New Roman" w:eastAsia="Times New Roman" w:hAnsi="Times New Roman" w:cs="Times New Roman"/>
                <w:b/>
                <w:bCs/>
                <w:sz w:val="19"/>
                <w:szCs w:val="19"/>
              </w:rPr>
            </w:pPr>
            <w:r w:rsidRPr="00D8620E">
              <w:rPr>
                <w:rFonts w:ascii="Times New Roman" w:eastAsia="Times New Roman" w:hAnsi="Times New Roman" w:cs="Times New Roman"/>
                <w:b/>
                <w:bCs/>
                <w:sz w:val="19"/>
                <w:szCs w:val="19"/>
              </w:rPr>
              <w:t>Experimental Notes</w:t>
            </w:r>
          </w:p>
        </w:tc>
        <w:tc>
          <w:tcPr>
            <w:tcW w:w="3222" w:type="dxa"/>
            <w:hideMark/>
          </w:tcPr>
          <w:p w14:paraId="7AEBB2E0" w14:textId="77777777" w:rsidR="00D8620E" w:rsidRPr="00D8620E" w:rsidRDefault="00D8620E" w:rsidP="00D8620E">
            <w:pPr>
              <w:jc w:val="center"/>
              <w:rPr>
                <w:rFonts w:ascii="Times New Roman" w:eastAsia="Times New Roman" w:hAnsi="Times New Roman" w:cs="Times New Roman"/>
                <w:b/>
                <w:bCs/>
                <w:sz w:val="19"/>
                <w:szCs w:val="19"/>
              </w:rPr>
            </w:pPr>
            <w:r w:rsidRPr="00D8620E">
              <w:rPr>
                <w:rFonts w:ascii="Times New Roman" w:eastAsia="Times New Roman" w:hAnsi="Times New Roman" w:cs="Times New Roman"/>
                <w:b/>
                <w:bCs/>
                <w:sz w:val="19"/>
                <w:szCs w:val="19"/>
              </w:rPr>
              <w:t>Possible Reasons for Discrepancy</w:t>
            </w:r>
          </w:p>
        </w:tc>
      </w:tr>
      <w:tr w:rsidR="00D8620E" w:rsidRPr="00D8620E" w14:paraId="5C7815C8" w14:textId="77777777" w:rsidTr="00D8620E">
        <w:tc>
          <w:tcPr>
            <w:tcW w:w="2493" w:type="dxa"/>
            <w:hideMark/>
          </w:tcPr>
          <w:p w14:paraId="39C43AA7" w14:textId="77777777" w:rsidR="00D8620E" w:rsidRPr="00D8620E" w:rsidRDefault="00D8620E" w:rsidP="00D8620E">
            <w:pPr>
              <w:rPr>
                <w:rFonts w:ascii="Times New Roman" w:eastAsia="Times New Roman" w:hAnsi="Times New Roman" w:cs="Times New Roman"/>
                <w:sz w:val="19"/>
                <w:szCs w:val="19"/>
              </w:rPr>
            </w:pPr>
            <w:r w:rsidRPr="00D8620E">
              <w:rPr>
                <w:rFonts w:ascii="Times New Roman" w:eastAsia="Times New Roman" w:hAnsi="Times New Roman" w:cs="Times New Roman"/>
                <w:sz w:val="19"/>
                <w:szCs w:val="19"/>
              </w:rPr>
              <w:t>Hemp-lime wall</w:t>
            </w:r>
          </w:p>
        </w:tc>
        <w:tc>
          <w:tcPr>
            <w:tcW w:w="0" w:type="auto"/>
            <w:hideMark/>
          </w:tcPr>
          <w:p w14:paraId="380AE159" w14:textId="77777777" w:rsidR="00D8620E" w:rsidRPr="00D8620E" w:rsidRDefault="00D8620E" w:rsidP="00D8620E">
            <w:pPr>
              <w:jc w:val="center"/>
              <w:rPr>
                <w:rFonts w:ascii="Times New Roman" w:eastAsia="Times New Roman" w:hAnsi="Times New Roman" w:cs="Times New Roman"/>
                <w:sz w:val="19"/>
                <w:szCs w:val="19"/>
              </w:rPr>
            </w:pPr>
            <w:r w:rsidRPr="00D8620E">
              <w:rPr>
                <w:rFonts w:ascii="Times New Roman" w:eastAsia="Times New Roman" w:hAnsi="Times New Roman" w:cs="Times New Roman"/>
                <w:sz w:val="19"/>
                <w:szCs w:val="19"/>
              </w:rPr>
              <w:t>3–5</w:t>
            </w:r>
          </w:p>
        </w:tc>
        <w:tc>
          <w:tcPr>
            <w:tcW w:w="0" w:type="auto"/>
            <w:hideMark/>
          </w:tcPr>
          <w:p w14:paraId="1473F484" w14:textId="77777777" w:rsidR="00D8620E" w:rsidRPr="00D8620E" w:rsidRDefault="00D8620E" w:rsidP="00D8620E">
            <w:pPr>
              <w:jc w:val="center"/>
              <w:rPr>
                <w:rFonts w:ascii="Times New Roman" w:eastAsia="Times New Roman" w:hAnsi="Times New Roman" w:cs="Times New Roman"/>
                <w:sz w:val="19"/>
                <w:szCs w:val="19"/>
              </w:rPr>
            </w:pPr>
            <w:r w:rsidRPr="00D8620E">
              <w:rPr>
                <w:rFonts w:ascii="Times New Roman" w:eastAsia="Times New Roman" w:hAnsi="Times New Roman" w:cs="Times New Roman"/>
                <w:sz w:val="19"/>
                <w:szCs w:val="19"/>
              </w:rPr>
              <w:t>45–60</w:t>
            </w:r>
          </w:p>
        </w:tc>
        <w:tc>
          <w:tcPr>
            <w:tcW w:w="0" w:type="auto"/>
            <w:hideMark/>
          </w:tcPr>
          <w:p w14:paraId="3F7835FC" w14:textId="77777777" w:rsidR="00D8620E" w:rsidRPr="00D8620E" w:rsidRDefault="00D8620E" w:rsidP="00D8620E">
            <w:pPr>
              <w:jc w:val="center"/>
              <w:rPr>
                <w:rFonts w:ascii="Times New Roman" w:eastAsia="Times New Roman" w:hAnsi="Times New Roman" w:cs="Times New Roman"/>
                <w:sz w:val="19"/>
                <w:szCs w:val="19"/>
              </w:rPr>
            </w:pPr>
            <w:r w:rsidRPr="00D8620E">
              <w:rPr>
                <w:rFonts w:ascii="Times New Roman" w:eastAsia="Times New Roman" w:hAnsi="Times New Roman" w:cs="Times New Roman"/>
                <w:sz w:val="19"/>
                <w:szCs w:val="19"/>
              </w:rPr>
              <w:t>15–20</w:t>
            </w:r>
          </w:p>
        </w:tc>
        <w:tc>
          <w:tcPr>
            <w:tcW w:w="0" w:type="auto"/>
            <w:hideMark/>
          </w:tcPr>
          <w:p w14:paraId="01BBC9B6" w14:textId="77777777" w:rsidR="00D8620E" w:rsidRPr="00D8620E" w:rsidRDefault="00D8620E" w:rsidP="00D8620E">
            <w:pPr>
              <w:rPr>
                <w:rFonts w:ascii="Times New Roman" w:eastAsia="Times New Roman" w:hAnsi="Times New Roman" w:cs="Times New Roman"/>
                <w:sz w:val="19"/>
                <w:szCs w:val="19"/>
              </w:rPr>
            </w:pPr>
            <w:r w:rsidRPr="00D8620E">
              <w:rPr>
                <w:rFonts w:ascii="Times New Roman" w:eastAsia="Times New Roman" w:hAnsi="Times New Roman" w:cs="Times New Roman"/>
                <w:sz w:val="19"/>
                <w:szCs w:val="19"/>
              </w:rPr>
              <w:t>Laboratory tests, controlled environment</w:t>
            </w:r>
          </w:p>
        </w:tc>
        <w:tc>
          <w:tcPr>
            <w:tcW w:w="3222" w:type="dxa"/>
            <w:hideMark/>
          </w:tcPr>
          <w:p w14:paraId="1C35F155" w14:textId="77777777" w:rsidR="00D8620E" w:rsidRPr="00D8620E" w:rsidRDefault="00D8620E" w:rsidP="00D8620E">
            <w:pPr>
              <w:rPr>
                <w:rFonts w:ascii="Times New Roman" w:eastAsia="Times New Roman" w:hAnsi="Times New Roman" w:cs="Times New Roman"/>
                <w:sz w:val="19"/>
                <w:szCs w:val="19"/>
              </w:rPr>
            </w:pPr>
            <w:r w:rsidRPr="00D8620E">
              <w:rPr>
                <w:rFonts w:ascii="Times New Roman" w:eastAsia="Times New Roman" w:hAnsi="Times New Roman" w:cs="Times New Roman"/>
                <w:sz w:val="19"/>
                <w:szCs w:val="19"/>
              </w:rPr>
              <w:t>Variation in hemp-lime ratio, wall thickness, and measurement duration</w:t>
            </w:r>
          </w:p>
        </w:tc>
      </w:tr>
      <w:tr w:rsidR="00D8620E" w:rsidRPr="00D8620E" w14:paraId="674FAF38" w14:textId="77777777" w:rsidTr="00D8620E">
        <w:tc>
          <w:tcPr>
            <w:tcW w:w="2493" w:type="dxa"/>
            <w:hideMark/>
          </w:tcPr>
          <w:p w14:paraId="05E88A94" w14:textId="77777777" w:rsidR="00D8620E" w:rsidRPr="00D8620E" w:rsidRDefault="00D8620E" w:rsidP="00D8620E">
            <w:pPr>
              <w:rPr>
                <w:rFonts w:ascii="Times New Roman" w:eastAsia="Times New Roman" w:hAnsi="Times New Roman" w:cs="Times New Roman"/>
                <w:sz w:val="19"/>
                <w:szCs w:val="19"/>
              </w:rPr>
            </w:pPr>
            <w:r w:rsidRPr="00D8620E">
              <w:rPr>
                <w:rFonts w:ascii="Times New Roman" w:eastAsia="Times New Roman" w:hAnsi="Times New Roman" w:cs="Times New Roman"/>
                <w:sz w:val="19"/>
                <w:szCs w:val="19"/>
              </w:rPr>
              <w:t>Compressed earth block</w:t>
            </w:r>
          </w:p>
        </w:tc>
        <w:tc>
          <w:tcPr>
            <w:tcW w:w="0" w:type="auto"/>
            <w:hideMark/>
          </w:tcPr>
          <w:p w14:paraId="4518F8FA" w14:textId="77777777" w:rsidR="00D8620E" w:rsidRPr="00D8620E" w:rsidRDefault="00D8620E" w:rsidP="00D8620E">
            <w:pPr>
              <w:jc w:val="center"/>
              <w:rPr>
                <w:rFonts w:ascii="Times New Roman" w:eastAsia="Times New Roman" w:hAnsi="Times New Roman" w:cs="Times New Roman"/>
                <w:sz w:val="19"/>
                <w:szCs w:val="19"/>
              </w:rPr>
            </w:pPr>
            <w:r w:rsidRPr="00D8620E">
              <w:rPr>
                <w:rFonts w:ascii="Times New Roman" w:eastAsia="Times New Roman" w:hAnsi="Times New Roman" w:cs="Times New Roman"/>
                <w:sz w:val="19"/>
                <w:szCs w:val="19"/>
              </w:rPr>
              <w:t>4–6</w:t>
            </w:r>
          </w:p>
        </w:tc>
        <w:tc>
          <w:tcPr>
            <w:tcW w:w="0" w:type="auto"/>
            <w:hideMark/>
          </w:tcPr>
          <w:p w14:paraId="6A1464E9" w14:textId="77777777" w:rsidR="00D8620E" w:rsidRPr="00D8620E" w:rsidRDefault="00D8620E" w:rsidP="00D8620E">
            <w:pPr>
              <w:jc w:val="center"/>
              <w:rPr>
                <w:rFonts w:ascii="Times New Roman" w:eastAsia="Times New Roman" w:hAnsi="Times New Roman" w:cs="Times New Roman"/>
                <w:sz w:val="19"/>
                <w:szCs w:val="19"/>
              </w:rPr>
            </w:pPr>
            <w:r w:rsidRPr="00D8620E">
              <w:rPr>
                <w:rFonts w:ascii="Times New Roman" w:eastAsia="Times New Roman" w:hAnsi="Times New Roman" w:cs="Times New Roman"/>
                <w:sz w:val="19"/>
                <w:szCs w:val="19"/>
              </w:rPr>
              <w:t>40–60</w:t>
            </w:r>
          </w:p>
        </w:tc>
        <w:tc>
          <w:tcPr>
            <w:tcW w:w="0" w:type="auto"/>
            <w:hideMark/>
          </w:tcPr>
          <w:p w14:paraId="2B703389" w14:textId="77777777" w:rsidR="00D8620E" w:rsidRPr="00D8620E" w:rsidRDefault="00D8620E" w:rsidP="00D8620E">
            <w:pPr>
              <w:jc w:val="center"/>
              <w:rPr>
                <w:rFonts w:ascii="Times New Roman" w:eastAsia="Times New Roman" w:hAnsi="Times New Roman" w:cs="Times New Roman"/>
                <w:sz w:val="19"/>
                <w:szCs w:val="19"/>
              </w:rPr>
            </w:pPr>
            <w:r w:rsidRPr="00D8620E">
              <w:rPr>
                <w:rFonts w:ascii="Times New Roman" w:eastAsia="Times New Roman" w:hAnsi="Times New Roman" w:cs="Times New Roman"/>
                <w:sz w:val="19"/>
                <w:szCs w:val="19"/>
              </w:rPr>
              <w:t>18–22</w:t>
            </w:r>
          </w:p>
        </w:tc>
        <w:tc>
          <w:tcPr>
            <w:tcW w:w="0" w:type="auto"/>
            <w:hideMark/>
          </w:tcPr>
          <w:p w14:paraId="0A75D009" w14:textId="77777777" w:rsidR="00D8620E" w:rsidRPr="00D8620E" w:rsidRDefault="00D8620E" w:rsidP="00D8620E">
            <w:pPr>
              <w:rPr>
                <w:rFonts w:ascii="Times New Roman" w:eastAsia="Times New Roman" w:hAnsi="Times New Roman" w:cs="Times New Roman"/>
                <w:sz w:val="19"/>
                <w:szCs w:val="19"/>
              </w:rPr>
            </w:pPr>
            <w:r w:rsidRPr="00D8620E">
              <w:rPr>
                <w:rFonts w:ascii="Times New Roman" w:eastAsia="Times New Roman" w:hAnsi="Times New Roman" w:cs="Times New Roman"/>
                <w:sz w:val="19"/>
                <w:szCs w:val="19"/>
              </w:rPr>
              <w:t>Laboratory and field comparisons</w:t>
            </w:r>
          </w:p>
        </w:tc>
        <w:tc>
          <w:tcPr>
            <w:tcW w:w="3222" w:type="dxa"/>
            <w:hideMark/>
          </w:tcPr>
          <w:p w14:paraId="64BAA4C3" w14:textId="77777777" w:rsidR="00D8620E" w:rsidRPr="00D8620E" w:rsidRDefault="00D8620E" w:rsidP="00D8620E">
            <w:pPr>
              <w:rPr>
                <w:rFonts w:ascii="Times New Roman" w:eastAsia="Times New Roman" w:hAnsi="Times New Roman" w:cs="Times New Roman"/>
                <w:sz w:val="19"/>
                <w:szCs w:val="19"/>
              </w:rPr>
            </w:pPr>
            <w:r w:rsidRPr="00D8620E">
              <w:rPr>
                <w:rFonts w:ascii="Times New Roman" w:eastAsia="Times New Roman" w:hAnsi="Times New Roman" w:cs="Times New Roman"/>
                <w:sz w:val="19"/>
                <w:szCs w:val="19"/>
              </w:rPr>
              <w:t>Different soil composition, curing methods, and ambient conditions</w:t>
            </w:r>
          </w:p>
        </w:tc>
      </w:tr>
      <w:tr w:rsidR="00D8620E" w:rsidRPr="00D8620E" w14:paraId="10874428" w14:textId="77777777" w:rsidTr="00D8620E">
        <w:tc>
          <w:tcPr>
            <w:tcW w:w="2493" w:type="dxa"/>
            <w:hideMark/>
          </w:tcPr>
          <w:p w14:paraId="7701E423" w14:textId="77777777" w:rsidR="00D8620E" w:rsidRPr="00D8620E" w:rsidRDefault="00D8620E" w:rsidP="00D8620E">
            <w:pPr>
              <w:rPr>
                <w:rFonts w:ascii="Times New Roman" w:eastAsia="Times New Roman" w:hAnsi="Times New Roman" w:cs="Times New Roman"/>
                <w:sz w:val="19"/>
                <w:szCs w:val="19"/>
              </w:rPr>
            </w:pPr>
            <w:r w:rsidRPr="00D8620E">
              <w:rPr>
                <w:rFonts w:ascii="Times New Roman" w:eastAsia="Times New Roman" w:hAnsi="Times New Roman" w:cs="Times New Roman"/>
                <w:sz w:val="19"/>
                <w:szCs w:val="19"/>
              </w:rPr>
              <w:t>Lime-hemp concrete</w:t>
            </w:r>
          </w:p>
        </w:tc>
        <w:tc>
          <w:tcPr>
            <w:tcW w:w="0" w:type="auto"/>
            <w:hideMark/>
          </w:tcPr>
          <w:p w14:paraId="1E9A0907" w14:textId="77777777" w:rsidR="00D8620E" w:rsidRPr="00D8620E" w:rsidRDefault="00D8620E" w:rsidP="00D8620E">
            <w:pPr>
              <w:jc w:val="center"/>
              <w:rPr>
                <w:rFonts w:ascii="Times New Roman" w:eastAsia="Times New Roman" w:hAnsi="Times New Roman" w:cs="Times New Roman"/>
                <w:sz w:val="19"/>
                <w:szCs w:val="19"/>
              </w:rPr>
            </w:pPr>
            <w:r w:rsidRPr="00D8620E">
              <w:rPr>
                <w:rFonts w:ascii="Times New Roman" w:eastAsia="Times New Roman" w:hAnsi="Times New Roman" w:cs="Times New Roman"/>
                <w:sz w:val="19"/>
                <w:szCs w:val="19"/>
              </w:rPr>
              <w:t>3–6</w:t>
            </w:r>
          </w:p>
        </w:tc>
        <w:tc>
          <w:tcPr>
            <w:tcW w:w="0" w:type="auto"/>
            <w:hideMark/>
          </w:tcPr>
          <w:p w14:paraId="16592431" w14:textId="77777777" w:rsidR="00D8620E" w:rsidRPr="00D8620E" w:rsidRDefault="00D8620E" w:rsidP="00D8620E">
            <w:pPr>
              <w:jc w:val="center"/>
              <w:rPr>
                <w:rFonts w:ascii="Times New Roman" w:eastAsia="Times New Roman" w:hAnsi="Times New Roman" w:cs="Times New Roman"/>
                <w:sz w:val="19"/>
                <w:szCs w:val="19"/>
              </w:rPr>
            </w:pPr>
            <w:r w:rsidRPr="00D8620E">
              <w:rPr>
                <w:rFonts w:ascii="Times New Roman" w:eastAsia="Times New Roman" w:hAnsi="Times New Roman" w:cs="Times New Roman"/>
                <w:sz w:val="19"/>
                <w:szCs w:val="19"/>
              </w:rPr>
              <w:t>42–58</w:t>
            </w:r>
          </w:p>
        </w:tc>
        <w:tc>
          <w:tcPr>
            <w:tcW w:w="0" w:type="auto"/>
            <w:hideMark/>
          </w:tcPr>
          <w:p w14:paraId="74CE2CB0" w14:textId="77777777" w:rsidR="00D8620E" w:rsidRPr="00D8620E" w:rsidRDefault="00D8620E" w:rsidP="00D8620E">
            <w:pPr>
              <w:jc w:val="center"/>
              <w:rPr>
                <w:rFonts w:ascii="Times New Roman" w:eastAsia="Times New Roman" w:hAnsi="Times New Roman" w:cs="Times New Roman"/>
                <w:sz w:val="19"/>
                <w:szCs w:val="19"/>
              </w:rPr>
            </w:pPr>
            <w:r w:rsidRPr="00D8620E">
              <w:rPr>
                <w:rFonts w:ascii="Times New Roman" w:eastAsia="Times New Roman" w:hAnsi="Times New Roman" w:cs="Times New Roman"/>
                <w:sz w:val="19"/>
                <w:szCs w:val="19"/>
              </w:rPr>
              <w:t>20–25</w:t>
            </w:r>
          </w:p>
        </w:tc>
        <w:tc>
          <w:tcPr>
            <w:tcW w:w="0" w:type="auto"/>
            <w:hideMark/>
          </w:tcPr>
          <w:p w14:paraId="24954151" w14:textId="77777777" w:rsidR="00D8620E" w:rsidRPr="00D8620E" w:rsidRDefault="00D8620E" w:rsidP="00D8620E">
            <w:pPr>
              <w:rPr>
                <w:rFonts w:ascii="Times New Roman" w:eastAsia="Times New Roman" w:hAnsi="Times New Roman" w:cs="Times New Roman"/>
                <w:sz w:val="19"/>
                <w:szCs w:val="19"/>
              </w:rPr>
            </w:pPr>
            <w:r w:rsidRPr="00D8620E">
              <w:rPr>
                <w:rFonts w:ascii="Times New Roman" w:eastAsia="Times New Roman" w:hAnsi="Times New Roman" w:cs="Times New Roman"/>
                <w:sz w:val="19"/>
                <w:szCs w:val="19"/>
              </w:rPr>
              <w:t>Field test under tropical climate</w:t>
            </w:r>
          </w:p>
        </w:tc>
        <w:tc>
          <w:tcPr>
            <w:tcW w:w="3222" w:type="dxa"/>
            <w:hideMark/>
          </w:tcPr>
          <w:p w14:paraId="0CF79121" w14:textId="77777777" w:rsidR="00D8620E" w:rsidRPr="00D8620E" w:rsidRDefault="00D8620E" w:rsidP="00D8620E">
            <w:pPr>
              <w:rPr>
                <w:rFonts w:ascii="Times New Roman" w:eastAsia="Times New Roman" w:hAnsi="Times New Roman" w:cs="Times New Roman"/>
                <w:sz w:val="19"/>
                <w:szCs w:val="19"/>
              </w:rPr>
            </w:pPr>
            <w:r w:rsidRPr="00D8620E">
              <w:rPr>
                <w:rFonts w:ascii="Times New Roman" w:eastAsia="Times New Roman" w:hAnsi="Times New Roman" w:cs="Times New Roman"/>
                <w:sz w:val="19"/>
                <w:szCs w:val="19"/>
              </w:rPr>
              <w:t>Climate-dependent moisture absorption, environmental fluctuations</w:t>
            </w:r>
          </w:p>
        </w:tc>
      </w:tr>
      <w:tr w:rsidR="00D8620E" w:rsidRPr="00D8620E" w14:paraId="414AA5DB" w14:textId="77777777" w:rsidTr="00D8620E">
        <w:tc>
          <w:tcPr>
            <w:tcW w:w="2493" w:type="dxa"/>
            <w:hideMark/>
          </w:tcPr>
          <w:p w14:paraId="304E699B" w14:textId="77777777" w:rsidR="00D8620E" w:rsidRPr="00D8620E" w:rsidRDefault="00D8620E" w:rsidP="00D8620E">
            <w:pPr>
              <w:rPr>
                <w:rFonts w:ascii="Times New Roman" w:eastAsia="Times New Roman" w:hAnsi="Times New Roman" w:cs="Times New Roman"/>
                <w:sz w:val="19"/>
                <w:szCs w:val="19"/>
              </w:rPr>
            </w:pPr>
            <w:r w:rsidRPr="00D8620E">
              <w:rPr>
                <w:rFonts w:ascii="Times New Roman" w:eastAsia="Times New Roman" w:hAnsi="Times New Roman" w:cs="Times New Roman"/>
                <w:sz w:val="19"/>
                <w:szCs w:val="19"/>
              </w:rPr>
              <w:t>Bio-humid wall bricks (modeled)</w:t>
            </w:r>
          </w:p>
        </w:tc>
        <w:tc>
          <w:tcPr>
            <w:tcW w:w="0" w:type="auto"/>
            <w:hideMark/>
          </w:tcPr>
          <w:p w14:paraId="4B362631" w14:textId="77777777" w:rsidR="00D8620E" w:rsidRPr="00D8620E" w:rsidRDefault="00D8620E" w:rsidP="00D8620E">
            <w:pPr>
              <w:jc w:val="center"/>
              <w:rPr>
                <w:rFonts w:ascii="Times New Roman" w:eastAsia="Times New Roman" w:hAnsi="Times New Roman" w:cs="Times New Roman"/>
                <w:sz w:val="19"/>
                <w:szCs w:val="19"/>
              </w:rPr>
            </w:pPr>
            <w:r w:rsidRPr="00D8620E">
              <w:rPr>
                <w:rFonts w:ascii="Times New Roman" w:eastAsia="Times New Roman" w:hAnsi="Times New Roman" w:cs="Times New Roman"/>
                <w:sz w:val="19"/>
                <w:szCs w:val="19"/>
              </w:rPr>
              <w:t>3–5</w:t>
            </w:r>
          </w:p>
        </w:tc>
        <w:tc>
          <w:tcPr>
            <w:tcW w:w="0" w:type="auto"/>
            <w:hideMark/>
          </w:tcPr>
          <w:p w14:paraId="7763F931" w14:textId="77777777" w:rsidR="00D8620E" w:rsidRPr="00D8620E" w:rsidRDefault="00D8620E" w:rsidP="00D8620E">
            <w:pPr>
              <w:jc w:val="center"/>
              <w:rPr>
                <w:rFonts w:ascii="Times New Roman" w:eastAsia="Times New Roman" w:hAnsi="Times New Roman" w:cs="Times New Roman"/>
                <w:sz w:val="19"/>
                <w:szCs w:val="19"/>
              </w:rPr>
            </w:pPr>
            <w:r w:rsidRPr="00D8620E">
              <w:rPr>
                <w:rFonts w:ascii="Times New Roman" w:eastAsia="Times New Roman" w:hAnsi="Times New Roman" w:cs="Times New Roman"/>
                <w:sz w:val="19"/>
                <w:szCs w:val="19"/>
              </w:rPr>
              <w:t>45–60</w:t>
            </w:r>
          </w:p>
        </w:tc>
        <w:tc>
          <w:tcPr>
            <w:tcW w:w="0" w:type="auto"/>
            <w:hideMark/>
          </w:tcPr>
          <w:p w14:paraId="515BD35F" w14:textId="77777777" w:rsidR="00D8620E" w:rsidRPr="00D8620E" w:rsidRDefault="00D8620E" w:rsidP="00D8620E">
            <w:pPr>
              <w:jc w:val="center"/>
              <w:rPr>
                <w:rFonts w:ascii="Times New Roman" w:eastAsia="Times New Roman" w:hAnsi="Times New Roman" w:cs="Times New Roman"/>
                <w:sz w:val="19"/>
                <w:szCs w:val="19"/>
              </w:rPr>
            </w:pPr>
            <w:r w:rsidRPr="00D8620E">
              <w:rPr>
                <w:rFonts w:ascii="Times New Roman" w:eastAsia="Times New Roman" w:hAnsi="Times New Roman" w:cs="Times New Roman"/>
                <w:sz w:val="19"/>
                <w:szCs w:val="19"/>
              </w:rPr>
              <w:t>15–25</w:t>
            </w:r>
          </w:p>
        </w:tc>
        <w:tc>
          <w:tcPr>
            <w:tcW w:w="0" w:type="auto"/>
            <w:hideMark/>
          </w:tcPr>
          <w:p w14:paraId="4AC8C60B" w14:textId="77777777" w:rsidR="00D8620E" w:rsidRPr="00D8620E" w:rsidRDefault="00D8620E" w:rsidP="00D8620E">
            <w:pPr>
              <w:rPr>
                <w:rFonts w:ascii="Times New Roman" w:eastAsia="Times New Roman" w:hAnsi="Times New Roman" w:cs="Times New Roman"/>
                <w:sz w:val="19"/>
                <w:szCs w:val="19"/>
              </w:rPr>
            </w:pPr>
            <w:r w:rsidRPr="00D8620E">
              <w:rPr>
                <w:rFonts w:ascii="Times New Roman" w:eastAsia="Times New Roman" w:hAnsi="Times New Roman" w:cs="Times New Roman"/>
                <w:sz w:val="19"/>
                <w:szCs w:val="19"/>
              </w:rPr>
              <w:t>Computational modeling and simulation</w:t>
            </w:r>
          </w:p>
        </w:tc>
        <w:tc>
          <w:tcPr>
            <w:tcW w:w="3222" w:type="dxa"/>
            <w:hideMark/>
          </w:tcPr>
          <w:p w14:paraId="1362685E" w14:textId="77777777" w:rsidR="00D8620E" w:rsidRPr="00D8620E" w:rsidRDefault="00D8620E" w:rsidP="00D8620E">
            <w:pPr>
              <w:rPr>
                <w:rFonts w:ascii="Times New Roman" w:eastAsia="Times New Roman" w:hAnsi="Times New Roman" w:cs="Times New Roman"/>
                <w:sz w:val="19"/>
                <w:szCs w:val="19"/>
              </w:rPr>
            </w:pPr>
            <w:r w:rsidRPr="00D8620E">
              <w:rPr>
                <w:rFonts w:ascii="Times New Roman" w:eastAsia="Times New Roman" w:hAnsi="Times New Roman" w:cs="Times New Roman"/>
                <w:sz w:val="19"/>
                <w:szCs w:val="19"/>
              </w:rPr>
              <w:t>Idealized assumptions, no consideration of material aging or microclimate variations</w:t>
            </w:r>
          </w:p>
        </w:tc>
      </w:tr>
      <w:tr w:rsidR="00D8620E" w:rsidRPr="00D8620E" w14:paraId="5286E0C5" w14:textId="77777777" w:rsidTr="00D8620E">
        <w:tc>
          <w:tcPr>
            <w:tcW w:w="2493" w:type="dxa"/>
            <w:hideMark/>
          </w:tcPr>
          <w:p w14:paraId="67C995E0" w14:textId="77777777" w:rsidR="00D8620E" w:rsidRPr="00D8620E" w:rsidRDefault="00D8620E" w:rsidP="00D8620E">
            <w:pPr>
              <w:rPr>
                <w:rFonts w:ascii="Times New Roman" w:eastAsia="Times New Roman" w:hAnsi="Times New Roman" w:cs="Times New Roman"/>
                <w:sz w:val="19"/>
                <w:szCs w:val="19"/>
              </w:rPr>
            </w:pPr>
            <w:r w:rsidRPr="00D8620E">
              <w:rPr>
                <w:rFonts w:ascii="Times New Roman" w:eastAsia="Times New Roman" w:hAnsi="Times New Roman" w:cs="Times New Roman"/>
                <w:sz w:val="19"/>
                <w:szCs w:val="19"/>
              </w:rPr>
              <w:t>Hemp-lime wall (Tran Le et al., 2010)</w:t>
            </w:r>
          </w:p>
        </w:tc>
        <w:tc>
          <w:tcPr>
            <w:tcW w:w="0" w:type="auto"/>
            <w:hideMark/>
          </w:tcPr>
          <w:p w14:paraId="3B87B1FA" w14:textId="77777777" w:rsidR="00D8620E" w:rsidRPr="00D8620E" w:rsidRDefault="00D8620E" w:rsidP="00D8620E">
            <w:pPr>
              <w:jc w:val="center"/>
              <w:rPr>
                <w:rFonts w:ascii="Times New Roman" w:eastAsia="Times New Roman" w:hAnsi="Times New Roman" w:cs="Times New Roman"/>
                <w:sz w:val="19"/>
                <w:szCs w:val="19"/>
              </w:rPr>
            </w:pPr>
            <w:r w:rsidRPr="00D8620E">
              <w:rPr>
                <w:rFonts w:ascii="Times New Roman" w:eastAsia="Times New Roman" w:hAnsi="Times New Roman" w:cs="Times New Roman"/>
                <w:sz w:val="19"/>
                <w:szCs w:val="19"/>
              </w:rPr>
              <w:t>3–5</w:t>
            </w:r>
          </w:p>
        </w:tc>
        <w:tc>
          <w:tcPr>
            <w:tcW w:w="0" w:type="auto"/>
            <w:hideMark/>
          </w:tcPr>
          <w:p w14:paraId="5FC3AA78" w14:textId="77777777" w:rsidR="00D8620E" w:rsidRPr="00D8620E" w:rsidRDefault="00D8620E" w:rsidP="00D8620E">
            <w:pPr>
              <w:jc w:val="center"/>
              <w:rPr>
                <w:rFonts w:ascii="Times New Roman" w:eastAsia="Times New Roman" w:hAnsi="Times New Roman" w:cs="Times New Roman"/>
                <w:sz w:val="19"/>
                <w:szCs w:val="19"/>
              </w:rPr>
            </w:pPr>
            <w:r w:rsidRPr="00D8620E">
              <w:rPr>
                <w:rFonts w:ascii="Times New Roman" w:eastAsia="Times New Roman" w:hAnsi="Times New Roman" w:cs="Times New Roman"/>
                <w:sz w:val="19"/>
                <w:szCs w:val="19"/>
              </w:rPr>
              <w:t>40–60</w:t>
            </w:r>
          </w:p>
        </w:tc>
        <w:tc>
          <w:tcPr>
            <w:tcW w:w="0" w:type="auto"/>
            <w:hideMark/>
          </w:tcPr>
          <w:p w14:paraId="706FB7F3" w14:textId="77777777" w:rsidR="00D8620E" w:rsidRPr="00D8620E" w:rsidRDefault="00D8620E" w:rsidP="00D8620E">
            <w:pPr>
              <w:jc w:val="center"/>
              <w:rPr>
                <w:rFonts w:ascii="Times New Roman" w:eastAsia="Times New Roman" w:hAnsi="Times New Roman" w:cs="Times New Roman"/>
                <w:sz w:val="19"/>
                <w:szCs w:val="19"/>
              </w:rPr>
            </w:pPr>
            <w:r w:rsidRPr="00D8620E">
              <w:rPr>
                <w:rFonts w:ascii="Times New Roman" w:eastAsia="Times New Roman" w:hAnsi="Times New Roman" w:cs="Times New Roman"/>
                <w:sz w:val="19"/>
                <w:szCs w:val="19"/>
              </w:rPr>
              <w:t>15–22</w:t>
            </w:r>
          </w:p>
        </w:tc>
        <w:tc>
          <w:tcPr>
            <w:tcW w:w="0" w:type="auto"/>
            <w:hideMark/>
          </w:tcPr>
          <w:p w14:paraId="08F0D6DF" w14:textId="77777777" w:rsidR="00D8620E" w:rsidRPr="00D8620E" w:rsidRDefault="00D8620E" w:rsidP="00D8620E">
            <w:pPr>
              <w:rPr>
                <w:rFonts w:ascii="Times New Roman" w:eastAsia="Times New Roman" w:hAnsi="Times New Roman" w:cs="Times New Roman"/>
                <w:sz w:val="19"/>
                <w:szCs w:val="19"/>
              </w:rPr>
            </w:pPr>
            <w:r w:rsidRPr="00D8620E">
              <w:rPr>
                <w:rFonts w:ascii="Times New Roman" w:eastAsia="Times New Roman" w:hAnsi="Times New Roman" w:cs="Times New Roman"/>
                <w:sz w:val="19"/>
                <w:szCs w:val="19"/>
              </w:rPr>
              <w:t>Field study in temperate climate</w:t>
            </w:r>
          </w:p>
        </w:tc>
        <w:tc>
          <w:tcPr>
            <w:tcW w:w="3222" w:type="dxa"/>
            <w:hideMark/>
          </w:tcPr>
          <w:p w14:paraId="1A6FEA94" w14:textId="77777777" w:rsidR="00D8620E" w:rsidRPr="00D8620E" w:rsidRDefault="00D8620E" w:rsidP="00D8620E">
            <w:pPr>
              <w:rPr>
                <w:rFonts w:ascii="Times New Roman" w:eastAsia="Times New Roman" w:hAnsi="Times New Roman" w:cs="Times New Roman"/>
                <w:sz w:val="19"/>
                <w:szCs w:val="19"/>
              </w:rPr>
            </w:pPr>
            <w:r w:rsidRPr="00D8620E">
              <w:rPr>
                <w:rFonts w:ascii="Times New Roman" w:eastAsia="Times New Roman" w:hAnsi="Times New Roman" w:cs="Times New Roman"/>
                <w:sz w:val="19"/>
                <w:szCs w:val="19"/>
              </w:rPr>
              <w:t>Occupancy patterns, ventilation strategies, and measurement protocols</w:t>
            </w:r>
          </w:p>
        </w:tc>
      </w:tr>
    </w:tbl>
    <w:p w14:paraId="45EDAA89" w14:textId="55AE32D1" w:rsidR="00323F47" w:rsidRPr="00D8620E" w:rsidRDefault="00D8620E" w:rsidP="00D8620E">
      <w:pPr>
        <w:spacing w:before="100" w:beforeAutospacing="1" w:after="100" w:afterAutospacing="1" w:line="240" w:lineRule="auto"/>
        <w:jc w:val="both"/>
        <w:rPr>
          <w:rFonts w:ascii="Times New Roman" w:eastAsia="Times New Roman" w:hAnsi="Times New Roman" w:cs="Times New Roman"/>
          <w:sz w:val="24"/>
          <w:szCs w:val="24"/>
        </w:rPr>
      </w:pPr>
      <w:r w:rsidRPr="00D8620E">
        <w:rPr>
          <w:rFonts w:ascii="Times New Roman" w:eastAsia="Times New Roman" w:hAnsi="Times New Roman" w:cs="Times New Roman"/>
          <w:sz w:val="24"/>
          <w:szCs w:val="24"/>
        </w:rPr>
        <w:lastRenderedPageBreak/>
        <w:t xml:space="preserve">The review </w:t>
      </w:r>
      <w:r>
        <w:rPr>
          <w:rFonts w:ascii="Times New Roman" w:eastAsia="Times New Roman" w:hAnsi="Times New Roman" w:cs="Times New Roman"/>
          <w:sz w:val="24"/>
          <w:szCs w:val="24"/>
        </w:rPr>
        <w:t xml:space="preserve">of reported performance metrics (Table 8) </w:t>
      </w:r>
      <w:r w:rsidRPr="00D8620E">
        <w:rPr>
          <w:rFonts w:ascii="Times New Roman" w:eastAsia="Times New Roman" w:hAnsi="Times New Roman" w:cs="Times New Roman"/>
          <w:sz w:val="24"/>
          <w:szCs w:val="24"/>
        </w:rPr>
        <w:t>indicates that bio-based hygroscopic walls consistently reduce indoor temperatures by 3–6 °C, stabilize relative humidity between 40–60 %, and offer potential cooling energy savings of 15–25 %. Variations in reported outcomes arise from differences in material composition, wall thickness, environmental conditions, and experimental methodologies. Among the materials reviewed, lime-hemp concrete and bio-humid wall bricks demonstrate the most balanced and effective performance across temperature regulation, humidity control, and energy savings, making them particularly suitable for tropical and subtropical climates. These findings emphasize the importance of optimizing material properties and testing conditions to achieve reliable thermoregulatory performance in practical applications.</w:t>
      </w:r>
    </w:p>
    <w:p w14:paraId="3202AA8A" w14:textId="77777777" w:rsidR="00A966BC" w:rsidRPr="00F958B7" w:rsidRDefault="007F4373" w:rsidP="007F4373">
      <w:pPr>
        <w:pStyle w:val="Heading1"/>
      </w:pPr>
      <w:r>
        <w:t>6</w:t>
      </w:r>
      <w:r w:rsidR="00A966BC" w:rsidRPr="00F958B7">
        <w:t>. Conclusion</w:t>
      </w:r>
    </w:p>
    <w:p w14:paraId="3558D62B" w14:textId="27B5936C" w:rsidR="00F47960" w:rsidRPr="00F47960" w:rsidRDefault="00F47960" w:rsidP="00F47960">
      <w:pPr>
        <w:jc w:val="both"/>
        <w:rPr>
          <w:rFonts w:ascii="Times New Roman" w:hAnsi="Times New Roman" w:cs="Times New Roman"/>
          <w:sz w:val="24"/>
        </w:rPr>
      </w:pPr>
      <w:r w:rsidRPr="00F47960">
        <w:rPr>
          <w:rFonts w:ascii="Times New Roman" w:hAnsi="Times New Roman" w:cs="Times New Roman"/>
          <w:sz w:val="24"/>
        </w:rPr>
        <w:t>This study demonstrates that biomedical engineering principles can be effectively translated into the design of adaptive building envelopes. By emulating the thermoregulatory functions of human skin, the proposed bio-humid wall brick operates as a physiological interface between the indoor environment and external climate. The hierarchical porous microstructure, hygroscopic material composition, and layered architecture collectively replicate the biological mechanisms of sweating, vasodilation, moisture storage, and controlled evaporation. These biomimetic processes enable autonomous regulation of heat and humidity, thereby maintaining indoor thermal comfort while reducing reliance on mechanical HVAC systems. The approach redefines the building envelope as a living, responsive system rather than a passive structural element.</w:t>
      </w:r>
      <w:r>
        <w:rPr>
          <w:rFonts w:ascii="Times New Roman" w:hAnsi="Times New Roman" w:cs="Times New Roman"/>
          <w:sz w:val="24"/>
        </w:rPr>
        <w:t xml:space="preserve"> </w:t>
      </w:r>
      <w:r w:rsidRPr="00F47960">
        <w:rPr>
          <w:rFonts w:ascii="Times New Roman" w:hAnsi="Times New Roman" w:cs="Times New Roman"/>
          <w:sz w:val="24"/>
        </w:rPr>
        <w:t xml:space="preserve">Furthermore, framing the building as a </w:t>
      </w:r>
      <w:r w:rsidR="00A72C2B">
        <w:rPr>
          <w:rFonts w:ascii="Times New Roman" w:hAnsi="Times New Roman" w:cs="Times New Roman"/>
          <w:sz w:val="24"/>
        </w:rPr>
        <w:t>thermos-</w:t>
      </w:r>
      <w:r w:rsidRPr="00F47960">
        <w:rPr>
          <w:rFonts w:ascii="Times New Roman" w:hAnsi="Times New Roman" w:cs="Times New Roman"/>
          <w:sz w:val="24"/>
        </w:rPr>
        <w:t>regulating organism establishes a new interdisciplinary paradigm between biomedical engineering and sustainable architecture. The bio-humid wall brick demonstrates how principles such as homeostasis, negative feedback control, and heat–mass exchange in human physiology can be harnessed to address global challenges related to energy consumption, climate adaptation, and occupant health. By integrating biomedical concepts into material science and building technology, this study contributes a human-centered strategy for the development of smart housing systems, particularly relevant for tropical and resource-constrained environments where thermal stress poses significant public health risks.</w:t>
      </w:r>
    </w:p>
    <w:p w14:paraId="6DC3800F" w14:textId="77777777" w:rsidR="006674F4" w:rsidRDefault="00F47960" w:rsidP="006674F4">
      <w:pPr>
        <w:jc w:val="both"/>
        <w:rPr>
          <w:rFonts w:ascii="Times New Roman" w:hAnsi="Times New Roman" w:cs="Times New Roman"/>
          <w:sz w:val="24"/>
        </w:rPr>
      </w:pPr>
      <w:r w:rsidRPr="00F47960">
        <w:rPr>
          <w:rFonts w:ascii="Times New Roman" w:hAnsi="Times New Roman" w:cs="Times New Roman"/>
          <w:sz w:val="24"/>
        </w:rPr>
        <w:t>Future research should focus on experimental validation, including full-scale prototyping and long-term field testing of bio-humid wall bricks under diverse climatic conditions. Computational modeling and simulation studies can be expanded to optimize material composition, layer thickness, and porosity for maximum thermal and moisture regulation. Additionally, investigations into material durability, microbial growth control, and cost-effectiveness will facilitate practical implementation. Integration with sensor-driven adaptive systems and Internet of Things (IoT) frameworks could further enhance autonomous performance, bridging the gap between laboratory research and real-world application while advancing the field of biomedical-inspired sustainable architecture.</w:t>
      </w:r>
    </w:p>
    <w:p w14:paraId="10ED3856" w14:textId="77777777" w:rsidR="006674F4" w:rsidRDefault="006674F4" w:rsidP="006674F4">
      <w:pPr>
        <w:jc w:val="both"/>
        <w:rPr>
          <w:rFonts w:ascii="Times New Roman" w:hAnsi="Times New Roman" w:cs="Times New Roman"/>
          <w:sz w:val="24"/>
        </w:rPr>
      </w:pPr>
    </w:p>
    <w:p w14:paraId="4C99B9ED" w14:textId="242740CA" w:rsidR="006674F4" w:rsidRPr="006674F4" w:rsidRDefault="006674F4" w:rsidP="006674F4">
      <w:pPr>
        <w:jc w:val="both"/>
        <w:rPr>
          <w:rFonts w:ascii="Times New Roman" w:hAnsi="Times New Roman" w:cs="Times New Roman"/>
          <w:sz w:val="24"/>
        </w:rPr>
      </w:pPr>
      <w:r w:rsidRPr="000E567A">
        <w:rPr>
          <w:rFonts w:ascii="Arial-BoldMT" w:eastAsia="Times New Roman" w:hAnsi="Arial-BoldMT" w:cs="Times New Roman"/>
          <w:b/>
          <w:bCs/>
          <w:color w:val="000000"/>
        </w:rPr>
        <w:t>DISCLAIMER (ARTIFICIAL INTELLIGENCE)</w:t>
      </w:r>
    </w:p>
    <w:p w14:paraId="18CB1CDB" w14:textId="77777777" w:rsidR="006674F4" w:rsidRDefault="006674F4" w:rsidP="006674F4">
      <w:pPr>
        <w:spacing w:after="0" w:line="240" w:lineRule="auto"/>
        <w:jc w:val="both"/>
        <w:rPr>
          <w:rFonts w:ascii="ArialMT" w:eastAsia="Times New Roman" w:hAnsi="ArialMT" w:cs="Times New Roman"/>
          <w:color w:val="000000"/>
          <w:sz w:val="20"/>
          <w:szCs w:val="20"/>
        </w:rPr>
      </w:pPr>
      <w:r w:rsidRPr="000E567A">
        <w:rPr>
          <w:rFonts w:ascii="ArialMT" w:eastAsia="Times New Roman" w:hAnsi="ArialMT" w:cs="Times New Roman"/>
          <w:color w:val="000000"/>
          <w:sz w:val="20"/>
          <w:szCs w:val="20"/>
        </w:rPr>
        <w:t>Author(s) hereby declare that NO generative AI technologies such as Large Language Models (</w:t>
      </w:r>
      <w:proofErr w:type="spellStart"/>
      <w:r w:rsidRPr="000E567A">
        <w:rPr>
          <w:rFonts w:ascii="ArialMT" w:eastAsia="Times New Roman" w:hAnsi="ArialMT" w:cs="Times New Roman"/>
          <w:color w:val="000000"/>
          <w:sz w:val="20"/>
          <w:szCs w:val="20"/>
        </w:rPr>
        <w:t>ChatGPT</w:t>
      </w:r>
      <w:proofErr w:type="spellEnd"/>
      <w:r w:rsidRPr="000E567A">
        <w:rPr>
          <w:rFonts w:ascii="ArialMT" w:eastAsia="Times New Roman" w:hAnsi="ArialMT" w:cs="Times New Roman"/>
          <w:color w:val="000000"/>
          <w:sz w:val="20"/>
          <w:szCs w:val="20"/>
        </w:rPr>
        <w:t>, COPILOT, etc.) and text-to-image generators have been used during the writing or editing of this manuscript.</w:t>
      </w:r>
    </w:p>
    <w:p w14:paraId="18D17AAB" w14:textId="454C3CF3" w:rsidR="006674F4" w:rsidRPr="000E567A" w:rsidRDefault="006674F4" w:rsidP="006674F4">
      <w:pPr>
        <w:spacing w:after="0" w:line="240" w:lineRule="auto"/>
        <w:jc w:val="both"/>
        <w:rPr>
          <w:rFonts w:ascii="ArialMT" w:eastAsia="Times New Roman" w:hAnsi="ArialMT" w:cs="Times New Roman"/>
          <w:color w:val="000000"/>
          <w:sz w:val="20"/>
          <w:szCs w:val="20"/>
        </w:rPr>
      </w:pPr>
      <w:r w:rsidRPr="000E567A">
        <w:rPr>
          <w:rFonts w:ascii="Arial-BoldMT" w:eastAsia="Times New Roman" w:hAnsi="Arial-BoldMT" w:cs="Times New Roman"/>
          <w:b/>
          <w:bCs/>
          <w:color w:val="000000"/>
        </w:rPr>
        <w:lastRenderedPageBreak/>
        <w:t>COMPETING INTERESTS</w:t>
      </w:r>
    </w:p>
    <w:p w14:paraId="375BAF6A" w14:textId="4370F6B6" w:rsidR="006674F4" w:rsidRDefault="006674F4" w:rsidP="006674F4">
      <w:pPr>
        <w:pStyle w:val="NormalWeb"/>
        <w:ind w:left="-851"/>
        <w:jc w:val="both"/>
      </w:pPr>
      <w:r>
        <w:rPr>
          <w:rFonts w:ascii="ArialMT" w:hAnsi="ArialMT"/>
          <w:color w:val="000000"/>
          <w:sz w:val="20"/>
          <w:szCs w:val="20"/>
        </w:rPr>
        <w:t xml:space="preserve">                 </w:t>
      </w:r>
      <w:r w:rsidRPr="000E567A">
        <w:rPr>
          <w:rFonts w:ascii="ArialMT" w:hAnsi="ArialMT"/>
          <w:color w:val="000000"/>
          <w:sz w:val="20"/>
          <w:szCs w:val="20"/>
        </w:rPr>
        <w:t>Authors have declared that no competing interests exist</w:t>
      </w:r>
    </w:p>
    <w:p w14:paraId="2E4F10FF" w14:textId="77777777" w:rsidR="006A3C54" w:rsidRDefault="006A3C54" w:rsidP="007F4373">
      <w:pPr>
        <w:spacing w:before="100" w:beforeAutospacing="1" w:after="100" w:afterAutospacing="1" w:line="240" w:lineRule="auto"/>
        <w:jc w:val="both"/>
        <w:rPr>
          <w:rFonts w:ascii="Times New Roman" w:eastAsia="Times New Roman" w:hAnsi="Times New Roman" w:cs="Times New Roman"/>
          <w:sz w:val="24"/>
          <w:szCs w:val="24"/>
        </w:rPr>
      </w:pPr>
    </w:p>
    <w:sdt>
      <w:sdtPr>
        <w:rPr>
          <w:rFonts w:asciiTheme="minorHAnsi" w:eastAsiaTheme="minorHAnsi" w:hAnsiTheme="minorHAnsi" w:cstheme="minorBidi"/>
          <w:b w:val="0"/>
          <w:bCs w:val="0"/>
          <w:kern w:val="0"/>
          <w:sz w:val="22"/>
          <w:szCs w:val="22"/>
        </w:rPr>
        <w:id w:val="-1183739129"/>
        <w:docPartObj>
          <w:docPartGallery w:val="Bibliographies"/>
          <w:docPartUnique/>
        </w:docPartObj>
      </w:sdtPr>
      <w:sdtEndPr/>
      <w:sdtContent>
        <w:p w14:paraId="1C4F1F1D" w14:textId="77777777" w:rsidR="00522D70" w:rsidRDefault="00522D70" w:rsidP="00522D70">
          <w:pPr>
            <w:pStyle w:val="Heading1"/>
            <w:ind w:hanging="720"/>
          </w:pPr>
          <w:r>
            <w:t>References</w:t>
          </w:r>
        </w:p>
        <w:p w14:paraId="22696066" w14:textId="77777777" w:rsidR="00522D70" w:rsidRDefault="00522D70" w:rsidP="00522D70">
          <w:pPr>
            <w:pStyle w:val="NormalWeb"/>
            <w:spacing w:after="0" w:afterAutospacing="0"/>
            <w:ind w:hanging="720"/>
            <w:rPr>
              <w:color w:val="1F1F1F"/>
            </w:rPr>
          </w:pPr>
          <w:r>
            <w:rPr>
              <w:color w:val="1F1F1F"/>
            </w:rPr>
            <w:t>Al</w:t>
          </w:r>
          <w:r>
            <w:rPr>
              <w:color w:val="1F1F1F"/>
            </w:rPr>
            <w:noBreakHyphen/>
          </w:r>
          <w:proofErr w:type="spellStart"/>
          <w:r>
            <w:rPr>
              <w:color w:val="1F1F1F"/>
            </w:rPr>
            <w:t>Obaidi</w:t>
          </w:r>
          <w:proofErr w:type="spellEnd"/>
          <w:r>
            <w:rPr>
              <w:color w:val="1F1F1F"/>
            </w:rPr>
            <w:t xml:space="preserve">, K. M., Ismail, M., &amp; Abdul Rahman, A. M. (2014). Passive cooling techniques through reflective and radiative roofs in tropical houses in Southeast Asia: A literature review. </w:t>
          </w:r>
          <w:r>
            <w:rPr>
              <w:i/>
              <w:iCs/>
              <w:color w:val="1F1F1F"/>
              <w:bdr w:val="none" w:sz="0" w:space="0" w:color="auto" w:frame="1"/>
            </w:rPr>
            <w:t>Frontiers of Architectural Research</w:t>
          </w:r>
          <w:r>
            <w:rPr>
              <w:color w:val="1F1F1F"/>
            </w:rPr>
            <w:t xml:space="preserve">, </w:t>
          </w:r>
          <w:r>
            <w:rPr>
              <w:i/>
              <w:iCs/>
              <w:color w:val="1F1F1F"/>
              <w:bdr w:val="none" w:sz="0" w:space="0" w:color="auto" w:frame="1"/>
            </w:rPr>
            <w:t>3</w:t>
          </w:r>
          <w:r>
            <w:rPr>
              <w:color w:val="1F1F1F"/>
            </w:rPr>
            <w:t xml:space="preserve">(3), 283–297. </w:t>
          </w:r>
          <w:hyperlink r:id="rId22" w:tgtFrame="_blank" w:history="1">
            <w:r>
              <w:rPr>
                <w:rStyle w:val="Hyperlink"/>
                <w:color w:val="0B57D0"/>
                <w:bdr w:val="none" w:sz="0" w:space="0" w:color="auto" w:frame="1"/>
              </w:rPr>
              <w:t>https://doi.org/10.1016/j.foar.2014.06.002</w:t>
            </w:r>
          </w:hyperlink>
        </w:p>
        <w:p w14:paraId="3FA3F0C3" w14:textId="77777777" w:rsidR="00522D70" w:rsidRDefault="00522D70" w:rsidP="00522D70">
          <w:pPr>
            <w:pStyle w:val="NormalWeb"/>
            <w:spacing w:after="0" w:afterAutospacing="0"/>
            <w:ind w:hanging="720"/>
            <w:rPr>
              <w:color w:val="1F1F1F"/>
            </w:rPr>
          </w:pPr>
          <w:proofErr w:type="spellStart"/>
          <w:r>
            <w:rPr>
              <w:color w:val="1F1F1F"/>
            </w:rPr>
            <w:t>Amziane</w:t>
          </w:r>
          <w:proofErr w:type="spellEnd"/>
          <w:r>
            <w:rPr>
              <w:color w:val="1F1F1F"/>
            </w:rPr>
            <w:t xml:space="preserve">, S., &amp; Collet, F. (Eds.). (2017). </w:t>
          </w:r>
          <w:r>
            <w:rPr>
              <w:i/>
              <w:iCs/>
              <w:color w:val="1F1F1F"/>
              <w:bdr w:val="none" w:sz="0" w:space="0" w:color="auto" w:frame="1"/>
            </w:rPr>
            <w:t>Bio-aggregates based building materials: State-of-the-art report of the RILEM Technical Committee 236-BBM</w:t>
          </w:r>
          <w:r>
            <w:rPr>
              <w:color w:val="1F1F1F"/>
            </w:rPr>
            <w:t xml:space="preserve"> (Vol. 23). Springer. </w:t>
          </w:r>
          <w:hyperlink r:id="rId23" w:tgtFrame="_blank" w:history="1">
            <w:r>
              <w:rPr>
                <w:rStyle w:val="Hyperlink"/>
                <w:color w:val="0B57D0"/>
                <w:bdr w:val="none" w:sz="0" w:space="0" w:color="auto" w:frame="1"/>
              </w:rPr>
              <w:t>https://doi.org/10.1007/978-94-024-1107-1</w:t>
            </w:r>
          </w:hyperlink>
        </w:p>
        <w:p w14:paraId="0F583C2A" w14:textId="77777777" w:rsidR="00522D70" w:rsidRDefault="00522D70" w:rsidP="00522D70">
          <w:pPr>
            <w:pStyle w:val="NormalWeb"/>
            <w:spacing w:after="0" w:afterAutospacing="0"/>
            <w:ind w:hanging="720"/>
            <w:rPr>
              <w:color w:val="1F1F1F"/>
            </w:rPr>
          </w:pPr>
          <w:proofErr w:type="spellStart"/>
          <w:r>
            <w:rPr>
              <w:color w:val="1F1F1F"/>
            </w:rPr>
            <w:t>Amziane</w:t>
          </w:r>
          <w:proofErr w:type="spellEnd"/>
          <w:r>
            <w:rPr>
              <w:color w:val="1F1F1F"/>
            </w:rPr>
            <w:t xml:space="preserve">, S., &amp; </w:t>
          </w:r>
          <w:proofErr w:type="spellStart"/>
          <w:r>
            <w:rPr>
              <w:color w:val="1F1F1F"/>
            </w:rPr>
            <w:t>Sonebi</w:t>
          </w:r>
          <w:proofErr w:type="spellEnd"/>
          <w:r>
            <w:rPr>
              <w:color w:val="1F1F1F"/>
            </w:rPr>
            <w:t xml:space="preserve">, M. (2016). Overview on bio-based building material made with plant aggregate. </w:t>
          </w:r>
          <w:r>
            <w:rPr>
              <w:i/>
              <w:iCs/>
              <w:color w:val="1F1F1F"/>
              <w:bdr w:val="none" w:sz="0" w:space="0" w:color="auto" w:frame="1"/>
            </w:rPr>
            <w:t>RILEM Technical Letters</w:t>
          </w:r>
          <w:r>
            <w:rPr>
              <w:color w:val="1F1F1F"/>
            </w:rPr>
            <w:t xml:space="preserve">, </w:t>
          </w:r>
          <w:r>
            <w:rPr>
              <w:i/>
              <w:iCs/>
              <w:color w:val="1F1F1F"/>
              <w:bdr w:val="none" w:sz="0" w:space="0" w:color="auto" w:frame="1"/>
            </w:rPr>
            <w:t>1</w:t>
          </w:r>
          <w:r>
            <w:rPr>
              <w:color w:val="1F1F1F"/>
            </w:rPr>
            <w:t xml:space="preserve">(1), 31–38. </w:t>
          </w:r>
          <w:hyperlink r:id="rId24" w:tgtFrame="_blank" w:history="1">
            <w:r>
              <w:rPr>
                <w:rStyle w:val="Hyperlink"/>
                <w:color w:val="0B57D0"/>
                <w:bdr w:val="none" w:sz="0" w:space="0" w:color="auto" w:frame="1"/>
              </w:rPr>
              <w:t>https://doi.org/10.21809/rilemtechlett.2016.9</w:t>
            </w:r>
          </w:hyperlink>
        </w:p>
        <w:p w14:paraId="4708CA22" w14:textId="77777777" w:rsidR="00522D70" w:rsidRDefault="00522D70" w:rsidP="00522D70">
          <w:pPr>
            <w:pStyle w:val="NormalWeb"/>
            <w:spacing w:after="0" w:afterAutospacing="0"/>
            <w:ind w:hanging="720"/>
            <w:rPr>
              <w:color w:val="1F1F1F"/>
            </w:rPr>
          </w:pPr>
          <w:proofErr w:type="spellStart"/>
          <w:r>
            <w:rPr>
              <w:color w:val="1F1F1F"/>
            </w:rPr>
            <w:t>Badarnah</w:t>
          </w:r>
          <w:proofErr w:type="spellEnd"/>
          <w:r>
            <w:rPr>
              <w:color w:val="1F1F1F"/>
            </w:rPr>
            <w:t xml:space="preserve">, L. (2017). Form follows environment: Biomimetic approaches to building envelope design for environmental adaptation. </w:t>
          </w:r>
          <w:r>
            <w:rPr>
              <w:i/>
              <w:iCs/>
              <w:color w:val="1F1F1F"/>
              <w:bdr w:val="none" w:sz="0" w:space="0" w:color="auto" w:frame="1"/>
            </w:rPr>
            <w:t>Buildings</w:t>
          </w:r>
          <w:r>
            <w:rPr>
              <w:color w:val="1F1F1F"/>
            </w:rPr>
            <w:t xml:space="preserve">, </w:t>
          </w:r>
          <w:r>
            <w:rPr>
              <w:i/>
              <w:iCs/>
              <w:color w:val="1F1F1F"/>
              <w:bdr w:val="none" w:sz="0" w:space="0" w:color="auto" w:frame="1"/>
            </w:rPr>
            <w:t>7</w:t>
          </w:r>
          <w:r>
            <w:rPr>
              <w:color w:val="1F1F1F"/>
            </w:rPr>
            <w:t xml:space="preserve">(2), 40. </w:t>
          </w:r>
          <w:hyperlink r:id="rId25" w:tgtFrame="_blank" w:history="1">
            <w:r>
              <w:rPr>
                <w:rStyle w:val="Hyperlink"/>
                <w:color w:val="0B57D0"/>
                <w:bdr w:val="none" w:sz="0" w:space="0" w:color="auto" w:frame="1"/>
              </w:rPr>
              <w:t>https://doi.org/10.3390/buildings7020040</w:t>
            </w:r>
          </w:hyperlink>
        </w:p>
        <w:p w14:paraId="373F6101" w14:textId="77777777" w:rsidR="00522D70" w:rsidRDefault="00522D70" w:rsidP="00522D70">
          <w:pPr>
            <w:pStyle w:val="NormalWeb"/>
            <w:spacing w:after="0" w:afterAutospacing="0"/>
            <w:ind w:hanging="720"/>
            <w:rPr>
              <w:color w:val="1F1F1F"/>
            </w:rPr>
          </w:pPr>
          <w:proofErr w:type="spellStart"/>
          <w:r>
            <w:rPr>
              <w:color w:val="1F1F1F"/>
            </w:rPr>
            <w:t>Badarnah</w:t>
          </w:r>
          <w:proofErr w:type="spellEnd"/>
          <w:r>
            <w:rPr>
              <w:color w:val="1F1F1F"/>
            </w:rPr>
            <w:t xml:space="preserve">, L., &amp; Knaack, U. (2007). Bio-inspired ventilating system for building envelopes. In </w:t>
          </w:r>
          <w:r>
            <w:rPr>
              <w:i/>
              <w:iCs/>
              <w:color w:val="1F1F1F"/>
              <w:bdr w:val="none" w:sz="0" w:space="0" w:color="auto" w:frame="1"/>
            </w:rPr>
            <w:t>Proceedings of the International Conference of 21st Century: Building Stock Activation</w:t>
          </w:r>
          <w:r>
            <w:rPr>
              <w:color w:val="1F1F1F"/>
            </w:rPr>
            <w:t xml:space="preserve"> (pp. 431–438). Tokyo, Japan.</w:t>
          </w:r>
        </w:p>
        <w:p w14:paraId="1579375C" w14:textId="77777777" w:rsidR="00522D70" w:rsidRDefault="00522D70" w:rsidP="00522D70">
          <w:pPr>
            <w:pStyle w:val="NormalWeb"/>
            <w:spacing w:after="0" w:afterAutospacing="0"/>
            <w:ind w:hanging="720"/>
            <w:rPr>
              <w:color w:val="1F1F1F"/>
            </w:rPr>
          </w:pPr>
          <w:proofErr w:type="spellStart"/>
          <w:r>
            <w:rPr>
              <w:color w:val="1F1F1F"/>
            </w:rPr>
            <w:t>Cascione</w:t>
          </w:r>
          <w:proofErr w:type="spellEnd"/>
          <w:r>
            <w:rPr>
              <w:color w:val="1F1F1F"/>
            </w:rPr>
            <w:t xml:space="preserve">, V., Maskell, D., Shea, A., &amp; Walker, P. (2019). A review of moisture buffering capacity: From laboratory testing to full-scale measurement. </w:t>
          </w:r>
          <w:r>
            <w:rPr>
              <w:i/>
              <w:iCs/>
              <w:color w:val="1F1F1F"/>
              <w:bdr w:val="none" w:sz="0" w:space="0" w:color="auto" w:frame="1"/>
            </w:rPr>
            <w:t>Construction and Building Materials</w:t>
          </w:r>
          <w:r>
            <w:rPr>
              <w:color w:val="1F1F1F"/>
            </w:rPr>
            <w:t xml:space="preserve">, </w:t>
          </w:r>
          <w:r>
            <w:rPr>
              <w:i/>
              <w:iCs/>
              <w:color w:val="1F1F1F"/>
              <w:bdr w:val="none" w:sz="0" w:space="0" w:color="auto" w:frame="1"/>
            </w:rPr>
            <w:t>200</w:t>
          </w:r>
          <w:r>
            <w:rPr>
              <w:color w:val="1F1F1F"/>
            </w:rPr>
            <w:t xml:space="preserve">, 333–343. </w:t>
          </w:r>
          <w:hyperlink r:id="rId26" w:tgtFrame="_blank" w:history="1">
            <w:r>
              <w:rPr>
                <w:rStyle w:val="Hyperlink"/>
                <w:color w:val="0B57D0"/>
                <w:bdr w:val="none" w:sz="0" w:space="0" w:color="auto" w:frame="1"/>
              </w:rPr>
              <w:t>https://doi.org/10.1016/j.conbuildmat.2018.12.094</w:t>
            </w:r>
          </w:hyperlink>
        </w:p>
        <w:p w14:paraId="664D8FA6" w14:textId="77777777" w:rsidR="00522D70" w:rsidRDefault="00522D70" w:rsidP="00522D70">
          <w:pPr>
            <w:pStyle w:val="NormalWeb"/>
            <w:spacing w:after="0" w:afterAutospacing="0"/>
            <w:ind w:hanging="720"/>
            <w:rPr>
              <w:color w:val="1F1F1F"/>
            </w:rPr>
          </w:pPr>
          <w:proofErr w:type="spellStart"/>
          <w:r>
            <w:rPr>
              <w:color w:val="1F1F1F"/>
            </w:rPr>
            <w:t>Charkoudian</w:t>
          </w:r>
          <w:proofErr w:type="spellEnd"/>
          <w:r>
            <w:rPr>
              <w:color w:val="1F1F1F"/>
            </w:rPr>
            <w:t xml:space="preserve">, N. (2003). Skin blood flow in adult human thermoregulation: How it works, when it does not, and why. </w:t>
          </w:r>
          <w:r>
            <w:rPr>
              <w:i/>
              <w:iCs/>
              <w:color w:val="1F1F1F"/>
              <w:bdr w:val="none" w:sz="0" w:space="0" w:color="auto" w:frame="1"/>
            </w:rPr>
            <w:t>Mayo Clinic Proceedings</w:t>
          </w:r>
          <w:r>
            <w:rPr>
              <w:color w:val="1F1F1F"/>
            </w:rPr>
            <w:t xml:space="preserve">, </w:t>
          </w:r>
          <w:r>
            <w:rPr>
              <w:i/>
              <w:iCs/>
              <w:color w:val="1F1F1F"/>
              <w:bdr w:val="none" w:sz="0" w:space="0" w:color="auto" w:frame="1"/>
            </w:rPr>
            <w:t>78</w:t>
          </w:r>
          <w:r>
            <w:rPr>
              <w:color w:val="1F1F1F"/>
            </w:rPr>
            <w:t xml:space="preserve">(5), 603–612. </w:t>
          </w:r>
          <w:hyperlink r:id="rId27" w:tgtFrame="_blank" w:history="1">
            <w:r>
              <w:rPr>
                <w:rStyle w:val="Hyperlink"/>
                <w:color w:val="0B57D0"/>
                <w:bdr w:val="none" w:sz="0" w:space="0" w:color="auto" w:frame="1"/>
              </w:rPr>
              <w:t>https://doi.org/10.4065/78.5.603</w:t>
            </w:r>
          </w:hyperlink>
        </w:p>
        <w:p w14:paraId="488CBB3B" w14:textId="77777777" w:rsidR="00522D70" w:rsidRDefault="00522D70" w:rsidP="00522D70">
          <w:pPr>
            <w:pStyle w:val="NormalWeb"/>
            <w:spacing w:after="0" w:afterAutospacing="0"/>
            <w:ind w:hanging="720"/>
            <w:rPr>
              <w:color w:val="1F1F1F"/>
            </w:rPr>
          </w:pPr>
          <w:r>
            <w:rPr>
              <w:color w:val="1F1F1F"/>
            </w:rPr>
            <w:t xml:space="preserve">Cheng, V., Ng, E., &amp; </w:t>
          </w:r>
          <w:proofErr w:type="spellStart"/>
          <w:r>
            <w:rPr>
              <w:color w:val="1F1F1F"/>
            </w:rPr>
            <w:t>Givoni</w:t>
          </w:r>
          <w:proofErr w:type="spellEnd"/>
          <w:r>
            <w:rPr>
              <w:color w:val="1F1F1F"/>
            </w:rPr>
            <w:t xml:space="preserve">, B. (2005). Effect of envelope </w:t>
          </w:r>
          <w:proofErr w:type="spellStart"/>
          <w:r>
            <w:rPr>
              <w:color w:val="1F1F1F"/>
            </w:rPr>
            <w:t>colour</w:t>
          </w:r>
          <w:proofErr w:type="spellEnd"/>
          <w:r>
            <w:rPr>
              <w:color w:val="1F1F1F"/>
            </w:rPr>
            <w:t xml:space="preserve"> and thermal mass on indoor temperatures in hot humid climate. </w:t>
          </w:r>
          <w:r>
            <w:rPr>
              <w:i/>
              <w:iCs/>
              <w:color w:val="1F1F1F"/>
              <w:bdr w:val="none" w:sz="0" w:space="0" w:color="auto" w:frame="1"/>
            </w:rPr>
            <w:t>Solar Energy</w:t>
          </w:r>
          <w:r>
            <w:rPr>
              <w:color w:val="1F1F1F"/>
            </w:rPr>
            <w:t xml:space="preserve">, </w:t>
          </w:r>
          <w:r>
            <w:rPr>
              <w:i/>
              <w:iCs/>
              <w:color w:val="1F1F1F"/>
              <w:bdr w:val="none" w:sz="0" w:space="0" w:color="auto" w:frame="1"/>
            </w:rPr>
            <w:t>78</w:t>
          </w:r>
          <w:r>
            <w:rPr>
              <w:color w:val="1F1F1F"/>
            </w:rPr>
            <w:t xml:space="preserve">(4), 528–534. </w:t>
          </w:r>
          <w:hyperlink r:id="rId28" w:tgtFrame="_blank" w:history="1">
            <w:r>
              <w:rPr>
                <w:rStyle w:val="Hyperlink"/>
                <w:color w:val="0B57D0"/>
                <w:bdr w:val="none" w:sz="0" w:space="0" w:color="auto" w:frame="1"/>
              </w:rPr>
              <w:t>https://doi.org/10.1016/j.solener.2004.05.005</w:t>
            </w:r>
          </w:hyperlink>
        </w:p>
        <w:p w14:paraId="59F79DCC" w14:textId="08C41B8E" w:rsidR="00522D70" w:rsidRDefault="00522D70" w:rsidP="00522D70">
          <w:pPr>
            <w:pStyle w:val="NormalWeb"/>
            <w:spacing w:after="0" w:afterAutospacing="0"/>
            <w:ind w:hanging="720"/>
            <w:rPr>
              <w:color w:val="1F1F1F"/>
            </w:rPr>
          </w:pPr>
          <w:r>
            <w:rPr>
              <w:color w:val="1F1F1F"/>
            </w:rPr>
            <w:t xml:space="preserve">Cheng, V., Ng, E., &amp; </w:t>
          </w:r>
          <w:proofErr w:type="spellStart"/>
          <w:r>
            <w:rPr>
              <w:color w:val="1F1F1F"/>
            </w:rPr>
            <w:t>Givoni</w:t>
          </w:r>
          <w:proofErr w:type="spellEnd"/>
          <w:r>
            <w:rPr>
              <w:color w:val="1F1F1F"/>
            </w:rPr>
            <w:t xml:space="preserve">, B. (2012). Effect of envelope color and thermal mass on indoor temperatures in hot humid climate. </w:t>
          </w:r>
          <w:r>
            <w:rPr>
              <w:i/>
              <w:iCs/>
              <w:color w:val="1F1F1F"/>
              <w:bdr w:val="none" w:sz="0" w:space="0" w:color="auto" w:frame="1"/>
            </w:rPr>
            <w:t>Solar Energy</w:t>
          </w:r>
          <w:r>
            <w:rPr>
              <w:color w:val="1F1F1F"/>
            </w:rPr>
            <w:t xml:space="preserve">, </w:t>
          </w:r>
          <w:r>
            <w:rPr>
              <w:i/>
              <w:iCs/>
              <w:color w:val="1F1F1F"/>
              <w:bdr w:val="none" w:sz="0" w:space="0" w:color="auto" w:frame="1"/>
            </w:rPr>
            <w:t>86</w:t>
          </w:r>
          <w:r>
            <w:rPr>
              <w:color w:val="1F1F1F"/>
            </w:rPr>
            <w:t xml:space="preserve">(5), 1335–1348. </w:t>
          </w:r>
          <w:hyperlink r:id="rId29" w:history="1">
            <w:r w:rsidR="00D5287F" w:rsidRPr="00885649">
              <w:rPr>
                <w:rStyle w:val="Hyperlink"/>
              </w:rPr>
              <w:t>https://doi.org/10.1016/j.solener.2004.05.005</w:t>
            </w:r>
          </w:hyperlink>
          <w:r w:rsidR="00D5287F">
            <w:t xml:space="preserve"> </w:t>
          </w:r>
        </w:p>
        <w:p w14:paraId="0B6D935F" w14:textId="77777777" w:rsidR="00522D70" w:rsidRDefault="00522D70" w:rsidP="00522D70">
          <w:pPr>
            <w:pStyle w:val="NormalWeb"/>
            <w:spacing w:after="0" w:afterAutospacing="0"/>
            <w:ind w:hanging="720"/>
            <w:rPr>
              <w:color w:val="1F1F1F"/>
            </w:rPr>
          </w:pPr>
          <w:proofErr w:type="spellStart"/>
          <w:r>
            <w:rPr>
              <w:color w:val="1F1F1F"/>
            </w:rPr>
            <w:t>Chidiac</w:t>
          </w:r>
          <w:proofErr w:type="spellEnd"/>
          <w:r>
            <w:rPr>
              <w:color w:val="1F1F1F"/>
            </w:rPr>
            <w:t xml:space="preserve">, S. E., Catania, E. J. C., </w:t>
          </w:r>
          <w:proofErr w:type="spellStart"/>
          <w:r>
            <w:rPr>
              <w:color w:val="1F1F1F"/>
            </w:rPr>
            <w:t>Morofsky</w:t>
          </w:r>
          <w:proofErr w:type="spellEnd"/>
          <w:r>
            <w:rPr>
              <w:color w:val="1F1F1F"/>
            </w:rPr>
            <w:t xml:space="preserve">, E., &amp; Foo, S. (2011). A screening methodology for implementing cost effective energy retrofit measures in Canadian office buildings. </w:t>
          </w:r>
          <w:r>
            <w:rPr>
              <w:i/>
              <w:iCs/>
              <w:color w:val="1F1F1F"/>
              <w:bdr w:val="none" w:sz="0" w:space="0" w:color="auto" w:frame="1"/>
            </w:rPr>
            <w:t>Energy and Buildings</w:t>
          </w:r>
          <w:r>
            <w:rPr>
              <w:color w:val="1F1F1F"/>
            </w:rPr>
            <w:t xml:space="preserve">, </w:t>
          </w:r>
          <w:r>
            <w:rPr>
              <w:i/>
              <w:iCs/>
              <w:color w:val="1F1F1F"/>
              <w:bdr w:val="none" w:sz="0" w:space="0" w:color="auto" w:frame="1"/>
            </w:rPr>
            <w:t>43</w:t>
          </w:r>
          <w:r>
            <w:rPr>
              <w:color w:val="1F1F1F"/>
            </w:rPr>
            <w:t xml:space="preserve">(2–3), 614–620. </w:t>
          </w:r>
          <w:hyperlink r:id="rId30" w:tgtFrame="_blank" w:history="1">
            <w:r>
              <w:rPr>
                <w:rStyle w:val="Hyperlink"/>
                <w:color w:val="0B57D0"/>
                <w:bdr w:val="none" w:sz="0" w:space="0" w:color="auto" w:frame="1"/>
              </w:rPr>
              <w:t>https://doi.org/10.1016/j.enbuild.2010.11.002</w:t>
            </w:r>
          </w:hyperlink>
        </w:p>
        <w:p w14:paraId="05BB6B72" w14:textId="77777777" w:rsidR="00522D70" w:rsidRDefault="00522D70" w:rsidP="00522D70">
          <w:pPr>
            <w:pStyle w:val="NormalWeb"/>
            <w:spacing w:after="0" w:afterAutospacing="0"/>
            <w:ind w:hanging="720"/>
            <w:rPr>
              <w:color w:val="1F1F1F"/>
            </w:rPr>
          </w:pPr>
          <w:proofErr w:type="spellStart"/>
          <w:r>
            <w:rPr>
              <w:color w:val="1F1F1F"/>
            </w:rPr>
            <w:lastRenderedPageBreak/>
            <w:t>Colinart</w:t>
          </w:r>
          <w:proofErr w:type="spellEnd"/>
          <w:r>
            <w:rPr>
              <w:color w:val="1F1F1F"/>
            </w:rPr>
            <w:t xml:space="preserve">, T., </w:t>
          </w:r>
          <w:proofErr w:type="spellStart"/>
          <w:r>
            <w:rPr>
              <w:color w:val="1F1F1F"/>
            </w:rPr>
            <w:t>Glouannec</w:t>
          </w:r>
          <w:proofErr w:type="spellEnd"/>
          <w:r>
            <w:rPr>
              <w:color w:val="1F1F1F"/>
            </w:rPr>
            <w:t xml:space="preserve">, P., Pierre, T., </w:t>
          </w:r>
          <w:proofErr w:type="spellStart"/>
          <w:r>
            <w:rPr>
              <w:color w:val="1F1F1F"/>
            </w:rPr>
            <w:t>Chauvelon</w:t>
          </w:r>
          <w:proofErr w:type="spellEnd"/>
          <w:r>
            <w:rPr>
              <w:color w:val="1F1F1F"/>
            </w:rPr>
            <w:t xml:space="preserve">, P., &amp; </w:t>
          </w:r>
          <w:proofErr w:type="spellStart"/>
          <w:r>
            <w:rPr>
              <w:color w:val="1F1F1F"/>
            </w:rPr>
            <w:t>Magueresse</w:t>
          </w:r>
          <w:proofErr w:type="spellEnd"/>
          <w:r>
            <w:rPr>
              <w:color w:val="1F1F1F"/>
            </w:rPr>
            <w:t xml:space="preserve">, A. (2013). Experimental study on the </w:t>
          </w:r>
          <w:proofErr w:type="spellStart"/>
          <w:r>
            <w:rPr>
              <w:color w:val="1F1F1F"/>
            </w:rPr>
            <w:t>hygrothermal</w:t>
          </w:r>
          <w:proofErr w:type="spellEnd"/>
          <w:r>
            <w:rPr>
              <w:color w:val="1F1F1F"/>
            </w:rPr>
            <w:t xml:space="preserve"> behavior of a coated sprayed hemp concrete wall. </w:t>
          </w:r>
          <w:r>
            <w:rPr>
              <w:i/>
              <w:iCs/>
              <w:color w:val="1F1F1F"/>
              <w:bdr w:val="none" w:sz="0" w:space="0" w:color="auto" w:frame="1"/>
            </w:rPr>
            <w:t>Buildings</w:t>
          </w:r>
          <w:r>
            <w:rPr>
              <w:color w:val="1F1F1F"/>
            </w:rPr>
            <w:t xml:space="preserve">, </w:t>
          </w:r>
          <w:r>
            <w:rPr>
              <w:i/>
              <w:iCs/>
              <w:color w:val="1F1F1F"/>
              <w:bdr w:val="none" w:sz="0" w:space="0" w:color="auto" w:frame="1"/>
            </w:rPr>
            <w:t>3</w:t>
          </w:r>
          <w:r>
            <w:rPr>
              <w:color w:val="1F1F1F"/>
            </w:rPr>
            <w:t xml:space="preserve">(1), 79–99. </w:t>
          </w:r>
          <w:hyperlink r:id="rId31" w:tgtFrame="_blank" w:history="1">
            <w:r>
              <w:rPr>
                <w:rStyle w:val="Hyperlink"/>
                <w:color w:val="0B57D0"/>
                <w:bdr w:val="none" w:sz="0" w:space="0" w:color="auto" w:frame="1"/>
              </w:rPr>
              <w:t>https://doi.org/10.3390/buildings3010079</w:t>
            </w:r>
          </w:hyperlink>
        </w:p>
        <w:p w14:paraId="0215B648" w14:textId="77777777" w:rsidR="00522D70" w:rsidRDefault="00522D70" w:rsidP="00522D70">
          <w:pPr>
            <w:pStyle w:val="NormalWeb"/>
            <w:spacing w:after="0" w:afterAutospacing="0"/>
            <w:ind w:hanging="720"/>
            <w:rPr>
              <w:color w:val="1F1F1F"/>
            </w:rPr>
          </w:pPr>
          <w:r>
            <w:rPr>
              <w:color w:val="1F1F1F"/>
            </w:rPr>
            <w:t xml:space="preserve">Collet, F., &amp; </w:t>
          </w:r>
          <w:proofErr w:type="spellStart"/>
          <w:r>
            <w:rPr>
              <w:color w:val="1F1F1F"/>
            </w:rPr>
            <w:t>Pretot</w:t>
          </w:r>
          <w:proofErr w:type="spellEnd"/>
          <w:r>
            <w:rPr>
              <w:color w:val="1F1F1F"/>
            </w:rPr>
            <w:t xml:space="preserve">, S. (2012). Experimental investigation of moisture buffering capacity of sprayed hemp concrete. </w:t>
          </w:r>
          <w:r>
            <w:rPr>
              <w:i/>
              <w:iCs/>
              <w:color w:val="1F1F1F"/>
              <w:bdr w:val="none" w:sz="0" w:space="0" w:color="auto" w:frame="1"/>
            </w:rPr>
            <w:t>Construction and Building Materials</w:t>
          </w:r>
          <w:r>
            <w:rPr>
              <w:color w:val="1F1F1F"/>
            </w:rPr>
            <w:t xml:space="preserve">, </w:t>
          </w:r>
          <w:r>
            <w:rPr>
              <w:i/>
              <w:iCs/>
              <w:color w:val="1F1F1F"/>
              <w:bdr w:val="none" w:sz="0" w:space="0" w:color="auto" w:frame="1"/>
            </w:rPr>
            <w:t>36</w:t>
          </w:r>
          <w:r>
            <w:rPr>
              <w:color w:val="1F1F1F"/>
            </w:rPr>
            <w:t xml:space="preserve">, 58–65. </w:t>
          </w:r>
          <w:hyperlink r:id="rId32" w:tgtFrame="_blank" w:history="1">
            <w:r>
              <w:rPr>
                <w:rStyle w:val="Hyperlink"/>
                <w:color w:val="0B57D0"/>
                <w:bdr w:val="none" w:sz="0" w:space="0" w:color="auto" w:frame="1"/>
              </w:rPr>
              <w:t>https://doi.org/10.1016/j.conbuildmat.2012.04.139</w:t>
            </w:r>
          </w:hyperlink>
        </w:p>
        <w:p w14:paraId="15FE8EAC" w14:textId="77777777" w:rsidR="00522D70" w:rsidRDefault="00522D70" w:rsidP="00522D70">
          <w:pPr>
            <w:pStyle w:val="NormalWeb"/>
            <w:spacing w:after="0" w:afterAutospacing="0"/>
            <w:ind w:hanging="720"/>
            <w:rPr>
              <w:color w:val="1F1F1F"/>
            </w:rPr>
          </w:pPr>
          <w:r>
            <w:rPr>
              <w:color w:val="1F1F1F"/>
            </w:rPr>
            <w:t xml:space="preserve">Crawley, D. B., Lawrie, L. K., Winkelmann, F. C., &amp; Buhl, W. F. (2001). </w:t>
          </w:r>
          <w:proofErr w:type="spellStart"/>
          <w:r>
            <w:rPr>
              <w:color w:val="1F1F1F"/>
            </w:rPr>
            <w:t>EnergyPlus</w:t>
          </w:r>
          <w:proofErr w:type="spellEnd"/>
          <w:r>
            <w:rPr>
              <w:color w:val="1F1F1F"/>
            </w:rPr>
            <w:t xml:space="preserve">: Creating a new-generation building energy simulation program. </w:t>
          </w:r>
          <w:r>
            <w:rPr>
              <w:i/>
              <w:iCs/>
              <w:color w:val="1F1F1F"/>
              <w:bdr w:val="none" w:sz="0" w:space="0" w:color="auto" w:frame="1"/>
            </w:rPr>
            <w:t>Energy and Buildings</w:t>
          </w:r>
          <w:r>
            <w:rPr>
              <w:color w:val="1F1F1F"/>
            </w:rPr>
            <w:t xml:space="preserve">, </w:t>
          </w:r>
          <w:r>
            <w:rPr>
              <w:i/>
              <w:iCs/>
              <w:color w:val="1F1F1F"/>
              <w:bdr w:val="none" w:sz="0" w:space="0" w:color="auto" w:frame="1"/>
            </w:rPr>
            <w:t>33</w:t>
          </w:r>
          <w:r>
            <w:rPr>
              <w:color w:val="1F1F1F"/>
            </w:rPr>
            <w:t xml:space="preserve">(4), 319–331. </w:t>
          </w:r>
          <w:hyperlink r:id="rId33" w:tgtFrame="_blank" w:history="1">
            <w:r>
              <w:rPr>
                <w:rStyle w:val="Hyperlink"/>
                <w:color w:val="0B57D0"/>
                <w:bdr w:val="none" w:sz="0" w:space="0" w:color="auto" w:frame="1"/>
              </w:rPr>
              <w:t>https://doi.org/10.1016/S0378-7788(00)00114-6</w:t>
            </w:r>
          </w:hyperlink>
        </w:p>
        <w:p w14:paraId="61B41DE6" w14:textId="77777777" w:rsidR="00522D70" w:rsidRDefault="00522D70" w:rsidP="00522D70">
          <w:pPr>
            <w:pStyle w:val="NormalWeb"/>
            <w:spacing w:after="0" w:afterAutospacing="0"/>
            <w:ind w:hanging="720"/>
            <w:rPr>
              <w:color w:val="1F1F1F"/>
            </w:rPr>
          </w:pPr>
          <w:proofErr w:type="spellStart"/>
          <w:r>
            <w:rPr>
              <w:color w:val="1F1F1F"/>
            </w:rPr>
            <w:t>Dalewski</w:t>
          </w:r>
          <w:proofErr w:type="spellEnd"/>
          <w:r>
            <w:rPr>
              <w:color w:val="1F1F1F"/>
            </w:rPr>
            <w:t xml:space="preserve">, M., </w:t>
          </w:r>
          <w:proofErr w:type="spellStart"/>
          <w:r>
            <w:rPr>
              <w:color w:val="1F1F1F"/>
            </w:rPr>
            <w:t>Melikov</w:t>
          </w:r>
          <w:proofErr w:type="spellEnd"/>
          <w:r>
            <w:rPr>
              <w:color w:val="1F1F1F"/>
            </w:rPr>
            <w:t xml:space="preserve">, A. K., &amp; </w:t>
          </w:r>
          <w:proofErr w:type="spellStart"/>
          <w:r>
            <w:rPr>
              <w:color w:val="1F1F1F"/>
            </w:rPr>
            <w:t>Vesely</w:t>
          </w:r>
          <w:proofErr w:type="spellEnd"/>
          <w:r>
            <w:rPr>
              <w:color w:val="1F1F1F"/>
            </w:rPr>
            <w:t xml:space="preserve">, M. (2014). Performance of ductless personalized ventilation in conjunction with displacement ventilation: Physical environment and human response. </w:t>
          </w:r>
          <w:r>
            <w:rPr>
              <w:i/>
              <w:iCs/>
              <w:color w:val="1F1F1F"/>
              <w:bdr w:val="none" w:sz="0" w:space="0" w:color="auto" w:frame="1"/>
            </w:rPr>
            <w:t>Building and Environment</w:t>
          </w:r>
          <w:r>
            <w:rPr>
              <w:color w:val="1F1F1F"/>
            </w:rPr>
            <w:t xml:space="preserve">, </w:t>
          </w:r>
          <w:r>
            <w:rPr>
              <w:i/>
              <w:iCs/>
              <w:color w:val="1F1F1F"/>
              <w:bdr w:val="none" w:sz="0" w:space="0" w:color="auto" w:frame="1"/>
            </w:rPr>
            <w:t>81</w:t>
          </w:r>
          <w:r>
            <w:rPr>
              <w:color w:val="1F1F1F"/>
            </w:rPr>
            <w:t xml:space="preserve">, 354–364. </w:t>
          </w:r>
          <w:hyperlink r:id="rId34" w:tgtFrame="_blank" w:history="1">
            <w:r>
              <w:rPr>
                <w:rStyle w:val="Hyperlink"/>
                <w:color w:val="0B57D0"/>
                <w:bdr w:val="none" w:sz="0" w:space="0" w:color="auto" w:frame="1"/>
              </w:rPr>
              <w:t>https://doi.org/10.1016/j.buildenv.2014.07.011</w:t>
            </w:r>
          </w:hyperlink>
        </w:p>
        <w:p w14:paraId="55EBE0FD" w14:textId="77777777" w:rsidR="00522D70" w:rsidRDefault="00522D70" w:rsidP="00522D70">
          <w:pPr>
            <w:pStyle w:val="NormalWeb"/>
            <w:spacing w:after="0" w:afterAutospacing="0"/>
            <w:ind w:hanging="720"/>
            <w:rPr>
              <w:color w:val="1F1F1F"/>
            </w:rPr>
          </w:pPr>
          <w:r>
            <w:rPr>
              <w:color w:val="1F1F1F"/>
            </w:rPr>
            <w:t xml:space="preserve">de </w:t>
          </w:r>
          <w:proofErr w:type="spellStart"/>
          <w:r>
            <w:rPr>
              <w:color w:val="1F1F1F"/>
            </w:rPr>
            <w:t>Gracia</w:t>
          </w:r>
          <w:proofErr w:type="spellEnd"/>
          <w:r>
            <w:rPr>
              <w:color w:val="1F1F1F"/>
            </w:rPr>
            <w:t xml:space="preserve">, A., &amp; Cabeza, L. F. (2015). Phase change materials and thermal energy storage for buildings. </w:t>
          </w:r>
          <w:r>
            <w:rPr>
              <w:i/>
              <w:iCs/>
              <w:color w:val="1F1F1F"/>
              <w:bdr w:val="none" w:sz="0" w:space="0" w:color="auto" w:frame="1"/>
            </w:rPr>
            <w:t>Energy and Buildings</w:t>
          </w:r>
          <w:r>
            <w:rPr>
              <w:color w:val="1F1F1F"/>
            </w:rPr>
            <w:t xml:space="preserve">, </w:t>
          </w:r>
          <w:r>
            <w:rPr>
              <w:i/>
              <w:iCs/>
              <w:color w:val="1F1F1F"/>
              <w:bdr w:val="none" w:sz="0" w:space="0" w:color="auto" w:frame="1"/>
            </w:rPr>
            <w:t>103</w:t>
          </w:r>
          <w:r>
            <w:rPr>
              <w:color w:val="1F1F1F"/>
            </w:rPr>
            <w:t xml:space="preserve">, 414–419. </w:t>
          </w:r>
          <w:hyperlink r:id="rId35" w:tgtFrame="_blank" w:history="1">
            <w:r>
              <w:rPr>
                <w:rStyle w:val="Hyperlink"/>
                <w:color w:val="0B57D0"/>
                <w:bdr w:val="none" w:sz="0" w:space="0" w:color="auto" w:frame="1"/>
              </w:rPr>
              <w:t>https://doi.org/10.1016/j.enbuild.2015.06.007</w:t>
            </w:r>
          </w:hyperlink>
        </w:p>
        <w:p w14:paraId="55231AFB" w14:textId="77777777" w:rsidR="00522D70" w:rsidRDefault="00522D70" w:rsidP="00522D70">
          <w:pPr>
            <w:pStyle w:val="NormalWeb"/>
            <w:spacing w:after="0" w:afterAutospacing="0"/>
            <w:ind w:hanging="720"/>
            <w:rPr>
              <w:color w:val="1F1F1F"/>
            </w:rPr>
          </w:pPr>
          <w:proofErr w:type="spellStart"/>
          <w:r>
            <w:rPr>
              <w:color w:val="1F1F1F"/>
            </w:rPr>
            <w:t>Djongyang</w:t>
          </w:r>
          <w:proofErr w:type="spellEnd"/>
          <w:r>
            <w:rPr>
              <w:color w:val="1F1F1F"/>
            </w:rPr>
            <w:t xml:space="preserve">, N., </w:t>
          </w:r>
          <w:proofErr w:type="spellStart"/>
          <w:r>
            <w:rPr>
              <w:color w:val="1F1F1F"/>
            </w:rPr>
            <w:t>Tchinda</w:t>
          </w:r>
          <w:proofErr w:type="spellEnd"/>
          <w:r>
            <w:rPr>
              <w:color w:val="1F1F1F"/>
            </w:rPr>
            <w:t xml:space="preserve">, R., &amp; </w:t>
          </w:r>
          <w:proofErr w:type="spellStart"/>
          <w:r>
            <w:rPr>
              <w:color w:val="1F1F1F"/>
            </w:rPr>
            <w:t>Njomo</w:t>
          </w:r>
          <w:proofErr w:type="spellEnd"/>
          <w:r>
            <w:rPr>
              <w:color w:val="1F1F1F"/>
            </w:rPr>
            <w:t xml:space="preserve">, D. (2010). Thermal comfort: A review paper. </w:t>
          </w:r>
          <w:r>
            <w:rPr>
              <w:i/>
              <w:iCs/>
              <w:color w:val="1F1F1F"/>
              <w:bdr w:val="none" w:sz="0" w:space="0" w:color="auto" w:frame="1"/>
            </w:rPr>
            <w:t>Renewable and Sustainable Energy Reviews</w:t>
          </w:r>
          <w:r>
            <w:rPr>
              <w:color w:val="1F1F1F"/>
            </w:rPr>
            <w:t xml:space="preserve">, </w:t>
          </w:r>
          <w:r>
            <w:rPr>
              <w:i/>
              <w:iCs/>
              <w:color w:val="1F1F1F"/>
              <w:bdr w:val="none" w:sz="0" w:space="0" w:color="auto" w:frame="1"/>
            </w:rPr>
            <w:t>14</w:t>
          </w:r>
          <w:r>
            <w:rPr>
              <w:color w:val="1F1F1F"/>
            </w:rPr>
            <w:t xml:space="preserve">(9), 2626–2640. </w:t>
          </w:r>
          <w:hyperlink r:id="rId36" w:tgtFrame="_blank" w:history="1">
            <w:r>
              <w:rPr>
                <w:rStyle w:val="Hyperlink"/>
                <w:color w:val="0B57D0"/>
                <w:bdr w:val="none" w:sz="0" w:space="0" w:color="auto" w:frame="1"/>
              </w:rPr>
              <w:t>https://doi.org/10.1016/j.rser.2010.07.034</w:t>
            </w:r>
          </w:hyperlink>
        </w:p>
        <w:p w14:paraId="3ECEFD8E" w14:textId="77777777" w:rsidR="00522D70" w:rsidRDefault="00522D70" w:rsidP="00522D70">
          <w:pPr>
            <w:pStyle w:val="NormalWeb"/>
            <w:spacing w:after="0" w:afterAutospacing="0"/>
            <w:ind w:hanging="720"/>
            <w:rPr>
              <w:color w:val="1F1F1F"/>
            </w:rPr>
          </w:pPr>
          <w:proofErr w:type="spellStart"/>
          <w:r>
            <w:rPr>
              <w:color w:val="1F1F1F"/>
            </w:rPr>
            <w:t>Fiala</w:t>
          </w:r>
          <w:proofErr w:type="spellEnd"/>
          <w:r>
            <w:rPr>
              <w:color w:val="1F1F1F"/>
            </w:rPr>
            <w:t xml:space="preserve">, D., </w:t>
          </w:r>
          <w:proofErr w:type="spellStart"/>
          <w:r>
            <w:rPr>
              <w:color w:val="1F1F1F"/>
            </w:rPr>
            <w:t>Havenith</w:t>
          </w:r>
          <w:proofErr w:type="spellEnd"/>
          <w:r>
            <w:rPr>
              <w:color w:val="1F1F1F"/>
            </w:rPr>
            <w:t xml:space="preserve">, G., </w:t>
          </w:r>
          <w:proofErr w:type="spellStart"/>
          <w:r>
            <w:rPr>
              <w:color w:val="1F1F1F"/>
            </w:rPr>
            <w:t>Bröde</w:t>
          </w:r>
          <w:proofErr w:type="spellEnd"/>
          <w:r>
            <w:rPr>
              <w:color w:val="1F1F1F"/>
            </w:rPr>
            <w:t xml:space="preserve">, P., </w:t>
          </w:r>
          <w:proofErr w:type="spellStart"/>
          <w:r>
            <w:rPr>
              <w:color w:val="1F1F1F"/>
            </w:rPr>
            <w:t>Kampmann</w:t>
          </w:r>
          <w:proofErr w:type="spellEnd"/>
          <w:r>
            <w:rPr>
              <w:color w:val="1F1F1F"/>
            </w:rPr>
            <w:t xml:space="preserve">, B., &amp; </w:t>
          </w:r>
          <w:proofErr w:type="spellStart"/>
          <w:r>
            <w:rPr>
              <w:color w:val="1F1F1F"/>
            </w:rPr>
            <w:t>Jendritzky</w:t>
          </w:r>
          <w:proofErr w:type="spellEnd"/>
          <w:r>
            <w:rPr>
              <w:color w:val="1F1F1F"/>
            </w:rPr>
            <w:t>, G. (2012). UTCI-</w:t>
          </w:r>
          <w:proofErr w:type="spellStart"/>
          <w:r>
            <w:rPr>
              <w:color w:val="1F1F1F"/>
            </w:rPr>
            <w:t>Fiala</w:t>
          </w:r>
          <w:proofErr w:type="spellEnd"/>
          <w:r>
            <w:rPr>
              <w:color w:val="1F1F1F"/>
            </w:rPr>
            <w:t xml:space="preserve"> multi-node model of human heat transfer and temperature regulation. </w:t>
          </w:r>
          <w:r>
            <w:rPr>
              <w:i/>
              <w:iCs/>
              <w:color w:val="1F1F1F"/>
              <w:bdr w:val="none" w:sz="0" w:space="0" w:color="auto" w:frame="1"/>
            </w:rPr>
            <w:t>International Journal of Biometeorology</w:t>
          </w:r>
          <w:r>
            <w:rPr>
              <w:color w:val="1F1F1F"/>
            </w:rPr>
            <w:t xml:space="preserve">, </w:t>
          </w:r>
          <w:r>
            <w:rPr>
              <w:i/>
              <w:iCs/>
              <w:color w:val="1F1F1F"/>
              <w:bdr w:val="none" w:sz="0" w:space="0" w:color="auto" w:frame="1"/>
            </w:rPr>
            <w:t>56</w:t>
          </w:r>
          <w:r>
            <w:rPr>
              <w:color w:val="1F1F1F"/>
            </w:rPr>
            <w:t xml:space="preserve">(3), 429–441. </w:t>
          </w:r>
          <w:hyperlink r:id="rId37" w:tgtFrame="_blank" w:history="1">
            <w:r>
              <w:rPr>
                <w:rStyle w:val="Hyperlink"/>
                <w:color w:val="0B57D0"/>
                <w:bdr w:val="none" w:sz="0" w:space="0" w:color="auto" w:frame="1"/>
              </w:rPr>
              <w:t>https://doi.org/10.1007/s00484-011-0424-7</w:t>
            </w:r>
          </w:hyperlink>
        </w:p>
        <w:p w14:paraId="25E1F96B" w14:textId="77777777" w:rsidR="00522D70" w:rsidRDefault="00522D70" w:rsidP="00522D70">
          <w:pPr>
            <w:pStyle w:val="NormalWeb"/>
            <w:spacing w:after="0" w:afterAutospacing="0"/>
            <w:ind w:hanging="720"/>
            <w:rPr>
              <w:color w:val="1F1F1F"/>
            </w:rPr>
          </w:pPr>
          <w:proofErr w:type="spellStart"/>
          <w:r>
            <w:rPr>
              <w:color w:val="1F1F1F"/>
            </w:rPr>
            <w:t>Flouris</w:t>
          </w:r>
          <w:proofErr w:type="spellEnd"/>
          <w:r>
            <w:rPr>
              <w:color w:val="1F1F1F"/>
            </w:rPr>
            <w:t xml:space="preserve">, A. D. (2011). Functional architecture of theoretical models for human thermoregulation. </w:t>
          </w:r>
          <w:r>
            <w:rPr>
              <w:i/>
              <w:iCs/>
              <w:color w:val="1F1F1F"/>
              <w:bdr w:val="none" w:sz="0" w:space="0" w:color="auto" w:frame="1"/>
            </w:rPr>
            <w:t>Frontiers in Bioscience (Elite Edition)</w:t>
          </w:r>
          <w:r>
            <w:rPr>
              <w:color w:val="1F1F1F"/>
            </w:rPr>
            <w:t xml:space="preserve">, </w:t>
          </w:r>
          <w:r>
            <w:rPr>
              <w:i/>
              <w:iCs/>
              <w:color w:val="1F1F1F"/>
              <w:bdr w:val="none" w:sz="0" w:space="0" w:color="auto" w:frame="1"/>
            </w:rPr>
            <w:t>3</w:t>
          </w:r>
          <w:r>
            <w:rPr>
              <w:color w:val="1F1F1F"/>
            </w:rPr>
            <w:t xml:space="preserve">(2), 599–609. </w:t>
          </w:r>
          <w:hyperlink r:id="rId38" w:tgtFrame="_blank" w:history="1">
            <w:r>
              <w:rPr>
                <w:rStyle w:val="Hyperlink"/>
                <w:color w:val="0B57D0"/>
                <w:bdr w:val="none" w:sz="0" w:space="0" w:color="auto" w:frame="1"/>
              </w:rPr>
              <w:t>https://doi.org/10.2741/e273</w:t>
            </w:r>
          </w:hyperlink>
        </w:p>
        <w:p w14:paraId="692A46A0" w14:textId="77777777" w:rsidR="00522D70" w:rsidRDefault="00522D70" w:rsidP="00522D70">
          <w:pPr>
            <w:pStyle w:val="NormalWeb"/>
            <w:spacing w:after="0" w:afterAutospacing="0"/>
            <w:ind w:hanging="720"/>
            <w:rPr>
              <w:color w:val="1F1F1F"/>
            </w:rPr>
          </w:pPr>
          <w:proofErr w:type="spellStart"/>
          <w:r>
            <w:rPr>
              <w:color w:val="1F1F1F"/>
            </w:rPr>
            <w:t>Gołębiewski</w:t>
          </w:r>
          <w:proofErr w:type="spellEnd"/>
          <w:r>
            <w:rPr>
              <w:color w:val="1F1F1F"/>
            </w:rPr>
            <w:t xml:space="preserve">, M., </w:t>
          </w:r>
          <w:proofErr w:type="spellStart"/>
          <w:r>
            <w:rPr>
              <w:color w:val="1F1F1F"/>
            </w:rPr>
            <w:t>Pietruszka</w:t>
          </w:r>
          <w:proofErr w:type="spellEnd"/>
          <w:r>
            <w:rPr>
              <w:color w:val="1F1F1F"/>
            </w:rPr>
            <w:t xml:space="preserve">, B., </w:t>
          </w:r>
          <w:proofErr w:type="spellStart"/>
          <w:r>
            <w:rPr>
              <w:color w:val="1F1F1F"/>
            </w:rPr>
            <w:t>Piątkiewicz</w:t>
          </w:r>
          <w:proofErr w:type="spellEnd"/>
          <w:r>
            <w:rPr>
              <w:color w:val="1F1F1F"/>
            </w:rPr>
            <w:t xml:space="preserve">, W., </w:t>
          </w:r>
          <w:proofErr w:type="spellStart"/>
          <w:r>
            <w:rPr>
              <w:color w:val="1F1F1F"/>
            </w:rPr>
            <w:t>Kubiś</w:t>
          </w:r>
          <w:proofErr w:type="spellEnd"/>
          <w:r>
            <w:rPr>
              <w:color w:val="1F1F1F"/>
            </w:rPr>
            <w:t xml:space="preserve">, M., &amp; </w:t>
          </w:r>
          <w:proofErr w:type="spellStart"/>
          <w:r>
            <w:rPr>
              <w:color w:val="1F1F1F"/>
            </w:rPr>
            <w:t>Oleksiienko</w:t>
          </w:r>
          <w:proofErr w:type="spellEnd"/>
          <w:r>
            <w:rPr>
              <w:color w:val="1F1F1F"/>
            </w:rPr>
            <w:t>, O. (2025). Compressive strength, thermal conductivity, vapor permeability and specific heat of hemp</w:t>
          </w:r>
          <w:r>
            <w:rPr>
              <w:color w:val="1F1F1F"/>
            </w:rPr>
            <w:noBreakHyphen/>
            <w:t xml:space="preserve">lime composites varying in density for wall, roof and floor applications. </w:t>
          </w:r>
          <w:r>
            <w:rPr>
              <w:i/>
              <w:iCs/>
              <w:color w:val="1F1F1F"/>
              <w:bdr w:val="none" w:sz="0" w:space="0" w:color="auto" w:frame="1"/>
            </w:rPr>
            <w:t>Materials</w:t>
          </w:r>
          <w:r>
            <w:rPr>
              <w:color w:val="1F1F1F"/>
            </w:rPr>
            <w:t xml:space="preserve">, </w:t>
          </w:r>
          <w:r>
            <w:rPr>
              <w:i/>
              <w:iCs/>
              <w:color w:val="1F1F1F"/>
              <w:bdr w:val="none" w:sz="0" w:space="0" w:color="auto" w:frame="1"/>
            </w:rPr>
            <w:t>18</w:t>
          </w:r>
          <w:r>
            <w:rPr>
              <w:color w:val="1F1F1F"/>
            </w:rPr>
            <w:t xml:space="preserve">(21), 4958. </w:t>
          </w:r>
          <w:hyperlink r:id="rId39" w:tgtFrame="_blank" w:history="1">
            <w:r>
              <w:rPr>
                <w:rStyle w:val="Hyperlink"/>
                <w:color w:val="0B57D0"/>
                <w:bdr w:val="none" w:sz="0" w:space="0" w:color="auto" w:frame="1"/>
              </w:rPr>
              <w:t>https://doi.org/10.3390/ma18214958</w:t>
            </w:r>
          </w:hyperlink>
        </w:p>
        <w:p w14:paraId="15E45047" w14:textId="77777777" w:rsidR="00522D70" w:rsidRDefault="00522D70" w:rsidP="00522D70">
          <w:pPr>
            <w:pStyle w:val="NormalWeb"/>
            <w:spacing w:after="0" w:afterAutospacing="0"/>
            <w:ind w:hanging="720"/>
            <w:rPr>
              <w:color w:val="1F1F1F"/>
            </w:rPr>
          </w:pPr>
          <w:r>
            <w:rPr>
              <w:color w:val="1F1F1F"/>
            </w:rPr>
            <w:t xml:space="preserve">Gruber, P., &amp; </w:t>
          </w:r>
          <w:proofErr w:type="spellStart"/>
          <w:r>
            <w:rPr>
              <w:color w:val="1F1F1F"/>
            </w:rPr>
            <w:t>Imhof</w:t>
          </w:r>
          <w:proofErr w:type="spellEnd"/>
          <w:r>
            <w:rPr>
              <w:color w:val="1F1F1F"/>
            </w:rPr>
            <w:t xml:space="preserve">, B. (2017). Patterns of growth—Biomimetics and architectural design. </w:t>
          </w:r>
          <w:r>
            <w:rPr>
              <w:i/>
              <w:iCs/>
              <w:color w:val="1F1F1F"/>
              <w:bdr w:val="none" w:sz="0" w:space="0" w:color="auto" w:frame="1"/>
            </w:rPr>
            <w:t>Buildings</w:t>
          </w:r>
          <w:r>
            <w:rPr>
              <w:color w:val="1F1F1F"/>
            </w:rPr>
            <w:t xml:space="preserve">, </w:t>
          </w:r>
          <w:r>
            <w:rPr>
              <w:i/>
              <w:iCs/>
              <w:color w:val="1F1F1F"/>
              <w:bdr w:val="none" w:sz="0" w:space="0" w:color="auto" w:frame="1"/>
            </w:rPr>
            <w:t>7</w:t>
          </w:r>
          <w:r>
            <w:rPr>
              <w:color w:val="1F1F1F"/>
            </w:rPr>
            <w:t xml:space="preserve">(2), 32. </w:t>
          </w:r>
          <w:hyperlink r:id="rId40" w:tgtFrame="_blank" w:history="1">
            <w:r>
              <w:rPr>
                <w:rStyle w:val="Hyperlink"/>
                <w:color w:val="0B57D0"/>
                <w:bdr w:val="none" w:sz="0" w:space="0" w:color="auto" w:frame="1"/>
              </w:rPr>
              <w:t>https://doi.org/10.3390/buildings7020032</w:t>
            </w:r>
          </w:hyperlink>
        </w:p>
        <w:p w14:paraId="72E879B3" w14:textId="77777777" w:rsidR="00522D70" w:rsidRDefault="00522D70" w:rsidP="00522D70">
          <w:pPr>
            <w:pStyle w:val="NormalWeb"/>
            <w:spacing w:after="0" w:afterAutospacing="0"/>
            <w:ind w:hanging="720"/>
            <w:rPr>
              <w:color w:val="1F1F1F"/>
            </w:rPr>
          </w:pPr>
          <w:proofErr w:type="spellStart"/>
          <w:r>
            <w:rPr>
              <w:color w:val="1F1F1F"/>
            </w:rPr>
            <w:t>Havenith</w:t>
          </w:r>
          <w:proofErr w:type="spellEnd"/>
          <w:r>
            <w:rPr>
              <w:color w:val="1F1F1F"/>
            </w:rPr>
            <w:t xml:space="preserve">, G., &amp; </w:t>
          </w:r>
          <w:proofErr w:type="spellStart"/>
          <w:r>
            <w:rPr>
              <w:color w:val="1F1F1F"/>
            </w:rPr>
            <w:t>Fiala</w:t>
          </w:r>
          <w:proofErr w:type="spellEnd"/>
          <w:r>
            <w:rPr>
              <w:color w:val="1F1F1F"/>
            </w:rPr>
            <w:t xml:space="preserve">, D. (2016). Thermal indices and human comfort. </w:t>
          </w:r>
          <w:r>
            <w:rPr>
              <w:i/>
              <w:iCs/>
              <w:color w:val="1F1F1F"/>
              <w:bdr w:val="none" w:sz="0" w:space="0" w:color="auto" w:frame="1"/>
            </w:rPr>
            <w:t>Comprehensive Physiology</w:t>
          </w:r>
          <w:r>
            <w:rPr>
              <w:color w:val="1F1F1F"/>
            </w:rPr>
            <w:t xml:space="preserve">, </w:t>
          </w:r>
          <w:r>
            <w:rPr>
              <w:i/>
              <w:iCs/>
              <w:color w:val="1F1F1F"/>
              <w:bdr w:val="none" w:sz="0" w:space="0" w:color="auto" w:frame="1"/>
            </w:rPr>
            <w:t>6</w:t>
          </w:r>
          <w:r>
            <w:rPr>
              <w:color w:val="1F1F1F"/>
            </w:rPr>
            <w:t xml:space="preserve">(1), 255–302. </w:t>
          </w:r>
          <w:hyperlink r:id="rId41" w:tgtFrame="_blank" w:history="1">
            <w:r>
              <w:rPr>
                <w:rStyle w:val="Hyperlink"/>
                <w:color w:val="0B57D0"/>
                <w:bdr w:val="none" w:sz="0" w:space="0" w:color="auto" w:frame="1"/>
              </w:rPr>
              <w:t>https://doi.org/10.1002/cphy.c140051</w:t>
            </w:r>
          </w:hyperlink>
        </w:p>
        <w:p w14:paraId="5B91B3EC" w14:textId="77777777" w:rsidR="00522D70" w:rsidRDefault="00522D70" w:rsidP="00522D70">
          <w:pPr>
            <w:pStyle w:val="NormalWeb"/>
            <w:spacing w:after="0" w:afterAutospacing="0"/>
            <w:ind w:hanging="720"/>
            <w:rPr>
              <w:color w:val="1F1F1F"/>
            </w:rPr>
          </w:pPr>
          <w:r>
            <w:rPr>
              <w:color w:val="1F1F1F"/>
            </w:rPr>
            <w:t xml:space="preserve">He, J., &amp; </w:t>
          </w:r>
          <w:proofErr w:type="spellStart"/>
          <w:r>
            <w:rPr>
              <w:color w:val="1F1F1F"/>
            </w:rPr>
            <w:t>Hoyano</w:t>
          </w:r>
          <w:proofErr w:type="spellEnd"/>
          <w:r>
            <w:rPr>
              <w:color w:val="1F1F1F"/>
            </w:rPr>
            <w:t xml:space="preserve">, A. (2010a). Experimental study of evaporative cooling effects of porous ceramics at the outer surface of a wall. </w:t>
          </w:r>
          <w:r>
            <w:rPr>
              <w:i/>
              <w:iCs/>
              <w:color w:val="1F1F1F"/>
              <w:bdr w:val="none" w:sz="0" w:space="0" w:color="auto" w:frame="1"/>
            </w:rPr>
            <w:t>Building and Environment</w:t>
          </w:r>
          <w:r>
            <w:rPr>
              <w:color w:val="1F1F1F"/>
            </w:rPr>
            <w:t xml:space="preserve">, </w:t>
          </w:r>
          <w:r>
            <w:rPr>
              <w:i/>
              <w:iCs/>
              <w:color w:val="1F1F1F"/>
              <w:bdr w:val="none" w:sz="0" w:space="0" w:color="auto" w:frame="1"/>
            </w:rPr>
            <w:t>45</w:t>
          </w:r>
          <w:r>
            <w:rPr>
              <w:color w:val="1F1F1F"/>
            </w:rPr>
            <w:t xml:space="preserve">(2), 418–427. </w:t>
          </w:r>
          <w:hyperlink r:id="rId42" w:tgtFrame="_blank" w:history="1">
            <w:r>
              <w:rPr>
                <w:rStyle w:val="Hyperlink"/>
                <w:color w:val="0B57D0"/>
                <w:bdr w:val="none" w:sz="0" w:space="0" w:color="auto" w:frame="1"/>
              </w:rPr>
              <w:t>https://doi.org/10.1016/j.buildenv.2009.06.023</w:t>
            </w:r>
          </w:hyperlink>
        </w:p>
        <w:p w14:paraId="7FB05426" w14:textId="77777777" w:rsidR="00522D70" w:rsidRDefault="00522D70" w:rsidP="00522D70">
          <w:pPr>
            <w:pStyle w:val="NormalWeb"/>
            <w:spacing w:after="0" w:afterAutospacing="0"/>
            <w:ind w:hanging="720"/>
            <w:rPr>
              <w:color w:val="1F1F1F"/>
            </w:rPr>
          </w:pPr>
          <w:r>
            <w:rPr>
              <w:color w:val="1F1F1F"/>
            </w:rPr>
            <w:lastRenderedPageBreak/>
            <w:t xml:space="preserve">He, J., &amp; </w:t>
          </w:r>
          <w:proofErr w:type="spellStart"/>
          <w:r>
            <w:rPr>
              <w:color w:val="1F1F1F"/>
            </w:rPr>
            <w:t>Hoyano</w:t>
          </w:r>
          <w:proofErr w:type="spellEnd"/>
          <w:r>
            <w:rPr>
              <w:color w:val="1F1F1F"/>
            </w:rPr>
            <w:t xml:space="preserve">, A. (2010b). Experimental study of cooling effects of a passive evaporative cooling wall constructed of porous ceramics with high water soaking-up ability. </w:t>
          </w:r>
          <w:r>
            <w:rPr>
              <w:i/>
              <w:iCs/>
              <w:color w:val="1F1F1F"/>
              <w:bdr w:val="none" w:sz="0" w:space="0" w:color="auto" w:frame="1"/>
            </w:rPr>
            <w:t>Building and Environment</w:t>
          </w:r>
          <w:r>
            <w:rPr>
              <w:color w:val="1F1F1F"/>
            </w:rPr>
            <w:t xml:space="preserve">, </w:t>
          </w:r>
          <w:r>
            <w:rPr>
              <w:i/>
              <w:iCs/>
              <w:color w:val="1F1F1F"/>
              <w:bdr w:val="none" w:sz="0" w:space="0" w:color="auto" w:frame="1"/>
            </w:rPr>
            <w:t>45</w:t>
          </w:r>
          <w:r>
            <w:rPr>
              <w:color w:val="1F1F1F"/>
            </w:rPr>
            <w:t xml:space="preserve">(2), 461–472. </w:t>
          </w:r>
          <w:hyperlink r:id="rId43" w:tgtFrame="_blank" w:history="1">
            <w:r>
              <w:rPr>
                <w:rStyle w:val="Hyperlink"/>
                <w:color w:val="0B57D0"/>
                <w:bdr w:val="none" w:sz="0" w:space="0" w:color="auto" w:frame="1"/>
              </w:rPr>
              <w:t>https://doi.org/10.1016/j.buildenv.2009.07.002</w:t>
            </w:r>
          </w:hyperlink>
        </w:p>
        <w:p w14:paraId="2A9939D4" w14:textId="77777777" w:rsidR="00522D70" w:rsidRDefault="00522D70" w:rsidP="00522D70">
          <w:pPr>
            <w:pStyle w:val="NormalWeb"/>
            <w:spacing w:after="0" w:afterAutospacing="0"/>
            <w:ind w:hanging="720"/>
            <w:rPr>
              <w:color w:val="1F1F1F"/>
            </w:rPr>
          </w:pPr>
          <w:r>
            <w:rPr>
              <w:color w:val="1F1F1F"/>
            </w:rPr>
            <w:t xml:space="preserve">Janssen, H., &amp; </w:t>
          </w:r>
          <w:proofErr w:type="spellStart"/>
          <w:r>
            <w:rPr>
              <w:color w:val="1F1F1F"/>
            </w:rPr>
            <w:t>Roels</w:t>
          </w:r>
          <w:proofErr w:type="spellEnd"/>
          <w:r>
            <w:rPr>
              <w:color w:val="1F1F1F"/>
            </w:rPr>
            <w:t xml:space="preserve">, S. (2009). Qualitative and quantitative assessment of interior moisture buffering by enclosures. </w:t>
          </w:r>
          <w:r>
            <w:rPr>
              <w:i/>
              <w:iCs/>
              <w:color w:val="1F1F1F"/>
              <w:bdr w:val="none" w:sz="0" w:space="0" w:color="auto" w:frame="1"/>
            </w:rPr>
            <w:t>Energy and Buildings</w:t>
          </w:r>
          <w:r>
            <w:rPr>
              <w:color w:val="1F1F1F"/>
            </w:rPr>
            <w:t xml:space="preserve">, </w:t>
          </w:r>
          <w:r>
            <w:rPr>
              <w:i/>
              <w:iCs/>
              <w:color w:val="1F1F1F"/>
              <w:bdr w:val="none" w:sz="0" w:space="0" w:color="auto" w:frame="1"/>
            </w:rPr>
            <w:t>41</w:t>
          </w:r>
          <w:r>
            <w:rPr>
              <w:color w:val="1F1F1F"/>
            </w:rPr>
            <w:t xml:space="preserve">(4), 382–394. </w:t>
          </w:r>
          <w:hyperlink r:id="rId44" w:tgtFrame="_blank" w:history="1">
            <w:r>
              <w:rPr>
                <w:rStyle w:val="Hyperlink"/>
                <w:color w:val="0B57D0"/>
                <w:bdr w:val="none" w:sz="0" w:space="0" w:color="auto" w:frame="1"/>
              </w:rPr>
              <w:t>https://doi.org/10.1016/j.enbuild.2008.11.007</w:t>
            </w:r>
          </w:hyperlink>
        </w:p>
        <w:p w14:paraId="534C55F4" w14:textId="77777777" w:rsidR="00522D70" w:rsidRDefault="00522D70" w:rsidP="00522D70">
          <w:pPr>
            <w:pStyle w:val="NormalWeb"/>
            <w:spacing w:after="0" w:afterAutospacing="0"/>
            <w:ind w:hanging="720"/>
            <w:rPr>
              <w:color w:val="1F1F1F"/>
            </w:rPr>
          </w:pPr>
          <w:proofErr w:type="spellStart"/>
          <w:r>
            <w:rPr>
              <w:color w:val="1F1F1F"/>
            </w:rPr>
            <w:t>Kek</w:t>
          </w:r>
          <w:proofErr w:type="spellEnd"/>
          <w:r>
            <w:rPr>
              <w:color w:val="1F1F1F"/>
            </w:rPr>
            <w:t xml:space="preserve">, H. Y., Tan, H., Chin </w:t>
          </w:r>
          <w:proofErr w:type="spellStart"/>
          <w:r>
            <w:rPr>
              <w:color w:val="1F1F1F"/>
            </w:rPr>
            <w:t>Vui</w:t>
          </w:r>
          <w:proofErr w:type="spellEnd"/>
          <w:r>
            <w:rPr>
              <w:color w:val="1F1F1F"/>
            </w:rPr>
            <w:t xml:space="preserve"> Sheng, D. D., Lee, Y., Ismail, N. D., </w:t>
          </w:r>
          <w:proofErr w:type="spellStart"/>
          <w:r>
            <w:rPr>
              <w:color w:val="1F1F1F"/>
            </w:rPr>
            <w:t>Deris</w:t>
          </w:r>
          <w:proofErr w:type="spellEnd"/>
          <w:r>
            <w:rPr>
              <w:color w:val="1F1F1F"/>
            </w:rPr>
            <w:t xml:space="preserve">, M. S., Mohamed </w:t>
          </w:r>
          <w:proofErr w:type="spellStart"/>
          <w:r>
            <w:rPr>
              <w:color w:val="1F1F1F"/>
            </w:rPr>
            <w:t>Kamar</w:t>
          </w:r>
          <w:proofErr w:type="spellEnd"/>
          <w:r>
            <w:rPr>
              <w:color w:val="1F1F1F"/>
            </w:rPr>
            <w:t xml:space="preserve">, H., &amp; Wong, K. Y. (2023). A CFD assessment on ventilation strategies in mitigating healthcare-associated infection in single patient ward. </w:t>
          </w:r>
          <w:r>
            <w:rPr>
              <w:i/>
              <w:iCs/>
              <w:color w:val="1F1F1F"/>
              <w:bdr w:val="none" w:sz="0" w:space="0" w:color="auto" w:frame="1"/>
            </w:rPr>
            <w:t>Progress in Energy and Environment</w:t>
          </w:r>
          <w:r>
            <w:rPr>
              <w:color w:val="1F1F1F"/>
            </w:rPr>
            <w:t xml:space="preserve">, </w:t>
          </w:r>
          <w:r>
            <w:rPr>
              <w:i/>
              <w:iCs/>
              <w:color w:val="1F1F1F"/>
              <w:bdr w:val="none" w:sz="0" w:space="0" w:color="auto" w:frame="1"/>
            </w:rPr>
            <w:t>24</w:t>
          </w:r>
          <w:r>
            <w:rPr>
              <w:color w:val="1F1F1F"/>
            </w:rPr>
            <w:t xml:space="preserve">, 35–45. </w:t>
          </w:r>
          <w:hyperlink r:id="rId45" w:tgtFrame="_blank" w:history="1">
            <w:r>
              <w:rPr>
                <w:rStyle w:val="Hyperlink"/>
                <w:color w:val="0B57D0"/>
                <w:bdr w:val="none" w:sz="0" w:space="0" w:color="auto" w:frame="1"/>
              </w:rPr>
              <w:t>https://doi.org/10.37934/progee.24.1.3545</w:t>
            </w:r>
          </w:hyperlink>
        </w:p>
        <w:p w14:paraId="328A469C" w14:textId="77777777" w:rsidR="00522D70" w:rsidRDefault="00522D70" w:rsidP="00522D70">
          <w:pPr>
            <w:pStyle w:val="NormalWeb"/>
            <w:spacing w:after="0" w:afterAutospacing="0"/>
            <w:ind w:hanging="720"/>
            <w:rPr>
              <w:color w:val="1F1F1F"/>
            </w:rPr>
          </w:pPr>
          <w:r>
            <w:rPr>
              <w:color w:val="1F1F1F"/>
            </w:rPr>
            <w:t xml:space="preserve">Kenney, W. L., &amp; </w:t>
          </w:r>
          <w:proofErr w:type="spellStart"/>
          <w:r>
            <w:rPr>
              <w:color w:val="1F1F1F"/>
            </w:rPr>
            <w:t>Munce</w:t>
          </w:r>
          <w:proofErr w:type="spellEnd"/>
          <w:r>
            <w:rPr>
              <w:color w:val="1F1F1F"/>
            </w:rPr>
            <w:t xml:space="preserve">, T. A. (2003). Invited review: Aging and human temperature regulation. </w:t>
          </w:r>
          <w:r>
            <w:rPr>
              <w:i/>
              <w:iCs/>
              <w:color w:val="1F1F1F"/>
              <w:bdr w:val="none" w:sz="0" w:space="0" w:color="auto" w:frame="1"/>
            </w:rPr>
            <w:t>Journal of Applied Physiology</w:t>
          </w:r>
          <w:r>
            <w:rPr>
              <w:color w:val="1F1F1F"/>
            </w:rPr>
            <w:t xml:space="preserve">, </w:t>
          </w:r>
          <w:r>
            <w:rPr>
              <w:i/>
              <w:iCs/>
              <w:color w:val="1F1F1F"/>
              <w:bdr w:val="none" w:sz="0" w:space="0" w:color="auto" w:frame="1"/>
            </w:rPr>
            <w:t>95</w:t>
          </w:r>
          <w:r>
            <w:rPr>
              <w:color w:val="1F1F1F"/>
            </w:rPr>
            <w:t xml:space="preserve">(6), 2598–2603. </w:t>
          </w:r>
          <w:hyperlink r:id="rId46" w:tgtFrame="_blank" w:history="1">
            <w:r>
              <w:rPr>
                <w:rStyle w:val="Hyperlink"/>
                <w:color w:val="0B57D0"/>
                <w:bdr w:val="none" w:sz="0" w:space="0" w:color="auto" w:frame="1"/>
              </w:rPr>
              <w:t>https://doi.org/10.1152/japplphysiol.00202.2003</w:t>
            </w:r>
          </w:hyperlink>
        </w:p>
        <w:p w14:paraId="7DC3A7C2" w14:textId="77777777" w:rsidR="00522D70" w:rsidRDefault="00522D70" w:rsidP="00522D70">
          <w:pPr>
            <w:pStyle w:val="NormalWeb"/>
            <w:spacing w:after="0" w:afterAutospacing="0"/>
            <w:ind w:hanging="720"/>
            <w:rPr>
              <w:color w:val="1F1F1F"/>
            </w:rPr>
          </w:pPr>
          <w:r>
            <w:rPr>
              <w:color w:val="1F1F1F"/>
            </w:rPr>
            <w:t xml:space="preserve">Kim, Y. J., &amp; Allard, A. (2014). Thermal response of precast concrete sandwich walls with various steel connectors for architectural buildings in cold regions. </w:t>
          </w:r>
          <w:r>
            <w:rPr>
              <w:i/>
              <w:iCs/>
              <w:color w:val="1F1F1F"/>
              <w:bdr w:val="none" w:sz="0" w:space="0" w:color="auto" w:frame="1"/>
            </w:rPr>
            <w:t>Energy and Buildings</w:t>
          </w:r>
          <w:r>
            <w:rPr>
              <w:color w:val="1F1F1F"/>
            </w:rPr>
            <w:t xml:space="preserve">, </w:t>
          </w:r>
          <w:r>
            <w:rPr>
              <w:i/>
              <w:iCs/>
              <w:color w:val="1F1F1F"/>
              <w:bdr w:val="none" w:sz="0" w:space="0" w:color="auto" w:frame="1"/>
            </w:rPr>
            <w:t>85</w:t>
          </w:r>
          <w:r>
            <w:rPr>
              <w:color w:val="1F1F1F"/>
            </w:rPr>
            <w:t xml:space="preserve">, 219–228. </w:t>
          </w:r>
          <w:hyperlink r:id="rId47" w:tgtFrame="_blank" w:history="1">
            <w:r>
              <w:rPr>
                <w:rStyle w:val="Hyperlink"/>
                <w:color w:val="0B57D0"/>
                <w:bdr w:val="none" w:sz="0" w:space="0" w:color="auto" w:frame="1"/>
              </w:rPr>
              <w:t>https://doi.org/10.1016/j.enbuild.2014.05.022</w:t>
            </w:r>
          </w:hyperlink>
        </w:p>
        <w:p w14:paraId="5607BC8E" w14:textId="77777777" w:rsidR="00522D70" w:rsidRDefault="00522D70" w:rsidP="00522D70">
          <w:pPr>
            <w:pStyle w:val="NormalWeb"/>
            <w:spacing w:after="0" w:afterAutospacing="0"/>
            <w:ind w:hanging="720"/>
            <w:rPr>
              <w:color w:val="1F1F1F"/>
            </w:rPr>
          </w:pPr>
          <w:proofErr w:type="spellStart"/>
          <w:r>
            <w:rPr>
              <w:color w:val="1F1F1F"/>
            </w:rPr>
            <w:t>Kingma</w:t>
          </w:r>
          <w:proofErr w:type="spellEnd"/>
          <w:r>
            <w:rPr>
              <w:color w:val="1F1F1F"/>
            </w:rPr>
            <w:t xml:space="preserve">, B. R. M., </w:t>
          </w:r>
          <w:proofErr w:type="spellStart"/>
          <w:r>
            <w:rPr>
              <w:color w:val="1F1F1F"/>
            </w:rPr>
            <w:t>Frijns</w:t>
          </w:r>
          <w:proofErr w:type="spellEnd"/>
          <w:r>
            <w:rPr>
              <w:color w:val="1F1F1F"/>
            </w:rPr>
            <w:t xml:space="preserve">, A. J. H., &amp; van </w:t>
          </w:r>
          <w:proofErr w:type="spellStart"/>
          <w:r>
            <w:rPr>
              <w:color w:val="1F1F1F"/>
            </w:rPr>
            <w:t>Marken</w:t>
          </w:r>
          <w:proofErr w:type="spellEnd"/>
          <w:r>
            <w:rPr>
              <w:color w:val="1F1F1F"/>
            </w:rPr>
            <w:t xml:space="preserve"> </w:t>
          </w:r>
          <w:proofErr w:type="spellStart"/>
          <w:r>
            <w:rPr>
              <w:color w:val="1F1F1F"/>
            </w:rPr>
            <w:t>Lichtenbelt</w:t>
          </w:r>
          <w:proofErr w:type="spellEnd"/>
          <w:r>
            <w:rPr>
              <w:color w:val="1F1F1F"/>
            </w:rPr>
            <w:t xml:space="preserve">, W. D. (2012). The thermoneutral zone: Implications for metabolic studies. </w:t>
          </w:r>
          <w:r>
            <w:rPr>
              <w:i/>
              <w:iCs/>
              <w:color w:val="1F1F1F"/>
              <w:bdr w:val="none" w:sz="0" w:space="0" w:color="auto" w:frame="1"/>
            </w:rPr>
            <w:t>Frontiers in Bioscience (Elite Edition)</w:t>
          </w:r>
          <w:r>
            <w:rPr>
              <w:color w:val="1F1F1F"/>
            </w:rPr>
            <w:t xml:space="preserve">, </w:t>
          </w:r>
          <w:r>
            <w:rPr>
              <w:i/>
              <w:iCs/>
              <w:color w:val="1F1F1F"/>
              <w:bdr w:val="none" w:sz="0" w:space="0" w:color="auto" w:frame="1"/>
            </w:rPr>
            <w:t>4</w:t>
          </w:r>
          <w:r>
            <w:rPr>
              <w:color w:val="1F1F1F"/>
            </w:rPr>
            <w:t xml:space="preserve">(5), 1975–1985. </w:t>
          </w:r>
          <w:hyperlink r:id="rId48" w:tgtFrame="_blank" w:history="1">
            <w:r>
              <w:rPr>
                <w:rStyle w:val="Hyperlink"/>
                <w:color w:val="0B57D0"/>
                <w:bdr w:val="none" w:sz="0" w:space="0" w:color="auto" w:frame="1"/>
              </w:rPr>
              <w:t>https://doi.org/10.2741/E518</w:t>
            </w:r>
          </w:hyperlink>
        </w:p>
        <w:p w14:paraId="01D96FD4" w14:textId="77777777" w:rsidR="00522D70" w:rsidRDefault="00522D70" w:rsidP="00522D70">
          <w:pPr>
            <w:pStyle w:val="NormalWeb"/>
            <w:spacing w:after="0" w:afterAutospacing="0"/>
            <w:ind w:hanging="720"/>
            <w:rPr>
              <w:color w:val="1F1F1F"/>
            </w:rPr>
          </w:pPr>
          <w:r>
            <w:rPr>
              <w:color w:val="1F1F1F"/>
            </w:rPr>
            <w:t xml:space="preserve">Kuru, A., Oldfield, P., Bonser, S., &amp; </w:t>
          </w:r>
          <w:proofErr w:type="spellStart"/>
          <w:r>
            <w:rPr>
              <w:color w:val="1F1F1F"/>
            </w:rPr>
            <w:t>Teh</w:t>
          </w:r>
          <w:proofErr w:type="spellEnd"/>
          <w:r>
            <w:rPr>
              <w:color w:val="1F1F1F"/>
            </w:rPr>
            <w:t xml:space="preserve">, S. H. (2019). Biomimetic adaptive building skins: Energy and environmental regulation in buildings. </w:t>
          </w:r>
          <w:r>
            <w:rPr>
              <w:i/>
              <w:iCs/>
              <w:color w:val="1F1F1F"/>
              <w:bdr w:val="none" w:sz="0" w:space="0" w:color="auto" w:frame="1"/>
            </w:rPr>
            <w:t>Energy and Buildings</w:t>
          </w:r>
          <w:r>
            <w:rPr>
              <w:color w:val="1F1F1F"/>
            </w:rPr>
            <w:t xml:space="preserve">, </w:t>
          </w:r>
          <w:r>
            <w:rPr>
              <w:i/>
              <w:iCs/>
              <w:color w:val="1F1F1F"/>
              <w:bdr w:val="none" w:sz="0" w:space="0" w:color="auto" w:frame="1"/>
            </w:rPr>
            <w:t>205</w:t>
          </w:r>
          <w:r>
            <w:rPr>
              <w:color w:val="1F1F1F"/>
            </w:rPr>
            <w:t xml:space="preserve">, 109544. </w:t>
          </w:r>
          <w:hyperlink r:id="rId49" w:tgtFrame="_blank" w:history="1">
            <w:r>
              <w:rPr>
                <w:rStyle w:val="Hyperlink"/>
                <w:color w:val="0B57D0"/>
                <w:bdr w:val="none" w:sz="0" w:space="0" w:color="auto" w:frame="1"/>
              </w:rPr>
              <w:t>https://doi.org/10.1016/j.enbuild.2019.109544</w:t>
            </w:r>
          </w:hyperlink>
        </w:p>
        <w:p w14:paraId="0DA3BC22" w14:textId="77777777" w:rsidR="00522D70" w:rsidRDefault="00522D70" w:rsidP="00522D70">
          <w:pPr>
            <w:pStyle w:val="NormalWeb"/>
            <w:spacing w:after="0" w:afterAutospacing="0"/>
            <w:ind w:hanging="720"/>
            <w:rPr>
              <w:color w:val="1F1F1F"/>
            </w:rPr>
          </w:pPr>
          <w:r>
            <w:rPr>
              <w:color w:val="1F1F1F"/>
            </w:rPr>
            <w:t>Latif, E., Lawrence, M., Shea, A., &amp; Walker, P. (2015). Moisture buffer potential of experimental wall assemblies incorporating formulated hemp</w:t>
          </w:r>
          <w:r>
            <w:rPr>
              <w:color w:val="1F1F1F"/>
            </w:rPr>
            <w:noBreakHyphen/>
            <w:t xml:space="preserve">lime. </w:t>
          </w:r>
          <w:r>
            <w:rPr>
              <w:i/>
              <w:iCs/>
              <w:color w:val="1F1F1F"/>
              <w:bdr w:val="none" w:sz="0" w:space="0" w:color="auto" w:frame="1"/>
            </w:rPr>
            <w:t>Building and Environment</w:t>
          </w:r>
          <w:r>
            <w:rPr>
              <w:color w:val="1F1F1F"/>
            </w:rPr>
            <w:t xml:space="preserve">, </w:t>
          </w:r>
          <w:r>
            <w:rPr>
              <w:i/>
              <w:iCs/>
              <w:color w:val="1F1F1F"/>
              <w:bdr w:val="none" w:sz="0" w:space="0" w:color="auto" w:frame="1"/>
            </w:rPr>
            <w:t>93</w:t>
          </w:r>
          <w:r>
            <w:rPr>
              <w:color w:val="1F1F1F"/>
            </w:rPr>
            <w:t xml:space="preserve">, 199–209. </w:t>
          </w:r>
          <w:hyperlink r:id="rId50" w:tgtFrame="_blank" w:history="1">
            <w:r>
              <w:rPr>
                <w:rStyle w:val="Hyperlink"/>
                <w:color w:val="0B57D0"/>
                <w:bdr w:val="none" w:sz="0" w:space="0" w:color="auto" w:frame="1"/>
              </w:rPr>
              <w:t>https://doi.org/10.1016/j.buildenv.2015.07.011</w:t>
            </w:r>
          </w:hyperlink>
        </w:p>
        <w:p w14:paraId="5D752CF5" w14:textId="77777777" w:rsidR="00522D70" w:rsidRDefault="00522D70" w:rsidP="00522D70">
          <w:pPr>
            <w:pStyle w:val="NormalWeb"/>
            <w:spacing w:after="0" w:afterAutospacing="0"/>
            <w:ind w:hanging="720"/>
            <w:rPr>
              <w:color w:val="1F1F1F"/>
            </w:rPr>
          </w:pPr>
          <w:r>
            <w:rPr>
              <w:color w:val="1F1F1F"/>
            </w:rPr>
            <w:t xml:space="preserve">Lee, W. V., &amp; Shaman, J. (2016). Heat-coping strategies and bedroom thermal satisfaction in New York City. </w:t>
          </w:r>
          <w:r>
            <w:rPr>
              <w:i/>
              <w:iCs/>
              <w:color w:val="1F1F1F"/>
              <w:bdr w:val="none" w:sz="0" w:space="0" w:color="auto" w:frame="1"/>
            </w:rPr>
            <w:t>Science of the Total Environment</w:t>
          </w:r>
          <w:r>
            <w:rPr>
              <w:color w:val="1F1F1F"/>
            </w:rPr>
            <w:t xml:space="preserve">, </w:t>
          </w:r>
          <w:r>
            <w:rPr>
              <w:i/>
              <w:iCs/>
              <w:color w:val="1F1F1F"/>
              <w:bdr w:val="none" w:sz="0" w:space="0" w:color="auto" w:frame="1"/>
            </w:rPr>
            <w:t>574</w:t>
          </w:r>
          <w:r>
            <w:rPr>
              <w:color w:val="1F1F1F"/>
            </w:rPr>
            <w:t xml:space="preserve">, 1217–1231. </w:t>
          </w:r>
          <w:hyperlink r:id="rId51" w:tgtFrame="_blank" w:history="1">
            <w:r>
              <w:rPr>
                <w:rStyle w:val="Hyperlink"/>
                <w:color w:val="0B57D0"/>
                <w:bdr w:val="none" w:sz="0" w:space="0" w:color="auto" w:frame="1"/>
              </w:rPr>
              <w:t>https://doi.org/10.1016/j.scitotenv.2016.07.006</w:t>
            </w:r>
          </w:hyperlink>
        </w:p>
        <w:p w14:paraId="734AA438" w14:textId="77777777" w:rsidR="00522D70" w:rsidRDefault="00522D70" w:rsidP="00522D70">
          <w:pPr>
            <w:pStyle w:val="NormalWeb"/>
            <w:spacing w:after="0" w:afterAutospacing="0"/>
            <w:ind w:hanging="720"/>
            <w:rPr>
              <w:color w:val="1F1F1F"/>
            </w:rPr>
          </w:pPr>
          <w:r>
            <w:rPr>
              <w:color w:val="1F1F1F"/>
            </w:rPr>
            <w:t xml:space="preserve">Li, X., </w:t>
          </w:r>
          <w:proofErr w:type="spellStart"/>
          <w:r>
            <w:rPr>
              <w:color w:val="1F1F1F"/>
            </w:rPr>
            <w:t>Niu</w:t>
          </w:r>
          <w:proofErr w:type="spellEnd"/>
          <w:r>
            <w:rPr>
              <w:color w:val="1F1F1F"/>
            </w:rPr>
            <w:t xml:space="preserve">, J., &amp; Gao, N. (2013). Co-occupant’s exposure to exhaled pollutants with two types of personalized ventilation strategies under mixing and displacement ventilation systems. </w:t>
          </w:r>
          <w:r>
            <w:rPr>
              <w:i/>
              <w:iCs/>
              <w:color w:val="1F1F1F"/>
              <w:bdr w:val="none" w:sz="0" w:space="0" w:color="auto" w:frame="1"/>
            </w:rPr>
            <w:t>Indoor Air</w:t>
          </w:r>
          <w:r>
            <w:rPr>
              <w:color w:val="1F1F1F"/>
            </w:rPr>
            <w:t xml:space="preserve">, </w:t>
          </w:r>
          <w:r>
            <w:rPr>
              <w:i/>
              <w:iCs/>
              <w:color w:val="1F1F1F"/>
              <w:bdr w:val="none" w:sz="0" w:space="0" w:color="auto" w:frame="1"/>
            </w:rPr>
            <w:t>23</w:t>
          </w:r>
          <w:r>
            <w:rPr>
              <w:color w:val="1F1F1F"/>
            </w:rPr>
            <w:t xml:space="preserve">(2), 162–171. </w:t>
          </w:r>
          <w:hyperlink r:id="rId52" w:tgtFrame="_blank" w:history="1">
            <w:r>
              <w:rPr>
                <w:rStyle w:val="Hyperlink"/>
                <w:color w:val="0B57D0"/>
                <w:bdr w:val="none" w:sz="0" w:space="0" w:color="auto" w:frame="1"/>
              </w:rPr>
              <w:t>https://doi.org/10.1111/ina.12005</w:t>
            </w:r>
          </w:hyperlink>
        </w:p>
        <w:p w14:paraId="118AE3CB" w14:textId="77777777" w:rsidR="00522D70" w:rsidRDefault="00522D70" w:rsidP="00522D70">
          <w:pPr>
            <w:pStyle w:val="NormalWeb"/>
            <w:spacing w:after="0" w:afterAutospacing="0"/>
            <w:ind w:hanging="720"/>
            <w:rPr>
              <w:color w:val="1F1F1F"/>
            </w:rPr>
          </w:pPr>
          <w:r>
            <w:rPr>
              <w:color w:val="1F1F1F"/>
            </w:rPr>
            <w:t xml:space="preserve">Liang, S., Yan, Y., Tian, X., Zhang, Y., Chen, C., Zhu, H., &amp; Hu, S. (2025). A survey on nocturnal air conditioner adjustment behavior and subjective sleep quality in summer. </w:t>
          </w:r>
          <w:r>
            <w:rPr>
              <w:i/>
              <w:iCs/>
              <w:color w:val="1F1F1F"/>
              <w:bdr w:val="none" w:sz="0" w:space="0" w:color="auto" w:frame="1"/>
            </w:rPr>
            <w:t>Buildings</w:t>
          </w:r>
          <w:r>
            <w:rPr>
              <w:color w:val="1F1F1F"/>
            </w:rPr>
            <w:t xml:space="preserve">, </w:t>
          </w:r>
          <w:r>
            <w:rPr>
              <w:i/>
              <w:iCs/>
              <w:color w:val="1F1F1F"/>
              <w:bdr w:val="none" w:sz="0" w:space="0" w:color="auto" w:frame="1"/>
            </w:rPr>
            <w:t>15</w:t>
          </w:r>
          <w:r>
            <w:rPr>
              <w:color w:val="1F1F1F"/>
            </w:rPr>
            <w:t xml:space="preserve">(20), 3738. </w:t>
          </w:r>
          <w:hyperlink r:id="rId53" w:tgtFrame="_blank" w:history="1">
            <w:r>
              <w:rPr>
                <w:rStyle w:val="Hyperlink"/>
                <w:color w:val="0B57D0"/>
                <w:bdr w:val="none" w:sz="0" w:space="0" w:color="auto" w:frame="1"/>
              </w:rPr>
              <w:t>https://doi.org/10.3390/buildings15203738</w:t>
            </w:r>
          </w:hyperlink>
        </w:p>
        <w:p w14:paraId="1851A882" w14:textId="77777777" w:rsidR="00522D70" w:rsidRDefault="00522D70" w:rsidP="00522D70">
          <w:pPr>
            <w:pStyle w:val="NormalWeb"/>
            <w:spacing w:after="0" w:afterAutospacing="0"/>
            <w:ind w:hanging="720"/>
            <w:rPr>
              <w:color w:val="1F1F1F"/>
            </w:rPr>
          </w:pPr>
          <w:r>
            <w:rPr>
              <w:color w:val="1F1F1F"/>
            </w:rPr>
            <w:lastRenderedPageBreak/>
            <w:t xml:space="preserve">Lin, Z., &amp; Deng, S. (2006). A questionnaire survey on sleeping thermal environment and bedroom air conditioning in high-rise residences in Hong Kong. </w:t>
          </w:r>
          <w:r>
            <w:rPr>
              <w:i/>
              <w:iCs/>
              <w:color w:val="1F1F1F"/>
              <w:bdr w:val="none" w:sz="0" w:space="0" w:color="auto" w:frame="1"/>
            </w:rPr>
            <w:t>Energy and Buildings</w:t>
          </w:r>
          <w:r>
            <w:rPr>
              <w:color w:val="1F1F1F"/>
            </w:rPr>
            <w:t xml:space="preserve">, </w:t>
          </w:r>
          <w:r>
            <w:rPr>
              <w:i/>
              <w:iCs/>
              <w:color w:val="1F1F1F"/>
              <w:bdr w:val="none" w:sz="0" w:space="0" w:color="auto" w:frame="1"/>
            </w:rPr>
            <w:t>38</w:t>
          </w:r>
          <w:r>
            <w:rPr>
              <w:color w:val="1F1F1F"/>
            </w:rPr>
            <w:t xml:space="preserve">(11), 1336–1345. </w:t>
          </w:r>
          <w:hyperlink r:id="rId54" w:tgtFrame="_blank" w:history="1">
            <w:r>
              <w:rPr>
                <w:rStyle w:val="Hyperlink"/>
                <w:color w:val="0B57D0"/>
                <w:bdr w:val="none" w:sz="0" w:space="0" w:color="auto" w:frame="1"/>
              </w:rPr>
              <w:t>https://doi.org/10.1016/j.enbuild.2006.04.004</w:t>
            </w:r>
          </w:hyperlink>
        </w:p>
        <w:p w14:paraId="0FBA3AD4" w14:textId="77777777" w:rsidR="00522D70" w:rsidRDefault="00522D70" w:rsidP="00522D70">
          <w:pPr>
            <w:pStyle w:val="NormalWeb"/>
            <w:spacing w:after="0" w:afterAutospacing="0"/>
            <w:ind w:hanging="720"/>
            <w:rPr>
              <w:color w:val="1F1F1F"/>
            </w:rPr>
          </w:pPr>
          <w:proofErr w:type="spellStart"/>
          <w:r>
            <w:rPr>
              <w:color w:val="1F1F1F"/>
            </w:rPr>
            <w:t>Loonen</w:t>
          </w:r>
          <w:proofErr w:type="spellEnd"/>
          <w:r>
            <w:rPr>
              <w:color w:val="1F1F1F"/>
            </w:rPr>
            <w:t xml:space="preserve">, R. C., </w:t>
          </w:r>
          <w:proofErr w:type="spellStart"/>
          <w:r>
            <w:rPr>
              <w:color w:val="1F1F1F"/>
            </w:rPr>
            <w:t>Trčka</w:t>
          </w:r>
          <w:proofErr w:type="spellEnd"/>
          <w:r>
            <w:rPr>
              <w:color w:val="1F1F1F"/>
            </w:rPr>
            <w:t xml:space="preserve">, M., </w:t>
          </w:r>
          <w:proofErr w:type="spellStart"/>
          <w:r>
            <w:rPr>
              <w:color w:val="1F1F1F"/>
            </w:rPr>
            <w:t>Cóstola</w:t>
          </w:r>
          <w:proofErr w:type="spellEnd"/>
          <w:r>
            <w:rPr>
              <w:color w:val="1F1F1F"/>
            </w:rPr>
            <w:t xml:space="preserve">, D., &amp; </w:t>
          </w:r>
          <w:proofErr w:type="spellStart"/>
          <w:r>
            <w:rPr>
              <w:color w:val="1F1F1F"/>
            </w:rPr>
            <w:t>Hensen</w:t>
          </w:r>
          <w:proofErr w:type="spellEnd"/>
          <w:r>
            <w:rPr>
              <w:color w:val="1F1F1F"/>
            </w:rPr>
            <w:t xml:space="preserve">, J. L. (2013). Climate adaptive building shells: State-of-the-art and future challenges. </w:t>
          </w:r>
          <w:r>
            <w:rPr>
              <w:i/>
              <w:iCs/>
              <w:color w:val="1F1F1F"/>
              <w:bdr w:val="none" w:sz="0" w:space="0" w:color="auto" w:frame="1"/>
            </w:rPr>
            <w:t>Renewable and Sustainable Energy Reviews</w:t>
          </w:r>
          <w:r>
            <w:rPr>
              <w:color w:val="1F1F1F"/>
            </w:rPr>
            <w:t xml:space="preserve">, </w:t>
          </w:r>
          <w:r>
            <w:rPr>
              <w:i/>
              <w:iCs/>
              <w:color w:val="1F1F1F"/>
              <w:bdr w:val="none" w:sz="0" w:space="0" w:color="auto" w:frame="1"/>
            </w:rPr>
            <w:t>25</w:t>
          </w:r>
          <w:r>
            <w:rPr>
              <w:color w:val="1F1F1F"/>
            </w:rPr>
            <w:t xml:space="preserve">, 483–493. </w:t>
          </w:r>
          <w:hyperlink r:id="rId55" w:tgtFrame="_blank" w:history="1">
            <w:r>
              <w:rPr>
                <w:rStyle w:val="Hyperlink"/>
                <w:color w:val="0B57D0"/>
                <w:bdr w:val="none" w:sz="0" w:space="0" w:color="auto" w:frame="1"/>
              </w:rPr>
              <w:t>https://doi.org/10.1016/j.rser.2013.04.016</w:t>
            </w:r>
          </w:hyperlink>
        </w:p>
        <w:p w14:paraId="766F81F2" w14:textId="77777777" w:rsidR="00522D70" w:rsidRDefault="00522D70" w:rsidP="00522D70">
          <w:pPr>
            <w:pStyle w:val="NormalWeb"/>
            <w:spacing w:after="0" w:afterAutospacing="0"/>
            <w:ind w:hanging="720"/>
            <w:rPr>
              <w:color w:val="1F1F1F"/>
            </w:rPr>
          </w:pPr>
          <w:proofErr w:type="spellStart"/>
          <w:r>
            <w:rPr>
              <w:color w:val="1F1F1F"/>
            </w:rPr>
            <w:t>Lyu</w:t>
          </w:r>
          <w:proofErr w:type="spellEnd"/>
          <w:r>
            <w:rPr>
              <w:color w:val="1F1F1F"/>
            </w:rPr>
            <w:t xml:space="preserve">, J., Li, J., Zhao, Z., Miao, X., Du, H., Lai, D., Yang, Y., &amp; Lian, Z. (2023). How do people set air conditioning temperature setpoint in urban domestic–Behavior model in Chinese three climate zones based on historical usage data. </w:t>
          </w:r>
          <w:r>
            <w:rPr>
              <w:i/>
              <w:iCs/>
              <w:color w:val="1F1F1F"/>
              <w:bdr w:val="none" w:sz="0" w:space="0" w:color="auto" w:frame="1"/>
            </w:rPr>
            <w:t>Energy and Buildings</w:t>
          </w:r>
          <w:r>
            <w:rPr>
              <w:color w:val="1F1F1F"/>
            </w:rPr>
            <w:t xml:space="preserve">, </w:t>
          </w:r>
          <w:r>
            <w:rPr>
              <w:i/>
              <w:iCs/>
              <w:color w:val="1F1F1F"/>
              <w:bdr w:val="none" w:sz="0" w:space="0" w:color="auto" w:frame="1"/>
            </w:rPr>
            <w:t>284</w:t>
          </w:r>
          <w:r>
            <w:rPr>
              <w:color w:val="1F1F1F"/>
            </w:rPr>
            <w:t xml:space="preserve">, 112856. </w:t>
          </w:r>
          <w:hyperlink r:id="rId56" w:tgtFrame="_blank" w:history="1">
            <w:r>
              <w:rPr>
                <w:rStyle w:val="Hyperlink"/>
                <w:color w:val="0B57D0"/>
                <w:bdr w:val="none" w:sz="0" w:space="0" w:color="auto" w:frame="1"/>
              </w:rPr>
              <w:t>https://doi.org/10.1016/j.enbuild.2023.112856</w:t>
            </w:r>
          </w:hyperlink>
        </w:p>
        <w:p w14:paraId="2ED92431" w14:textId="77777777" w:rsidR="00522D70" w:rsidRDefault="00522D70" w:rsidP="00522D70">
          <w:pPr>
            <w:pStyle w:val="NormalWeb"/>
            <w:spacing w:after="0" w:afterAutospacing="0"/>
            <w:ind w:hanging="720"/>
            <w:rPr>
              <w:color w:val="1F1F1F"/>
            </w:rPr>
          </w:pPr>
          <w:proofErr w:type="spellStart"/>
          <w:r>
            <w:rPr>
              <w:color w:val="1F1F1F"/>
            </w:rPr>
            <w:t>Maalouf</w:t>
          </w:r>
          <w:proofErr w:type="spellEnd"/>
          <w:r>
            <w:rPr>
              <w:color w:val="1F1F1F"/>
            </w:rPr>
            <w:t xml:space="preserve">, C., &amp; colleagues. (2023). </w:t>
          </w:r>
          <w:proofErr w:type="spellStart"/>
          <w:r>
            <w:rPr>
              <w:color w:val="1F1F1F"/>
            </w:rPr>
            <w:t>Hygrothermal</w:t>
          </w:r>
          <w:proofErr w:type="spellEnd"/>
          <w:r>
            <w:rPr>
              <w:color w:val="1F1F1F"/>
            </w:rPr>
            <w:t xml:space="preserve"> </w:t>
          </w:r>
          <w:proofErr w:type="spellStart"/>
          <w:r>
            <w:rPr>
              <w:color w:val="1F1F1F"/>
            </w:rPr>
            <w:t>behaviour</w:t>
          </w:r>
          <w:proofErr w:type="spellEnd"/>
          <w:r>
            <w:rPr>
              <w:color w:val="1F1F1F"/>
            </w:rPr>
            <w:t xml:space="preserve"> of hemp-lime walls: The effect of binder carbonation over time. </w:t>
          </w:r>
          <w:r>
            <w:rPr>
              <w:i/>
              <w:iCs/>
              <w:color w:val="1F1F1F"/>
              <w:bdr w:val="none" w:sz="0" w:space="0" w:color="auto" w:frame="1"/>
            </w:rPr>
            <w:t>Building and Environment</w:t>
          </w:r>
          <w:r>
            <w:rPr>
              <w:color w:val="1F1F1F"/>
            </w:rPr>
            <w:t xml:space="preserve">, </w:t>
          </w:r>
          <w:r>
            <w:rPr>
              <w:i/>
              <w:iCs/>
              <w:color w:val="1F1F1F"/>
              <w:bdr w:val="none" w:sz="0" w:space="0" w:color="auto" w:frame="1"/>
            </w:rPr>
            <w:t>233</w:t>
          </w:r>
          <w:r>
            <w:rPr>
              <w:color w:val="1F1F1F"/>
            </w:rPr>
            <w:t xml:space="preserve">, 110129. </w:t>
          </w:r>
          <w:hyperlink r:id="rId57" w:tgtFrame="_blank" w:history="1">
            <w:r>
              <w:rPr>
                <w:rStyle w:val="Hyperlink"/>
                <w:color w:val="0B57D0"/>
                <w:bdr w:val="none" w:sz="0" w:space="0" w:color="auto" w:frame="1"/>
              </w:rPr>
              <w:t>https://doi.org/10.1016/j.buildenv.2023.110129</w:t>
            </w:r>
          </w:hyperlink>
        </w:p>
        <w:p w14:paraId="5B4E2844" w14:textId="77777777" w:rsidR="00522D70" w:rsidRDefault="00522D70" w:rsidP="00522D70">
          <w:pPr>
            <w:pStyle w:val="NormalWeb"/>
            <w:spacing w:after="0" w:afterAutospacing="0"/>
            <w:ind w:hanging="720"/>
            <w:rPr>
              <w:color w:val="1F1F1F"/>
            </w:rPr>
          </w:pPr>
          <w:r>
            <w:rPr>
              <w:color w:val="1F1F1F"/>
            </w:rPr>
            <w:t xml:space="preserve">McGregor, F., Heath, A., </w:t>
          </w:r>
          <w:proofErr w:type="spellStart"/>
          <w:r>
            <w:rPr>
              <w:color w:val="1F1F1F"/>
            </w:rPr>
            <w:t>Fodde</w:t>
          </w:r>
          <w:proofErr w:type="spellEnd"/>
          <w:r>
            <w:rPr>
              <w:color w:val="1F1F1F"/>
            </w:rPr>
            <w:t xml:space="preserve">, E., &amp; Shea, A. (2014). Conditions affecting the moisture buffering measurement performed on compressed earth blocks. </w:t>
          </w:r>
          <w:r>
            <w:rPr>
              <w:i/>
              <w:iCs/>
              <w:color w:val="1F1F1F"/>
              <w:bdr w:val="none" w:sz="0" w:space="0" w:color="auto" w:frame="1"/>
            </w:rPr>
            <w:t>Building and Environment</w:t>
          </w:r>
          <w:r>
            <w:rPr>
              <w:color w:val="1F1F1F"/>
            </w:rPr>
            <w:t xml:space="preserve">, </w:t>
          </w:r>
          <w:r>
            <w:rPr>
              <w:i/>
              <w:iCs/>
              <w:color w:val="1F1F1F"/>
              <w:bdr w:val="none" w:sz="0" w:space="0" w:color="auto" w:frame="1"/>
            </w:rPr>
            <w:t>75</w:t>
          </w:r>
          <w:r>
            <w:rPr>
              <w:color w:val="1F1F1F"/>
            </w:rPr>
            <w:t xml:space="preserve">, 11–18. </w:t>
          </w:r>
          <w:hyperlink r:id="rId58" w:tgtFrame="_blank" w:history="1">
            <w:r>
              <w:rPr>
                <w:rStyle w:val="Hyperlink"/>
                <w:color w:val="0B57D0"/>
                <w:bdr w:val="none" w:sz="0" w:space="0" w:color="auto" w:frame="1"/>
              </w:rPr>
              <w:t>https://doi.org/10.1016/j.buildenv.2014.01.009</w:t>
            </w:r>
          </w:hyperlink>
        </w:p>
        <w:p w14:paraId="606BA8F2" w14:textId="77777777" w:rsidR="00522D70" w:rsidRDefault="00522D70" w:rsidP="00522D70">
          <w:pPr>
            <w:pStyle w:val="NormalWeb"/>
            <w:spacing w:after="0" w:afterAutospacing="0"/>
            <w:ind w:hanging="720"/>
            <w:rPr>
              <w:color w:val="1F1F1F"/>
            </w:rPr>
          </w:pPr>
          <w:r>
            <w:rPr>
              <w:color w:val="1F1F1F"/>
            </w:rPr>
            <w:t xml:space="preserve">McGregor, F., Heath, A., </w:t>
          </w:r>
          <w:proofErr w:type="spellStart"/>
          <w:r>
            <w:rPr>
              <w:color w:val="1F1F1F"/>
            </w:rPr>
            <w:t>Fodde</w:t>
          </w:r>
          <w:proofErr w:type="spellEnd"/>
          <w:r>
            <w:rPr>
              <w:color w:val="1F1F1F"/>
            </w:rPr>
            <w:t xml:space="preserve">, E., &amp; Shea, A. (2017). The moisture buffering capacity of bio-based materials: Comparison of standard methods. </w:t>
          </w:r>
          <w:r>
            <w:rPr>
              <w:i/>
              <w:iCs/>
              <w:color w:val="1F1F1F"/>
              <w:bdr w:val="none" w:sz="0" w:space="0" w:color="auto" w:frame="1"/>
            </w:rPr>
            <w:t>Construction and Building Materials</w:t>
          </w:r>
          <w:r>
            <w:rPr>
              <w:color w:val="1F1F1F"/>
            </w:rPr>
            <w:t xml:space="preserve">, </w:t>
          </w:r>
          <w:r>
            <w:rPr>
              <w:i/>
              <w:iCs/>
              <w:color w:val="1F1F1F"/>
              <w:bdr w:val="none" w:sz="0" w:space="0" w:color="auto" w:frame="1"/>
            </w:rPr>
            <w:t>133</w:t>
          </w:r>
          <w:r>
            <w:rPr>
              <w:color w:val="1F1F1F"/>
            </w:rPr>
            <w:t xml:space="preserve">, 125–136. </w:t>
          </w:r>
          <w:hyperlink r:id="rId59" w:tgtFrame="_blank" w:history="1">
            <w:r>
              <w:rPr>
                <w:rStyle w:val="Hyperlink"/>
                <w:color w:val="0B57D0"/>
                <w:bdr w:val="none" w:sz="0" w:space="0" w:color="auto" w:frame="1"/>
              </w:rPr>
              <w:t>https://doi.org/10.1016/j.conbuildmat.2016.12.035</w:t>
            </w:r>
          </w:hyperlink>
        </w:p>
        <w:p w14:paraId="1D3D2980" w14:textId="77777777" w:rsidR="00522D70" w:rsidRDefault="00522D70" w:rsidP="00522D70">
          <w:pPr>
            <w:pStyle w:val="NormalWeb"/>
            <w:spacing w:after="0" w:afterAutospacing="0"/>
            <w:ind w:hanging="720"/>
            <w:rPr>
              <w:color w:val="1F1F1F"/>
            </w:rPr>
          </w:pPr>
          <w:r>
            <w:rPr>
              <w:color w:val="1F1F1F"/>
            </w:rPr>
            <w:t xml:space="preserve">Nicol, J. F., &amp; Humphreys, M. A. (2002). Adaptive thermal comfort and sustainable development. </w:t>
          </w:r>
          <w:r>
            <w:rPr>
              <w:i/>
              <w:iCs/>
              <w:color w:val="1F1F1F"/>
              <w:bdr w:val="none" w:sz="0" w:space="0" w:color="auto" w:frame="1"/>
            </w:rPr>
            <w:t>Energy and Buildings</w:t>
          </w:r>
          <w:r>
            <w:rPr>
              <w:color w:val="1F1F1F"/>
            </w:rPr>
            <w:t xml:space="preserve">, </w:t>
          </w:r>
          <w:r>
            <w:rPr>
              <w:i/>
              <w:iCs/>
              <w:color w:val="1F1F1F"/>
              <w:bdr w:val="none" w:sz="0" w:space="0" w:color="auto" w:frame="1"/>
            </w:rPr>
            <w:t>34</w:t>
          </w:r>
          <w:r>
            <w:rPr>
              <w:color w:val="1F1F1F"/>
            </w:rPr>
            <w:t xml:space="preserve">(6), 563–572. </w:t>
          </w:r>
          <w:hyperlink r:id="rId60" w:tgtFrame="_blank" w:history="1">
            <w:r>
              <w:rPr>
                <w:rStyle w:val="Hyperlink"/>
                <w:color w:val="0B57D0"/>
                <w:bdr w:val="none" w:sz="0" w:space="0" w:color="auto" w:frame="1"/>
              </w:rPr>
              <w:t>https://doi.org/10.1016/S0378-7788(02)00006-3</w:t>
            </w:r>
          </w:hyperlink>
        </w:p>
        <w:p w14:paraId="4E6DE851" w14:textId="77777777" w:rsidR="00522D70" w:rsidRDefault="00522D70" w:rsidP="00522D70">
          <w:pPr>
            <w:pStyle w:val="NormalWeb"/>
            <w:spacing w:after="0" w:afterAutospacing="0"/>
            <w:ind w:hanging="720"/>
            <w:rPr>
              <w:color w:val="1F1F1F"/>
            </w:rPr>
          </w:pPr>
          <w:proofErr w:type="spellStart"/>
          <w:r>
            <w:rPr>
              <w:color w:val="1F1F1F"/>
            </w:rPr>
            <w:t>Osanyintola</w:t>
          </w:r>
          <w:proofErr w:type="spellEnd"/>
          <w:r>
            <w:rPr>
              <w:color w:val="1F1F1F"/>
            </w:rPr>
            <w:t xml:space="preserve">, O. F., &amp; Simonson, C. J. (2006). Moisture buffering capacity of hygroscopic building materials: Experimental facilities and energy impact. </w:t>
          </w:r>
          <w:r>
            <w:rPr>
              <w:i/>
              <w:iCs/>
              <w:color w:val="1F1F1F"/>
              <w:bdr w:val="none" w:sz="0" w:space="0" w:color="auto" w:frame="1"/>
            </w:rPr>
            <w:t>Energy and Buildings</w:t>
          </w:r>
          <w:r>
            <w:rPr>
              <w:color w:val="1F1F1F"/>
            </w:rPr>
            <w:t xml:space="preserve">, </w:t>
          </w:r>
          <w:r>
            <w:rPr>
              <w:i/>
              <w:iCs/>
              <w:color w:val="1F1F1F"/>
              <w:bdr w:val="none" w:sz="0" w:space="0" w:color="auto" w:frame="1"/>
            </w:rPr>
            <w:t>38</w:t>
          </w:r>
          <w:r>
            <w:rPr>
              <w:color w:val="1F1F1F"/>
            </w:rPr>
            <w:t xml:space="preserve">(10), 1270–1282. </w:t>
          </w:r>
          <w:hyperlink r:id="rId61" w:tgtFrame="_blank" w:history="1">
            <w:r>
              <w:rPr>
                <w:rStyle w:val="Hyperlink"/>
                <w:color w:val="0B57D0"/>
                <w:bdr w:val="none" w:sz="0" w:space="0" w:color="auto" w:frame="1"/>
              </w:rPr>
              <w:t>https://doi.org/10.1016/j.enbuild.2006.03.026</w:t>
            </w:r>
          </w:hyperlink>
        </w:p>
        <w:p w14:paraId="69765CF1" w14:textId="77777777" w:rsidR="00522D70" w:rsidRDefault="00522D70" w:rsidP="00522D70">
          <w:pPr>
            <w:pStyle w:val="NormalWeb"/>
            <w:spacing w:after="0" w:afterAutospacing="0"/>
            <w:ind w:hanging="720"/>
            <w:rPr>
              <w:color w:val="1F1F1F"/>
            </w:rPr>
          </w:pPr>
          <w:r>
            <w:rPr>
              <w:color w:val="1F1F1F"/>
            </w:rPr>
            <w:t xml:space="preserve">Palumbo, M., Avellaneda, J., &amp; </w:t>
          </w:r>
          <w:proofErr w:type="spellStart"/>
          <w:r>
            <w:rPr>
              <w:color w:val="1F1F1F"/>
            </w:rPr>
            <w:t>Lacasta</w:t>
          </w:r>
          <w:proofErr w:type="spellEnd"/>
          <w:r>
            <w:rPr>
              <w:color w:val="1F1F1F"/>
            </w:rPr>
            <w:t xml:space="preserve">, A. M. (2015). Availability of crop by-products in Spain: New raw materials for natural thermal insulation. </w:t>
          </w:r>
          <w:r>
            <w:rPr>
              <w:i/>
              <w:iCs/>
              <w:color w:val="1F1F1F"/>
              <w:bdr w:val="none" w:sz="0" w:space="0" w:color="auto" w:frame="1"/>
            </w:rPr>
            <w:t>Resources, Conservation and Recycling</w:t>
          </w:r>
          <w:r>
            <w:rPr>
              <w:color w:val="1F1F1F"/>
            </w:rPr>
            <w:t xml:space="preserve">, </w:t>
          </w:r>
          <w:r>
            <w:rPr>
              <w:i/>
              <w:iCs/>
              <w:color w:val="1F1F1F"/>
              <w:bdr w:val="none" w:sz="0" w:space="0" w:color="auto" w:frame="1"/>
            </w:rPr>
            <w:t>99</w:t>
          </w:r>
          <w:r>
            <w:rPr>
              <w:color w:val="1F1F1F"/>
            </w:rPr>
            <w:t xml:space="preserve">, 1–6. </w:t>
          </w:r>
          <w:hyperlink r:id="rId62" w:tgtFrame="_blank" w:history="1">
            <w:r>
              <w:rPr>
                <w:rStyle w:val="Hyperlink"/>
                <w:color w:val="0B57D0"/>
                <w:bdr w:val="none" w:sz="0" w:space="0" w:color="auto" w:frame="1"/>
              </w:rPr>
              <w:t>https://doi.org/10.1016/j.resconrec.2015.03.012</w:t>
            </w:r>
          </w:hyperlink>
        </w:p>
        <w:p w14:paraId="7CD86A81" w14:textId="77777777" w:rsidR="00522D70" w:rsidRDefault="00522D70" w:rsidP="00522D70">
          <w:pPr>
            <w:pStyle w:val="NormalWeb"/>
            <w:spacing w:after="0" w:afterAutospacing="0"/>
            <w:ind w:hanging="720"/>
            <w:rPr>
              <w:color w:val="1F1F1F"/>
            </w:rPr>
          </w:pPr>
          <w:r>
            <w:rPr>
              <w:color w:val="1F1F1F"/>
            </w:rPr>
            <w:t xml:space="preserve">Parsons, K. (2014). </w:t>
          </w:r>
          <w:r>
            <w:rPr>
              <w:i/>
              <w:iCs/>
              <w:color w:val="1F1F1F"/>
              <w:bdr w:val="none" w:sz="0" w:space="0" w:color="auto" w:frame="1"/>
            </w:rPr>
            <w:t>Human thermal environments: The effects of hot, moderate, and cold environments on human health, comfort, and performance</w:t>
          </w:r>
          <w:r>
            <w:rPr>
              <w:color w:val="1F1F1F"/>
            </w:rPr>
            <w:t xml:space="preserve"> (3rd ed.). CRC Press. </w:t>
          </w:r>
          <w:hyperlink r:id="rId63" w:tgtFrame="_blank" w:history="1">
            <w:r>
              <w:rPr>
                <w:rStyle w:val="Hyperlink"/>
                <w:color w:val="0B57D0"/>
                <w:bdr w:val="none" w:sz="0" w:space="0" w:color="auto" w:frame="1"/>
              </w:rPr>
              <w:t>https://doi.org/10.1201/b16750</w:t>
            </w:r>
          </w:hyperlink>
        </w:p>
        <w:p w14:paraId="157AD8B8" w14:textId="77777777" w:rsidR="00522D70" w:rsidRDefault="00522D70" w:rsidP="00522D70">
          <w:pPr>
            <w:pStyle w:val="NormalWeb"/>
            <w:spacing w:after="0" w:afterAutospacing="0"/>
            <w:ind w:hanging="720"/>
            <w:rPr>
              <w:color w:val="1F1F1F"/>
            </w:rPr>
          </w:pPr>
          <w:r>
            <w:rPr>
              <w:color w:val="1F1F1F"/>
            </w:rPr>
            <w:t xml:space="preserve">Perez-Lombard, L., Ortiz, J., &amp; Pout, C. (2008). A review on buildings energy consumption information. </w:t>
          </w:r>
          <w:r>
            <w:rPr>
              <w:i/>
              <w:iCs/>
              <w:color w:val="1F1F1F"/>
              <w:bdr w:val="none" w:sz="0" w:space="0" w:color="auto" w:frame="1"/>
            </w:rPr>
            <w:t>Energy and Buildings</w:t>
          </w:r>
          <w:r>
            <w:rPr>
              <w:color w:val="1F1F1F"/>
            </w:rPr>
            <w:t xml:space="preserve">, </w:t>
          </w:r>
          <w:r>
            <w:rPr>
              <w:i/>
              <w:iCs/>
              <w:color w:val="1F1F1F"/>
              <w:bdr w:val="none" w:sz="0" w:space="0" w:color="auto" w:frame="1"/>
            </w:rPr>
            <w:t>40</w:t>
          </w:r>
          <w:r>
            <w:rPr>
              <w:color w:val="1F1F1F"/>
            </w:rPr>
            <w:t xml:space="preserve">(3), 394–398. </w:t>
          </w:r>
          <w:hyperlink r:id="rId64" w:tgtFrame="_blank" w:history="1">
            <w:r>
              <w:rPr>
                <w:rStyle w:val="Hyperlink"/>
                <w:color w:val="0B57D0"/>
                <w:bdr w:val="none" w:sz="0" w:space="0" w:color="auto" w:frame="1"/>
              </w:rPr>
              <w:t>https://doi.org/10.1016/j.enbuild.2007.03.007</w:t>
            </w:r>
          </w:hyperlink>
        </w:p>
        <w:p w14:paraId="24D8B614" w14:textId="77777777" w:rsidR="00522D70" w:rsidRDefault="00522D70" w:rsidP="00522D70">
          <w:pPr>
            <w:pStyle w:val="NormalWeb"/>
            <w:spacing w:after="0" w:afterAutospacing="0"/>
            <w:ind w:hanging="720"/>
            <w:rPr>
              <w:color w:val="1F1F1F"/>
            </w:rPr>
          </w:pPr>
          <w:r>
            <w:rPr>
              <w:color w:val="1F1F1F"/>
            </w:rPr>
            <w:t xml:space="preserve">Rode, C., </w:t>
          </w:r>
          <w:proofErr w:type="spellStart"/>
          <w:r>
            <w:rPr>
              <w:color w:val="1F1F1F"/>
            </w:rPr>
            <w:t>Peuhkuri</w:t>
          </w:r>
          <w:proofErr w:type="spellEnd"/>
          <w:r>
            <w:rPr>
              <w:color w:val="1F1F1F"/>
            </w:rPr>
            <w:t xml:space="preserve">, R., Lone, H., et al. (2019). Moisture buffering in buildings: A review of experimental and numerical methods. </w:t>
          </w:r>
          <w:r>
            <w:rPr>
              <w:i/>
              <w:iCs/>
              <w:color w:val="1F1F1F"/>
              <w:bdr w:val="none" w:sz="0" w:space="0" w:color="auto" w:frame="1"/>
            </w:rPr>
            <w:t>Energy and Buildings</w:t>
          </w:r>
          <w:r>
            <w:rPr>
              <w:color w:val="1F1F1F"/>
            </w:rPr>
            <w:t xml:space="preserve">, </w:t>
          </w:r>
          <w:r>
            <w:rPr>
              <w:i/>
              <w:iCs/>
              <w:color w:val="1F1F1F"/>
              <w:bdr w:val="none" w:sz="0" w:space="0" w:color="auto" w:frame="1"/>
            </w:rPr>
            <w:t>202</w:t>
          </w:r>
          <w:r>
            <w:rPr>
              <w:color w:val="1F1F1F"/>
            </w:rPr>
            <w:t xml:space="preserve">, 109394. </w:t>
          </w:r>
          <w:hyperlink r:id="rId65" w:tgtFrame="_blank" w:history="1">
            <w:r>
              <w:rPr>
                <w:rStyle w:val="Hyperlink"/>
                <w:color w:val="0B57D0"/>
                <w:bdr w:val="none" w:sz="0" w:space="0" w:color="auto" w:frame="1"/>
              </w:rPr>
              <w:t>https://doi.org/10.1016/j.enbuild.2019.109394</w:t>
            </w:r>
          </w:hyperlink>
        </w:p>
        <w:p w14:paraId="28CDEFB0" w14:textId="77777777" w:rsidR="00522D70" w:rsidRDefault="00522D70" w:rsidP="00522D70">
          <w:pPr>
            <w:pStyle w:val="NormalWeb"/>
            <w:spacing w:after="0" w:afterAutospacing="0"/>
            <w:ind w:hanging="720"/>
            <w:rPr>
              <w:color w:val="1F1F1F"/>
            </w:rPr>
          </w:pPr>
          <w:proofErr w:type="spellStart"/>
          <w:r>
            <w:rPr>
              <w:color w:val="1F1F1F"/>
            </w:rPr>
            <w:lastRenderedPageBreak/>
            <w:t>Romanovsky</w:t>
          </w:r>
          <w:proofErr w:type="spellEnd"/>
          <w:r>
            <w:rPr>
              <w:color w:val="1F1F1F"/>
            </w:rPr>
            <w:t xml:space="preserve">, A. A. (2007). Thermoregulation: Some concepts have changed. Functional architecture of the thermoregulatory system. </w:t>
          </w:r>
          <w:r>
            <w:rPr>
              <w:i/>
              <w:iCs/>
              <w:color w:val="1F1F1F"/>
              <w:bdr w:val="none" w:sz="0" w:space="0" w:color="auto" w:frame="1"/>
            </w:rPr>
            <w:t>American Journal of Physiology-Regulatory, Integrative and Comparative Physiology</w:t>
          </w:r>
          <w:r>
            <w:rPr>
              <w:color w:val="1F1F1F"/>
            </w:rPr>
            <w:t xml:space="preserve">, </w:t>
          </w:r>
          <w:r>
            <w:rPr>
              <w:i/>
              <w:iCs/>
              <w:color w:val="1F1F1F"/>
              <w:bdr w:val="none" w:sz="0" w:space="0" w:color="auto" w:frame="1"/>
            </w:rPr>
            <w:t>292</w:t>
          </w:r>
          <w:r>
            <w:rPr>
              <w:color w:val="1F1F1F"/>
            </w:rPr>
            <w:t xml:space="preserve">(1), R37–R46. </w:t>
          </w:r>
          <w:hyperlink r:id="rId66" w:tgtFrame="_blank" w:history="1">
            <w:r>
              <w:rPr>
                <w:rStyle w:val="Hyperlink"/>
                <w:color w:val="0B57D0"/>
                <w:bdr w:val="none" w:sz="0" w:space="0" w:color="auto" w:frame="1"/>
              </w:rPr>
              <w:t>https://doi.org/10.1152/ajpregu.00668.2006</w:t>
            </w:r>
          </w:hyperlink>
        </w:p>
        <w:p w14:paraId="7F710548" w14:textId="77777777" w:rsidR="00522D70" w:rsidRDefault="00522D70" w:rsidP="00522D70">
          <w:pPr>
            <w:pStyle w:val="NormalWeb"/>
            <w:spacing w:after="0" w:afterAutospacing="0"/>
            <w:ind w:hanging="720"/>
            <w:rPr>
              <w:color w:val="1F1F1F"/>
            </w:rPr>
          </w:pPr>
          <w:proofErr w:type="spellStart"/>
          <w:r>
            <w:rPr>
              <w:color w:val="1F1F1F"/>
            </w:rPr>
            <w:t>Romanovsky</w:t>
          </w:r>
          <w:proofErr w:type="spellEnd"/>
          <w:r>
            <w:rPr>
              <w:color w:val="1F1F1F"/>
            </w:rPr>
            <w:t xml:space="preserve">, A. A. (2014). Skin temperature: Its role in thermoregulation. </w:t>
          </w:r>
          <w:r>
            <w:rPr>
              <w:i/>
              <w:iCs/>
              <w:color w:val="1F1F1F"/>
              <w:bdr w:val="none" w:sz="0" w:space="0" w:color="auto" w:frame="1"/>
            </w:rPr>
            <w:t xml:space="preserve">Acta </w:t>
          </w:r>
          <w:proofErr w:type="spellStart"/>
          <w:r>
            <w:rPr>
              <w:i/>
              <w:iCs/>
              <w:color w:val="1F1F1F"/>
              <w:bdr w:val="none" w:sz="0" w:space="0" w:color="auto" w:frame="1"/>
            </w:rPr>
            <w:t>Physiologica</w:t>
          </w:r>
          <w:proofErr w:type="spellEnd"/>
          <w:r>
            <w:rPr>
              <w:color w:val="1F1F1F"/>
            </w:rPr>
            <w:t xml:space="preserve">, </w:t>
          </w:r>
          <w:r>
            <w:rPr>
              <w:i/>
              <w:iCs/>
              <w:color w:val="1F1F1F"/>
              <w:bdr w:val="none" w:sz="0" w:space="0" w:color="auto" w:frame="1"/>
            </w:rPr>
            <w:t>210</w:t>
          </w:r>
          <w:r>
            <w:rPr>
              <w:color w:val="1F1F1F"/>
            </w:rPr>
            <w:t xml:space="preserve">(3), 498–507. </w:t>
          </w:r>
          <w:hyperlink r:id="rId67" w:tgtFrame="_blank" w:history="1">
            <w:r>
              <w:rPr>
                <w:rStyle w:val="Hyperlink"/>
                <w:color w:val="0B57D0"/>
                <w:bdr w:val="none" w:sz="0" w:space="0" w:color="auto" w:frame="1"/>
              </w:rPr>
              <w:t>https://doi.org/10.1111/apha.12231</w:t>
            </w:r>
          </w:hyperlink>
        </w:p>
        <w:p w14:paraId="2DE48CE6" w14:textId="77777777" w:rsidR="00522D70" w:rsidRDefault="00522D70" w:rsidP="00522D70">
          <w:pPr>
            <w:pStyle w:val="NormalWeb"/>
            <w:spacing w:after="0" w:afterAutospacing="0"/>
            <w:ind w:hanging="720"/>
            <w:rPr>
              <w:color w:val="1F1F1F"/>
            </w:rPr>
          </w:pPr>
          <w:proofErr w:type="spellStart"/>
          <w:r>
            <w:rPr>
              <w:color w:val="1F1F1F"/>
            </w:rPr>
            <w:t>Sadineni</w:t>
          </w:r>
          <w:proofErr w:type="spellEnd"/>
          <w:r>
            <w:rPr>
              <w:color w:val="1F1F1F"/>
            </w:rPr>
            <w:t xml:space="preserve">, S. B., </w:t>
          </w:r>
          <w:proofErr w:type="spellStart"/>
          <w:r>
            <w:rPr>
              <w:color w:val="1F1F1F"/>
            </w:rPr>
            <w:t>Madala</w:t>
          </w:r>
          <w:proofErr w:type="spellEnd"/>
          <w:r>
            <w:rPr>
              <w:color w:val="1F1F1F"/>
            </w:rPr>
            <w:t xml:space="preserve">, S., &amp; Boehm, R. F. (2011). Passive building energy savings: A review of building envelope components. </w:t>
          </w:r>
          <w:r>
            <w:rPr>
              <w:i/>
              <w:iCs/>
              <w:color w:val="1F1F1F"/>
              <w:bdr w:val="none" w:sz="0" w:space="0" w:color="auto" w:frame="1"/>
            </w:rPr>
            <w:t>Renewable and Sustainable Energy Reviews</w:t>
          </w:r>
          <w:r>
            <w:rPr>
              <w:color w:val="1F1F1F"/>
            </w:rPr>
            <w:t xml:space="preserve">, </w:t>
          </w:r>
          <w:r>
            <w:rPr>
              <w:i/>
              <w:iCs/>
              <w:color w:val="1F1F1F"/>
              <w:bdr w:val="none" w:sz="0" w:space="0" w:color="auto" w:frame="1"/>
            </w:rPr>
            <w:t>15</w:t>
          </w:r>
          <w:r>
            <w:rPr>
              <w:color w:val="1F1F1F"/>
            </w:rPr>
            <w:t xml:space="preserve">(8), 3617–3631. </w:t>
          </w:r>
          <w:hyperlink r:id="rId68" w:tgtFrame="_blank" w:history="1">
            <w:r>
              <w:rPr>
                <w:rStyle w:val="Hyperlink"/>
                <w:color w:val="0B57D0"/>
                <w:bdr w:val="none" w:sz="0" w:space="0" w:color="auto" w:frame="1"/>
              </w:rPr>
              <w:t>https://doi.org/10.1016/j.rser.2011.07.014</w:t>
            </w:r>
          </w:hyperlink>
        </w:p>
        <w:p w14:paraId="33FE2334" w14:textId="77777777" w:rsidR="00522D70" w:rsidRDefault="00522D70" w:rsidP="00522D70">
          <w:pPr>
            <w:pStyle w:val="NormalWeb"/>
            <w:spacing w:after="0" w:afterAutospacing="0"/>
            <w:ind w:hanging="720"/>
            <w:rPr>
              <w:color w:val="1F1F1F"/>
            </w:rPr>
          </w:pPr>
          <w:proofErr w:type="spellStart"/>
          <w:r>
            <w:rPr>
              <w:color w:val="1F1F1F"/>
            </w:rPr>
            <w:t>Saghafi</w:t>
          </w:r>
          <w:proofErr w:type="spellEnd"/>
          <w:r>
            <w:rPr>
              <w:color w:val="1F1F1F"/>
            </w:rPr>
            <w:t xml:space="preserve">, M. D., &amp; Hosseini </w:t>
          </w:r>
          <w:proofErr w:type="spellStart"/>
          <w:r>
            <w:rPr>
              <w:color w:val="1F1F1F"/>
            </w:rPr>
            <w:t>Teshnizi</w:t>
          </w:r>
          <w:proofErr w:type="spellEnd"/>
          <w:r>
            <w:rPr>
              <w:color w:val="1F1F1F"/>
            </w:rPr>
            <w:t xml:space="preserve">, Z. S. H. (2011). Recycling value of building materials in building assessment systems. </w:t>
          </w:r>
          <w:r>
            <w:rPr>
              <w:i/>
              <w:iCs/>
              <w:color w:val="1F1F1F"/>
              <w:bdr w:val="none" w:sz="0" w:space="0" w:color="auto" w:frame="1"/>
            </w:rPr>
            <w:t>Energy and Buildings</w:t>
          </w:r>
          <w:r>
            <w:rPr>
              <w:color w:val="1F1F1F"/>
            </w:rPr>
            <w:t xml:space="preserve">, </w:t>
          </w:r>
          <w:r>
            <w:rPr>
              <w:i/>
              <w:iCs/>
              <w:color w:val="1F1F1F"/>
              <w:bdr w:val="none" w:sz="0" w:space="0" w:color="auto" w:frame="1"/>
            </w:rPr>
            <w:t>43</w:t>
          </w:r>
          <w:r>
            <w:rPr>
              <w:color w:val="1F1F1F"/>
            </w:rPr>
            <w:t xml:space="preserve">(11), 3181–3188. </w:t>
          </w:r>
          <w:hyperlink r:id="rId69" w:tgtFrame="_blank" w:history="1">
            <w:r>
              <w:rPr>
                <w:rStyle w:val="Hyperlink"/>
                <w:color w:val="0B57D0"/>
                <w:bdr w:val="none" w:sz="0" w:space="0" w:color="auto" w:frame="1"/>
              </w:rPr>
              <w:t>https://doi.org/10.1016/j.enbuild.2011.08.016</w:t>
            </w:r>
          </w:hyperlink>
        </w:p>
        <w:p w14:paraId="37995EF4" w14:textId="77777777" w:rsidR="00522D70" w:rsidRDefault="00522D70" w:rsidP="00522D70">
          <w:pPr>
            <w:pStyle w:val="NormalWeb"/>
            <w:spacing w:after="0" w:afterAutospacing="0"/>
            <w:ind w:hanging="720"/>
            <w:rPr>
              <w:color w:val="1F1F1F"/>
            </w:rPr>
          </w:pPr>
          <w:proofErr w:type="spellStart"/>
          <w:r>
            <w:rPr>
              <w:color w:val="1F1F1F"/>
            </w:rPr>
            <w:t>Santamouris</w:t>
          </w:r>
          <w:proofErr w:type="spellEnd"/>
          <w:r>
            <w:rPr>
              <w:color w:val="1F1F1F"/>
            </w:rPr>
            <w:t xml:space="preserve">, M. (2016). </w:t>
          </w:r>
          <w:r>
            <w:rPr>
              <w:i/>
              <w:iCs/>
              <w:color w:val="1F1F1F"/>
              <w:bdr w:val="none" w:sz="0" w:space="0" w:color="auto" w:frame="1"/>
            </w:rPr>
            <w:t>Cooling the cities: Taming the urban environment</w:t>
          </w:r>
          <w:r>
            <w:rPr>
              <w:color w:val="1F1F1F"/>
            </w:rPr>
            <w:t xml:space="preserve">. CRC Press. </w:t>
          </w:r>
          <w:hyperlink r:id="rId70" w:tgtFrame="_blank" w:history="1">
            <w:r>
              <w:rPr>
                <w:rStyle w:val="Hyperlink"/>
                <w:color w:val="0B57D0"/>
                <w:bdr w:val="none" w:sz="0" w:space="0" w:color="auto" w:frame="1"/>
              </w:rPr>
              <w:t>https://doi.org/10.1201/b16388</w:t>
            </w:r>
          </w:hyperlink>
        </w:p>
        <w:p w14:paraId="11DC810C" w14:textId="77777777" w:rsidR="00522D70" w:rsidRDefault="00522D70" w:rsidP="00522D70">
          <w:pPr>
            <w:pStyle w:val="NormalWeb"/>
            <w:spacing w:after="0" w:afterAutospacing="0"/>
            <w:ind w:hanging="720"/>
            <w:rPr>
              <w:color w:val="1F1F1F"/>
            </w:rPr>
          </w:pPr>
          <w:proofErr w:type="spellStart"/>
          <w:r>
            <w:rPr>
              <w:color w:val="1F1F1F"/>
            </w:rPr>
            <w:t>Santamouris</w:t>
          </w:r>
          <w:proofErr w:type="spellEnd"/>
          <w:r>
            <w:rPr>
              <w:color w:val="1F1F1F"/>
            </w:rPr>
            <w:t xml:space="preserve">, M., </w:t>
          </w:r>
          <w:proofErr w:type="spellStart"/>
          <w:r>
            <w:rPr>
              <w:color w:val="1F1F1F"/>
            </w:rPr>
            <w:t>Synnefa</w:t>
          </w:r>
          <w:proofErr w:type="spellEnd"/>
          <w:r>
            <w:rPr>
              <w:color w:val="1F1F1F"/>
            </w:rPr>
            <w:t xml:space="preserve">, A., &amp; </w:t>
          </w:r>
          <w:proofErr w:type="spellStart"/>
          <w:r>
            <w:rPr>
              <w:color w:val="1F1F1F"/>
            </w:rPr>
            <w:t>Karlessi</w:t>
          </w:r>
          <w:proofErr w:type="spellEnd"/>
          <w:r>
            <w:rPr>
              <w:color w:val="1F1F1F"/>
            </w:rPr>
            <w:t xml:space="preserve">, T. (2011). Using advanced cool materials in the urban built environment to mitigate heat islands and improve thermal comfort conditions. </w:t>
          </w:r>
          <w:r>
            <w:rPr>
              <w:i/>
              <w:iCs/>
              <w:color w:val="1F1F1F"/>
              <w:bdr w:val="none" w:sz="0" w:space="0" w:color="auto" w:frame="1"/>
            </w:rPr>
            <w:t>Solar Energy</w:t>
          </w:r>
          <w:r>
            <w:rPr>
              <w:color w:val="1F1F1F"/>
            </w:rPr>
            <w:t xml:space="preserve">, </w:t>
          </w:r>
          <w:r>
            <w:rPr>
              <w:i/>
              <w:iCs/>
              <w:color w:val="1F1F1F"/>
              <w:bdr w:val="none" w:sz="0" w:space="0" w:color="auto" w:frame="1"/>
            </w:rPr>
            <w:t>85</w:t>
          </w:r>
          <w:r>
            <w:rPr>
              <w:color w:val="1F1F1F"/>
            </w:rPr>
            <w:t xml:space="preserve">(12), 3085–3102. </w:t>
          </w:r>
          <w:hyperlink r:id="rId71" w:tgtFrame="_blank" w:history="1">
            <w:r>
              <w:rPr>
                <w:rStyle w:val="Hyperlink"/>
                <w:color w:val="0B57D0"/>
                <w:bdr w:val="none" w:sz="0" w:space="0" w:color="auto" w:frame="1"/>
              </w:rPr>
              <w:t>https://doi.org/10.1016/j.solener.2010.12.023</w:t>
            </w:r>
          </w:hyperlink>
        </w:p>
        <w:p w14:paraId="534F6AFF" w14:textId="77777777" w:rsidR="00522D70" w:rsidRDefault="00522D70" w:rsidP="00522D70">
          <w:pPr>
            <w:pStyle w:val="NormalWeb"/>
            <w:spacing w:after="0" w:afterAutospacing="0"/>
            <w:ind w:hanging="720"/>
            <w:rPr>
              <w:color w:val="1F1F1F"/>
            </w:rPr>
          </w:pPr>
          <w:proofErr w:type="spellStart"/>
          <w:r>
            <w:rPr>
              <w:color w:val="1F1F1F"/>
            </w:rPr>
            <w:t>Seuntjens</w:t>
          </w:r>
          <w:proofErr w:type="spellEnd"/>
          <w:r>
            <w:rPr>
              <w:color w:val="1F1F1F"/>
            </w:rPr>
            <w:t xml:space="preserve">, O., </w:t>
          </w:r>
          <w:proofErr w:type="spellStart"/>
          <w:r>
            <w:rPr>
              <w:color w:val="1F1F1F"/>
            </w:rPr>
            <w:t>Belmans</w:t>
          </w:r>
          <w:proofErr w:type="spellEnd"/>
          <w:r>
            <w:rPr>
              <w:color w:val="1F1F1F"/>
            </w:rPr>
            <w:t xml:space="preserve">, B., </w:t>
          </w:r>
          <w:proofErr w:type="spellStart"/>
          <w:r>
            <w:rPr>
              <w:color w:val="1F1F1F"/>
            </w:rPr>
            <w:t>Buyle</w:t>
          </w:r>
          <w:proofErr w:type="spellEnd"/>
          <w:r>
            <w:rPr>
              <w:color w:val="1F1F1F"/>
            </w:rPr>
            <w:t xml:space="preserve">, M., &amp; </w:t>
          </w:r>
          <w:proofErr w:type="spellStart"/>
          <w:r>
            <w:rPr>
              <w:color w:val="1F1F1F"/>
            </w:rPr>
            <w:t>Audenaert</w:t>
          </w:r>
          <w:proofErr w:type="spellEnd"/>
          <w:r>
            <w:rPr>
              <w:color w:val="1F1F1F"/>
            </w:rPr>
            <w:t xml:space="preserve">, A. (2022). A critical review on the adaptability of ventilation systems: Current problems, solutions and opportunities. </w:t>
          </w:r>
          <w:r>
            <w:rPr>
              <w:i/>
              <w:iCs/>
              <w:color w:val="1F1F1F"/>
              <w:bdr w:val="none" w:sz="0" w:space="0" w:color="auto" w:frame="1"/>
            </w:rPr>
            <w:t>Building and Environment</w:t>
          </w:r>
          <w:r>
            <w:rPr>
              <w:color w:val="1F1F1F"/>
            </w:rPr>
            <w:t xml:space="preserve">, </w:t>
          </w:r>
          <w:r>
            <w:rPr>
              <w:i/>
              <w:iCs/>
              <w:color w:val="1F1F1F"/>
              <w:bdr w:val="none" w:sz="0" w:space="0" w:color="auto" w:frame="1"/>
            </w:rPr>
            <w:t>212</w:t>
          </w:r>
          <w:r>
            <w:rPr>
              <w:color w:val="1F1F1F"/>
            </w:rPr>
            <w:t xml:space="preserve">, 108816. </w:t>
          </w:r>
          <w:hyperlink r:id="rId72" w:tgtFrame="_blank" w:history="1">
            <w:r>
              <w:rPr>
                <w:rStyle w:val="Hyperlink"/>
                <w:color w:val="0B57D0"/>
                <w:bdr w:val="none" w:sz="0" w:space="0" w:color="auto" w:frame="1"/>
              </w:rPr>
              <w:t>https://doi.org/10.1016/j.buildenv.2022.108816</w:t>
            </w:r>
          </w:hyperlink>
        </w:p>
        <w:p w14:paraId="28C896F9" w14:textId="77777777" w:rsidR="00522D70" w:rsidRDefault="00522D70" w:rsidP="00522D70">
          <w:pPr>
            <w:pStyle w:val="NormalWeb"/>
            <w:spacing w:after="0" w:afterAutospacing="0"/>
            <w:ind w:hanging="720"/>
            <w:rPr>
              <w:color w:val="1F1F1F"/>
            </w:rPr>
          </w:pPr>
          <w:r>
            <w:rPr>
              <w:color w:val="1F1F1F"/>
            </w:rPr>
            <w:t xml:space="preserve">Sheikh, W. T., &amp; Asghar, Q. (2019). Adaptive biomimetic facades: Enhancing energy efficiency of highly glazed buildings. </w:t>
          </w:r>
          <w:r>
            <w:rPr>
              <w:i/>
              <w:iCs/>
              <w:color w:val="1F1F1F"/>
              <w:bdr w:val="none" w:sz="0" w:space="0" w:color="auto" w:frame="1"/>
            </w:rPr>
            <w:t>Frontiers of Architectural Research</w:t>
          </w:r>
          <w:r>
            <w:rPr>
              <w:color w:val="1F1F1F"/>
            </w:rPr>
            <w:t xml:space="preserve">, </w:t>
          </w:r>
          <w:r>
            <w:rPr>
              <w:i/>
              <w:iCs/>
              <w:color w:val="1F1F1F"/>
              <w:bdr w:val="none" w:sz="0" w:space="0" w:color="auto" w:frame="1"/>
            </w:rPr>
            <w:t>8</w:t>
          </w:r>
          <w:r>
            <w:rPr>
              <w:color w:val="1F1F1F"/>
            </w:rPr>
            <w:t xml:space="preserve">(3), 319–331. </w:t>
          </w:r>
          <w:hyperlink r:id="rId73" w:tgtFrame="_blank" w:history="1">
            <w:r>
              <w:rPr>
                <w:rStyle w:val="Hyperlink"/>
                <w:color w:val="0B57D0"/>
                <w:bdr w:val="none" w:sz="0" w:space="0" w:color="auto" w:frame="1"/>
              </w:rPr>
              <w:t>https://doi.org/10.1016/j.foar.2019.06.001</w:t>
            </w:r>
          </w:hyperlink>
        </w:p>
        <w:p w14:paraId="32549C3C" w14:textId="77777777" w:rsidR="00522D70" w:rsidRDefault="00522D70" w:rsidP="00522D70">
          <w:pPr>
            <w:pStyle w:val="NormalWeb"/>
            <w:spacing w:after="0" w:afterAutospacing="0"/>
            <w:ind w:hanging="720"/>
            <w:rPr>
              <w:color w:val="1F1F1F"/>
            </w:rPr>
          </w:pPr>
          <w:proofErr w:type="spellStart"/>
          <w:r>
            <w:rPr>
              <w:color w:val="1F1F1F"/>
            </w:rPr>
            <w:t>Tabadkani</w:t>
          </w:r>
          <w:proofErr w:type="spellEnd"/>
          <w:r>
            <w:rPr>
              <w:color w:val="1F1F1F"/>
            </w:rPr>
            <w:t xml:space="preserve">, A., </w:t>
          </w:r>
          <w:proofErr w:type="spellStart"/>
          <w:r>
            <w:rPr>
              <w:color w:val="1F1F1F"/>
            </w:rPr>
            <w:t>Roetzel</w:t>
          </w:r>
          <w:proofErr w:type="spellEnd"/>
          <w:r>
            <w:rPr>
              <w:color w:val="1F1F1F"/>
            </w:rPr>
            <w:t xml:space="preserve">, A., Li, H. X., &amp; </w:t>
          </w:r>
          <w:proofErr w:type="spellStart"/>
          <w:r>
            <w:rPr>
              <w:color w:val="1F1F1F"/>
            </w:rPr>
            <w:t>Tsangrassoulis</w:t>
          </w:r>
          <w:proofErr w:type="spellEnd"/>
          <w:r>
            <w:rPr>
              <w:color w:val="1F1F1F"/>
            </w:rPr>
            <w:t xml:space="preserve">, A. (2020). A review of automatic control strategies based on simulations for adaptive facades. </w:t>
          </w:r>
          <w:r>
            <w:rPr>
              <w:i/>
              <w:iCs/>
              <w:color w:val="1F1F1F"/>
              <w:bdr w:val="none" w:sz="0" w:space="0" w:color="auto" w:frame="1"/>
            </w:rPr>
            <w:t>Building and Environment</w:t>
          </w:r>
          <w:r>
            <w:rPr>
              <w:color w:val="1F1F1F"/>
            </w:rPr>
            <w:t xml:space="preserve">, </w:t>
          </w:r>
          <w:r>
            <w:rPr>
              <w:i/>
              <w:iCs/>
              <w:color w:val="1F1F1F"/>
              <w:bdr w:val="none" w:sz="0" w:space="0" w:color="auto" w:frame="1"/>
            </w:rPr>
            <w:t>175</w:t>
          </w:r>
          <w:r>
            <w:rPr>
              <w:color w:val="1F1F1F"/>
            </w:rPr>
            <w:t xml:space="preserve">, 106801. </w:t>
          </w:r>
          <w:hyperlink r:id="rId74" w:tgtFrame="_blank" w:history="1">
            <w:r>
              <w:rPr>
                <w:rStyle w:val="Hyperlink"/>
                <w:color w:val="0B57D0"/>
                <w:bdr w:val="none" w:sz="0" w:space="0" w:color="auto" w:frame="1"/>
              </w:rPr>
              <w:t>https://doi.org/10.1016/j.buildenv.2020.106801</w:t>
            </w:r>
          </w:hyperlink>
        </w:p>
        <w:p w14:paraId="72FA721A" w14:textId="77777777" w:rsidR="00522D70" w:rsidRDefault="00522D70" w:rsidP="00522D70">
          <w:pPr>
            <w:pStyle w:val="NormalWeb"/>
            <w:spacing w:after="0" w:afterAutospacing="0"/>
            <w:ind w:hanging="720"/>
            <w:rPr>
              <w:color w:val="1F1F1F"/>
            </w:rPr>
          </w:pPr>
          <w:r>
            <w:rPr>
              <w:color w:val="1F1F1F"/>
            </w:rPr>
            <w:t xml:space="preserve">Tang, F., </w:t>
          </w:r>
          <w:proofErr w:type="spellStart"/>
          <w:r>
            <w:rPr>
              <w:color w:val="1F1F1F"/>
            </w:rPr>
            <w:t>Kusiak</w:t>
          </w:r>
          <w:proofErr w:type="spellEnd"/>
          <w:r>
            <w:rPr>
              <w:color w:val="1F1F1F"/>
            </w:rPr>
            <w:t xml:space="preserve">, A., &amp; Wei, X. (2014). Modeling and short-term prediction of HVAC system with a clustering algorithm. </w:t>
          </w:r>
          <w:r>
            <w:rPr>
              <w:i/>
              <w:iCs/>
              <w:color w:val="1F1F1F"/>
              <w:bdr w:val="none" w:sz="0" w:space="0" w:color="auto" w:frame="1"/>
            </w:rPr>
            <w:t>Energy and Buildings</w:t>
          </w:r>
          <w:r>
            <w:rPr>
              <w:color w:val="1F1F1F"/>
            </w:rPr>
            <w:t xml:space="preserve">, </w:t>
          </w:r>
          <w:r>
            <w:rPr>
              <w:i/>
              <w:iCs/>
              <w:color w:val="1F1F1F"/>
              <w:bdr w:val="none" w:sz="0" w:space="0" w:color="auto" w:frame="1"/>
            </w:rPr>
            <w:t>82</w:t>
          </w:r>
          <w:r>
            <w:rPr>
              <w:color w:val="1F1F1F"/>
            </w:rPr>
            <w:t xml:space="preserve">, 310–321. </w:t>
          </w:r>
          <w:hyperlink r:id="rId75" w:tgtFrame="_blank" w:history="1">
            <w:r>
              <w:rPr>
                <w:rStyle w:val="Hyperlink"/>
                <w:color w:val="0B57D0"/>
                <w:bdr w:val="none" w:sz="0" w:space="0" w:color="auto" w:frame="1"/>
              </w:rPr>
              <w:t>https://doi.org/10.1016/j.enbuild.2014.07.037</w:t>
            </w:r>
          </w:hyperlink>
        </w:p>
        <w:p w14:paraId="0CF83427" w14:textId="77777777" w:rsidR="00522D70" w:rsidRDefault="00522D70" w:rsidP="00522D70">
          <w:pPr>
            <w:pStyle w:val="NormalWeb"/>
            <w:spacing w:after="0" w:afterAutospacing="0"/>
            <w:ind w:hanging="720"/>
            <w:rPr>
              <w:color w:val="1F1F1F"/>
            </w:rPr>
          </w:pPr>
          <w:r>
            <w:rPr>
              <w:color w:val="1F1F1F"/>
            </w:rPr>
            <w:t xml:space="preserve">Tansey, E. A., &amp; Johnson, C. D. (2015). Recent advances in understanding emetic thermoregulation. </w:t>
          </w:r>
          <w:r>
            <w:rPr>
              <w:i/>
              <w:iCs/>
              <w:color w:val="1F1F1F"/>
              <w:bdr w:val="none" w:sz="0" w:space="0" w:color="auto" w:frame="1"/>
            </w:rPr>
            <w:t>Advances in Physiology Education</w:t>
          </w:r>
          <w:r>
            <w:rPr>
              <w:color w:val="1F1F1F"/>
            </w:rPr>
            <w:t xml:space="preserve">, </w:t>
          </w:r>
          <w:r>
            <w:rPr>
              <w:i/>
              <w:iCs/>
              <w:color w:val="1F1F1F"/>
              <w:bdr w:val="none" w:sz="0" w:space="0" w:color="auto" w:frame="1"/>
            </w:rPr>
            <w:t>39</w:t>
          </w:r>
          <w:r>
            <w:rPr>
              <w:color w:val="1F1F1F"/>
            </w:rPr>
            <w:t xml:space="preserve">(3), 139–148. </w:t>
          </w:r>
          <w:hyperlink r:id="rId76" w:tgtFrame="_blank" w:history="1">
            <w:r>
              <w:rPr>
                <w:rStyle w:val="Hyperlink"/>
                <w:color w:val="0B57D0"/>
                <w:bdr w:val="none" w:sz="0" w:space="0" w:color="auto" w:frame="1"/>
              </w:rPr>
              <w:t>https://doi.org/10.1152/advan.00126.2014</w:t>
            </w:r>
          </w:hyperlink>
        </w:p>
        <w:p w14:paraId="28F57471" w14:textId="77777777" w:rsidR="00522D70" w:rsidRDefault="00522D70" w:rsidP="00522D70">
          <w:pPr>
            <w:pStyle w:val="NormalWeb"/>
            <w:spacing w:after="0" w:afterAutospacing="0"/>
            <w:ind w:hanging="720"/>
            <w:rPr>
              <w:color w:val="1F1F1F"/>
            </w:rPr>
          </w:pPr>
          <w:r>
            <w:rPr>
              <w:color w:val="1F1F1F"/>
            </w:rPr>
            <w:t xml:space="preserve">Tran Le, A. D., </w:t>
          </w:r>
          <w:proofErr w:type="spellStart"/>
          <w:r>
            <w:rPr>
              <w:color w:val="1F1F1F"/>
            </w:rPr>
            <w:t>Maalouf</w:t>
          </w:r>
          <w:proofErr w:type="spellEnd"/>
          <w:r>
            <w:rPr>
              <w:color w:val="1F1F1F"/>
            </w:rPr>
            <w:t xml:space="preserve">, C., Mai, T. H., </w:t>
          </w:r>
          <w:proofErr w:type="spellStart"/>
          <w:r>
            <w:rPr>
              <w:color w:val="1F1F1F"/>
            </w:rPr>
            <w:t>Wurtz</w:t>
          </w:r>
          <w:proofErr w:type="spellEnd"/>
          <w:r>
            <w:rPr>
              <w:color w:val="1F1F1F"/>
            </w:rPr>
            <w:t xml:space="preserve">, E., &amp; Collet, F. (2010). Transient </w:t>
          </w:r>
          <w:proofErr w:type="spellStart"/>
          <w:r>
            <w:rPr>
              <w:color w:val="1F1F1F"/>
            </w:rPr>
            <w:t>hygrothermal</w:t>
          </w:r>
          <w:proofErr w:type="spellEnd"/>
          <w:r>
            <w:rPr>
              <w:color w:val="1F1F1F"/>
            </w:rPr>
            <w:t xml:space="preserve"> </w:t>
          </w:r>
          <w:proofErr w:type="spellStart"/>
          <w:r>
            <w:rPr>
              <w:color w:val="1F1F1F"/>
            </w:rPr>
            <w:t>behaviour</w:t>
          </w:r>
          <w:proofErr w:type="spellEnd"/>
          <w:r>
            <w:rPr>
              <w:color w:val="1F1F1F"/>
            </w:rPr>
            <w:t xml:space="preserve"> of a hemp concrete building envelope. </w:t>
          </w:r>
          <w:r>
            <w:rPr>
              <w:i/>
              <w:iCs/>
              <w:color w:val="1F1F1F"/>
              <w:bdr w:val="none" w:sz="0" w:space="0" w:color="auto" w:frame="1"/>
            </w:rPr>
            <w:t>Energy and Buildings</w:t>
          </w:r>
          <w:r>
            <w:rPr>
              <w:color w:val="1F1F1F"/>
            </w:rPr>
            <w:t xml:space="preserve">, </w:t>
          </w:r>
          <w:r>
            <w:rPr>
              <w:i/>
              <w:iCs/>
              <w:color w:val="1F1F1F"/>
              <w:bdr w:val="none" w:sz="0" w:space="0" w:color="auto" w:frame="1"/>
            </w:rPr>
            <w:t>42</w:t>
          </w:r>
          <w:r>
            <w:rPr>
              <w:color w:val="1F1F1F"/>
            </w:rPr>
            <w:t xml:space="preserve">(10), 1797–1806. </w:t>
          </w:r>
          <w:hyperlink r:id="rId77" w:tgtFrame="_blank" w:history="1">
            <w:r>
              <w:rPr>
                <w:rStyle w:val="Hyperlink"/>
                <w:color w:val="0B57D0"/>
                <w:bdr w:val="none" w:sz="0" w:space="0" w:color="auto" w:frame="1"/>
              </w:rPr>
              <w:t>https://doi.org/10.1016/j.enbuild.2010.05.016</w:t>
            </w:r>
          </w:hyperlink>
        </w:p>
        <w:p w14:paraId="6B80D656" w14:textId="77777777" w:rsidR="00522D70" w:rsidRDefault="00522D70" w:rsidP="00522D70">
          <w:pPr>
            <w:pStyle w:val="NormalWeb"/>
            <w:spacing w:after="0" w:afterAutospacing="0"/>
            <w:ind w:hanging="720"/>
            <w:rPr>
              <w:color w:val="1F1F1F"/>
            </w:rPr>
          </w:pPr>
          <w:proofErr w:type="spellStart"/>
          <w:r>
            <w:rPr>
              <w:color w:val="1F1F1F"/>
            </w:rPr>
            <w:lastRenderedPageBreak/>
            <w:t>Viel</w:t>
          </w:r>
          <w:proofErr w:type="spellEnd"/>
          <w:r>
            <w:rPr>
              <w:color w:val="1F1F1F"/>
            </w:rPr>
            <w:t xml:space="preserve">, M., Collet, F., &amp; </w:t>
          </w:r>
          <w:proofErr w:type="spellStart"/>
          <w:r>
            <w:rPr>
              <w:color w:val="1F1F1F"/>
            </w:rPr>
            <w:t>Lanos</w:t>
          </w:r>
          <w:proofErr w:type="spellEnd"/>
          <w:r>
            <w:rPr>
              <w:color w:val="1F1F1F"/>
            </w:rPr>
            <w:t xml:space="preserve">, C. (2019). Development of a new bio-based material: Influence of hemp shiv on the </w:t>
          </w:r>
          <w:proofErr w:type="spellStart"/>
          <w:r>
            <w:rPr>
              <w:color w:val="1F1F1F"/>
            </w:rPr>
            <w:t>hygrothermal</w:t>
          </w:r>
          <w:proofErr w:type="spellEnd"/>
          <w:r>
            <w:rPr>
              <w:color w:val="1F1F1F"/>
            </w:rPr>
            <w:t xml:space="preserve"> properties of lime-hemp concrete. </w:t>
          </w:r>
          <w:r>
            <w:rPr>
              <w:i/>
              <w:iCs/>
              <w:color w:val="1F1F1F"/>
              <w:bdr w:val="none" w:sz="0" w:space="0" w:color="auto" w:frame="1"/>
            </w:rPr>
            <w:t>Construction and Building Materials</w:t>
          </w:r>
          <w:r>
            <w:rPr>
              <w:color w:val="1F1F1F"/>
            </w:rPr>
            <w:t xml:space="preserve">, </w:t>
          </w:r>
          <w:r>
            <w:rPr>
              <w:i/>
              <w:iCs/>
              <w:color w:val="1F1F1F"/>
              <w:bdr w:val="none" w:sz="0" w:space="0" w:color="auto" w:frame="1"/>
            </w:rPr>
            <w:t>214</w:t>
          </w:r>
          <w:r>
            <w:rPr>
              <w:color w:val="1F1F1F"/>
            </w:rPr>
            <w:t xml:space="preserve">, 1–10. </w:t>
          </w:r>
          <w:hyperlink r:id="rId78" w:tgtFrame="_blank" w:history="1">
            <w:r>
              <w:rPr>
                <w:rStyle w:val="Hyperlink"/>
                <w:color w:val="0B57D0"/>
                <w:bdr w:val="none" w:sz="0" w:space="0" w:color="auto" w:frame="1"/>
              </w:rPr>
              <w:t>https://doi.org/10.1016/j.conbuildmat.2019.04.139</w:t>
            </w:r>
          </w:hyperlink>
        </w:p>
        <w:p w14:paraId="48AB7F6D" w14:textId="77777777" w:rsidR="00522D70" w:rsidRDefault="00522D70" w:rsidP="00522D70">
          <w:pPr>
            <w:pStyle w:val="NormalWeb"/>
            <w:spacing w:after="0" w:afterAutospacing="0"/>
            <w:ind w:hanging="720"/>
            <w:rPr>
              <w:color w:val="1F1F1F"/>
            </w:rPr>
          </w:pPr>
          <w:r>
            <w:rPr>
              <w:color w:val="1F1F1F"/>
            </w:rPr>
            <w:t xml:space="preserve">Wang, Y., Wang, J., &amp; He, W. (2022). Development of efficient, flexible and affordable heat pumps for supporting heat and power </w:t>
          </w:r>
          <w:proofErr w:type="spellStart"/>
          <w:r>
            <w:rPr>
              <w:color w:val="1F1F1F"/>
            </w:rPr>
            <w:t>decarbonisation</w:t>
          </w:r>
          <w:proofErr w:type="spellEnd"/>
          <w:r>
            <w:rPr>
              <w:color w:val="1F1F1F"/>
            </w:rPr>
            <w:t xml:space="preserve"> in the UK and beyond: Review and perspectives. </w:t>
          </w:r>
          <w:r>
            <w:rPr>
              <w:i/>
              <w:iCs/>
              <w:color w:val="1F1F1F"/>
              <w:bdr w:val="none" w:sz="0" w:space="0" w:color="auto" w:frame="1"/>
            </w:rPr>
            <w:t>Renewable and Sustainable Energy Reviews</w:t>
          </w:r>
          <w:r>
            <w:rPr>
              <w:color w:val="1F1F1F"/>
            </w:rPr>
            <w:t xml:space="preserve">, </w:t>
          </w:r>
          <w:r>
            <w:rPr>
              <w:i/>
              <w:iCs/>
              <w:color w:val="1F1F1F"/>
              <w:bdr w:val="none" w:sz="0" w:space="0" w:color="auto" w:frame="1"/>
            </w:rPr>
            <w:t>154</w:t>
          </w:r>
          <w:r>
            <w:rPr>
              <w:color w:val="1F1F1F"/>
            </w:rPr>
            <w:t xml:space="preserve">, 111747. </w:t>
          </w:r>
          <w:hyperlink r:id="rId79" w:tgtFrame="_blank" w:history="1">
            <w:r>
              <w:rPr>
                <w:rStyle w:val="Hyperlink"/>
                <w:color w:val="0B57D0"/>
                <w:bdr w:val="none" w:sz="0" w:space="0" w:color="auto" w:frame="1"/>
              </w:rPr>
              <w:t>https://doi.org/10.1016/j.rser.2021.111747</w:t>
            </w:r>
          </w:hyperlink>
        </w:p>
        <w:p w14:paraId="76445EDF" w14:textId="77777777" w:rsidR="00522D70" w:rsidRDefault="00522D70" w:rsidP="00522D70">
          <w:pPr>
            <w:pStyle w:val="NormalWeb"/>
            <w:spacing w:after="0" w:afterAutospacing="0"/>
            <w:ind w:hanging="720"/>
            <w:rPr>
              <w:color w:val="1F1F1F"/>
            </w:rPr>
          </w:pPr>
          <w:r>
            <w:rPr>
              <w:color w:val="1F1F1F"/>
            </w:rPr>
            <w:t xml:space="preserve">Zhao, P., Li, X., Liu, J., Zhang, D., &amp; </w:t>
          </w:r>
          <w:proofErr w:type="spellStart"/>
          <w:r>
            <w:rPr>
              <w:color w:val="1F1F1F"/>
            </w:rPr>
            <w:t>Qiao</w:t>
          </w:r>
          <w:proofErr w:type="spellEnd"/>
          <w:r>
            <w:rPr>
              <w:color w:val="1F1F1F"/>
            </w:rPr>
            <w:t xml:space="preserve">, H. (2021). Monitoring and analysis of the subway tunnel wall temperature and surrounding rock/soil heat absorption ratio. </w:t>
          </w:r>
          <w:r>
            <w:rPr>
              <w:i/>
              <w:iCs/>
              <w:color w:val="1F1F1F"/>
              <w:bdr w:val="none" w:sz="0" w:space="0" w:color="auto" w:frame="1"/>
            </w:rPr>
            <w:t>Building and Environment</w:t>
          </w:r>
          <w:r>
            <w:rPr>
              <w:color w:val="1F1F1F"/>
            </w:rPr>
            <w:t xml:space="preserve">, </w:t>
          </w:r>
          <w:r>
            <w:rPr>
              <w:i/>
              <w:iCs/>
              <w:color w:val="1F1F1F"/>
              <w:bdr w:val="none" w:sz="0" w:space="0" w:color="auto" w:frame="1"/>
            </w:rPr>
            <w:t>194</w:t>
          </w:r>
          <w:r>
            <w:rPr>
              <w:color w:val="1F1F1F"/>
            </w:rPr>
            <w:t xml:space="preserve">, 107657. </w:t>
          </w:r>
          <w:hyperlink r:id="rId80" w:tgtFrame="_blank" w:history="1">
            <w:r>
              <w:rPr>
                <w:rStyle w:val="Hyperlink"/>
                <w:color w:val="0B57D0"/>
                <w:bdr w:val="none" w:sz="0" w:space="0" w:color="auto" w:frame="1"/>
              </w:rPr>
              <w:t>https://doi.org/10.1016/j.buildenv.2021.107657</w:t>
            </w:r>
          </w:hyperlink>
        </w:p>
        <w:p w14:paraId="37F88EE4" w14:textId="77777777" w:rsidR="00522D70" w:rsidRDefault="00D30DD7"/>
      </w:sdtContent>
    </w:sdt>
    <w:p w14:paraId="558EA0A9" w14:textId="77777777" w:rsidR="004D6CD0" w:rsidRDefault="00522D70" w:rsidP="00522D70">
      <w:pPr>
        <w:rPr>
          <w:rFonts w:ascii="Times New Roman" w:hAnsi="Times New Roman" w:cs="Times New Roman"/>
          <w:sz w:val="24"/>
        </w:rPr>
      </w:pPr>
      <w:r>
        <w:rPr>
          <w:rFonts w:ascii="Times New Roman" w:hAnsi="Times New Roman" w:cs="Times New Roman"/>
          <w:sz w:val="24"/>
          <w:szCs w:val="24"/>
        </w:rPr>
        <w:tab/>
      </w:r>
      <w:r w:rsidR="0040681B">
        <w:rPr>
          <w:rFonts w:ascii="Times New Roman" w:hAnsi="Times New Roman" w:cs="Times New Roman"/>
          <w:sz w:val="24"/>
          <w:szCs w:val="24"/>
        </w:rPr>
        <w:t xml:space="preserve"> </w:t>
      </w:r>
      <w:r w:rsidR="001E4BF7">
        <w:rPr>
          <w:rFonts w:ascii="Times New Roman" w:hAnsi="Times New Roman" w:cs="Times New Roman"/>
          <w:sz w:val="24"/>
          <w:szCs w:val="24"/>
        </w:rPr>
        <w:t xml:space="preserve"> </w:t>
      </w:r>
    </w:p>
    <w:p w14:paraId="5BB65972" w14:textId="77777777" w:rsidR="004D6CD0" w:rsidRPr="00522D70" w:rsidRDefault="004D6CD0" w:rsidP="00522D70"/>
    <w:p w14:paraId="7D925363" w14:textId="77777777" w:rsidR="004D6CD0" w:rsidRPr="00522D70" w:rsidRDefault="004D6CD0" w:rsidP="00522D70"/>
    <w:sectPr w:rsidR="004D6CD0" w:rsidRPr="00522D70" w:rsidSect="0040597C">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84ECE6" w14:textId="77777777" w:rsidR="00D30DD7" w:rsidRDefault="00D30DD7" w:rsidP="00262998">
      <w:pPr>
        <w:spacing w:after="0" w:line="240" w:lineRule="auto"/>
      </w:pPr>
      <w:r>
        <w:separator/>
      </w:r>
    </w:p>
  </w:endnote>
  <w:endnote w:type="continuationSeparator" w:id="0">
    <w:p w14:paraId="38BA788B" w14:textId="77777777" w:rsidR="00D30DD7" w:rsidRDefault="00D30DD7" w:rsidP="002629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80A6B" w14:textId="77777777" w:rsidR="00323F47" w:rsidRDefault="00323F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2449583"/>
      <w:docPartObj>
        <w:docPartGallery w:val="Page Numbers (Bottom of Page)"/>
        <w:docPartUnique/>
      </w:docPartObj>
    </w:sdtPr>
    <w:sdtEndPr/>
    <w:sdtContent>
      <w:sdt>
        <w:sdtPr>
          <w:id w:val="1728636285"/>
          <w:docPartObj>
            <w:docPartGallery w:val="Page Numbers (Top of Page)"/>
            <w:docPartUnique/>
          </w:docPartObj>
        </w:sdtPr>
        <w:sdtEndPr/>
        <w:sdtContent>
          <w:p w14:paraId="30D417D7" w14:textId="12FA34BB" w:rsidR="00323F47" w:rsidRDefault="00323F4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0C4F75">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C4F75">
              <w:rPr>
                <w:b/>
                <w:bCs/>
                <w:noProof/>
              </w:rPr>
              <w:t>1</w:t>
            </w:r>
            <w:r>
              <w:rPr>
                <w:b/>
                <w:bCs/>
                <w:sz w:val="24"/>
                <w:szCs w:val="24"/>
              </w:rPr>
              <w:fldChar w:fldCharType="end"/>
            </w:r>
          </w:p>
        </w:sdtContent>
      </w:sdt>
    </w:sdtContent>
  </w:sdt>
  <w:p w14:paraId="53A3587D" w14:textId="77777777" w:rsidR="00323F47" w:rsidRDefault="00323F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F4D20" w14:textId="77777777" w:rsidR="00323F47" w:rsidRDefault="00323F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A4A8A1" w14:textId="77777777" w:rsidR="00D30DD7" w:rsidRDefault="00D30DD7" w:rsidP="00262998">
      <w:pPr>
        <w:spacing w:after="0" w:line="240" w:lineRule="auto"/>
      </w:pPr>
      <w:r>
        <w:separator/>
      </w:r>
    </w:p>
  </w:footnote>
  <w:footnote w:type="continuationSeparator" w:id="0">
    <w:p w14:paraId="326188C9" w14:textId="77777777" w:rsidR="00D30DD7" w:rsidRDefault="00D30DD7" w:rsidP="002629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64FC3" w14:textId="2DDD6241" w:rsidR="00323F47" w:rsidRDefault="00D30DD7">
    <w:pPr>
      <w:pStyle w:val="Header"/>
    </w:pPr>
    <w:r>
      <w:rPr>
        <w:noProof/>
      </w:rPr>
      <w:pict w14:anchorId="16574A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759797"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91DE8C" w14:textId="50D01576" w:rsidR="00323F47" w:rsidRDefault="00D30DD7">
    <w:pPr>
      <w:pStyle w:val="Header"/>
    </w:pPr>
    <w:r>
      <w:rPr>
        <w:noProof/>
      </w:rPr>
      <w:pict w14:anchorId="423D9D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759798"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53C5C" w14:textId="11C41ED8" w:rsidR="00323F47" w:rsidRDefault="00D30DD7">
    <w:pPr>
      <w:pStyle w:val="Header"/>
    </w:pPr>
    <w:r>
      <w:rPr>
        <w:noProof/>
      </w:rPr>
      <w:pict w14:anchorId="735B54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759796"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961AD"/>
    <w:multiLevelType w:val="multilevel"/>
    <w:tmpl w:val="EC3AF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241CEE"/>
    <w:multiLevelType w:val="multilevel"/>
    <w:tmpl w:val="FB684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6D1083"/>
    <w:multiLevelType w:val="multilevel"/>
    <w:tmpl w:val="239212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3D422F"/>
    <w:multiLevelType w:val="multilevel"/>
    <w:tmpl w:val="7B3AD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D13FF8"/>
    <w:multiLevelType w:val="multilevel"/>
    <w:tmpl w:val="B06EF3F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06C859F7"/>
    <w:multiLevelType w:val="multilevel"/>
    <w:tmpl w:val="58B47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A11FFA"/>
    <w:multiLevelType w:val="multilevel"/>
    <w:tmpl w:val="0E3434F6"/>
    <w:lvl w:ilvl="0">
      <w:start w:val="5"/>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7" w15:restartNumberingAfterBreak="0">
    <w:nsid w:val="0D4A01CA"/>
    <w:multiLevelType w:val="multilevel"/>
    <w:tmpl w:val="BAC6B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7A3BE6"/>
    <w:multiLevelType w:val="multilevel"/>
    <w:tmpl w:val="52329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D202D3"/>
    <w:multiLevelType w:val="multilevel"/>
    <w:tmpl w:val="FB4E9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E7739C"/>
    <w:multiLevelType w:val="multilevel"/>
    <w:tmpl w:val="08306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996383"/>
    <w:multiLevelType w:val="multilevel"/>
    <w:tmpl w:val="EB1E6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254CBC"/>
    <w:multiLevelType w:val="multilevel"/>
    <w:tmpl w:val="FD289BB6"/>
    <w:lvl w:ilvl="0">
      <w:start w:val="3"/>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2391664"/>
    <w:multiLevelType w:val="multilevel"/>
    <w:tmpl w:val="72B61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AA0827"/>
    <w:multiLevelType w:val="hybridMultilevel"/>
    <w:tmpl w:val="E50810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905DB8"/>
    <w:multiLevelType w:val="multilevel"/>
    <w:tmpl w:val="EBB2D10A"/>
    <w:lvl w:ilvl="0">
      <w:start w:val="3"/>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9014E60"/>
    <w:multiLevelType w:val="multilevel"/>
    <w:tmpl w:val="1FBA74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522087"/>
    <w:multiLevelType w:val="multilevel"/>
    <w:tmpl w:val="47E21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5B5603"/>
    <w:multiLevelType w:val="multilevel"/>
    <w:tmpl w:val="09A42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CF31A3"/>
    <w:multiLevelType w:val="multilevel"/>
    <w:tmpl w:val="D474D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9AE0B42"/>
    <w:multiLevelType w:val="multilevel"/>
    <w:tmpl w:val="11AC3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ED712B"/>
    <w:multiLevelType w:val="multilevel"/>
    <w:tmpl w:val="93C20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6535F3"/>
    <w:multiLevelType w:val="multilevel"/>
    <w:tmpl w:val="E3E0A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D145ED"/>
    <w:multiLevelType w:val="multilevel"/>
    <w:tmpl w:val="AE8CD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F13DBD"/>
    <w:multiLevelType w:val="multilevel"/>
    <w:tmpl w:val="5274A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1C1483"/>
    <w:multiLevelType w:val="multilevel"/>
    <w:tmpl w:val="53F2C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9D7502"/>
    <w:multiLevelType w:val="multilevel"/>
    <w:tmpl w:val="510A5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1B538B"/>
    <w:multiLevelType w:val="multilevel"/>
    <w:tmpl w:val="792AA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BC4F08"/>
    <w:multiLevelType w:val="multilevel"/>
    <w:tmpl w:val="762AA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AC40ED"/>
    <w:multiLevelType w:val="multilevel"/>
    <w:tmpl w:val="04C8A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2B26646"/>
    <w:multiLevelType w:val="multilevel"/>
    <w:tmpl w:val="A308E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75C61CF"/>
    <w:multiLevelType w:val="multilevel"/>
    <w:tmpl w:val="02B64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94F196B"/>
    <w:multiLevelType w:val="multilevel"/>
    <w:tmpl w:val="93104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EB65F3B"/>
    <w:multiLevelType w:val="multilevel"/>
    <w:tmpl w:val="3EC22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9"/>
  </w:num>
  <w:num w:numId="3">
    <w:abstractNumId w:val="18"/>
  </w:num>
  <w:num w:numId="4">
    <w:abstractNumId w:val="22"/>
  </w:num>
  <w:num w:numId="5">
    <w:abstractNumId w:val="19"/>
  </w:num>
  <w:num w:numId="6">
    <w:abstractNumId w:val="5"/>
  </w:num>
  <w:num w:numId="7">
    <w:abstractNumId w:val="31"/>
  </w:num>
  <w:num w:numId="8">
    <w:abstractNumId w:val="29"/>
  </w:num>
  <w:num w:numId="9">
    <w:abstractNumId w:val="26"/>
  </w:num>
  <w:num w:numId="10">
    <w:abstractNumId w:val="17"/>
  </w:num>
  <w:num w:numId="11">
    <w:abstractNumId w:val="32"/>
  </w:num>
  <w:num w:numId="12">
    <w:abstractNumId w:val="3"/>
  </w:num>
  <w:num w:numId="13">
    <w:abstractNumId w:val="2"/>
  </w:num>
  <w:num w:numId="14">
    <w:abstractNumId w:val="7"/>
  </w:num>
  <w:num w:numId="15">
    <w:abstractNumId w:val="13"/>
  </w:num>
  <w:num w:numId="16">
    <w:abstractNumId w:val="24"/>
  </w:num>
  <w:num w:numId="17">
    <w:abstractNumId w:val="30"/>
  </w:num>
  <w:num w:numId="18">
    <w:abstractNumId w:val="20"/>
  </w:num>
  <w:num w:numId="19">
    <w:abstractNumId w:val="25"/>
  </w:num>
  <w:num w:numId="20">
    <w:abstractNumId w:val="23"/>
  </w:num>
  <w:num w:numId="21">
    <w:abstractNumId w:val="11"/>
  </w:num>
  <w:num w:numId="22">
    <w:abstractNumId w:val="21"/>
  </w:num>
  <w:num w:numId="23">
    <w:abstractNumId w:val="27"/>
  </w:num>
  <w:num w:numId="24">
    <w:abstractNumId w:val="16"/>
  </w:num>
  <w:num w:numId="25">
    <w:abstractNumId w:val="33"/>
  </w:num>
  <w:num w:numId="26">
    <w:abstractNumId w:val="8"/>
  </w:num>
  <w:num w:numId="27">
    <w:abstractNumId w:val="28"/>
  </w:num>
  <w:num w:numId="28">
    <w:abstractNumId w:val="14"/>
  </w:num>
  <w:num w:numId="29">
    <w:abstractNumId w:val="10"/>
  </w:num>
  <w:num w:numId="30">
    <w:abstractNumId w:val="12"/>
  </w:num>
  <w:num w:numId="31">
    <w:abstractNumId w:val="15"/>
  </w:num>
  <w:num w:numId="32">
    <w:abstractNumId w:val="1"/>
  </w:num>
  <w:num w:numId="33">
    <w:abstractNumId w:val="4"/>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6BC"/>
    <w:rsid w:val="00010A64"/>
    <w:rsid w:val="00016EB9"/>
    <w:rsid w:val="00030D12"/>
    <w:rsid w:val="00041FAF"/>
    <w:rsid w:val="0008740D"/>
    <w:rsid w:val="00093873"/>
    <w:rsid w:val="00097C09"/>
    <w:rsid w:val="000A6757"/>
    <w:rsid w:val="000B080B"/>
    <w:rsid w:val="000B1262"/>
    <w:rsid w:val="000B3926"/>
    <w:rsid w:val="000C2FBF"/>
    <w:rsid w:val="000C312D"/>
    <w:rsid w:val="000C4F75"/>
    <w:rsid w:val="000E4927"/>
    <w:rsid w:val="00100ACC"/>
    <w:rsid w:val="0010372C"/>
    <w:rsid w:val="00120D43"/>
    <w:rsid w:val="00195001"/>
    <w:rsid w:val="001A635A"/>
    <w:rsid w:val="001B011D"/>
    <w:rsid w:val="001D2D0D"/>
    <w:rsid w:val="001D39B2"/>
    <w:rsid w:val="001D761F"/>
    <w:rsid w:val="001E4BF7"/>
    <w:rsid w:val="001F697E"/>
    <w:rsid w:val="00217216"/>
    <w:rsid w:val="0026230D"/>
    <w:rsid w:val="00262998"/>
    <w:rsid w:val="00267F6E"/>
    <w:rsid w:val="00275FC7"/>
    <w:rsid w:val="002E3E04"/>
    <w:rsid w:val="00323F47"/>
    <w:rsid w:val="00354A40"/>
    <w:rsid w:val="0039233E"/>
    <w:rsid w:val="0039590E"/>
    <w:rsid w:val="003B0223"/>
    <w:rsid w:val="003D738F"/>
    <w:rsid w:val="003D7910"/>
    <w:rsid w:val="003F699E"/>
    <w:rsid w:val="003F7AF8"/>
    <w:rsid w:val="0040597C"/>
    <w:rsid w:val="0040681B"/>
    <w:rsid w:val="0041017F"/>
    <w:rsid w:val="00421E90"/>
    <w:rsid w:val="004220AE"/>
    <w:rsid w:val="00422B15"/>
    <w:rsid w:val="00435A72"/>
    <w:rsid w:val="00484A3D"/>
    <w:rsid w:val="00490105"/>
    <w:rsid w:val="0049728E"/>
    <w:rsid w:val="004A20CC"/>
    <w:rsid w:val="004C2CB8"/>
    <w:rsid w:val="004D2979"/>
    <w:rsid w:val="004D51C2"/>
    <w:rsid w:val="004D6CD0"/>
    <w:rsid w:val="004D7018"/>
    <w:rsid w:val="004F20F1"/>
    <w:rsid w:val="00503195"/>
    <w:rsid w:val="00516F68"/>
    <w:rsid w:val="00522D70"/>
    <w:rsid w:val="00523A51"/>
    <w:rsid w:val="005417D2"/>
    <w:rsid w:val="0059043F"/>
    <w:rsid w:val="005922D5"/>
    <w:rsid w:val="005A7455"/>
    <w:rsid w:val="005F033C"/>
    <w:rsid w:val="005F3241"/>
    <w:rsid w:val="006246FE"/>
    <w:rsid w:val="00627701"/>
    <w:rsid w:val="006674F4"/>
    <w:rsid w:val="00670737"/>
    <w:rsid w:val="00687534"/>
    <w:rsid w:val="00694738"/>
    <w:rsid w:val="006A3C54"/>
    <w:rsid w:val="006B1EE1"/>
    <w:rsid w:val="006B2A22"/>
    <w:rsid w:val="006B339F"/>
    <w:rsid w:val="006B6008"/>
    <w:rsid w:val="006B7FAA"/>
    <w:rsid w:val="00725036"/>
    <w:rsid w:val="007436D4"/>
    <w:rsid w:val="00785FDB"/>
    <w:rsid w:val="007B6F82"/>
    <w:rsid w:val="007C46FD"/>
    <w:rsid w:val="007C6A4A"/>
    <w:rsid w:val="007F2F34"/>
    <w:rsid w:val="007F4373"/>
    <w:rsid w:val="00832A07"/>
    <w:rsid w:val="00861EB3"/>
    <w:rsid w:val="00875D32"/>
    <w:rsid w:val="008A1EE4"/>
    <w:rsid w:val="008D5275"/>
    <w:rsid w:val="008E02D9"/>
    <w:rsid w:val="009155C8"/>
    <w:rsid w:val="0092337C"/>
    <w:rsid w:val="0094558E"/>
    <w:rsid w:val="00967EBA"/>
    <w:rsid w:val="00972AAF"/>
    <w:rsid w:val="00975B06"/>
    <w:rsid w:val="00980A30"/>
    <w:rsid w:val="00990E9C"/>
    <w:rsid w:val="009B7943"/>
    <w:rsid w:val="009B7BB1"/>
    <w:rsid w:val="009F2D10"/>
    <w:rsid w:val="009F4D82"/>
    <w:rsid w:val="00A22087"/>
    <w:rsid w:val="00A72AA8"/>
    <w:rsid w:val="00A72C2B"/>
    <w:rsid w:val="00A811AA"/>
    <w:rsid w:val="00A966BC"/>
    <w:rsid w:val="00AC08E6"/>
    <w:rsid w:val="00AC3454"/>
    <w:rsid w:val="00AD0076"/>
    <w:rsid w:val="00AD7438"/>
    <w:rsid w:val="00B00DCC"/>
    <w:rsid w:val="00B260B9"/>
    <w:rsid w:val="00B32AA6"/>
    <w:rsid w:val="00B40BED"/>
    <w:rsid w:val="00B41391"/>
    <w:rsid w:val="00B473D3"/>
    <w:rsid w:val="00B60041"/>
    <w:rsid w:val="00B87156"/>
    <w:rsid w:val="00BA6EDD"/>
    <w:rsid w:val="00BC5EDB"/>
    <w:rsid w:val="00BE2553"/>
    <w:rsid w:val="00BF2824"/>
    <w:rsid w:val="00C0431A"/>
    <w:rsid w:val="00C114AD"/>
    <w:rsid w:val="00C3750D"/>
    <w:rsid w:val="00C50BEE"/>
    <w:rsid w:val="00C5551D"/>
    <w:rsid w:val="00C60A11"/>
    <w:rsid w:val="00C626C9"/>
    <w:rsid w:val="00C82CAD"/>
    <w:rsid w:val="00C86DF6"/>
    <w:rsid w:val="00C86EFE"/>
    <w:rsid w:val="00CA13A5"/>
    <w:rsid w:val="00CB28DB"/>
    <w:rsid w:val="00CF5477"/>
    <w:rsid w:val="00CF568D"/>
    <w:rsid w:val="00D046BE"/>
    <w:rsid w:val="00D06241"/>
    <w:rsid w:val="00D165E2"/>
    <w:rsid w:val="00D26798"/>
    <w:rsid w:val="00D30DD7"/>
    <w:rsid w:val="00D35DB9"/>
    <w:rsid w:val="00D5287F"/>
    <w:rsid w:val="00D64CC2"/>
    <w:rsid w:val="00D70E18"/>
    <w:rsid w:val="00D8620E"/>
    <w:rsid w:val="00D87B7C"/>
    <w:rsid w:val="00D96E35"/>
    <w:rsid w:val="00DA6D97"/>
    <w:rsid w:val="00DA6DC8"/>
    <w:rsid w:val="00DE14EF"/>
    <w:rsid w:val="00E04FCE"/>
    <w:rsid w:val="00E11B8A"/>
    <w:rsid w:val="00E2182D"/>
    <w:rsid w:val="00E40048"/>
    <w:rsid w:val="00E41572"/>
    <w:rsid w:val="00E43023"/>
    <w:rsid w:val="00EE446F"/>
    <w:rsid w:val="00EE585A"/>
    <w:rsid w:val="00F02403"/>
    <w:rsid w:val="00F47960"/>
    <w:rsid w:val="00F64E8B"/>
    <w:rsid w:val="00F66F43"/>
    <w:rsid w:val="00F70813"/>
    <w:rsid w:val="00F70AC3"/>
    <w:rsid w:val="00F81652"/>
    <w:rsid w:val="00F958B7"/>
    <w:rsid w:val="00FA0F37"/>
    <w:rsid w:val="00FB2E7A"/>
    <w:rsid w:val="00FB6EBC"/>
    <w:rsid w:val="00FC0B83"/>
    <w:rsid w:val="00FC5F67"/>
    <w:rsid w:val="00FC7E9B"/>
    <w:rsid w:val="00FE4A53"/>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F4FF288"/>
  <w15:chartTrackingRefBased/>
  <w15:docId w15:val="{E7372FEC-F4F6-4E7C-AEFC-BF1281CA2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5417D2"/>
    <w:pPr>
      <w:spacing w:before="100" w:beforeAutospacing="1" w:after="100" w:afterAutospacing="1" w:line="240" w:lineRule="auto"/>
      <w:outlineLvl w:val="0"/>
    </w:pPr>
    <w:rPr>
      <w:rFonts w:ascii="Times New Roman" w:eastAsia="Times New Roman" w:hAnsi="Times New Roman" w:cs="Times New Roman"/>
      <w:b/>
      <w:bCs/>
      <w:kern w:val="36"/>
      <w:sz w:val="24"/>
      <w:szCs w:val="48"/>
    </w:rPr>
  </w:style>
  <w:style w:type="paragraph" w:styleId="Heading2">
    <w:name w:val="heading 2"/>
    <w:basedOn w:val="Normal"/>
    <w:link w:val="Heading2Char"/>
    <w:uiPriority w:val="9"/>
    <w:qFormat/>
    <w:rsid w:val="00FC5F67"/>
    <w:pPr>
      <w:spacing w:before="100" w:beforeAutospacing="1" w:after="100" w:afterAutospacing="1" w:line="240" w:lineRule="auto"/>
      <w:jc w:val="both"/>
      <w:outlineLvl w:val="1"/>
    </w:pPr>
    <w:rPr>
      <w:rFonts w:ascii="Times New Roman" w:eastAsia="Times New Roman" w:hAnsi="Times New Roman" w:cs="Times New Roman"/>
      <w:b/>
      <w:bCs/>
      <w:i/>
      <w:sz w:val="24"/>
      <w:szCs w:val="36"/>
    </w:rPr>
  </w:style>
  <w:style w:type="paragraph" w:styleId="Heading3">
    <w:name w:val="heading 3"/>
    <w:basedOn w:val="Normal"/>
    <w:link w:val="Heading3Char"/>
    <w:uiPriority w:val="9"/>
    <w:qFormat/>
    <w:rsid w:val="00A966B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B6004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17D2"/>
    <w:rPr>
      <w:rFonts w:ascii="Times New Roman" w:eastAsia="Times New Roman" w:hAnsi="Times New Roman" w:cs="Times New Roman"/>
      <w:b/>
      <w:bCs/>
      <w:kern w:val="36"/>
      <w:sz w:val="24"/>
      <w:szCs w:val="48"/>
    </w:rPr>
  </w:style>
  <w:style w:type="character" w:customStyle="1" w:styleId="Heading2Char">
    <w:name w:val="Heading 2 Char"/>
    <w:basedOn w:val="DefaultParagraphFont"/>
    <w:link w:val="Heading2"/>
    <w:uiPriority w:val="9"/>
    <w:rsid w:val="00FC5F67"/>
    <w:rPr>
      <w:rFonts w:ascii="Times New Roman" w:eastAsia="Times New Roman" w:hAnsi="Times New Roman" w:cs="Times New Roman"/>
      <w:b/>
      <w:bCs/>
      <w:i/>
      <w:sz w:val="24"/>
      <w:szCs w:val="36"/>
    </w:rPr>
  </w:style>
  <w:style w:type="character" w:customStyle="1" w:styleId="Heading3Char">
    <w:name w:val="Heading 3 Char"/>
    <w:basedOn w:val="DefaultParagraphFont"/>
    <w:link w:val="Heading3"/>
    <w:uiPriority w:val="9"/>
    <w:rsid w:val="00A966BC"/>
    <w:rPr>
      <w:rFonts w:ascii="Times New Roman" w:eastAsia="Times New Roman" w:hAnsi="Times New Roman" w:cs="Times New Roman"/>
      <w:b/>
      <w:bCs/>
      <w:sz w:val="27"/>
      <w:szCs w:val="27"/>
    </w:rPr>
  </w:style>
  <w:style w:type="paragraph" w:styleId="NormalWeb">
    <w:name w:val="Normal (Web)"/>
    <w:basedOn w:val="Normal"/>
    <w:uiPriority w:val="99"/>
    <w:unhideWhenUsed/>
    <w:rsid w:val="00A966B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966BC"/>
    <w:rPr>
      <w:b/>
      <w:bCs/>
    </w:rPr>
  </w:style>
  <w:style w:type="character" w:styleId="Emphasis">
    <w:name w:val="Emphasis"/>
    <w:basedOn w:val="DefaultParagraphFont"/>
    <w:uiPriority w:val="20"/>
    <w:qFormat/>
    <w:rsid w:val="00A966BC"/>
    <w:rPr>
      <w:i/>
      <w:iCs/>
    </w:rPr>
  </w:style>
  <w:style w:type="table" w:styleId="TableGrid">
    <w:name w:val="Table Grid"/>
    <w:basedOn w:val="TableNormal"/>
    <w:uiPriority w:val="39"/>
    <w:rsid w:val="006277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84A3D"/>
    <w:pPr>
      <w:spacing w:after="200" w:line="240" w:lineRule="auto"/>
    </w:pPr>
    <w:rPr>
      <w:i/>
      <w:iCs/>
      <w:color w:val="44546A" w:themeColor="text2"/>
      <w:sz w:val="18"/>
      <w:szCs w:val="18"/>
    </w:rPr>
  </w:style>
  <w:style w:type="character" w:customStyle="1" w:styleId="katex-mathml">
    <w:name w:val="katex-mathml"/>
    <w:basedOn w:val="DefaultParagraphFont"/>
    <w:rsid w:val="0092337C"/>
  </w:style>
  <w:style w:type="character" w:customStyle="1" w:styleId="mord">
    <w:name w:val="mord"/>
    <w:basedOn w:val="DefaultParagraphFont"/>
    <w:rsid w:val="0092337C"/>
  </w:style>
  <w:style w:type="character" w:customStyle="1" w:styleId="vlist-s">
    <w:name w:val="vlist-s"/>
    <w:basedOn w:val="DefaultParagraphFont"/>
    <w:rsid w:val="0092337C"/>
  </w:style>
  <w:style w:type="character" w:customStyle="1" w:styleId="mrel">
    <w:name w:val="mrel"/>
    <w:basedOn w:val="DefaultParagraphFont"/>
    <w:rsid w:val="0092337C"/>
  </w:style>
  <w:style w:type="character" w:customStyle="1" w:styleId="mbin">
    <w:name w:val="mbin"/>
    <w:basedOn w:val="DefaultParagraphFont"/>
    <w:rsid w:val="0092337C"/>
  </w:style>
  <w:style w:type="character" w:styleId="Hyperlink">
    <w:name w:val="Hyperlink"/>
    <w:basedOn w:val="DefaultParagraphFont"/>
    <w:uiPriority w:val="99"/>
    <w:unhideWhenUsed/>
    <w:rsid w:val="004D6CD0"/>
    <w:rPr>
      <w:color w:val="0000FF"/>
      <w:u w:val="single"/>
    </w:rPr>
  </w:style>
  <w:style w:type="character" w:customStyle="1" w:styleId="ms-1">
    <w:name w:val="ms-1"/>
    <w:basedOn w:val="DefaultParagraphFont"/>
    <w:rsid w:val="009155C8"/>
  </w:style>
  <w:style w:type="character" w:customStyle="1" w:styleId="max-w-15ch">
    <w:name w:val="max-w-[15ch]"/>
    <w:basedOn w:val="DefaultParagraphFont"/>
    <w:rsid w:val="009155C8"/>
  </w:style>
  <w:style w:type="paragraph" w:styleId="ListParagraph">
    <w:name w:val="List Paragraph"/>
    <w:basedOn w:val="Normal"/>
    <w:uiPriority w:val="34"/>
    <w:qFormat/>
    <w:rsid w:val="00B260B9"/>
    <w:pPr>
      <w:ind w:left="720"/>
      <w:contextualSpacing/>
    </w:pPr>
  </w:style>
  <w:style w:type="character" w:styleId="PlaceholderText">
    <w:name w:val="Placeholder Text"/>
    <w:basedOn w:val="DefaultParagraphFont"/>
    <w:uiPriority w:val="99"/>
    <w:semiHidden/>
    <w:rsid w:val="00FB6EBC"/>
    <w:rPr>
      <w:color w:val="808080"/>
    </w:rPr>
  </w:style>
  <w:style w:type="character" w:customStyle="1" w:styleId="Heading4Char">
    <w:name w:val="Heading 4 Char"/>
    <w:basedOn w:val="DefaultParagraphFont"/>
    <w:link w:val="Heading4"/>
    <w:uiPriority w:val="9"/>
    <w:semiHidden/>
    <w:rsid w:val="00B60041"/>
    <w:rPr>
      <w:rFonts w:asciiTheme="majorHAnsi" w:eastAsiaTheme="majorEastAsia" w:hAnsiTheme="majorHAnsi" w:cstheme="majorBidi"/>
      <w:i/>
      <w:iCs/>
      <w:color w:val="2E74B5" w:themeColor="accent1" w:themeShade="BF"/>
    </w:rPr>
  </w:style>
  <w:style w:type="character" w:customStyle="1" w:styleId="mopen">
    <w:name w:val="mopen"/>
    <w:basedOn w:val="DefaultParagraphFont"/>
    <w:rsid w:val="00100ACC"/>
  </w:style>
  <w:style w:type="character" w:customStyle="1" w:styleId="mclose">
    <w:name w:val="mclose"/>
    <w:basedOn w:val="DefaultParagraphFont"/>
    <w:rsid w:val="00100ACC"/>
  </w:style>
  <w:style w:type="character" w:customStyle="1" w:styleId="mpunct">
    <w:name w:val="mpunct"/>
    <w:basedOn w:val="DefaultParagraphFont"/>
    <w:rsid w:val="00C86DF6"/>
  </w:style>
  <w:style w:type="paragraph" w:customStyle="1" w:styleId="c-Authorsname">
    <w:name w:val="c-Authors name"/>
    <w:basedOn w:val="Normal"/>
    <w:next w:val="Normal"/>
    <w:qFormat/>
    <w:rsid w:val="00D06241"/>
    <w:pPr>
      <w:spacing w:after="240" w:line="240" w:lineRule="auto"/>
    </w:pPr>
    <w:rPr>
      <w:rFonts w:ascii="Cambria" w:eastAsiaTheme="minorEastAsia" w:hAnsi="Cambria"/>
    </w:rPr>
  </w:style>
  <w:style w:type="paragraph" w:styleId="Header">
    <w:name w:val="header"/>
    <w:basedOn w:val="Normal"/>
    <w:link w:val="HeaderChar"/>
    <w:uiPriority w:val="99"/>
    <w:unhideWhenUsed/>
    <w:rsid w:val="002629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2998"/>
  </w:style>
  <w:style w:type="paragraph" w:styleId="Footer">
    <w:name w:val="footer"/>
    <w:basedOn w:val="Normal"/>
    <w:link w:val="FooterChar"/>
    <w:uiPriority w:val="99"/>
    <w:unhideWhenUsed/>
    <w:rsid w:val="002629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2998"/>
  </w:style>
  <w:style w:type="character" w:customStyle="1" w:styleId="UnresolvedMention1">
    <w:name w:val="Unresolved Mention1"/>
    <w:basedOn w:val="DefaultParagraphFont"/>
    <w:uiPriority w:val="99"/>
    <w:semiHidden/>
    <w:unhideWhenUsed/>
    <w:rsid w:val="00AC08E6"/>
    <w:rPr>
      <w:color w:val="605E5C"/>
      <w:shd w:val="clear" w:color="auto" w:fill="E1DFDD"/>
    </w:rPr>
  </w:style>
  <w:style w:type="character" w:styleId="FollowedHyperlink">
    <w:name w:val="FollowedHyperlink"/>
    <w:basedOn w:val="DefaultParagraphFont"/>
    <w:uiPriority w:val="99"/>
    <w:semiHidden/>
    <w:unhideWhenUsed/>
    <w:rsid w:val="00D5287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63585">
      <w:bodyDiv w:val="1"/>
      <w:marLeft w:val="0"/>
      <w:marRight w:val="0"/>
      <w:marTop w:val="0"/>
      <w:marBottom w:val="0"/>
      <w:divBdr>
        <w:top w:val="none" w:sz="0" w:space="0" w:color="auto"/>
        <w:left w:val="none" w:sz="0" w:space="0" w:color="auto"/>
        <w:bottom w:val="none" w:sz="0" w:space="0" w:color="auto"/>
        <w:right w:val="none" w:sz="0" w:space="0" w:color="auto"/>
      </w:divBdr>
    </w:div>
    <w:div w:id="39742655">
      <w:bodyDiv w:val="1"/>
      <w:marLeft w:val="0"/>
      <w:marRight w:val="0"/>
      <w:marTop w:val="0"/>
      <w:marBottom w:val="0"/>
      <w:divBdr>
        <w:top w:val="none" w:sz="0" w:space="0" w:color="auto"/>
        <w:left w:val="none" w:sz="0" w:space="0" w:color="auto"/>
        <w:bottom w:val="none" w:sz="0" w:space="0" w:color="auto"/>
        <w:right w:val="none" w:sz="0" w:space="0" w:color="auto"/>
      </w:divBdr>
      <w:divsChild>
        <w:div w:id="15433225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010695">
      <w:bodyDiv w:val="1"/>
      <w:marLeft w:val="0"/>
      <w:marRight w:val="0"/>
      <w:marTop w:val="0"/>
      <w:marBottom w:val="0"/>
      <w:divBdr>
        <w:top w:val="none" w:sz="0" w:space="0" w:color="auto"/>
        <w:left w:val="none" w:sz="0" w:space="0" w:color="auto"/>
        <w:bottom w:val="none" w:sz="0" w:space="0" w:color="auto"/>
        <w:right w:val="none" w:sz="0" w:space="0" w:color="auto"/>
      </w:divBdr>
    </w:div>
    <w:div w:id="212422586">
      <w:bodyDiv w:val="1"/>
      <w:marLeft w:val="0"/>
      <w:marRight w:val="0"/>
      <w:marTop w:val="0"/>
      <w:marBottom w:val="0"/>
      <w:divBdr>
        <w:top w:val="none" w:sz="0" w:space="0" w:color="auto"/>
        <w:left w:val="none" w:sz="0" w:space="0" w:color="auto"/>
        <w:bottom w:val="none" w:sz="0" w:space="0" w:color="auto"/>
        <w:right w:val="none" w:sz="0" w:space="0" w:color="auto"/>
      </w:divBdr>
    </w:div>
    <w:div w:id="358893371">
      <w:bodyDiv w:val="1"/>
      <w:marLeft w:val="0"/>
      <w:marRight w:val="0"/>
      <w:marTop w:val="0"/>
      <w:marBottom w:val="0"/>
      <w:divBdr>
        <w:top w:val="none" w:sz="0" w:space="0" w:color="auto"/>
        <w:left w:val="none" w:sz="0" w:space="0" w:color="auto"/>
        <w:bottom w:val="none" w:sz="0" w:space="0" w:color="auto"/>
        <w:right w:val="none" w:sz="0" w:space="0" w:color="auto"/>
      </w:divBdr>
      <w:divsChild>
        <w:div w:id="17055180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3388529">
      <w:bodyDiv w:val="1"/>
      <w:marLeft w:val="0"/>
      <w:marRight w:val="0"/>
      <w:marTop w:val="0"/>
      <w:marBottom w:val="0"/>
      <w:divBdr>
        <w:top w:val="none" w:sz="0" w:space="0" w:color="auto"/>
        <w:left w:val="none" w:sz="0" w:space="0" w:color="auto"/>
        <w:bottom w:val="none" w:sz="0" w:space="0" w:color="auto"/>
        <w:right w:val="none" w:sz="0" w:space="0" w:color="auto"/>
      </w:divBdr>
    </w:div>
    <w:div w:id="405617802">
      <w:bodyDiv w:val="1"/>
      <w:marLeft w:val="0"/>
      <w:marRight w:val="0"/>
      <w:marTop w:val="0"/>
      <w:marBottom w:val="0"/>
      <w:divBdr>
        <w:top w:val="none" w:sz="0" w:space="0" w:color="auto"/>
        <w:left w:val="none" w:sz="0" w:space="0" w:color="auto"/>
        <w:bottom w:val="none" w:sz="0" w:space="0" w:color="auto"/>
        <w:right w:val="none" w:sz="0" w:space="0" w:color="auto"/>
      </w:divBdr>
    </w:div>
    <w:div w:id="424964653">
      <w:bodyDiv w:val="1"/>
      <w:marLeft w:val="0"/>
      <w:marRight w:val="0"/>
      <w:marTop w:val="0"/>
      <w:marBottom w:val="0"/>
      <w:divBdr>
        <w:top w:val="none" w:sz="0" w:space="0" w:color="auto"/>
        <w:left w:val="none" w:sz="0" w:space="0" w:color="auto"/>
        <w:bottom w:val="none" w:sz="0" w:space="0" w:color="auto"/>
        <w:right w:val="none" w:sz="0" w:space="0" w:color="auto"/>
      </w:divBdr>
      <w:divsChild>
        <w:div w:id="687945758">
          <w:blockQuote w:val="1"/>
          <w:marLeft w:val="720"/>
          <w:marRight w:val="720"/>
          <w:marTop w:val="100"/>
          <w:marBottom w:val="100"/>
          <w:divBdr>
            <w:top w:val="none" w:sz="0" w:space="0" w:color="auto"/>
            <w:left w:val="none" w:sz="0" w:space="0" w:color="auto"/>
            <w:bottom w:val="none" w:sz="0" w:space="0" w:color="auto"/>
            <w:right w:val="none" w:sz="0" w:space="0" w:color="auto"/>
          </w:divBdr>
        </w:div>
        <w:div w:id="190069641">
          <w:blockQuote w:val="1"/>
          <w:marLeft w:val="720"/>
          <w:marRight w:val="720"/>
          <w:marTop w:val="100"/>
          <w:marBottom w:val="100"/>
          <w:divBdr>
            <w:top w:val="none" w:sz="0" w:space="0" w:color="auto"/>
            <w:left w:val="none" w:sz="0" w:space="0" w:color="auto"/>
            <w:bottom w:val="none" w:sz="0" w:space="0" w:color="auto"/>
            <w:right w:val="none" w:sz="0" w:space="0" w:color="auto"/>
          </w:divBdr>
        </w:div>
        <w:div w:id="1508716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5708986">
      <w:bodyDiv w:val="1"/>
      <w:marLeft w:val="0"/>
      <w:marRight w:val="0"/>
      <w:marTop w:val="0"/>
      <w:marBottom w:val="0"/>
      <w:divBdr>
        <w:top w:val="none" w:sz="0" w:space="0" w:color="auto"/>
        <w:left w:val="none" w:sz="0" w:space="0" w:color="auto"/>
        <w:bottom w:val="none" w:sz="0" w:space="0" w:color="auto"/>
        <w:right w:val="none" w:sz="0" w:space="0" w:color="auto"/>
      </w:divBdr>
    </w:div>
    <w:div w:id="449131820">
      <w:bodyDiv w:val="1"/>
      <w:marLeft w:val="0"/>
      <w:marRight w:val="0"/>
      <w:marTop w:val="0"/>
      <w:marBottom w:val="0"/>
      <w:divBdr>
        <w:top w:val="none" w:sz="0" w:space="0" w:color="auto"/>
        <w:left w:val="none" w:sz="0" w:space="0" w:color="auto"/>
        <w:bottom w:val="none" w:sz="0" w:space="0" w:color="auto"/>
        <w:right w:val="none" w:sz="0" w:space="0" w:color="auto"/>
      </w:divBdr>
      <w:divsChild>
        <w:div w:id="1548687966">
          <w:blockQuote w:val="1"/>
          <w:marLeft w:val="720"/>
          <w:marRight w:val="720"/>
          <w:marTop w:val="100"/>
          <w:marBottom w:val="100"/>
          <w:divBdr>
            <w:top w:val="none" w:sz="0" w:space="0" w:color="auto"/>
            <w:left w:val="none" w:sz="0" w:space="0" w:color="auto"/>
            <w:bottom w:val="none" w:sz="0" w:space="0" w:color="auto"/>
            <w:right w:val="none" w:sz="0" w:space="0" w:color="auto"/>
          </w:divBdr>
        </w:div>
        <w:div w:id="364017189">
          <w:blockQuote w:val="1"/>
          <w:marLeft w:val="720"/>
          <w:marRight w:val="720"/>
          <w:marTop w:val="100"/>
          <w:marBottom w:val="100"/>
          <w:divBdr>
            <w:top w:val="none" w:sz="0" w:space="0" w:color="auto"/>
            <w:left w:val="none" w:sz="0" w:space="0" w:color="auto"/>
            <w:bottom w:val="none" w:sz="0" w:space="0" w:color="auto"/>
            <w:right w:val="none" w:sz="0" w:space="0" w:color="auto"/>
          </w:divBdr>
        </w:div>
        <w:div w:id="911263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7529670">
      <w:bodyDiv w:val="1"/>
      <w:marLeft w:val="0"/>
      <w:marRight w:val="0"/>
      <w:marTop w:val="0"/>
      <w:marBottom w:val="0"/>
      <w:divBdr>
        <w:top w:val="none" w:sz="0" w:space="0" w:color="auto"/>
        <w:left w:val="none" w:sz="0" w:space="0" w:color="auto"/>
        <w:bottom w:val="none" w:sz="0" w:space="0" w:color="auto"/>
        <w:right w:val="none" w:sz="0" w:space="0" w:color="auto"/>
      </w:divBdr>
      <w:divsChild>
        <w:div w:id="209804878">
          <w:marLeft w:val="0"/>
          <w:marRight w:val="0"/>
          <w:marTop w:val="0"/>
          <w:marBottom w:val="0"/>
          <w:divBdr>
            <w:top w:val="none" w:sz="0" w:space="0" w:color="auto"/>
            <w:left w:val="none" w:sz="0" w:space="0" w:color="auto"/>
            <w:bottom w:val="none" w:sz="0" w:space="0" w:color="auto"/>
            <w:right w:val="none" w:sz="0" w:space="0" w:color="auto"/>
          </w:divBdr>
          <w:divsChild>
            <w:div w:id="618991367">
              <w:marLeft w:val="0"/>
              <w:marRight w:val="0"/>
              <w:marTop w:val="0"/>
              <w:marBottom w:val="0"/>
              <w:divBdr>
                <w:top w:val="none" w:sz="0" w:space="0" w:color="auto"/>
                <w:left w:val="none" w:sz="0" w:space="0" w:color="auto"/>
                <w:bottom w:val="none" w:sz="0" w:space="0" w:color="auto"/>
                <w:right w:val="none" w:sz="0" w:space="0" w:color="auto"/>
              </w:divBdr>
              <w:divsChild>
                <w:div w:id="1148478809">
                  <w:marLeft w:val="0"/>
                  <w:marRight w:val="0"/>
                  <w:marTop w:val="0"/>
                  <w:marBottom w:val="0"/>
                  <w:divBdr>
                    <w:top w:val="none" w:sz="0" w:space="0" w:color="auto"/>
                    <w:left w:val="none" w:sz="0" w:space="0" w:color="auto"/>
                    <w:bottom w:val="none" w:sz="0" w:space="0" w:color="auto"/>
                    <w:right w:val="none" w:sz="0" w:space="0" w:color="auto"/>
                  </w:divBdr>
                  <w:divsChild>
                    <w:div w:id="1012487616">
                      <w:marLeft w:val="0"/>
                      <w:marRight w:val="0"/>
                      <w:marTop w:val="0"/>
                      <w:marBottom w:val="0"/>
                      <w:divBdr>
                        <w:top w:val="none" w:sz="0" w:space="0" w:color="auto"/>
                        <w:left w:val="none" w:sz="0" w:space="0" w:color="auto"/>
                        <w:bottom w:val="none" w:sz="0" w:space="0" w:color="auto"/>
                        <w:right w:val="none" w:sz="0" w:space="0" w:color="auto"/>
                      </w:divBdr>
                      <w:divsChild>
                        <w:div w:id="1972789183">
                          <w:marLeft w:val="0"/>
                          <w:marRight w:val="0"/>
                          <w:marTop w:val="0"/>
                          <w:marBottom w:val="0"/>
                          <w:divBdr>
                            <w:top w:val="none" w:sz="0" w:space="0" w:color="auto"/>
                            <w:left w:val="none" w:sz="0" w:space="0" w:color="auto"/>
                            <w:bottom w:val="none" w:sz="0" w:space="0" w:color="auto"/>
                            <w:right w:val="none" w:sz="0" w:space="0" w:color="auto"/>
                          </w:divBdr>
                          <w:divsChild>
                            <w:div w:id="80080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7679307">
          <w:marLeft w:val="0"/>
          <w:marRight w:val="0"/>
          <w:marTop w:val="0"/>
          <w:marBottom w:val="0"/>
          <w:divBdr>
            <w:top w:val="none" w:sz="0" w:space="0" w:color="auto"/>
            <w:left w:val="none" w:sz="0" w:space="0" w:color="auto"/>
            <w:bottom w:val="none" w:sz="0" w:space="0" w:color="auto"/>
            <w:right w:val="none" w:sz="0" w:space="0" w:color="auto"/>
          </w:divBdr>
          <w:divsChild>
            <w:div w:id="1065028451">
              <w:marLeft w:val="0"/>
              <w:marRight w:val="0"/>
              <w:marTop w:val="0"/>
              <w:marBottom w:val="0"/>
              <w:divBdr>
                <w:top w:val="none" w:sz="0" w:space="0" w:color="auto"/>
                <w:left w:val="none" w:sz="0" w:space="0" w:color="auto"/>
                <w:bottom w:val="none" w:sz="0" w:space="0" w:color="auto"/>
                <w:right w:val="none" w:sz="0" w:space="0" w:color="auto"/>
              </w:divBdr>
              <w:divsChild>
                <w:div w:id="1700470097">
                  <w:marLeft w:val="0"/>
                  <w:marRight w:val="0"/>
                  <w:marTop w:val="0"/>
                  <w:marBottom w:val="0"/>
                  <w:divBdr>
                    <w:top w:val="none" w:sz="0" w:space="0" w:color="auto"/>
                    <w:left w:val="none" w:sz="0" w:space="0" w:color="auto"/>
                    <w:bottom w:val="none" w:sz="0" w:space="0" w:color="auto"/>
                    <w:right w:val="none" w:sz="0" w:space="0" w:color="auto"/>
                  </w:divBdr>
                  <w:divsChild>
                    <w:div w:id="1167329914">
                      <w:marLeft w:val="0"/>
                      <w:marRight w:val="0"/>
                      <w:marTop w:val="0"/>
                      <w:marBottom w:val="0"/>
                      <w:divBdr>
                        <w:top w:val="none" w:sz="0" w:space="0" w:color="auto"/>
                        <w:left w:val="none" w:sz="0" w:space="0" w:color="auto"/>
                        <w:bottom w:val="none" w:sz="0" w:space="0" w:color="auto"/>
                        <w:right w:val="none" w:sz="0" w:space="0" w:color="auto"/>
                      </w:divBdr>
                      <w:divsChild>
                        <w:div w:id="764040426">
                          <w:marLeft w:val="0"/>
                          <w:marRight w:val="0"/>
                          <w:marTop w:val="0"/>
                          <w:marBottom w:val="0"/>
                          <w:divBdr>
                            <w:top w:val="none" w:sz="0" w:space="0" w:color="auto"/>
                            <w:left w:val="none" w:sz="0" w:space="0" w:color="auto"/>
                            <w:bottom w:val="none" w:sz="0" w:space="0" w:color="auto"/>
                            <w:right w:val="none" w:sz="0" w:space="0" w:color="auto"/>
                          </w:divBdr>
                          <w:divsChild>
                            <w:div w:id="1496384577">
                              <w:marLeft w:val="0"/>
                              <w:marRight w:val="0"/>
                              <w:marTop w:val="0"/>
                              <w:marBottom w:val="0"/>
                              <w:divBdr>
                                <w:top w:val="none" w:sz="0" w:space="0" w:color="auto"/>
                                <w:left w:val="none" w:sz="0" w:space="0" w:color="auto"/>
                                <w:bottom w:val="none" w:sz="0" w:space="0" w:color="auto"/>
                                <w:right w:val="none" w:sz="0" w:space="0" w:color="auto"/>
                              </w:divBdr>
                              <w:divsChild>
                                <w:div w:id="20567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7640353">
          <w:marLeft w:val="0"/>
          <w:marRight w:val="0"/>
          <w:marTop w:val="0"/>
          <w:marBottom w:val="0"/>
          <w:divBdr>
            <w:top w:val="none" w:sz="0" w:space="0" w:color="auto"/>
            <w:left w:val="none" w:sz="0" w:space="0" w:color="auto"/>
            <w:bottom w:val="none" w:sz="0" w:space="0" w:color="auto"/>
            <w:right w:val="none" w:sz="0" w:space="0" w:color="auto"/>
          </w:divBdr>
          <w:divsChild>
            <w:div w:id="684945239">
              <w:marLeft w:val="0"/>
              <w:marRight w:val="0"/>
              <w:marTop w:val="0"/>
              <w:marBottom w:val="0"/>
              <w:divBdr>
                <w:top w:val="none" w:sz="0" w:space="0" w:color="auto"/>
                <w:left w:val="none" w:sz="0" w:space="0" w:color="auto"/>
                <w:bottom w:val="none" w:sz="0" w:space="0" w:color="auto"/>
                <w:right w:val="none" w:sz="0" w:space="0" w:color="auto"/>
              </w:divBdr>
              <w:divsChild>
                <w:div w:id="1626888886">
                  <w:marLeft w:val="0"/>
                  <w:marRight w:val="0"/>
                  <w:marTop w:val="0"/>
                  <w:marBottom w:val="0"/>
                  <w:divBdr>
                    <w:top w:val="none" w:sz="0" w:space="0" w:color="auto"/>
                    <w:left w:val="none" w:sz="0" w:space="0" w:color="auto"/>
                    <w:bottom w:val="none" w:sz="0" w:space="0" w:color="auto"/>
                    <w:right w:val="none" w:sz="0" w:space="0" w:color="auto"/>
                  </w:divBdr>
                  <w:divsChild>
                    <w:div w:id="72093543">
                      <w:marLeft w:val="0"/>
                      <w:marRight w:val="0"/>
                      <w:marTop w:val="0"/>
                      <w:marBottom w:val="0"/>
                      <w:divBdr>
                        <w:top w:val="none" w:sz="0" w:space="0" w:color="auto"/>
                        <w:left w:val="none" w:sz="0" w:space="0" w:color="auto"/>
                        <w:bottom w:val="none" w:sz="0" w:space="0" w:color="auto"/>
                        <w:right w:val="none" w:sz="0" w:space="0" w:color="auto"/>
                      </w:divBdr>
                      <w:divsChild>
                        <w:div w:id="1170096733">
                          <w:marLeft w:val="0"/>
                          <w:marRight w:val="0"/>
                          <w:marTop w:val="0"/>
                          <w:marBottom w:val="0"/>
                          <w:divBdr>
                            <w:top w:val="none" w:sz="0" w:space="0" w:color="auto"/>
                            <w:left w:val="none" w:sz="0" w:space="0" w:color="auto"/>
                            <w:bottom w:val="none" w:sz="0" w:space="0" w:color="auto"/>
                            <w:right w:val="none" w:sz="0" w:space="0" w:color="auto"/>
                          </w:divBdr>
                          <w:divsChild>
                            <w:div w:id="211840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4923868">
      <w:bodyDiv w:val="1"/>
      <w:marLeft w:val="0"/>
      <w:marRight w:val="0"/>
      <w:marTop w:val="0"/>
      <w:marBottom w:val="0"/>
      <w:divBdr>
        <w:top w:val="none" w:sz="0" w:space="0" w:color="auto"/>
        <w:left w:val="none" w:sz="0" w:space="0" w:color="auto"/>
        <w:bottom w:val="none" w:sz="0" w:space="0" w:color="auto"/>
        <w:right w:val="none" w:sz="0" w:space="0" w:color="auto"/>
      </w:divBdr>
    </w:div>
    <w:div w:id="639305748">
      <w:bodyDiv w:val="1"/>
      <w:marLeft w:val="0"/>
      <w:marRight w:val="0"/>
      <w:marTop w:val="0"/>
      <w:marBottom w:val="0"/>
      <w:divBdr>
        <w:top w:val="none" w:sz="0" w:space="0" w:color="auto"/>
        <w:left w:val="none" w:sz="0" w:space="0" w:color="auto"/>
        <w:bottom w:val="none" w:sz="0" w:space="0" w:color="auto"/>
        <w:right w:val="none" w:sz="0" w:space="0" w:color="auto"/>
      </w:divBdr>
    </w:div>
    <w:div w:id="779833185">
      <w:bodyDiv w:val="1"/>
      <w:marLeft w:val="0"/>
      <w:marRight w:val="0"/>
      <w:marTop w:val="0"/>
      <w:marBottom w:val="0"/>
      <w:divBdr>
        <w:top w:val="none" w:sz="0" w:space="0" w:color="auto"/>
        <w:left w:val="none" w:sz="0" w:space="0" w:color="auto"/>
        <w:bottom w:val="none" w:sz="0" w:space="0" w:color="auto"/>
        <w:right w:val="none" w:sz="0" w:space="0" w:color="auto"/>
      </w:divBdr>
    </w:div>
    <w:div w:id="799147807">
      <w:bodyDiv w:val="1"/>
      <w:marLeft w:val="0"/>
      <w:marRight w:val="0"/>
      <w:marTop w:val="0"/>
      <w:marBottom w:val="0"/>
      <w:divBdr>
        <w:top w:val="none" w:sz="0" w:space="0" w:color="auto"/>
        <w:left w:val="none" w:sz="0" w:space="0" w:color="auto"/>
        <w:bottom w:val="none" w:sz="0" w:space="0" w:color="auto"/>
        <w:right w:val="none" w:sz="0" w:space="0" w:color="auto"/>
      </w:divBdr>
    </w:div>
    <w:div w:id="803734302">
      <w:bodyDiv w:val="1"/>
      <w:marLeft w:val="0"/>
      <w:marRight w:val="0"/>
      <w:marTop w:val="0"/>
      <w:marBottom w:val="0"/>
      <w:divBdr>
        <w:top w:val="none" w:sz="0" w:space="0" w:color="auto"/>
        <w:left w:val="none" w:sz="0" w:space="0" w:color="auto"/>
        <w:bottom w:val="none" w:sz="0" w:space="0" w:color="auto"/>
        <w:right w:val="none" w:sz="0" w:space="0" w:color="auto"/>
      </w:divBdr>
      <w:divsChild>
        <w:div w:id="10003543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1041692">
      <w:bodyDiv w:val="1"/>
      <w:marLeft w:val="0"/>
      <w:marRight w:val="0"/>
      <w:marTop w:val="0"/>
      <w:marBottom w:val="0"/>
      <w:divBdr>
        <w:top w:val="none" w:sz="0" w:space="0" w:color="auto"/>
        <w:left w:val="none" w:sz="0" w:space="0" w:color="auto"/>
        <w:bottom w:val="none" w:sz="0" w:space="0" w:color="auto"/>
        <w:right w:val="none" w:sz="0" w:space="0" w:color="auto"/>
      </w:divBdr>
      <w:divsChild>
        <w:div w:id="345863456">
          <w:blockQuote w:val="1"/>
          <w:marLeft w:val="720"/>
          <w:marRight w:val="720"/>
          <w:marTop w:val="100"/>
          <w:marBottom w:val="100"/>
          <w:divBdr>
            <w:top w:val="none" w:sz="0" w:space="0" w:color="auto"/>
            <w:left w:val="none" w:sz="0" w:space="0" w:color="auto"/>
            <w:bottom w:val="none" w:sz="0" w:space="0" w:color="auto"/>
            <w:right w:val="none" w:sz="0" w:space="0" w:color="auto"/>
          </w:divBdr>
        </w:div>
        <w:div w:id="1715758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2550918">
      <w:bodyDiv w:val="1"/>
      <w:marLeft w:val="0"/>
      <w:marRight w:val="0"/>
      <w:marTop w:val="0"/>
      <w:marBottom w:val="0"/>
      <w:divBdr>
        <w:top w:val="none" w:sz="0" w:space="0" w:color="auto"/>
        <w:left w:val="none" w:sz="0" w:space="0" w:color="auto"/>
        <w:bottom w:val="none" w:sz="0" w:space="0" w:color="auto"/>
        <w:right w:val="none" w:sz="0" w:space="0" w:color="auto"/>
      </w:divBdr>
    </w:div>
    <w:div w:id="899437292">
      <w:bodyDiv w:val="1"/>
      <w:marLeft w:val="0"/>
      <w:marRight w:val="0"/>
      <w:marTop w:val="0"/>
      <w:marBottom w:val="0"/>
      <w:divBdr>
        <w:top w:val="none" w:sz="0" w:space="0" w:color="auto"/>
        <w:left w:val="none" w:sz="0" w:space="0" w:color="auto"/>
        <w:bottom w:val="none" w:sz="0" w:space="0" w:color="auto"/>
        <w:right w:val="none" w:sz="0" w:space="0" w:color="auto"/>
      </w:divBdr>
    </w:div>
    <w:div w:id="899557490">
      <w:bodyDiv w:val="1"/>
      <w:marLeft w:val="0"/>
      <w:marRight w:val="0"/>
      <w:marTop w:val="0"/>
      <w:marBottom w:val="0"/>
      <w:divBdr>
        <w:top w:val="none" w:sz="0" w:space="0" w:color="auto"/>
        <w:left w:val="none" w:sz="0" w:space="0" w:color="auto"/>
        <w:bottom w:val="none" w:sz="0" w:space="0" w:color="auto"/>
        <w:right w:val="none" w:sz="0" w:space="0" w:color="auto"/>
      </w:divBdr>
    </w:div>
    <w:div w:id="934095756">
      <w:bodyDiv w:val="1"/>
      <w:marLeft w:val="0"/>
      <w:marRight w:val="0"/>
      <w:marTop w:val="0"/>
      <w:marBottom w:val="0"/>
      <w:divBdr>
        <w:top w:val="none" w:sz="0" w:space="0" w:color="auto"/>
        <w:left w:val="none" w:sz="0" w:space="0" w:color="auto"/>
        <w:bottom w:val="none" w:sz="0" w:space="0" w:color="auto"/>
        <w:right w:val="none" w:sz="0" w:space="0" w:color="auto"/>
      </w:divBdr>
    </w:div>
    <w:div w:id="961689647">
      <w:bodyDiv w:val="1"/>
      <w:marLeft w:val="0"/>
      <w:marRight w:val="0"/>
      <w:marTop w:val="0"/>
      <w:marBottom w:val="0"/>
      <w:divBdr>
        <w:top w:val="none" w:sz="0" w:space="0" w:color="auto"/>
        <w:left w:val="none" w:sz="0" w:space="0" w:color="auto"/>
        <w:bottom w:val="none" w:sz="0" w:space="0" w:color="auto"/>
        <w:right w:val="none" w:sz="0" w:space="0" w:color="auto"/>
      </w:divBdr>
      <w:divsChild>
        <w:div w:id="1318076859">
          <w:marLeft w:val="0"/>
          <w:marRight w:val="0"/>
          <w:marTop w:val="0"/>
          <w:marBottom w:val="0"/>
          <w:divBdr>
            <w:top w:val="none" w:sz="0" w:space="0" w:color="auto"/>
            <w:left w:val="none" w:sz="0" w:space="0" w:color="auto"/>
            <w:bottom w:val="none" w:sz="0" w:space="0" w:color="auto"/>
            <w:right w:val="none" w:sz="0" w:space="0" w:color="auto"/>
          </w:divBdr>
          <w:divsChild>
            <w:div w:id="549729916">
              <w:marLeft w:val="0"/>
              <w:marRight w:val="0"/>
              <w:marTop w:val="0"/>
              <w:marBottom w:val="0"/>
              <w:divBdr>
                <w:top w:val="none" w:sz="0" w:space="0" w:color="auto"/>
                <w:left w:val="none" w:sz="0" w:space="0" w:color="auto"/>
                <w:bottom w:val="none" w:sz="0" w:space="0" w:color="auto"/>
                <w:right w:val="none" w:sz="0" w:space="0" w:color="auto"/>
              </w:divBdr>
              <w:divsChild>
                <w:div w:id="436414341">
                  <w:marLeft w:val="0"/>
                  <w:marRight w:val="0"/>
                  <w:marTop w:val="0"/>
                  <w:marBottom w:val="0"/>
                  <w:divBdr>
                    <w:top w:val="none" w:sz="0" w:space="0" w:color="auto"/>
                    <w:left w:val="none" w:sz="0" w:space="0" w:color="auto"/>
                    <w:bottom w:val="none" w:sz="0" w:space="0" w:color="auto"/>
                    <w:right w:val="none" w:sz="0" w:space="0" w:color="auto"/>
                  </w:divBdr>
                  <w:divsChild>
                    <w:div w:id="324557054">
                      <w:marLeft w:val="0"/>
                      <w:marRight w:val="0"/>
                      <w:marTop w:val="0"/>
                      <w:marBottom w:val="0"/>
                      <w:divBdr>
                        <w:top w:val="none" w:sz="0" w:space="0" w:color="auto"/>
                        <w:left w:val="none" w:sz="0" w:space="0" w:color="auto"/>
                        <w:bottom w:val="none" w:sz="0" w:space="0" w:color="auto"/>
                        <w:right w:val="none" w:sz="0" w:space="0" w:color="auto"/>
                      </w:divBdr>
                      <w:divsChild>
                        <w:div w:id="1329138285">
                          <w:marLeft w:val="0"/>
                          <w:marRight w:val="0"/>
                          <w:marTop w:val="0"/>
                          <w:marBottom w:val="0"/>
                          <w:divBdr>
                            <w:top w:val="none" w:sz="0" w:space="0" w:color="auto"/>
                            <w:left w:val="none" w:sz="0" w:space="0" w:color="auto"/>
                            <w:bottom w:val="none" w:sz="0" w:space="0" w:color="auto"/>
                            <w:right w:val="none" w:sz="0" w:space="0" w:color="auto"/>
                          </w:divBdr>
                          <w:divsChild>
                            <w:div w:id="17791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944529">
      <w:bodyDiv w:val="1"/>
      <w:marLeft w:val="0"/>
      <w:marRight w:val="0"/>
      <w:marTop w:val="0"/>
      <w:marBottom w:val="0"/>
      <w:divBdr>
        <w:top w:val="none" w:sz="0" w:space="0" w:color="auto"/>
        <w:left w:val="none" w:sz="0" w:space="0" w:color="auto"/>
        <w:bottom w:val="none" w:sz="0" w:space="0" w:color="auto"/>
        <w:right w:val="none" w:sz="0" w:space="0" w:color="auto"/>
      </w:divBdr>
    </w:div>
    <w:div w:id="1012030218">
      <w:bodyDiv w:val="1"/>
      <w:marLeft w:val="0"/>
      <w:marRight w:val="0"/>
      <w:marTop w:val="0"/>
      <w:marBottom w:val="0"/>
      <w:divBdr>
        <w:top w:val="none" w:sz="0" w:space="0" w:color="auto"/>
        <w:left w:val="none" w:sz="0" w:space="0" w:color="auto"/>
        <w:bottom w:val="none" w:sz="0" w:space="0" w:color="auto"/>
        <w:right w:val="none" w:sz="0" w:space="0" w:color="auto"/>
      </w:divBdr>
      <w:divsChild>
        <w:div w:id="8726934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8338203">
      <w:bodyDiv w:val="1"/>
      <w:marLeft w:val="0"/>
      <w:marRight w:val="0"/>
      <w:marTop w:val="0"/>
      <w:marBottom w:val="0"/>
      <w:divBdr>
        <w:top w:val="none" w:sz="0" w:space="0" w:color="auto"/>
        <w:left w:val="none" w:sz="0" w:space="0" w:color="auto"/>
        <w:bottom w:val="none" w:sz="0" w:space="0" w:color="auto"/>
        <w:right w:val="none" w:sz="0" w:space="0" w:color="auto"/>
      </w:divBdr>
      <w:divsChild>
        <w:div w:id="34082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9425658">
      <w:bodyDiv w:val="1"/>
      <w:marLeft w:val="0"/>
      <w:marRight w:val="0"/>
      <w:marTop w:val="0"/>
      <w:marBottom w:val="0"/>
      <w:divBdr>
        <w:top w:val="none" w:sz="0" w:space="0" w:color="auto"/>
        <w:left w:val="none" w:sz="0" w:space="0" w:color="auto"/>
        <w:bottom w:val="none" w:sz="0" w:space="0" w:color="auto"/>
        <w:right w:val="none" w:sz="0" w:space="0" w:color="auto"/>
      </w:divBdr>
    </w:div>
    <w:div w:id="1086072078">
      <w:bodyDiv w:val="1"/>
      <w:marLeft w:val="0"/>
      <w:marRight w:val="0"/>
      <w:marTop w:val="0"/>
      <w:marBottom w:val="0"/>
      <w:divBdr>
        <w:top w:val="none" w:sz="0" w:space="0" w:color="auto"/>
        <w:left w:val="none" w:sz="0" w:space="0" w:color="auto"/>
        <w:bottom w:val="none" w:sz="0" w:space="0" w:color="auto"/>
        <w:right w:val="none" w:sz="0" w:space="0" w:color="auto"/>
      </w:divBdr>
    </w:div>
    <w:div w:id="1106539174">
      <w:bodyDiv w:val="1"/>
      <w:marLeft w:val="0"/>
      <w:marRight w:val="0"/>
      <w:marTop w:val="0"/>
      <w:marBottom w:val="0"/>
      <w:divBdr>
        <w:top w:val="none" w:sz="0" w:space="0" w:color="auto"/>
        <w:left w:val="none" w:sz="0" w:space="0" w:color="auto"/>
        <w:bottom w:val="none" w:sz="0" w:space="0" w:color="auto"/>
        <w:right w:val="none" w:sz="0" w:space="0" w:color="auto"/>
      </w:divBdr>
      <w:divsChild>
        <w:div w:id="599829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0657875">
      <w:bodyDiv w:val="1"/>
      <w:marLeft w:val="0"/>
      <w:marRight w:val="0"/>
      <w:marTop w:val="0"/>
      <w:marBottom w:val="0"/>
      <w:divBdr>
        <w:top w:val="none" w:sz="0" w:space="0" w:color="auto"/>
        <w:left w:val="none" w:sz="0" w:space="0" w:color="auto"/>
        <w:bottom w:val="none" w:sz="0" w:space="0" w:color="auto"/>
        <w:right w:val="none" w:sz="0" w:space="0" w:color="auto"/>
      </w:divBdr>
    </w:div>
    <w:div w:id="1206064026">
      <w:bodyDiv w:val="1"/>
      <w:marLeft w:val="0"/>
      <w:marRight w:val="0"/>
      <w:marTop w:val="0"/>
      <w:marBottom w:val="0"/>
      <w:divBdr>
        <w:top w:val="none" w:sz="0" w:space="0" w:color="auto"/>
        <w:left w:val="none" w:sz="0" w:space="0" w:color="auto"/>
        <w:bottom w:val="none" w:sz="0" w:space="0" w:color="auto"/>
        <w:right w:val="none" w:sz="0" w:space="0" w:color="auto"/>
      </w:divBdr>
    </w:div>
    <w:div w:id="1210385500">
      <w:bodyDiv w:val="1"/>
      <w:marLeft w:val="0"/>
      <w:marRight w:val="0"/>
      <w:marTop w:val="0"/>
      <w:marBottom w:val="0"/>
      <w:divBdr>
        <w:top w:val="none" w:sz="0" w:space="0" w:color="auto"/>
        <w:left w:val="none" w:sz="0" w:space="0" w:color="auto"/>
        <w:bottom w:val="none" w:sz="0" w:space="0" w:color="auto"/>
        <w:right w:val="none" w:sz="0" w:space="0" w:color="auto"/>
      </w:divBdr>
    </w:div>
    <w:div w:id="1231386611">
      <w:bodyDiv w:val="1"/>
      <w:marLeft w:val="0"/>
      <w:marRight w:val="0"/>
      <w:marTop w:val="0"/>
      <w:marBottom w:val="0"/>
      <w:divBdr>
        <w:top w:val="none" w:sz="0" w:space="0" w:color="auto"/>
        <w:left w:val="none" w:sz="0" w:space="0" w:color="auto"/>
        <w:bottom w:val="none" w:sz="0" w:space="0" w:color="auto"/>
        <w:right w:val="none" w:sz="0" w:space="0" w:color="auto"/>
      </w:divBdr>
    </w:div>
    <w:div w:id="1236009015">
      <w:bodyDiv w:val="1"/>
      <w:marLeft w:val="0"/>
      <w:marRight w:val="0"/>
      <w:marTop w:val="0"/>
      <w:marBottom w:val="0"/>
      <w:divBdr>
        <w:top w:val="none" w:sz="0" w:space="0" w:color="auto"/>
        <w:left w:val="none" w:sz="0" w:space="0" w:color="auto"/>
        <w:bottom w:val="none" w:sz="0" w:space="0" w:color="auto"/>
        <w:right w:val="none" w:sz="0" w:space="0" w:color="auto"/>
      </w:divBdr>
      <w:divsChild>
        <w:div w:id="399596732">
          <w:marLeft w:val="0"/>
          <w:marRight w:val="0"/>
          <w:marTop w:val="0"/>
          <w:marBottom w:val="0"/>
          <w:divBdr>
            <w:top w:val="none" w:sz="0" w:space="0" w:color="auto"/>
            <w:left w:val="none" w:sz="0" w:space="0" w:color="auto"/>
            <w:bottom w:val="none" w:sz="0" w:space="0" w:color="auto"/>
            <w:right w:val="none" w:sz="0" w:space="0" w:color="auto"/>
          </w:divBdr>
          <w:divsChild>
            <w:div w:id="624627692">
              <w:marLeft w:val="0"/>
              <w:marRight w:val="0"/>
              <w:marTop w:val="0"/>
              <w:marBottom w:val="0"/>
              <w:divBdr>
                <w:top w:val="none" w:sz="0" w:space="0" w:color="auto"/>
                <w:left w:val="none" w:sz="0" w:space="0" w:color="auto"/>
                <w:bottom w:val="none" w:sz="0" w:space="0" w:color="auto"/>
                <w:right w:val="none" w:sz="0" w:space="0" w:color="auto"/>
              </w:divBdr>
              <w:divsChild>
                <w:div w:id="1713726545">
                  <w:marLeft w:val="0"/>
                  <w:marRight w:val="0"/>
                  <w:marTop w:val="0"/>
                  <w:marBottom w:val="0"/>
                  <w:divBdr>
                    <w:top w:val="none" w:sz="0" w:space="0" w:color="auto"/>
                    <w:left w:val="none" w:sz="0" w:space="0" w:color="auto"/>
                    <w:bottom w:val="none" w:sz="0" w:space="0" w:color="auto"/>
                    <w:right w:val="none" w:sz="0" w:space="0" w:color="auto"/>
                  </w:divBdr>
                  <w:divsChild>
                    <w:div w:id="1271468503">
                      <w:marLeft w:val="0"/>
                      <w:marRight w:val="0"/>
                      <w:marTop w:val="0"/>
                      <w:marBottom w:val="0"/>
                      <w:divBdr>
                        <w:top w:val="none" w:sz="0" w:space="0" w:color="auto"/>
                        <w:left w:val="none" w:sz="0" w:space="0" w:color="auto"/>
                        <w:bottom w:val="none" w:sz="0" w:space="0" w:color="auto"/>
                        <w:right w:val="none" w:sz="0" w:space="0" w:color="auto"/>
                      </w:divBdr>
                      <w:divsChild>
                        <w:div w:id="1968008662">
                          <w:marLeft w:val="0"/>
                          <w:marRight w:val="0"/>
                          <w:marTop w:val="0"/>
                          <w:marBottom w:val="0"/>
                          <w:divBdr>
                            <w:top w:val="none" w:sz="0" w:space="0" w:color="auto"/>
                            <w:left w:val="none" w:sz="0" w:space="0" w:color="auto"/>
                            <w:bottom w:val="none" w:sz="0" w:space="0" w:color="auto"/>
                            <w:right w:val="none" w:sz="0" w:space="0" w:color="auto"/>
                          </w:divBdr>
                          <w:divsChild>
                            <w:div w:id="726032100">
                              <w:marLeft w:val="0"/>
                              <w:marRight w:val="0"/>
                              <w:marTop w:val="0"/>
                              <w:marBottom w:val="0"/>
                              <w:divBdr>
                                <w:top w:val="none" w:sz="0" w:space="0" w:color="auto"/>
                                <w:left w:val="none" w:sz="0" w:space="0" w:color="auto"/>
                                <w:bottom w:val="none" w:sz="0" w:space="0" w:color="auto"/>
                                <w:right w:val="none" w:sz="0" w:space="0" w:color="auto"/>
                              </w:divBdr>
                              <w:divsChild>
                                <w:div w:id="1114715304">
                                  <w:marLeft w:val="0"/>
                                  <w:marRight w:val="0"/>
                                  <w:marTop w:val="0"/>
                                  <w:marBottom w:val="0"/>
                                  <w:divBdr>
                                    <w:top w:val="none" w:sz="0" w:space="0" w:color="auto"/>
                                    <w:left w:val="none" w:sz="0" w:space="0" w:color="auto"/>
                                    <w:bottom w:val="none" w:sz="0" w:space="0" w:color="auto"/>
                                    <w:right w:val="none" w:sz="0" w:space="0" w:color="auto"/>
                                  </w:divBdr>
                                  <w:divsChild>
                                    <w:div w:id="1300841595">
                                      <w:marLeft w:val="0"/>
                                      <w:marRight w:val="0"/>
                                      <w:marTop w:val="0"/>
                                      <w:marBottom w:val="0"/>
                                      <w:divBdr>
                                        <w:top w:val="none" w:sz="0" w:space="0" w:color="auto"/>
                                        <w:left w:val="none" w:sz="0" w:space="0" w:color="auto"/>
                                        <w:bottom w:val="none" w:sz="0" w:space="0" w:color="auto"/>
                                        <w:right w:val="none" w:sz="0" w:space="0" w:color="auto"/>
                                      </w:divBdr>
                                      <w:divsChild>
                                        <w:div w:id="175488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4379028">
              <w:marLeft w:val="0"/>
              <w:marRight w:val="0"/>
              <w:marTop w:val="0"/>
              <w:marBottom w:val="0"/>
              <w:divBdr>
                <w:top w:val="none" w:sz="0" w:space="0" w:color="auto"/>
                <w:left w:val="none" w:sz="0" w:space="0" w:color="auto"/>
                <w:bottom w:val="none" w:sz="0" w:space="0" w:color="auto"/>
                <w:right w:val="none" w:sz="0" w:space="0" w:color="auto"/>
              </w:divBdr>
              <w:divsChild>
                <w:div w:id="1279600326">
                  <w:marLeft w:val="0"/>
                  <w:marRight w:val="0"/>
                  <w:marTop w:val="0"/>
                  <w:marBottom w:val="0"/>
                  <w:divBdr>
                    <w:top w:val="none" w:sz="0" w:space="0" w:color="auto"/>
                    <w:left w:val="none" w:sz="0" w:space="0" w:color="auto"/>
                    <w:bottom w:val="none" w:sz="0" w:space="0" w:color="auto"/>
                    <w:right w:val="none" w:sz="0" w:space="0" w:color="auto"/>
                  </w:divBdr>
                  <w:divsChild>
                    <w:div w:id="2026402062">
                      <w:marLeft w:val="0"/>
                      <w:marRight w:val="0"/>
                      <w:marTop w:val="0"/>
                      <w:marBottom w:val="0"/>
                      <w:divBdr>
                        <w:top w:val="none" w:sz="0" w:space="0" w:color="auto"/>
                        <w:left w:val="none" w:sz="0" w:space="0" w:color="auto"/>
                        <w:bottom w:val="none" w:sz="0" w:space="0" w:color="auto"/>
                        <w:right w:val="none" w:sz="0" w:space="0" w:color="auto"/>
                      </w:divBdr>
                      <w:divsChild>
                        <w:div w:id="733089799">
                          <w:marLeft w:val="0"/>
                          <w:marRight w:val="0"/>
                          <w:marTop w:val="0"/>
                          <w:marBottom w:val="0"/>
                          <w:divBdr>
                            <w:top w:val="none" w:sz="0" w:space="0" w:color="auto"/>
                            <w:left w:val="none" w:sz="0" w:space="0" w:color="auto"/>
                            <w:bottom w:val="none" w:sz="0" w:space="0" w:color="auto"/>
                            <w:right w:val="none" w:sz="0" w:space="0" w:color="auto"/>
                          </w:divBdr>
                          <w:divsChild>
                            <w:div w:id="1461920608">
                              <w:marLeft w:val="0"/>
                              <w:marRight w:val="0"/>
                              <w:marTop w:val="0"/>
                              <w:marBottom w:val="0"/>
                              <w:divBdr>
                                <w:top w:val="none" w:sz="0" w:space="0" w:color="auto"/>
                                <w:left w:val="none" w:sz="0" w:space="0" w:color="auto"/>
                                <w:bottom w:val="none" w:sz="0" w:space="0" w:color="auto"/>
                                <w:right w:val="none" w:sz="0" w:space="0" w:color="auto"/>
                              </w:divBdr>
                              <w:divsChild>
                                <w:div w:id="10837791">
                                  <w:marLeft w:val="0"/>
                                  <w:marRight w:val="0"/>
                                  <w:marTop w:val="0"/>
                                  <w:marBottom w:val="0"/>
                                  <w:divBdr>
                                    <w:top w:val="none" w:sz="0" w:space="0" w:color="auto"/>
                                    <w:left w:val="none" w:sz="0" w:space="0" w:color="auto"/>
                                    <w:bottom w:val="none" w:sz="0" w:space="0" w:color="auto"/>
                                    <w:right w:val="none" w:sz="0" w:space="0" w:color="auto"/>
                                  </w:divBdr>
                                  <w:divsChild>
                                    <w:div w:id="147694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293420">
              <w:marLeft w:val="0"/>
              <w:marRight w:val="0"/>
              <w:marTop w:val="0"/>
              <w:marBottom w:val="0"/>
              <w:divBdr>
                <w:top w:val="none" w:sz="0" w:space="0" w:color="auto"/>
                <w:left w:val="none" w:sz="0" w:space="0" w:color="auto"/>
                <w:bottom w:val="none" w:sz="0" w:space="0" w:color="auto"/>
                <w:right w:val="none" w:sz="0" w:space="0" w:color="auto"/>
              </w:divBdr>
              <w:divsChild>
                <w:div w:id="1497065585">
                  <w:marLeft w:val="0"/>
                  <w:marRight w:val="0"/>
                  <w:marTop w:val="0"/>
                  <w:marBottom w:val="0"/>
                  <w:divBdr>
                    <w:top w:val="none" w:sz="0" w:space="0" w:color="auto"/>
                    <w:left w:val="none" w:sz="0" w:space="0" w:color="auto"/>
                    <w:bottom w:val="none" w:sz="0" w:space="0" w:color="auto"/>
                    <w:right w:val="none" w:sz="0" w:space="0" w:color="auto"/>
                  </w:divBdr>
                  <w:divsChild>
                    <w:div w:id="2125345608">
                      <w:marLeft w:val="0"/>
                      <w:marRight w:val="0"/>
                      <w:marTop w:val="0"/>
                      <w:marBottom w:val="0"/>
                      <w:divBdr>
                        <w:top w:val="none" w:sz="0" w:space="0" w:color="auto"/>
                        <w:left w:val="none" w:sz="0" w:space="0" w:color="auto"/>
                        <w:bottom w:val="none" w:sz="0" w:space="0" w:color="auto"/>
                        <w:right w:val="none" w:sz="0" w:space="0" w:color="auto"/>
                      </w:divBdr>
                      <w:divsChild>
                        <w:div w:id="1836920315">
                          <w:marLeft w:val="0"/>
                          <w:marRight w:val="0"/>
                          <w:marTop w:val="0"/>
                          <w:marBottom w:val="0"/>
                          <w:divBdr>
                            <w:top w:val="none" w:sz="0" w:space="0" w:color="auto"/>
                            <w:left w:val="none" w:sz="0" w:space="0" w:color="auto"/>
                            <w:bottom w:val="none" w:sz="0" w:space="0" w:color="auto"/>
                            <w:right w:val="none" w:sz="0" w:space="0" w:color="auto"/>
                          </w:divBdr>
                          <w:divsChild>
                            <w:div w:id="1501773367">
                              <w:marLeft w:val="0"/>
                              <w:marRight w:val="0"/>
                              <w:marTop w:val="0"/>
                              <w:marBottom w:val="0"/>
                              <w:divBdr>
                                <w:top w:val="none" w:sz="0" w:space="0" w:color="auto"/>
                                <w:left w:val="none" w:sz="0" w:space="0" w:color="auto"/>
                                <w:bottom w:val="none" w:sz="0" w:space="0" w:color="auto"/>
                                <w:right w:val="none" w:sz="0" w:space="0" w:color="auto"/>
                              </w:divBdr>
                              <w:divsChild>
                                <w:div w:id="59428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7811345">
      <w:bodyDiv w:val="1"/>
      <w:marLeft w:val="0"/>
      <w:marRight w:val="0"/>
      <w:marTop w:val="0"/>
      <w:marBottom w:val="0"/>
      <w:divBdr>
        <w:top w:val="none" w:sz="0" w:space="0" w:color="auto"/>
        <w:left w:val="none" w:sz="0" w:space="0" w:color="auto"/>
        <w:bottom w:val="none" w:sz="0" w:space="0" w:color="auto"/>
        <w:right w:val="none" w:sz="0" w:space="0" w:color="auto"/>
      </w:divBdr>
    </w:div>
    <w:div w:id="1272593920">
      <w:bodyDiv w:val="1"/>
      <w:marLeft w:val="0"/>
      <w:marRight w:val="0"/>
      <w:marTop w:val="0"/>
      <w:marBottom w:val="0"/>
      <w:divBdr>
        <w:top w:val="none" w:sz="0" w:space="0" w:color="auto"/>
        <w:left w:val="none" w:sz="0" w:space="0" w:color="auto"/>
        <w:bottom w:val="none" w:sz="0" w:space="0" w:color="auto"/>
        <w:right w:val="none" w:sz="0" w:space="0" w:color="auto"/>
      </w:divBdr>
      <w:divsChild>
        <w:div w:id="161628650">
          <w:marLeft w:val="0"/>
          <w:marRight w:val="0"/>
          <w:marTop w:val="0"/>
          <w:marBottom w:val="0"/>
          <w:divBdr>
            <w:top w:val="none" w:sz="0" w:space="0" w:color="auto"/>
            <w:left w:val="none" w:sz="0" w:space="0" w:color="auto"/>
            <w:bottom w:val="none" w:sz="0" w:space="0" w:color="auto"/>
            <w:right w:val="none" w:sz="0" w:space="0" w:color="auto"/>
          </w:divBdr>
          <w:divsChild>
            <w:div w:id="60453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13806">
      <w:bodyDiv w:val="1"/>
      <w:marLeft w:val="0"/>
      <w:marRight w:val="0"/>
      <w:marTop w:val="0"/>
      <w:marBottom w:val="0"/>
      <w:divBdr>
        <w:top w:val="none" w:sz="0" w:space="0" w:color="auto"/>
        <w:left w:val="none" w:sz="0" w:space="0" w:color="auto"/>
        <w:bottom w:val="none" w:sz="0" w:space="0" w:color="auto"/>
        <w:right w:val="none" w:sz="0" w:space="0" w:color="auto"/>
      </w:divBdr>
    </w:div>
    <w:div w:id="1329598222">
      <w:bodyDiv w:val="1"/>
      <w:marLeft w:val="0"/>
      <w:marRight w:val="0"/>
      <w:marTop w:val="0"/>
      <w:marBottom w:val="0"/>
      <w:divBdr>
        <w:top w:val="none" w:sz="0" w:space="0" w:color="auto"/>
        <w:left w:val="none" w:sz="0" w:space="0" w:color="auto"/>
        <w:bottom w:val="none" w:sz="0" w:space="0" w:color="auto"/>
        <w:right w:val="none" w:sz="0" w:space="0" w:color="auto"/>
      </w:divBdr>
      <w:divsChild>
        <w:div w:id="2010867374">
          <w:marLeft w:val="0"/>
          <w:marRight w:val="0"/>
          <w:marTop w:val="0"/>
          <w:marBottom w:val="0"/>
          <w:divBdr>
            <w:top w:val="none" w:sz="0" w:space="0" w:color="auto"/>
            <w:left w:val="none" w:sz="0" w:space="0" w:color="auto"/>
            <w:bottom w:val="none" w:sz="0" w:space="0" w:color="auto"/>
            <w:right w:val="none" w:sz="0" w:space="0" w:color="auto"/>
          </w:divBdr>
          <w:divsChild>
            <w:div w:id="171280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09593">
      <w:bodyDiv w:val="1"/>
      <w:marLeft w:val="0"/>
      <w:marRight w:val="0"/>
      <w:marTop w:val="0"/>
      <w:marBottom w:val="0"/>
      <w:divBdr>
        <w:top w:val="none" w:sz="0" w:space="0" w:color="auto"/>
        <w:left w:val="none" w:sz="0" w:space="0" w:color="auto"/>
        <w:bottom w:val="none" w:sz="0" w:space="0" w:color="auto"/>
        <w:right w:val="none" w:sz="0" w:space="0" w:color="auto"/>
      </w:divBdr>
      <w:divsChild>
        <w:div w:id="8309479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1332891">
      <w:bodyDiv w:val="1"/>
      <w:marLeft w:val="0"/>
      <w:marRight w:val="0"/>
      <w:marTop w:val="0"/>
      <w:marBottom w:val="0"/>
      <w:divBdr>
        <w:top w:val="none" w:sz="0" w:space="0" w:color="auto"/>
        <w:left w:val="none" w:sz="0" w:space="0" w:color="auto"/>
        <w:bottom w:val="none" w:sz="0" w:space="0" w:color="auto"/>
        <w:right w:val="none" w:sz="0" w:space="0" w:color="auto"/>
      </w:divBdr>
    </w:div>
    <w:div w:id="1532305047">
      <w:bodyDiv w:val="1"/>
      <w:marLeft w:val="0"/>
      <w:marRight w:val="0"/>
      <w:marTop w:val="0"/>
      <w:marBottom w:val="0"/>
      <w:divBdr>
        <w:top w:val="none" w:sz="0" w:space="0" w:color="auto"/>
        <w:left w:val="none" w:sz="0" w:space="0" w:color="auto"/>
        <w:bottom w:val="none" w:sz="0" w:space="0" w:color="auto"/>
        <w:right w:val="none" w:sz="0" w:space="0" w:color="auto"/>
      </w:divBdr>
      <w:divsChild>
        <w:div w:id="760217950">
          <w:blockQuote w:val="1"/>
          <w:marLeft w:val="720"/>
          <w:marRight w:val="720"/>
          <w:marTop w:val="100"/>
          <w:marBottom w:val="100"/>
          <w:divBdr>
            <w:top w:val="none" w:sz="0" w:space="0" w:color="auto"/>
            <w:left w:val="none" w:sz="0" w:space="0" w:color="auto"/>
            <w:bottom w:val="none" w:sz="0" w:space="0" w:color="auto"/>
            <w:right w:val="none" w:sz="0" w:space="0" w:color="auto"/>
          </w:divBdr>
        </w:div>
        <w:div w:id="987594538">
          <w:blockQuote w:val="1"/>
          <w:marLeft w:val="720"/>
          <w:marRight w:val="720"/>
          <w:marTop w:val="100"/>
          <w:marBottom w:val="100"/>
          <w:divBdr>
            <w:top w:val="none" w:sz="0" w:space="0" w:color="auto"/>
            <w:left w:val="none" w:sz="0" w:space="0" w:color="auto"/>
            <w:bottom w:val="none" w:sz="0" w:space="0" w:color="auto"/>
            <w:right w:val="none" w:sz="0" w:space="0" w:color="auto"/>
          </w:divBdr>
        </w:div>
        <w:div w:id="7512714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039392">
      <w:bodyDiv w:val="1"/>
      <w:marLeft w:val="0"/>
      <w:marRight w:val="0"/>
      <w:marTop w:val="0"/>
      <w:marBottom w:val="0"/>
      <w:divBdr>
        <w:top w:val="none" w:sz="0" w:space="0" w:color="auto"/>
        <w:left w:val="none" w:sz="0" w:space="0" w:color="auto"/>
        <w:bottom w:val="none" w:sz="0" w:space="0" w:color="auto"/>
        <w:right w:val="none" w:sz="0" w:space="0" w:color="auto"/>
      </w:divBdr>
    </w:div>
    <w:div w:id="1609316821">
      <w:bodyDiv w:val="1"/>
      <w:marLeft w:val="0"/>
      <w:marRight w:val="0"/>
      <w:marTop w:val="0"/>
      <w:marBottom w:val="0"/>
      <w:divBdr>
        <w:top w:val="none" w:sz="0" w:space="0" w:color="auto"/>
        <w:left w:val="none" w:sz="0" w:space="0" w:color="auto"/>
        <w:bottom w:val="none" w:sz="0" w:space="0" w:color="auto"/>
        <w:right w:val="none" w:sz="0" w:space="0" w:color="auto"/>
      </w:divBdr>
    </w:div>
    <w:div w:id="1632243419">
      <w:bodyDiv w:val="1"/>
      <w:marLeft w:val="0"/>
      <w:marRight w:val="0"/>
      <w:marTop w:val="0"/>
      <w:marBottom w:val="0"/>
      <w:divBdr>
        <w:top w:val="none" w:sz="0" w:space="0" w:color="auto"/>
        <w:left w:val="none" w:sz="0" w:space="0" w:color="auto"/>
        <w:bottom w:val="none" w:sz="0" w:space="0" w:color="auto"/>
        <w:right w:val="none" w:sz="0" w:space="0" w:color="auto"/>
      </w:divBdr>
    </w:div>
    <w:div w:id="1657419349">
      <w:bodyDiv w:val="1"/>
      <w:marLeft w:val="0"/>
      <w:marRight w:val="0"/>
      <w:marTop w:val="0"/>
      <w:marBottom w:val="0"/>
      <w:divBdr>
        <w:top w:val="none" w:sz="0" w:space="0" w:color="auto"/>
        <w:left w:val="none" w:sz="0" w:space="0" w:color="auto"/>
        <w:bottom w:val="none" w:sz="0" w:space="0" w:color="auto"/>
        <w:right w:val="none" w:sz="0" w:space="0" w:color="auto"/>
      </w:divBdr>
    </w:div>
    <w:div w:id="1659647183">
      <w:bodyDiv w:val="1"/>
      <w:marLeft w:val="0"/>
      <w:marRight w:val="0"/>
      <w:marTop w:val="0"/>
      <w:marBottom w:val="0"/>
      <w:divBdr>
        <w:top w:val="none" w:sz="0" w:space="0" w:color="auto"/>
        <w:left w:val="none" w:sz="0" w:space="0" w:color="auto"/>
        <w:bottom w:val="none" w:sz="0" w:space="0" w:color="auto"/>
        <w:right w:val="none" w:sz="0" w:space="0" w:color="auto"/>
      </w:divBdr>
    </w:div>
    <w:div w:id="1714305718">
      <w:bodyDiv w:val="1"/>
      <w:marLeft w:val="0"/>
      <w:marRight w:val="0"/>
      <w:marTop w:val="0"/>
      <w:marBottom w:val="0"/>
      <w:divBdr>
        <w:top w:val="none" w:sz="0" w:space="0" w:color="auto"/>
        <w:left w:val="none" w:sz="0" w:space="0" w:color="auto"/>
        <w:bottom w:val="none" w:sz="0" w:space="0" w:color="auto"/>
        <w:right w:val="none" w:sz="0" w:space="0" w:color="auto"/>
      </w:divBdr>
      <w:divsChild>
        <w:div w:id="694992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6586686">
      <w:bodyDiv w:val="1"/>
      <w:marLeft w:val="0"/>
      <w:marRight w:val="0"/>
      <w:marTop w:val="0"/>
      <w:marBottom w:val="0"/>
      <w:divBdr>
        <w:top w:val="none" w:sz="0" w:space="0" w:color="auto"/>
        <w:left w:val="none" w:sz="0" w:space="0" w:color="auto"/>
        <w:bottom w:val="none" w:sz="0" w:space="0" w:color="auto"/>
        <w:right w:val="none" w:sz="0" w:space="0" w:color="auto"/>
      </w:divBdr>
      <w:divsChild>
        <w:div w:id="1404179769">
          <w:blockQuote w:val="1"/>
          <w:marLeft w:val="720"/>
          <w:marRight w:val="720"/>
          <w:marTop w:val="100"/>
          <w:marBottom w:val="100"/>
          <w:divBdr>
            <w:top w:val="none" w:sz="0" w:space="0" w:color="auto"/>
            <w:left w:val="none" w:sz="0" w:space="0" w:color="auto"/>
            <w:bottom w:val="none" w:sz="0" w:space="0" w:color="auto"/>
            <w:right w:val="none" w:sz="0" w:space="0" w:color="auto"/>
          </w:divBdr>
        </w:div>
        <w:div w:id="1796827275">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038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424534">
      <w:bodyDiv w:val="1"/>
      <w:marLeft w:val="0"/>
      <w:marRight w:val="0"/>
      <w:marTop w:val="0"/>
      <w:marBottom w:val="0"/>
      <w:divBdr>
        <w:top w:val="none" w:sz="0" w:space="0" w:color="auto"/>
        <w:left w:val="none" w:sz="0" w:space="0" w:color="auto"/>
        <w:bottom w:val="none" w:sz="0" w:space="0" w:color="auto"/>
        <w:right w:val="none" w:sz="0" w:space="0" w:color="auto"/>
      </w:divBdr>
    </w:div>
    <w:div w:id="2054379779">
      <w:bodyDiv w:val="1"/>
      <w:marLeft w:val="0"/>
      <w:marRight w:val="0"/>
      <w:marTop w:val="0"/>
      <w:marBottom w:val="0"/>
      <w:divBdr>
        <w:top w:val="none" w:sz="0" w:space="0" w:color="auto"/>
        <w:left w:val="none" w:sz="0" w:space="0" w:color="auto"/>
        <w:bottom w:val="none" w:sz="0" w:space="0" w:color="auto"/>
        <w:right w:val="none" w:sz="0" w:space="0" w:color="auto"/>
      </w:divBdr>
    </w:div>
    <w:div w:id="2103915379">
      <w:bodyDiv w:val="1"/>
      <w:marLeft w:val="0"/>
      <w:marRight w:val="0"/>
      <w:marTop w:val="0"/>
      <w:marBottom w:val="0"/>
      <w:divBdr>
        <w:top w:val="none" w:sz="0" w:space="0" w:color="auto"/>
        <w:left w:val="none" w:sz="0" w:space="0" w:color="auto"/>
        <w:bottom w:val="none" w:sz="0" w:space="0" w:color="auto"/>
        <w:right w:val="none" w:sz="0" w:space="0" w:color="auto"/>
      </w:divBdr>
      <w:divsChild>
        <w:div w:id="1794861670">
          <w:marLeft w:val="0"/>
          <w:marRight w:val="0"/>
          <w:marTop w:val="0"/>
          <w:marBottom w:val="0"/>
          <w:divBdr>
            <w:top w:val="none" w:sz="0" w:space="0" w:color="auto"/>
            <w:left w:val="none" w:sz="0" w:space="0" w:color="auto"/>
            <w:bottom w:val="none" w:sz="0" w:space="0" w:color="auto"/>
            <w:right w:val="none" w:sz="0" w:space="0" w:color="auto"/>
          </w:divBdr>
          <w:divsChild>
            <w:div w:id="43398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965684">
      <w:bodyDiv w:val="1"/>
      <w:marLeft w:val="0"/>
      <w:marRight w:val="0"/>
      <w:marTop w:val="0"/>
      <w:marBottom w:val="0"/>
      <w:divBdr>
        <w:top w:val="none" w:sz="0" w:space="0" w:color="auto"/>
        <w:left w:val="none" w:sz="0" w:space="0" w:color="auto"/>
        <w:bottom w:val="none" w:sz="0" w:space="0" w:color="auto"/>
        <w:right w:val="none" w:sz="0" w:space="0" w:color="auto"/>
      </w:divBdr>
      <w:divsChild>
        <w:div w:id="410473551">
          <w:blockQuote w:val="1"/>
          <w:marLeft w:val="720"/>
          <w:marRight w:val="720"/>
          <w:marTop w:val="100"/>
          <w:marBottom w:val="100"/>
          <w:divBdr>
            <w:top w:val="none" w:sz="0" w:space="0" w:color="auto"/>
            <w:left w:val="none" w:sz="0" w:space="0" w:color="auto"/>
            <w:bottom w:val="none" w:sz="0" w:space="0" w:color="auto"/>
            <w:right w:val="none" w:sz="0" w:space="0" w:color="auto"/>
          </w:divBdr>
        </w:div>
        <w:div w:id="18053507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0852305">
      <w:bodyDiv w:val="1"/>
      <w:marLeft w:val="0"/>
      <w:marRight w:val="0"/>
      <w:marTop w:val="0"/>
      <w:marBottom w:val="0"/>
      <w:divBdr>
        <w:top w:val="none" w:sz="0" w:space="0" w:color="auto"/>
        <w:left w:val="none" w:sz="0" w:space="0" w:color="auto"/>
        <w:bottom w:val="none" w:sz="0" w:space="0" w:color="auto"/>
        <w:right w:val="none" w:sz="0" w:space="0" w:color="auto"/>
      </w:divBdr>
      <w:divsChild>
        <w:div w:id="1008556512">
          <w:blockQuote w:val="1"/>
          <w:marLeft w:val="720"/>
          <w:marRight w:val="720"/>
          <w:marTop w:val="100"/>
          <w:marBottom w:val="100"/>
          <w:divBdr>
            <w:top w:val="none" w:sz="0" w:space="0" w:color="auto"/>
            <w:left w:val="none" w:sz="0" w:space="0" w:color="auto"/>
            <w:bottom w:val="none" w:sz="0" w:space="0" w:color="auto"/>
            <w:right w:val="none" w:sz="0" w:space="0" w:color="auto"/>
          </w:divBdr>
        </w:div>
        <w:div w:id="4219954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conbuildmat.2018.12.094" TargetMode="External"/><Relationship Id="rId21" Type="http://schemas.openxmlformats.org/officeDocument/2006/relationships/image" Target="media/image8.png"/><Relationship Id="rId42" Type="http://schemas.openxmlformats.org/officeDocument/2006/relationships/hyperlink" Target="https://doi.org/10.1016/j.buildenv.2009.06.023" TargetMode="External"/><Relationship Id="rId47" Type="http://schemas.openxmlformats.org/officeDocument/2006/relationships/hyperlink" Target="https://doi.org/10.1016/j.enbuild.2014.05.022" TargetMode="External"/><Relationship Id="rId63" Type="http://schemas.openxmlformats.org/officeDocument/2006/relationships/hyperlink" Target="https://doi.org/10.1201/b16750" TargetMode="External"/><Relationship Id="rId68" Type="http://schemas.openxmlformats.org/officeDocument/2006/relationships/hyperlink" Target="https://doi.org/10.1016/j.rser.2011.07.014" TargetMode="External"/><Relationship Id="rId16" Type="http://schemas.openxmlformats.org/officeDocument/2006/relationships/image" Target="media/image3.png"/><Relationship Id="rId11" Type="http://schemas.openxmlformats.org/officeDocument/2006/relationships/header" Target="header2.xml"/><Relationship Id="rId32" Type="http://schemas.openxmlformats.org/officeDocument/2006/relationships/hyperlink" Target="https://doi.org/10.1016/j.conbuildmat.2012.04.139" TargetMode="External"/><Relationship Id="rId37" Type="http://schemas.openxmlformats.org/officeDocument/2006/relationships/hyperlink" Target="https://doi.org/10.1007/s00484-011-0424-7" TargetMode="External"/><Relationship Id="rId53" Type="http://schemas.openxmlformats.org/officeDocument/2006/relationships/hyperlink" Target="https://doi.org/10.3390/buildings15203738" TargetMode="External"/><Relationship Id="rId58" Type="http://schemas.openxmlformats.org/officeDocument/2006/relationships/hyperlink" Target="https://doi.org/10.1016/j.buildenv.2014.01.009" TargetMode="External"/><Relationship Id="rId74" Type="http://schemas.openxmlformats.org/officeDocument/2006/relationships/hyperlink" Target="https://doi.org/10.1016/j.buildenv.2020.106801" TargetMode="External"/><Relationship Id="rId79" Type="http://schemas.openxmlformats.org/officeDocument/2006/relationships/hyperlink" Target="https://doi.org/10.1016/j.rser.2021.111747" TargetMode="External"/><Relationship Id="rId5" Type="http://schemas.openxmlformats.org/officeDocument/2006/relationships/webSettings" Target="webSettings.xml"/><Relationship Id="rId61" Type="http://schemas.openxmlformats.org/officeDocument/2006/relationships/hyperlink" Target="https://doi.org/10.1016/j.enbuild.2006.03.026" TargetMode="External"/><Relationship Id="rId82" Type="http://schemas.openxmlformats.org/officeDocument/2006/relationships/theme" Target="theme/theme1.xml"/><Relationship Id="rId19" Type="http://schemas.openxmlformats.org/officeDocument/2006/relationships/image" Target="media/image6.jpeg"/><Relationship Id="rId14" Type="http://schemas.openxmlformats.org/officeDocument/2006/relationships/header" Target="header3.xml"/><Relationship Id="rId22" Type="http://schemas.openxmlformats.org/officeDocument/2006/relationships/hyperlink" Target="https://doi.org/10.1016/j.foar.2014.06.002" TargetMode="External"/><Relationship Id="rId27" Type="http://schemas.openxmlformats.org/officeDocument/2006/relationships/hyperlink" Target="https://doi.org/10.4065/78.5.603" TargetMode="External"/><Relationship Id="rId30" Type="http://schemas.openxmlformats.org/officeDocument/2006/relationships/hyperlink" Target="https://doi.org/10.1016/j.enbuild.2010.11.002" TargetMode="External"/><Relationship Id="rId35" Type="http://schemas.openxmlformats.org/officeDocument/2006/relationships/hyperlink" Target="https://doi.org/10.1016/j.enbuild.2015.06.007" TargetMode="External"/><Relationship Id="rId43" Type="http://schemas.openxmlformats.org/officeDocument/2006/relationships/hyperlink" Target="https://doi.org/10.1016/j.buildenv.2009.07.002" TargetMode="External"/><Relationship Id="rId48" Type="http://schemas.openxmlformats.org/officeDocument/2006/relationships/hyperlink" Target="https://doi.org/10.2741/E518" TargetMode="External"/><Relationship Id="rId56" Type="http://schemas.openxmlformats.org/officeDocument/2006/relationships/hyperlink" Target="https://doi.org/10.1016/j.enbuild.2023.112856" TargetMode="External"/><Relationship Id="rId64" Type="http://schemas.openxmlformats.org/officeDocument/2006/relationships/hyperlink" Target="https://doi.org/10.1016/j.enbuild.2007.03.007" TargetMode="External"/><Relationship Id="rId69" Type="http://schemas.openxmlformats.org/officeDocument/2006/relationships/hyperlink" Target="https://doi.org/10.1016/j.enbuild.2011.08.016" TargetMode="External"/><Relationship Id="rId77" Type="http://schemas.openxmlformats.org/officeDocument/2006/relationships/hyperlink" Target="https://doi.org/10.1016/j.enbuild.2010.05.016" TargetMode="External"/><Relationship Id="rId8" Type="http://schemas.openxmlformats.org/officeDocument/2006/relationships/image" Target="media/image1.png"/><Relationship Id="rId51" Type="http://schemas.openxmlformats.org/officeDocument/2006/relationships/hyperlink" Target="https://doi.org/10.1016/j.scitotenv.2016.07.006" TargetMode="External"/><Relationship Id="rId72" Type="http://schemas.openxmlformats.org/officeDocument/2006/relationships/hyperlink" Target="https://doi.org/10.1016/j.buildenv.2022.108816" TargetMode="External"/><Relationship Id="rId80" Type="http://schemas.openxmlformats.org/officeDocument/2006/relationships/hyperlink" Target="https://doi.org/10.1016/j.buildenv.2021.107657"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s://doi.org/10.3390/buildings7020040" TargetMode="External"/><Relationship Id="rId33" Type="http://schemas.openxmlformats.org/officeDocument/2006/relationships/hyperlink" Target="https://doi.org/10.1016/S0378-7788(00)00114-6" TargetMode="External"/><Relationship Id="rId38" Type="http://schemas.openxmlformats.org/officeDocument/2006/relationships/hyperlink" Target="https://doi.org/10.2741/e273" TargetMode="External"/><Relationship Id="rId46" Type="http://schemas.openxmlformats.org/officeDocument/2006/relationships/hyperlink" Target="https://doi.org/10.1152/japplphysiol.00202.2003" TargetMode="External"/><Relationship Id="rId59" Type="http://schemas.openxmlformats.org/officeDocument/2006/relationships/hyperlink" Target="https://doi.org/10.1016/j.conbuildmat.2016.12.035" TargetMode="External"/><Relationship Id="rId67" Type="http://schemas.openxmlformats.org/officeDocument/2006/relationships/hyperlink" Target="https://doi.org/10.1111/apha.12231" TargetMode="External"/><Relationship Id="rId20" Type="http://schemas.openxmlformats.org/officeDocument/2006/relationships/image" Target="media/image7.png"/><Relationship Id="rId41" Type="http://schemas.openxmlformats.org/officeDocument/2006/relationships/hyperlink" Target="https://doi.org/10.1002/cphy.c140051" TargetMode="External"/><Relationship Id="rId54" Type="http://schemas.openxmlformats.org/officeDocument/2006/relationships/hyperlink" Target="https://doi.org/10.1016/j.enbuild.2006.04.004" TargetMode="External"/><Relationship Id="rId62" Type="http://schemas.openxmlformats.org/officeDocument/2006/relationships/hyperlink" Target="https://doi.org/10.1016/j.resconrec.2015.03.012" TargetMode="External"/><Relationship Id="rId70" Type="http://schemas.openxmlformats.org/officeDocument/2006/relationships/hyperlink" Target="https://doi.org/10.1201/b16388" TargetMode="External"/><Relationship Id="rId75" Type="http://schemas.openxmlformats.org/officeDocument/2006/relationships/hyperlink" Target="https://doi.org/10.1016/j.enbuild.2014.07.03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doi.org/10.1007/978-94-024-1107-1" TargetMode="External"/><Relationship Id="rId28" Type="http://schemas.openxmlformats.org/officeDocument/2006/relationships/hyperlink" Target="https://doi.org/10.1016/j.solener.2004.05.005" TargetMode="External"/><Relationship Id="rId36" Type="http://schemas.openxmlformats.org/officeDocument/2006/relationships/hyperlink" Target="https://doi.org/10.1016/j.rser.2010.07.034" TargetMode="External"/><Relationship Id="rId49" Type="http://schemas.openxmlformats.org/officeDocument/2006/relationships/hyperlink" Target="https://doi.org/10.1016/j.enbuild.2019.109544" TargetMode="External"/><Relationship Id="rId57" Type="http://schemas.openxmlformats.org/officeDocument/2006/relationships/hyperlink" Target="https://doi.org/10.1016/j.buildenv.2023.110129" TargetMode="External"/><Relationship Id="rId10" Type="http://schemas.openxmlformats.org/officeDocument/2006/relationships/header" Target="header1.xml"/><Relationship Id="rId31" Type="http://schemas.openxmlformats.org/officeDocument/2006/relationships/hyperlink" Target="https://doi.org/10.3390/buildings3010079" TargetMode="External"/><Relationship Id="rId44" Type="http://schemas.openxmlformats.org/officeDocument/2006/relationships/hyperlink" Target="https://doi.org/10.1016/j.enbuild.2008.11.007" TargetMode="External"/><Relationship Id="rId52" Type="http://schemas.openxmlformats.org/officeDocument/2006/relationships/hyperlink" Target="https://doi.org/10.1111/ina.12005" TargetMode="External"/><Relationship Id="rId60" Type="http://schemas.openxmlformats.org/officeDocument/2006/relationships/hyperlink" Target="https://doi.org/10.1016/S0378-7788(02)00006-3" TargetMode="External"/><Relationship Id="rId65" Type="http://schemas.openxmlformats.org/officeDocument/2006/relationships/hyperlink" Target="https://doi.org/10.1016/j.enbuild.2019.109394" TargetMode="External"/><Relationship Id="rId73" Type="http://schemas.openxmlformats.org/officeDocument/2006/relationships/hyperlink" Target="https://doi.org/10.1016/j.foar.2019.06.001" TargetMode="External"/><Relationship Id="rId78" Type="http://schemas.openxmlformats.org/officeDocument/2006/relationships/hyperlink" Target="https://doi.org/10.1016/j.conbuildmat.2019.04.139"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hyperlink" Target="https://doi.org/10.3390/ma18214958" TargetMode="External"/><Relationship Id="rId34" Type="http://schemas.openxmlformats.org/officeDocument/2006/relationships/hyperlink" Target="https://doi.org/10.1016/j.buildenv.2014.07.011" TargetMode="External"/><Relationship Id="rId50" Type="http://schemas.openxmlformats.org/officeDocument/2006/relationships/hyperlink" Target="https://doi.org/10.1016/j.buildenv.2015.07.011" TargetMode="External"/><Relationship Id="rId55" Type="http://schemas.openxmlformats.org/officeDocument/2006/relationships/hyperlink" Target="https://doi.org/10.1016/j.rser.2013.04.016" TargetMode="External"/><Relationship Id="rId76" Type="http://schemas.openxmlformats.org/officeDocument/2006/relationships/hyperlink" Target="https://doi.org/10.1152/advan.00126.2014" TargetMode="External"/><Relationship Id="rId7" Type="http://schemas.openxmlformats.org/officeDocument/2006/relationships/endnotes" Target="endnotes.xml"/><Relationship Id="rId71" Type="http://schemas.openxmlformats.org/officeDocument/2006/relationships/hyperlink" Target="https://doi.org/10.1016/j.solener.2010.12.023" TargetMode="External"/><Relationship Id="rId2" Type="http://schemas.openxmlformats.org/officeDocument/2006/relationships/numbering" Target="numbering.xml"/><Relationship Id="rId29" Type="http://schemas.openxmlformats.org/officeDocument/2006/relationships/hyperlink" Target="https://doi.org/10.1016/j.solener.2004.05.005" TargetMode="External"/><Relationship Id="rId24" Type="http://schemas.openxmlformats.org/officeDocument/2006/relationships/hyperlink" Target="https://doi.org/10.21809/rilemtechlett.2016.9" TargetMode="External"/><Relationship Id="rId40" Type="http://schemas.openxmlformats.org/officeDocument/2006/relationships/hyperlink" Target="https://doi.org/10.3390/buildings7020032" TargetMode="External"/><Relationship Id="rId45" Type="http://schemas.openxmlformats.org/officeDocument/2006/relationships/hyperlink" Target="https://doi.org/10.37934/progee.24.1.3545" TargetMode="External"/><Relationship Id="rId66" Type="http://schemas.openxmlformats.org/officeDocument/2006/relationships/hyperlink" Target="https://doi.org/10.1152/ajpregu.00668.20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42B9F5-CBB1-4125-82F1-AF8FF9CA1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29</Pages>
  <Words>10338</Words>
  <Characters>58931</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69131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Ozieme Arinze</dc:creator>
  <cp:keywords/>
  <dc:description/>
  <cp:lastModifiedBy>Editor-11</cp:lastModifiedBy>
  <cp:revision>9</cp:revision>
  <dcterms:created xsi:type="dcterms:W3CDTF">2025-12-28T04:45:00Z</dcterms:created>
  <dcterms:modified xsi:type="dcterms:W3CDTF">2025-12-29T09:52:00Z</dcterms:modified>
</cp:coreProperties>
</file>