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2CA94" w14:textId="77777777" w:rsidR="00033895" w:rsidRDefault="00033895" w:rsidP="0051138C">
      <w:pPr>
        <w:rPr>
          <w:rFonts w:ascii="Times New Roman" w:hAnsi="Times New Roman" w:cs="Times New Roman"/>
          <w:b/>
          <w:bCs/>
          <w:sz w:val="28"/>
          <w:szCs w:val="28"/>
        </w:rPr>
      </w:pPr>
      <w:bookmarkStart w:id="0" w:name="_Hlk214269018"/>
      <w:bookmarkStart w:id="1" w:name="_Hlk83508091"/>
      <w:r w:rsidRPr="00033895">
        <w:rPr>
          <w:rFonts w:ascii="Times New Roman" w:hAnsi="Times New Roman" w:cs="Times New Roman"/>
          <w:b/>
          <w:bCs/>
          <w:sz w:val="28"/>
          <w:szCs w:val="28"/>
        </w:rPr>
        <w:t xml:space="preserve">Seasonal Stress Induces Oxidative Imbalance, </w:t>
      </w:r>
      <w:proofErr w:type="spellStart"/>
      <w:r w:rsidRPr="00033895">
        <w:rPr>
          <w:rFonts w:ascii="Times New Roman" w:hAnsi="Times New Roman" w:cs="Times New Roman"/>
          <w:b/>
          <w:bCs/>
          <w:sz w:val="28"/>
          <w:szCs w:val="28"/>
        </w:rPr>
        <w:t>Hematological</w:t>
      </w:r>
      <w:proofErr w:type="spellEnd"/>
      <w:r w:rsidRPr="00033895">
        <w:rPr>
          <w:rFonts w:ascii="Times New Roman" w:hAnsi="Times New Roman" w:cs="Times New Roman"/>
          <w:b/>
          <w:bCs/>
          <w:sz w:val="28"/>
          <w:szCs w:val="28"/>
        </w:rPr>
        <w:t xml:space="preserve"> Changes, and Modulation of Key Metabolic Enzymes in Yorkshire Pigs</w:t>
      </w:r>
    </w:p>
    <w:p w14:paraId="390B99F7" w14:textId="77777777" w:rsidR="0051138C" w:rsidRPr="000733D3" w:rsidRDefault="0051138C" w:rsidP="0051138C">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Abstract</w:t>
      </w:r>
    </w:p>
    <w:p w14:paraId="0CC4C8A5" w14:textId="242F64C8" w:rsidR="0051138C" w:rsidRPr="000733D3" w:rsidRDefault="00D7025D"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Climate change driven heat stress increasingly challenges livestock and contributes to substantial production losses. Therefore, a comprehensive evaluation of the impact of seasonal stress is essential to understand these physiological disruptions and to develop strategies that can mitigate heat induced production losses. </w:t>
      </w:r>
      <w:r w:rsidR="0051138C" w:rsidRPr="000733D3">
        <w:rPr>
          <w:rFonts w:ascii="Times New Roman" w:hAnsi="Times New Roman" w:cs="Times New Roman"/>
          <w:sz w:val="24"/>
          <w:szCs w:val="24"/>
        </w:rPr>
        <w:t xml:space="preserve">This study evaluated the impact of winter, spring and summer seasons on </w:t>
      </w:r>
      <w:r w:rsidR="001F446A" w:rsidRPr="000733D3">
        <w:rPr>
          <w:rFonts w:ascii="Times New Roman" w:hAnsi="Times New Roman" w:cs="Times New Roman"/>
          <w:sz w:val="24"/>
          <w:szCs w:val="24"/>
        </w:rPr>
        <w:t xml:space="preserve">oxidative stress parameters, </w:t>
      </w:r>
      <w:proofErr w:type="spellStart"/>
      <w:r w:rsidR="0051138C" w:rsidRPr="000733D3">
        <w:rPr>
          <w:rFonts w:ascii="Times New Roman" w:hAnsi="Times New Roman" w:cs="Times New Roman"/>
          <w:sz w:val="24"/>
          <w:szCs w:val="24"/>
        </w:rPr>
        <w:t>hematological</w:t>
      </w:r>
      <w:proofErr w:type="spellEnd"/>
      <w:r w:rsidR="001F446A" w:rsidRPr="000733D3">
        <w:rPr>
          <w:rFonts w:ascii="Times New Roman" w:hAnsi="Times New Roman" w:cs="Times New Roman"/>
          <w:sz w:val="24"/>
          <w:szCs w:val="24"/>
        </w:rPr>
        <w:t xml:space="preserve"> and</w:t>
      </w:r>
      <w:r w:rsidR="0051138C" w:rsidRPr="000733D3">
        <w:rPr>
          <w:rFonts w:ascii="Times New Roman" w:hAnsi="Times New Roman" w:cs="Times New Roman"/>
          <w:sz w:val="24"/>
          <w:szCs w:val="24"/>
        </w:rPr>
        <w:t xml:space="preserve"> biochemical </w:t>
      </w:r>
      <w:r w:rsidR="001F446A" w:rsidRPr="000733D3">
        <w:rPr>
          <w:rFonts w:ascii="Times New Roman" w:hAnsi="Times New Roman" w:cs="Times New Roman"/>
          <w:sz w:val="24"/>
          <w:szCs w:val="24"/>
        </w:rPr>
        <w:t xml:space="preserve">parameters </w:t>
      </w:r>
      <w:r w:rsidR="0051138C" w:rsidRPr="000733D3">
        <w:rPr>
          <w:rFonts w:ascii="Times New Roman" w:hAnsi="Times New Roman" w:cs="Times New Roman"/>
          <w:sz w:val="24"/>
          <w:szCs w:val="24"/>
        </w:rPr>
        <w:t>in Yorkshire pigs reared under intensive production. A total of 24 healthy pigs (12 growers and 12 finishers) were monitored, and blood samples were collected during each season for analysis.</w:t>
      </w:r>
      <w:r w:rsidR="001F446A" w:rsidRPr="000733D3">
        <w:rPr>
          <w:rFonts w:ascii="Times New Roman" w:hAnsi="Times New Roman" w:cs="Times New Roman"/>
          <w:sz w:val="24"/>
          <w:szCs w:val="24"/>
        </w:rPr>
        <w:t xml:space="preserve"> </w:t>
      </w:r>
      <w:r w:rsidR="00BB1C46" w:rsidRPr="000733D3">
        <w:rPr>
          <w:rFonts w:ascii="Times New Roman" w:hAnsi="Times New Roman" w:cs="Times New Roman"/>
          <w:sz w:val="24"/>
          <w:szCs w:val="24"/>
        </w:rPr>
        <w:t>Oxidative stress assessment revealed markedly elevated activity of glutathione reductase, significantly low reduced glutathione levels and further elevated malondialdehyde levels</w:t>
      </w:r>
      <w:r w:rsidR="001C3597" w:rsidRPr="000733D3">
        <w:rPr>
          <w:rFonts w:ascii="Times New Roman" w:hAnsi="Times New Roman" w:cs="Times New Roman"/>
          <w:sz w:val="24"/>
          <w:szCs w:val="24"/>
        </w:rPr>
        <w:t xml:space="preserve"> during summer season. This</w:t>
      </w:r>
      <w:r w:rsidR="00BB1C46" w:rsidRPr="000733D3">
        <w:rPr>
          <w:rFonts w:ascii="Times New Roman" w:hAnsi="Times New Roman" w:cs="Times New Roman"/>
          <w:sz w:val="24"/>
          <w:szCs w:val="24"/>
        </w:rPr>
        <w:t xml:space="preserve"> confirm</w:t>
      </w:r>
      <w:r w:rsidR="001C3597" w:rsidRPr="000733D3">
        <w:rPr>
          <w:rFonts w:ascii="Times New Roman" w:hAnsi="Times New Roman" w:cs="Times New Roman"/>
          <w:sz w:val="24"/>
          <w:szCs w:val="24"/>
        </w:rPr>
        <w:t>s oxidative stress with</w:t>
      </w:r>
      <w:r w:rsidR="00BB1C46" w:rsidRPr="000733D3">
        <w:rPr>
          <w:rFonts w:ascii="Times New Roman" w:hAnsi="Times New Roman" w:cs="Times New Roman"/>
          <w:sz w:val="24"/>
          <w:szCs w:val="24"/>
        </w:rPr>
        <w:t xml:space="preserve"> enhanced lipid peroxidation </w:t>
      </w:r>
      <w:r w:rsidR="001C3597" w:rsidRPr="000733D3">
        <w:rPr>
          <w:rFonts w:ascii="Times New Roman" w:hAnsi="Times New Roman" w:cs="Times New Roman"/>
          <w:sz w:val="24"/>
          <w:szCs w:val="24"/>
        </w:rPr>
        <w:t>compromising the integrity of the cells</w:t>
      </w:r>
      <w:r w:rsidR="00BB1C46" w:rsidRPr="000733D3">
        <w:rPr>
          <w:rFonts w:ascii="Times New Roman" w:hAnsi="Times New Roman" w:cs="Times New Roman"/>
          <w:sz w:val="24"/>
          <w:szCs w:val="24"/>
        </w:rPr>
        <w:t xml:space="preserve">. </w:t>
      </w:r>
      <w:proofErr w:type="spellStart"/>
      <w:r w:rsidR="0051138C" w:rsidRPr="000733D3">
        <w:rPr>
          <w:rFonts w:ascii="Times New Roman" w:hAnsi="Times New Roman" w:cs="Times New Roman"/>
          <w:sz w:val="24"/>
          <w:szCs w:val="24"/>
        </w:rPr>
        <w:t>Hematological</w:t>
      </w:r>
      <w:proofErr w:type="spellEnd"/>
      <w:r w:rsidR="0051138C" w:rsidRPr="000733D3">
        <w:rPr>
          <w:rFonts w:ascii="Times New Roman" w:hAnsi="Times New Roman" w:cs="Times New Roman"/>
          <w:sz w:val="24"/>
          <w:szCs w:val="24"/>
        </w:rPr>
        <w:t xml:space="preserve"> results showed significantly lower </w:t>
      </w:r>
      <w:proofErr w:type="spellStart"/>
      <w:r w:rsidR="0051138C" w:rsidRPr="000733D3">
        <w:rPr>
          <w:rFonts w:ascii="Times New Roman" w:hAnsi="Times New Roman" w:cs="Times New Roman"/>
          <w:sz w:val="24"/>
          <w:szCs w:val="24"/>
        </w:rPr>
        <w:t>hemoglobin</w:t>
      </w:r>
      <w:proofErr w:type="spellEnd"/>
      <w:r w:rsidR="0051138C" w:rsidRPr="000733D3">
        <w:rPr>
          <w:rFonts w:ascii="Times New Roman" w:hAnsi="Times New Roman" w:cs="Times New Roman"/>
          <w:sz w:val="24"/>
          <w:szCs w:val="24"/>
        </w:rPr>
        <w:t xml:space="preserve"> and packed cell volume</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during winter and summer, with the decline more evident in summer. Total leukocyte count decreased significantly in summer, accompanied by elevated neutrophil percentage, reduced lymphocyte percentage and an increased neutrophil-to-lymphocyte ratio, </w:t>
      </w:r>
      <w:r w:rsidR="001C3597" w:rsidRPr="000733D3">
        <w:rPr>
          <w:rFonts w:ascii="Times New Roman" w:hAnsi="Times New Roman" w:cs="Times New Roman"/>
          <w:sz w:val="24"/>
          <w:szCs w:val="24"/>
        </w:rPr>
        <w:t>likely associated with compromised membrane integrity under seasonal stress</w:t>
      </w:r>
      <w:r w:rsidR="0051138C" w:rsidRPr="000733D3">
        <w:rPr>
          <w:rFonts w:ascii="Times New Roman" w:hAnsi="Times New Roman" w:cs="Times New Roman"/>
          <w:sz w:val="24"/>
          <w:szCs w:val="24"/>
        </w:rPr>
        <w:t>. Metabolic enzymes, including</w:t>
      </w:r>
      <w:r w:rsidR="00C81F68" w:rsidRPr="000733D3">
        <w:rPr>
          <w:rFonts w:ascii="Times New Roman" w:hAnsi="Times New Roman" w:cs="Times New Roman"/>
          <w:sz w:val="24"/>
          <w:szCs w:val="24"/>
        </w:rPr>
        <w:t xml:space="preserve"> alanine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aspartate transaminase</w:t>
      </w:r>
      <w:r w:rsidR="0051138C" w:rsidRPr="000733D3">
        <w:rPr>
          <w:rFonts w:ascii="Times New Roman" w:hAnsi="Times New Roman" w:cs="Times New Roman"/>
          <w:sz w:val="24"/>
          <w:szCs w:val="24"/>
        </w:rPr>
        <w:t xml:space="preserve">, </w:t>
      </w:r>
      <w:r w:rsidR="00C81F68" w:rsidRPr="000733D3">
        <w:rPr>
          <w:rFonts w:ascii="Times New Roman" w:hAnsi="Times New Roman" w:cs="Times New Roman"/>
          <w:sz w:val="24"/>
          <w:szCs w:val="24"/>
        </w:rPr>
        <w:t>gamma glutamyl transferase</w:t>
      </w:r>
      <w:r w:rsidR="0051138C" w:rsidRPr="000733D3">
        <w:rPr>
          <w:rFonts w:ascii="Times New Roman" w:hAnsi="Times New Roman" w:cs="Times New Roman"/>
          <w:sz w:val="24"/>
          <w:szCs w:val="24"/>
        </w:rPr>
        <w:t xml:space="preserve"> and </w:t>
      </w:r>
      <w:r w:rsidR="00C81F68" w:rsidRPr="000733D3">
        <w:rPr>
          <w:rFonts w:ascii="Times New Roman" w:hAnsi="Times New Roman" w:cs="Times New Roman"/>
          <w:sz w:val="24"/>
          <w:szCs w:val="24"/>
        </w:rPr>
        <w:t>lactate dehydrogenase</w:t>
      </w:r>
      <w:r w:rsidR="0051138C" w:rsidRPr="000733D3">
        <w:rPr>
          <w:rFonts w:ascii="Times New Roman" w:hAnsi="Times New Roman" w:cs="Times New Roman"/>
          <w:sz w:val="24"/>
          <w:szCs w:val="24"/>
        </w:rPr>
        <w:t>, recorded significantly higher activities during summer, suggesting heat</w:t>
      </w:r>
      <w:r w:rsidR="00C81F68" w:rsidRPr="000733D3">
        <w:rPr>
          <w:rFonts w:ascii="Times New Roman" w:hAnsi="Times New Roman" w:cs="Times New Roman"/>
          <w:sz w:val="24"/>
          <w:szCs w:val="24"/>
        </w:rPr>
        <w:t xml:space="preserve"> </w:t>
      </w:r>
      <w:r w:rsidR="0051138C" w:rsidRPr="000733D3">
        <w:rPr>
          <w:rFonts w:ascii="Times New Roman" w:hAnsi="Times New Roman" w:cs="Times New Roman"/>
          <w:sz w:val="24"/>
          <w:szCs w:val="24"/>
        </w:rPr>
        <w:t xml:space="preserve">induced metabolic strain and potential tissue leakage. </w:t>
      </w:r>
      <w:r w:rsidR="00A55373">
        <w:rPr>
          <w:rFonts w:ascii="Times New Roman" w:hAnsi="Times New Roman" w:cs="Times New Roman"/>
          <w:sz w:val="24"/>
          <w:szCs w:val="24"/>
        </w:rPr>
        <w:t>Our</w:t>
      </w:r>
      <w:r w:rsidR="00A55373" w:rsidRPr="000733D3">
        <w:rPr>
          <w:rFonts w:ascii="Times New Roman" w:hAnsi="Times New Roman" w:cs="Times New Roman"/>
          <w:sz w:val="24"/>
          <w:szCs w:val="24"/>
        </w:rPr>
        <w:t xml:space="preserve"> findings demonstrate that seasonal stress, particularly summer heat, leads to marked oxidative imbalance and </w:t>
      </w:r>
      <w:proofErr w:type="spellStart"/>
      <w:r w:rsidR="00A55373" w:rsidRPr="000733D3">
        <w:rPr>
          <w:rFonts w:ascii="Times New Roman" w:hAnsi="Times New Roman" w:cs="Times New Roman"/>
          <w:sz w:val="24"/>
          <w:szCs w:val="24"/>
        </w:rPr>
        <w:t>hemato</w:t>
      </w:r>
      <w:proofErr w:type="spellEnd"/>
      <w:r w:rsidR="00A55373" w:rsidRPr="000733D3">
        <w:rPr>
          <w:rFonts w:ascii="Times New Roman" w:hAnsi="Times New Roman" w:cs="Times New Roman"/>
          <w:sz w:val="24"/>
          <w:szCs w:val="24"/>
        </w:rPr>
        <w:t>-biochemical alterations in Yorkshire pigs.</w:t>
      </w:r>
      <w:r w:rsidR="00A55373">
        <w:rPr>
          <w:rFonts w:ascii="Times New Roman" w:hAnsi="Times New Roman" w:cs="Times New Roman"/>
          <w:sz w:val="24"/>
          <w:szCs w:val="24"/>
        </w:rPr>
        <w:t xml:space="preserve"> </w:t>
      </w:r>
      <w:r w:rsidR="0051138C" w:rsidRPr="000733D3">
        <w:rPr>
          <w:rFonts w:ascii="Times New Roman" w:hAnsi="Times New Roman" w:cs="Times New Roman"/>
          <w:sz w:val="24"/>
          <w:szCs w:val="24"/>
        </w:rPr>
        <w:t>Understanding these physiological responses is essential for developing management strategies to mitigate the adverse effects of thermal stress on pig health and productivity.</w:t>
      </w:r>
    </w:p>
    <w:bookmarkEnd w:id="0"/>
    <w:p w14:paraId="223C752F" w14:textId="1EC5290E" w:rsidR="00F348F0" w:rsidRPr="000733D3" w:rsidRDefault="00F348F0" w:rsidP="00F348F0">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INTRODUCTION</w:t>
      </w:r>
    </w:p>
    <w:p w14:paraId="5CBA6FF4" w14:textId="79461960" w:rsidR="00F71F94" w:rsidRPr="000733D3" w:rsidRDefault="00F71F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 xml:space="preserve">Animal husbandry plays </w:t>
      </w:r>
      <w:r w:rsidR="00564489" w:rsidRPr="000733D3">
        <w:rPr>
          <w:rFonts w:ascii="Times New Roman" w:hAnsi="Times New Roman" w:cs="Times New Roman"/>
          <w:sz w:val="24"/>
          <w:szCs w:val="24"/>
        </w:rPr>
        <w:t xml:space="preserve">an </w:t>
      </w:r>
      <w:r w:rsidRPr="000733D3">
        <w:rPr>
          <w:rFonts w:ascii="Times New Roman" w:hAnsi="Times New Roman" w:cs="Times New Roman"/>
          <w:sz w:val="24"/>
          <w:szCs w:val="24"/>
        </w:rPr>
        <w:t>important role in development of the country especially for the rural community. India, with the highest livestock population, possesses 11.54% of the total world livestock population (</w:t>
      </w:r>
      <w:r w:rsidR="00215298">
        <w:rPr>
          <w:rFonts w:ascii="Times New Roman" w:hAnsi="Times New Roman" w:cs="Times New Roman"/>
          <w:sz w:val="24"/>
          <w:szCs w:val="24"/>
        </w:rPr>
        <w:t>1</w:t>
      </w:r>
      <w:r w:rsidRPr="000733D3">
        <w:rPr>
          <w:rFonts w:ascii="Times New Roman" w:hAnsi="Times New Roman" w:cs="Times New Roman"/>
          <w:sz w:val="24"/>
          <w:szCs w:val="24"/>
        </w:rPr>
        <w:t>). Different hereditary traits of pigs like high feed conversion efficiency, high fecundity, short generation interval and early maturation contribute to the greater potential to help farmers see a faster rate of economic return as compared to other livestock species (</w:t>
      </w:r>
      <w:r w:rsidR="00215298">
        <w:rPr>
          <w:rFonts w:ascii="Times New Roman" w:hAnsi="Times New Roman" w:cs="Times New Roman"/>
          <w:sz w:val="24"/>
          <w:szCs w:val="24"/>
        </w:rPr>
        <w:t>2</w:t>
      </w:r>
      <w:r w:rsidRPr="000733D3">
        <w:rPr>
          <w:rFonts w:ascii="Times New Roman" w:hAnsi="Times New Roman" w:cs="Times New Roman"/>
          <w:sz w:val="24"/>
          <w:szCs w:val="24"/>
        </w:rPr>
        <w:t>). Different factors affecting the development of livestock includes climate, health, diseases and nutrition, among which, climate plays the most significant factor (</w:t>
      </w:r>
      <w:r w:rsidR="00215298">
        <w:rPr>
          <w:rFonts w:ascii="Times New Roman" w:hAnsi="Times New Roman" w:cs="Times New Roman"/>
          <w:sz w:val="24"/>
          <w:szCs w:val="24"/>
        </w:rPr>
        <w:t>3</w:t>
      </w:r>
      <w:r w:rsidRPr="000733D3">
        <w:rPr>
          <w:rFonts w:ascii="Times New Roman" w:hAnsi="Times New Roman" w:cs="Times New Roman"/>
          <w:sz w:val="24"/>
          <w:szCs w:val="24"/>
        </w:rPr>
        <w:t xml:space="preserve">). The global climate change has accelerated due to different human activities in the recent years leading to drastic changes in the atmospheric temperature and </w:t>
      </w:r>
      <w:r w:rsidRPr="000733D3">
        <w:rPr>
          <w:rFonts w:ascii="Times New Roman" w:hAnsi="Times New Roman" w:cs="Times New Roman"/>
          <w:sz w:val="24"/>
          <w:szCs w:val="24"/>
        </w:rPr>
        <w:lastRenderedPageBreak/>
        <w:t>humidity. Climate change affects the livestock production with a rise in livestock diseases, environmental stress and biodiversity loss and by competition for natural resources, quantity and quality of feeds (</w:t>
      </w:r>
      <w:r w:rsidR="00215298">
        <w:rPr>
          <w:rFonts w:ascii="Times New Roman" w:hAnsi="Times New Roman" w:cs="Times New Roman"/>
          <w:sz w:val="24"/>
          <w:szCs w:val="24"/>
        </w:rPr>
        <w:t>3</w:t>
      </w:r>
      <w:r w:rsidR="00AD73FC">
        <w:rPr>
          <w:rFonts w:ascii="Times New Roman" w:hAnsi="Times New Roman" w:cs="Times New Roman"/>
          <w:sz w:val="24"/>
          <w:szCs w:val="24"/>
        </w:rPr>
        <w:t xml:space="preserve">, </w:t>
      </w:r>
      <w:r w:rsidR="00215298">
        <w:rPr>
          <w:rFonts w:ascii="Times New Roman" w:hAnsi="Times New Roman" w:cs="Times New Roman"/>
          <w:sz w:val="24"/>
          <w:szCs w:val="24"/>
        </w:rPr>
        <w:t>4</w:t>
      </w:r>
      <w:r w:rsidRPr="000733D3">
        <w:rPr>
          <w:rFonts w:ascii="Times New Roman" w:hAnsi="Times New Roman" w:cs="Times New Roman"/>
          <w:sz w:val="24"/>
          <w:szCs w:val="24"/>
        </w:rPr>
        <w:t xml:space="preserve">). </w:t>
      </w:r>
    </w:p>
    <w:p w14:paraId="198E071E" w14:textId="130718D8" w:rsidR="00195094" w:rsidRPr="000733D3" w:rsidRDefault="00195094" w:rsidP="00F71F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The Thermo-Neutral Zone (TNZ) is the ambient temperature range in which animals maintain physiological functions with minimal energy expenditure (</w:t>
      </w:r>
      <w:r w:rsidR="00215298">
        <w:rPr>
          <w:rFonts w:ascii="Times New Roman" w:hAnsi="Times New Roman" w:cs="Times New Roman"/>
          <w:sz w:val="24"/>
          <w:szCs w:val="24"/>
        </w:rPr>
        <w:t>5</w:t>
      </w:r>
      <w:r w:rsidRPr="000733D3">
        <w:rPr>
          <w:rFonts w:ascii="Times New Roman" w:hAnsi="Times New Roman" w:cs="Times New Roman"/>
          <w:sz w:val="24"/>
          <w:szCs w:val="24"/>
        </w:rPr>
        <w:t>). In pigs, the TNZ is narrow (18–25°C), making them highly susceptible to heat stress due to their limited sweating ability and thick subcutaneous fat (</w:t>
      </w:r>
      <w:r w:rsidR="00215298">
        <w:rPr>
          <w:rFonts w:ascii="Times New Roman" w:hAnsi="Times New Roman" w:cs="Times New Roman"/>
          <w:sz w:val="24"/>
          <w:szCs w:val="24"/>
        </w:rPr>
        <w:t>6</w:t>
      </w:r>
      <w:r w:rsidR="00AD73FC">
        <w:rPr>
          <w:rFonts w:ascii="Times New Roman" w:hAnsi="Times New Roman" w:cs="Times New Roman"/>
          <w:sz w:val="24"/>
          <w:szCs w:val="24"/>
        </w:rPr>
        <w:t>, 7</w:t>
      </w:r>
      <w:r w:rsidRPr="000733D3">
        <w:rPr>
          <w:rFonts w:ascii="Times New Roman" w:hAnsi="Times New Roman" w:cs="Times New Roman"/>
          <w:sz w:val="24"/>
          <w:szCs w:val="24"/>
        </w:rPr>
        <w:t>). Acclimatization to the extreme weather can inflict different behavioural, physiological and metabolically adaptive responses aimed at maintaining their homeostasis; which causes stress to the animals thus leading to decrease in the health status (</w:t>
      </w:r>
      <w:r w:rsidR="00215298">
        <w:rPr>
          <w:rFonts w:ascii="Times New Roman" w:hAnsi="Times New Roman" w:cs="Times New Roman"/>
          <w:sz w:val="24"/>
          <w:szCs w:val="24"/>
        </w:rPr>
        <w:t>8</w:t>
      </w:r>
      <w:r w:rsidRPr="000733D3">
        <w:rPr>
          <w:rFonts w:ascii="Times New Roman" w:hAnsi="Times New Roman" w:cs="Times New Roman"/>
          <w:sz w:val="24"/>
          <w:szCs w:val="24"/>
        </w:rPr>
        <w:t>). Exposure to temperatures beyond the TNZ disrupts homeostasis and triggers behavioural and physiological adaptations</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such as wallowing, reduced gut blood flow, elevated body temperature and respiration rate</w:t>
      </w:r>
      <w:r w:rsidR="004822B1" w:rsidRPr="000733D3">
        <w:rPr>
          <w:rFonts w:ascii="Times New Roman" w:hAnsi="Times New Roman" w:cs="Times New Roman"/>
          <w:sz w:val="24"/>
          <w:szCs w:val="24"/>
        </w:rPr>
        <w:t xml:space="preserve"> </w:t>
      </w:r>
      <w:r w:rsidRPr="000733D3">
        <w:rPr>
          <w:rFonts w:ascii="Times New Roman" w:hAnsi="Times New Roman" w:cs="Times New Roman"/>
          <w:sz w:val="24"/>
          <w:szCs w:val="24"/>
        </w:rPr>
        <w:t>that ultimately impair growth, metabolism and production (</w:t>
      </w:r>
      <w:r w:rsidR="00215298">
        <w:rPr>
          <w:rFonts w:ascii="Times New Roman" w:hAnsi="Times New Roman" w:cs="Times New Roman"/>
          <w:sz w:val="24"/>
          <w:szCs w:val="24"/>
        </w:rPr>
        <w:t>9</w:t>
      </w:r>
      <w:r w:rsidR="00AD73FC">
        <w:rPr>
          <w:rFonts w:ascii="Times New Roman" w:hAnsi="Times New Roman" w:cs="Times New Roman"/>
          <w:sz w:val="24"/>
          <w:szCs w:val="24"/>
        </w:rPr>
        <w:t>, 10, 11</w:t>
      </w:r>
      <w:r w:rsidRPr="000733D3">
        <w:rPr>
          <w:rFonts w:ascii="Times New Roman" w:hAnsi="Times New Roman" w:cs="Times New Roman"/>
          <w:sz w:val="24"/>
          <w:szCs w:val="24"/>
        </w:rPr>
        <w:t xml:space="preserve">). </w:t>
      </w:r>
    </w:p>
    <w:p w14:paraId="589F5D7F" w14:textId="00C10363" w:rsidR="00BC6BEC" w:rsidRPr="000733D3" w:rsidRDefault="00BC6BEC" w:rsidP="00195094">
      <w:pPr>
        <w:spacing w:line="360" w:lineRule="auto"/>
        <w:ind w:firstLine="720"/>
        <w:jc w:val="both"/>
        <w:rPr>
          <w:rFonts w:ascii="Times New Roman" w:hAnsi="Times New Roman" w:cs="Times New Roman"/>
          <w:sz w:val="24"/>
          <w:szCs w:val="24"/>
        </w:rPr>
      </w:pPr>
      <w:r w:rsidRPr="000733D3">
        <w:rPr>
          <w:rFonts w:ascii="Times New Roman" w:hAnsi="Times New Roman" w:cs="Times New Roman"/>
          <w:sz w:val="24"/>
          <w:szCs w:val="24"/>
        </w:rPr>
        <w:t xml:space="preserve">With the rapid progression of global warming and climate change, there is an urgent need for a comprehensive understanding of the </w:t>
      </w:r>
      <w:proofErr w:type="spellStart"/>
      <w:r w:rsidRPr="000733D3">
        <w:rPr>
          <w:rFonts w:ascii="Times New Roman" w:hAnsi="Times New Roman" w:cs="Times New Roman"/>
          <w:sz w:val="24"/>
          <w:szCs w:val="24"/>
        </w:rPr>
        <w:t>physico</w:t>
      </w:r>
      <w:proofErr w:type="spellEnd"/>
      <w:r w:rsidRPr="000733D3">
        <w:rPr>
          <w:rFonts w:ascii="Times New Roman" w:hAnsi="Times New Roman" w:cs="Times New Roman"/>
          <w:sz w:val="24"/>
          <w:szCs w:val="24"/>
        </w:rPr>
        <w:t>-biochemical changes that occur in animals exposed to heat stress. Adaptation to heat stress results in increased production of reactive oxygen species (ROS), often exceeding the neutralizing capacity of endogenous antioxidants (</w:t>
      </w:r>
      <w:r w:rsidR="00AD73FC">
        <w:rPr>
          <w:rFonts w:ascii="Times New Roman" w:hAnsi="Times New Roman" w:cs="Times New Roman"/>
          <w:sz w:val="24"/>
          <w:szCs w:val="24"/>
        </w:rPr>
        <w:t>4, 12</w:t>
      </w:r>
      <w:r w:rsidRPr="000733D3">
        <w:rPr>
          <w:rFonts w:ascii="Times New Roman" w:hAnsi="Times New Roman" w:cs="Times New Roman"/>
          <w:sz w:val="24"/>
          <w:szCs w:val="24"/>
        </w:rPr>
        <w:t>). This imbalance leads to ROS accumulation, which damages cell membranes and intracellular components, ultimately causing oxidative stress</w:t>
      </w:r>
      <w:r w:rsidR="00D91CB3">
        <w:rPr>
          <w:rFonts w:ascii="Times New Roman" w:hAnsi="Times New Roman" w:cs="Times New Roman"/>
          <w:sz w:val="24"/>
          <w:szCs w:val="24"/>
        </w:rPr>
        <w:t xml:space="preserve"> (</w:t>
      </w:r>
      <w:r w:rsidR="006608DF">
        <w:rPr>
          <w:rFonts w:ascii="Times New Roman" w:hAnsi="Times New Roman" w:cs="Times New Roman"/>
          <w:sz w:val="24"/>
          <w:szCs w:val="24"/>
        </w:rPr>
        <w:t>13</w:t>
      </w:r>
      <w:r w:rsidR="00D91CB3">
        <w:rPr>
          <w:rFonts w:ascii="Times New Roman" w:hAnsi="Times New Roman" w:cs="Times New Roman"/>
          <w:sz w:val="24"/>
          <w:szCs w:val="24"/>
        </w:rPr>
        <w:t>)</w:t>
      </w:r>
      <w:r w:rsidRPr="000733D3">
        <w:rPr>
          <w:rFonts w:ascii="Times New Roman" w:hAnsi="Times New Roman" w:cs="Times New Roman"/>
          <w:sz w:val="24"/>
          <w:szCs w:val="24"/>
        </w:rPr>
        <w:t>.</w:t>
      </w:r>
      <w:r w:rsidR="00D91CB3">
        <w:rPr>
          <w:rFonts w:ascii="Times New Roman" w:hAnsi="Times New Roman" w:cs="Times New Roman"/>
          <w:sz w:val="24"/>
          <w:szCs w:val="24"/>
        </w:rPr>
        <w:t xml:space="preserve"> </w:t>
      </w:r>
      <w:r w:rsidRPr="000733D3">
        <w:rPr>
          <w:rFonts w:ascii="Times New Roman" w:hAnsi="Times New Roman" w:cs="Times New Roman"/>
          <w:sz w:val="24"/>
          <w:szCs w:val="24"/>
        </w:rPr>
        <w:t>Oxidative stress compromises cellular integrity by altering membrane permeability and disrupting normal physiological functions</w:t>
      </w:r>
      <w:r w:rsidR="00D91CB3">
        <w:rPr>
          <w:rFonts w:ascii="Times New Roman" w:hAnsi="Times New Roman" w:cs="Times New Roman"/>
          <w:sz w:val="24"/>
          <w:szCs w:val="24"/>
        </w:rPr>
        <w:t xml:space="preserve"> (</w:t>
      </w:r>
      <w:r w:rsidR="00215298">
        <w:rPr>
          <w:rFonts w:ascii="Times New Roman" w:hAnsi="Times New Roman" w:cs="Times New Roman"/>
          <w:sz w:val="24"/>
          <w:szCs w:val="24"/>
        </w:rPr>
        <w:t>4</w:t>
      </w:r>
      <w:r w:rsidR="00D91CB3">
        <w:rPr>
          <w:rFonts w:ascii="Times New Roman" w:hAnsi="Times New Roman" w:cs="Times New Roman"/>
          <w:sz w:val="24"/>
          <w:szCs w:val="24"/>
        </w:rPr>
        <w:t>)</w:t>
      </w:r>
      <w:r w:rsidRPr="000733D3">
        <w:rPr>
          <w:rFonts w:ascii="Times New Roman" w:hAnsi="Times New Roman" w:cs="Times New Roman"/>
          <w:sz w:val="24"/>
          <w:szCs w:val="24"/>
        </w:rPr>
        <w:t xml:space="preserve">. Therefore, the aim of this study was to evaluate seasonal variations in oxidative stress markers,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parameters and metabolic enzymes in grower and finisher pigs during winter, spring and summer.</w:t>
      </w:r>
    </w:p>
    <w:p w14:paraId="1271E965" w14:textId="53D2CA15" w:rsidR="00F348F0" w:rsidRPr="000733D3" w:rsidRDefault="00F348F0" w:rsidP="00F348F0">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MATERIALS AND METHOD</w:t>
      </w:r>
    </w:p>
    <w:bookmarkEnd w:id="1"/>
    <w:p w14:paraId="70F9931C" w14:textId="77777777" w:rsidR="00410B9B" w:rsidRPr="00410B9B" w:rsidRDefault="00410B9B" w:rsidP="00410B9B">
      <w:pPr>
        <w:spacing w:line="360" w:lineRule="auto"/>
        <w:jc w:val="both"/>
        <w:rPr>
          <w:rFonts w:ascii="Times New Roman" w:hAnsi="Times New Roman" w:cs="Times New Roman"/>
          <w:b/>
          <w:bCs/>
          <w:sz w:val="24"/>
          <w:szCs w:val="24"/>
        </w:rPr>
      </w:pPr>
      <w:r w:rsidRPr="00410B9B">
        <w:rPr>
          <w:rFonts w:ascii="Times New Roman" w:hAnsi="Times New Roman" w:cs="Times New Roman"/>
          <w:b/>
          <w:bCs/>
          <w:sz w:val="24"/>
          <w:szCs w:val="24"/>
        </w:rPr>
        <w:t>Experimental animals</w:t>
      </w:r>
    </w:p>
    <w:p w14:paraId="318D8E96" w14:textId="77777777"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highlight w:val="yellow"/>
        </w:rPr>
        <w:t>All experimental procedures were conducted in accordance with the guidelines approved by the Institutional Animal Ethics Committee (IAEC), Guru Angad Dev Veterinary and Animal Sciences University (GADVASU), Ludhiana (Memo No. GADVASU/2020/IAEC/54/07).</w:t>
      </w:r>
      <w:r w:rsidRPr="00410B9B">
        <w:rPr>
          <w:rFonts w:ascii="Times New Roman" w:hAnsi="Times New Roman" w:cs="Times New Roman"/>
          <w:sz w:val="24"/>
          <w:szCs w:val="24"/>
        </w:rPr>
        <w:t xml:space="preserve"> A total of 24 healthy Yorkshire pigs were selected from a local pig farm in Ludhiana, Punjab. These comprised 12 grower pigs (3–4 months old; 6 males and 6 females) and 12 finisher pigs (6–7 months old; 6 males and 6 females). All animals were reared under an intensive management system and provided with a standard diet and ad libitum access to water.</w:t>
      </w:r>
    </w:p>
    <w:p w14:paraId="1EA3DC3F" w14:textId="77777777" w:rsidR="00410B9B" w:rsidRPr="00410B9B" w:rsidRDefault="00410B9B" w:rsidP="00410B9B">
      <w:pPr>
        <w:spacing w:line="360" w:lineRule="auto"/>
        <w:jc w:val="both"/>
        <w:rPr>
          <w:rFonts w:ascii="Times New Roman" w:hAnsi="Times New Roman" w:cs="Times New Roman"/>
          <w:b/>
          <w:bCs/>
          <w:sz w:val="24"/>
          <w:szCs w:val="24"/>
        </w:rPr>
      </w:pPr>
      <w:r w:rsidRPr="00410B9B">
        <w:rPr>
          <w:rFonts w:ascii="Times New Roman" w:hAnsi="Times New Roman" w:cs="Times New Roman"/>
          <w:b/>
          <w:bCs/>
          <w:sz w:val="24"/>
          <w:szCs w:val="24"/>
        </w:rPr>
        <w:t>Blood sample collection and plasma separation</w:t>
      </w:r>
    </w:p>
    <w:p w14:paraId="0F4528DE" w14:textId="5DE2CB87" w:rsidR="00410B9B" w:rsidRPr="00410B9B" w:rsidRDefault="002F34CC" w:rsidP="00410B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410B9B" w:rsidRPr="00410B9B">
        <w:rPr>
          <w:rFonts w:ascii="Times New Roman" w:hAnsi="Times New Roman" w:cs="Times New Roman"/>
          <w:sz w:val="24"/>
          <w:szCs w:val="24"/>
        </w:rPr>
        <w:t xml:space="preserve"> </w:t>
      </w:r>
      <w:r>
        <w:rPr>
          <w:rFonts w:ascii="Times New Roman" w:hAnsi="Times New Roman" w:cs="Times New Roman"/>
          <w:sz w:val="24"/>
          <w:szCs w:val="24"/>
        </w:rPr>
        <w:t>mL</w:t>
      </w:r>
      <w:r w:rsidR="00410B9B" w:rsidRPr="00410B9B">
        <w:rPr>
          <w:rFonts w:ascii="Times New Roman" w:hAnsi="Times New Roman" w:cs="Times New Roman"/>
          <w:sz w:val="24"/>
          <w:szCs w:val="24"/>
        </w:rPr>
        <w:t xml:space="preserve"> of blood </w:t>
      </w:r>
      <w:r>
        <w:rPr>
          <w:rFonts w:ascii="Times New Roman" w:hAnsi="Times New Roman" w:cs="Times New Roman"/>
          <w:sz w:val="24"/>
          <w:szCs w:val="24"/>
        </w:rPr>
        <w:t>was</w:t>
      </w:r>
      <w:r w:rsidR="00410B9B" w:rsidRPr="00410B9B">
        <w:rPr>
          <w:rFonts w:ascii="Times New Roman" w:hAnsi="Times New Roman" w:cs="Times New Roman"/>
          <w:sz w:val="24"/>
          <w:szCs w:val="24"/>
        </w:rPr>
        <w:t xml:space="preserve"> collected from each animal into both heparinized and EDTA-coated vacutainer tubes during the morning hours in three different seasons: winter (December–January), spring (February–March), and summer (April–May). Plasma was separated by centrifuging the blood samples in a Remi R-8C laboratory centrifuge at 3000 rpm for 15 minutes. The collected plasma was aliquoted and stored at –20°C until biochemical analyses were performed.</w:t>
      </w:r>
    </w:p>
    <w:p w14:paraId="6B3D872A" w14:textId="77777777" w:rsidR="00410B9B" w:rsidRPr="00410B9B" w:rsidRDefault="00410B9B" w:rsidP="00410B9B">
      <w:pPr>
        <w:spacing w:line="360" w:lineRule="auto"/>
        <w:jc w:val="both"/>
        <w:rPr>
          <w:rFonts w:ascii="Times New Roman" w:hAnsi="Times New Roman" w:cs="Times New Roman"/>
          <w:b/>
          <w:bCs/>
          <w:sz w:val="24"/>
          <w:szCs w:val="24"/>
        </w:rPr>
      </w:pPr>
      <w:r w:rsidRPr="00410B9B">
        <w:rPr>
          <w:rFonts w:ascii="Times New Roman" w:hAnsi="Times New Roman" w:cs="Times New Roman"/>
          <w:b/>
          <w:bCs/>
          <w:sz w:val="24"/>
          <w:szCs w:val="24"/>
        </w:rPr>
        <w:t>Oxidative stress parameters</w:t>
      </w:r>
    </w:p>
    <w:p w14:paraId="32775124" w14:textId="23C22B06"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Erythrocytic malondialdehyde (MDA), an indicator of lipid peroxidation, was estimated using the method described by</w:t>
      </w:r>
      <w:r w:rsidR="006608DF">
        <w:rPr>
          <w:rFonts w:ascii="Times New Roman" w:hAnsi="Times New Roman" w:cs="Times New Roman"/>
          <w:sz w:val="24"/>
          <w:szCs w:val="24"/>
        </w:rPr>
        <w:t xml:space="preserve"> </w:t>
      </w:r>
      <w:r w:rsidRPr="00410B9B">
        <w:rPr>
          <w:rFonts w:ascii="Times New Roman" w:hAnsi="Times New Roman" w:cs="Times New Roman"/>
          <w:sz w:val="24"/>
          <w:szCs w:val="24"/>
        </w:rPr>
        <w:t>Placer et al. (1966)</w:t>
      </w:r>
      <w:r w:rsidR="00AD73FC">
        <w:rPr>
          <w:rFonts w:ascii="Times New Roman" w:hAnsi="Times New Roman" w:cs="Times New Roman"/>
          <w:sz w:val="24"/>
          <w:szCs w:val="24"/>
        </w:rPr>
        <w:t xml:space="preserve"> (14)</w:t>
      </w:r>
      <w:r w:rsidRPr="00410B9B">
        <w:rPr>
          <w:rFonts w:ascii="Times New Roman" w:hAnsi="Times New Roman" w:cs="Times New Roman"/>
          <w:sz w:val="24"/>
          <w:szCs w:val="24"/>
        </w:rPr>
        <w:t xml:space="preserve">, which involves the measurement of </w:t>
      </w:r>
      <w:proofErr w:type="spellStart"/>
      <w:r w:rsidRPr="00410B9B">
        <w:rPr>
          <w:rFonts w:ascii="Times New Roman" w:hAnsi="Times New Roman" w:cs="Times New Roman"/>
          <w:sz w:val="24"/>
          <w:szCs w:val="24"/>
        </w:rPr>
        <w:t>thiobarbituric</w:t>
      </w:r>
      <w:proofErr w:type="spellEnd"/>
      <w:r w:rsidRPr="00410B9B">
        <w:rPr>
          <w:rFonts w:ascii="Times New Roman" w:hAnsi="Times New Roman" w:cs="Times New Roman"/>
          <w:sz w:val="24"/>
          <w:szCs w:val="24"/>
        </w:rPr>
        <w:t xml:space="preserve"> acid reactive substances. Glutathione reductase activity was measured following the procedure of Krohne-Ehrich et al. (1977)</w:t>
      </w:r>
      <w:r w:rsidR="00AD73FC">
        <w:rPr>
          <w:rFonts w:ascii="Times New Roman" w:hAnsi="Times New Roman" w:cs="Times New Roman"/>
          <w:sz w:val="24"/>
          <w:szCs w:val="24"/>
        </w:rPr>
        <w:t xml:space="preserve"> (15)</w:t>
      </w:r>
      <w:r w:rsidRPr="00410B9B">
        <w:rPr>
          <w:rFonts w:ascii="Times New Roman" w:hAnsi="Times New Roman" w:cs="Times New Roman"/>
          <w:sz w:val="24"/>
          <w:szCs w:val="24"/>
        </w:rPr>
        <w:t>. Whole-blood reduced glutathione (GSH) was determined using Ellman’s method (1959)</w:t>
      </w:r>
      <w:r w:rsidR="00AD73FC">
        <w:rPr>
          <w:rFonts w:ascii="Times New Roman" w:hAnsi="Times New Roman" w:cs="Times New Roman"/>
          <w:sz w:val="24"/>
          <w:szCs w:val="24"/>
        </w:rPr>
        <w:t xml:space="preserve"> (16)</w:t>
      </w:r>
      <w:r w:rsidRPr="00410B9B">
        <w:rPr>
          <w:rFonts w:ascii="Times New Roman" w:hAnsi="Times New Roman" w:cs="Times New Roman"/>
          <w:sz w:val="24"/>
          <w:szCs w:val="24"/>
        </w:rPr>
        <w:t>, based on the reaction of GSH with 5,5′-dithiobis-(2-nitrobenzoic acid) (DTNB) to form a yellow</w:t>
      </w:r>
      <w:r w:rsidR="002F34CC">
        <w:rPr>
          <w:rFonts w:ascii="Times New Roman" w:hAnsi="Times New Roman" w:cs="Times New Roman"/>
          <w:sz w:val="24"/>
          <w:szCs w:val="24"/>
        </w:rPr>
        <w:t xml:space="preserve"> </w:t>
      </w:r>
      <w:proofErr w:type="spellStart"/>
      <w:r w:rsidRPr="00410B9B">
        <w:rPr>
          <w:rFonts w:ascii="Times New Roman" w:hAnsi="Times New Roman" w:cs="Times New Roman"/>
          <w:sz w:val="24"/>
          <w:szCs w:val="24"/>
        </w:rPr>
        <w:t>colored</w:t>
      </w:r>
      <w:proofErr w:type="spellEnd"/>
      <w:r w:rsidRPr="00410B9B">
        <w:rPr>
          <w:rFonts w:ascii="Times New Roman" w:hAnsi="Times New Roman" w:cs="Times New Roman"/>
          <w:sz w:val="24"/>
          <w:szCs w:val="24"/>
        </w:rPr>
        <w:t xml:space="preserve"> 5-thio-2-nitrobenzoic acid derivative.</w:t>
      </w:r>
    </w:p>
    <w:p w14:paraId="2670A7B9" w14:textId="77777777" w:rsidR="00410B9B" w:rsidRPr="00410B9B" w:rsidRDefault="00410B9B" w:rsidP="00410B9B">
      <w:pPr>
        <w:spacing w:line="360" w:lineRule="auto"/>
        <w:jc w:val="both"/>
        <w:rPr>
          <w:rFonts w:ascii="Times New Roman" w:hAnsi="Times New Roman" w:cs="Times New Roman"/>
          <w:b/>
          <w:bCs/>
          <w:sz w:val="24"/>
          <w:szCs w:val="24"/>
        </w:rPr>
      </w:pPr>
      <w:proofErr w:type="spellStart"/>
      <w:r w:rsidRPr="00410B9B">
        <w:rPr>
          <w:rFonts w:ascii="Times New Roman" w:hAnsi="Times New Roman" w:cs="Times New Roman"/>
          <w:b/>
          <w:bCs/>
          <w:sz w:val="24"/>
          <w:szCs w:val="24"/>
        </w:rPr>
        <w:t>Hematological</w:t>
      </w:r>
      <w:proofErr w:type="spellEnd"/>
      <w:r w:rsidRPr="00410B9B">
        <w:rPr>
          <w:rFonts w:ascii="Times New Roman" w:hAnsi="Times New Roman" w:cs="Times New Roman"/>
          <w:b/>
          <w:bCs/>
          <w:sz w:val="24"/>
          <w:szCs w:val="24"/>
        </w:rPr>
        <w:t xml:space="preserve"> parameters</w:t>
      </w:r>
    </w:p>
    <w:p w14:paraId="4ADF2F49" w14:textId="36C30725" w:rsidR="00410B9B" w:rsidRPr="00410B9B" w:rsidRDefault="00410B9B" w:rsidP="00410B9B">
      <w:pPr>
        <w:spacing w:line="360" w:lineRule="auto"/>
        <w:jc w:val="both"/>
        <w:rPr>
          <w:rFonts w:ascii="Times New Roman" w:hAnsi="Times New Roman" w:cs="Times New Roman"/>
          <w:sz w:val="24"/>
          <w:szCs w:val="24"/>
        </w:rPr>
      </w:pPr>
      <w:proofErr w:type="spellStart"/>
      <w:r w:rsidRPr="00410B9B">
        <w:rPr>
          <w:rFonts w:ascii="Times New Roman" w:hAnsi="Times New Roman" w:cs="Times New Roman"/>
          <w:sz w:val="24"/>
          <w:szCs w:val="24"/>
        </w:rPr>
        <w:t>Hemoglobin</w:t>
      </w:r>
      <w:proofErr w:type="spellEnd"/>
      <w:r w:rsidRPr="00410B9B">
        <w:rPr>
          <w:rFonts w:ascii="Times New Roman" w:hAnsi="Times New Roman" w:cs="Times New Roman"/>
          <w:sz w:val="24"/>
          <w:szCs w:val="24"/>
        </w:rPr>
        <w:t xml:space="preserve"> (Hb) concentration was determined using the method </w:t>
      </w:r>
      <w:r w:rsidR="0085212B">
        <w:rPr>
          <w:rFonts w:ascii="Times New Roman" w:hAnsi="Times New Roman" w:cs="Times New Roman"/>
          <w:sz w:val="24"/>
          <w:szCs w:val="24"/>
        </w:rPr>
        <w:t>given</w:t>
      </w:r>
      <w:r w:rsidRPr="00410B9B">
        <w:rPr>
          <w:rFonts w:ascii="Times New Roman" w:hAnsi="Times New Roman" w:cs="Times New Roman"/>
          <w:sz w:val="24"/>
          <w:szCs w:val="24"/>
        </w:rPr>
        <w:t xml:space="preserve"> by Dacie and Lewis </w:t>
      </w:r>
      <w:r w:rsidR="00AD73FC">
        <w:rPr>
          <w:rFonts w:ascii="Times New Roman" w:hAnsi="Times New Roman" w:cs="Times New Roman"/>
          <w:sz w:val="24"/>
          <w:szCs w:val="24"/>
        </w:rPr>
        <w:t>(17)</w:t>
      </w:r>
      <w:r w:rsidRPr="00410B9B">
        <w:rPr>
          <w:rFonts w:ascii="Times New Roman" w:hAnsi="Times New Roman" w:cs="Times New Roman"/>
          <w:sz w:val="24"/>
          <w:szCs w:val="24"/>
        </w:rPr>
        <w:t xml:space="preserve">. Packed cell volume (PCV) was measured using the microhematocrit technique. Differential leukocyte count (DLC) was performed with Giemsa staining, and total leukocyte count (TLC) was determined using a </w:t>
      </w:r>
      <w:proofErr w:type="spellStart"/>
      <w:r w:rsidRPr="00410B9B">
        <w:rPr>
          <w:rFonts w:ascii="Times New Roman" w:hAnsi="Times New Roman" w:cs="Times New Roman"/>
          <w:sz w:val="24"/>
          <w:szCs w:val="24"/>
        </w:rPr>
        <w:t>hemocytometer</w:t>
      </w:r>
      <w:proofErr w:type="spellEnd"/>
      <w:r w:rsidRPr="00410B9B">
        <w:rPr>
          <w:rFonts w:ascii="Times New Roman" w:hAnsi="Times New Roman" w:cs="Times New Roman"/>
          <w:sz w:val="24"/>
          <w:szCs w:val="24"/>
        </w:rPr>
        <w:t>.</w:t>
      </w:r>
    </w:p>
    <w:p w14:paraId="6F25DD81" w14:textId="77777777" w:rsidR="00410B9B" w:rsidRPr="00410B9B" w:rsidRDefault="00410B9B" w:rsidP="00410B9B">
      <w:pPr>
        <w:spacing w:line="360" w:lineRule="auto"/>
        <w:jc w:val="both"/>
        <w:rPr>
          <w:rFonts w:ascii="Times New Roman" w:hAnsi="Times New Roman" w:cs="Times New Roman"/>
          <w:b/>
          <w:bCs/>
          <w:sz w:val="24"/>
          <w:szCs w:val="24"/>
        </w:rPr>
      </w:pPr>
      <w:r w:rsidRPr="00410B9B">
        <w:rPr>
          <w:rFonts w:ascii="Times New Roman" w:hAnsi="Times New Roman" w:cs="Times New Roman"/>
          <w:b/>
          <w:bCs/>
          <w:sz w:val="24"/>
          <w:szCs w:val="24"/>
        </w:rPr>
        <w:t>Metabolic enzymes</w:t>
      </w:r>
    </w:p>
    <w:p w14:paraId="1AAFA3D6" w14:textId="77777777"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 xml:space="preserve">Plasma activities of alkaline phosphatase (ALP), alanine aminotransferase (ALT), aspartate aminotransferase (AST), gamma-glutamyl transferase (GGT), and lactate dehydrogenase (LDH) were </w:t>
      </w:r>
      <w:proofErr w:type="spellStart"/>
      <w:r w:rsidRPr="00410B9B">
        <w:rPr>
          <w:rFonts w:ascii="Times New Roman" w:hAnsi="Times New Roman" w:cs="Times New Roman"/>
          <w:sz w:val="24"/>
          <w:szCs w:val="24"/>
        </w:rPr>
        <w:t>analyzed</w:t>
      </w:r>
      <w:proofErr w:type="spellEnd"/>
      <w:r w:rsidRPr="00410B9B">
        <w:rPr>
          <w:rFonts w:ascii="Times New Roman" w:hAnsi="Times New Roman" w:cs="Times New Roman"/>
          <w:sz w:val="24"/>
          <w:szCs w:val="24"/>
        </w:rPr>
        <w:t xml:space="preserve"> using </w:t>
      </w:r>
      <w:proofErr w:type="spellStart"/>
      <w:r w:rsidRPr="00410B9B">
        <w:rPr>
          <w:rFonts w:ascii="Times New Roman" w:hAnsi="Times New Roman" w:cs="Times New Roman"/>
          <w:sz w:val="24"/>
          <w:szCs w:val="24"/>
        </w:rPr>
        <w:t>Erba</w:t>
      </w:r>
      <w:proofErr w:type="spellEnd"/>
      <w:r w:rsidRPr="00410B9B">
        <w:rPr>
          <w:rFonts w:ascii="Times New Roman" w:hAnsi="Times New Roman" w:cs="Times New Roman"/>
          <w:sz w:val="24"/>
          <w:szCs w:val="24"/>
        </w:rPr>
        <w:t xml:space="preserve"> Mannheim kits on a Merck semi-automatic chemistry </w:t>
      </w:r>
      <w:proofErr w:type="spellStart"/>
      <w:r w:rsidRPr="00410B9B">
        <w:rPr>
          <w:rFonts w:ascii="Times New Roman" w:hAnsi="Times New Roman" w:cs="Times New Roman"/>
          <w:sz w:val="24"/>
          <w:szCs w:val="24"/>
        </w:rPr>
        <w:t>analyzer</w:t>
      </w:r>
      <w:proofErr w:type="spellEnd"/>
      <w:r w:rsidRPr="00410B9B">
        <w:rPr>
          <w:rFonts w:ascii="Times New Roman" w:hAnsi="Times New Roman" w:cs="Times New Roman"/>
          <w:sz w:val="24"/>
          <w:szCs w:val="24"/>
        </w:rPr>
        <w:t>.</w:t>
      </w:r>
    </w:p>
    <w:p w14:paraId="5F2D19E3" w14:textId="77777777" w:rsidR="00410B9B" w:rsidRPr="00410B9B" w:rsidRDefault="00410B9B" w:rsidP="00410B9B">
      <w:pPr>
        <w:spacing w:line="360" w:lineRule="auto"/>
        <w:jc w:val="both"/>
        <w:rPr>
          <w:rFonts w:ascii="Times New Roman" w:hAnsi="Times New Roman" w:cs="Times New Roman"/>
          <w:b/>
          <w:bCs/>
          <w:sz w:val="24"/>
          <w:szCs w:val="24"/>
        </w:rPr>
      </w:pPr>
      <w:r w:rsidRPr="00410B9B">
        <w:rPr>
          <w:rFonts w:ascii="Times New Roman" w:hAnsi="Times New Roman" w:cs="Times New Roman"/>
          <w:b/>
          <w:bCs/>
          <w:sz w:val="24"/>
          <w:szCs w:val="24"/>
        </w:rPr>
        <w:t>Statistical analysis</w:t>
      </w:r>
    </w:p>
    <w:p w14:paraId="60470ECD" w14:textId="112FE2BF"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 xml:space="preserve">Data for all parameters were </w:t>
      </w:r>
      <w:proofErr w:type="spellStart"/>
      <w:r w:rsidRPr="00410B9B">
        <w:rPr>
          <w:rFonts w:ascii="Times New Roman" w:hAnsi="Times New Roman" w:cs="Times New Roman"/>
          <w:sz w:val="24"/>
          <w:szCs w:val="24"/>
        </w:rPr>
        <w:t>analyzed</w:t>
      </w:r>
      <w:proofErr w:type="spellEnd"/>
      <w:r w:rsidRPr="00410B9B">
        <w:rPr>
          <w:rFonts w:ascii="Times New Roman" w:hAnsi="Times New Roman" w:cs="Times New Roman"/>
          <w:sz w:val="24"/>
          <w:szCs w:val="24"/>
        </w:rPr>
        <w:t xml:space="preserve"> using three-way analysis of variance (ANOVA) in the Statistical Package for Social Sciences (SPSS), version 26</w:t>
      </w:r>
      <w:r w:rsidR="006608DF">
        <w:rPr>
          <w:rFonts w:ascii="Times New Roman" w:hAnsi="Times New Roman" w:cs="Times New Roman"/>
          <w:sz w:val="24"/>
          <w:szCs w:val="24"/>
        </w:rPr>
        <w:t xml:space="preserve"> (</w:t>
      </w:r>
      <w:r w:rsidR="006608DF" w:rsidRPr="00215298">
        <w:rPr>
          <w:rFonts w:ascii="Times New Roman" w:hAnsi="Times New Roman" w:cs="Times New Roman"/>
          <w:sz w:val="24"/>
          <w:szCs w:val="24"/>
        </w:rPr>
        <w:t>IBM Corp</w:t>
      </w:r>
      <w:r w:rsidR="006608DF">
        <w:rPr>
          <w:rFonts w:ascii="Times New Roman" w:hAnsi="Times New Roman" w:cs="Times New Roman"/>
          <w:sz w:val="24"/>
          <w:szCs w:val="24"/>
        </w:rPr>
        <w:t>)</w:t>
      </w:r>
      <w:r w:rsidR="00AD73FC">
        <w:rPr>
          <w:rFonts w:ascii="Times New Roman" w:hAnsi="Times New Roman" w:cs="Times New Roman"/>
          <w:sz w:val="24"/>
          <w:szCs w:val="24"/>
        </w:rPr>
        <w:t xml:space="preserve"> (18)</w:t>
      </w:r>
      <w:r w:rsidRPr="00410B9B">
        <w:rPr>
          <w:rFonts w:ascii="Times New Roman" w:hAnsi="Times New Roman" w:cs="Times New Roman"/>
          <w:sz w:val="24"/>
          <w:szCs w:val="24"/>
        </w:rPr>
        <w:t xml:space="preserve">. Statistical significance was set at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Results are presented as mean ± standard error.</w:t>
      </w:r>
    </w:p>
    <w:p w14:paraId="137F9E65" w14:textId="77777777" w:rsidR="00FF1006" w:rsidRPr="000733D3" w:rsidRDefault="00FF1006" w:rsidP="00FF1006">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RESULTS</w:t>
      </w:r>
    </w:p>
    <w:p w14:paraId="74268251" w14:textId="77777777" w:rsidR="007458B6" w:rsidRPr="002F34CC" w:rsidRDefault="007458B6" w:rsidP="007458B6">
      <w:pPr>
        <w:spacing w:line="360" w:lineRule="auto"/>
        <w:rPr>
          <w:rFonts w:ascii="Times New Roman" w:hAnsi="Times New Roman" w:cs="Times New Roman"/>
          <w:b/>
          <w:bCs/>
          <w:i/>
          <w:iCs/>
          <w:sz w:val="24"/>
          <w:szCs w:val="24"/>
        </w:rPr>
      </w:pPr>
      <w:r w:rsidRPr="002F34CC">
        <w:rPr>
          <w:rFonts w:ascii="Times New Roman" w:hAnsi="Times New Roman" w:cs="Times New Roman"/>
          <w:b/>
          <w:bCs/>
          <w:i/>
          <w:iCs/>
          <w:sz w:val="24"/>
          <w:szCs w:val="24"/>
        </w:rPr>
        <w:t>Oxidative stress parameters</w:t>
      </w:r>
    </w:p>
    <w:p w14:paraId="19876648" w14:textId="18D618E0"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The levels of MDA and GSH, as well as the activity of glutathione reductase, were evaluated to assess the seasonal effects on oxidative stress. MDA concentrations were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w:t>
      </w:r>
      <w:r w:rsidRPr="00410B9B">
        <w:rPr>
          <w:rFonts w:ascii="Times New Roman" w:hAnsi="Times New Roman" w:cs="Times New Roman"/>
          <w:sz w:val="24"/>
          <w:szCs w:val="24"/>
        </w:rPr>
        <w:lastRenderedPageBreak/>
        <w:t>the summer than in the winter and spring, and winter values were also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than those observed in spring (Fig. 1A, Table 1).</w:t>
      </w:r>
    </w:p>
    <w:p w14:paraId="7A6BA601" w14:textId="688500BF" w:rsidR="00410B9B" w:rsidRPr="00410B9B" w:rsidRDefault="00410B9B" w:rsidP="00410B9B">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GSH levels were highest in spring and lowest in summer. Across all groups, GSH concentrations were significantly reduced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summer compared to winter and spring, and winter values were likewise significantly lower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than those in spring (Fig. 1B, Table 1).</w:t>
      </w:r>
    </w:p>
    <w:p w14:paraId="1AB02FCD" w14:textId="360FFD81" w:rsidR="007458B6" w:rsidRPr="000733D3" w:rsidRDefault="00410B9B" w:rsidP="00F85A28">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 xml:space="preserve">Glutathione reductase activity was highest in summer, intermediate in winter, and lowest in spring (Fig. 1C, Table 1). In all groups, </w:t>
      </w:r>
      <w:r>
        <w:rPr>
          <w:rFonts w:ascii="Times New Roman" w:hAnsi="Times New Roman" w:cs="Times New Roman"/>
          <w:sz w:val="24"/>
          <w:szCs w:val="24"/>
        </w:rPr>
        <w:t>glutathione reductase</w:t>
      </w:r>
      <w:r w:rsidRPr="00410B9B">
        <w:rPr>
          <w:rFonts w:ascii="Times New Roman" w:hAnsi="Times New Roman" w:cs="Times New Roman"/>
          <w:sz w:val="24"/>
          <w:szCs w:val="24"/>
        </w:rPr>
        <w:t xml:space="preserve"> activity was significantly elevated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summer compared to winter and spring. Additionally, </w:t>
      </w:r>
      <w:r>
        <w:rPr>
          <w:rFonts w:ascii="Times New Roman" w:hAnsi="Times New Roman" w:cs="Times New Roman"/>
          <w:sz w:val="24"/>
          <w:szCs w:val="24"/>
        </w:rPr>
        <w:t>glutathione reductase</w:t>
      </w:r>
      <w:r w:rsidRPr="00410B9B">
        <w:rPr>
          <w:rFonts w:ascii="Times New Roman" w:hAnsi="Times New Roman" w:cs="Times New Roman"/>
          <w:sz w:val="24"/>
          <w:szCs w:val="24"/>
        </w:rPr>
        <w:t xml:space="preserve"> activity in winter was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than in spring (Fig. 1C, Table 1).</w:t>
      </w:r>
    </w:p>
    <w:p w14:paraId="1DECD330" w14:textId="77777777" w:rsidR="0033711E" w:rsidRPr="002F34CC" w:rsidRDefault="0033711E" w:rsidP="0033711E">
      <w:pPr>
        <w:spacing w:before="160" w:line="360" w:lineRule="auto"/>
        <w:jc w:val="both"/>
        <w:rPr>
          <w:rFonts w:ascii="Times New Roman" w:hAnsi="Times New Roman" w:cs="Times New Roman"/>
          <w:b/>
          <w:bCs/>
          <w:i/>
          <w:iCs/>
          <w:sz w:val="24"/>
          <w:szCs w:val="24"/>
        </w:rPr>
      </w:pPr>
      <w:proofErr w:type="spellStart"/>
      <w:r w:rsidRPr="002F34CC">
        <w:rPr>
          <w:rFonts w:ascii="Times New Roman" w:hAnsi="Times New Roman" w:cs="Times New Roman"/>
          <w:b/>
          <w:bCs/>
          <w:i/>
          <w:iCs/>
          <w:sz w:val="24"/>
          <w:szCs w:val="24"/>
        </w:rPr>
        <w:t>Hematological</w:t>
      </w:r>
      <w:proofErr w:type="spellEnd"/>
      <w:r w:rsidRPr="002F34CC">
        <w:rPr>
          <w:rFonts w:ascii="Times New Roman" w:hAnsi="Times New Roman" w:cs="Times New Roman"/>
          <w:b/>
          <w:bCs/>
          <w:i/>
          <w:iCs/>
          <w:sz w:val="24"/>
          <w:szCs w:val="24"/>
        </w:rPr>
        <w:t xml:space="preserve"> parameters</w:t>
      </w:r>
    </w:p>
    <w:p w14:paraId="43F83961" w14:textId="04F13F24" w:rsidR="00410B9B" w:rsidRDefault="00410B9B" w:rsidP="0033711E">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Across all groups, the mean values of Hb and PCV were significantly lower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during the winter and summer seasons compared to spring, with the reduction more pronounced in summer (Table 2). TLC also declined significantly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during summer. The mean percentage of neutrophils was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whereas the percentage of lymphocytes was significantly lower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both winter and summer relative to spring (Table 2). Consequently, the mean neutrophil</w:t>
      </w:r>
      <w:r>
        <w:rPr>
          <w:rFonts w:ascii="Times New Roman" w:hAnsi="Times New Roman" w:cs="Times New Roman"/>
          <w:sz w:val="24"/>
          <w:szCs w:val="24"/>
        </w:rPr>
        <w:t xml:space="preserve"> </w:t>
      </w:r>
      <w:r w:rsidRPr="00410B9B">
        <w:rPr>
          <w:rFonts w:ascii="Times New Roman" w:hAnsi="Times New Roman" w:cs="Times New Roman"/>
          <w:sz w:val="24"/>
          <w:szCs w:val="24"/>
        </w:rPr>
        <w:t>to</w:t>
      </w:r>
      <w:r>
        <w:rPr>
          <w:rFonts w:ascii="Times New Roman" w:hAnsi="Times New Roman" w:cs="Times New Roman"/>
          <w:sz w:val="24"/>
          <w:szCs w:val="24"/>
        </w:rPr>
        <w:t xml:space="preserve"> </w:t>
      </w:r>
      <w:r w:rsidRPr="00410B9B">
        <w:rPr>
          <w:rFonts w:ascii="Times New Roman" w:hAnsi="Times New Roman" w:cs="Times New Roman"/>
          <w:sz w:val="24"/>
          <w:szCs w:val="24"/>
        </w:rPr>
        <w:t>lymphocyte (</w:t>
      </w:r>
      <w:proofErr w:type="gramStart"/>
      <w:r w:rsidRPr="00410B9B">
        <w:rPr>
          <w:rFonts w:ascii="Times New Roman" w:hAnsi="Times New Roman" w:cs="Times New Roman"/>
          <w:sz w:val="24"/>
          <w:szCs w:val="24"/>
        </w:rPr>
        <w:t>N:L</w:t>
      </w:r>
      <w:proofErr w:type="gramEnd"/>
      <w:r w:rsidRPr="00410B9B">
        <w:rPr>
          <w:rFonts w:ascii="Times New Roman" w:hAnsi="Times New Roman" w:cs="Times New Roman"/>
          <w:sz w:val="24"/>
          <w:szCs w:val="24"/>
        </w:rPr>
        <w:t>) ratio was significantly elevated (</w:t>
      </w:r>
      <w:r w:rsidRPr="00410B9B">
        <w:rPr>
          <w:rFonts w:ascii="Times New Roman" w:hAnsi="Times New Roman" w:cs="Times New Roman"/>
          <w:i/>
          <w:iCs/>
          <w:sz w:val="24"/>
          <w:szCs w:val="24"/>
        </w:rPr>
        <w:t xml:space="preserve">p </w:t>
      </w:r>
      <w:r w:rsidRPr="00410B9B">
        <w:rPr>
          <w:rFonts w:ascii="Times New Roman" w:hAnsi="Times New Roman" w:cs="Times New Roman"/>
          <w:sz w:val="24"/>
          <w:szCs w:val="24"/>
        </w:rPr>
        <w:t>&lt; 0.05) during winter and summer compared with spring (Table 2).</w:t>
      </w:r>
    </w:p>
    <w:p w14:paraId="5C205C91" w14:textId="5BB182EA" w:rsidR="0033711E" w:rsidRPr="002F34CC" w:rsidRDefault="0033711E" w:rsidP="0033711E">
      <w:pPr>
        <w:spacing w:line="360" w:lineRule="auto"/>
        <w:jc w:val="both"/>
        <w:rPr>
          <w:rFonts w:ascii="Times New Roman" w:hAnsi="Times New Roman" w:cs="Times New Roman"/>
          <w:b/>
          <w:bCs/>
          <w:sz w:val="24"/>
          <w:szCs w:val="24"/>
        </w:rPr>
      </w:pPr>
      <w:r w:rsidRPr="002F34CC">
        <w:rPr>
          <w:rFonts w:ascii="Times New Roman" w:hAnsi="Times New Roman" w:cs="Times New Roman"/>
          <w:b/>
          <w:bCs/>
          <w:i/>
          <w:iCs/>
          <w:sz w:val="24"/>
          <w:szCs w:val="24"/>
        </w:rPr>
        <w:t>Metabolic enzymes</w:t>
      </w:r>
    </w:p>
    <w:p w14:paraId="0F0FD286" w14:textId="77777777" w:rsidR="00410B9B" w:rsidRDefault="00410B9B" w:rsidP="00FF1006">
      <w:pPr>
        <w:spacing w:line="360" w:lineRule="auto"/>
        <w:jc w:val="both"/>
        <w:rPr>
          <w:rFonts w:ascii="Times New Roman" w:hAnsi="Times New Roman" w:cs="Times New Roman"/>
          <w:sz w:val="24"/>
          <w:szCs w:val="24"/>
        </w:rPr>
      </w:pPr>
      <w:r w:rsidRPr="00410B9B">
        <w:rPr>
          <w:rFonts w:ascii="Times New Roman" w:hAnsi="Times New Roman" w:cs="Times New Roman"/>
          <w:sz w:val="24"/>
          <w:szCs w:val="24"/>
        </w:rPr>
        <w:t>Mean values of metabolic enzymes showed significant seasonal variation (Table 3). The highest activities of ALT, GGT, and LDH were recorded during summer, while the lowest values were observed in spring. ALT and GGT were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both summer and winter compared to spring (Table 3). Additionally, ALP and GGT values were significantly higher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summer compared to winter. LDH and AST levels were significantly elevated (</w:t>
      </w:r>
      <w:r w:rsidRPr="00410B9B">
        <w:rPr>
          <w:rFonts w:ascii="Times New Roman" w:hAnsi="Times New Roman" w:cs="Times New Roman"/>
          <w:i/>
          <w:iCs/>
          <w:sz w:val="24"/>
          <w:szCs w:val="24"/>
        </w:rPr>
        <w:t>p</w:t>
      </w:r>
      <w:r w:rsidRPr="00410B9B">
        <w:rPr>
          <w:rFonts w:ascii="Times New Roman" w:hAnsi="Times New Roman" w:cs="Times New Roman"/>
          <w:sz w:val="24"/>
          <w:szCs w:val="24"/>
        </w:rPr>
        <w:t xml:space="preserve"> &lt; 0.05) in summer across all groups relative to winter and spring, with no significant differences between winter and spring. Season, age, and gender showed no significant effect on plasma ALP concentrations (Table 3).</w:t>
      </w:r>
    </w:p>
    <w:p w14:paraId="63F17987" w14:textId="4A969CF2" w:rsidR="00FF1006" w:rsidRPr="000733D3" w:rsidRDefault="00F348F0" w:rsidP="00FF1006">
      <w:pPr>
        <w:spacing w:line="360" w:lineRule="auto"/>
        <w:jc w:val="both"/>
        <w:rPr>
          <w:rFonts w:ascii="Times New Roman" w:hAnsi="Times New Roman" w:cs="Times New Roman"/>
          <w:b/>
          <w:bCs/>
          <w:sz w:val="24"/>
          <w:szCs w:val="24"/>
        </w:rPr>
      </w:pPr>
      <w:r w:rsidRPr="000733D3">
        <w:rPr>
          <w:rFonts w:ascii="Times New Roman" w:hAnsi="Times New Roman" w:cs="Times New Roman"/>
          <w:b/>
          <w:bCs/>
          <w:sz w:val="24"/>
          <w:szCs w:val="24"/>
        </w:rPr>
        <w:t>DISCUSSION</w:t>
      </w:r>
    </w:p>
    <w:p w14:paraId="67F7B39F" w14:textId="751A7673" w:rsidR="0071287C" w:rsidRDefault="00AF22F0" w:rsidP="0071287C">
      <w:pPr>
        <w:spacing w:line="360" w:lineRule="auto"/>
        <w:jc w:val="both"/>
        <w:rPr>
          <w:rFonts w:ascii="Times New Roman" w:hAnsi="Times New Roman" w:cs="Times New Roman"/>
          <w:sz w:val="24"/>
          <w:szCs w:val="24"/>
        </w:rPr>
      </w:pPr>
      <w:r w:rsidRPr="00AF22F0">
        <w:rPr>
          <w:rFonts w:ascii="Times New Roman" w:hAnsi="Times New Roman" w:cs="Times New Roman"/>
          <w:sz w:val="24"/>
          <w:szCs w:val="24"/>
        </w:rPr>
        <w:t xml:space="preserve">Rising global temperatures </w:t>
      </w:r>
      <w:r w:rsidRPr="000733D3">
        <w:rPr>
          <w:rFonts w:ascii="Times New Roman" w:hAnsi="Times New Roman" w:cs="Times New Roman"/>
          <w:sz w:val="24"/>
          <w:szCs w:val="24"/>
        </w:rPr>
        <w:t xml:space="preserve">demand </w:t>
      </w:r>
      <w:r w:rsidRPr="00AF22F0">
        <w:rPr>
          <w:rFonts w:ascii="Times New Roman" w:hAnsi="Times New Roman" w:cs="Times New Roman"/>
          <w:sz w:val="24"/>
          <w:szCs w:val="24"/>
        </w:rPr>
        <w:t xml:space="preserve">a clearer understanding of how heat stress alters physiological and biochemical processes in livestock. In this study, we investigated seasonal variations in oxidative stress indicators, </w:t>
      </w:r>
      <w:proofErr w:type="spellStart"/>
      <w:r w:rsidRPr="00AF22F0">
        <w:rPr>
          <w:rFonts w:ascii="Times New Roman" w:hAnsi="Times New Roman" w:cs="Times New Roman"/>
          <w:sz w:val="24"/>
          <w:szCs w:val="24"/>
        </w:rPr>
        <w:t>hematological</w:t>
      </w:r>
      <w:proofErr w:type="spellEnd"/>
      <w:r w:rsidRPr="00AF22F0">
        <w:rPr>
          <w:rFonts w:ascii="Times New Roman" w:hAnsi="Times New Roman" w:cs="Times New Roman"/>
          <w:sz w:val="24"/>
          <w:szCs w:val="24"/>
        </w:rPr>
        <w:t xml:space="preserve"> parameters, and metabolic enzyme activities in grower and finisher pigs. </w:t>
      </w:r>
      <w:r w:rsidRPr="00AF22F0">
        <w:rPr>
          <w:rFonts w:ascii="Times New Roman" w:hAnsi="Times New Roman" w:cs="Times New Roman"/>
          <w:sz w:val="24"/>
          <w:szCs w:val="24"/>
        </w:rPr>
        <w:lastRenderedPageBreak/>
        <w:t>Under normal physiological conditions, cells maintain a highly reduced intracellular environment, and reduced glutathione (GSH) serves as a principal biomarker of redox balance (</w:t>
      </w:r>
      <w:r w:rsidR="006608DF">
        <w:rPr>
          <w:rFonts w:ascii="Times New Roman" w:hAnsi="Times New Roman" w:cs="Times New Roman"/>
          <w:sz w:val="24"/>
          <w:szCs w:val="24"/>
        </w:rPr>
        <w:t>19</w:t>
      </w:r>
      <w:r w:rsidRPr="00AF22F0">
        <w:rPr>
          <w:rFonts w:ascii="Times New Roman" w:hAnsi="Times New Roman" w:cs="Times New Roman"/>
          <w:sz w:val="24"/>
          <w:szCs w:val="24"/>
        </w:rPr>
        <w:t xml:space="preserve">). </w:t>
      </w:r>
    </w:p>
    <w:p w14:paraId="599C8142" w14:textId="523D8C45" w:rsidR="0071287C" w:rsidRPr="0071287C" w:rsidRDefault="0071287C" w:rsidP="0071287C">
      <w:pPr>
        <w:spacing w:line="360" w:lineRule="auto"/>
        <w:jc w:val="both"/>
      </w:pPr>
      <w:r w:rsidRPr="0071287C">
        <w:rPr>
          <w:rFonts w:ascii="Times New Roman" w:hAnsi="Times New Roman" w:cs="Times New Roman"/>
          <w:sz w:val="24"/>
          <w:szCs w:val="24"/>
        </w:rPr>
        <w:t xml:space="preserve">In our study, the average THI values recorded during winter, spring, and summer were 48.23, 66.32, and 79.92, respectively (data not shown). According to the National Weather Service Central Region, THI values </w:t>
      </w:r>
      <w:r>
        <w:rPr>
          <w:rFonts w:ascii="Times New Roman" w:hAnsi="Times New Roman" w:cs="Times New Roman"/>
          <w:sz w:val="24"/>
          <w:szCs w:val="24"/>
        </w:rPr>
        <w:t xml:space="preserve">more than </w:t>
      </w:r>
      <w:r w:rsidRPr="0071287C">
        <w:rPr>
          <w:rFonts w:ascii="Times New Roman" w:hAnsi="Times New Roman" w:cs="Times New Roman"/>
          <w:sz w:val="24"/>
          <w:szCs w:val="24"/>
        </w:rPr>
        <w:t xml:space="preserve">75 indicate an alert condition, values between 79 and 83 are considered dangerous, particularly for confined livestock such as pigs, and THI values </w:t>
      </w:r>
      <w:r>
        <w:rPr>
          <w:rFonts w:ascii="Times New Roman" w:hAnsi="Times New Roman" w:cs="Times New Roman"/>
          <w:sz w:val="24"/>
          <w:szCs w:val="24"/>
        </w:rPr>
        <w:t xml:space="preserve">more than </w:t>
      </w:r>
      <w:r w:rsidRPr="0071287C">
        <w:rPr>
          <w:rFonts w:ascii="Times New Roman" w:hAnsi="Times New Roman" w:cs="Times New Roman"/>
          <w:sz w:val="24"/>
          <w:szCs w:val="24"/>
        </w:rPr>
        <w:t>84 represent an emergency situation</w:t>
      </w:r>
      <w:r w:rsidR="00AA7057">
        <w:rPr>
          <w:rFonts w:ascii="Times New Roman" w:hAnsi="Times New Roman" w:cs="Times New Roman"/>
          <w:sz w:val="24"/>
          <w:szCs w:val="24"/>
        </w:rPr>
        <w:t xml:space="preserve"> (20)</w:t>
      </w:r>
      <w:r w:rsidRPr="0071287C">
        <w:rPr>
          <w:rFonts w:ascii="Times New Roman" w:hAnsi="Times New Roman" w:cs="Times New Roman"/>
          <w:sz w:val="24"/>
          <w:szCs w:val="24"/>
        </w:rPr>
        <w:t xml:space="preserve">. Based on these thresholds, the THI recorded during summer in our study fell within the “dangerous” category, clearly reflecting substantial heat load on the animals. Although the winter THI was comparatively low, pigs possess substantial subcutaneous adipose insulation and efficient thermoregulatory adaptations—such as </w:t>
      </w:r>
      <w:proofErr w:type="spellStart"/>
      <w:r w:rsidRPr="0071287C">
        <w:rPr>
          <w:rFonts w:ascii="Times New Roman" w:hAnsi="Times New Roman" w:cs="Times New Roman"/>
          <w:sz w:val="24"/>
          <w:szCs w:val="24"/>
        </w:rPr>
        <w:t>behavioral</w:t>
      </w:r>
      <w:proofErr w:type="spellEnd"/>
      <w:r w:rsidRPr="0071287C">
        <w:rPr>
          <w:rFonts w:ascii="Times New Roman" w:hAnsi="Times New Roman" w:cs="Times New Roman"/>
          <w:sz w:val="24"/>
          <w:szCs w:val="24"/>
        </w:rPr>
        <w:t xml:space="preserve"> adjustments, reduced peripheral blood flow, and increased metabolic heat production—that collectively minimize cold-induced physiological strain.</w:t>
      </w:r>
    </w:p>
    <w:p w14:paraId="095C0168" w14:textId="7C07A29B" w:rsidR="00AF22F0" w:rsidRPr="00AF22F0" w:rsidRDefault="00AF22F0" w:rsidP="00AF22F0">
      <w:pPr>
        <w:spacing w:line="360" w:lineRule="auto"/>
        <w:jc w:val="both"/>
        <w:rPr>
          <w:rFonts w:ascii="Times New Roman" w:hAnsi="Times New Roman" w:cs="Times New Roman"/>
          <w:sz w:val="24"/>
          <w:szCs w:val="24"/>
        </w:rPr>
      </w:pPr>
      <w:r w:rsidRPr="00AF22F0">
        <w:rPr>
          <w:rFonts w:ascii="Times New Roman" w:hAnsi="Times New Roman" w:cs="Times New Roman"/>
          <w:sz w:val="24"/>
          <w:szCs w:val="24"/>
        </w:rPr>
        <w:t>Heat stress is known to elevate ROS production and disrupt cellular redox homeostasis (</w:t>
      </w:r>
      <w:r w:rsidR="006608DF">
        <w:rPr>
          <w:rFonts w:ascii="Times New Roman" w:hAnsi="Times New Roman" w:cs="Times New Roman"/>
          <w:sz w:val="24"/>
          <w:szCs w:val="24"/>
        </w:rPr>
        <w:t>21</w:t>
      </w:r>
      <w:r w:rsidRPr="00AF22F0">
        <w:rPr>
          <w:rFonts w:ascii="Times New Roman" w:hAnsi="Times New Roman" w:cs="Times New Roman"/>
          <w:sz w:val="24"/>
          <w:szCs w:val="24"/>
        </w:rPr>
        <w:t xml:space="preserve">). Elevated ROS oxidize GSH to its disulfide form, GSSG, which is subsequently reduced back to GSH by glutathione reductase using NADPH to preserve intracellular reducing potential. In the present study, </w:t>
      </w:r>
      <w:r w:rsidR="0071287C" w:rsidRPr="00AF22F0">
        <w:rPr>
          <w:rFonts w:ascii="Times New Roman" w:hAnsi="Times New Roman" w:cs="Times New Roman"/>
          <w:sz w:val="24"/>
          <w:szCs w:val="24"/>
        </w:rPr>
        <w:t xml:space="preserve">glutathione reductase </w:t>
      </w:r>
      <w:r w:rsidRPr="00AF22F0">
        <w:rPr>
          <w:rFonts w:ascii="Times New Roman" w:hAnsi="Times New Roman" w:cs="Times New Roman"/>
          <w:sz w:val="24"/>
          <w:szCs w:val="24"/>
        </w:rPr>
        <w:t>activity was significantly higher during summer than in winter and spring, with winter also showing elevated activity relative to spring (Fig. 1C). At the same time, reduced GSH concentrations declined markedly during summer (Fig. 1B). These patterns align with findings reported across cattle, goats, sheep, buffaloes, broilers, quails, and pigs (</w:t>
      </w:r>
      <w:r w:rsidR="006608DF">
        <w:rPr>
          <w:rFonts w:ascii="Times New Roman" w:hAnsi="Times New Roman" w:cs="Times New Roman"/>
          <w:sz w:val="24"/>
          <w:szCs w:val="24"/>
        </w:rPr>
        <w:t>22</w:t>
      </w:r>
      <w:r w:rsidR="00AD73FC">
        <w:rPr>
          <w:rFonts w:ascii="Times New Roman" w:hAnsi="Times New Roman" w:cs="Times New Roman"/>
          <w:sz w:val="24"/>
          <w:szCs w:val="24"/>
        </w:rPr>
        <w:t xml:space="preserve">, </w:t>
      </w:r>
      <w:r w:rsidR="002427A7">
        <w:rPr>
          <w:rFonts w:ascii="Times New Roman" w:hAnsi="Times New Roman" w:cs="Times New Roman"/>
          <w:sz w:val="24"/>
          <w:szCs w:val="24"/>
        </w:rPr>
        <w:t>23</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24</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25</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26</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27</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28</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29</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30</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31</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32</w:t>
      </w:r>
      <w:r w:rsidRPr="00AF22F0">
        <w:rPr>
          <w:rFonts w:ascii="Times New Roman" w:hAnsi="Times New Roman" w:cs="Times New Roman"/>
          <w:sz w:val="24"/>
          <w:szCs w:val="24"/>
        </w:rPr>
        <w:t xml:space="preserve">). Collectively, the increased </w:t>
      </w:r>
      <w:r w:rsidR="0071287C" w:rsidRPr="00AF22F0">
        <w:rPr>
          <w:rFonts w:ascii="Times New Roman" w:hAnsi="Times New Roman" w:cs="Times New Roman"/>
          <w:sz w:val="24"/>
          <w:szCs w:val="24"/>
        </w:rPr>
        <w:t xml:space="preserve">glutathione reductase </w:t>
      </w:r>
      <w:r w:rsidRPr="00AF22F0">
        <w:rPr>
          <w:rFonts w:ascii="Times New Roman" w:hAnsi="Times New Roman" w:cs="Times New Roman"/>
          <w:sz w:val="24"/>
          <w:szCs w:val="24"/>
        </w:rPr>
        <w:t>activity in conjunction with diminished GSH levels provides compelling evidence of intensified oxidative pressure during summer, and to a lesser degree during winter.</w:t>
      </w:r>
    </w:p>
    <w:p w14:paraId="29AE9806" w14:textId="30B5F1D7" w:rsidR="00AF22F0" w:rsidRPr="00AF22F0" w:rsidRDefault="00AF22F0" w:rsidP="00AF22F0">
      <w:pPr>
        <w:spacing w:line="360" w:lineRule="auto"/>
        <w:jc w:val="both"/>
        <w:rPr>
          <w:rFonts w:ascii="Times New Roman" w:hAnsi="Times New Roman" w:cs="Times New Roman"/>
          <w:sz w:val="24"/>
          <w:szCs w:val="24"/>
        </w:rPr>
      </w:pPr>
      <w:r w:rsidRPr="00AF22F0">
        <w:rPr>
          <w:rFonts w:ascii="Times New Roman" w:hAnsi="Times New Roman" w:cs="Times New Roman"/>
          <w:sz w:val="24"/>
          <w:szCs w:val="24"/>
        </w:rPr>
        <w:t>Oxidative stress promotes lipid peroxidation, compromising membrane integrity</w:t>
      </w:r>
      <w:r w:rsidR="0071287C">
        <w:rPr>
          <w:rFonts w:ascii="Times New Roman" w:hAnsi="Times New Roman" w:cs="Times New Roman"/>
          <w:sz w:val="24"/>
          <w:szCs w:val="24"/>
        </w:rPr>
        <w:t xml:space="preserve"> (</w:t>
      </w:r>
      <w:r w:rsidR="00F10211">
        <w:rPr>
          <w:rFonts w:ascii="Times New Roman" w:hAnsi="Times New Roman" w:cs="Times New Roman"/>
          <w:sz w:val="24"/>
          <w:szCs w:val="24"/>
        </w:rPr>
        <w:t>34</w:t>
      </w:r>
      <w:r w:rsidR="0071287C">
        <w:rPr>
          <w:rFonts w:ascii="Times New Roman" w:hAnsi="Times New Roman" w:cs="Times New Roman"/>
          <w:sz w:val="24"/>
          <w:szCs w:val="24"/>
        </w:rPr>
        <w:t>)</w:t>
      </w:r>
      <w:r w:rsidRPr="00AF22F0">
        <w:rPr>
          <w:rFonts w:ascii="Times New Roman" w:hAnsi="Times New Roman" w:cs="Times New Roman"/>
          <w:sz w:val="24"/>
          <w:szCs w:val="24"/>
        </w:rPr>
        <w:t>. MDA, a terminal product of polyunsaturated fatty acid peroxidation (</w:t>
      </w:r>
      <w:r w:rsidR="00F10211">
        <w:rPr>
          <w:rFonts w:ascii="Times New Roman" w:hAnsi="Times New Roman" w:cs="Times New Roman"/>
          <w:sz w:val="24"/>
          <w:szCs w:val="24"/>
        </w:rPr>
        <w:t>35</w:t>
      </w:r>
      <w:r w:rsidRPr="00AF22F0">
        <w:rPr>
          <w:rFonts w:ascii="Times New Roman" w:hAnsi="Times New Roman" w:cs="Times New Roman"/>
          <w:sz w:val="24"/>
          <w:szCs w:val="24"/>
        </w:rPr>
        <w:t>), increased significantly during both winter and summer (Fig. 1A), with the highest levels observed in summer. This trend reflects elevated ROS-mediated damage to erythrocytic membranes (</w:t>
      </w:r>
      <w:r w:rsidR="00F10211">
        <w:rPr>
          <w:rFonts w:ascii="Times New Roman" w:hAnsi="Times New Roman" w:cs="Times New Roman"/>
          <w:sz w:val="24"/>
          <w:szCs w:val="24"/>
        </w:rPr>
        <w:t>36</w:t>
      </w:r>
      <w:r w:rsidRPr="00AF22F0">
        <w:rPr>
          <w:rFonts w:ascii="Times New Roman" w:hAnsi="Times New Roman" w:cs="Times New Roman"/>
          <w:sz w:val="24"/>
          <w:szCs w:val="24"/>
        </w:rPr>
        <w:t>) and corroborates earlier seasonal reports in cattle,</w:t>
      </w:r>
      <w:r w:rsidR="00B742D4">
        <w:rPr>
          <w:rFonts w:ascii="Times New Roman" w:hAnsi="Times New Roman" w:cs="Times New Roman"/>
          <w:sz w:val="24"/>
          <w:szCs w:val="24"/>
        </w:rPr>
        <w:t xml:space="preserve"> buffalo,</w:t>
      </w:r>
      <w:r w:rsidRPr="00AF22F0">
        <w:rPr>
          <w:rFonts w:ascii="Times New Roman" w:hAnsi="Times New Roman" w:cs="Times New Roman"/>
          <w:sz w:val="24"/>
          <w:szCs w:val="24"/>
        </w:rPr>
        <w:t xml:space="preserve"> poultry, sheep, goats, and pigs (</w:t>
      </w:r>
      <w:r w:rsidR="002427A7">
        <w:rPr>
          <w:rFonts w:ascii="Times New Roman" w:hAnsi="Times New Roman" w:cs="Times New Roman"/>
          <w:sz w:val="24"/>
          <w:szCs w:val="24"/>
        </w:rPr>
        <w:t>22</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23</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26</w:t>
      </w:r>
      <w:r w:rsidR="00AD73FC">
        <w:rPr>
          <w:rFonts w:ascii="Times New Roman" w:hAnsi="Times New Roman" w:cs="Times New Roman"/>
          <w:sz w:val="24"/>
          <w:szCs w:val="24"/>
        </w:rPr>
        <w:t xml:space="preserve">, </w:t>
      </w:r>
      <w:r w:rsidR="007F787C">
        <w:rPr>
          <w:rFonts w:ascii="Times New Roman" w:hAnsi="Times New Roman" w:cs="Times New Roman"/>
          <w:sz w:val="24"/>
          <w:szCs w:val="24"/>
        </w:rPr>
        <w:t xml:space="preserve">27, </w:t>
      </w:r>
      <w:r w:rsidR="00AD73FC">
        <w:rPr>
          <w:rFonts w:ascii="Times New Roman" w:hAnsi="Times New Roman" w:cs="Times New Roman"/>
          <w:sz w:val="24"/>
          <w:szCs w:val="24"/>
        </w:rPr>
        <w:t xml:space="preserve">28, </w:t>
      </w:r>
      <w:r w:rsidR="00F10211">
        <w:rPr>
          <w:rFonts w:ascii="Times New Roman" w:hAnsi="Times New Roman" w:cs="Times New Roman"/>
          <w:sz w:val="24"/>
          <w:szCs w:val="24"/>
        </w:rPr>
        <w:t>29</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30</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31</w:t>
      </w:r>
      <w:r w:rsidR="00AD73FC">
        <w:rPr>
          <w:rFonts w:ascii="Times New Roman" w:hAnsi="Times New Roman" w:cs="Times New Roman"/>
          <w:sz w:val="24"/>
          <w:szCs w:val="24"/>
        </w:rPr>
        <w:t xml:space="preserve">, 32, </w:t>
      </w:r>
      <w:r w:rsidR="00F10211">
        <w:rPr>
          <w:rFonts w:ascii="Times New Roman" w:hAnsi="Times New Roman" w:cs="Times New Roman"/>
          <w:sz w:val="24"/>
          <w:szCs w:val="24"/>
        </w:rPr>
        <w:t>3</w:t>
      </w:r>
      <w:r w:rsidR="007F787C">
        <w:rPr>
          <w:rFonts w:ascii="Times New Roman" w:hAnsi="Times New Roman" w:cs="Times New Roman"/>
          <w:sz w:val="24"/>
          <w:szCs w:val="24"/>
        </w:rPr>
        <w:t>6</w:t>
      </w:r>
      <w:r w:rsidRPr="00AF22F0">
        <w:rPr>
          <w:rFonts w:ascii="Times New Roman" w:hAnsi="Times New Roman" w:cs="Times New Roman"/>
          <w:sz w:val="24"/>
          <w:szCs w:val="24"/>
        </w:rPr>
        <w:t>). These findings strongly suggest that both thermal extremes, especially summer, impose marked oxidative stress on pigs.</w:t>
      </w:r>
    </w:p>
    <w:p w14:paraId="2A0ADC39" w14:textId="120E1866" w:rsidR="00AF22F0" w:rsidRPr="00AF22F0" w:rsidRDefault="00265DA8" w:rsidP="00AF22F0">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AF22F0" w:rsidRPr="00AF22F0">
        <w:rPr>
          <w:rFonts w:ascii="Times New Roman" w:hAnsi="Times New Roman" w:cs="Times New Roman"/>
          <w:sz w:val="24"/>
          <w:szCs w:val="24"/>
        </w:rPr>
        <w:t xml:space="preserve">xidative stress often leads to </w:t>
      </w:r>
      <w:proofErr w:type="spellStart"/>
      <w:r w:rsidR="00AF22F0" w:rsidRPr="00AF22F0">
        <w:rPr>
          <w:rFonts w:ascii="Times New Roman" w:hAnsi="Times New Roman" w:cs="Times New Roman"/>
          <w:sz w:val="24"/>
          <w:szCs w:val="24"/>
        </w:rPr>
        <w:t>hematological</w:t>
      </w:r>
      <w:proofErr w:type="spellEnd"/>
      <w:r w:rsidR="00AF22F0" w:rsidRPr="00AF22F0">
        <w:rPr>
          <w:rFonts w:ascii="Times New Roman" w:hAnsi="Times New Roman" w:cs="Times New Roman"/>
          <w:sz w:val="24"/>
          <w:szCs w:val="24"/>
        </w:rPr>
        <w:t xml:space="preserve"> alterations due to membrane damage and impaired erythropoiesis</w:t>
      </w:r>
      <w:r>
        <w:rPr>
          <w:rFonts w:ascii="Times New Roman" w:hAnsi="Times New Roman" w:cs="Times New Roman"/>
          <w:sz w:val="24"/>
          <w:szCs w:val="24"/>
        </w:rPr>
        <w:t xml:space="preserve"> (</w:t>
      </w:r>
      <w:r w:rsidR="00AD73FC">
        <w:rPr>
          <w:rFonts w:ascii="Times New Roman" w:hAnsi="Times New Roman" w:cs="Times New Roman"/>
          <w:sz w:val="24"/>
          <w:szCs w:val="24"/>
        </w:rPr>
        <w:t>3</w:t>
      </w:r>
      <w:r w:rsidR="007F787C">
        <w:rPr>
          <w:rFonts w:ascii="Times New Roman" w:hAnsi="Times New Roman" w:cs="Times New Roman"/>
          <w:sz w:val="24"/>
          <w:szCs w:val="24"/>
        </w:rPr>
        <w:t>3</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w:t>
      </w:r>
      <w:r w:rsidR="007F787C">
        <w:rPr>
          <w:rFonts w:ascii="Times New Roman" w:hAnsi="Times New Roman" w:cs="Times New Roman"/>
          <w:sz w:val="24"/>
          <w:szCs w:val="24"/>
        </w:rPr>
        <w:t>7</w:t>
      </w:r>
      <w:r>
        <w:rPr>
          <w:rFonts w:ascii="Times New Roman" w:hAnsi="Times New Roman" w:cs="Times New Roman"/>
          <w:sz w:val="24"/>
          <w:szCs w:val="24"/>
        </w:rPr>
        <w:t>)</w:t>
      </w:r>
      <w:r w:rsidR="00AF22F0" w:rsidRPr="00AF22F0">
        <w:rPr>
          <w:rFonts w:ascii="Times New Roman" w:hAnsi="Times New Roman" w:cs="Times New Roman"/>
          <w:sz w:val="24"/>
          <w:szCs w:val="24"/>
        </w:rPr>
        <w:t xml:space="preserve">. In our study, Hb and PCV values were lowest in summer, moderate in winter, and highest in spring (Table 2). </w:t>
      </w:r>
      <w:r>
        <w:rPr>
          <w:rFonts w:ascii="Times New Roman" w:hAnsi="Times New Roman" w:cs="Times New Roman"/>
          <w:sz w:val="24"/>
          <w:szCs w:val="24"/>
        </w:rPr>
        <w:t>TLC</w:t>
      </w:r>
      <w:r w:rsidR="00AF22F0" w:rsidRPr="00AF22F0">
        <w:rPr>
          <w:rFonts w:ascii="Times New Roman" w:hAnsi="Times New Roman" w:cs="Times New Roman"/>
          <w:sz w:val="24"/>
          <w:szCs w:val="24"/>
        </w:rPr>
        <w:t xml:space="preserve"> also declined significantly in summer. Neutrophils increased, </w:t>
      </w:r>
      <w:r w:rsidR="00AF22F0" w:rsidRPr="00AF22F0">
        <w:rPr>
          <w:rFonts w:ascii="Times New Roman" w:hAnsi="Times New Roman" w:cs="Times New Roman"/>
          <w:sz w:val="24"/>
          <w:szCs w:val="24"/>
        </w:rPr>
        <w:lastRenderedPageBreak/>
        <w:t>while lymphocytes decreased during both winter and summer, resulting in an elevated N:L ratio—consistent with stress leukogram patterns. These findings match earlier reports in pigs, goats, and cattle (</w:t>
      </w:r>
      <w:r w:rsidR="00AD73FC">
        <w:rPr>
          <w:rFonts w:ascii="Times New Roman" w:hAnsi="Times New Roman" w:cs="Times New Roman"/>
          <w:sz w:val="24"/>
          <w:szCs w:val="24"/>
        </w:rPr>
        <w:t>3</w:t>
      </w:r>
      <w:r w:rsidR="007F787C">
        <w:rPr>
          <w:rFonts w:ascii="Times New Roman" w:hAnsi="Times New Roman" w:cs="Times New Roman"/>
          <w:sz w:val="24"/>
          <w:szCs w:val="24"/>
        </w:rPr>
        <w:t>6</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3</w:t>
      </w:r>
      <w:r w:rsidR="007F787C">
        <w:rPr>
          <w:rFonts w:ascii="Times New Roman" w:hAnsi="Times New Roman" w:cs="Times New Roman"/>
          <w:sz w:val="24"/>
          <w:szCs w:val="24"/>
        </w:rPr>
        <w:t>8</w:t>
      </w:r>
      <w:r w:rsidR="00AD73FC">
        <w:rPr>
          <w:rFonts w:ascii="Times New Roman" w:hAnsi="Times New Roman" w:cs="Times New Roman"/>
          <w:sz w:val="24"/>
          <w:szCs w:val="24"/>
        </w:rPr>
        <w:t>,</w:t>
      </w:r>
      <w:r w:rsidR="007F787C">
        <w:rPr>
          <w:rFonts w:ascii="Times New Roman" w:hAnsi="Times New Roman" w:cs="Times New Roman"/>
          <w:sz w:val="24"/>
          <w:szCs w:val="24"/>
        </w:rPr>
        <w:t xml:space="preserve"> 39,</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40</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41</w:t>
      </w:r>
      <w:r w:rsidR="00AD73FC">
        <w:rPr>
          <w:rFonts w:ascii="Times New Roman" w:hAnsi="Times New Roman" w:cs="Times New Roman"/>
          <w:sz w:val="24"/>
          <w:szCs w:val="24"/>
        </w:rPr>
        <w:t>, 42</w:t>
      </w:r>
      <w:r w:rsidR="00AF22F0" w:rsidRPr="00AF22F0">
        <w:rPr>
          <w:rFonts w:ascii="Times New Roman" w:hAnsi="Times New Roman" w:cs="Times New Roman"/>
          <w:sz w:val="24"/>
          <w:szCs w:val="24"/>
        </w:rPr>
        <w:t xml:space="preserve">). Heat stress may suppress erythropoiesis, increase respiratory effort, and promote oxidative </w:t>
      </w:r>
      <w:proofErr w:type="spellStart"/>
      <w:r w:rsidR="00AF22F0" w:rsidRPr="00AF22F0">
        <w:rPr>
          <w:rFonts w:ascii="Times New Roman" w:hAnsi="Times New Roman" w:cs="Times New Roman"/>
          <w:sz w:val="24"/>
          <w:szCs w:val="24"/>
        </w:rPr>
        <w:t>hemolysis</w:t>
      </w:r>
      <w:proofErr w:type="spellEnd"/>
      <w:r w:rsidR="00AF22F0" w:rsidRPr="00AF22F0">
        <w:rPr>
          <w:rFonts w:ascii="Times New Roman" w:hAnsi="Times New Roman" w:cs="Times New Roman"/>
          <w:sz w:val="24"/>
          <w:szCs w:val="24"/>
        </w:rPr>
        <w:t xml:space="preserve">, while reduced feed intake may further limit key nutrients required for </w:t>
      </w:r>
      <w:proofErr w:type="spellStart"/>
      <w:r w:rsidR="00AF22F0" w:rsidRPr="00AF22F0">
        <w:rPr>
          <w:rFonts w:ascii="Times New Roman" w:hAnsi="Times New Roman" w:cs="Times New Roman"/>
          <w:sz w:val="24"/>
          <w:szCs w:val="24"/>
        </w:rPr>
        <w:t>hemoglobin</w:t>
      </w:r>
      <w:proofErr w:type="spellEnd"/>
      <w:r w:rsidR="00AF22F0" w:rsidRPr="00AF22F0">
        <w:rPr>
          <w:rFonts w:ascii="Times New Roman" w:hAnsi="Times New Roman" w:cs="Times New Roman"/>
          <w:sz w:val="24"/>
          <w:szCs w:val="24"/>
        </w:rPr>
        <w:t xml:space="preserve"> synthesis.</w:t>
      </w:r>
    </w:p>
    <w:p w14:paraId="7EB5C13C" w14:textId="617F377D" w:rsidR="00AF22F0" w:rsidRDefault="00AF22F0" w:rsidP="00AF22F0">
      <w:pPr>
        <w:spacing w:line="360" w:lineRule="auto"/>
        <w:jc w:val="both"/>
        <w:rPr>
          <w:rFonts w:ascii="Times New Roman" w:hAnsi="Times New Roman" w:cs="Times New Roman"/>
          <w:sz w:val="24"/>
          <w:szCs w:val="24"/>
        </w:rPr>
      </w:pPr>
      <w:r w:rsidRPr="00AF22F0">
        <w:rPr>
          <w:rFonts w:ascii="Times New Roman" w:hAnsi="Times New Roman" w:cs="Times New Roman"/>
          <w:sz w:val="24"/>
          <w:szCs w:val="24"/>
        </w:rPr>
        <w:t>To assess metabolic responses to seasonal stress, we evaluated ALP, AST, GGT, and LDH. AST, GGT, and LDH increased significantly during summer (Table 3). Our results indicate greater cellular stress and leakage of hepatic and muscular enzymes. LDH elevations during heat stress have been widely reported in pigs and cattle (</w:t>
      </w:r>
      <w:r w:rsidR="00F10211" w:rsidRPr="007F787C">
        <w:rPr>
          <w:rFonts w:ascii="Times New Roman" w:hAnsi="Times New Roman" w:cs="Times New Roman"/>
          <w:sz w:val="24"/>
          <w:szCs w:val="24"/>
        </w:rPr>
        <w:t>4</w:t>
      </w:r>
      <w:r w:rsidR="007F787C" w:rsidRPr="007F787C">
        <w:rPr>
          <w:rFonts w:ascii="Times New Roman" w:hAnsi="Times New Roman" w:cs="Times New Roman"/>
          <w:sz w:val="24"/>
          <w:szCs w:val="24"/>
        </w:rPr>
        <w:t>3</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4</w:t>
      </w:r>
      <w:r w:rsidR="007F787C">
        <w:rPr>
          <w:rFonts w:ascii="Times New Roman" w:hAnsi="Times New Roman" w:cs="Times New Roman"/>
          <w:sz w:val="24"/>
          <w:szCs w:val="24"/>
        </w:rPr>
        <w:t>4</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4</w:t>
      </w:r>
      <w:r w:rsidR="007F787C">
        <w:rPr>
          <w:rFonts w:ascii="Times New Roman" w:hAnsi="Times New Roman" w:cs="Times New Roman"/>
          <w:sz w:val="24"/>
          <w:szCs w:val="24"/>
        </w:rPr>
        <w:t>5</w:t>
      </w:r>
      <w:r w:rsidRPr="00AF22F0">
        <w:rPr>
          <w:rFonts w:ascii="Times New Roman" w:hAnsi="Times New Roman" w:cs="Times New Roman"/>
          <w:sz w:val="24"/>
          <w:szCs w:val="24"/>
        </w:rPr>
        <w:t>). GGT also increased in summer and winter, consistent with earlier studies in goats and pigs (</w:t>
      </w:r>
      <w:r w:rsidR="00F10211">
        <w:rPr>
          <w:rFonts w:ascii="Times New Roman" w:hAnsi="Times New Roman" w:cs="Times New Roman"/>
          <w:sz w:val="24"/>
          <w:szCs w:val="24"/>
        </w:rPr>
        <w:t>4</w:t>
      </w:r>
      <w:r w:rsidR="007F787C">
        <w:rPr>
          <w:rFonts w:ascii="Times New Roman" w:hAnsi="Times New Roman" w:cs="Times New Roman"/>
          <w:sz w:val="24"/>
          <w:szCs w:val="24"/>
        </w:rPr>
        <w:t>6</w:t>
      </w:r>
      <w:r w:rsidR="00AD73FC">
        <w:rPr>
          <w:rFonts w:ascii="Times New Roman" w:hAnsi="Times New Roman" w:cs="Times New Roman"/>
          <w:sz w:val="24"/>
          <w:szCs w:val="24"/>
        </w:rPr>
        <w:t xml:space="preserve">, </w:t>
      </w:r>
      <w:r w:rsidR="00F10211">
        <w:rPr>
          <w:rFonts w:ascii="Times New Roman" w:hAnsi="Times New Roman" w:cs="Times New Roman"/>
          <w:sz w:val="24"/>
          <w:szCs w:val="24"/>
        </w:rPr>
        <w:t>4</w:t>
      </w:r>
      <w:r w:rsidR="007F787C">
        <w:rPr>
          <w:rFonts w:ascii="Times New Roman" w:hAnsi="Times New Roman" w:cs="Times New Roman"/>
          <w:sz w:val="24"/>
          <w:szCs w:val="24"/>
        </w:rPr>
        <w:t>7</w:t>
      </w:r>
      <w:r w:rsidRPr="00AF22F0">
        <w:rPr>
          <w:rFonts w:ascii="Times New Roman" w:hAnsi="Times New Roman" w:cs="Times New Roman"/>
          <w:sz w:val="24"/>
          <w:szCs w:val="24"/>
        </w:rPr>
        <w:t>). Although ALP showed a nonsignificant decrease in summer, higher winter ALP activity may reflect compensatory adjustments in vitamin D metabolism (</w:t>
      </w:r>
      <w:r w:rsidR="007F787C">
        <w:rPr>
          <w:rFonts w:ascii="Times New Roman" w:hAnsi="Times New Roman" w:cs="Times New Roman"/>
          <w:sz w:val="24"/>
          <w:szCs w:val="24"/>
        </w:rPr>
        <w:t>39</w:t>
      </w:r>
      <w:r w:rsidRPr="00AF22F0">
        <w:rPr>
          <w:rFonts w:ascii="Times New Roman" w:hAnsi="Times New Roman" w:cs="Times New Roman"/>
          <w:sz w:val="24"/>
          <w:szCs w:val="24"/>
        </w:rPr>
        <w:t>). Seasonal increases in AST and ALT have also been documented across livestock species (</w:t>
      </w:r>
      <w:r w:rsidR="00AD73FC">
        <w:rPr>
          <w:rFonts w:ascii="Times New Roman" w:hAnsi="Times New Roman" w:cs="Times New Roman"/>
          <w:sz w:val="24"/>
          <w:szCs w:val="24"/>
        </w:rPr>
        <w:t>3</w:t>
      </w:r>
      <w:r w:rsidR="007F787C">
        <w:rPr>
          <w:rFonts w:ascii="Times New Roman" w:hAnsi="Times New Roman" w:cs="Times New Roman"/>
          <w:sz w:val="24"/>
          <w:szCs w:val="24"/>
        </w:rPr>
        <w:t>2</w:t>
      </w:r>
      <w:r w:rsidR="00AD73FC">
        <w:rPr>
          <w:rFonts w:ascii="Times New Roman" w:hAnsi="Times New Roman" w:cs="Times New Roman"/>
          <w:sz w:val="24"/>
          <w:szCs w:val="24"/>
        </w:rPr>
        <w:t>, 4</w:t>
      </w:r>
      <w:r w:rsidR="007F787C">
        <w:rPr>
          <w:rFonts w:ascii="Times New Roman" w:hAnsi="Times New Roman" w:cs="Times New Roman"/>
          <w:sz w:val="24"/>
          <w:szCs w:val="24"/>
        </w:rPr>
        <w:t>0</w:t>
      </w:r>
      <w:r w:rsidR="00AD73FC">
        <w:rPr>
          <w:rFonts w:ascii="Times New Roman" w:hAnsi="Times New Roman" w:cs="Times New Roman"/>
          <w:sz w:val="24"/>
          <w:szCs w:val="24"/>
        </w:rPr>
        <w:t>, 4</w:t>
      </w:r>
      <w:r w:rsidR="007F787C">
        <w:rPr>
          <w:rFonts w:ascii="Times New Roman" w:hAnsi="Times New Roman" w:cs="Times New Roman"/>
          <w:sz w:val="24"/>
          <w:szCs w:val="24"/>
        </w:rPr>
        <w:t>5</w:t>
      </w:r>
      <w:r w:rsidR="00AD73FC">
        <w:rPr>
          <w:rFonts w:ascii="Times New Roman" w:hAnsi="Times New Roman" w:cs="Times New Roman"/>
          <w:sz w:val="24"/>
          <w:szCs w:val="24"/>
        </w:rPr>
        <w:t xml:space="preserve">, </w:t>
      </w:r>
      <w:r w:rsidR="007F787C">
        <w:rPr>
          <w:rFonts w:ascii="Times New Roman" w:hAnsi="Times New Roman" w:cs="Times New Roman"/>
          <w:sz w:val="24"/>
          <w:szCs w:val="24"/>
        </w:rPr>
        <w:t>48</w:t>
      </w:r>
      <w:r w:rsidR="00AD73FC">
        <w:rPr>
          <w:rFonts w:ascii="Times New Roman" w:hAnsi="Times New Roman" w:cs="Times New Roman"/>
          <w:sz w:val="24"/>
          <w:szCs w:val="24"/>
        </w:rPr>
        <w:t xml:space="preserve">, </w:t>
      </w:r>
      <w:r w:rsidR="007F787C">
        <w:rPr>
          <w:rFonts w:ascii="Times New Roman" w:hAnsi="Times New Roman" w:cs="Times New Roman"/>
          <w:sz w:val="24"/>
          <w:szCs w:val="24"/>
        </w:rPr>
        <w:t>49</w:t>
      </w:r>
      <w:r w:rsidRPr="00AF22F0">
        <w:rPr>
          <w:rFonts w:ascii="Times New Roman" w:hAnsi="Times New Roman" w:cs="Times New Roman"/>
          <w:sz w:val="24"/>
          <w:szCs w:val="24"/>
        </w:rPr>
        <w:t>).</w:t>
      </w:r>
      <w:r w:rsidR="00ED7848">
        <w:rPr>
          <w:rFonts w:ascii="Times New Roman" w:hAnsi="Times New Roman" w:cs="Times New Roman"/>
          <w:sz w:val="24"/>
          <w:szCs w:val="24"/>
        </w:rPr>
        <w:t xml:space="preserve"> T</w:t>
      </w:r>
      <w:r w:rsidR="00ED7848" w:rsidRPr="00ED7848">
        <w:rPr>
          <w:rFonts w:ascii="Times New Roman" w:hAnsi="Times New Roman" w:cs="Times New Roman"/>
          <w:sz w:val="24"/>
          <w:szCs w:val="24"/>
        </w:rPr>
        <w:t>hese enzyme shifts</w:t>
      </w:r>
      <w:r w:rsidR="00ED7848">
        <w:rPr>
          <w:rFonts w:ascii="Times New Roman" w:hAnsi="Times New Roman" w:cs="Times New Roman"/>
          <w:sz w:val="24"/>
          <w:szCs w:val="24"/>
        </w:rPr>
        <w:t xml:space="preserve"> </w:t>
      </w:r>
      <w:r w:rsidR="00ED7848" w:rsidRPr="00ED7848">
        <w:rPr>
          <w:rFonts w:ascii="Times New Roman" w:hAnsi="Times New Roman" w:cs="Times New Roman"/>
          <w:sz w:val="24"/>
          <w:szCs w:val="24"/>
        </w:rPr>
        <w:t>highlight a marked physiological challenge during summer, characterized by increased cellular leakage and altered hepatic and muscular function.</w:t>
      </w:r>
    </w:p>
    <w:p w14:paraId="600B7BF4" w14:textId="202B88C6" w:rsidR="009077F2" w:rsidRPr="009077F2" w:rsidRDefault="009077F2" w:rsidP="00AF22F0">
      <w:pPr>
        <w:spacing w:line="360" w:lineRule="auto"/>
        <w:jc w:val="both"/>
        <w:rPr>
          <w:rFonts w:ascii="Times New Roman" w:hAnsi="Times New Roman" w:cs="Times New Roman"/>
          <w:sz w:val="24"/>
          <w:szCs w:val="24"/>
        </w:rPr>
      </w:pPr>
      <w:r w:rsidRPr="009077F2">
        <w:rPr>
          <w:rFonts w:ascii="Times New Roman" w:hAnsi="Times New Roman" w:cs="Times New Roman"/>
          <w:sz w:val="24"/>
          <w:szCs w:val="24"/>
        </w:rPr>
        <w:t>Effective management of heat stress is crucial for maintaining livestock health and performance. Taurine and functional feed additives, such as probiotics, prebiotics, and phytochemicals, support growth, gut health, and immune function while mitigating oxidative and inflammatory effects of heat stress (</w:t>
      </w:r>
      <w:r>
        <w:rPr>
          <w:rFonts w:ascii="Times New Roman" w:hAnsi="Times New Roman" w:cs="Times New Roman"/>
          <w:sz w:val="24"/>
          <w:szCs w:val="24"/>
        </w:rPr>
        <w:t>50</w:t>
      </w:r>
      <w:r w:rsidR="009850F3">
        <w:rPr>
          <w:rFonts w:ascii="Times New Roman" w:hAnsi="Times New Roman" w:cs="Times New Roman"/>
          <w:sz w:val="24"/>
          <w:szCs w:val="24"/>
        </w:rPr>
        <w:t xml:space="preserve">, </w:t>
      </w:r>
      <w:r>
        <w:rPr>
          <w:rFonts w:ascii="Times New Roman" w:hAnsi="Times New Roman" w:cs="Times New Roman"/>
          <w:sz w:val="24"/>
          <w:szCs w:val="24"/>
        </w:rPr>
        <w:t>51</w:t>
      </w:r>
      <w:r w:rsidRPr="009077F2">
        <w:rPr>
          <w:rFonts w:ascii="Times New Roman" w:hAnsi="Times New Roman" w:cs="Times New Roman"/>
          <w:sz w:val="24"/>
          <w:szCs w:val="24"/>
        </w:rPr>
        <w:t>). Environmental strategies, including cooling systems and optimized housing with shading and reflective materials, further reduce heat load and energy expenditure, stabilizing the animal’s microclimate (</w:t>
      </w:r>
      <w:r>
        <w:rPr>
          <w:rFonts w:ascii="Times New Roman" w:hAnsi="Times New Roman" w:cs="Times New Roman"/>
          <w:sz w:val="24"/>
          <w:szCs w:val="24"/>
        </w:rPr>
        <w:t>52</w:t>
      </w:r>
      <w:r w:rsidR="009850F3">
        <w:rPr>
          <w:rFonts w:ascii="Times New Roman" w:hAnsi="Times New Roman" w:cs="Times New Roman"/>
          <w:sz w:val="24"/>
          <w:szCs w:val="24"/>
        </w:rPr>
        <w:t xml:space="preserve">, </w:t>
      </w:r>
      <w:r>
        <w:rPr>
          <w:rFonts w:ascii="Times New Roman" w:hAnsi="Times New Roman" w:cs="Times New Roman"/>
          <w:sz w:val="24"/>
          <w:szCs w:val="24"/>
        </w:rPr>
        <w:t>53</w:t>
      </w:r>
      <w:r w:rsidRPr="009077F2">
        <w:rPr>
          <w:rFonts w:ascii="Times New Roman" w:hAnsi="Times New Roman" w:cs="Times New Roman"/>
          <w:sz w:val="24"/>
          <w:szCs w:val="24"/>
        </w:rPr>
        <w:t>). Together, nutritional and environmental strategies can substantially mitigate the adverse effects of high ambient temperatures on animal welfare and productivity.</w:t>
      </w:r>
    </w:p>
    <w:p w14:paraId="03FDAC91" w14:textId="6EE5BDF8" w:rsidR="00AA4F45" w:rsidRPr="00AA4F45" w:rsidRDefault="00AA4F45" w:rsidP="00F348F0">
      <w:pPr>
        <w:spacing w:line="360" w:lineRule="auto"/>
        <w:jc w:val="both"/>
        <w:rPr>
          <w:rFonts w:ascii="Times New Roman" w:hAnsi="Times New Roman" w:cs="Times New Roman"/>
          <w:b/>
          <w:bCs/>
          <w:sz w:val="24"/>
          <w:szCs w:val="24"/>
        </w:rPr>
      </w:pPr>
      <w:r w:rsidRPr="00AA4F45">
        <w:rPr>
          <w:rFonts w:ascii="Times New Roman" w:hAnsi="Times New Roman" w:cs="Times New Roman"/>
          <w:b/>
          <w:bCs/>
          <w:sz w:val="24"/>
          <w:szCs w:val="24"/>
          <w:highlight w:val="yellow"/>
        </w:rPr>
        <w:t>CONCLUSION</w:t>
      </w:r>
    </w:p>
    <w:p w14:paraId="3DBACC3C" w14:textId="12167E73" w:rsidR="00F44422" w:rsidRDefault="00F44422" w:rsidP="00F348F0">
      <w:pPr>
        <w:spacing w:line="360" w:lineRule="auto"/>
        <w:jc w:val="both"/>
        <w:rPr>
          <w:rFonts w:ascii="Times New Roman" w:hAnsi="Times New Roman" w:cs="Times New Roman"/>
          <w:sz w:val="24"/>
          <w:szCs w:val="24"/>
        </w:rPr>
      </w:pPr>
      <w:r w:rsidRPr="000733D3">
        <w:rPr>
          <w:rFonts w:ascii="Times New Roman" w:hAnsi="Times New Roman" w:cs="Times New Roman"/>
          <w:sz w:val="24"/>
          <w:szCs w:val="24"/>
        </w:rPr>
        <w:t xml:space="preserve">Overall, the present study demonstrates that seasonal stress especially heat stress induces a marked oxidative burden in Yorkshire pigs, characterized by elevated glutathione reductase activity, depleted GSH levels, and increased erythrocytic lipid peroxidation. These oxidative disruptions appear to compromise cellular and membrane integrity, contributing to altered </w:t>
      </w:r>
      <w:proofErr w:type="spellStart"/>
      <w:r w:rsidRPr="000733D3">
        <w:rPr>
          <w:rFonts w:ascii="Times New Roman" w:hAnsi="Times New Roman" w:cs="Times New Roman"/>
          <w:sz w:val="24"/>
          <w:szCs w:val="24"/>
        </w:rPr>
        <w:t>hematological</w:t>
      </w:r>
      <w:proofErr w:type="spellEnd"/>
      <w:r w:rsidRPr="000733D3">
        <w:rPr>
          <w:rFonts w:ascii="Times New Roman" w:hAnsi="Times New Roman" w:cs="Times New Roman"/>
          <w:sz w:val="24"/>
          <w:szCs w:val="24"/>
        </w:rPr>
        <w:t xml:space="preserve"> profiles, including reduced Hb, PCV and TLC, alongside shifts in neutrophil and lymphocyte proportions. Concurrent elevations in metabolic enzymes such as AST, GGT and LDH further indicate seasonal stress related alterations in hepatic and muscular cellular function, likely driven by oxidative damage and metabolic shifts such as increased gluconeogenesis during reduced feed intake. Collectively, these findings highlight the profound physiological strain imposed by extreme seasonal temperatures, underscoring </w:t>
      </w:r>
      <w:r w:rsidRPr="000733D3">
        <w:rPr>
          <w:rFonts w:ascii="Times New Roman" w:hAnsi="Times New Roman" w:cs="Times New Roman"/>
          <w:sz w:val="24"/>
          <w:szCs w:val="24"/>
        </w:rPr>
        <w:lastRenderedPageBreak/>
        <w:t>the need for targeted management strategies to mitigate heat induced oxidative and metabolic disturbances in pigs.</w:t>
      </w:r>
    </w:p>
    <w:p w14:paraId="79EF1584" w14:textId="77777777" w:rsidR="00495488" w:rsidRPr="003A24E3" w:rsidRDefault="00495488" w:rsidP="00495488">
      <w:pPr>
        <w:spacing w:after="0" w:line="360" w:lineRule="auto"/>
        <w:jc w:val="both"/>
        <w:rPr>
          <w:rFonts w:ascii="Times New Roman" w:hAnsi="Times New Roman" w:cs="Times New Roman"/>
          <w:sz w:val="24"/>
          <w:szCs w:val="24"/>
        </w:rPr>
      </w:pPr>
      <w:r w:rsidRPr="003A24E3">
        <w:rPr>
          <w:rFonts w:ascii="Times New Roman" w:hAnsi="Times New Roman" w:cs="Times New Roman"/>
          <w:b/>
          <w:sz w:val="24"/>
          <w:szCs w:val="24"/>
        </w:rPr>
        <w:t>Acknowledgments</w:t>
      </w:r>
    </w:p>
    <w:p w14:paraId="64196E66" w14:textId="77777777" w:rsidR="00495488" w:rsidRPr="003A24E3" w:rsidRDefault="00495488" w:rsidP="00495488">
      <w:pPr>
        <w:spacing w:line="360" w:lineRule="auto"/>
        <w:jc w:val="both"/>
        <w:rPr>
          <w:rFonts w:ascii="Times New Roman" w:hAnsi="Times New Roman" w:cs="Times New Roman"/>
          <w:sz w:val="24"/>
          <w:szCs w:val="24"/>
          <w:lang w:val="en-US"/>
        </w:rPr>
      </w:pPr>
      <w:bookmarkStart w:id="2" w:name="_Hlk85563301"/>
      <w:r w:rsidRPr="003A24E3">
        <w:rPr>
          <w:rFonts w:ascii="Times New Roman" w:hAnsi="Times New Roman" w:cs="Times New Roman"/>
          <w:sz w:val="24"/>
          <w:szCs w:val="24"/>
          <w:lang w:val="en-US"/>
        </w:rPr>
        <w:t>The authors would like to share their gratitude to the Dean, College of Veterinary Science and Director of Research, GADVASU, Ludhiana for providing the infrastructure and other necessary facilities to perform this research.</w:t>
      </w:r>
    </w:p>
    <w:bookmarkEnd w:id="2"/>
    <w:p w14:paraId="3EAD2C3A" w14:textId="77777777" w:rsidR="00495488" w:rsidRPr="00495488" w:rsidRDefault="00495488" w:rsidP="00495488">
      <w:pPr>
        <w:pStyle w:val="Heading2"/>
        <w:keepNext w:val="0"/>
        <w:keepLines w:val="0"/>
        <w:spacing w:line="360" w:lineRule="auto"/>
        <w:jc w:val="both"/>
        <w:rPr>
          <w:rFonts w:ascii="Times New Roman" w:hAnsi="Times New Roman" w:cs="Times New Roman"/>
          <w:b/>
          <w:color w:val="auto"/>
          <w:sz w:val="24"/>
          <w:szCs w:val="20"/>
        </w:rPr>
      </w:pPr>
      <w:r w:rsidRPr="00495488">
        <w:rPr>
          <w:rFonts w:ascii="Times New Roman" w:hAnsi="Times New Roman" w:cs="Times New Roman"/>
          <w:b/>
          <w:color w:val="auto"/>
          <w:sz w:val="24"/>
          <w:szCs w:val="20"/>
        </w:rPr>
        <w:t>Conflict of interest</w:t>
      </w:r>
    </w:p>
    <w:p w14:paraId="4A9C922A" w14:textId="20B1138E" w:rsidR="0008346E" w:rsidRDefault="00495488" w:rsidP="00F348F0">
      <w:pPr>
        <w:spacing w:line="360" w:lineRule="auto"/>
        <w:jc w:val="both"/>
        <w:rPr>
          <w:rFonts w:ascii="Times New Roman" w:hAnsi="Times New Roman" w:cs="Times New Roman"/>
          <w:sz w:val="24"/>
          <w:szCs w:val="24"/>
        </w:rPr>
      </w:pPr>
      <w:r w:rsidRPr="003A24E3">
        <w:rPr>
          <w:rFonts w:ascii="Times New Roman" w:hAnsi="Times New Roman" w:cs="Times New Roman"/>
          <w:sz w:val="24"/>
          <w:szCs w:val="24"/>
        </w:rPr>
        <w:t>None reported.</w:t>
      </w:r>
    </w:p>
    <w:p w14:paraId="512376CE" w14:textId="77777777" w:rsidR="0008346E" w:rsidRDefault="0008346E" w:rsidP="0008346E">
      <w:pPr>
        <w:rPr>
          <w:rFonts w:ascii="Calibri" w:eastAsia="Calibri" w:hAnsi="Calibri" w:cs="Times New Roman"/>
          <w:highlight w:val="yellow"/>
          <w:lang w:val="en-US"/>
        </w:rPr>
      </w:pPr>
      <w:bookmarkStart w:id="3" w:name="_Hlk204003461"/>
      <w:bookmarkStart w:id="4" w:name="_Hlk213070710"/>
      <w:r>
        <w:rPr>
          <w:rFonts w:ascii="Calibri" w:eastAsia="Calibri" w:hAnsi="Calibri" w:cs="Times New Roman"/>
          <w:highlight w:val="yellow"/>
          <w:lang w:val="en-US"/>
        </w:rPr>
        <w:t>Disclaimer (Artificial intelligence)</w:t>
      </w:r>
    </w:p>
    <w:p w14:paraId="64B897BC" w14:textId="77777777" w:rsidR="0008346E" w:rsidRDefault="0008346E" w:rsidP="0008346E">
      <w:pPr>
        <w:rPr>
          <w:rFonts w:ascii="Calibri" w:eastAsia="Calibri" w:hAnsi="Calibri" w:cs="Times New Roman"/>
          <w:highlight w:val="yellow"/>
          <w:lang w:val="en-US"/>
        </w:rPr>
      </w:pPr>
      <w:bookmarkStart w:id="5" w:name="_GoBack"/>
      <w:bookmarkEnd w:id="5"/>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6127DBAD" w14:textId="77777777" w:rsidR="0008346E" w:rsidRPr="000733D3" w:rsidRDefault="0008346E" w:rsidP="00F348F0">
      <w:pPr>
        <w:spacing w:line="360" w:lineRule="auto"/>
        <w:jc w:val="both"/>
        <w:rPr>
          <w:rFonts w:ascii="Times New Roman" w:hAnsi="Times New Roman" w:cs="Times New Roman"/>
          <w:sz w:val="24"/>
          <w:szCs w:val="24"/>
        </w:rPr>
      </w:pPr>
    </w:p>
    <w:p w14:paraId="58A93AF3" w14:textId="77777777" w:rsidR="00AE55CE" w:rsidRPr="000733D3" w:rsidRDefault="00AE55CE" w:rsidP="00AE55CE">
      <w:pPr>
        <w:pStyle w:val="Heading1"/>
        <w:spacing w:line="360" w:lineRule="auto"/>
        <w:jc w:val="both"/>
        <w:rPr>
          <w:rFonts w:ascii="Times New Roman" w:hAnsi="Times New Roman" w:cs="Times New Roman"/>
          <w:b/>
          <w:color w:val="auto"/>
          <w:sz w:val="24"/>
          <w:szCs w:val="24"/>
        </w:rPr>
      </w:pPr>
      <w:r w:rsidRPr="000733D3">
        <w:rPr>
          <w:rFonts w:ascii="Times New Roman" w:hAnsi="Times New Roman" w:cs="Times New Roman"/>
          <w:b/>
          <w:color w:val="auto"/>
          <w:sz w:val="24"/>
          <w:szCs w:val="24"/>
        </w:rPr>
        <w:t>References</w:t>
      </w:r>
    </w:p>
    <w:p w14:paraId="611E5AA5" w14:textId="5C3B16E4"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Singh, A. </w:t>
      </w:r>
      <w:r w:rsidR="00981540">
        <w:rPr>
          <w:rFonts w:ascii="Times New Roman" w:hAnsi="Times New Roman" w:cs="Times New Roman"/>
          <w:sz w:val="24"/>
          <w:szCs w:val="24"/>
        </w:rPr>
        <w:t>(</w:t>
      </w:r>
      <w:r w:rsidRPr="00AD73FC">
        <w:rPr>
          <w:rFonts w:ascii="Times New Roman" w:hAnsi="Times New Roman" w:cs="Times New Roman"/>
          <w:sz w:val="24"/>
          <w:szCs w:val="24"/>
        </w:rPr>
        <w:t>2020</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Livestock Production Statistics of India–2019. Originally uploaded at www. </w:t>
      </w:r>
      <w:proofErr w:type="spellStart"/>
      <w:r w:rsidRPr="00AD73FC">
        <w:rPr>
          <w:rFonts w:ascii="Times New Roman" w:hAnsi="Times New Roman" w:cs="Times New Roman"/>
          <w:sz w:val="24"/>
          <w:szCs w:val="24"/>
        </w:rPr>
        <w:t>vetextension</w:t>
      </w:r>
      <w:proofErr w:type="spellEnd"/>
      <w:r w:rsidRPr="00AD73FC">
        <w:rPr>
          <w:rFonts w:ascii="Times New Roman" w:hAnsi="Times New Roman" w:cs="Times New Roman"/>
          <w:sz w:val="24"/>
          <w:szCs w:val="24"/>
        </w:rPr>
        <w:t xml:space="preserve">. com and updated till, 9, 19. </w:t>
      </w:r>
      <w:r w:rsidR="00906BF9" w:rsidRPr="00906BF9">
        <w:rPr>
          <w:rFonts w:ascii="Times New Roman" w:hAnsi="Times New Roman" w:cs="Times New Roman"/>
          <w:sz w:val="24"/>
          <w:szCs w:val="24"/>
        </w:rPr>
        <w:t>DOI: 10.13140/RG.2.2.32034.86721</w:t>
      </w:r>
    </w:p>
    <w:p w14:paraId="03221825" w14:textId="1327D26C" w:rsidR="00A43499" w:rsidRDefault="00A43499" w:rsidP="00AD73FC">
      <w:pPr>
        <w:pStyle w:val="ListParagraph"/>
        <w:numPr>
          <w:ilvl w:val="0"/>
          <w:numId w:val="4"/>
        </w:numPr>
        <w:spacing w:line="360" w:lineRule="auto"/>
        <w:jc w:val="both"/>
        <w:rPr>
          <w:rFonts w:ascii="Times New Roman" w:hAnsi="Times New Roman" w:cs="Times New Roman"/>
          <w:sz w:val="24"/>
          <w:szCs w:val="24"/>
        </w:rPr>
      </w:pPr>
      <w:r w:rsidRPr="00A43499">
        <w:rPr>
          <w:rFonts w:ascii="Times New Roman" w:hAnsi="Times New Roman" w:cs="Times New Roman"/>
          <w:sz w:val="24"/>
          <w:szCs w:val="24"/>
        </w:rPr>
        <w:t xml:space="preserve">Knap, P. W., Knol, E. F., Sørensen, A. C., Huisman, A. E., van der Spek, D., Zak, L. J., ... &amp; Lewis, C. R. </w:t>
      </w:r>
      <w:r w:rsidR="00981540">
        <w:rPr>
          <w:rFonts w:ascii="Times New Roman" w:hAnsi="Times New Roman" w:cs="Times New Roman"/>
          <w:sz w:val="24"/>
          <w:szCs w:val="24"/>
        </w:rPr>
        <w:t>(</w:t>
      </w:r>
      <w:r w:rsidRPr="00A43499">
        <w:rPr>
          <w:rFonts w:ascii="Times New Roman" w:hAnsi="Times New Roman" w:cs="Times New Roman"/>
          <w:sz w:val="24"/>
          <w:szCs w:val="24"/>
        </w:rPr>
        <w:t>2023</w:t>
      </w:r>
      <w:r w:rsidR="00981540">
        <w:rPr>
          <w:rFonts w:ascii="Times New Roman" w:hAnsi="Times New Roman" w:cs="Times New Roman"/>
          <w:sz w:val="24"/>
          <w:szCs w:val="24"/>
        </w:rPr>
        <w:t>)</w:t>
      </w:r>
      <w:r w:rsidRPr="00A43499">
        <w:rPr>
          <w:rFonts w:ascii="Times New Roman" w:hAnsi="Times New Roman" w:cs="Times New Roman"/>
          <w:sz w:val="24"/>
          <w:szCs w:val="24"/>
        </w:rPr>
        <w:t>. Genetic and phenotypic time trends of litter size, piglet mortality, and birth weight in pigs. </w:t>
      </w:r>
      <w:r w:rsidRPr="00A43499">
        <w:rPr>
          <w:rFonts w:ascii="Times New Roman" w:hAnsi="Times New Roman" w:cs="Times New Roman"/>
          <w:i/>
          <w:iCs/>
          <w:sz w:val="24"/>
          <w:szCs w:val="24"/>
        </w:rPr>
        <w:t>Frontiers in Animal Science</w:t>
      </w:r>
      <w:r w:rsidRPr="00A43499">
        <w:rPr>
          <w:rFonts w:ascii="Times New Roman" w:hAnsi="Times New Roman" w:cs="Times New Roman"/>
          <w:sz w:val="24"/>
          <w:szCs w:val="24"/>
        </w:rPr>
        <w:t>, </w:t>
      </w:r>
      <w:r w:rsidRPr="00A43499">
        <w:rPr>
          <w:rFonts w:ascii="Times New Roman" w:hAnsi="Times New Roman" w:cs="Times New Roman"/>
          <w:i/>
          <w:iCs/>
          <w:sz w:val="24"/>
          <w:szCs w:val="24"/>
        </w:rPr>
        <w:t>4</w:t>
      </w:r>
      <w:r w:rsidRPr="00A43499">
        <w:rPr>
          <w:rFonts w:ascii="Times New Roman" w:hAnsi="Times New Roman" w:cs="Times New Roman"/>
          <w:sz w:val="24"/>
          <w:szCs w:val="24"/>
        </w:rPr>
        <w:t xml:space="preserve">, 1218175. </w:t>
      </w:r>
      <w:hyperlink r:id="rId7" w:history="1">
        <w:r w:rsidRPr="00A43499">
          <w:rPr>
            <w:rStyle w:val="Hyperlink"/>
            <w:rFonts w:ascii="Times New Roman" w:hAnsi="Times New Roman" w:cs="Times New Roman"/>
            <w:sz w:val="24"/>
            <w:szCs w:val="24"/>
          </w:rPr>
          <w:t>https://doi.org/10.3389/fanim.2023.1218175</w:t>
        </w:r>
      </w:hyperlink>
    </w:p>
    <w:p w14:paraId="22B59D91" w14:textId="6722F93F"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Cheng, M.; McCarl, B.; Fei, C. </w:t>
      </w:r>
      <w:r w:rsidR="00981540">
        <w:rPr>
          <w:rFonts w:ascii="Times New Roman" w:hAnsi="Times New Roman" w:cs="Times New Roman"/>
          <w:sz w:val="24"/>
          <w:szCs w:val="24"/>
        </w:rPr>
        <w:t>(</w:t>
      </w:r>
      <w:r w:rsidRPr="00AD73FC">
        <w:rPr>
          <w:rFonts w:ascii="Times New Roman" w:hAnsi="Times New Roman" w:cs="Times New Roman"/>
          <w:sz w:val="24"/>
          <w:szCs w:val="24"/>
        </w:rPr>
        <w:t>2022</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Climate Change and Livestock Production: A Literature Review. Atmosphere, 13, 140. </w:t>
      </w:r>
      <w:hyperlink r:id="rId8" w:history="1">
        <w:r w:rsidRPr="00AD73FC">
          <w:rPr>
            <w:rStyle w:val="Hyperlink"/>
            <w:rFonts w:ascii="Times New Roman" w:hAnsi="Times New Roman" w:cs="Times New Roman"/>
            <w:color w:val="auto"/>
            <w:sz w:val="24"/>
            <w:szCs w:val="24"/>
            <w:u w:val="none"/>
          </w:rPr>
          <w:t>https://doi.org/10.3390/atmos13010140</w:t>
        </w:r>
      </w:hyperlink>
      <w:r w:rsidRPr="00AD73FC">
        <w:rPr>
          <w:rFonts w:ascii="Times New Roman" w:hAnsi="Times New Roman" w:cs="Times New Roman"/>
          <w:sz w:val="24"/>
          <w:szCs w:val="24"/>
        </w:rPr>
        <w:t>.</w:t>
      </w:r>
    </w:p>
    <w:p w14:paraId="6517A3F5" w14:textId="01EDE0D1"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Prates, J. A. (2025). Heat Stress Effects on Animal Health and Performance in Monogastric Livestock: Physiological Responses, Molecular Mechanisms, and Management Interventions. </w:t>
      </w:r>
      <w:r w:rsidRPr="00AD73FC">
        <w:rPr>
          <w:rFonts w:ascii="Times New Roman" w:hAnsi="Times New Roman" w:cs="Times New Roman"/>
          <w:i/>
          <w:iCs/>
          <w:sz w:val="24"/>
          <w:szCs w:val="24"/>
        </w:rPr>
        <w:t>Veterinary Sciences</w:t>
      </w:r>
      <w:r w:rsidRPr="00AD73FC">
        <w:rPr>
          <w:rFonts w:ascii="Times New Roman" w:hAnsi="Times New Roman" w:cs="Times New Roman"/>
          <w:sz w:val="24"/>
          <w:szCs w:val="24"/>
        </w:rPr>
        <w:t>, </w:t>
      </w:r>
      <w:r w:rsidRPr="00AD73FC">
        <w:rPr>
          <w:rFonts w:ascii="Times New Roman" w:hAnsi="Times New Roman" w:cs="Times New Roman"/>
          <w:i/>
          <w:iCs/>
          <w:sz w:val="24"/>
          <w:szCs w:val="24"/>
        </w:rPr>
        <w:t>12</w:t>
      </w:r>
      <w:r w:rsidRPr="00AD73FC">
        <w:rPr>
          <w:rFonts w:ascii="Times New Roman" w:hAnsi="Times New Roman" w:cs="Times New Roman"/>
          <w:sz w:val="24"/>
          <w:szCs w:val="24"/>
        </w:rPr>
        <w:t>(5), 429.</w:t>
      </w:r>
      <w:r w:rsidRPr="00AD73FC">
        <w:rPr>
          <w:rFonts w:ascii="Bahnschrift" w:hAnsi="Bahnschrift"/>
          <w:color w:val="1B1B1B"/>
          <w:sz w:val="25"/>
          <w:szCs w:val="25"/>
          <w:shd w:val="clear" w:color="auto" w:fill="FFFFFF"/>
        </w:rPr>
        <w:t xml:space="preserve"> </w:t>
      </w:r>
      <w:proofErr w:type="spellStart"/>
      <w:r w:rsidRPr="00AD73FC">
        <w:rPr>
          <w:rFonts w:ascii="Times New Roman" w:hAnsi="Times New Roman" w:cs="Times New Roman"/>
          <w:sz w:val="24"/>
          <w:szCs w:val="24"/>
        </w:rPr>
        <w:t>doi</w:t>
      </w:r>
      <w:proofErr w:type="spellEnd"/>
      <w:r w:rsidRPr="00AD73FC">
        <w:rPr>
          <w:rFonts w:ascii="Times New Roman" w:hAnsi="Times New Roman" w:cs="Times New Roman"/>
          <w:sz w:val="24"/>
          <w:szCs w:val="24"/>
        </w:rPr>
        <w:t>: </w:t>
      </w:r>
      <w:hyperlink r:id="rId9" w:tgtFrame="_blank" w:history="1">
        <w:r w:rsidRPr="00AD73FC">
          <w:rPr>
            <w:rStyle w:val="Hyperlink"/>
            <w:rFonts w:ascii="Times New Roman" w:hAnsi="Times New Roman" w:cs="Times New Roman"/>
            <w:sz w:val="24"/>
            <w:szCs w:val="24"/>
          </w:rPr>
          <w:t>10.3390/vetsci12050429</w:t>
        </w:r>
      </w:hyperlink>
    </w:p>
    <w:p w14:paraId="5EF19BE7" w14:textId="66F9FC42" w:rsidR="00C61FA3" w:rsidRPr="00AD73FC" w:rsidRDefault="00906BF9" w:rsidP="00AD73FC">
      <w:pPr>
        <w:pStyle w:val="ListParagraph"/>
        <w:numPr>
          <w:ilvl w:val="0"/>
          <w:numId w:val="4"/>
        </w:numPr>
        <w:spacing w:line="360" w:lineRule="auto"/>
        <w:jc w:val="both"/>
        <w:rPr>
          <w:rFonts w:ascii="Times New Roman" w:hAnsi="Times New Roman" w:cs="Times New Roman"/>
          <w:sz w:val="24"/>
          <w:szCs w:val="24"/>
        </w:rPr>
      </w:pPr>
      <w:r w:rsidRPr="00906BF9">
        <w:rPr>
          <w:rFonts w:ascii="Times New Roman" w:hAnsi="Times New Roman" w:cs="Times New Roman"/>
          <w:sz w:val="24"/>
          <w:szCs w:val="24"/>
        </w:rPr>
        <w:t>Edition, T. (2001). Glossary of terms for thermal physiology. </w:t>
      </w:r>
      <w:r w:rsidRPr="00906BF9">
        <w:rPr>
          <w:rFonts w:ascii="Times New Roman" w:hAnsi="Times New Roman" w:cs="Times New Roman"/>
          <w:i/>
          <w:iCs/>
          <w:sz w:val="24"/>
          <w:szCs w:val="24"/>
        </w:rPr>
        <w:t>The Japanese Journal of Physiology</w:t>
      </w:r>
      <w:r w:rsidRPr="00906BF9">
        <w:rPr>
          <w:rFonts w:ascii="Times New Roman" w:hAnsi="Times New Roman" w:cs="Times New Roman"/>
          <w:sz w:val="24"/>
          <w:szCs w:val="24"/>
        </w:rPr>
        <w:t>, </w:t>
      </w:r>
      <w:r w:rsidRPr="00906BF9">
        <w:rPr>
          <w:rFonts w:ascii="Times New Roman" w:hAnsi="Times New Roman" w:cs="Times New Roman"/>
          <w:i/>
          <w:iCs/>
          <w:sz w:val="24"/>
          <w:szCs w:val="24"/>
        </w:rPr>
        <w:t>51</w:t>
      </w:r>
      <w:r w:rsidRPr="00906BF9">
        <w:rPr>
          <w:rFonts w:ascii="Times New Roman" w:hAnsi="Times New Roman" w:cs="Times New Roman"/>
          <w:sz w:val="24"/>
          <w:szCs w:val="24"/>
        </w:rPr>
        <w:t>(2), 245.</w:t>
      </w:r>
    </w:p>
    <w:p w14:paraId="57967462" w14:textId="6AF29E73"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EFSA Panel on Animal Health and Welfare (AHAW), Nielsen, S. S., Alvarez, J., </w:t>
      </w:r>
      <w:proofErr w:type="spellStart"/>
      <w:r w:rsidRPr="00AD73FC">
        <w:rPr>
          <w:rFonts w:ascii="Times New Roman" w:hAnsi="Times New Roman" w:cs="Times New Roman"/>
          <w:sz w:val="24"/>
          <w:szCs w:val="24"/>
        </w:rPr>
        <w:t>Bicout</w:t>
      </w:r>
      <w:proofErr w:type="spellEnd"/>
      <w:r w:rsidRPr="00AD73FC">
        <w:rPr>
          <w:rFonts w:ascii="Times New Roman" w:hAnsi="Times New Roman" w:cs="Times New Roman"/>
          <w:sz w:val="24"/>
          <w:szCs w:val="24"/>
        </w:rPr>
        <w:t xml:space="preserve">, D. J., </w:t>
      </w:r>
      <w:proofErr w:type="spellStart"/>
      <w:r w:rsidRPr="00AD73FC">
        <w:rPr>
          <w:rFonts w:ascii="Times New Roman" w:hAnsi="Times New Roman" w:cs="Times New Roman"/>
          <w:sz w:val="24"/>
          <w:szCs w:val="24"/>
        </w:rPr>
        <w:t>Calistri</w:t>
      </w:r>
      <w:proofErr w:type="spellEnd"/>
      <w:r w:rsidRPr="00AD73FC">
        <w:rPr>
          <w:rFonts w:ascii="Times New Roman" w:hAnsi="Times New Roman" w:cs="Times New Roman"/>
          <w:sz w:val="24"/>
          <w:szCs w:val="24"/>
        </w:rPr>
        <w:t xml:space="preserve">, P., Depner, K., ... &amp; Velarde, A. </w:t>
      </w:r>
      <w:r w:rsidR="00981540">
        <w:rPr>
          <w:rFonts w:ascii="Times New Roman" w:hAnsi="Times New Roman" w:cs="Times New Roman"/>
          <w:sz w:val="24"/>
          <w:szCs w:val="24"/>
        </w:rPr>
        <w:t>(</w:t>
      </w:r>
      <w:r w:rsidRPr="00AD73FC">
        <w:rPr>
          <w:rFonts w:ascii="Times New Roman" w:hAnsi="Times New Roman" w:cs="Times New Roman"/>
          <w:sz w:val="24"/>
          <w:szCs w:val="24"/>
        </w:rPr>
        <w:t>2020</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Welfare of pigs at slaughter. Efsa Journal, 18(6), e06148. </w:t>
      </w:r>
      <w:r w:rsidR="00A43499" w:rsidRPr="00A43499">
        <w:rPr>
          <w:rFonts w:ascii="Times New Roman" w:hAnsi="Times New Roman" w:cs="Times New Roman"/>
          <w:sz w:val="24"/>
          <w:szCs w:val="24"/>
        </w:rPr>
        <w:t>DOI: 10.2903/j.efsa.2020.6148</w:t>
      </w:r>
    </w:p>
    <w:p w14:paraId="41FBC412" w14:textId="5C3A706D"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Mayorga, E. J., </w:t>
      </w:r>
      <w:proofErr w:type="spellStart"/>
      <w:r w:rsidRPr="00AD73FC">
        <w:rPr>
          <w:rFonts w:ascii="Times New Roman" w:hAnsi="Times New Roman" w:cs="Times New Roman"/>
          <w:sz w:val="24"/>
          <w:szCs w:val="24"/>
        </w:rPr>
        <w:t>Renaudeau</w:t>
      </w:r>
      <w:proofErr w:type="spellEnd"/>
      <w:r w:rsidRPr="00AD73FC">
        <w:rPr>
          <w:rFonts w:ascii="Times New Roman" w:hAnsi="Times New Roman" w:cs="Times New Roman"/>
          <w:sz w:val="24"/>
          <w:szCs w:val="24"/>
        </w:rPr>
        <w:t xml:space="preserve">, D., Ramirez, B. C., Ross, J. W., &amp; Baumgard, L. H. </w:t>
      </w:r>
      <w:r w:rsidR="00981540">
        <w:rPr>
          <w:rFonts w:ascii="Times New Roman" w:hAnsi="Times New Roman" w:cs="Times New Roman"/>
          <w:sz w:val="24"/>
          <w:szCs w:val="24"/>
        </w:rPr>
        <w:t>(</w:t>
      </w:r>
      <w:r w:rsidRPr="00AD73FC">
        <w:rPr>
          <w:rFonts w:ascii="Times New Roman" w:hAnsi="Times New Roman" w:cs="Times New Roman"/>
          <w:sz w:val="24"/>
          <w:szCs w:val="24"/>
        </w:rPr>
        <w:t>2019</w:t>
      </w:r>
      <w:r w:rsidR="00981540">
        <w:rPr>
          <w:rFonts w:ascii="Times New Roman" w:hAnsi="Times New Roman" w:cs="Times New Roman"/>
          <w:sz w:val="24"/>
          <w:szCs w:val="24"/>
        </w:rPr>
        <w:t>)</w:t>
      </w:r>
      <w:r w:rsidRPr="00AD73FC">
        <w:rPr>
          <w:rFonts w:ascii="Times New Roman" w:hAnsi="Times New Roman" w:cs="Times New Roman"/>
          <w:sz w:val="24"/>
          <w:szCs w:val="24"/>
        </w:rPr>
        <w:t>. Heat stress adaptations in pigs. Animal Frontiers, 9(1), 54-61.</w:t>
      </w:r>
      <w:r w:rsidR="0003107C">
        <w:rPr>
          <w:rFonts w:ascii="Times New Roman" w:hAnsi="Times New Roman" w:cs="Times New Roman"/>
          <w:sz w:val="24"/>
          <w:szCs w:val="24"/>
        </w:rPr>
        <w:t xml:space="preserve"> </w:t>
      </w:r>
      <w:r w:rsidR="0003107C" w:rsidRPr="0003107C">
        <w:rPr>
          <w:rFonts w:ascii="Times New Roman" w:hAnsi="Times New Roman" w:cs="Times New Roman"/>
          <w:sz w:val="24"/>
          <w:szCs w:val="24"/>
        </w:rPr>
        <w:t>DOI: 10.1093/</w:t>
      </w:r>
      <w:proofErr w:type="spellStart"/>
      <w:r w:rsidR="0003107C" w:rsidRPr="0003107C">
        <w:rPr>
          <w:rFonts w:ascii="Times New Roman" w:hAnsi="Times New Roman" w:cs="Times New Roman"/>
          <w:sz w:val="24"/>
          <w:szCs w:val="24"/>
        </w:rPr>
        <w:t>af</w:t>
      </w:r>
      <w:proofErr w:type="spellEnd"/>
      <w:r w:rsidR="0003107C" w:rsidRPr="0003107C">
        <w:rPr>
          <w:rFonts w:ascii="Times New Roman" w:hAnsi="Times New Roman" w:cs="Times New Roman"/>
          <w:sz w:val="24"/>
          <w:szCs w:val="24"/>
        </w:rPr>
        <w:t>/vfy035</w:t>
      </w:r>
    </w:p>
    <w:p w14:paraId="729DB2AA" w14:textId="3478419E"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bookmarkStart w:id="6" w:name="OLE_LINK1"/>
      <w:r w:rsidRPr="00AD73FC">
        <w:rPr>
          <w:rFonts w:ascii="Times New Roman" w:hAnsi="Times New Roman" w:cs="Times New Roman"/>
          <w:sz w:val="24"/>
          <w:szCs w:val="24"/>
        </w:rPr>
        <w:lastRenderedPageBreak/>
        <w:t xml:space="preserve">Bernabucci, U.; </w:t>
      </w:r>
      <w:proofErr w:type="spellStart"/>
      <w:r w:rsidRPr="00AD73FC">
        <w:rPr>
          <w:rFonts w:ascii="Times New Roman" w:hAnsi="Times New Roman" w:cs="Times New Roman"/>
          <w:sz w:val="24"/>
          <w:szCs w:val="24"/>
        </w:rPr>
        <w:t>Lacetera</w:t>
      </w:r>
      <w:proofErr w:type="spellEnd"/>
      <w:r w:rsidRPr="00AD73FC">
        <w:rPr>
          <w:rFonts w:ascii="Times New Roman" w:hAnsi="Times New Roman" w:cs="Times New Roman"/>
          <w:sz w:val="24"/>
          <w:szCs w:val="24"/>
        </w:rPr>
        <w:t xml:space="preserve">, N.; Baumgard, L. H.; Rhoads, R. P.; Ronchi, B.; Nardone, A. </w:t>
      </w:r>
      <w:r w:rsidR="00981540">
        <w:rPr>
          <w:rFonts w:ascii="Times New Roman" w:hAnsi="Times New Roman" w:cs="Times New Roman"/>
          <w:sz w:val="24"/>
          <w:szCs w:val="24"/>
        </w:rPr>
        <w:t>(</w:t>
      </w:r>
      <w:r w:rsidRPr="00AD73FC">
        <w:rPr>
          <w:rFonts w:ascii="Times New Roman" w:hAnsi="Times New Roman" w:cs="Times New Roman"/>
          <w:sz w:val="24"/>
          <w:szCs w:val="24"/>
        </w:rPr>
        <w:t>2010</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Metabolic and hormonal acclimation to heat stress in domesticated ruminants. animal, 4(7), 1167–1183. doi:10.1017/S175173111000090X.  </w:t>
      </w:r>
    </w:p>
    <w:p w14:paraId="26DC1294" w14:textId="1BBD0DD7"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Silva, B. A., Noblet, J., </w:t>
      </w:r>
      <w:proofErr w:type="spellStart"/>
      <w:r w:rsidRPr="00AD73FC">
        <w:rPr>
          <w:rFonts w:ascii="Times New Roman" w:hAnsi="Times New Roman" w:cs="Times New Roman"/>
          <w:sz w:val="24"/>
          <w:szCs w:val="24"/>
        </w:rPr>
        <w:t>Donzele</w:t>
      </w:r>
      <w:proofErr w:type="spellEnd"/>
      <w:r w:rsidRPr="00AD73FC">
        <w:rPr>
          <w:rFonts w:ascii="Times New Roman" w:hAnsi="Times New Roman" w:cs="Times New Roman"/>
          <w:sz w:val="24"/>
          <w:szCs w:val="24"/>
        </w:rPr>
        <w:t xml:space="preserve">, J. L., Oliveira, R. F., </w:t>
      </w:r>
      <w:proofErr w:type="spellStart"/>
      <w:r w:rsidRPr="00AD73FC">
        <w:rPr>
          <w:rFonts w:ascii="Times New Roman" w:hAnsi="Times New Roman" w:cs="Times New Roman"/>
          <w:sz w:val="24"/>
          <w:szCs w:val="24"/>
        </w:rPr>
        <w:t>Primot</w:t>
      </w:r>
      <w:proofErr w:type="spellEnd"/>
      <w:r w:rsidRPr="00AD73FC">
        <w:rPr>
          <w:rFonts w:ascii="Times New Roman" w:hAnsi="Times New Roman" w:cs="Times New Roman"/>
          <w:sz w:val="24"/>
          <w:szCs w:val="24"/>
        </w:rPr>
        <w:t xml:space="preserve">, Y., Gourdine, J. L., &amp; </w:t>
      </w:r>
      <w:proofErr w:type="spellStart"/>
      <w:r w:rsidRPr="00AD73FC">
        <w:rPr>
          <w:rFonts w:ascii="Times New Roman" w:hAnsi="Times New Roman" w:cs="Times New Roman"/>
          <w:sz w:val="24"/>
          <w:szCs w:val="24"/>
        </w:rPr>
        <w:t>Renaudeau</w:t>
      </w:r>
      <w:proofErr w:type="spellEnd"/>
      <w:r w:rsidRPr="00AD73FC">
        <w:rPr>
          <w:rFonts w:ascii="Times New Roman" w:hAnsi="Times New Roman" w:cs="Times New Roman"/>
          <w:sz w:val="24"/>
          <w:szCs w:val="24"/>
        </w:rPr>
        <w:t xml:space="preserve">, D. </w:t>
      </w:r>
      <w:r w:rsidR="00981540">
        <w:rPr>
          <w:rFonts w:ascii="Times New Roman" w:hAnsi="Times New Roman" w:cs="Times New Roman"/>
          <w:sz w:val="24"/>
          <w:szCs w:val="24"/>
        </w:rPr>
        <w:t>(</w:t>
      </w:r>
      <w:r w:rsidRPr="00AD73FC">
        <w:rPr>
          <w:rFonts w:ascii="Times New Roman" w:hAnsi="Times New Roman" w:cs="Times New Roman"/>
          <w:sz w:val="24"/>
          <w:szCs w:val="24"/>
        </w:rPr>
        <w:t>2009</w:t>
      </w:r>
      <w:r w:rsidR="00981540">
        <w:rPr>
          <w:rFonts w:ascii="Times New Roman" w:hAnsi="Times New Roman" w:cs="Times New Roman"/>
          <w:sz w:val="24"/>
          <w:szCs w:val="24"/>
        </w:rPr>
        <w:t>)</w:t>
      </w:r>
      <w:r w:rsidRPr="00AD73FC">
        <w:rPr>
          <w:rFonts w:ascii="Times New Roman" w:hAnsi="Times New Roman" w:cs="Times New Roman"/>
          <w:sz w:val="24"/>
          <w:szCs w:val="24"/>
        </w:rPr>
        <w:t>. Effects of dietary protein level and amino acid supplementation on performance of mixed-parity lactating sows in a tropical humid climate. </w:t>
      </w:r>
      <w:r w:rsidRPr="00AD73FC">
        <w:rPr>
          <w:rFonts w:ascii="Times New Roman" w:hAnsi="Times New Roman" w:cs="Times New Roman"/>
          <w:i/>
          <w:iCs/>
          <w:sz w:val="24"/>
          <w:szCs w:val="24"/>
        </w:rPr>
        <w:t>Journal of animal science</w:t>
      </w:r>
      <w:r w:rsidRPr="00AD73FC">
        <w:rPr>
          <w:rFonts w:ascii="Times New Roman" w:hAnsi="Times New Roman" w:cs="Times New Roman"/>
          <w:sz w:val="24"/>
          <w:szCs w:val="24"/>
        </w:rPr>
        <w:t>, </w:t>
      </w:r>
      <w:r w:rsidRPr="00AD73FC">
        <w:rPr>
          <w:rFonts w:ascii="Times New Roman" w:hAnsi="Times New Roman" w:cs="Times New Roman"/>
          <w:i/>
          <w:iCs/>
          <w:sz w:val="24"/>
          <w:szCs w:val="24"/>
        </w:rPr>
        <w:t>87</w:t>
      </w:r>
      <w:r w:rsidRPr="00AD73FC">
        <w:rPr>
          <w:rFonts w:ascii="Times New Roman" w:hAnsi="Times New Roman" w:cs="Times New Roman"/>
          <w:sz w:val="24"/>
          <w:szCs w:val="24"/>
        </w:rPr>
        <w:t xml:space="preserve">(12), 4003–4012. </w:t>
      </w:r>
      <w:hyperlink r:id="rId10" w:history="1">
        <w:r w:rsidRPr="00AD73FC">
          <w:rPr>
            <w:rStyle w:val="Hyperlink"/>
            <w:rFonts w:ascii="Times New Roman" w:hAnsi="Times New Roman" w:cs="Times New Roman"/>
            <w:color w:val="auto"/>
            <w:sz w:val="24"/>
            <w:szCs w:val="24"/>
            <w:u w:val="none"/>
          </w:rPr>
          <w:t>https://doi.org/10.2527/jas.2008-1176</w:t>
        </w:r>
      </w:hyperlink>
    </w:p>
    <w:bookmarkEnd w:id="6"/>
    <w:p w14:paraId="63C1841E" w14:textId="63314ACA"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Ross, J. W., Hale, B. J., Gabler, N. K., Rhoads, R. P., Keating, A. F., &amp; Baumgard, L. H. (2015). Physiological consequences of heat stress in pigs. </w:t>
      </w:r>
      <w:r w:rsidRPr="00AD73FC">
        <w:rPr>
          <w:rFonts w:ascii="Times New Roman" w:hAnsi="Times New Roman" w:cs="Times New Roman"/>
          <w:i/>
          <w:iCs/>
          <w:sz w:val="24"/>
          <w:szCs w:val="24"/>
        </w:rPr>
        <w:t>Animal Production Science</w:t>
      </w:r>
      <w:r w:rsidRPr="00AD73FC">
        <w:rPr>
          <w:rFonts w:ascii="Times New Roman" w:hAnsi="Times New Roman" w:cs="Times New Roman"/>
          <w:sz w:val="24"/>
          <w:szCs w:val="24"/>
        </w:rPr>
        <w:t>, </w:t>
      </w:r>
      <w:r w:rsidRPr="00AD73FC">
        <w:rPr>
          <w:rFonts w:ascii="Times New Roman" w:hAnsi="Times New Roman" w:cs="Times New Roman"/>
          <w:i/>
          <w:iCs/>
          <w:sz w:val="24"/>
          <w:szCs w:val="24"/>
        </w:rPr>
        <w:t>55</w:t>
      </w:r>
      <w:r w:rsidRPr="00AD73FC">
        <w:rPr>
          <w:rFonts w:ascii="Times New Roman" w:hAnsi="Times New Roman" w:cs="Times New Roman"/>
          <w:sz w:val="24"/>
          <w:szCs w:val="24"/>
        </w:rPr>
        <w:t>(12), 1381-1390.</w:t>
      </w:r>
      <w:r w:rsidRPr="00C61FA3">
        <w:t xml:space="preserve"> </w:t>
      </w:r>
      <w:hyperlink r:id="rId11" w:tgtFrame="_blank" w:history="1">
        <w:r w:rsidRPr="00AD73FC">
          <w:rPr>
            <w:rStyle w:val="Hyperlink"/>
            <w:rFonts w:ascii="Times New Roman" w:hAnsi="Times New Roman" w:cs="Times New Roman"/>
            <w:sz w:val="24"/>
            <w:szCs w:val="24"/>
          </w:rPr>
          <w:t>https://doi.org/10.1071/AN15267</w:t>
        </w:r>
      </w:hyperlink>
    </w:p>
    <w:p w14:paraId="11F65043" w14:textId="49C2B83B"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Teixeira, A. D. R., </w:t>
      </w:r>
      <w:proofErr w:type="spellStart"/>
      <w:r w:rsidRPr="00AD73FC">
        <w:rPr>
          <w:rFonts w:ascii="Times New Roman" w:hAnsi="Times New Roman" w:cs="Times New Roman"/>
          <w:sz w:val="24"/>
          <w:szCs w:val="24"/>
        </w:rPr>
        <w:t>Veroneze</w:t>
      </w:r>
      <w:proofErr w:type="spellEnd"/>
      <w:r w:rsidRPr="00AD73FC">
        <w:rPr>
          <w:rFonts w:ascii="Times New Roman" w:hAnsi="Times New Roman" w:cs="Times New Roman"/>
          <w:sz w:val="24"/>
          <w:szCs w:val="24"/>
        </w:rPr>
        <w:t xml:space="preserve">, R., Moreira, V. E., Campos, L. D., Januário Raimundi, S. C., &amp; Reis Furtado Campos, P. H. </w:t>
      </w:r>
      <w:r w:rsidR="00981540">
        <w:rPr>
          <w:rFonts w:ascii="Times New Roman" w:hAnsi="Times New Roman" w:cs="Times New Roman"/>
          <w:sz w:val="24"/>
          <w:szCs w:val="24"/>
        </w:rPr>
        <w:t>(</w:t>
      </w:r>
      <w:r w:rsidRPr="00AD73FC">
        <w:rPr>
          <w:rFonts w:ascii="Times New Roman" w:hAnsi="Times New Roman" w:cs="Times New Roman"/>
          <w:sz w:val="24"/>
          <w:szCs w:val="24"/>
        </w:rPr>
        <w:t>2021</w:t>
      </w:r>
      <w:r w:rsidR="00981540">
        <w:rPr>
          <w:rFonts w:ascii="Times New Roman" w:hAnsi="Times New Roman" w:cs="Times New Roman"/>
          <w:sz w:val="24"/>
          <w:szCs w:val="24"/>
        </w:rPr>
        <w:t>)</w:t>
      </w:r>
      <w:r w:rsidRPr="00AD73FC">
        <w:rPr>
          <w:rFonts w:ascii="Times New Roman" w:hAnsi="Times New Roman" w:cs="Times New Roman"/>
          <w:sz w:val="24"/>
          <w:szCs w:val="24"/>
        </w:rPr>
        <w:t>. Effects of heat stress on performance and thermoregulatory responses of Piau purebred growing pigs. </w:t>
      </w:r>
      <w:r w:rsidRPr="00AD73FC">
        <w:rPr>
          <w:rFonts w:ascii="Times New Roman" w:hAnsi="Times New Roman" w:cs="Times New Roman"/>
          <w:i/>
          <w:iCs/>
          <w:sz w:val="24"/>
          <w:szCs w:val="24"/>
        </w:rPr>
        <w:t>Journal of thermal biology</w:t>
      </w:r>
      <w:r w:rsidRPr="00AD73FC">
        <w:rPr>
          <w:rFonts w:ascii="Times New Roman" w:hAnsi="Times New Roman" w:cs="Times New Roman"/>
          <w:sz w:val="24"/>
          <w:szCs w:val="24"/>
        </w:rPr>
        <w:t>, </w:t>
      </w:r>
      <w:r w:rsidRPr="00AD73FC">
        <w:rPr>
          <w:rFonts w:ascii="Times New Roman" w:hAnsi="Times New Roman" w:cs="Times New Roman"/>
          <w:i/>
          <w:iCs/>
          <w:sz w:val="24"/>
          <w:szCs w:val="24"/>
        </w:rPr>
        <w:t>99</w:t>
      </w:r>
      <w:r w:rsidRPr="00AD73FC">
        <w:rPr>
          <w:rFonts w:ascii="Times New Roman" w:hAnsi="Times New Roman" w:cs="Times New Roman"/>
          <w:sz w:val="24"/>
          <w:szCs w:val="24"/>
        </w:rPr>
        <w:t xml:space="preserve">, 103009. </w:t>
      </w:r>
      <w:hyperlink r:id="rId12" w:history="1">
        <w:r w:rsidRPr="00AD73FC">
          <w:rPr>
            <w:rStyle w:val="Hyperlink"/>
            <w:rFonts w:ascii="Times New Roman" w:hAnsi="Times New Roman" w:cs="Times New Roman"/>
            <w:color w:val="auto"/>
            <w:sz w:val="24"/>
            <w:szCs w:val="24"/>
            <w:u w:val="none"/>
          </w:rPr>
          <w:t>https://doi.org/10.1016/j.jtherbio.2021.103009</w:t>
        </w:r>
      </w:hyperlink>
    </w:p>
    <w:p w14:paraId="16D7D64A" w14:textId="4EAC11B0"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Mujahid, A., Akiba, Y., &amp; </w:t>
      </w:r>
      <w:proofErr w:type="spellStart"/>
      <w:r w:rsidRPr="00AD73FC">
        <w:rPr>
          <w:rFonts w:ascii="Times New Roman" w:hAnsi="Times New Roman" w:cs="Times New Roman"/>
          <w:sz w:val="24"/>
          <w:szCs w:val="24"/>
        </w:rPr>
        <w:t>Toyomizu</w:t>
      </w:r>
      <w:proofErr w:type="spellEnd"/>
      <w:r w:rsidRPr="00AD73FC">
        <w:rPr>
          <w:rFonts w:ascii="Times New Roman" w:hAnsi="Times New Roman" w:cs="Times New Roman"/>
          <w:sz w:val="24"/>
          <w:szCs w:val="24"/>
        </w:rPr>
        <w:t xml:space="preserve">, M. </w:t>
      </w:r>
      <w:r w:rsidR="00981540">
        <w:rPr>
          <w:rFonts w:ascii="Times New Roman" w:hAnsi="Times New Roman" w:cs="Times New Roman"/>
          <w:sz w:val="24"/>
          <w:szCs w:val="24"/>
        </w:rPr>
        <w:t>(</w:t>
      </w:r>
      <w:r w:rsidRPr="00AD73FC">
        <w:rPr>
          <w:rFonts w:ascii="Times New Roman" w:hAnsi="Times New Roman" w:cs="Times New Roman"/>
          <w:sz w:val="24"/>
          <w:szCs w:val="24"/>
        </w:rPr>
        <w:t>2004</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Acute Heat Stress Induces Oxidative Stress and Decreases Adaptation in Young White Leghorn Cockerels by Downregulation of Avian Uncoupling Protein. Poultry Science, 86(2), 364–371. </w:t>
      </w:r>
      <w:hyperlink r:id="rId13" w:history="1">
        <w:r w:rsidRPr="00AD73FC">
          <w:rPr>
            <w:rStyle w:val="Hyperlink"/>
            <w:rFonts w:ascii="Times New Roman" w:hAnsi="Times New Roman" w:cs="Times New Roman"/>
            <w:color w:val="auto"/>
            <w:sz w:val="24"/>
            <w:szCs w:val="24"/>
            <w:u w:val="none"/>
          </w:rPr>
          <w:t>https://doi.org/10.1093/ps/86.2.364</w:t>
        </w:r>
      </w:hyperlink>
    </w:p>
    <w:p w14:paraId="52BA1CD2" w14:textId="331723D0" w:rsidR="00C61FA3" w:rsidRPr="00532271" w:rsidRDefault="00C61FA3" w:rsidP="00532271">
      <w:pPr>
        <w:pStyle w:val="ListParagraph"/>
        <w:numPr>
          <w:ilvl w:val="0"/>
          <w:numId w:val="4"/>
        </w:numPr>
        <w:spacing w:line="360" w:lineRule="auto"/>
        <w:jc w:val="both"/>
        <w:rPr>
          <w:rFonts w:ascii="Times New Roman" w:hAnsi="Times New Roman" w:cs="Times New Roman"/>
          <w:sz w:val="24"/>
          <w:szCs w:val="24"/>
        </w:rPr>
      </w:pPr>
      <w:proofErr w:type="spellStart"/>
      <w:r w:rsidRPr="00532271">
        <w:rPr>
          <w:rFonts w:ascii="Times New Roman" w:hAnsi="Times New Roman" w:cs="Times New Roman"/>
          <w:sz w:val="24"/>
          <w:szCs w:val="24"/>
        </w:rPr>
        <w:t>Slimen</w:t>
      </w:r>
      <w:proofErr w:type="spellEnd"/>
      <w:r w:rsidRPr="00532271">
        <w:rPr>
          <w:rFonts w:ascii="Times New Roman" w:hAnsi="Times New Roman" w:cs="Times New Roman"/>
          <w:sz w:val="24"/>
          <w:szCs w:val="24"/>
        </w:rPr>
        <w:t xml:space="preserve">, I.B.; </w:t>
      </w:r>
      <w:proofErr w:type="spellStart"/>
      <w:r w:rsidRPr="00532271">
        <w:rPr>
          <w:rFonts w:ascii="Times New Roman" w:hAnsi="Times New Roman" w:cs="Times New Roman"/>
          <w:sz w:val="24"/>
          <w:szCs w:val="24"/>
        </w:rPr>
        <w:t>Najar</w:t>
      </w:r>
      <w:proofErr w:type="spellEnd"/>
      <w:r w:rsidRPr="00532271">
        <w:rPr>
          <w:rFonts w:ascii="Times New Roman" w:hAnsi="Times New Roman" w:cs="Times New Roman"/>
          <w:sz w:val="24"/>
          <w:szCs w:val="24"/>
        </w:rPr>
        <w:t xml:space="preserve">, T.; </w:t>
      </w:r>
      <w:proofErr w:type="spellStart"/>
      <w:r w:rsidRPr="00532271">
        <w:rPr>
          <w:rFonts w:ascii="Times New Roman" w:hAnsi="Times New Roman" w:cs="Times New Roman"/>
          <w:sz w:val="24"/>
          <w:szCs w:val="24"/>
        </w:rPr>
        <w:t>Ghram</w:t>
      </w:r>
      <w:proofErr w:type="spellEnd"/>
      <w:r w:rsidRPr="00532271">
        <w:rPr>
          <w:rFonts w:ascii="Times New Roman" w:hAnsi="Times New Roman" w:cs="Times New Roman"/>
          <w:sz w:val="24"/>
          <w:szCs w:val="24"/>
        </w:rPr>
        <w:t xml:space="preserve">, A.; </w:t>
      </w:r>
      <w:proofErr w:type="spellStart"/>
      <w:r w:rsidRPr="00532271">
        <w:rPr>
          <w:rFonts w:ascii="Times New Roman" w:hAnsi="Times New Roman" w:cs="Times New Roman"/>
          <w:sz w:val="24"/>
          <w:szCs w:val="24"/>
        </w:rPr>
        <w:t>Dabbebi</w:t>
      </w:r>
      <w:proofErr w:type="spellEnd"/>
      <w:r w:rsidRPr="00532271">
        <w:rPr>
          <w:rFonts w:ascii="Times New Roman" w:hAnsi="Times New Roman" w:cs="Times New Roman"/>
          <w:sz w:val="24"/>
          <w:szCs w:val="24"/>
        </w:rPr>
        <w:t xml:space="preserve">, H.; Mrad, B.; </w:t>
      </w:r>
      <w:proofErr w:type="spellStart"/>
      <w:r w:rsidRPr="00532271">
        <w:rPr>
          <w:rFonts w:ascii="Times New Roman" w:hAnsi="Times New Roman" w:cs="Times New Roman"/>
          <w:sz w:val="24"/>
          <w:szCs w:val="24"/>
        </w:rPr>
        <w:t>Abdrabbah</w:t>
      </w:r>
      <w:proofErr w:type="spellEnd"/>
      <w:r w:rsidRPr="00532271">
        <w:rPr>
          <w:rFonts w:ascii="Times New Roman" w:hAnsi="Times New Roman" w:cs="Times New Roman"/>
          <w:sz w:val="24"/>
          <w:szCs w:val="24"/>
        </w:rPr>
        <w:t>, M.</w:t>
      </w:r>
      <w:r w:rsidR="00981540">
        <w:rPr>
          <w:rFonts w:ascii="Times New Roman" w:hAnsi="Times New Roman" w:cs="Times New Roman"/>
          <w:sz w:val="24"/>
          <w:szCs w:val="24"/>
        </w:rPr>
        <w:t xml:space="preserve"> (2014).</w:t>
      </w:r>
      <w:r w:rsidRPr="00532271">
        <w:rPr>
          <w:rFonts w:ascii="Times New Roman" w:hAnsi="Times New Roman" w:cs="Times New Roman"/>
          <w:sz w:val="24"/>
          <w:szCs w:val="24"/>
        </w:rPr>
        <w:t xml:space="preserve"> Reactive oxygen species, heat stress and oxidative induced mitochondrial damage. A review. Int. J. </w:t>
      </w:r>
      <w:proofErr w:type="spellStart"/>
      <w:r w:rsidRPr="00532271">
        <w:rPr>
          <w:rFonts w:ascii="Times New Roman" w:hAnsi="Times New Roman" w:cs="Times New Roman"/>
          <w:sz w:val="24"/>
          <w:szCs w:val="24"/>
        </w:rPr>
        <w:t>Hyperth</w:t>
      </w:r>
      <w:proofErr w:type="spellEnd"/>
      <w:r w:rsidRPr="00532271">
        <w:rPr>
          <w:rFonts w:ascii="Times New Roman" w:hAnsi="Times New Roman" w:cs="Times New Roman"/>
          <w:sz w:val="24"/>
          <w:szCs w:val="24"/>
        </w:rPr>
        <w:t>. 30, 513–523.</w:t>
      </w:r>
      <w:r w:rsidR="00532271" w:rsidRPr="00532271">
        <w:rPr>
          <w:rFonts w:ascii="Open Sans" w:eastAsia="Times New Roman" w:hAnsi="Open Sans" w:cs="Open Sans"/>
          <w:color w:val="333333"/>
          <w:kern w:val="0"/>
          <w:sz w:val="20"/>
          <w:szCs w:val="20"/>
          <w:lang w:eastAsia="en-IN"/>
          <w14:ligatures w14:val="none"/>
        </w:rPr>
        <w:t xml:space="preserve"> </w:t>
      </w:r>
      <w:r w:rsidR="00532271" w:rsidRPr="00532271">
        <w:rPr>
          <w:rFonts w:ascii="Times New Roman" w:hAnsi="Times New Roman" w:cs="Times New Roman"/>
          <w:sz w:val="24"/>
          <w:szCs w:val="24"/>
        </w:rPr>
        <w:t> </w:t>
      </w:r>
      <w:hyperlink r:id="rId14" w:history="1">
        <w:r w:rsidR="00532271" w:rsidRPr="00532271">
          <w:rPr>
            <w:rStyle w:val="Hyperlink"/>
            <w:rFonts w:ascii="Times New Roman" w:hAnsi="Times New Roman" w:cs="Times New Roman"/>
            <w:sz w:val="24"/>
            <w:szCs w:val="24"/>
          </w:rPr>
          <w:t>https://doi.org/10.3109/02656736.2014.971446</w:t>
        </w:r>
      </w:hyperlink>
    </w:p>
    <w:p w14:paraId="453A4BE4" w14:textId="07125DFB"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Placer, Z. A., Cushman, L. L., &amp; Johnson, B. C. </w:t>
      </w:r>
      <w:r w:rsidR="00981540">
        <w:rPr>
          <w:rFonts w:ascii="Times New Roman" w:hAnsi="Times New Roman" w:cs="Times New Roman"/>
          <w:sz w:val="24"/>
          <w:szCs w:val="24"/>
        </w:rPr>
        <w:t>(</w:t>
      </w:r>
      <w:r w:rsidRPr="00AD73FC">
        <w:rPr>
          <w:rFonts w:ascii="Times New Roman" w:hAnsi="Times New Roman" w:cs="Times New Roman"/>
          <w:sz w:val="24"/>
          <w:szCs w:val="24"/>
        </w:rPr>
        <w:t>1966</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Estimation of product of lipid peroxidation (malonyl dialdehyde) in biochemical systems. Analytical biochemistry, 16(2), 359–364. </w:t>
      </w:r>
      <w:hyperlink r:id="rId15" w:tgtFrame="_blank" w:tooltip="Persistent link using digital object identifier" w:history="1">
        <w:r w:rsidRPr="00AD73FC">
          <w:rPr>
            <w:rStyle w:val="Hyperlink"/>
            <w:rFonts w:ascii="Times New Roman" w:hAnsi="Times New Roman" w:cs="Times New Roman"/>
            <w:sz w:val="24"/>
            <w:szCs w:val="24"/>
          </w:rPr>
          <w:t>https://doi.org/10.1016/0003-2697(66)90167-9</w:t>
        </w:r>
      </w:hyperlink>
    </w:p>
    <w:p w14:paraId="687E3A26" w14:textId="3CADAA2D"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Krohne-Ehrich, G., Schirmer, R. H., &amp; </w:t>
      </w:r>
      <w:proofErr w:type="spellStart"/>
      <w:r w:rsidRPr="00AD73FC">
        <w:rPr>
          <w:rFonts w:ascii="Times New Roman" w:hAnsi="Times New Roman" w:cs="Times New Roman"/>
          <w:sz w:val="24"/>
          <w:szCs w:val="24"/>
        </w:rPr>
        <w:t>Untucht</w:t>
      </w:r>
      <w:proofErr w:type="spellEnd"/>
      <w:r w:rsidRPr="00AD73FC">
        <w:rPr>
          <w:rFonts w:ascii="Times New Roman" w:hAnsi="Times New Roman" w:cs="Times New Roman"/>
          <w:sz w:val="24"/>
          <w:szCs w:val="24"/>
        </w:rPr>
        <w:t xml:space="preserve">-Grau, R. </w:t>
      </w:r>
      <w:r w:rsidR="00981540">
        <w:rPr>
          <w:rFonts w:ascii="Times New Roman" w:hAnsi="Times New Roman" w:cs="Times New Roman"/>
          <w:sz w:val="24"/>
          <w:szCs w:val="24"/>
        </w:rPr>
        <w:t>(</w:t>
      </w:r>
      <w:r w:rsidRPr="00AD73FC">
        <w:rPr>
          <w:rFonts w:ascii="Times New Roman" w:hAnsi="Times New Roman" w:cs="Times New Roman"/>
          <w:sz w:val="24"/>
          <w:szCs w:val="24"/>
        </w:rPr>
        <w:t>1977</w:t>
      </w:r>
      <w:r w:rsidR="00981540">
        <w:rPr>
          <w:rFonts w:ascii="Times New Roman" w:hAnsi="Times New Roman" w:cs="Times New Roman"/>
          <w:sz w:val="24"/>
          <w:szCs w:val="24"/>
        </w:rPr>
        <w:t>)</w:t>
      </w:r>
      <w:r w:rsidRPr="00AD73FC">
        <w:rPr>
          <w:rFonts w:ascii="Times New Roman" w:hAnsi="Times New Roman" w:cs="Times New Roman"/>
          <w:sz w:val="24"/>
          <w:szCs w:val="24"/>
        </w:rPr>
        <w:t>. Glutathione reductase from human erythrocytes. Isolation of the enzyme and sequence analysis of the redox-active peptide. European Journal of Biochemistry, 80(1), 65–71.</w:t>
      </w:r>
      <w:r w:rsidR="00A43499">
        <w:rPr>
          <w:rFonts w:ascii="Times New Roman" w:hAnsi="Times New Roman" w:cs="Times New Roman"/>
          <w:sz w:val="24"/>
          <w:szCs w:val="24"/>
        </w:rPr>
        <w:t xml:space="preserve"> </w:t>
      </w:r>
      <w:r w:rsidR="00A43499" w:rsidRPr="00A43499">
        <w:rPr>
          <w:rFonts w:ascii="Times New Roman" w:hAnsi="Times New Roman" w:cs="Times New Roman"/>
          <w:sz w:val="24"/>
          <w:szCs w:val="24"/>
        </w:rPr>
        <w:t>DOI: 10.1111/j.1432-</w:t>
      </w:r>
      <w:proofErr w:type="gramStart"/>
      <w:r w:rsidR="00A43499" w:rsidRPr="00A43499">
        <w:rPr>
          <w:rFonts w:ascii="Times New Roman" w:hAnsi="Times New Roman" w:cs="Times New Roman"/>
          <w:sz w:val="24"/>
          <w:szCs w:val="24"/>
        </w:rPr>
        <w:t>1033.1977.tb</w:t>
      </w:r>
      <w:proofErr w:type="gramEnd"/>
      <w:r w:rsidR="00A43499" w:rsidRPr="00A43499">
        <w:rPr>
          <w:rFonts w:ascii="Times New Roman" w:hAnsi="Times New Roman" w:cs="Times New Roman"/>
          <w:sz w:val="24"/>
          <w:szCs w:val="24"/>
        </w:rPr>
        <w:t>11856.x</w:t>
      </w:r>
    </w:p>
    <w:p w14:paraId="4D89B938" w14:textId="0275393F"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Ellman, G. L. </w:t>
      </w:r>
      <w:r w:rsidR="00981540">
        <w:rPr>
          <w:rFonts w:ascii="Times New Roman" w:hAnsi="Times New Roman" w:cs="Times New Roman"/>
          <w:sz w:val="24"/>
          <w:szCs w:val="24"/>
        </w:rPr>
        <w:t>(</w:t>
      </w:r>
      <w:r w:rsidRPr="00AD73FC">
        <w:rPr>
          <w:rFonts w:ascii="Times New Roman" w:hAnsi="Times New Roman" w:cs="Times New Roman"/>
          <w:sz w:val="24"/>
          <w:szCs w:val="24"/>
        </w:rPr>
        <w:t>1959</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Tissue </w:t>
      </w:r>
      <w:proofErr w:type="spellStart"/>
      <w:r w:rsidRPr="00AD73FC">
        <w:rPr>
          <w:rFonts w:ascii="Times New Roman" w:hAnsi="Times New Roman" w:cs="Times New Roman"/>
          <w:sz w:val="24"/>
          <w:szCs w:val="24"/>
        </w:rPr>
        <w:t>sulphydryl</w:t>
      </w:r>
      <w:proofErr w:type="spellEnd"/>
      <w:r w:rsidRPr="00AD73FC">
        <w:rPr>
          <w:rFonts w:ascii="Times New Roman" w:hAnsi="Times New Roman" w:cs="Times New Roman"/>
          <w:sz w:val="24"/>
          <w:szCs w:val="24"/>
        </w:rPr>
        <w:t xml:space="preserve"> groups. Archives of Biochemistry and Biophysics, 82, 70-77.</w:t>
      </w:r>
      <w:r w:rsidR="00A43499">
        <w:rPr>
          <w:rFonts w:ascii="Times New Roman" w:hAnsi="Times New Roman" w:cs="Times New Roman"/>
          <w:sz w:val="24"/>
          <w:szCs w:val="24"/>
        </w:rPr>
        <w:t xml:space="preserve"> </w:t>
      </w:r>
      <w:r w:rsidR="00A43499" w:rsidRPr="00A43499">
        <w:rPr>
          <w:rFonts w:ascii="Times New Roman" w:hAnsi="Times New Roman" w:cs="Times New Roman"/>
          <w:sz w:val="24"/>
          <w:szCs w:val="24"/>
        </w:rPr>
        <w:t>DOI: 10.1016/0003-9861(59)90090-6</w:t>
      </w:r>
    </w:p>
    <w:p w14:paraId="48F08A6B" w14:textId="2311AAC4" w:rsidR="00C61FA3" w:rsidRPr="00AD73FC" w:rsidRDefault="0085212B" w:rsidP="00AD73FC">
      <w:pPr>
        <w:pStyle w:val="ListParagraph"/>
        <w:numPr>
          <w:ilvl w:val="0"/>
          <w:numId w:val="4"/>
        </w:numPr>
        <w:spacing w:line="360" w:lineRule="auto"/>
        <w:jc w:val="both"/>
        <w:rPr>
          <w:rFonts w:ascii="Times New Roman" w:hAnsi="Times New Roman" w:cs="Times New Roman"/>
          <w:sz w:val="24"/>
          <w:szCs w:val="24"/>
        </w:rPr>
      </w:pPr>
      <w:r w:rsidRPr="0085212B">
        <w:rPr>
          <w:rFonts w:ascii="Times New Roman" w:hAnsi="Times New Roman" w:cs="Times New Roman"/>
          <w:sz w:val="24"/>
          <w:szCs w:val="24"/>
        </w:rPr>
        <w:t xml:space="preserve">Bain, B. J., Bates, I., Laffan, M. A., &amp; Lewis, S. M. (2011). </w:t>
      </w:r>
      <w:r w:rsidRPr="0085212B">
        <w:rPr>
          <w:rFonts w:ascii="Times New Roman" w:hAnsi="Times New Roman" w:cs="Times New Roman"/>
          <w:i/>
          <w:iCs/>
          <w:sz w:val="24"/>
          <w:szCs w:val="24"/>
        </w:rPr>
        <w:t>Dacie and Lewis practical haematology</w:t>
      </w:r>
      <w:r w:rsidRPr="0085212B">
        <w:rPr>
          <w:rFonts w:ascii="Times New Roman" w:hAnsi="Times New Roman" w:cs="Times New Roman"/>
          <w:sz w:val="24"/>
          <w:szCs w:val="24"/>
        </w:rPr>
        <w:t xml:space="preserve"> (11th ed.). Churchill Livingstone / Elsevier. https://doi.org/10.1016/b0-443-06660-4/x5001-6</w:t>
      </w:r>
      <w:r w:rsidR="00C61FA3" w:rsidRPr="00AD73FC">
        <w:rPr>
          <w:rFonts w:ascii="Times New Roman" w:hAnsi="Times New Roman" w:cs="Times New Roman"/>
          <w:sz w:val="24"/>
          <w:szCs w:val="24"/>
        </w:rPr>
        <w:t>.</w:t>
      </w:r>
    </w:p>
    <w:p w14:paraId="5270FD32" w14:textId="787254F5"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IBM Corp. Released 2019. IBM SPSS Statistics for Windows, Version 26.0. Armonk, NY: IBM Corp</w:t>
      </w:r>
    </w:p>
    <w:p w14:paraId="5EE6B633" w14:textId="2BC38F20"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lastRenderedPageBreak/>
        <w:t xml:space="preserve">Sies, H., Mailloux, R.J. &amp; Jakob, U. </w:t>
      </w:r>
      <w:r w:rsidR="00981540">
        <w:rPr>
          <w:rFonts w:ascii="Times New Roman" w:hAnsi="Times New Roman" w:cs="Times New Roman"/>
          <w:sz w:val="24"/>
          <w:szCs w:val="24"/>
        </w:rPr>
        <w:t>(</w:t>
      </w:r>
      <w:r w:rsidRPr="00AD73FC">
        <w:rPr>
          <w:rFonts w:ascii="Times New Roman" w:hAnsi="Times New Roman" w:cs="Times New Roman"/>
          <w:sz w:val="24"/>
          <w:szCs w:val="24"/>
        </w:rPr>
        <w:t>2024</w:t>
      </w:r>
      <w:r w:rsidR="00981540">
        <w:rPr>
          <w:rFonts w:ascii="Times New Roman" w:hAnsi="Times New Roman" w:cs="Times New Roman"/>
          <w:sz w:val="24"/>
          <w:szCs w:val="24"/>
        </w:rPr>
        <w:t>)</w:t>
      </w:r>
      <w:r w:rsidRPr="00AD73FC">
        <w:rPr>
          <w:rFonts w:ascii="Times New Roman" w:hAnsi="Times New Roman" w:cs="Times New Roman"/>
          <w:sz w:val="24"/>
          <w:szCs w:val="24"/>
        </w:rPr>
        <w:t>. Fundamentals of redox regulation in biology. </w:t>
      </w:r>
      <w:r w:rsidRPr="00AD73FC">
        <w:rPr>
          <w:rFonts w:ascii="Times New Roman" w:hAnsi="Times New Roman" w:cs="Times New Roman"/>
          <w:i/>
          <w:iCs/>
          <w:sz w:val="24"/>
          <w:szCs w:val="24"/>
        </w:rPr>
        <w:t xml:space="preserve">Nat Rev Mol Cell </w:t>
      </w:r>
      <w:proofErr w:type="spellStart"/>
      <w:r w:rsidRPr="00AD73FC">
        <w:rPr>
          <w:rFonts w:ascii="Times New Roman" w:hAnsi="Times New Roman" w:cs="Times New Roman"/>
          <w:i/>
          <w:iCs/>
          <w:sz w:val="24"/>
          <w:szCs w:val="24"/>
        </w:rPr>
        <w:t>Biol</w:t>
      </w:r>
      <w:proofErr w:type="spellEnd"/>
      <w:r w:rsidRPr="00AD73FC">
        <w:rPr>
          <w:rFonts w:ascii="Times New Roman" w:hAnsi="Times New Roman" w:cs="Times New Roman"/>
          <w:sz w:val="24"/>
          <w:szCs w:val="24"/>
        </w:rPr>
        <w:t> </w:t>
      </w:r>
      <w:r w:rsidRPr="00AD73FC">
        <w:rPr>
          <w:rFonts w:ascii="Times New Roman" w:hAnsi="Times New Roman" w:cs="Times New Roman"/>
          <w:b/>
          <w:bCs/>
          <w:sz w:val="24"/>
          <w:szCs w:val="24"/>
        </w:rPr>
        <w:t>25</w:t>
      </w:r>
      <w:r w:rsidRPr="00AD73FC">
        <w:rPr>
          <w:rFonts w:ascii="Times New Roman" w:hAnsi="Times New Roman" w:cs="Times New Roman"/>
          <w:sz w:val="24"/>
          <w:szCs w:val="24"/>
        </w:rPr>
        <w:t>, 701–719. https://doi.org/10.1038/s41580-024-00730-2</w:t>
      </w:r>
    </w:p>
    <w:p w14:paraId="5048AD66" w14:textId="031B5D66" w:rsidR="00C61FA3" w:rsidRPr="00AD73FC" w:rsidRDefault="00B34351" w:rsidP="00AD73FC">
      <w:pPr>
        <w:pStyle w:val="ListParagraph"/>
        <w:numPr>
          <w:ilvl w:val="0"/>
          <w:numId w:val="4"/>
        </w:numPr>
        <w:spacing w:line="360" w:lineRule="auto"/>
        <w:jc w:val="both"/>
        <w:rPr>
          <w:rFonts w:ascii="Times New Roman" w:hAnsi="Times New Roman" w:cs="Times New Roman"/>
          <w:sz w:val="24"/>
          <w:szCs w:val="24"/>
        </w:rPr>
      </w:pPr>
      <w:r w:rsidRPr="00B34351">
        <w:rPr>
          <w:rFonts w:ascii="Times New Roman" w:hAnsi="Times New Roman" w:cs="Times New Roman"/>
          <w:sz w:val="24"/>
          <w:szCs w:val="24"/>
        </w:rPr>
        <w:t xml:space="preserve">Huynh, T. T. T., </w:t>
      </w:r>
      <w:proofErr w:type="spellStart"/>
      <w:r w:rsidRPr="00B34351">
        <w:rPr>
          <w:rFonts w:ascii="Times New Roman" w:hAnsi="Times New Roman" w:cs="Times New Roman"/>
          <w:sz w:val="24"/>
          <w:szCs w:val="24"/>
        </w:rPr>
        <w:t>Aarnink</w:t>
      </w:r>
      <w:proofErr w:type="spellEnd"/>
      <w:r w:rsidRPr="00B34351">
        <w:rPr>
          <w:rFonts w:ascii="Times New Roman" w:hAnsi="Times New Roman" w:cs="Times New Roman"/>
          <w:sz w:val="24"/>
          <w:szCs w:val="24"/>
        </w:rPr>
        <w:t xml:space="preserve">, A. J. A., Verstegen, M. W. A., Gerrits, W. J. J., </w:t>
      </w:r>
      <w:proofErr w:type="spellStart"/>
      <w:r w:rsidRPr="00B34351">
        <w:rPr>
          <w:rFonts w:ascii="Times New Roman" w:hAnsi="Times New Roman" w:cs="Times New Roman"/>
          <w:sz w:val="24"/>
          <w:szCs w:val="24"/>
        </w:rPr>
        <w:t>Heetkamp</w:t>
      </w:r>
      <w:proofErr w:type="spellEnd"/>
      <w:r w:rsidRPr="00B34351">
        <w:rPr>
          <w:rFonts w:ascii="Times New Roman" w:hAnsi="Times New Roman" w:cs="Times New Roman"/>
          <w:sz w:val="24"/>
          <w:szCs w:val="24"/>
        </w:rPr>
        <w:t>, M. J. W., Kemp, B., &amp; Canh, T. T. (2005). Effects of increasing temperatures on physiological changes in pigs at different relative humidities. </w:t>
      </w:r>
      <w:r w:rsidRPr="00B34351">
        <w:rPr>
          <w:rFonts w:ascii="Times New Roman" w:hAnsi="Times New Roman" w:cs="Times New Roman"/>
          <w:i/>
          <w:iCs/>
          <w:sz w:val="24"/>
          <w:szCs w:val="24"/>
        </w:rPr>
        <w:t>Journal of animal science</w:t>
      </w:r>
      <w:r w:rsidRPr="00B34351">
        <w:rPr>
          <w:rFonts w:ascii="Times New Roman" w:hAnsi="Times New Roman" w:cs="Times New Roman"/>
          <w:sz w:val="24"/>
          <w:szCs w:val="24"/>
        </w:rPr>
        <w:t>, </w:t>
      </w:r>
      <w:r w:rsidRPr="00B34351">
        <w:rPr>
          <w:rFonts w:ascii="Times New Roman" w:hAnsi="Times New Roman" w:cs="Times New Roman"/>
          <w:i/>
          <w:iCs/>
          <w:sz w:val="24"/>
          <w:szCs w:val="24"/>
        </w:rPr>
        <w:t>83</w:t>
      </w:r>
      <w:r w:rsidRPr="00B34351">
        <w:rPr>
          <w:rFonts w:ascii="Times New Roman" w:hAnsi="Times New Roman" w:cs="Times New Roman"/>
          <w:sz w:val="24"/>
          <w:szCs w:val="24"/>
        </w:rPr>
        <w:t>(6), 1385-1396</w:t>
      </w:r>
      <w:r w:rsidR="00C61FA3" w:rsidRPr="00AD73FC">
        <w:rPr>
          <w:rFonts w:ascii="Times New Roman" w:hAnsi="Times New Roman" w:cs="Times New Roman"/>
          <w:sz w:val="24"/>
          <w:szCs w:val="24"/>
        </w:rPr>
        <w:t>.</w:t>
      </w:r>
      <w:r>
        <w:rPr>
          <w:rFonts w:ascii="Times New Roman" w:hAnsi="Times New Roman" w:cs="Times New Roman"/>
          <w:sz w:val="24"/>
          <w:szCs w:val="24"/>
        </w:rPr>
        <w:t xml:space="preserve"> </w:t>
      </w:r>
      <w:hyperlink r:id="rId16" w:history="1">
        <w:r w:rsidRPr="00B34351">
          <w:rPr>
            <w:rStyle w:val="Hyperlink"/>
            <w:rFonts w:ascii="Times New Roman" w:hAnsi="Times New Roman" w:cs="Times New Roman"/>
            <w:sz w:val="24"/>
            <w:szCs w:val="24"/>
          </w:rPr>
          <w:t>https://doi.org/10.2527/2005.8361385x</w:t>
        </w:r>
      </w:hyperlink>
    </w:p>
    <w:p w14:paraId="1D8176CC" w14:textId="6044BBC7"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Emami, N. K., Greene, E. S., Kogut, M. H., &amp; Dridi, S. </w:t>
      </w:r>
      <w:r w:rsidR="00981540">
        <w:rPr>
          <w:rFonts w:ascii="Times New Roman" w:hAnsi="Times New Roman" w:cs="Times New Roman"/>
          <w:sz w:val="24"/>
          <w:szCs w:val="24"/>
        </w:rPr>
        <w:t>(</w:t>
      </w:r>
      <w:r w:rsidRPr="00AD73FC">
        <w:rPr>
          <w:rFonts w:ascii="Times New Roman" w:hAnsi="Times New Roman" w:cs="Times New Roman"/>
          <w:sz w:val="24"/>
          <w:szCs w:val="24"/>
        </w:rPr>
        <w:t>2021</w:t>
      </w:r>
      <w:r w:rsidR="00981540">
        <w:rPr>
          <w:rFonts w:ascii="Times New Roman" w:hAnsi="Times New Roman" w:cs="Times New Roman"/>
          <w:sz w:val="24"/>
          <w:szCs w:val="24"/>
        </w:rPr>
        <w:t>)</w:t>
      </w:r>
      <w:r w:rsidRPr="00AD73FC">
        <w:rPr>
          <w:rFonts w:ascii="Times New Roman" w:hAnsi="Times New Roman" w:cs="Times New Roman"/>
          <w:sz w:val="24"/>
          <w:szCs w:val="24"/>
        </w:rPr>
        <w:t>. Heat Stress and Feed Restriction Distinctly Affect Performance, Carcass and Meat Yield, Intestinal Integrity, and Inflammatory (Chemo)Cytokines in Broiler Chickens. </w:t>
      </w:r>
      <w:r w:rsidRPr="00AD73FC">
        <w:rPr>
          <w:rFonts w:ascii="Times New Roman" w:hAnsi="Times New Roman" w:cs="Times New Roman"/>
          <w:i/>
          <w:iCs/>
          <w:sz w:val="24"/>
          <w:szCs w:val="24"/>
        </w:rPr>
        <w:t>Frontiers in physiology</w:t>
      </w:r>
      <w:r w:rsidRPr="00AD73FC">
        <w:rPr>
          <w:rFonts w:ascii="Times New Roman" w:hAnsi="Times New Roman" w:cs="Times New Roman"/>
          <w:sz w:val="24"/>
          <w:szCs w:val="24"/>
        </w:rPr>
        <w:t>, </w:t>
      </w:r>
      <w:r w:rsidRPr="00AD73FC">
        <w:rPr>
          <w:rFonts w:ascii="Times New Roman" w:hAnsi="Times New Roman" w:cs="Times New Roman"/>
          <w:i/>
          <w:iCs/>
          <w:sz w:val="24"/>
          <w:szCs w:val="24"/>
        </w:rPr>
        <w:t>12</w:t>
      </w:r>
      <w:r w:rsidRPr="00AD73FC">
        <w:rPr>
          <w:rFonts w:ascii="Times New Roman" w:hAnsi="Times New Roman" w:cs="Times New Roman"/>
          <w:sz w:val="24"/>
          <w:szCs w:val="24"/>
        </w:rPr>
        <w:t>, 707757. https://doi.org/10.3389/fphys.2021.707757</w:t>
      </w:r>
    </w:p>
    <w:p w14:paraId="637E57A6" w14:textId="50FECF6A" w:rsidR="00DC3F79" w:rsidRPr="00DC3F79" w:rsidRDefault="00C61FA3" w:rsidP="00DC3F79">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Bernabucci, U., Ronchi, B., </w:t>
      </w:r>
      <w:proofErr w:type="spellStart"/>
      <w:r w:rsidRPr="00AD73FC">
        <w:rPr>
          <w:rFonts w:ascii="Times New Roman" w:hAnsi="Times New Roman" w:cs="Times New Roman"/>
          <w:sz w:val="24"/>
          <w:szCs w:val="24"/>
        </w:rPr>
        <w:t>Lacetera</w:t>
      </w:r>
      <w:proofErr w:type="spellEnd"/>
      <w:r w:rsidRPr="00AD73FC">
        <w:rPr>
          <w:rFonts w:ascii="Times New Roman" w:hAnsi="Times New Roman" w:cs="Times New Roman"/>
          <w:sz w:val="24"/>
          <w:szCs w:val="24"/>
        </w:rPr>
        <w:t xml:space="preserve">, N., &amp; Nardone, A. </w:t>
      </w:r>
      <w:r w:rsidR="00981540">
        <w:rPr>
          <w:rFonts w:ascii="Times New Roman" w:hAnsi="Times New Roman" w:cs="Times New Roman"/>
          <w:sz w:val="24"/>
          <w:szCs w:val="24"/>
        </w:rPr>
        <w:t>(</w:t>
      </w:r>
      <w:r w:rsidRPr="00AD73FC">
        <w:rPr>
          <w:rFonts w:ascii="Times New Roman" w:hAnsi="Times New Roman" w:cs="Times New Roman"/>
          <w:sz w:val="24"/>
          <w:szCs w:val="24"/>
        </w:rPr>
        <w:t>2002</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Markers of oxidative status in plasma and erythrocytes of transition dairy cows during hot season. Journal of Dairy Science, 85, </w:t>
      </w:r>
      <w:r w:rsidR="00DC3F79" w:rsidRPr="00DC3F79">
        <w:rPr>
          <w:rFonts w:ascii="Times New Roman" w:hAnsi="Times New Roman" w:cs="Times New Roman"/>
          <w:sz w:val="24"/>
          <w:szCs w:val="24"/>
        </w:rPr>
        <w:t>2173-2179</w:t>
      </w:r>
      <w:r w:rsidRPr="00DC3F79">
        <w:rPr>
          <w:rFonts w:ascii="Times New Roman" w:hAnsi="Times New Roman" w:cs="Times New Roman"/>
          <w:sz w:val="24"/>
          <w:szCs w:val="24"/>
        </w:rPr>
        <w:t>.</w:t>
      </w:r>
      <w:r w:rsidR="00DC3F79">
        <w:rPr>
          <w:rFonts w:ascii="Times New Roman" w:hAnsi="Times New Roman" w:cs="Times New Roman"/>
          <w:sz w:val="24"/>
          <w:szCs w:val="24"/>
        </w:rPr>
        <w:t xml:space="preserve"> </w:t>
      </w:r>
      <w:r w:rsidR="00DC3F79" w:rsidRPr="00DC3F79">
        <w:rPr>
          <w:rFonts w:ascii="Times New Roman" w:hAnsi="Times New Roman" w:cs="Times New Roman"/>
          <w:sz w:val="24"/>
          <w:szCs w:val="24"/>
        </w:rPr>
        <w:t>DOI: 10.3168/</w:t>
      </w:r>
      <w:proofErr w:type="gramStart"/>
      <w:r w:rsidR="00DC3F79" w:rsidRPr="00DC3F79">
        <w:rPr>
          <w:rFonts w:ascii="Times New Roman" w:hAnsi="Times New Roman" w:cs="Times New Roman"/>
          <w:sz w:val="24"/>
          <w:szCs w:val="24"/>
        </w:rPr>
        <w:t>jds.S</w:t>
      </w:r>
      <w:proofErr w:type="gramEnd"/>
      <w:r w:rsidR="00DC3F79" w:rsidRPr="00DC3F79">
        <w:rPr>
          <w:rFonts w:ascii="Times New Roman" w:hAnsi="Times New Roman" w:cs="Times New Roman"/>
          <w:sz w:val="24"/>
          <w:szCs w:val="24"/>
        </w:rPr>
        <w:t>0022-0302(02)74296-3</w:t>
      </w:r>
    </w:p>
    <w:p w14:paraId="451F57D1" w14:textId="6646010A"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Altan, Ö., </w:t>
      </w:r>
      <w:proofErr w:type="spellStart"/>
      <w:r w:rsidRPr="00AD73FC">
        <w:rPr>
          <w:rFonts w:ascii="Times New Roman" w:hAnsi="Times New Roman" w:cs="Times New Roman"/>
          <w:sz w:val="24"/>
          <w:szCs w:val="24"/>
        </w:rPr>
        <w:t>Pabuçcuoǧlu</w:t>
      </w:r>
      <w:proofErr w:type="spellEnd"/>
      <w:r w:rsidRPr="00AD73FC">
        <w:rPr>
          <w:rFonts w:ascii="Times New Roman" w:hAnsi="Times New Roman" w:cs="Times New Roman"/>
          <w:sz w:val="24"/>
          <w:szCs w:val="24"/>
        </w:rPr>
        <w:t xml:space="preserve">, A., Altan, A., </w:t>
      </w:r>
      <w:proofErr w:type="spellStart"/>
      <w:r w:rsidRPr="00AD73FC">
        <w:rPr>
          <w:rFonts w:ascii="Times New Roman" w:hAnsi="Times New Roman" w:cs="Times New Roman"/>
          <w:sz w:val="24"/>
          <w:szCs w:val="24"/>
        </w:rPr>
        <w:t>Konyalioǧlu</w:t>
      </w:r>
      <w:proofErr w:type="spellEnd"/>
      <w:r w:rsidRPr="00AD73FC">
        <w:rPr>
          <w:rFonts w:ascii="Times New Roman" w:hAnsi="Times New Roman" w:cs="Times New Roman"/>
          <w:sz w:val="24"/>
          <w:szCs w:val="24"/>
        </w:rPr>
        <w:t xml:space="preserve">, S., &amp; Bayraktar, H. </w:t>
      </w:r>
      <w:r w:rsidR="00981540">
        <w:rPr>
          <w:rFonts w:ascii="Times New Roman" w:hAnsi="Times New Roman" w:cs="Times New Roman"/>
          <w:sz w:val="24"/>
          <w:szCs w:val="24"/>
        </w:rPr>
        <w:t>(</w:t>
      </w:r>
      <w:r w:rsidRPr="00AD73FC">
        <w:rPr>
          <w:rFonts w:ascii="Times New Roman" w:hAnsi="Times New Roman" w:cs="Times New Roman"/>
          <w:sz w:val="24"/>
          <w:szCs w:val="24"/>
        </w:rPr>
        <w:t>2003</w:t>
      </w:r>
      <w:r w:rsidR="00981540">
        <w:rPr>
          <w:rFonts w:ascii="Times New Roman" w:hAnsi="Times New Roman" w:cs="Times New Roman"/>
          <w:sz w:val="24"/>
          <w:szCs w:val="24"/>
        </w:rPr>
        <w:t>)</w:t>
      </w:r>
      <w:r w:rsidRPr="00AD73FC">
        <w:rPr>
          <w:rFonts w:ascii="Times New Roman" w:hAnsi="Times New Roman" w:cs="Times New Roman"/>
          <w:sz w:val="24"/>
          <w:szCs w:val="24"/>
        </w:rPr>
        <w:t>. Effect of heat stress on oxidative stress, lipid peroxidation and some stress parameters in broilers. British Poultry Science, 44(4), 545–550. https://doi.org/10.1080/00071660310001618334</w:t>
      </w:r>
    </w:p>
    <w:p w14:paraId="1CFD6C2A" w14:textId="5A5C32E9"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Kataria, N., Kataria, A. K., &amp; Maan, R. </w:t>
      </w:r>
      <w:r w:rsidR="00981540">
        <w:rPr>
          <w:rFonts w:ascii="Times New Roman" w:hAnsi="Times New Roman" w:cs="Times New Roman"/>
          <w:sz w:val="24"/>
          <w:szCs w:val="24"/>
        </w:rPr>
        <w:t>(</w:t>
      </w:r>
      <w:r w:rsidRPr="00AD73FC">
        <w:rPr>
          <w:rFonts w:ascii="Times New Roman" w:hAnsi="Times New Roman" w:cs="Times New Roman"/>
          <w:sz w:val="24"/>
          <w:szCs w:val="24"/>
        </w:rPr>
        <w:t>2010</w:t>
      </w:r>
      <w:r w:rsidR="00981540">
        <w:rPr>
          <w:rFonts w:ascii="Times New Roman" w:hAnsi="Times New Roman" w:cs="Times New Roman"/>
          <w:sz w:val="24"/>
          <w:szCs w:val="24"/>
        </w:rPr>
        <w:t>)</w:t>
      </w:r>
      <w:r w:rsidRPr="00AD73FC">
        <w:rPr>
          <w:rFonts w:ascii="Times New Roman" w:hAnsi="Times New Roman" w:cs="Times New Roman"/>
          <w:sz w:val="24"/>
          <w:szCs w:val="24"/>
        </w:rPr>
        <w:t>. Evaluation of oxidative stress due to hot environmental condition in healthy Marwari goats from arid tract in India. Philippine Journal of Veterinary and Animal Sciences, 36(2), 175-184.</w:t>
      </w:r>
    </w:p>
    <w:p w14:paraId="4C783A89" w14:textId="77777777" w:rsidR="0003107C" w:rsidRDefault="0003107C" w:rsidP="00AD73FC">
      <w:pPr>
        <w:pStyle w:val="ListParagraph"/>
        <w:numPr>
          <w:ilvl w:val="0"/>
          <w:numId w:val="4"/>
        </w:numPr>
        <w:spacing w:line="360" w:lineRule="auto"/>
        <w:jc w:val="both"/>
        <w:rPr>
          <w:rFonts w:ascii="Times New Roman" w:hAnsi="Times New Roman" w:cs="Times New Roman"/>
          <w:sz w:val="24"/>
          <w:szCs w:val="24"/>
        </w:rPr>
      </w:pPr>
      <w:r w:rsidRPr="0003107C">
        <w:rPr>
          <w:rFonts w:ascii="Times New Roman" w:hAnsi="Times New Roman" w:cs="Times New Roman"/>
          <w:sz w:val="24"/>
          <w:szCs w:val="24"/>
        </w:rPr>
        <w:t xml:space="preserve">Maan, R., Kataria, N., Pilania, P. K., Sharma, A., </w:t>
      </w:r>
      <w:proofErr w:type="spellStart"/>
      <w:r w:rsidRPr="0003107C">
        <w:rPr>
          <w:rFonts w:ascii="Times New Roman" w:hAnsi="Times New Roman" w:cs="Times New Roman"/>
          <w:sz w:val="24"/>
          <w:szCs w:val="24"/>
        </w:rPr>
        <w:t>Sankhala</w:t>
      </w:r>
      <w:proofErr w:type="spellEnd"/>
      <w:r w:rsidRPr="0003107C">
        <w:rPr>
          <w:rFonts w:ascii="Times New Roman" w:hAnsi="Times New Roman" w:cs="Times New Roman"/>
          <w:sz w:val="24"/>
          <w:szCs w:val="24"/>
        </w:rPr>
        <w:t>, L. N., &amp; Kataria, A. K. (2013). Fluctuations of serum glutathione reductase activities due to changes in extreme ambient temperatures in Marwari sheep from arid tracts. </w:t>
      </w:r>
      <w:r w:rsidRPr="0003107C">
        <w:rPr>
          <w:rFonts w:ascii="Times New Roman" w:hAnsi="Times New Roman" w:cs="Times New Roman"/>
          <w:i/>
          <w:iCs/>
          <w:sz w:val="24"/>
          <w:szCs w:val="24"/>
        </w:rPr>
        <w:t xml:space="preserve">Extreme Life, </w:t>
      </w:r>
      <w:proofErr w:type="spellStart"/>
      <w:r w:rsidRPr="0003107C">
        <w:rPr>
          <w:rFonts w:ascii="Times New Roman" w:hAnsi="Times New Roman" w:cs="Times New Roman"/>
          <w:i/>
          <w:iCs/>
          <w:sz w:val="24"/>
          <w:szCs w:val="24"/>
        </w:rPr>
        <w:t>Biospeology</w:t>
      </w:r>
      <w:proofErr w:type="spellEnd"/>
      <w:r w:rsidRPr="0003107C">
        <w:rPr>
          <w:rFonts w:ascii="Times New Roman" w:hAnsi="Times New Roman" w:cs="Times New Roman"/>
          <w:i/>
          <w:iCs/>
          <w:sz w:val="24"/>
          <w:szCs w:val="24"/>
        </w:rPr>
        <w:t xml:space="preserve"> and Astrobiology</w:t>
      </w:r>
      <w:r w:rsidRPr="0003107C">
        <w:rPr>
          <w:rFonts w:ascii="Times New Roman" w:hAnsi="Times New Roman" w:cs="Times New Roman"/>
          <w:sz w:val="24"/>
          <w:szCs w:val="24"/>
        </w:rPr>
        <w:t>, </w:t>
      </w:r>
      <w:r w:rsidRPr="0003107C">
        <w:rPr>
          <w:rFonts w:ascii="Times New Roman" w:hAnsi="Times New Roman" w:cs="Times New Roman"/>
          <w:i/>
          <w:iCs/>
          <w:sz w:val="24"/>
          <w:szCs w:val="24"/>
        </w:rPr>
        <w:t>5</w:t>
      </w:r>
      <w:r w:rsidRPr="0003107C">
        <w:rPr>
          <w:rFonts w:ascii="Times New Roman" w:hAnsi="Times New Roman" w:cs="Times New Roman"/>
          <w:sz w:val="24"/>
          <w:szCs w:val="24"/>
        </w:rPr>
        <w:t xml:space="preserve">(1), 9-13. </w:t>
      </w:r>
    </w:p>
    <w:p w14:paraId="72586235" w14:textId="1C332038" w:rsidR="00532271" w:rsidRPr="007F787C" w:rsidRDefault="00C61FA3" w:rsidP="007F787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Sahin, K., Orhan, C., Akdemir, F., </w:t>
      </w:r>
      <w:proofErr w:type="spellStart"/>
      <w:r w:rsidRPr="00AD73FC">
        <w:rPr>
          <w:rFonts w:ascii="Times New Roman" w:hAnsi="Times New Roman" w:cs="Times New Roman"/>
          <w:sz w:val="24"/>
          <w:szCs w:val="24"/>
        </w:rPr>
        <w:t>Tuzcu</w:t>
      </w:r>
      <w:proofErr w:type="spellEnd"/>
      <w:r w:rsidRPr="00AD73FC">
        <w:rPr>
          <w:rFonts w:ascii="Times New Roman" w:hAnsi="Times New Roman" w:cs="Times New Roman"/>
          <w:sz w:val="24"/>
          <w:szCs w:val="24"/>
        </w:rPr>
        <w:t xml:space="preserve">, M., Iben, C., &amp; Sahin, N. </w:t>
      </w:r>
      <w:r w:rsidR="00981540">
        <w:rPr>
          <w:rFonts w:ascii="Times New Roman" w:hAnsi="Times New Roman" w:cs="Times New Roman"/>
          <w:sz w:val="24"/>
          <w:szCs w:val="24"/>
        </w:rPr>
        <w:t>(</w:t>
      </w:r>
      <w:r w:rsidRPr="00AD73FC">
        <w:rPr>
          <w:rFonts w:ascii="Times New Roman" w:hAnsi="Times New Roman" w:cs="Times New Roman"/>
          <w:sz w:val="24"/>
          <w:szCs w:val="24"/>
        </w:rPr>
        <w:t>201</w:t>
      </w:r>
      <w:r w:rsidR="00906BF9">
        <w:rPr>
          <w:rFonts w:ascii="Times New Roman" w:hAnsi="Times New Roman" w:cs="Times New Roman"/>
          <w:sz w:val="24"/>
          <w:szCs w:val="24"/>
        </w:rPr>
        <w:t>2</w:t>
      </w:r>
      <w:r w:rsidR="00981540">
        <w:rPr>
          <w:rFonts w:ascii="Times New Roman" w:hAnsi="Times New Roman" w:cs="Times New Roman"/>
          <w:sz w:val="24"/>
          <w:szCs w:val="24"/>
        </w:rPr>
        <w:t>)</w:t>
      </w:r>
      <w:r w:rsidRPr="00AD73FC">
        <w:rPr>
          <w:rFonts w:ascii="Times New Roman" w:hAnsi="Times New Roman" w:cs="Times New Roman"/>
          <w:sz w:val="24"/>
          <w:szCs w:val="24"/>
        </w:rPr>
        <w:t>. Resveratrol protects quail hepatocytes against heat stress: modulation of the N</w:t>
      </w:r>
      <w:r w:rsidR="00906BF9">
        <w:rPr>
          <w:rFonts w:ascii="Times New Roman" w:hAnsi="Times New Roman" w:cs="Times New Roman"/>
          <w:sz w:val="24"/>
          <w:szCs w:val="24"/>
        </w:rPr>
        <w:t>rf</w:t>
      </w:r>
      <w:r w:rsidRPr="00AD73FC">
        <w:rPr>
          <w:rFonts w:ascii="Times New Roman" w:hAnsi="Times New Roman" w:cs="Times New Roman"/>
          <w:sz w:val="24"/>
          <w:szCs w:val="24"/>
        </w:rPr>
        <w:t>2 transcription factor and heat shock proteins. Journal of Animal Physiology and Animal Nutrition, 96(1), 66–74.</w:t>
      </w:r>
      <w:r w:rsidR="00906BF9">
        <w:rPr>
          <w:rFonts w:ascii="Times New Roman" w:hAnsi="Times New Roman" w:cs="Times New Roman"/>
          <w:sz w:val="24"/>
          <w:szCs w:val="24"/>
        </w:rPr>
        <w:t xml:space="preserve"> </w:t>
      </w:r>
      <w:r w:rsidR="00906BF9" w:rsidRPr="00906BF9">
        <w:rPr>
          <w:rFonts w:ascii="Times New Roman" w:hAnsi="Times New Roman" w:cs="Times New Roman"/>
          <w:sz w:val="24"/>
          <w:szCs w:val="24"/>
        </w:rPr>
        <w:t>DOI: 10.1111/j.1439-0396.</w:t>
      </w:r>
      <w:proofErr w:type="gramStart"/>
      <w:r w:rsidR="00906BF9" w:rsidRPr="00906BF9">
        <w:rPr>
          <w:rFonts w:ascii="Times New Roman" w:hAnsi="Times New Roman" w:cs="Times New Roman"/>
          <w:sz w:val="24"/>
          <w:szCs w:val="24"/>
        </w:rPr>
        <w:t>2010.01123.x</w:t>
      </w:r>
      <w:proofErr w:type="gramEnd"/>
    </w:p>
    <w:p w14:paraId="5D1D1FF7" w14:textId="2D235873"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Zachut</w:t>
      </w:r>
      <w:proofErr w:type="spellEnd"/>
      <w:r w:rsidRPr="00AD73FC">
        <w:rPr>
          <w:rFonts w:ascii="Times New Roman" w:hAnsi="Times New Roman" w:cs="Times New Roman"/>
          <w:sz w:val="24"/>
          <w:szCs w:val="24"/>
        </w:rPr>
        <w:t xml:space="preserve">, M., Kra, G., Livshitz, L., </w:t>
      </w:r>
      <w:proofErr w:type="spellStart"/>
      <w:r w:rsidRPr="00AD73FC">
        <w:rPr>
          <w:rFonts w:ascii="Times New Roman" w:hAnsi="Times New Roman" w:cs="Times New Roman"/>
          <w:sz w:val="24"/>
          <w:szCs w:val="24"/>
        </w:rPr>
        <w:t>Portnick</w:t>
      </w:r>
      <w:proofErr w:type="spellEnd"/>
      <w:r w:rsidRPr="00AD73FC">
        <w:rPr>
          <w:rFonts w:ascii="Times New Roman" w:hAnsi="Times New Roman" w:cs="Times New Roman"/>
          <w:sz w:val="24"/>
          <w:szCs w:val="24"/>
        </w:rPr>
        <w:t xml:space="preserve">, Y., </w:t>
      </w:r>
      <w:proofErr w:type="spellStart"/>
      <w:r w:rsidRPr="00AD73FC">
        <w:rPr>
          <w:rFonts w:ascii="Times New Roman" w:hAnsi="Times New Roman" w:cs="Times New Roman"/>
          <w:sz w:val="24"/>
          <w:szCs w:val="24"/>
        </w:rPr>
        <w:t>Yakoby</w:t>
      </w:r>
      <w:proofErr w:type="spellEnd"/>
      <w:r w:rsidRPr="00AD73FC">
        <w:rPr>
          <w:rFonts w:ascii="Times New Roman" w:hAnsi="Times New Roman" w:cs="Times New Roman"/>
          <w:sz w:val="24"/>
          <w:szCs w:val="24"/>
        </w:rPr>
        <w:t xml:space="preserve">, S., Friedlander, G., &amp; Levin, Y. </w:t>
      </w:r>
      <w:r w:rsidR="00981540">
        <w:rPr>
          <w:rFonts w:ascii="Times New Roman" w:hAnsi="Times New Roman" w:cs="Times New Roman"/>
          <w:sz w:val="24"/>
          <w:szCs w:val="24"/>
        </w:rPr>
        <w:t>(</w:t>
      </w:r>
      <w:r w:rsidRPr="00AD73FC">
        <w:rPr>
          <w:rFonts w:ascii="Times New Roman" w:hAnsi="Times New Roman" w:cs="Times New Roman"/>
          <w:sz w:val="24"/>
          <w:szCs w:val="24"/>
        </w:rPr>
        <w:t>2017</w:t>
      </w:r>
      <w:r w:rsidR="00981540">
        <w:rPr>
          <w:rFonts w:ascii="Times New Roman" w:hAnsi="Times New Roman" w:cs="Times New Roman"/>
          <w:sz w:val="24"/>
          <w:szCs w:val="24"/>
        </w:rPr>
        <w:t>)</w:t>
      </w:r>
      <w:r w:rsidRPr="00AD73FC">
        <w:rPr>
          <w:rFonts w:ascii="Times New Roman" w:hAnsi="Times New Roman" w:cs="Times New Roman"/>
          <w:sz w:val="24"/>
          <w:szCs w:val="24"/>
        </w:rPr>
        <w:t>. Seasonal heat stress affects adipose tissue proteome toward enrichment of the NRF-2-mediated oxidative stress response in late-pregnant dairy cows. Journal of Proteomics, 158, 52–61.</w:t>
      </w:r>
      <w:r w:rsidR="00532271">
        <w:rPr>
          <w:rFonts w:ascii="Times New Roman" w:hAnsi="Times New Roman" w:cs="Times New Roman"/>
          <w:sz w:val="24"/>
          <w:szCs w:val="24"/>
        </w:rPr>
        <w:t xml:space="preserve"> </w:t>
      </w:r>
      <w:r w:rsidR="00532271" w:rsidRPr="00532271">
        <w:rPr>
          <w:rFonts w:ascii="Times New Roman" w:hAnsi="Times New Roman" w:cs="Times New Roman"/>
          <w:sz w:val="24"/>
          <w:szCs w:val="24"/>
        </w:rPr>
        <w:t>DOI: 10.1016/j.jprot.2017.02.011</w:t>
      </w:r>
    </w:p>
    <w:p w14:paraId="41602CA2" w14:textId="1D9E92F9"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Chaudhary, S. S., Singh, V. K., Upadhyay, R. C., Puri, G., </w:t>
      </w:r>
      <w:proofErr w:type="spellStart"/>
      <w:r w:rsidRPr="00AD73FC">
        <w:rPr>
          <w:rFonts w:ascii="Times New Roman" w:hAnsi="Times New Roman" w:cs="Times New Roman"/>
          <w:sz w:val="24"/>
          <w:szCs w:val="24"/>
        </w:rPr>
        <w:t>Odedara</w:t>
      </w:r>
      <w:proofErr w:type="spellEnd"/>
      <w:r w:rsidRPr="00AD73FC">
        <w:rPr>
          <w:rFonts w:ascii="Times New Roman" w:hAnsi="Times New Roman" w:cs="Times New Roman"/>
          <w:sz w:val="24"/>
          <w:szCs w:val="24"/>
        </w:rPr>
        <w:t xml:space="preserve">, A. B., &amp; Patel, P. A. </w:t>
      </w:r>
      <w:r w:rsidR="00981540">
        <w:rPr>
          <w:rFonts w:ascii="Times New Roman" w:hAnsi="Times New Roman" w:cs="Times New Roman"/>
          <w:sz w:val="24"/>
          <w:szCs w:val="24"/>
        </w:rPr>
        <w:t>(</w:t>
      </w:r>
      <w:r w:rsidRPr="00AD73FC">
        <w:rPr>
          <w:rFonts w:ascii="Times New Roman" w:hAnsi="Times New Roman" w:cs="Times New Roman"/>
          <w:sz w:val="24"/>
          <w:szCs w:val="24"/>
        </w:rPr>
        <w:t>2015</w:t>
      </w:r>
      <w:r w:rsidR="00981540">
        <w:rPr>
          <w:rFonts w:ascii="Times New Roman" w:hAnsi="Times New Roman" w:cs="Times New Roman"/>
          <w:sz w:val="24"/>
          <w:szCs w:val="24"/>
        </w:rPr>
        <w:t>)</w:t>
      </w:r>
      <w:r w:rsidRPr="00AD73FC">
        <w:rPr>
          <w:rFonts w:ascii="Times New Roman" w:hAnsi="Times New Roman" w:cs="Times New Roman"/>
          <w:sz w:val="24"/>
          <w:szCs w:val="24"/>
        </w:rPr>
        <w:t>. Evaluation of physiological and biochemical responses in different seasons in Surti buffaloes. Veterinary World, 8(6), 727–731.</w:t>
      </w:r>
      <w:r w:rsidR="00532271">
        <w:rPr>
          <w:rFonts w:ascii="Times New Roman" w:hAnsi="Times New Roman" w:cs="Times New Roman"/>
          <w:sz w:val="24"/>
          <w:szCs w:val="24"/>
        </w:rPr>
        <w:t xml:space="preserve"> </w:t>
      </w:r>
      <w:r w:rsidR="00532271" w:rsidRPr="00532271">
        <w:rPr>
          <w:rFonts w:ascii="Times New Roman" w:hAnsi="Times New Roman" w:cs="Times New Roman"/>
          <w:sz w:val="24"/>
          <w:szCs w:val="24"/>
        </w:rPr>
        <w:t>DOI: 10.14202/vetworld.2015.727-731</w:t>
      </w:r>
    </w:p>
    <w:p w14:paraId="219D1DE4" w14:textId="08346819"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lastRenderedPageBreak/>
        <w:t>Rathwa</w:t>
      </w:r>
      <w:proofErr w:type="spellEnd"/>
      <w:r w:rsidRPr="00AD73FC">
        <w:rPr>
          <w:rFonts w:ascii="Times New Roman" w:hAnsi="Times New Roman" w:cs="Times New Roman"/>
          <w:sz w:val="24"/>
          <w:szCs w:val="24"/>
        </w:rPr>
        <w:t xml:space="preserve">, S. D., Vasava, A. A., Pathan, M. M., </w:t>
      </w:r>
      <w:proofErr w:type="spellStart"/>
      <w:r w:rsidRPr="00AD73FC">
        <w:rPr>
          <w:rFonts w:ascii="Times New Roman" w:hAnsi="Times New Roman" w:cs="Times New Roman"/>
          <w:sz w:val="24"/>
          <w:szCs w:val="24"/>
        </w:rPr>
        <w:t>Madhira</w:t>
      </w:r>
      <w:proofErr w:type="spellEnd"/>
      <w:r w:rsidRPr="00AD73FC">
        <w:rPr>
          <w:rFonts w:ascii="Times New Roman" w:hAnsi="Times New Roman" w:cs="Times New Roman"/>
          <w:sz w:val="24"/>
          <w:szCs w:val="24"/>
        </w:rPr>
        <w:t xml:space="preserve">, S. P., Patel, Y. G., &amp; Pande, A. M. </w:t>
      </w:r>
      <w:r w:rsidR="00981540">
        <w:rPr>
          <w:rFonts w:ascii="Times New Roman" w:hAnsi="Times New Roman" w:cs="Times New Roman"/>
          <w:sz w:val="24"/>
          <w:szCs w:val="24"/>
        </w:rPr>
        <w:t>(</w:t>
      </w:r>
      <w:r w:rsidRPr="00AD73FC">
        <w:rPr>
          <w:rFonts w:ascii="Times New Roman" w:hAnsi="Times New Roman" w:cs="Times New Roman"/>
          <w:sz w:val="24"/>
          <w:szCs w:val="24"/>
        </w:rPr>
        <w:t>2017</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Effect of season on physiological, biochemical, hormonal, and oxidative stress parameters of indigenous sheep. Veterinary world, 10(6), 650–654. </w:t>
      </w:r>
      <w:r w:rsidR="00906BF9" w:rsidRPr="00906BF9">
        <w:rPr>
          <w:rFonts w:ascii="Times New Roman" w:hAnsi="Times New Roman" w:cs="Times New Roman"/>
          <w:sz w:val="24"/>
          <w:szCs w:val="24"/>
        </w:rPr>
        <w:t>DOI: 10.14202/vetworld.2017.650-654</w:t>
      </w:r>
    </w:p>
    <w:p w14:paraId="239081E8" w14:textId="5186DA84"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Lakhani, P., Alhussien, M. N., Lakhani, N., Jindal, R., &amp; Nayyar, S. </w:t>
      </w:r>
      <w:r w:rsidR="00981540">
        <w:rPr>
          <w:rFonts w:ascii="Times New Roman" w:hAnsi="Times New Roman" w:cs="Times New Roman"/>
          <w:sz w:val="24"/>
          <w:szCs w:val="24"/>
        </w:rPr>
        <w:t>(</w:t>
      </w:r>
      <w:r w:rsidRPr="00AD73FC">
        <w:rPr>
          <w:rFonts w:ascii="Times New Roman" w:hAnsi="Times New Roman" w:cs="Times New Roman"/>
          <w:sz w:val="24"/>
          <w:szCs w:val="24"/>
        </w:rPr>
        <w:t>2018</w:t>
      </w:r>
      <w:r w:rsidR="00981540">
        <w:rPr>
          <w:rFonts w:ascii="Times New Roman" w:hAnsi="Times New Roman" w:cs="Times New Roman"/>
          <w:sz w:val="24"/>
          <w:szCs w:val="24"/>
        </w:rPr>
        <w:t>)</w:t>
      </w:r>
      <w:r w:rsidRPr="00AD73FC">
        <w:rPr>
          <w:rFonts w:ascii="Times New Roman" w:hAnsi="Times New Roman" w:cs="Times New Roman"/>
          <w:sz w:val="24"/>
          <w:szCs w:val="24"/>
        </w:rPr>
        <w:t>. Seasonal variation in physiological responses, stress and metabolic-related hormones, and oxidative status of Murrah buffaloes. Biological Rhythm Research, 1–9.</w:t>
      </w:r>
      <w:r w:rsidR="00A43499">
        <w:rPr>
          <w:rFonts w:ascii="Times New Roman" w:hAnsi="Times New Roman" w:cs="Times New Roman"/>
          <w:sz w:val="24"/>
          <w:szCs w:val="24"/>
        </w:rPr>
        <w:t xml:space="preserve"> </w:t>
      </w:r>
      <w:r w:rsidR="00A43499" w:rsidRPr="00A43499">
        <w:rPr>
          <w:rFonts w:ascii="Times New Roman" w:hAnsi="Times New Roman" w:cs="Times New Roman"/>
          <w:sz w:val="24"/>
          <w:szCs w:val="24"/>
        </w:rPr>
        <w:t>DOI: 10.1080/09291016.2018.1424775</w:t>
      </w:r>
    </w:p>
    <w:p w14:paraId="79D45F18" w14:textId="56F28D40"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Sahoo, R., Nayyar, S., Singh, C., </w:t>
      </w:r>
      <w:proofErr w:type="spellStart"/>
      <w:r w:rsidRPr="00AD73FC">
        <w:rPr>
          <w:rFonts w:ascii="Times New Roman" w:hAnsi="Times New Roman" w:cs="Times New Roman"/>
          <w:sz w:val="24"/>
          <w:szCs w:val="24"/>
        </w:rPr>
        <w:t>Kaswan</w:t>
      </w:r>
      <w:proofErr w:type="spellEnd"/>
      <w:r w:rsidRPr="00AD73FC">
        <w:rPr>
          <w:rFonts w:ascii="Times New Roman" w:hAnsi="Times New Roman" w:cs="Times New Roman"/>
          <w:sz w:val="24"/>
          <w:szCs w:val="24"/>
        </w:rPr>
        <w:t xml:space="preserve">, S., Kakkar, S. S., &amp; Jindal, R. </w:t>
      </w:r>
      <w:r w:rsidR="00981540">
        <w:rPr>
          <w:rFonts w:ascii="Times New Roman" w:hAnsi="Times New Roman" w:cs="Times New Roman"/>
          <w:sz w:val="24"/>
          <w:szCs w:val="24"/>
        </w:rPr>
        <w:t>(</w:t>
      </w:r>
      <w:r w:rsidRPr="00AD73FC">
        <w:rPr>
          <w:rFonts w:ascii="Times New Roman" w:hAnsi="Times New Roman" w:cs="Times New Roman"/>
          <w:sz w:val="24"/>
          <w:szCs w:val="24"/>
        </w:rPr>
        <w:t>2020</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Effect of fenugreek seeds and probiotic supplementation on antioxidant status and milk production in heat stressed </w:t>
      </w:r>
      <w:proofErr w:type="spellStart"/>
      <w:r w:rsidRPr="00AD73FC">
        <w:rPr>
          <w:rFonts w:ascii="Times New Roman" w:hAnsi="Times New Roman" w:cs="Times New Roman"/>
          <w:sz w:val="24"/>
          <w:szCs w:val="24"/>
        </w:rPr>
        <w:t>Beetal</w:t>
      </w:r>
      <w:proofErr w:type="spellEnd"/>
      <w:r w:rsidRPr="00AD73FC">
        <w:rPr>
          <w:rFonts w:ascii="Times New Roman" w:hAnsi="Times New Roman" w:cs="Times New Roman"/>
          <w:sz w:val="24"/>
          <w:szCs w:val="24"/>
        </w:rPr>
        <w:t xml:space="preserve"> Goats. Indian Journal of Animal Research, 54(11), 1379-1384.</w:t>
      </w:r>
      <w:r w:rsidR="00906BF9">
        <w:rPr>
          <w:rFonts w:ascii="Times New Roman" w:hAnsi="Times New Roman" w:cs="Times New Roman"/>
          <w:sz w:val="24"/>
          <w:szCs w:val="24"/>
        </w:rPr>
        <w:t xml:space="preserve"> </w:t>
      </w:r>
      <w:r w:rsidR="00906BF9" w:rsidRPr="00906BF9">
        <w:rPr>
          <w:rFonts w:ascii="Times New Roman" w:hAnsi="Times New Roman" w:cs="Times New Roman"/>
          <w:sz w:val="24"/>
          <w:szCs w:val="24"/>
        </w:rPr>
        <w:t>DOI: 10.18805/</w:t>
      </w:r>
      <w:proofErr w:type="gramStart"/>
      <w:r w:rsidR="00906BF9" w:rsidRPr="00906BF9">
        <w:rPr>
          <w:rFonts w:ascii="Times New Roman" w:hAnsi="Times New Roman" w:cs="Times New Roman"/>
          <w:sz w:val="24"/>
          <w:szCs w:val="24"/>
        </w:rPr>
        <w:t>ijar.B</w:t>
      </w:r>
      <w:proofErr w:type="gramEnd"/>
      <w:r w:rsidR="00906BF9" w:rsidRPr="00906BF9">
        <w:rPr>
          <w:rFonts w:ascii="Times New Roman" w:hAnsi="Times New Roman" w:cs="Times New Roman"/>
          <w:sz w:val="24"/>
          <w:szCs w:val="24"/>
        </w:rPr>
        <w:t>-3892</w:t>
      </w:r>
    </w:p>
    <w:p w14:paraId="6351164D" w14:textId="18298212"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Karthik, D., Suresh, J., Reddy, Y. R., Sharma, G. R. K., Ramana, J. V., Gangaraju, G., Reddy, P. P. R., Reddy, Y. P. K., Yasaswini, D., </w:t>
      </w:r>
      <w:proofErr w:type="spellStart"/>
      <w:r w:rsidRPr="00AD73FC">
        <w:rPr>
          <w:rFonts w:ascii="Times New Roman" w:hAnsi="Times New Roman" w:cs="Times New Roman"/>
          <w:sz w:val="24"/>
          <w:szCs w:val="24"/>
        </w:rPr>
        <w:t>Adegbeye</w:t>
      </w:r>
      <w:proofErr w:type="spellEnd"/>
      <w:r w:rsidRPr="00AD73FC">
        <w:rPr>
          <w:rFonts w:ascii="Times New Roman" w:hAnsi="Times New Roman" w:cs="Times New Roman"/>
          <w:sz w:val="24"/>
          <w:szCs w:val="24"/>
        </w:rPr>
        <w:t xml:space="preserve">, M. J., &amp; Reddy, P. R. K. </w:t>
      </w:r>
      <w:r w:rsidR="00981540">
        <w:rPr>
          <w:rFonts w:ascii="Times New Roman" w:hAnsi="Times New Roman" w:cs="Times New Roman"/>
          <w:sz w:val="24"/>
          <w:szCs w:val="24"/>
        </w:rPr>
        <w:t>(</w:t>
      </w:r>
      <w:r w:rsidRPr="00AD73FC">
        <w:rPr>
          <w:rFonts w:ascii="Times New Roman" w:hAnsi="Times New Roman" w:cs="Times New Roman"/>
          <w:sz w:val="24"/>
          <w:szCs w:val="24"/>
        </w:rPr>
        <w:t>2021</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Adaptive profiles of Nellore sheep with reference to farming system and season: physiological, </w:t>
      </w:r>
      <w:proofErr w:type="spellStart"/>
      <w:r w:rsidRPr="00AD73FC">
        <w:rPr>
          <w:rFonts w:ascii="Times New Roman" w:hAnsi="Times New Roman" w:cs="Times New Roman"/>
          <w:sz w:val="24"/>
          <w:szCs w:val="24"/>
        </w:rPr>
        <w:t>hemato</w:t>
      </w:r>
      <w:proofErr w:type="spellEnd"/>
      <w:r w:rsidRPr="00AD73FC">
        <w:rPr>
          <w:rFonts w:ascii="Times New Roman" w:hAnsi="Times New Roman" w:cs="Times New Roman"/>
          <w:sz w:val="24"/>
          <w:szCs w:val="24"/>
        </w:rPr>
        <w:t xml:space="preserve">-biochemical, hormonal, oxidative-enzymatic and reproductive standpoint. </w:t>
      </w:r>
      <w:proofErr w:type="spellStart"/>
      <w:r w:rsidRPr="00AD73FC">
        <w:rPr>
          <w:rFonts w:ascii="Times New Roman" w:hAnsi="Times New Roman" w:cs="Times New Roman"/>
          <w:sz w:val="24"/>
          <w:szCs w:val="24"/>
        </w:rPr>
        <w:t>Heliyon</w:t>
      </w:r>
      <w:proofErr w:type="spellEnd"/>
      <w:r w:rsidRPr="00AD73FC">
        <w:rPr>
          <w:rFonts w:ascii="Times New Roman" w:hAnsi="Times New Roman" w:cs="Times New Roman"/>
          <w:sz w:val="24"/>
          <w:szCs w:val="24"/>
        </w:rPr>
        <w:t>, 7(5), e07117. https://doi.org/10.1016/j.heliyon.2021.e07117</w:t>
      </w:r>
    </w:p>
    <w:p w14:paraId="2A726FF4" w14:textId="5D79287E" w:rsidR="00C61FA3" w:rsidRPr="00B34351" w:rsidRDefault="00C61FA3" w:rsidP="00B34351">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Obeagu</w:t>
      </w:r>
      <w:proofErr w:type="spellEnd"/>
      <w:r w:rsidRPr="00AD73FC">
        <w:rPr>
          <w:rFonts w:ascii="Times New Roman" w:hAnsi="Times New Roman" w:cs="Times New Roman"/>
          <w:sz w:val="24"/>
          <w:szCs w:val="24"/>
        </w:rPr>
        <w:t xml:space="preserve">, E. I., Igwe, M. C., &amp; </w:t>
      </w:r>
      <w:proofErr w:type="spellStart"/>
      <w:r w:rsidRPr="00AD73FC">
        <w:rPr>
          <w:rFonts w:ascii="Times New Roman" w:hAnsi="Times New Roman" w:cs="Times New Roman"/>
          <w:sz w:val="24"/>
          <w:szCs w:val="24"/>
        </w:rPr>
        <w:t>Obeagu</w:t>
      </w:r>
      <w:proofErr w:type="spellEnd"/>
      <w:r w:rsidRPr="00AD73FC">
        <w:rPr>
          <w:rFonts w:ascii="Times New Roman" w:hAnsi="Times New Roman" w:cs="Times New Roman"/>
          <w:sz w:val="24"/>
          <w:szCs w:val="24"/>
        </w:rPr>
        <w:t>, G. U. (2024). Oxidative stress’s impact on red blood cells: Unveiling implications for health and disease. </w:t>
      </w:r>
      <w:r w:rsidRPr="00AD73FC">
        <w:rPr>
          <w:rFonts w:ascii="Times New Roman" w:hAnsi="Times New Roman" w:cs="Times New Roman"/>
          <w:i/>
          <w:iCs/>
          <w:sz w:val="24"/>
          <w:szCs w:val="24"/>
        </w:rPr>
        <w:t>Medicine</w:t>
      </w:r>
      <w:r w:rsidRPr="00AD73FC">
        <w:rPr>
          <w:rFonts w:ascii="Times New Roman" w:hAnsi="Times New Roman" w:cs="Times New Roman"/>
          <w:sz w:val="24"/>
          <w:szCs w:val="24"/>
        </w:rPr>
        <w:t>, </w:t>
      </w:r>
      <w:r w:rsidRPr="00AD73FC">
        <w:rPr>
          <w:rFonts w:ascii="Times New Roman" w:hAnsi="Times New Roman" w:cs="Times New Roman"/>
          <w:i/>
          <w:iCs/>
          <w:sz w:val="24"/>
          <w:szCs w:val="24"/>
        </w:rPr>
        <w:t>103</w:t>
      </w:r>
      <w:r w:rsidRPr="00AD73FC">
        <w:rPr>
          <w:rFonts w:ascii="Times New Roman" w:hAnsi="Times New Roman" w:cs="Times New Roman"/>
          <w:sz w:val="24"/>
          <w:szCs w:val="24"/>
        </w:rPr>
        <w:t>(9), e37360.</w:t>
      </w:r>
      <w:r w:rsidR="00B34351">
        <w:rPr>
          <w:rFonts w:ascii="Times New Roman" w:hAnsi="Times New Roman" w:cs="Times New Roman"/>
          <w:sz w:val="24"/>
          <w:szCs w:val="24"/>
        </w:rPr>
        <w:t xml:space="preserve"> </w:t>
      </w:r>
      <w:r w:rsidR="00B34351" w:rsidRPr="00B34351">
        <w:rPr>
          <w:rFonts w:ascii="Times New Roman" w:hAnsi="Times New Roman" w:cs="Times New Roman"/>
          <w:sz w:val="24"/>
          <w:szCs w:val="24"/>
        </w:rPr>
        <w:t>DOI: </w:t>
      </w:r>
      <w:hyperlink r:id="rId17" w:tgtFrame="_blank" w:history="1">
        <w:r w:rsidR="00B34351" w:rsidRPr="00B34351">
          <w:rPr>
            <w:rStyle w:val="Hyperlink"/>
            <w:rFonts w:ascii="Times New Roman" w:hAnsi="Times New Roman" w:cs="Times New Roman"/>
            <w:sz w:val="24"/>
            <w:szCs w:val="24"/>
          </w:rPr>
          <w:t>10.1097/MD.0000000000037360</w:t>
        </w:r>
      </w:hyperlink>
    </w:p>
    <w:p w14:paraId="525CE751" w14:textId="44FA6DDA"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Gaschler, M. M., &amp; Stockwell, B. R. </w:t>
      </w:r>
      <w:r w:rsidR="00981540">
        <w:rPr>
          <w:rFonts w:ascii="Times New Roman" w:hAnsi="Times New Roman" w:cs="Times New Roman"/>
          <w:sz w:val="24"/>
          <w:szCs w:val="24"/>
        </w:rPr>
        <w:t>(</w:t>
      </w:r>
      <w:r w:rsidRPr="00AD73FC">
        <w:rPr>
          <w:rFonts w:ascii="Times New Roman" w:hAnsi="Times New Roman" w:cs="Times New Roman"/>
          <w:sz w:val="24"/>
          <w:szCs w:val="24"/>
        </w:rPr>
        <w:t>2017</w:t>
      </w:r>
      <w:r w:rsidR="00981540">
        <w:rPr>
          <w:rFonts w:ascii="Times New Roman" w:hAnsi="Times New Roman" w:cs="Times New Roman"/>
          <w:sz w:val="24"/>
          <w:szCs w:val="24"/>
        </w:rPr>
        <w:t>)</w:t>
      </w:r>
      <w:r w:rsidRPr="00AD73FC">
        <w:rPr>
          <w:rFonts w:ascii="Times New Roman" w:hAnsi="Times New Roman" w:cs="Times New Roman"/>
          <w:sz w:val="24"/>
          <w:szCs w:val="24"/>
        </w:rPr>
        <w:t>. Lipid peroxidation in cell death. </w:t>
      </w:r>
      <w:r w:rsidRPr="00AD73FC">
        <w:rPr>
          <w:rFonts w:ascii="Times New Roman" w:hAnsi="Times New Roman" w:cs="Times New Roman"/>
          <w:i/>
          <w:iCs/>
          <w:sz w:val="24"/>
          <w:szCs w:val="24"/>
        </w:rPr>
        <w:t>Biochemical and biophysical research communications</w:t>
      </w:r>
      <w:r w:rsidRPr="00AD73FC">
        <w:rPr>
          <w:rFonts w:ascii="Times New Roman" w:hAnsi="Times New Roman" w:cs="Times New Roman"/>
          <w:sz w:val="24"/>
          <w:szCs w:val="24"/>
        </w:rPr>
        <w:t>, </w:t>
      </w:r>
      <w:r w:rsidRPr="00AD73FC">
        <w:rPr>
          <w:rFonts w:ascii="Times New Roman" w:hAnsi="Times New Roman" w:cs="Times New Roman"/>
          <w:i/>
          <w:iCs/>
          <w:sz w:val="24"/>
          <w:szCs w:val="24"/>
        </w:rPr>
        <w:t>482</w:t>
      </w:r>
      <w:r w:rsidRPr="00AD73FC">
        <w:rPr>
          <w:rFonts w:ascii="Times New Roman" w:hAnsi="Times New Roman" w:cs="Times New Roman"/>
          <w:sz w:val="24"/>
          <w:szCs w:val="24"/>
        </w:rPr>
        <w:t xml:space="preserve">(3), 419–425. </w:t>
      </w:r>
      <w:hyperlink r:id="rId18" w:history="1">
        <w:r w:rsidRPr="00AD73FC">
          <w:rPr>
            <w:rStyle w:val="Hyperlink"/>
            <w:rFonts w:ascii="Times New Roman" w:hAnsi="Times New Roman" w:cs="Times New Roman"/>
            <w:color w:val="auto"/>
            <w:sz w:val="24"/>
            <w:szCs w:val="24"/>
            <w:u w:val="none"/>
          </w:rPr>
          <w:t>https://doi.org/10.1016/j.bbrc.2016.10.086</w:t>
        </w:r>
      </w:hyperlink>
    </w:p>
    <w:p w14:paraId="38D1681B" w14:textId="1111E99F"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Eze, C. C., </w:t>
      </w:r>
      <w:proofErr w:type="spellStart"/>
      <w:r w:rsidRPr="00AD73FC">
        <w:rPr>
          <w:rFonts w:ascii="Times New Roman" w:hAnsi="Times New Roman" w:cs="Times New Roman"/>
          <w:sz w:val="24"/>
          <w:szCs w:val="24"/>
        </w:rPr>
        <w:t>Nwamba</w:t>
      </w:r>
      <w:proofErr w:type="spellEnd"/>
      <w:r w:rsidRPr="00AD73FC">
        <w:rPr>
          <w:rFonts w:ascii="Times New Roman" w:hAnsi="Times New Roman" w:cs="Times New Roman"/>
          <w:sz w:val="24"/>
          <w:szCs w:val="24"/>
        </w:rPr>
        <w:t xml:space="preserve">, H. O., </w:t>
      </w:r>
      <w:proofErr w:type="spellStart"/>
      <w:r w:rsidRPr="00AD73FC">
        <w:rPr>
          <w:rFonts w:ascii="Times New Roman" w:hAnsi="Times New Roman" w:cs="Times New Roman"/>
          <w:sz w:val="24"/>
          <w:szCs w:val="24"/>
        </w:rPr>
        <w:t>Omeje</w:t>
      </w:r>
      <w:proofErr w:type="spellEnd"/>
      <w:r w:rsidRPr="00AD73FC">
        <w:rPr>
          <w:rFonts w:ascii="Times New Roman" w:hAnsi="Times New Roman" w:cs="Times New Roman"/>
          <w:sz w:val="24"/>
          <w:szCs w:val="24"/>
        </w:rPr>
        <w:t xml:space="preserve">, F. U., </w:t>
      </w:r>
      <w:proofErr w:type="spellStart"/>
      <w:r w:rsidRPr="00AD73FC">
        <w:rPr>
          <w:rFonts w:ascii="Times New Roman" w:hAnsi="Times New Roman" w:cs="Times New Roman"/>
          <w:sz w:val="24"/>
          <w:szCs w:val="24"/>
        </w:rPr>
        <w:t>Anukwu</w:t>
      </w:r>
      <w:proofErr w:type="spellEnd"/>
      <w:r w:rsidRPr="00AD73FC">
        <w:rPr>
          <w:rFonts w:ascii="Times New Roman" w:hAnsi="Times New Roman" w:cs="Times New Roman"/>
          <w:sz w:val="24"/>
          <w:szCs w:val="24"/>
        </w:rPr>
        <w:t>, J. U., Okpe, M. N., &amp; Nwani, C. D. (2021). Effects of diclofenac on the oxidative stress parameters of freshwater fish Oreochromis niloticus. </w:t>
      </w:r>
      <w:r w:rsidRPr="00AD73FC">
        <w:rPr>
          <w:rFonts w:ascii="Times New Roman" w:hAnsi="Times New Roman" w:cs="Times New Roman"/>
          <w:i/>
          <w:iCs/>
          <w:sz w:val="24"/>
          <w:szCs w:val="24"/>
        </w:rPr>
        <w:t>Journal of Applied Life Sciences International</w:t>
      </w:r>
      <w:r w:rsidRPr="00AD73FC">
        <w:rPr>
          <w:rFonts w:ascii="Times New Roman" w:hAnsi="Times New Roman" w:cs="Times New Roman"/>
          <w:sz w:val="24"/>
          <w:szCs w:val="24"/>
        </w:rPr>
        <w:t>, </w:t>
      </w:r>
      <w:r w:rsidRPr="00AD73FC">
        <w:rPr>
          <w:rFonts w:ascii="Times New Roman" w:hAnsi="Times New Roman" w:cs="Times New Roman"/>
          <w:i/>
          <w:iCs/>
          <w:sz w:val="24"/>
          <w:szCs w:val="24"/>
        </w:rPr>
        <w:t>24</w:t>
      </w:r>
      <w:r w:rsidRPr="00AD73FC">
        <w:rPr>
          <w:rFonts w:ascii="Times New Roman" w:hAnsi="Times New Roman" w:cs="Times New Roman"/>
          <w:sz w:val="24"/>
          <w:szCs w:val="24"/>
        </w:rPr>
        <w:t>(10), 44-51.</w:t>
      </w:r>
      <w:r w:rsidRPr="00410B9B">
        <w:t xml:space="preserve"> </w:t>
      </w:r>
      <w:r w:rsidRPr="00AD73FC">
        <w:rPr>
          <w:rFonts w:ascii="Times New Roman" w:hAnsi="Times New Roman" w:cs="Times New Roman"/>
          <w:sz w:val="24"/>
          <w:szCs w:val="24"/>
        </w:rPr>
        <w:t>https://doi.org/10.9734/jalsi/2021/v24i1030267</w:t>
      </w:r>
    </w:p>
    <w:p w14:paraId="437D2724" w14:textId="296AD575"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Cui, Y., Wang, C., Hao, Y., Gu, X., &amp; Wang, H. </w:t>
      </w:r>
      <w:r w:rsidR="00981540">
        <w:rPr>
          <w:rFonts w:ascii="Times New Roman" w:hAnsi="Times New Roman" w:cs="Times New Roman"/>
          <w:sz w:val="24"/>
          <w:szCs w:val="24"/>
        </w:rPr>
        <w:t>(</w:t>
      </w:r>
      <w:r w:rsidRPr="00AD73FC">
        <w:rPr>
          <w:rFonts w:ascii="Times New Roman" w:hAnsi="Times New Roman" w:cs="Times New Roman"/>
          <w:sz w:val="24"/>
          <w:szCs w:val="24"/>
        </w:rPr>
        <w:t>2019</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Chronic heat stress induces acute phase responses and serum metabolome changes in finishing pigs. Animals, 9(7). </w:t>
      </w:r>
      <w:hyperlink r:id="rId19" w:history="1">
        <w:r w:rsidRPr="00AD73FC">
          <w:rPr>
            <w:rStyle w:val="Hyperlink"/>
            <w:rFonts w:ascii="Times New Roman" w:hAnsi="Times New Roman" w:cs="Times New Roman"/>
            <w:color w:val="auto"/>
            <w:sz w:val="24"/>
            <w:szCs w:val="24"/>
            <w:u w:val="none"/>
          </w:rPr>
          <w:t>https://doi.org/10.3390/ani9070395</w:t>
        </w:r>
      </w:hyperlink>
    </w:p>
    <w:p w14:paraId="02DD79E4" w14:textId="350793D3"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Fibach</w:t>
      </w:r>
      <w:proofErr w:type="spellEnd"/>
      <w:r w:rsidRPr="00AD73FC">
        <w:rPr>
          <w:rFonts w:ascii="Times New Roman" w:hAnsi="Times New Roman" w:cs="Times New Roman"/>
          <w:sz w:val="24"/>
          <w:szCs w:val="24"/>
        </w:rPr>
        <w:t xml:space="preserve">, E., &amp; </w:t>
      </w:r>
      <w:proofErr w:type="spellStart"/>
      <w:r w:rsidRPr="00AD73FC">
        <w:rPr>
          <w:rFonts w:ascii="Times New Roman" w:hAnsi="Times New Roman" w:cs="Times New Roman"/>
          <w:sz w:val="24"/>
          <w:szCs w:val="24"/>
        </w:rPr>
        <w:t>Rachmilewitz</w:t>
      </w:r>
      <w:proofErr w:type="spellEnd"/>
      <w:r w:rsidRPr="00AD73FC">
        <w:rPr>
          <w:rFonts w:ascii="Times New Roman" w:hAnsi="Times New Roman" w:cs="Times New Roman"/>
          <w:sz w:val="24"/>
          <w:szCs w:val="24"/>
        </w:rPr>
        <w:t xml:space="preserve">, E. (2008). The role of oxidative stress in </w:t>
      </w:r>
      <w:proofErr w:type="spellStart"/>
      <w:r w:rsidRPr="00AD73FC">
        <w:rPr>
          <w:rFonts w:ascii="Times New Roman" w:hAnsi="Times New Roman" w:cs="Times New Roman"/>
          <w:sz w:val="24"/>
          <w:szCs w:val="24"/>
        </w:rPr>
        <w:t>hemolytic</w:t>
      </w:r>
      <w:proofErr w:type="spellEnd"/>
      <w:r w:rsidRPr="00AD73FC">
        <w:rPr>
          <w:rFonts w:ascii="Times New Roman" w:hAnsi="Times New Roman" w:cs="Times New Roman"/>
          <w:sz w:val="24"/>
          <w:szCs w:val="24"/>
        </w:rPr>
        <w:t xml:space="preserve"> </w:t>
      </w:r>
      <w:proofErr w:type="spellStart"/>
      <w:r w:rsidRPr="00AD73FC">
        <w:rPr>
          <w:rFonts w:ascii="Times New Roman" w:hAnsi="Times New Roman" w:cs="Times New Roman"/>
          <w:sz w:val="24"/>
          <w:szCs w:val="24"/>
        </w:rPr>
        <w:t>anemia</w:t>
      </w:r>
      <w:proofErr w:type="spellEnd"/>
      <w:r w:rsidRPr="00AD73FC">
        <w:rPr>
          <w:rFonts w:ascii="Times New Roman" w:hAnsi="Times New Roman" w:cs="Times New Roman"/>
          <w:sz w:val="24"/>
          <w:szCs w:val="24"/>
        </w:rPr>
        <w:t>. </w:t>
      </w:r>
      <w:r w:rsidRPr="00AD73FC">
        <w:rPr>
          <w:rFonts w:ascii="Times New Roman" w:hAnsi="Times New Roman" w:cs="Times New Roman"/>
          <w:i/>
          <w:iCs/>
          <w:sz w:val="24"/>
          <w:szCs w:val="24"/>
        </w:rPr>
        <w:t>Current molecular medicine</w:t>
      </w:r>
      <w:r w:rsidRPr="00AD73FC">
        <w:rPr>
          <w:rFonts w:ascii="Times New Roman" w:hAnsi="Times New Roman" w:cs="Times New Roman"/>
          <w:sz w:val="24"/>
          <w:szCs w:val="24"/>
        </w:rPr>
        <w:t>, </w:t>
      </w:r>
      <w:r w:rsidRPr="00AD73FC">
        <w:rPr>
          <w:rFonts w:ascii="Times New Roman" w:hAnsi="Times New Roman" w:cs="Times New Roman"/>
          <w:i/>
          <w:iCs/>
          <w:sz w:val="24"/>
          <w:szCs w:val="24"/>
        </w:rPr>
        <w:t>8</w:t>
      </w:r>
      <w:r w:rsidRPr="00AD73FC">
        <w:rPr>
          <w:rFonts w:ascii="Times New Roman" w:hAnsi="Times New Roman" w:cs="Times New Roman"/>
          <w:sz w:val="24"/>
          <w:szCs w:val="24"/>
        </w:rPr>
        <w:t>(7), 609–619. https://doi.org/10.2174/156652408786241384</w:t>
      </w:r>
    </w:p>
    <w:p w14:paraId="5493AF5F" w14:textId="32CC9658"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Koubková</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M</w:t>
      </w:r>
      <w:r w:rsidR="00981540">
        <w:rPr>
          <w:rFonts w:ascii="Times New Roman" w:hAnsi="Times New Roman" w:cs="Times New Roman"/>
          <w:sz w:val="24"/>
          <w:szCs w:val="24"/>
        </w:rPr>
        <w:t>.</w:t>
      </w:r>
      <w:r w:rsidRPr="00AD73FC">
        <w:rPr>
          <w:rFonts w:ascii="Times New Roman" w:hAnsi="Times New Roman" w:cs="Times New Roman"/>
          <w:sz w:val="24"/>
          <w:szCs w:val="24"/>
        </w:rPr>
        <w:t>, Knížková</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I</w:t>
      </w:r>
      <w:r w:rsidR="00981540">
        <w:rPr>
          <w:rFonts w:ascii="Times New Roman" w:hAnsi="Times New Roman" w:cs="Times New Roman"/>
          <w:sz w:val="24"/>
          <w:szCs w:val="24"/>
        </w:rPr>
        <w:t>.</w:t>
      </w:r>
      <w:r w:rsidRPr="00AD73FC">
        <w:rPr>
          <w:rFonts w:ascii="Times New Roman" w:hAnsi="Times New Roman" w:cs="Times New Roman"/>
          <w:sz w:val="24"/>
          <w:szCs w:val="24"/>
        </w:rPr>
        <w:t>, Kunc</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P</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t>
      </w:r>
      <w:proofErr w:type="spellStart"/>
      <w:r w:rsidRPr="00AD73FC">
        <w:rPr>
          <w:rFonts w:ascii="Times New Roman" w:hAnsi="Times New Roman" w:cs="Times New Roman"/>
          <w:sz w:val="24"/>
          <w:szCs w:val="24"/>
        </w:rPr>
        <w:t>Härtlová</w:t>
      </w:r>
      <w:proofErr w:type="spellEnd"/>
      <w:r w:rsidR="00981540">
        <w:rPr>
          <w:rFonts w:ascii="Times New Roman" w:hAnsi="Times New Roman" w:cs="Times New Roman"/>
          <w:sz w:val="24"/>
          <w:szCs w:val="24"/>
        </w:rPr>
        <w:t>,</w:t>
      </w:r>
      <w:r w:rsidRPr="00AD73FC">
        <w:rPr>
          <w:rFonts w:ascii="Times New Roman" w:hAnsi="Times New Roman" w:cs="Times New Roman"/>
          <w:sz w:val="24"/>
          <w:szCs w:val="24"/>
        </w:rPr>
        <w:t xml:space="preserve"> H</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t>
      </w:r>
      <w:proofErr w:type="spellStart"/>
      <w:r w:rsidRPr="00AD73FC">
        <w:rPr>
          <w:rFonts w:ascii="Times New Roman" w:hAnsi="Times New Roman" w:cs="Times New Roman"/>
          <w:sz w:val="24"/>
          <w:szCs w:val="24"/>
        </w:rPr>
        <w:t>Flusser</w:t>
      </w:r>
      <w:proofErr w:type="spellEnd"/>
      <w:r w:rsidR="00981540">
        <w:rPr>
          <w:rFonts w:ascii="Times New Roman" w:hAnsi="Times New Roman" w:cs="Times New Roman"/>
          <w:sz w:val="24"/>
          <w:szCs w:val="24"/>
        </w:rPr>
        <w:t>,</w:t>
      </w:r>
      <w:r w:rsidRPr="00AD73FC">
        <w:rPr>
          <w:rFonts w:ascii="Times New Roman" w:hAnsi="Times New Roman" w:cs="Times New Roman"/>
          <w:sz w:val="24"/>
          <w:szCs w:val="24"/>
        </w:rPr>
        <w:t xml:space="preserve"> J</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t>
      </w:r>
      <w:r w:rsidR="00981540">
        <w:rPr>
          <w:rFonts w:ascii="Times New Roman" w:hAnsi="Times New Roman" w:cs="Times New Roman"/>
          <w:sz w:val="24"/>
          <w:szCs w:val="24"/>
        </w:rPr>
        <w:t xml:space="preserve">&amp; </w:t>
      </w:r>
      <w:r w:rsidRPr="00AD73FC">
        <w:rPr>
          <w:rFonts w:ascii="Times New Roman" w:hAnsi="Times New Roman" w:cs="Times New Roman"/>
          <w:sz w:val="24"/>
          <w:szCs w:val="24"/>
        </w:rPr>
        <w:t>Doležal</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O. </w:t>
      </w:r>
      <w:r w:rsidR="00981540">
        <w:rPr>
          <w:rFonts w:ascii="Times New Roman" w:hAnsi="Times New Roman" w:cs="Times New Roman"/>
          <w:sz w:val="24"/>
          <w:szCs w:val="24"/>
        </w:rPr>
        <w:t>(</w:t>
      </w:r>
      <w:r w:rsidRPr="00AD73FC">
        <w:rPr>
          <w:rFonts w:ascii="Times New Roman" w:hAnsi="Times New Roman" w:cs="Times New Roman"/>
          <w:sz w:val="24"/>
          <w:szCs w:val="24"/>
        </w:rPr>
        <w:t>2002</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Influence of high environmental temperatures and evaporative cooling on some physiological, </w:t>
      </w:r>
      <w:proofErr w:type="spellStart"/>
      <w:r w:rsidRPr="00AD73FC">
        <w:rPr>
          <w:rFonts w:ascii="Times New Roman" w:hAnsi="Times New Roman" w:cs="Times New Roman"/>
          <w:sz w:val="24"/>
          <w:szCs w:val="24"/>
        </w:rPr>
        <w:lastRenderedPageBreak/>
        <w:t>hematological</w:t>
      </w:r>
      <w:proofErr w:type="spellEnd"/>
      <w:r w:rsidRPr="00AD73FC">
        <w:rPr>
          <w:rFonts w:ascii="Times New Roman" w:hAnsi="Times New Roman" w:cs="Times New Roman"/>
          <w:sz w:val="24"/>
          <w:szCs w:val="24"/>
        </w:rPr>
        <w:t xml:space="preserve"> and biochemical parameters in high-yielding dairy cows. Czech J Anim Sci., 47(8), 309-318.</w:t>
      </w:r>
    </w:p>
    <w:p w14:paraId="197C5271" w14:textId="07246A58"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Mayengbam</w:t>
      </w:r>
      <w:proofErr w:type="spellEnd"/>
      <w:r w:rsidRPr="00AD73FC">
        <w:rPr>
          <w:rFonts w:ascii="Times New Roman" w:hAnsi="Times New Roman" w:cs="Times New Roman"/>
          <w:sz w:val="24"/>
          <w:szCs w:val="24"/>
        </w:rPr>
        <w:t xml:space="preserve">, P., &amp; </w:t>
      </w:r>
      <w:proofErr w:type="spellStart"/>
      <w:r w:rsidRPr="00AD73FC">
        <w:rPr>
          <w:rFonts w:ascii="Times New Roman" w:hAnsi="Times New Roman" w:cs="Times New Roman"/>
          <w:sz w:val="24"/>
          <w:szCs w:val="24"/>
        </w:rPr>
        <w:t>Tolenkhomba</w:t>
      </w:r>
      <w:proofErr w:type="spellEnd"/>
      <w:r w:rsidRPr="00AD73FC">
        <w:rPr>
          <w:rFonts w:ascii="Times New Roman" w:hAnsi="Times New Roman" w:cs="Times New Roman"/>
          <w:sz w:val="24"/>
          <w:szCs w:val="24"/>
        </w:rPr>
        <w:t xml:space="preserve">, T.C. </w:t>
      </w:r>
      <w:r w:rsidR="00981540">
        <w:rPr>
          <w:rFonts w:ascii="Times New Roman" w:hAnsi="Times New Roman" w:cs="Times New Roman"/>
          <w:sz w:val="24"/>
          <w:szCs w:val="24"/>
        </w:rPr>
        <w:t>(</w:t>
      </w:r>
      <w:r w:rsidRPr="00AD73FC">
        <w:rPr>
          <w:rFonts w:ascii="Times New Roman" w:hAnsi="Times New Roman" w:cs="Times New Roman"/>
          <w:sz w:val="24"/>
          <w:szCs w:val="24"/>
        </w:rPr>
        <w:t>2015</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Seasonal variation of </w:t>
      </w:r>
      <w:proofErr w:type="spellStart"/>
      <w:r w:rsidRPr="00AD73FC">
        <w:rPr>
          <w:rFonts w:ascii="Times New Roman" w:hAnsi="Times New Roman" w:cs="Times New Roman"/>
          <w:sz w:val="24"/>
          <w:szCs w:val="24"/>
        </w:rPr>
        <w:t>hemato</w:t>
      </w:r>
      <w:proofErr w:type="spellEnd"/>
      <w:r w:rsidRPr="00AD73FC">
        <w:rPr>
          <w:rFonts w:ascii="Times New Roman" w:hAnsi="Times New Roman" w:cs="Times New Roman"/>
          <w:sz w:val="24"/>
          <w:szCs w:val="24"/>
        </w:rPr>
        <w:t xml:space="preserve">-biochemical parameters in indigenous pig: </w:t>
      </w:r>
      <w:proofErr w:type="spellStart"/>
      <w:r w:rsidRPr="00AD73FC">
        <w:rPr>
          <w:rFonts w:ascii="Times New Roman" w:hAnsi="Times New Roman" w:cs="Times New Roman"/>
          <w:sz w:val="24"/>
          <w:szCs w:val="24"/>
        </w:rPr>
        <w:t>Zovawk</w:t>
      </w:r>
      <w:proofErr w:type="spellEnd"/>
      <w:r w:rsidRPr="00AD73FC">
        <w:rPr>
          <w:rFonts w:ascii="Times New Roman" w:hAnsi="Times New Roman" w:cs="Times New Roman"/>
          <w:sz w:val="24"/>
          <w:szCs w:val="24"/>
        </w:rPr>
        <w:t xml:space="preserve"> of Mizoram. Vet World., 8(6), 732-737. doi:10.14202/vetworld.2015.732-737</w:t>
      </w:r>
    </w:p>
    <w:p w14:paraId="5173749E" w14:textId="4EE32C4C"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Banerjee</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D</w:t>
      </w:r>
      <w:r w:rsidR="00981540">
        <w:rPr>
          <w:rFonts w:ascii="Times New Roman" w:hAnsi="Times New Roman" w:cs="Times New Roman"/>
          <w:sz w:val="24"/>
          <w:szCs w:val="24"/>
        </w:rPr>
        <w:t>.</w:t>
      </w:r>
      <w:r w:rsidRPr="00AD73FC">
        <w:rPr>
          <w:rFonts w:ascii="Times New Roman" w:hAnsi="Times New Roman" w:cs="Times New Roman"/>
          <w:sz w:val="24"/>
          <w:szCs w:val="24"/>
        </w:rPr>
        <w:t>, Upadhyay</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R</w:t>
      </w:r>
      <w:r w:rsidR="00981540">
        <w:rPr>
          <w:rFonts w:ascii="Times New Roman" w:hAnsi="Times New Roman" w:cs="Times New Roman"/>
          <w:sz w:val="24"/>
          <w:szCs w:val="24"/>
        </w:rPr>
        <w:t>.</w:t>
      </w:r>
      <w:r w:rsidRPr="00AD73FC">
        <w:rPr>
          <w:rFonts w:ascii="Times New Roman" w:hAnsi="Times New Roman" w:cs="Times New Roman"/>
          <w:sz w:val="24"/>
          <w:szCs w:val="24"/>
        </w:rPr>
        <w:t>C</w:t>
      </w:r>
      <w:r w:rsidR="00981540">
        <w:rPr>
          <w:rFonts w:ascii="Times New Roman" w:hAnsi="Times New Roman" w:cs="Times New Roman"/>
          <w:sz w:val="24"/>
          <w:szCs w:val="24"/>
        </w:rPr>
        <w:t>.</w:t>
      </w:r>
      <w:r w:rsidRPr="00AD73FC">
        <w:rPr>
          <w:rFonts w:ascii="Times New Roman" w:hAnsi="Times New Roman" w:cs="Times New Roman"/>
          <w:sz w:val="24"/>
          <w:szCs w:val="24"/>
        </w:rPr>
        <w:t>, Chaudhary</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U</w:t>
      </w:r>
      <w:r w:rsidR="00981540">
        <w:rPr>
          <w:rFonts w:ascii="Times New Roman" w:hAnsi="Times New Roman" w:cs="Times New Roman"/>
          <w:sz w:val="24"/>
          <w:szCs w:val="24"/>
        </w:rPr>
        <w:t>.</w:t>
      </w:r>
      <w:r w:rsidRPr="00AD73FC">
        <w:rPr>
          <w:rFonts w:ascii="Times New Roman" w:hAnsi="Times New Roman" w:cs="Times New Roman"/>
          <w:sz w:val="24"/>
          <w:szCs w:val="24"/>
        </w:rPr>
        <w:t>B</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t>
      </w:r>
      <w:r w:rsidR="00981540" w:rsidRPr="00981540">
        <w:rPr>
          <w:rFonts w:ascii="Times New Roman" w:hAnsi="Times New Roman" w:cs="Times New Roman"/>
          <w:sz w:val="24"/>
          <w:szCs w:val="24"/>
        </w:rPr>
        <w:t>Kumar</w:t>
      </w:r>
      <w:r w:rsidR="00981540">
        <w:rPr>
          <w:rFonts w:ascii="Times New Roman" w:hAnsi="Times New Roman" w:cs="Times New Roman"/>
          <w:sz w:val="24"/>
          <w:szCs w:val="24"/>
        </w:rPr>
        <w:t>, R.</w:t>
      </w:r>
      <w:r w:rsidR="00981540" w:rsidRPr="00981540">
        <w:rPr>
          <w:rFonts w:ascii="Times New Roman" w:hAnsi="Times New Roman" w:cs="Times New Roman"/>
          <w:sz w:val="24"/>
          <w:szCs w:val="24"/>
        </w:rPr>
        <w:t>,</w:t>
      </w:r>
      <w:r w:rsidR="00981540">
        <w:rPr>
          <w:rFonts w:ascii="Times New Roman" w:hAnsi="Times New Roman" w:cs="Times New Roman"/>
          <w:sz w:val="24"/>
          <w:szCs w:val="24"/>
        </w:rPr>
        <w:t xml:space="preserve"> </w:t>
      </w:r>
      <w:r w:rsidR="00981540" w:rsidRPr="00981540">
        <w:rPr>
          <w:rFonts w:ascii="Times New Roman" w:hAnsi="Times New Roman" w:cs="Times New Roman"/>
          <w:sz w:val="24"/>
          <w:szCs w:val="24"/>
        </w:rPr>
        <w:t>Singh</w:t>
      </w:r>
      <w:r w:rsidR="00981540">
        <w:rPr>
          <w:rFonts w:ascii="Times New Roman" w:hAnsi="Times New Roman" w:cs="Times New Roman"/>
          <w:sz w:val="24"/>
          <w:szCs w:val="24"/>
        </w:rPr>
        <w:t>, S.</w:t>
      </w:r>
      <w:r w:rsidR="00981540" w:rsidRPr="00981540">
        <w:rPr>
          <w:rFonts w:ascii="Times New Roman" w:hAnsi="Times New Roman" w:cs="Times New Roman"/>
          <w:sz w:val="24"/>
          <w:szCs w:val="24"/>
        </w:rPr>
        <w:t>,</w:t>
      </w:r>
      <w:r w:rsidR="00981540">
        <w:rPr>
          <w:rFonts w:ascii="Times New Roman" w:hAnsi="Times New Roman" w:cs="Times New Roman"/>
          <w:sz w:val="24"/>
          <w:szCs w:val="24"/>
        </w:rPr>
        <w:t xml:space="preserve"> </w:t>
      </w:r>
      <w:r w:rsidR="00981540" w:rsidRPr="00981540">
        <w:rPr>
          <w:rFonts w:ascii="Times New Roman" w:hAnsi="Times New Roman" w:cs="Times New Roman"/>
          <w:sz w:val="24"/>
          <w:szCs w:val="24"/>
        </w:rPr>
        <w:t>Ashutosh,</w:t>
      </w:r>
      <w:r w:rsidR="00981540">
        <w:rPr>
          <w:rFonts w:ascii="Times New Roman" w:hAnsi="Times New Roman" w:cs="Times New Roman"/>
          <w:sz w:val="24"/>
          <w:szCs w:val="24"/>
        </w:rPr>
        <w:t xml:space="preserve"> </w:t>
      </w:r>
      <w:r w:rsidR="00981540" w:rsidRPr="00981540">
        <w:rPr>
          <w:rFonts w:ascii="Times New Roman" w:hAnsi="Times New Roman" w:cs="Times New Roman"/>
          <w:sz w:val="24"/>
          <w:szCs w:val="24"/>
        </w:rPr>
        <w:t>Das</w:t>
      </w:r>
      <w:r w:rsidR="00981540">
        <w:rPr>
          <w:rFonts w:ascii="Times New Roman" w:hAnsi="Times New Roman" w:cs="Times New Roman"/>
          <w:sz w:val="24"/>
          <w:szCs w:val="24"/>
        </w:rPr>
        <w:t>,</w:t>
      </w:r>
      <w:r w:rsidR="00981540" w:rsidRPr="00981540">
        <w:rPr>
          <w:rFonts w:ascii="Times New Roman" w:hAnsi="Times New Roman" w:cs="Times New Roman"/>
          <w:sz w:val="24"/>
          <w:szCs w:val="24"/>
        </w:rPr>
        <w:t xml:space="preserve"> </w:t>
      </w:r>
      <w:r w:rsidR="00981540">
        <w:rPr>
          <w:rFonts w:ascii="Times New Roman" w:hAnsi="Times New Roman" w:cs="Times New Roman"/>
          <w:sz w:val="24"/>
          <w:szCs w:val="24"/>
        </w:rPr>
        <w:t xml:space="preserve">T.K., </w:t>
      </w:r>
      <w:r w:rsidR="00981540" w:rsidRPr="00981540">
        <w:rPr>
          <w:rFonts w:ascii="Times New Roman" w:hAnsi="Times New Roman" w:cs="Times New Roman"/>
          <w:sz w:val="24"/>
          <w:szCs w:val="24"/>
        </w:rPr>
        <w:t>&amp; De</w:t>
      </w:r>
      <w:r w:rsidR="00981540">
        <w:rPr>
          <w:rFonts w:ascii="Times New Roman" w:hAnsi="Times New Roman" w:cs="Times New Roman"/>
          <w:sz w:val="24"/>
          <w:szCs w:val="24"/>
        </w:rPr>
        <w:t>, S.</w:t>
      </w:r>
      <w:r w:rsidRPr="00AD73FC">
        <w:rPr>
          <w:rFonts w:ascii="Times New Roman" w:hAnsi="Times New Roman" w:cs="Times New Roman"/>
          <w:sz w:val="24"/>
          <w:szCs w:val="24"/>
        </w:rPr>
        <w:t xml:space="preserve"> </w:t>
      </w:r>
      <w:r w:rsidR="00981540">
        <w:rPr>
          <w:rFonts w:ascii="Times New Roman" w:hAnsi="Times New Roman" w:cs="Times New Roman"/>
          <w:sz w:val="24"/>
          <w:szCs w:val="24"/>
        </w:rPr>
        <w:t>(</w:t>
      </w:r>
      <w:r w:rsidRPr="00AD73FC">
        <w:rPr>
          <w:rFonts w:ascii="Times New Roman" w:hAnsi="Times New Roman" w:cs="Times New Roman"/>
          <w:sz w:val="24"/>
          <w:szCs w:val="24"/>
        </w:rPr>
        <w:t>2015</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Seasonal variations in physio-biochemical profiles of Indian goats in the paradigm of hot and cold climate. </w:t>
      </w:r>
      <w:proofErr w:type="spellStart"/>
      <w:r w:rsidRPr="00AD73FC">
        <w:rPr>
          <w:rFonts w:ascii="Times New Roman" w:hAnsi="Times New Roman" w:cs="Times New Roman"/>
          <w:sz w:val="24"/>
          <w:szCs w:val="24"/>
        </w:rPr>
        <w:t>Biol</w:t>
      </w:r>
      <w:proofErr w:type="spellEnd"/>
      <w:r w:rsidRPr="00AD73FC">
        <w:rPr>
          <w:rFonts w:ascii="Times New Roman" w:hAnsi="Times New Roman" w:cs="Times New Roman"/>
          <w:sz w:val="24"/>
          <w:szCs w:val="24"/>
        </w:rPr>
        <w:t xml:space="preserve"> Rhythm Res, 46(2), 221-236. doi:10.1080/09291016.2014.984999</w:t>
      </w:r>
    </w:p>
    <w:p w14:paraId="40BBA801" w14:textId="0ECCE3A8"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Morar, D., </w:t>
      </w:r>
      <w:proofErr w:type="spellStart"/>
      <w:r w:rsidRPr="00AD73FC">
        <w:rPr>
          <w:rFonts w:ascii="Times New Roman" w:hAnsi="Times New Roman" w:cs="Times New Roman"/>
          <w:sz w:val="24"/>
          <w:szCs w:val="24"/>
        </w:rPr>
        <w:t>Ciulan</w:t>
      </w:r>
      <w:proofErr w:type="spellEnd"/>
      <w:r w:rsidRPr="00AD73FC">
        <w:rPr>
          <w:rFonts w:ascii="Times New Roman" w:hAnsi="Times New Roman" w:cs="Times New Roman"/>
          <w:sz w:val="24"/>
          <w:szCs w:val="24"/>
        </w:rPr>
        <w:t xml:space="preserve">, V., Simiz, F., </w:t>
      </w:r>
      <w:proofErr w:type="spellStart"/>
      <w:r w:rsidRPr="00AD73FC">
        <w:rPr>
          <w:rFonts w:ascii="Times New Roman" w:hAnsi="Times New Roman" w:cs="Times New Roman"/>
          <w:sz w:val="24"/>
          <w:szCs w:val="24"/>
        </w:rPr>
        <w:t>Moț</w:t>
      </w:r>
      <w:proofErr w:type="spellEnd"/>
      <w:r w:rsidRPr="00AD73FC">
        <w:rPr>
          <w:rFonts w:ascii="Times New Roman" w:hAnsi="Times New Roman" w:cs="Times New Roman"/>
          <w:sz w:val="24"/>
          <w:szCs w:val="24"/>
        </w:rPr>
        <w:t xml:space="preserve">, T., Hutu, I., &amp; Văduva, C. </w:t>
      </w:r>
      <w:r w:rsidR="00981540">
        <w:rPr>
          <w:rFonts w:ascii="Times New Roman" w:hAnsi="Times New Roman" w:cs="Times New Roman"/>
          <w:sz w:val="24"/>
          <w:szCs w:val="24"/>
        </w:rPr>
        <w:t>(</w:t>
      </w:r>
      <w:r w:rsidRPr="00AD73FC">
        <w:rPr>
          <w:rFonts w:ascii="Times New Roman" w:hAnsi="Times New Roman" w:cs="Times New Roman"/>
          <w:sz w:val="24"/>
          <w:szCs w:val="24"/>
        </w:rPr>
        <w:t>2018</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Effect of heat stress on haematological parameters in dairy cows. Animal Breed. </w:t>
      </w:r>
      <w:proofErr w:type="spellStart"/>
      <w:r w:rsidRPr="00AD73FC">
        <w:rPr>
          <w:rFonts w:ascii="Times New Roman" w:hAnsi="Times New Roman" w:cs="Times New Roman"/>
          <w:sz w:val="24"/>
          <w:szCs w:val="24"/>
        </w:rPr>
        <w:t>Pathol</w:t>
      </w:r>
      <w:proofErr w:type="spellEnd"/>
      <w:r w:rsidRPr="00AD73FC">
        <w:rPr>
          <w:rFonts w:ascii="Times New Roman" w:hAnsi="Times New Roman" w:cs="Times New Roman"/>
          <w:sz w:val="24"/>
          <w:szCs w:val="24"/>
        </w:rPr>
        <w:t>. Day, 51, 65-70.</w:t>
      </w:r>
      <w:r w:rsidR="00906BF9">
        <w:rPr>
          <w:rFonts w:ascii="Times New Roman" w:hAnsi="Times New Roman" w:cs="Times New Roman"/>
          <w:sz w:val="24"/>
          <w:szCs w:val="24"/>
        </w:rPr>
        <w:t xml:space="preserve"> </w:t>
      </w:r>
      <w:r w:rsidR="00906BF9" w:rsidRPr="00906BF9">
        <w:rPr>
          <w:rFonts w:ascii="Times New Roman" w:hAnsi="Times New Roman" w:cs="Times New Roman"/>
          <w:sz w:val="24"/>
          <w:szCs w:val="24"/>
        </w:rPr>
        <w:t>DOI: 10.13140/RG.2.2.36806.22081</w:t>
      </w:r>
    </w:p>
    <w:p w14:paraId="7A28F5B1" w14:textId="094F564B"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Palova</w:t>
      </w:r>
      <w:proofErr w:type="spellEnd"/>
      <w:r w:rsidRPr="00AD73FC">
        <w:rPr>
          <w:rFonts w:ascii="Times New Roman" w:hAnsi="Times New Roman" w:cs="Times New Roman"/>
          <w:sz w:val="24"/>
          <w:szCs w:val="24"/>
        </w:rPr>
        <w:t xml:space="preserve"> N, </w:t>
      </w:r>
      <w:proofErr w:type="spellStart"/>
      <w:r w:rsidRPr="00AD73FC">
        <w:rPr>
          <w:rFonts w:ascii="Times New Roman" w:hAnsi="Times New Roman" w:cs="Times New Roman"/>
          <w:sz w:val="24"/>
          <w:szCs w:val="24"/>
        </w:rPr>
        <w:t>Marchev</w:t>
      </w:r>
      <w:proofErr w:type="spellEnd"/>
      <w:r w:rsidRPr="00AD73FC">
        <w:rPr>
          <w:rFonts w:ascii="Times New Roman" w:hAnsi="Times New Roman" w:cs="Times New Roman"/>
          <w:sz w:val="24"/>
          <w:szCs w:val="24"/>
        </w:rPr>
        <w:t xml:space="preserve"> Y, </w:t>
      </w:r>
      <w:proofErr w:type="spellStart"/>
      <w:r w:rsidRPr="00AD73FC">
        <w:rPr>
          <w:rFonts w:ascii="Times New Roman" w:hAnsi="Times New Roman" w:cs="Times New Roman"/>
          <w:sz w:val="24"/>
          <w:szCs w:val="24"/>
        </w:rPr>
        <w:t>Nedeva</w:t>
      </w:r>
      <w:proofErr w:type="spellEnd"/>
      <w:r w:rsidRPr="00AD73FC">
        <w:rPr>
          <w:rFonts w:ascii="Times New Roman" w:hAnsi="Times New Roman" w:cs="Times New Roman"/>
          <w:sz w:val="24"/>
          <w:szCs w:val="24"/>
        </w:rPr>
        <w:t xml:space="preserve"> R, </w:t>
      </w:r>
      <w:proofErr w:type="spellStart"/>
      <w:r w:rsidRPr="00AD73FC">
        <w:rPr>
          <w:rFonts w:ascii="Times New Roman" w:hAnsi="Times New Roman" w:cs="Times New Roman"/>
          <w:sz w:val="24"/>
          <w:szCs w:val="24"/>
        </w:rPr>
        <w:t>Nakev</w:t>
      </w:r>
      <w:proofErr w:type="spellEnd"/>
      <w:r w:rsidRPr="00AD73FC">
        <w:rPr>
          <w:rFonts w:ascii="Times New Roman" w:hAnsi="Times New Roman" w:cs="Times New Roman"/>
          <w:sz w:val="24"/>
          <w:szCs w:val="24"/>
        </w:rPr>
        <w:t xml:space="preserve"> J, </w:t>
      </w:r>
      <w:proofErr w:type="spellStart"/>
      <w:r w:rsidRPr="00AD73FC">
        <w:rPr>
          <w:rFonts w:ascii="Times New Roman" w:hAnsi="Times New Roman" w:cs="Times New Roman"/>
          <w:sz w:val="24"/>
          <w:szCs w:val="24"/>
        </w:rPr>
        <w:t>Krusheva</w:t>
      </w:r>
      <w:proofErr w:type="spellEnd"/>
      <w:r w:rsidRPr="00AD73FC">
        <w:rPr>
          <w:rFonts w:ascii="Times New Roman" w:hAnsi="Times New Roman" w:cs="Times New Roman"/>
          <w:sz w:val="24"/>
          <w:szCs w:val="24"/>
        </w:rPr>
        <w:t xml:space="preserve"> D, </w:t>
      </w:r>
      <w:proofErr w:type="spellStart"/>
      <w:r w:rsidRPr="00AD73FC">
        <w:rPr>
          <w:rFonts w:ascii="Times New Roman" w:hAnsi="Times New Roman" w:cs="Times New Roman"/>
          <w:sz w:val="24"/>
          <w:szCs w:val="24"/>
        </w:rPr>
        <w:t>Slavov</w:t>
      </w:r>
      <w:proofErr w:type="spellEnd"/>
      <w:r w:rsidRPr="00AD73FC">
        <w:rPr>
          <w:rFonts w:ascii="Times New Roman" w:hAnsi="Times New Roman" w:cs="Times New Roman"/>
          <w:sz w:val="24"/>
          <w:szCs w:val="24"/>
        </w:rPr>
        <w:t xml:space="preserve"> T, </w:t>
      </w:r>
      <w:proofErr w:type="spellStart"/>
      <w:r w:rsidRPr="00AD73FC">
        <w:rPr>
          <w:rFonts w:ascii="Times New Roman" w:hAnsi="Times New Roman" w:cs="Times New Roman"/>
          <w:sz w:val="24"/>
          <w:szCs w:val="24"/>
        </w:rPr>
        <w:t>Nedeva</w:t>
      </w:r>
      <w:proofErr w:type="spellEnd"/>
      <w:r w:rsidRPr="00AD73FC">
        <w:rPr>
          <w:rFonts w:ascii="Times New Roman" w:hAnsi="Times New Roman" w:cs="Times New Roman"/>
          <w:sz w:val="24"/>
          <w:szCs w:val="24"/>
        </w:rPr>
        <w:t xml:space="preserve"> I, &amp; Popova T. </w:t>
      </w:r>
      <w:r w:rsidR="00981540">
        <w:rPr>
          <w:rFonts w:ascii="Times New Roman" w:hAnsi="Times New Roman" w:cs="Times New Roman"/>
          <w:sz w:val="24"/>
          <w:szCs w:val="24"/>
        </w:rPr>
        <w:t>(</w:t>
      </w:r>
      <w:r w:rsidRPr="00AD73FC">
        <w:rPr>
          <w:rFonts w:ascii="Times New Roman" w:hAnsi="Times New Roman" w:cs="Times New Roman"/>
          <w:sz w:val="24"/>
          <w:szCs w:val="24"/>
        </w:rPr>
        <w:t>2019</w:t>
      </w:r>
      <w:r w:rsidR="00981540">
        <w:rPr>
          <w:rFonts w:ascii="Times New Roman" w:hAnsi="Times New Roman" w:cs="Times New Roman"/>
          <w:sz w:val="24"/>
          <w:szCs w:val="24"/>
        </w:rPr>
        <w:t>)</w:t>
      </w:r>
      <w:r w:rsidRPr="00AD73FC">
        <w:rPr>
          <w:rFonts w:ascii="Times New Roman" w:hAnsi="Times New Roman" w:cs="Times New Roman"/>
          <w:sz w:val="24"/>
          <w:szCs w:val="24"/>
        </w:rPr>
        <w:t xml:space="preserve">. </w:t>
      </w:r>
      <w:proofErr w:type="spellStart"/>
      <w:r w:rsidRPr="00AD73FC">
        <w:rPr>
          <w:rFonts w:ascii="Times New Roman" w:hAnsi="Times New Roman" w:cs="Times New Roman"/>
          <w:sz w:val="24"/>
          <w:szCs w:val="24"/>
        </w:rPr>
        <w:t>Hematological</w:t>
      </w:r>
      <w:proofErr w:type="spellEnd"/>
      <w:r w:rsidRPr="00AD73FC">
        <w:rPr>
          <w:rFonts w:ascii="Times New Roman" w:hAnsi="Times New Roman" w:cs="Times New Roman"/>
          <w:sz w:val="24"/>
          <w:szCs w:val="24"/>
        </w:rPr>
        <w:t xml:space="preserve"> and serum biochemical profile in East Balkan pigs at different age and seasons. AGROFOR International Journal., 4(3), 164-175.</w:t>
      </w:r>
      <w:r w:rsidR="00906BF9">
        <w:rPr>
          <w:rFonts w:ascii="Times New Roman" w:hAnsi="Times New Roman" w:cs="Times New Roman"/>
          <w:sz w:val="24"/>
          <w:szCs w:val="24"/>
        </w:rPr>
        <w:t xml:space="preserve"> </w:t>
      </w:r>
      <w:r w:rsidR="00906BF9" w:rsidRPr="00906BF9">
        <w:rPr>
          <w:rFonts w:ascii="Times New Roman" w:hAnsi="Times New Roman" w:cs="Times New Roman"/>
          <w:sz w:val="24"/>
          <w:szCs w:val="24"/>
        </w:rPr>
        <w:t>DOI: 10.7251/AGRENG1903164P</w:t>
      </w:r>
    </w:p>
    <w:p w14:paraId="6B5E788E" w14:textId="52781564" w:rsidR="00C61FA3" w:rsidRPr="00AD73FC" w:rsidRDefault="00C61FA3" w:rsidP="00AD73FC">
      <w:pPr>
        <w:pStyle w:val="ListParagraph"/>
        <w:numPr>
          <w:ilvl w:val="0"/>
          <w:numId w:val="4"/>
        </w:numPr>
        <w:spacing w:before="160" w:after="120" w:line="276" w:lineRule="auto"/>
        <w:jc w:val="both"/>
        <w:rPr>
          <w:rFonts w:ascii="Times New Roman" w:hAnsi="Times New Roman" w:cs="Times New Roman"/>
          <w:sz w:val="24"/>
          <w:szCs w:val="24"/>
        </w:rPr>
      </w:pPr>
      <w:r w:rsidRPr="00AD73FC">
        <w:rPr>
          <w:rFonts w:ascii="Times New Roman" w:hAnsi="Times New Roman" w:cs="Times New Roman"/>
          <w:sz w:val="24"/>
          <w:szCs w:val="24"/>
        </w:rPr>
        <w:t>Chu G and Song Y. 2013. Growth performance, blood characteristics and immune responses of fattening pigs in different seasons. Asian Journal of Animal and Veterinary Advances., 8(5), 691-702.</w:t>
      </w:r>
      <w:r w:rsidR="0085212B">
        <w:rPr>
          <w:rFonts w:ascii="Times New Roman" w:hAnsi="Times New Roman" w:cs="Times New Roman"/>
          <w:sz w:val="24"/>
          <w:szCs w:val="24"/>
        </w:rPr>
        <w:t xml:space="preserve"> </w:t>
      </w:r>
      <w:r w:rsidR="0085212B" w:rsidRPr="0085212B">
        <w:rPr>
          <w:rFonts w:ascii="Times New Roman" w:hAnsi="Times New Roman" w:cs="Times New Roman"/>
          <w:sz w:val="24"/>
          <w:szCs w:val="24"/>
        </w:rPr>
        <w:t>DOI: 10.3923/ajava.2013.691.702</w:t>
      </w:r>
      <w:r w:rsidRPr="00AD73FC">
        <w:rPr>
          <w:rFonts w:ascii="Times New Roman" w:hAnsi="Times New Roman" w:cs="Times New Roman"/>
          <w:sz w:val="24"/>
          <w:szCs w:val="24"/>
        </w:rPr>
        <w:t xml:space="preserve"> </w:t>
      </w:r>
    </w:p>
    <w:p w14:paraId="55A3A634" w14:textId="74640E9D"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Vashi Y, Naskar S, Chutia T, </w:t>
      </w:r>
      <w:r w:rsidRPr="00AD73FC">
        <w:rPr>
          <w:rFonts w:ascii="Times New Roman" w:hAnsi="Times New Roman" w:cs="Times New Roman"/>
          <w:i/>
          <w:iCs/>
          <w:sz w:val="24"/>
          <w:szCs w:val="24"/>
        </w:rPr>
        <w:t>et al</w:t>
      </w:r>
      <w:r w:rsidRPr="00AD73FC">
        <w:rPr>
          <w:rFonts w:ascii="Times New Roman" w:hAnsi="Times New Roman" w:cs="Times New Roman"/>
          <w:sz w:val="24"/>
          <w:szCs w:val="24"/>
        </w:rPr>
        <w:t xml:space="preserve">. 2018. Comparative assessment of native, crossbred and exotic pigs during different seasons (winter, spring and summer) based on rhythmic changes in the levels of serum cortisol, lactate dehydrogenase levels and PBMC HSP-70 mRNA expression pattern. </w:t>
      </w:r>
      <w:proofErr w:type="spellStart"/>
      <w:r w:rsidRPr="00AD73FC">
        <w:rPr>
          <w:rFonts w:ascii="Times New Roman" w:hAnsi="Times New Roman" w:cs="Times New Roman"/>
          <w:sz w:val="24"/>
          <w:szCs w:val="24"/>
        </w:rPr>
        <w:t>Biol</w:t>
      </w:r>
      <w:proofErr w:type="spellEnd"/>
      <w:r w:rsidRPr="00AD73FC">
        <w:rPr>
          <w:rFonts w:ascii="Times New Roman" w:hAnsi="Times New Roman" w:cs="Times New Roman"/>
          <w:sz w:val="24"/>
          <w:szCs w:val="24"/>
        </w:rPr>
        <w:t xml:space="preserve"> Rhythm Res., 49(5):725-734. doi:10.1080/09291016.2017.1410019</w:t>
      </w:r>
    </w:p>
    <w:p w14:paraId="3248CAD8" w14:textId="2E283BEA"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Borah S, Soren S, Talukdar R, </w:t>
      </w:r>
      <w:r w:rsidRPr="00AD73FC">
        <w:rPr>
          <w:rFonts w:ascii="Times New Roman" w:hAnsi="Times New Roman" w:cs="Times New Roman"/>
          <w:i/>
          <w:iCs/>
          <w:sz w:val="24"/>
          <w:szCs w:val="24"/>
        </w:rPr>
        <w:t>et al</w:t>
      </w:r>
      <w:r w:rsidRPr="00AD73FC">
        <w:rPr>
          <w:rFonts w:ascii="Times New Roman" w:hAnsi="Times New Roman" w:cs="Times New Roman"/>
          <w:sz w:val="24"/>
          <w:szCs w:val="24"/>
        </w:rPr>
        <w:t>. 2020. Study on the effect of seasonal variation on expression of serum biochemicals in pigs. Indian J Anim Sci., 90(9), 1265-1269.</w:t>
      </w:r>
      <w:r w:rsidR="00532271">
        <w:rPr>
          <w:rFonts w:ascii="Times New Roman" w:hAnsi="Times New Roman" w:cs="Times New Roman"/>
          <w:sz w:val="24"/>
          <w:szCs w:val="24"/>
        </w:rPr>
        <w:t xml:space="preserve"> </w:t>
      </w:r>
      <w:r w:rsidR="00532271" w:rsidRPr="00532271">
        <w:rPr>
          <w:rFonts w:ascii="Times New Roman" w:hAnsi="Times New Roman" w:cs="Times New Roman"/>
          <w:sz w:val="24"/>
          <w:szCs w:val="24"/>
        </w:rPr>
        <w:t>DOI: 10.56093/</w:t>
      </w:r>
      <w:proofErr w:type="gramStart"/>
      <w:r w:rsidR="00532271" w:rsidRPr="00532271">
        <w:rPr>
          <w:rFonts w:ascii="Times New Roman" w:hAnsi="Times New Roman" w:cs="Times New Roman"/>
          <w:sz w:val="24"/>
          <w:szCs w:val="24"/>
        </w:rPr>
        <w:t>ijans.v</w:t>
      </w:r>
      <w:proofErr w:type="gramEnd"/>
      <w:r w:rsidR="00532271" w:rsidRPr="00532271">
        <w:rPr>
          <w:rFonts w:ascii="Times New Roman" w:hAnsi="Times New Roman" w:cs="Times New Roman"/>
          <w:sz w:val="24"/>
          <w:szCs w:val="24"/>
        </w:rPr>
        <w:t>90i9.109487</w:t>
      </w:r>
    </w:p>
    <w:p w14:paraId="4FD07FDF" w14:textId="4A3E7D7B"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proofErr w:type="spellStart"/>
      <w:r w:rsidRPr="00AD73FC">
        <w:rPr>
          <w:rFonts w:ascii="Times New Roman" w:hAnsi="Times New Roman" w:cs="Times New Roman"/>
          <w:sz w:val="24"/>
          <w:szCs w:val="24"/>
        </w:rPr>
        <w:t>Chmielowiec-Korzeniowska</w:t>
      </w:r>
      <w:proofErr w:type="spellEnd"/>
      <w:r w:rsidRPr="00AD73FC">
        <w:rPr>
          <w:rFonts w:ascii="Times New Roman" w:hAnsi="Times New Roman" w:cs="Times New Roman"/>
          <w:sz w:val="24"/>
          <w:szCs w:val="24"/>
        </w:rPr>
        <w:t xml:space="preserve"> A, </w:t>
      </w:r>
      <w:proofErr w:type="spellStart"/>
      <w:r w:rsidRPr="00AD73FC">
        <w:rPr>
          <w:rFonts w:ascii="Times New Roman" w:hAnsi="Times New Roman" w:cs="Times New Roman"/>
          <w:sz w:val="24"/>
          <w:szCs w:val="24"/>
        </w:rPr>
        <w:t>Tymczyna</w:t>
      </w:r>
      <w:proofErr w:type="spellEnd"/>
      <w:r w:rsidRPr="00AD73FC">
        <w:rPr>
          <w:rFonts w:ascii="Times New Roman" w:hAnsi="Times New Roman" w:cs="Times New Roman"/>
          <w:sz w:val="24"/>
          <w:szCs w:val="24"/>
        </w:rPr>
        <w:t xml:space="preserve"> L, </w:t>
      </w:r>
      <w:proofErr w:type="spellStart"/>
      <w:r w:rsidRPr="00AD73FC">
        <w:rPr>
          <w:rFonts w:ascii="Times New Roman" w:hAnsi="Times New Roman" w:cs="Times New Roman"/>
          <w:sz w:val="24"/>
          <w:szCs w:val="24"/>
        </w:rPr>
        <w:t>Babicz</w:t>
      </w:r>
      <w:proofErr w:type="spellEnd"/>
      <w:r w:rsidRPr="00AD73FC">
        <w:rPr>
          <w:rFonts w:ascii="Times New Roman" w:hAnsi="Times New Roman" w:cs="Times New Roman"/>
          <w:sz w:val="24"/>
          <w:szCs w:val="24"/>
        </w:rPr>
        <w:t xml:space="preserve"> M. 2012. Assessment of selected parameters of biochemistry, </w:t>
      </w:r>
      <w:proofErr w:type="spellStart"/>
      <w:r w:rsidRPr="00AD73FC">
        <w:rPr>
          <w:rFonts w:ascii="Times New Roman" w:hAnsi="Times New Roman" w:cs="Times New Roman"/>
          <w:sz w:val="24"/>
          <w:szCs w:val="24"/>
        </w:rPr>
        <w:t>hematology</w:t>
      </w:r>
      <w:proofErr w:type="spellEnd"/>
      <w:r w:rsidRPr="00AD73FC">
        <w:rPr>
          <w:rFonts w:ascii="Times New Roman" w:hAnsi="Times New Roman" w:cs="Times New Roman"/>
          <w:sz w:val="24"/>
          <w:szCs w:val="24"/>
        </w:rPr>
        <w:t>, immunology and production of pigs fattened in different seasons. Arch Anim Breed., 55(5), 469-479. doi:10.5194/aab-55-469-2012</w:t>
      </w:r>
    </w:p>
    <w:p w14:paraId="022BF7FB" w14:textId="3B88ACD5"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 xml:space="preserve">Ribeiro NL, Costa RG, Pimenta Filho EC, </w:t>
      </w:r>
      <w:r w:rsidRPr="00AD73FC">
        <w:rPr>
          <w:rFonts w:ascii="Times New Roman" w:hAnsi="Times New Roman" w:cs="Times New Roman"/>
          <w:i/>
          <w:iCs/>
          <w:sz w:val="24"/>
          <w:szCs w:val="24"/>
        </w:rPr>
        <w:t>et al</w:t>
      </w:r>
      <w:r w:rsidRPr="00AD73FC">
        <w:rPr>
          <w:rFonts w:ascii="Times New Roman" w:hAnsi="Times New Roman" w:cs="Times New Roman"/>
          <w:sz w:val="24"/>
          <w:szCs w:val="24"/>
        </w:rPr>
        <w:t xml:space="preserve">. 2016. Adaptive profile of </w:t>
      </w:r>
      <w:proofErr w:type="spellStart"/>
      <w:r w:rsidRPr="00AD73FC">
        <w:rPr>
          <w:rFonts w:ascii="Times New Roman" w:hAnsi="Times New Roman" w:cs="Times New Roman"/>
          <w:sz w:val="24"/>
          <w:szCs w:val="24"/>
        </w:rPr>
        <w:t>Garfagnina</w:t>
      </w:r>
      <w:proofErr w:type="spellEnd"/>
      <w:r w:rsidRPr="00AD73FC">
        <w:rPr>
          <w:rFonts w:ascii="Times New Roman" w:hAnsi="Times New Roman" w:cs="Times New Roman"/>
          <w:sz w:val="24"/>
          <w:szCs w:val="24"/>
        </w:rPr>
        <w:t xml:space="preserve"> goat breed assessed through physiological, haematological, biochemical and hormonal parameters. Small Rumin Res., 144(November), 236-241. </w:t>
      </w:r>
      <w:proofErr w:type="gramStart"/>
      <w:r w:rsidRPr="00AD73FC">
        <w:rPr>
          <w:rFonts w:ascii="Times New Roman" w:hAnsi="Times New Roman" w:cs="Times New Roman"/>
          <w:sz w:val="24"/>
          <w:szCs w:val="24"/>
        </w:rPr>
        <w:t>doi:10.1016/j.smallrumres</w:t>
      </w:r>
      <w:proofErr w:type="gramEnd"/>
      <w:r w:rsidRPr="00AD73FC">
        <w:rPr>
          <w:rFonts w:ascii="Times New Roman" w:hAnsi="Times New Roman" w:cs="Times New Roman"/>
          <w:sz w:val="24"/>
          <w:szCs w:val="24"/>
        </w:rPr>
        <w:t>.2016.10.001</w:t>
      </w:r>
    </w:p>
    <w:p w14:paraId="45AEA823" w14:textId="4A05DE0E" w:rsidR="00C61FA3" w:rsidRPr="00AD73FC" w:rsidRDefault="00C61FA3" w:rsidP="00AD73FC">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t>Shaffer, L., Roussel, J.D, &amp; Koonce, K.L. 1981. Effects of age, temperature-season, and breed on blood characteristics of dairy cattle. Journal of Dairy Science., 64(1), 62-70.</w:t>
      </w:r>
      <w:r w:rsidR="00906BF9">
        <w:rPr>
          <w:rFonts w:ascii="Times New Roman" w:hAnsi="Times New Roman" w:cs="Times New Roman"/>
          <w:sz w:val="24"/>
          <w:szCs w:val="24"/>
        </w:rPr>
        <w:t xml:space="preserve"> </w:t>
      </w:r>
      <w:r w:rsidR="00906BF9" w:rsidRPr="00906BF9">
        <w:rPr>
          <w:rFonts w:ascii="Times New Roman" w:hAnsi="Times New Roman" w:cs="Times New Roman"/>
          <w:sz w:val="24"/>
          <w:szCs w:val="24"/>
        </w:rPr>
        <w:t>DOI: 10.3168/</w:t>
      </w:r>
      <w:proofErr w:type="gramStart"/>
      <w:r w:rsidR="00906BF9" w:rsidRPr="00906BF9">
        <w:rPr>
          <w:rFonts w:ascii="Times New Roman" w:hAnsi="Times New Roman" w:cs="Times New Roman"/>
          <w:sz w:val="24"/>
          <w:szCs w:val="24"/>
        </w:rPr>
        <w:t>jds.S</w:t>
      </w:r>
      <w:proofErr w:type="gramEnd"/>
      <w:r w:rsidR="00906BF9" w:rsidRPr="00906BF9">
        <w:rPr>
          <w:rFonts w:ascii="Times New Roman" w:hAnsi="Times New Roman" w:cs="Times New Roman"/>
          <w:sz w:val="24"/>
          <w:szCs w:val="24"/>
        </w:rPr>
        <w:t>0022-0302(81)82529-5</w:t>
      </w:r>
    </w:p>
    <w:p w14:paraId="6450250B" w14:textId="2CBAF96E" w:rsidR="00C61FA3" w:rsidRDefault="00C61FA3" w:rsidP="009077F2">
      <w:pPr>
        <w:pStyle w:val="ListParagraph"/>
        <w:numPr>
          <w:ilvl w:val="0"/>
          <w:numId w:val="4"/>
        </w:numPr>
        <w:spacing w:line="360" w:lineRule="auto"/>
        <w:jc w:val="both"/>
        <w:rPr>
          <w:rFonts w:ascii="Times New Roman" w:hAnsi="Times New Roman" w:cs="Times New Roman"/>
          <w:sz w:val="24"/>
          <w:szCs w:val="24"/>
        </w:rPr>
      </w:pPr>
      <w:r w:rsidRPr="00AD73FC">
        <w:rPr>
          <w:rFonts w:ascii="Times New Roman" w:hAnsi="Times New Roman" w:cs="Times New Roman"/>
          <w:sz w:val="24"/>
          <w:szCs w:val="24"/>
        </w:rPr>
        <w:lastRenderedPageBreak/>
        <w:t>Huang S, Yang H, Ur Rehman M, Tong Z. 2018. Acute heat stress in broiler chickens and its impact on serum biochemical and electrolyte parameters. Indian J Anim Res., 52(5), 683-686. doi:10.18805/</w:t>
      </w:r>
      <w:proofErr w:type="gramStart"/>
      <w:r w:rsidRPr="00AD73FC">
        <w:rPr>
          <w:rFonts w:ascii="Times New Roman" w:hAnsi="Times New Roman" w:cs="Times New Roman"/>
          <w:sz w:val="24"/>
          <w:szCs w:val="24"/>
        </w:rPr>
        <w:t>ijar.v</w:t>
      </w:r>
      <w:proofErr w:type="gramEnd"/>
      <w:r w:rsidRPr="00AD73FC">
        <w:rPr>
          <w:rFonts w:ascii="Times New Roman" w:hAnsi="Times New Roman" w:cs="Times New Roman"/>
          <w:sz w:val="24"/>
          <w:szCs w:val="24"/>
        </w:rPr>
        <w:t>0iOF.8490</w:t>
      </w:r>
    </w:p>
    <w:p w14:paraId="6A10E701" w14:textId="28CEB19B" w:rsidR="009077F2" w:rsidRPr="009077F2" w:rsidRDefault="009077F2" w:rsidP="009077F2">
      <w:pPr>
        <w:pStyle w:val="NormalWeb"/>
        <w:numPr>
          <w:ilvl w:val="0"/>
          <w:numId w:val="4"/>
        </w:numPr>
        <w:spacing w:line="360" w:lineRule="auto"/>
      </w:pPr>
      <w:r>
        <w:t xml:space="preserve">Reddy, P. B., Goud, P. M. K., </w:t>
      </w:r>
      <w:r w:rsidRPr="009077F2">
        <w:t xml:space="preserve">Katam, D., &amp; Supriya, R. (2023). Nutritional strategies for amelioration of heat stress in dairy </w:t>
      </w:r>
      <w:proofErr w:type="gramStart"/>
      <w:r w:rsidRPr="009077F2">
        <w:t>cows :</w:t>
      </w:r>
      <w:proofErr w:type="gramEnd"/>
      <w:r w:rsidRPr="009077F2">
        <w:t xml:space="preserve"> A Review. 8(3), 33–39.</w:t>
      </w:r>
      <w:r>
        <w:t xml:space="preserve"> </w:t>
      </w:r>
      <w:r w:rsidRPr="009077F2">
        <w:t>DOI: https://doi.org/10.22271/veterinary.2023.v8.i3Sa.613</w:t>
      </w:r>
    </w:p>
    <w:p w14:paraId="7D74B84F" w14:textId="5BF50119" w:rsidR="009077F2" w:rsidRPr="009077F2" w:rsidRDefault="009077F2" w:rsidP="009077F2">
      <w:pPr>
        <w:pStyle w:val="NormalWeb"/>
        <w:numPr>
          <w:ilvl w:val="0"/>
          <w:numId w:val="4"/>
        </w:numPr>
        <w:spacing w:line="360" w:lineRule="auto"/>
      </w:pPr>
      <w:r w:rsidRPr="009077F2">
        <w:t xml:space="preserve">He, Y., </w:t>
      </w:r>
      <w:proofErr w:type="spellStart"/>
      <w:r w:rsidRPr="009077F2">
        <w:t>Maltecca</w:t>
      </w:r>
      <w:proofErr w:type="spellEnd"/>
      <w:r w:rsidRPr="009077F2">
        <w:t xml:space="preserve">, C., &amp; Tiezzi, F. (2021). Potential Use of Gut Microbiota Composition as a Biomarker of Heat Stress in Monogastric </w:t>
      </w:r>
      <w:proofErr w:type="gramStart"/>
      <w:r w:rsidRPr="009077F2">
        <w:t>Species :</w:t>
      </w:r>
      <w:proofErr w:type="gramEnd"/>
      <w:r w:rsidRPr="009077F2">
        <w:t xml:space="preserve"> A Review. </w:t>
      </w:r>
      <w:hyperlink r:id="rId20" w:history="1">
        <w:r w:rsidRPr="009077F2">
          <w:rPr>
            <w:rStyle w:val="Hyperlink"/>
            <w:b/>
            <w:bCs/>
          </w:rPr>
          <w:t>https://doi.org/10.3390/ani11061833</w:t>
        </w:r>
      </w:hyperlink>
    </w:p>
    <w:p w14:paraId="18335D22" w14:textId="77777777" w:rsidR="009077F2" w:rsidRPr="009077F2" w:rsidRDefault="009077F2" w:rsidP="009077F2">
      <w:pPr>
        <w:pStyle w:val="NormalWeb"/>
        <w:numPr>
          <w:ilvl w:val="0"/>
          <w:numId w:val="4"/>
        </w:numPr>
        <w:spacing w:line="360" w:lineRule="auto"/>
      </w:pPr>
      <w:r w:rsidRPr="009077F2">
        <w:t xml:space="preserve">Sesay, A. R. (2023). Effect of heat stress on dairy cow </w:t>
      </w:r>
      <w:proofErr w:type="gramStart"/>
      <w:r w:rsidRPr="009077F2">
        <w:t>production ,</w:t>
      </w:r>
      <w:proofErr w:type="gramEnd"/>
      <w:r w:rsidRPr="009077F2">
        <w:t xml:space="preserve"> reproduction , health , and potential mitigation strategies. 13–25. https://doi.org/10.21839/jaar.2023.v8.8371</w:t>
      </w:r>
    </w:p>
    <w:p w14:paraId="463D51B8" w14:textId="24F244FE" w:rsidR="009077F2" w:rsidRPr="009077F2" w:rsidRDefault="009077F2" w:rsidP="009077F2">
      <w:pPr>
        <w:pStyle w:val="NormalWeb"/>
        <w:numPr>
          <w:ilvl w:val="0"/>
          <w:numId w:val="4"/>
        </w:numPr>
        <w:spacing w:line="360" w:lineRule="auto"/>
      </w:pPr>
      <w:r w:rsidRPr="009077F2">
        <w:t xml:space="preserve">Silva, T. D. De, Sarada, S. A., &amp; </w:t>
      </w:r>
      <w:proofErr w:type="spellStart"/>
      <w:r w:rsidRPr="009077F2">
        <w:t>Pagthinathan</w:t>
      </w:r>
      <w:proofErr w:type="spellEnd"/>
      <w:r w:rsidRPr="009077F2">
        <w:t xml:space="preserve">, M. (2024). Effect of Heat Stress on </w:t>
      </w:r>
      <w:proofErr w:type="gramStart"/>
      <w:r w:rsidRPr="009077F2">
        <w:t>Cattle :</w:t>
      </w:r>
      <w:proofErr w:type="gramEnd"/>
      <w:r w:rsidRPr="009077F2">
        <w:t xml:space="preserve"> A Review. 3(2), 135–151.</w:t>
      </w:r>
      <w:r>
        <w:t xml:space="preserve"> </w:t>
      </w:r>
      <w:r w:rsidRPr="009077F2">
        <w:rPr>
          <w:b/>
          <w:bCs/>
        </w:rPr>
        <w:t>DOI: </w:t>
      </w:r>
      <w:hyperlink r:id="rId21" w:history="1">
        <w:r w:rsidRPr="009077F2">
          <w:rPr>
            <w:rStyle w:val="Hyperlink"/>
          </w:rPr>
          <w:t>https://doi.org/10.31357/ait.v3i2.7339</w:t>
        </w:r>
      </w:hyperlink>
    </w:p>
    <w:p w14:paraId="26EF40CD" w14:textId="77777777" w:rsidR="009077F2" w:rsidRPr="00AD73FC" w:rsidRDefault="009077F2" w:rsidP="009077F2">
      <w:pPr>
        <w:pStyle w:val="ListParagraph"/>
        <w:spacing w:line="360" w:lineRule="auto"/>
        <w:jc w:val="both"/>
        <w:rPr>
          <w:rFonts w:ascii="Times New Roman" w:hAnsi="Times New Roman" w:cs="Times New Roman"/>
          <w:sz w:val="24"/>
          <w:szCs w:val="24"/>
        </w:rPr>
      </w:pPr>
    </w:p>
    <w:p w14:paraId="3402B12D" w14:textId="77777777" w:rsidR="00C61FA3" w:rsidRPr="00215298" w:rsidRDefault="00C61FA3" w:rsidP="00215298">
      <w:pPr>
        <w:spacing w:line="360" w:lineRule="auto"/>
        <w:ind w:left="66"/>
        <w:jc w:val="both"/>
        <w:rPr>
          <w:rFonts w:ascii="Times New Roman" w:hAnsi="Times New Roman" w:cs="Times New Roman"/>
          <w:sz w:val="24"/>
          <w:szCs w:val="24"/>
        </w:rPr>
      </w:pPr>
    </w:p>
    <w:p w14:paraId="41388995" w14:textId="77777777" w:rsidR="00612BA2" w:rsidRDefault="00612BA2" w:rsidP="00612BA2">
      <w:pPr>
        <w:spacing w:line="360" w:lineRule="auto"/>
        <w:jc w:val="both"/>
        <w:rPr>
          <w:rFonts w:ascii="Times New Roman" w:hAnsi="Times New Roman" w:cs="Times New Roman"/>
          <w:sz w:val="24"/>
          <w:szCs w:val="24"/>
        </w:rPr>
      </w:pPr>
    </w:p>
    <w:p w14:paraId="60E3F63F" w14:textId="265E283E"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 xml:space="preserve">Fig. 1: Oxidative stress parameters. </w:t>
      </w:r>
      <w:r w:rsidR="003E2405" w:rsidRPr="003E2405">
        <w:rPr>
          <w:rFonts w:ascii="Times New Roman" w:hAnsi="Times New Roman" w:cs="Times New Roman"/>
          <w:sz w:val="24"/>
          <w:szCs w:val="24"/>
        </w:rPr>
        <w:t xml:space="preserve">Erythrocytic MDA was estimated following Placer </w:t>
      </w:r>
      <w:r w:rsidR="003E2405" w:rsidRPr="00C87916">
        <w:rPr>
          <w:rFonts w:ascii="Times New Roman" w:hAnsi="Times New Roman" w:cs="Times New Roman"/>
          <w:i/>
          <w:iCs/>
          <w:sz w:val="24"/>
          <w:szCs w:val="24"/>
        </w:rPr>
        <w:t>et al</w:t>
      </w:r>
      <w:r w:rsidR="003E2405" w:rsidRPr="003E2405">
        <w:rPr>
          <w:rFonts w:ascii="Times New Roman" w:hAnsi="Times New Roman" w:cs="Times New Roman"/>
          <w:sz w:val="24"/>
          <w:szCs w:val="24"/>
        </w:rPr>
        <w:t>. (1966)</w:t>
      </w:r>
      <w:r w:rsidR="003E2405">
        <w:rPr>
          <w:rFonts w:ascii="Times New Roman" w:hAnsi="Times New Roman" w:cs="Times New Roman"/>
          <w:sz w:val="24"/>
          <w:szCs w:val="24"/>
        </w:rPr>
        <w:t xml:space="preserve"> (14)</w:t>
      </w:r>
      <w:r w:rsidR="003E2405" w:rsidRPr="003E2405">
        <w:rPr>
          <w:rFonts w:ascii="Times New Roman" w:hAnsi="Times New Roman" w:cs="Times New Roman"/>
          <w:sz w:val="24"/>
          <w:szCs w:val="24"/>
        </w:rPr>
        <w:t xml:space="preserve">. Glutathione reductase activity was assayed as per Krohne-Ehrich </w:t>
      </w:r>
      <w:r w:rsidR="003E2405" w:rsidRPr="00C87916">
        <w:rPr>
          <w:rFonts w:ascii="Times New Roman" w:hAnsi="Times New Roman" w:cs="Times New Roman"/>
          <w:i/>
          <w:iCs/>
          <w:sz w:val="24"/>
          <w:szCs w:val="24"/>
        </w:rPr>
        <w:t>et al</w:t>
      </w:r>
      <w:r w:rsidR="003E2405" w:rsidRPr="003E2405">
        <w:rPr>
          <w:rFonts w:ascii="Times New Roman" w:hAnsi="Times New Roman" w:cs="Times New Roman"/>
          <w:sz w:val="24"/>
          <w:szCs w:val="24"/>
        </w:rPr>
        <w:t>. (1977)</w:t>
      </w:r>
      <w:r w:rsidR="003E2405">
        <w:rPr>
          <w:rFonts w:ascii="Times New Roman" w:hAnsi="Times New Roman" w:cs="Times New Roman"/>
          <w:sz w:val="24"/>
          <w:szCs w:val="24"/>
        </w:rPr>
        <w:t xml:space="preserve"> (15)</w:t>
      </w:r>
      <w:r w:rsidR="003E2405" w:rsidRPr="003E2405">
        <w:rPr>
          <w:rFonts w:ascii="Times New Roman" w:hAnsi="Times New Roman" w:cs="Times New Roman"/>
          <w:sz w:val="24"/>
          <w:szCs w:val="24"/>
        </w:rPr>
        <w:t>. Whole-blood GSH was determined using Ellman’s method (1959)</w:t>
      </w:r>
      <w:r w:rsidR="003E2405" w:rsidRPr="00612BA2">
        <w:rPr>
          <w:rFonts w:ascii="Times New Roman" w:hAnsi="Times New Roman" w:cs="Times New Roman"/>
          <w:sz w:val="24"/>
          <w:szCs w:val="24"/>
        </w:rPr>
        <w:t xml:space="preserve"> </w:t>
      </w:r>
      <w:r w:rsidR="003E2405">
        <w:rPr>
          <w:rFonts w:ascii="Times New Roman" w:hAnsi="Times New Roman" w:cs="Times New Roman"/>
          <w:sz w:val="24"/>
          <w:szCs w:val="24"/>
        </w:rPr>
        <w:t>(16)</w:t>
      </w:r>
      <w:r w:rsidR="003E2405" w:rsidRPr="003E2405">
        <w:rPr>
          <w:rFonts w:ascii="Times New Roman" w:hAnsi="Times New Roman" w:cs="Times New Roman"/>
          <w:sz w:val="24"/>
          <w:szCs w:val="24"/>
        </w:rPr>
        <w:t>.</w:t>
      </w:r>
      <w:r w:rsidR="003E2405">
        <w:rPr>
          <w:rFonts w:ascii="Times New Roman" w:hAnsi="Times New Roman" w:cs="Times New Roman"/>
          <w:sz w:val="24"/>
          <w:szCs w:val="24"/>
        </w:rPr>
        <w:t xml:space="preserve"> </w:t>
      </w:r>
      <w:r w:rsidRPr="00612BA2">
        <w:rPr>
          <w:rFonts w:ascii="Times New Roman" w:hAnsi="Times New Roman" w:cs="Times New Roman"/>
          <w:sz w:val="24"/>
          <w:szCs w:val="24"/>
        </w:rPr>
        <w:t xml:space="preserve">Data are presented as Mean ± SEM (n = 6). The values with different lower-case letters (a, b, c) superscripts indicate significant difference at </w:t>
      </w:r>
      <w:r w:rsidRPr="003E2405">
        <w:rPr>
          <w:rFonts w:ascii="Times New Roman" w:hAnsi="Times New Roman" w:cs="Times New Roman"/>
          <w:i/>
          <w:iCs/>
          <w:sz w:val="24"/>
          <w:szCs w:val="24"/>
        </w:rPr>
        <w:t>p</w:t>
      </w:r>
      <w:r w:rsidRPr="00612BA2">
        <w:rPr>
          <w:rFonts w:ascii="Times New Roman" w:hAnsi="Times New Roman" w:cs="Times New Roman"/>
          <w:sz w:val="24"/>
          <w:szCs w:val="24"/>
        </w:rPr>
        <w:t xml:space="preserve"> &lt; 0.05 between seasons.</w:t>
      </w:r>
    </w:p>
    <w:p w14:paraId="5C4A1CED" w14:textId="77777777" w:rsidR="00612BA2" w:rsidRDefault="00612BA2" w:rsidP="00612BA2">
      <w:pPr>
        <w:spacing w:line="360" w:lineRule="auto"/>
        <w:jc w:val="both"/>
        <w:rPr>
          <w:rFonts w:ascii="Times New Roman" w:hAnsi="Times New Roman" w:cs="Times New Roman"/>
          <w:sz w:val="24"/>
          <w:szCs w:val="24"/>
        </w:rPr>
      </w:pPr>
    </w:p>
    <w:p w14:paraId="3A2790F7" w14:textId="0D70FE8C"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42E1FF5A" wp14:editId="2583E838">
            <wp:extent cx="5282630" cy="3080643"/>
            <wp:effectExtent l="0" t="0" r="13335" b="5715"/>
            <wp:docPr id="1646470289" name="Chart 1">
              <a:extLst xmlns:a="http://schemas.openxmlformats.org/drawingml/2006/main">
                <a:ext uri="{FF2B5EF4-FFF2-40B4-BE49-F238E27FC236}">
                  <a16:creationId xmlns:a16="http://schemas.microsoft.com/office/drawing/2014/main" id="{53B1940F-BE31-5564-0EEC-E34170961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4843D1F" w14:textId="1FEE2D73"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1A</w:t>
      </w:r>
    </w:p>
    <w:p w14:paraId="393CFECA" w14:textId="77777777" w:rsidR="00612BA2" w:rsidRDefault="00612BA2" w:rsidP="00612BA2">
      <w:pPr>
        <w:spacing w:line="360" w:lineRule="auto"/>
        <w:jc w:val="both"/>
        <w:rPr>
          <w:rFonts w:ascii="Times New Roman" w:hAnsi="Times New Roman" w:cs="Times New Roman"/>
          <w:sz w:val="24"/>
          <w:szCs w:val="24"/>
        </w:rPr>
      </w:pPr>
    </w:p>
    <w:p w14:paraId="58282B62" w14:textId="77777777" w:rsidR="00612BA2" w:rsidRDefault="00612BA2" w:rsidP="00612BA2">
      <w:pPr>
        <w:spacing w:line="360" w:lineRule="auto"/>
        <w:jc w:val="both"/>
        <w:rPr>
          <w:rFonts w:ascii="Times New Roman" w:hAnsi="Times New Roman" w:cs="Times New Roman"/>
          <w:sz w:val="24"/>
          <w:szCs w:val="24"/>
        </w:rPr>
      </w:pPr>
    </w:p>
    <w:p w14:paraId="7E3ECE69" w14:textId="79564F8E" w:rsidR="00612BA2" w:rsidRDefault="00612BA2" w:rsidP="00612BA2">
      <w:pPr>
        <w:spacing w:line="360" w:lineRule="auto"/>
        <w:jc w:val="both"/>
        <w:rPr>
          <w:rFonts w:ascii="Times New Roman" w:hAnsi="Times New Roman" w:cs="Times New Roman"/>
          <w:sz w:val="24"/>
          <w:szCs w:val="24"/>
        </w:rPr>
      </w:pPr>
      <w:r>
        <w:rPr>
          <w:noProof/>
        </w:rPr>
        <w:drawing>
          <wp:inline distT="0" distB="0" distL="0" distR="0" wp14:anchorId="7F36E2F5" wp14:editId="60E3A224">
            <wp:extent cx="5731510" cy="2286635"/>
            <wp:effectExtent l="0" t="0" r="2540" b="18415"/>
            <wp:docPr id="933851770" name="Chart 1">
              <a:extLst xmlns:a="http://schemas.openxmlformats.org/drawingml/2006/main">
                <a:ext uri="{FF2B5EF4-FFF2-40B4-BE49-F238E27FC236}">
                  <a16:creationId xmlns:a16="http://schemas.microsoft.com/office/drawing/2014/main" id="{3D08891A-C763-4B61-96FE-D235E2F016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D7E257" w14:textId="77777777" w:rsidR="00612BA2" w:rsidRDefault="00612BA2" w:rsidP="00612BA2">
      <w:pPr>
        <w:spacing w:line="360" w:lineRule="auto"/>
        <w:jc w:val="both"/>
        <w:rPr>
          <w:rFonts w:ascii="Times New Roman" w:hAnsi="Times New Roman" w:cs="Times New Roman"/>
          <w:sz w:val="24"/>
          <w:szCs w:val="24"/>
        </w:rPr>
      </w:pPr>
    </w:p>
    <w:p w14:paraId="5BBC9720" w14:textId="050C9FF2" w:rsid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1B</w:t>
      </w:r>
    </w:p>
    <w:p w14:paraId="663484F5" w14:textId="77777777" w:rsidR="00612BA2" w:rsidRDefault="00612BA2" w:rsidP="00612BA2">
      <w:pPr>
        <w:spacing w:line="360" w:lineRule="auto"/>
        <w:jc w:val="both"/>
        <w:rPr>
          <w:rFonts w:ascii="Times New Roman" w:hAnsi="Times New Roman" w:cs="Times New Roman"/>
          <w:sz w:val="24"/>
          <w:szCs w:val="24"/>
        </w:rPr>
      </w:pPr>
    </w:p>
    <w:p w14:paraId="5D264BA0" w14:textId="07C0286D" w:rsidR="00612BA2" w:rsidRDefault="00612BA2" w:rsidP="00612BA2">
      <w:pPr>
        <w:spacing w:line="360" w:lineRule="auto"/>
        <w:jc w:val="both"/>
        <w:rPr>
          <w:rFonts w:ascii="Times New Roman" w:hAnsi="Times New Roman" w:cs="Times New Roman"/>
          <w:sz w:val="24"/>
          <w:szCs w:val="24"/>
        </w:rPr>
      </w:pPr>
      <w:r>
        <w:rPr>
          <w:noProof/>
        </w:rPr>
        <w:lastRenderedPageBreak/>
        <w:drawing>
          <wp:inline distT="0" distB="0" distL="0" distR="0" wp14:anchorId="71DBA0BB" wp14:editId="11B21C8C">
            <wp:extent cx="5282630" cy="3080642"/>
            <wp:effectExtent l="0" t="0" r="13335" b="5715"/>
            <wp:docPr id="600099130" name="Chart 1">
              <a:extLst xmlns:a="http://schemas.openxmlformats.org/drawingml/2006/main">
                <a:ext uri="{FF2B5EF4-FFF2-40B4-BE49-F238E27FC236}">
                  <a16:creationId xmlns:a16="http://schemas.microsoft.com/office/drawing/2014/main" id="{A59EED71-075E-E520-9780-810D31C95B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94AA5D" w14:textId="361E8F95" w:rsidR="00612BA2" w:rsidRPr="00612BA2" w:rsidRDefault="00612BA2" w:rsidP="00612BA2">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Fig. 1C</w:t>
      </w:r>
    </w:p>
    <w:p w14:paraId="0E7C592C" w14:textId="22DC85CC" w:rsidR="00AE55CE" w:rsidRDefault="00612BA2" w:rsidP="00F348F0">
      <w:pPr>
        <w:spacing w:line="360" w:lineRule="auto"/>
        <w:jc w:val="both"/>
        <w:rPr>
          <w:rFonts w:ascii="Times New Roman" w:hAnsi="Times New Roman" w:cs="Times New Roman"/>
          <w:sz w:val="24"/>
          <w:szCs w:val="24"/>
        </w:rPr>
      </w:pPr>
      <w:r w:rsidRPr="00612BA2">
        <w:rPr>
          <w:rFonts w:ascii="Times New Roman" w:hAnsi="Times New Roman" w:cs="Times New Roman"/>
          <w:sz w:val="24"/>
          <w:szCs w:val="24"/>
        </w:rPr>
        <w:t>Table 1: Oxidative stress parameters.</w:t>
      </w:r>
    </w:p>
    <w:p w14:paraId="285FBC46" w14:textId="6BFC6593" w:rsidR="00612BA2" w:rsidRDefault="00612BA2" w:rsidP="00F348F0">
      <w:pPr>
        <w:spacing w:line="360" w:lineRule="auto"/>
        <w:jc w:val="both"/>
        <w:rPr>
          <w:rFonts w:ascii="Times New Roman" w:hAnsi="Times New Roman" w:cs="Times New Roman"/>
          <w:sz w:val="24"/>
          <w:szCs w:val="24"/>
        </w:rPr>
      </w:pPr>
      <w:r>
        <w:rPr>
          <w:noProof/>
        </w:rPr>
        <w:drawing>
          <wp:inline distT="0" distB="0" distL="0" distR="0" wp14:anchorId="4CD1B6BB" wp14:editId="4D4F44CD">
            <wp:extent cx="6578435" cy="3550285"/>
            <wp:effectExtent l="0" t="0" r="0" b="0"/>
            <wp:docPr id="2" name="table">
              <a:extLst xmlns:a="http://schemas.openxmlformats.org/drawingml/2006/main">
                <a:ext uri="{FF2B5EF4-FFF2-40B4-BE49-F238E27FC236}">
                  <a16:creationId xmlns:a16="http://schemas.microsoft.com/office/drawing/2014/main" id="{97913558-BE0C-CB74-791E-D12C074847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97913558-BE0C-CB74-791E-D12C0748471C}"/>
                        </a:ext>
                      </a:extLst>
                    </pic:cNvPr>
                    <pic:cNvPicPr>
                      <a:picLocks noChangeAspect="1"/>
                    </pic:cNvPicPr>
                  </pic:nvPicPr>
                  <pic:blipFill>
                    <a:blip r:embed="rId25"/>
                    <a:stretch>
                      <a:fillRect/>
                    </a:stretch>
                  </pic:blipFill>
                  <pic:spPr>
                    <a:xfrm>
                      <a:off x="0" y="0"/>
                      <a:ext cx="6594941" cy="3559193"/>
                    </a:xfrm>
                    <a:prstGeom prst="rect">
                      <a:avLst/>
                    </a:prstGeom>
                  </pic:spPr>
                </pic:pic>
              </a:graphicData>
            </a:graphic>
          </wp:inline>
        </w:drawing>
      </w:r>
    </w:p>
    <w:p w14:paraId="28582470" w14:textId="20AB7CB6" w:rsidR="00612BA2" w:rsidRDefault="00BD2D2C" w:rsidP="00F348F0">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 xml:space="preserve">Table 2. Seasonal variations in </w:t>
      </w:r>
      <w:proofErr w:type="spellStart"/>
      <w:r w:rsidRPr="00BD2D2C">
        <w:rPr>
          <w:rFonts w:ascii="Times New Roman" w:hAnsi="Times New Roman" w:cs="Times New Roman"/>
          <w:sz w:val="24"/>
          <w:szCs w:val="24"/>
        </w:rPr>
        <w:t>hematological</w:t>
      </w:r>
      <w:proofErr w:type="spellEnd"/>
      <w:r w:rsidRPr="00BD2D2C">
        <w:rPr>
          <w:rFonts w:ascii="Times New Roman" w:hAnsi="Times New Roman" w:cs="Times New Roman"/>
          <w:sz w:val="24"/>
          <w:szCs w:val="24"/>
        </w:rPr>
        <w:t xml:space="preserve"> parameters. Hb was measured following </w:t>
      </w:r>
      <w:r w:rsidR="003E2405">
        <w:rPr>
          <w:rFonts w:ascii="Times New Roman" w:hAnsi="Times New Roman" w:cs="Times New Roman"/>
          <w:sz w:val="24"/>
          <w:szCs w:val="24"/>
        </w:rPr>
        <w:t xml:space="preserve">method from </w:t>
      </w:r>
      <w:r w:rsidR="003E2405" w:rsidRPr="003E2405">
        <w:rPr>
          <w:rFonts w:ascii="Times New Roman" w:hAnsi="Times New Roman" w:cs="Times New Roman"/>
          <w:sz w:val="24"/>
          <w:szCs w:val="24"/>
        </w:rPr>
        <w:t>Dacie and Lewis practical haematology</w:t>
      </w:r>
      <w:r w:rsidR="003E2405">
        <w:rPr>
          <w:rFonts w:ascii="Times New Roman" w:hAnsi="Times New Roman" w:cs="Times New Roman"/>
          <w:sz w:val="24"/>
          <w:szCs w:val="24"/>
        </w:rPr>
        <w:t xml:space="preserve"> (17)</w:t>
      </w:r>
      <w:r w:rsidRPr="00BD2D2C">
        <w:rPr>
          <w:rFonts w:ascii="Times New Roman" w:hAnsi="Times New Roman" w:cs="Times New Roman"/>
          <w:sz w:val="24"/>
          <w:szCs w:val="24"/>
        </w:rPr>
        <w:t xml:space="preserve">, PCV by the microhematocrit method, DLC using Giemsa-stained smears, and TLC using a </w:t>
      </w:r>
      <w:proofErr w:type="spellStart"/>
      <w:r w:rsidRPr="00BD2D2C">
        <w:rPr>
          <w:rFonts w:ascii="Times New Roman" w:hAnsi="Times New Roman" w:cs="Times New Roman"/>
          <w:sz w:val="24"/>
          <w:szCs w:val="24"/>
        </w:rPr>
        <w:t>hemocytometer</w:t>
      </w:r>
      <w:proofErr w:type="spellEnd"/>
      <w:r w:rsidRPr="00BD2D2C">
        <w:rPr>
          <w:rFonts w:ascii="Times New Roman" w:hAnsi="Times New Roman" w:cs="Times New Roman"/>
          <w:sz w:val="24"/>
          <w:szCs w:val="24"/>
        </w:rPr>
        <w:t xml:space="preserve">. Data are presented as Mean ± SEM (n = 6). </w:t>
      </w:r>
      <w:r w:rsidRPr="00BD2D2C">
        <w:rPr>
          <w:rFonts w:ascii="Times New Roman" w:hAnsi="Times New Roman" w:cs="Times New Roman"/>
          <w:sz w:val="24"/>
          <w:szCs w:val="24"/>
        </w:rPr>
        <w:lastRenderedPageBreak/>
        <w:t>Different lowercase superscripts (a, b, c) denote significant differences among seasons (</w:t>
      </w:r>
      <w:r w:rsidRPr="003E2405">
        <w:rPr>
          <w:rFonts w:ascii="Times New Roman" w:hAnsi="Times New Roman" w:cs="Times New Roman"/>
          <w:i/>
          <w:iCs/>
          <w:sz w:val="24"/>
          <w:szCs w:val="24"/>
        </w:rPr>
        <w:t>p</w:t>
      </w:r>
      <w:r w:rsidRPr="00BD2D2C">
        <w:rPr>
          <w:rFonts w:ascii="Times New Roman" w:hAnsi="Times New Roman" w:cs="Times New Roman"/>
          <w:sz w:val="24"/>
          <w:szCs w:val="24"/>
        </w:rPr>
        <w:t xml:space="preserve"> &lt; 0.05), while symbols (*, #, $) indicate significant differences among age groups (</w:t>
      </w:r>
      <w:r w:rsidRPr="003E2405">
        <w:rPr>
          <w:rFonts w:ascii="Times New Roman" w:hAnsi="Times New Roman" w:cs="Times New Roman"/>
          <w:i/>
          <w:iCs/>
          <w:sz w:val="24"/>
          <w:szCs w:val="24"/>
        </w:rPr>
        <w:t>p</w:t>
      </w:r>
      <w:r w:rsidRPr="00BD2D2C">
        <w:rPr>
          <w:rFonts w:ascii="Times New Roman" w:hAnsi="Times New Roman" w:cs="Times New Roman"/>
          <w:sz w:val="24"/>
          <w:szCs w:val="24"/>
        </w:rPr>
        <w:t xml:space="preserve"> &lt; 0.05).</w:t>
      </w:r>
    </w:p>
    <w:p w14:paraId="06E04B2D" w14:textId="77777777" w:rsidR="00BD2D2C" w:rsidRDefault="00BD2D2C" w:rsidP="00F348F0">
      <w:pPr>
        <w:spacing w:line="360" w:lineRule="auto"/>
        <w:jc w:val="both"/>
        <w:rPr>
          <w:rFonts w:ascii="Times New Roman" w:hAnsi="Times New Roman" w:cs="Times New Roman"/>
          <w:sz w:val="24"/>
          <w:szCs w:val="24"/>
        </w:rPr>
      </w:pPr>
    </w:p>
    <w:p w14:paraId="45AA89C4" w14:textId="0B3979E3" w:rsidR="00BD2D2C" w:rsidRPr="000733D3" w:rsidRDefault="00BD2D2C" w:rsidP="00F348F0">
      <w:pPr>
        <w:spacing w:line="360" w:lineRule="auto"/>
        <w:jc w:val="both"/>
        <w:rPr>
          <w:rFonts w:ascii="Times New Roman" w:hAnsi="Times New Roman" w:cs="Times New Roman"/>
          <w:sz w:val="24"/>
          <w:szCs w:val="24"/>
        </w:rPr>
      </w:pPr>
      <w:r>
        <w:rPr>
          <w:noProof/>
        </w:rPr>
        <w:drawing>
          <wp:inline distT="0" distB="0" distL="0" distR="0" wp14:anchorId="3705A500" wp14:editId="025AFD49">
            <wp:extent cx="6139254" cy="3253583"/>
            <wp:effectExtent l="0" t="0" r="0" b="0"/>
            <wp:docPr id="343005186" name="table">
              <a:extLst xmlns:a="http://schemas.openxmlformats.org/drawingml/2006/main">
                <a:ext uri="{FF2B5EF4-FFF2-40B4-BE49-F238E27FC236}">
                  <a16:creationId xmlns:a16="http://schemas.microsoft.com/office/drawing/2014/main" id="{A830025A-E2BD-15D9-4FD2-D34AB7C45D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A830025A-E2BD-15D9-4FD2-D34AB7C45D9F}"/>
                        </a:ext>
                      </a:extLst>
                    </pic:cNvPr>
                    <pic:cNvPicPr>
                      <a:picLocks noChangeAspect="1"/>
                    </pic:cNvPicPr>
                  </pic:nvPicPr>
                  <pic:blipFill>
                    <a:blip r:embed="rId26"/>
                    <a:stretch>
                      <a:fillRect/>
                    </a:stretch>
                  </pic:blipFill>
                  <pic:spPr>
                    <a:xfrm>
                      <a:off x="0" y="0"/>
                      <a:ext cx="6149447" cy="3258985"/>
                    </a:xfrm>
                    <a:prstGeom prst="rect">
                      <a:avLst/>
                    </a:prstGeom>
                  </pic:spPr>
                </pic:pic>
              </a:graphicData>
            </a:graphic>
          </wp:inline>
        </w:drawing>
      </w:r>
    </w:p>
    <w:p w14:paraId="78179F1C" w14:textId="32AEEE9A" w:rsidR="00FF1006" w:rsidRDefault="00BD2D2C" w:rsidP="00FF1006">
      <w:pPr>
        <w:spacing w:line="360" w:lineRule="auto"/>
        <w:jc w:val="both"/>
        <w:rPr>
          <w:rFonts w:ascii="Times New Roman" w:hAnsi="Times New Roman" w:cs="Times New Roman"/>
          <w:sz w:val="24"/>
          <w:szCs w:val="24"/>
        </w:rPr>
      </w:pPr>
      <w:r w:rsidRPr="00BD2D2C">
        <w:rPr>
          <w:rFonts w:ascii="Times New Roman" w:hAnsi="Times New Roman" w:cs="Times New Roman"/>
          <w:sz w:val="24"/>
          <w:szCs w:val="24"/>
        </w:rPr>
        <w:t xml:space="preserve">Table 3: Seasonal variations in metabolic enzyme activities. Plasma levels of ALP, ALT, AST, GGT, and LDH were measured using Erba Mannheim kits on a semi-automatic chemistry analyser (Merck). Data are presented as Mean ± SEM (n = 6). The values with different lower-case letters (a, b, c) superscripts indicate significant difference at </w:t>
      </w:r>
      <w:r w:rsidRPr="003E2405">
        <w:rPr>
          <w:rFonts w:ascii="Times New Roman" w:hAnsi="Times New Roman" w:cs="Times New Roman"/>
          <w:i/>
          <w:iCs/>
          <w:sz w:val="24"/>
          <w:szCs w:val="24"/>
        </w:rPr>
        <w:t>p</w:t>
      </w:r>
      <w:r w:rsidRPr="00BD2D2C">
        <w:rPr>
          <w:rFonts w:ascii="Times New Roman" w:hAnsi="Times New Roman" w:cs="Times New Roman"/>
          <w:sz w:val="24"/>
          <w:szCs w:val="24"/>
        </w:rPr>
        <w:t xml:space="preserve"> &lt; 0.05 between seasons.</w:t>
      </w:r>
    </w:p>
    <w:p w14:paraId="04D92A84" w14:textId="77777777" w:rsidR="00BD2D2C" w:rsidRDefault="00BD2D2C" w:rsidP="00FF1006">
      <w:pPr>
        <w:spacing w:line="360" w:lineRule="auto"/>
        <w:jc w:val="both"/>
        <w:rPr>
          <w:rFonts w:ascii="Times New Roman" w:hAnsi="Times New Roman" w:cs="Times New Roman"/>
          <w:sz w:val="24"/>
          <w:szCs w:val="24"/>
        </w:rPr>
      </w:pPr>
    </w:p>
    <w:p w14:paraId="4330F9CB" w14:textId="76C0E384" w:rsidR="00BD2D2C" w:rsidRPr="000733D3" w:rsidRDefault="00BD2D2C" w:rsidP="00FF1006">
      <w:pPr>
        <w:spacing w:line="360" w:lineRule="auto"/>
        <w:jc w:val="both"/>
        <w:rPr>
          <w:rFonts w:ascii="Times New Roman" w:hAnsi="Times New Roman" w:cs="Times New Roman"/>
          <w:sz w:val="24"/>
          <w:szCs w:val="24"/>
        </w:rPr>
      </w:pPr>
      <w:r>
        <w:rPr>
          <w:noProof/>
        </w:rPr>
        <w:drawing>
          <wp:inline distT="0" distB="0" distL="0" distR="0" wp14:anchorId="60E54167" wp14:editId="15292521">
            <wp:extent cx="5949538" cy="2873375"/>
            <wp:effectExtent l="0" t="0" r="0" b="3175"/>
            <wp:docPr id="839137029" name="table">
              <a:extLst xmlns:a="http://schemas.openxmlformats.org/drawingml/2006/main">
                <a:ext uri="{FF2B5EF4-FFF2-40B4-BE49-F238E27FC236}">
                  <a16:creationId xmlns:a16="http://schemas.microsoft.com/office/drawing/2014/main" id="{1550D46C-2DD0-F482-3C44-5CD24B71F2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550D46C-2DD0-F482-3C44-5CD24B71F299}"/>
                        </a:ext>
                      </a:extLst>
                    </pic:cNvPr>
                    <pic:cNvPicPr>
                      <a:picLocks noChangeAspect="1"/>
                    </pic:cNvPicPr>
                  </pic:nvPicPr>
                  <pic:blipFill>
                    <a:blip r:embed="rId27"/>
                    <a:stretch>
                      <a:fillRect/>
                    </a:stretch>
                  </pic:blipFill>
                  <pic:spPr>
                    <a:xfrm>
                      <a:off x="0" y="0"/>
                      <a:ext cx="5956095" cy="2876542"/>
                    </a:xfrm>
                    <a:prstGeom prst="rect">
                      <a:avLst/>
                    </a:prstGeom>
                  </pic:spPr>
                </pic:pic>
              </a:graphicData>
            </a:graphic>
          </wp:inline>
        </w:drawing>
      </w:r>
    </w:p>
    <w:p w14:paraId="3B38031A" w14:textId="77777777" w:rsidR="00F348F0" w:rsidRPr="000733D3" w:rsidRDefault="00F348F0" w:rsidP="00FF1006">
      <w:pPr>
        <w:spacing w:line="360" w:lineRule="auto"/>
        <w:jc w:val="both"/>
        <w:rPr>
          <w:rFonts w:ascii="Times New Roman" w:hAnsi="Times New Roman" w:cs="Times New Roman"/>
          <w:sz w:val="24"/>
          <w:szCs w:val="24"/>
        </w:rPr>
      </w:pPr>
    </w:p>
    <w:p w14:paraId="26687AE5" w14:textId="77777777" w:rsidR="00FF1006" w:rsidRPr="000733D3" w:rsidRDefault="00FF1006" w:rsidP="00FF1006">
      <w:pPr>
        <w:spacing w:line="360" w:lineRule="auto"/>
        <w:jc w:val="both"/>
        <w:rPr>
          <w:rFonts w:ascii="Times New Roman" w:hAnsi="Times New Roman" w:cs="Times New Roman"/>
          <w:sz w:val="24"/>
          <w:szCs w:val="24"/>
        </w:rPr>
      </w:pPr>
    </w:p>
    <w:p w14:paraId="527E1006" w14:textId="77777777" w:rsidR="00FF1006" w:rsidRPr="000733D3" w:rsidRDefault="00FF1006" w:rsidP="00FF1006">
      <w:pPr>
        <w:spacing w:line="360" w:lineRule="auto"/>
        <w:jc w:val="both"/>
        <w:rPr>
          <w:rFonts w:ascii="Times New Roman" w:eastAsia="Calibri" w:hAnsi="Times New Roman" w:cs="Times New Roman"/>
          <w:sz w:val="24"/>
          <w:szCs w:val="24"/>
        </w:rPr>
      </w:pPr>
    </w:p>
    <w:p w14:paraId="5AE80844" w14:textId="77777777" w:rsidR="00FF1006" w:rsidRPr="000733D3" w:rsidRDefault="00FF1006">
      <w:pPr>
        <w:rPr>
          <w:sz w:val="24"/>
          <w:szCs w:val="24"/>
        </w:rPr>
      </w:pPr>
    </w:p>
    <w:sectPr w:rsidR="00FF1006" w:rsidRPr="000733D3" w:rsidSect="00C61FA3">
      <w:headerReference w:type="even" r:id="rId28"/>
      <w:headerReference w:type="default" r:id="rId29"/>
      <w:footerReference w:type="even" r:id="rId30"/>
      <w:footerReference w:type="default" r:id="rId31"/>
      <w:headerReference w:type="first" r:id="rId32"/>
      <w:footerReference w:type="first" r:id="rId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05548" w14:textId="77777777" w:rsidR="00A115FA" w:rsidRDefault="00A115FA" w:rsidP="00185624">
      <w:pPr>
        <w:spacing w:after="0" w:line="240" w:lineRule="auto"/>
      </w:pPr>
      <w:r>
        <w:separator/>
      </w:r>
    </w:p>
  </w:endnote>
  <w:endnote w:type="continuationSeparator" w:id="0">
    <w:p w14:paraId="4C7B7421" w14:textId="77777777" w:rsidR="00A115FA" w:rsidRDefault="00A115FA" w:rsidP="00185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B2F2C" w14:textId="77777777" w:rsidR="00185624" w:rsidRDefault="00185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DA4A5" w14:textId="77777777" w:rsidR="00185624" w:rsidRDefault="00185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2E86C" w14:textId="77777777" w:rsidR="00185624" w:rsidRDefault="00185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097B" w14:textId="77777777" w:rsidR="00A115FA" w:rsidRDefault="00A115FA" w:rsidP="00185624">
      <w:pPr>
        <w:spacing w:after="0" w:line="240" w:lineRule="auto"/>
      </w:pPr>
      <w:r>
        <w:separator/>
      </w:r>
    </w:p>
  </w:footnote>
  <w:footnote w:type="continuationSeparator" w:id="0">
    <w:p w14:paraId="000645B1" w14:textId="77777777" w:rsidR="00A115FA" w:rsidRDefault="00A115FA" w:rsidP="00185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C0959" w14:textId="1873C315" w:rsidR="00185624" w:rsidRDefault="00A115FA">
    <w:pPr>
      <w:pStyle w:val="Header"/>
    </w:pPr>
    <w:r>
      <w:rPr>
        <w:noProof/>
      </w:rPr>
      <w:pict w14:anchorId="353DA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9" o:spid="_x0000_s2050"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CEAB" w14:textId="082F3CD6" w:rsidR="00185624" w:rsidRDefault="00A115FA">
    <w:pPr>
      <w:pStyle w:val="Header"/>
    </w:pPr>
    <w:r>
      <w:rPr>
        <w:noProof/>
      </w:rPr>
      <w:pict w14:anchorId="64616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70" o:spid="_x0000_s2051"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76D67" w14:textId="0B9A5A33" w:rsidR="00185624" w:rsidRDefault="00A115FA">
    <w:pPr>
      <w:pStyle w:val="Header"/>
    </w:pPr>
    <w:r>
      <w:rPr>
        <w:noProof/>
      </w:rPr>
      <w:pict w14:anchorId="09E0AE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99468" o:spid="_x0000_s2049"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UNDER PEER REVIEW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86BA9"/>
    <w:multiLevelType w:val="hybridMultilevel"/>
    <w:tmpl w:val="CF36F9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5A361D"/>
    <w:multiLevelType w:val="multilevel"/>
    <w:tmpl w:val="462C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35CCF"/>
    <w:multiLevelType w:val="hybridMultilevel"/>
    <w:tmpl w:val="535C6C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98A1DC7"/>
    <w:multiLevelType w:val="hybridMultilevel"/>
    <w:tmpl w:val="272AC1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242326"/>
    <w:multiLevelType w:val="hybridMultilevel"/>
    <w:tmpl w:val="8A6A9748"/>
    <w:lvl w:ilvl="0" w:tplc="8BD4D0BE">
      <w:start w:val="1"/>
      <w:numFmt w:val="decimal"/>
      <w:lvlText w:val="%1."/>
      <w:lvlJc w:val="left"/>
      <w:pPr>
        <w:ind w:left="426" w:hanging="360"/>
      </w:pPr>
      <w:rPr>
        <w:rFonts w:hint="default"/>
      </w:rPr>
    </w:lvl>
    <w:lvl w:ilvl="1" w:tplc="40090019" w:tentative="1">
      <w:start w:val="1"/>
      <w:numFmt w:val="lowerLetter"/>
      <w:lvlText w:val="%2."/>
      <w:lvlJc w:val="left"/>
      <w:pPr>
        <w:ind w:left="1146" w:hanging="360"/>
      </w:pPr>
    </w:lvl>
    <w:lvl w:ilvl="2" w:tplc="4009001B" w:tentative="1">
      <w:start w:val="1"/>
      <w:numFmt w:val="lowerRoman"/>
      <w:lvlText w:val="%3."/>
      <w:lvlJc w:val="right"/>
      <w:pPr>
        <w:ind w:left="1866" w:hanging="180"/>
      </w:pPr>
    </w:lvl>
    <w:lvl w:ilvl="3" w:tplc="4009000F" w:tentative="1">
      <w:start w:val="1"/>
      <w:numFmt w:val="decimal"/>
      <w:lvlText w:val="%4."/>
      <w:lvlJc w:val="left"/>
      <w:pPr>
        <w:ind w:left="2586" w:hanging="360"/>
      </w:pPr>
    </w:lvl>
    <w:lvl w:ilvl="4" w:tplc="40090019" w:tentative="1">
      <w:start w:val="1"/>
      <w:numFmt w:val="lowerLetter"/>
      <w:lvlText w:val="%5."/>
      <w:lvlJc w:val="left"/>
      <w:pPr>
        <w:ind w:left="3306" w:hanging="360"/>
      </w:pPr>
    </w:lvl>
    <w:lvl w:ilvl="5" w:tplc="4009001B" w:tentative="1">
      <w:start w:val="1"/>
      <w:numFmt w:val="lowerRoman"/>
      <w:lvlText w:val="%6."/>
      <w:lvlJc w:val="right"/>
      <w:pPr>
        <w:ind w:left="4026" w:hanging="180"/>
      </w:pPr>
    </w:lvl>
    <w:lvl w:ilvl="6" w:tplc="4009000F" w:tentative="1">
      <w:start w:val="1"/>
      <w:numFmt w:val="decimal"/>
      <w:lvlText w:val="%7."/>
      <w:lvlJc w:val="left"/>
      <w:pPr>
        <w:ind w:left="4746" w:hanging="360"/>
      </w:pPr>
    </w:lvl>
    <w:lvl w:ilvl="7" w:tplc="40090019" w:tentative="1">
      <w:start w:val="1"/>
      <w:numFmt w:val="lowerLetter"/>
      <w:lvlText w:val="%8."/>
      <w:lvlJc w:val="left"/>
      <w:pPr>
        <w:ind w:left="5466" w:hanging="360"/>
      </w:pPr>
    </w:lvl>
    <w:lvl w:ilvl="8" w:tplc="4009001B" w:tentative="1">
      <w:start w:val="1"/>
      <w:numFmt w:val="lowerRoman"/>
      <w:lvlText w:val="%9."/>
      <w:lvlJc w:val="right"/>
      <w:pPr>
        <w:ind w:left="6186" w:hanging="180"/>
      </w:pPr>
    </w:lvl>
  </w:abstractNum>
  <w:abstractNum w:abstractNumId="5" w15:restartNumberingAfterBreak="0">
    <w:nsid w:val="7CE52A58"/>
    <w:multiLevelType w:val="multilevel"/>
    <w:tmpl w:val="4592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D7147"/>
    <w:multiLevelType w:val="multilevel"/>
    <w:tmpl w:val="1602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06"/>
    <w:rsid w:val="00002B4D"/>
    <w:rsid w:val="000215BE"/>
    <w:rsid w:val="0003107C"/>
    <w:rsid w:val="00033895"/>
    <w:rsid w:val="00061F7F"/>
    <w:rsid w:val="000733D3"/>
    <w:rsid w:val="0008346E"/>
    <w:rsid w:val="00094AE8"/>
    <w:rsid w:val="000B58BE"/>
    <w:rsid w:val="000C04E3"/>
    <w:rsid w:val="001041AE"/>
    <w:rsid w:val="00130EC0"/>
    <w:rsid w:val="00134C53"/>
    <w:rsid w:val="00174050"/>
    <w:rsid w:val="001779D3"/>
    <w:rsid w:val="00185624"/>
    <w:rsid w:val="00195094"/>
    <w:rsid w:val="001A5CCD"/>
    <w:rsid w:val="001A6332"/>
    <w:rsid w:val="001A63B5"/>
    <w:rsid w:val="001C3597"/>
    <w:rsid w:val="001D2F75"/>
    <w:rsid w:val="001F446A"/>
    <w:rsid w:val="00215298"/>
    <w:rsid w:val="002427A7"/>
    <w:rsid w:val="00245EB8"/>
    <w:rsid w:val="00256D47"/>
    <w:rsid w:val="00265DA8"/>
    <w:rsid w:val="002F34CC"/>
    <w:rsid w:val="002F5A0F"/>
    <w:rsid w:val="0033711E"/>
    <w:rsid w:val="003513E6"/>
    <w:rsid w:val="00381F28"/>
    <w:rsid w:val="003A37C6"/>
    <w:rsid w:val="003B10DD"/>
    <w:rsid w:val="003C74FF"/>
    <w:rsid w:val="003E2405"/>
    <w:rsid w:val="004022DE"/>
    <w:rsid w:val="00410B9B"/>
    <w:rsid w:val="00421D15"/>
    <w:rsid w:val="004822B1"/>
    <w:rsid w:val="00487385"/>
    <w:rsid w:val="004921D5"/>
    <w:rsid w:val="00495488"/>
    <w:rsid w:val="004A3367"/>
    <w:rsid w:val="004E74BE"/>
    <w:rsid w:val="0051138C"/>
    <w:rsid w:val="00532271"/>
    <w:rsid w:val="005453ED"/>
    <w:rsid w:val="00564489"/>
    <w:rsid w:val="00570F52"/>
    <w:rsid w:val="005A7906"/>
    <w:rsid w:val="005E7F20"/>
    <w:rsid w:val="00612BA2"/>
    <w:rsid w:val="0062304F"/>
    <w:rsid w:val="006608DF"/>
    <w:rsid w:val="006B5573"/>
    <w:rsid w:val="006F6393"/>
    <w:rsid w:val="0071287C"/>
    <w:rsid w:val="007162F1"/>
    <w:rsid w:val="007458B6"/>
    <w:rsid w:val="00767DAF"/>
    <w:rsid w:val="007A425B"/>
    <w:rsid w:val="007F41E1"/>
    <w:rsid w:val="007F787C"/>
    <w:rsid w:val="00815DCB"/>
    <w:rsid w:val="008317D6"/>
    <w:rsid w:val="00832255"/>
    <w:rsid w:val="00841E8A"/>
    <w:rsid w:val="0085212B"/>
    <w:rsid w:val="008A4797"/>
    <w:rsid w:val="008B19C8"/>
    <w:rsid w:val="008C03F0"/>
    <w:rsid w:val="00906BF9"/>
    <w:rsid w:val="009077F2"/>
    <w:rsid w:val="00981540"/>
    <w:rsid w:val="009850F3"/>
    <w:rsid w:val="009A3BCA"/>
    <w:rsid w:val="009F68BE"/>
    <w:rsid w:val="00A03AB8"/>
    <w:rsid w:val="00A115FA"/>
    <w:rsid w:val="00A43499"/>
    <w:rsid w:val="00A55373"/>
    <w:rsid w:val="00AA4F45"/>
    <w:rsid w:val="00AA7057"/>
    <w:rsid w:val="00AC7912"/>
    <w:rsid w:val="00AD73FC"/>
    <w:rsid w:val="00AE55CE"/>
    <w:rsid w:val="00AF22F0"/>
    <w:rsid w:val="00B34351"/>
    <w:rsid w:val="00B742D4"/>
    <w:rsid w:val="00B8439D"/>
    <w:rsid w:val="00B8726F"/>
    <w:rsid w:val="00BA0794"/>
    <w:rsid w:val="00BB1C46"/>
    <w:rsid w:val="00BC6BEC"/>
    <w:rsid w:val="00BD2D2C"/>
    <w:rsid w:val="00C14F4F"/>
    <w:rsid w:val="00C34FAF"/>
    <w:rsid w:val="00C466D2"/>
    <w:rsid w:val="00C55EDB"/>
    <w:rsid w:val="00C61FA3"/>
    <w:rsid w:val="00C81F68"/>
    <w:rsid w:val="00C87916"/>
    <w:rsid w:val="00CD6642"/>
    <w:rsid w:val="00CF6C9B"/>
    <w:rsid w:val="00D24DC4"/>
    <w:rsid w:val="00D349F3"/>
    <w:rsid w:val="00D46967"/>
    <w:rsid w:val="00D7025D"/>
    <w:rsid w:val="00D703EE"/>
    <w:rsid w:val="00D716B5"/>
    <w:rsid w:val="00D71F01"/>
    <w:rsid w:val="00D91CB3"/>
    <w:rsid w:val="00DC3F79"/>
    <w:rsid w:val="00E33014"/>
    <w:rsid w:val="00E679A8"/>
    <w:rsid w:val="00E735CA"/>
    <w:rsid w:val="00E9414E"/>
    <w:rsid w:val="00EB7AE7"/>
    <w:rsid w:val="00ED0F72"/>
    <w:rsid w:val="00ED7848"/>
    <w:rsid w:val="00F10211"/>
    <w:rsid w:val="00F127F5"/>
    <w:rsid w:val="00F348F0"/>
    <w:rsid w:val="00F44422"/>
    <w:rsid w:val="00F71F94"/>
    <w:rsid w:val="00F85A28"/>
    <w:rsid w:val="00FF10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BAA6AB"/>
  <w15:chartTrackingRefBased/>
  <w15:docId w15:val="{976C23E0-0A47-47A0-B583-F58F33D9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JSHAP Heading 1"/>
    <w:basedOn w:val="Normal"/>
    <w:next w:val="Normal"/>
    <w:link w:val="Heading1Char"/>
    <w:uiPriority w:val="9"/>
    <w:qFormat/>
    <w:rsid w:val="00FF1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JSHAP Header 2"/>
    <w:basedOn w:val="Normal"/>
    <w:next w:val="Normal"/>
    <w:link w:val="Heading2Char"/>
    <w:uiPriority w:val="9"/>
    <w:semiHidden/>
    <w:unhideWhenUsed/>
    <w:qFormat/>
    <w:rsid w:val="00FF1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SHAP Heading 1 Char"/>
    <w:basedOn w:val="DefaultParagraphFont"/>
    <w:link w:val="Heading1"/>
    <w:uiPriority w:val="9"/>
    <w:rsid w:val="00FF1006"/>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JSHAP Header 2 Char"/>
    <w:basedOn w:val="DefaultParagraphFont"/>
    <w:link w:val="Heading2"/>
    <w:uiPriority w:val="9"/>
    <w:semiHidden/>
    <w:rsid w:val="00FF1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006"/>
    <w:rPr>
      <w:rFonts w:eastAsiaTheme="majorEastAsia" w:cstheme="majorBidi"/>
      <w:color w:val="272727" w:themeColor="text1" w:themeTint="D8"/>
    </w:rPr>
  </w:style>
  <w:style w:type="paragraph" w:styleId="Title">
    <w:name w:val="Title"/>
    <w:basedOn w:val="Normal"/>
    <w:next w:val="Normal"/>
    <w:link w:val="TitleChar"/>
    <w:uiPriority w:val="10"/>
    <w:qFormat/>
    <w:rsid w:val="00FF1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006"/>
    <w:pPr>
      <w:spacing w:before="160"/>
      <w:jc w:val="center"/>
    </w:pPr>
    <w:rPr>
      <w:i/>
      <w:iCs/>
      <w:color w:val="404040" w:themeColor="text1" w:themeTint="BF"/>
    </w:rPr>
  </w:style>
  <w:style w:type="character" w:customStyle="1" w:styleId="QuoteChar">
    <w:name w:val="Quote Char"/>
    <w:basedOn w:val="DefaultParagraphFont"/>
    <w:link w:val="Quote"/>
    <w:uiPriority w:val="29"/>
    <w:rsid w:val="00FF1006"/>
    <w:rPr>
      <w:i/>
      <w:iCs/>
      <w:color w:val="404040" w:themeColor="text1" w:themeTint="BF"/>
    </w:rPr>
  </w:style>
  <w:style w:type="paragraph" w:styleId="ListParagraph">
    <w:name w:val="List Paragraph"/>
    <w:basedOn w:val="Normal"/>
    <w:uiPriority w:val="34"/>
    <w:qFormat/>
    <w:rsid w:val="00FF1006"/>
    <w:pPr>
      <w:ind w:left="720"/>
      <w:contextualSpacing/>
    </w:pPr>
  </w:style>
  <w:style w:type="character" w:styleId="IntenseEmphasis">
    <w:name w:val="Intense Emphasis"/>
    <w:basedOn w:val="DefaultParagraphFont"/>
    <w:uiPriority w:val="21"/>
    <w:qFormat/>
    <w:rsid w:val="00FF1006"/>
    <w:rPr>
      <w:i/>
      <w:iCs/>
      <w:color w:val="2F5496" w:themeColor="accent1" w:themeShade="BF"/>
    </w:rPr>
  </w:style>
  <w:style w:type="paragraph" w:styleId="IntenseQuote">
    <w:name w:val="Intense Quote"/>
    <w:basedOn w:val="Normal"/>
    <w:next w:val="Normal"/>
    <w:link w:val="IntenseQuoteChar"/>
    <w:uiPriority w:val="30"/>
    <w:qFormat/>
    <w:rsid w:val="00FF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006"/>
    <w:rPr>
      <w:i/>
      <w:iCs/>
      <w:color w:val="2F5496" w:themeColor="accent1" w:themeShade="BF"/>
    </w:rPr>
  </w:style>
  <w:style w:type="character" w:styleId="IntenseReference">
    <w:name w:val="Intense Reference"/>
    <w:basedOn w:val="DefaultParagraphFont"/>
    <w:uiPriority w:val="32"/>
    <w:qFormat/>
    <w:rsid w:val="00FF1006"/>
    <w:rPr>
      <w:b/>
      <w:bCs/>
      <w:smallCaps/>
      <w:color w:val="2F5496" w:themeColor="accent1" w:themeShade="BF"/>
      <w:spacing w:val="5"/>
    </w:rPr>
  </w:style>
  <w:style w:type="character" w:styleId="Hyperlink">
    <w:name w:val="Hyperlink"/>
    <w:uiPriority w:val="99"/>
    <w:unhideWhenUsed/>
    <w:rsid w:val="0051138C"/>
    <w:rPr>
      <w:color w:val="0000FF"/>
      <w:u w:val="single"/>
    </w:rPr>
  </w:style>
  <w:style w:type="paragraph" w:styleId="NormalWeb">
    <w:name w:val="Normal (Web)"/>
    <w:basedOn w:val="Normal"/>
    <w:uiPriority w:val="99"/>
    <w:semiHidden/>
    <w:unhideWhenUsed/>
    <w:rsid w:val="00AE55C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UnresolvedMention">
    <w:name w:val="Unresolved Mention"/>
    <w:basedOn w:val="DefaultParagraphFont"/>
    <w:uiPriority w:val="99"/>
    <w:semiHidden/>
    <w:unhideWhenUsed/>
    <w:rsid w:val="000733D3"/>
    <w:rPr>
      <w:color w:val="605E5C"/>
      <w:shd w:val="clear" w:color="auto" w:fill="E1DFDD"/>
    </w:rPr>
  </w:style>
  <w:style w:type="paragraph" w:styleId="Header">
    <w:name w:val="header"/>
    <w:basedOn w:val="Normal"/>
    <w:link w:val="HeaderChar"/>
    <w:uiPriority w:val="99"/>
    <w:unhideWhenUsed/>
    <w:rsid w:val="00185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624"/>
  </w:style>
  <w:style w:type="paragraph" w:styleId="Footer">
    <w:name w:val="footer"/>
    <w:basedOn w:val="Normal"/>
    <w:link w:val="FooterChar"/>
    <w:uiPriority w:val="99"/>
    <w:unhideWhenUsed/>
    <w:rsid w:val="00185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ps/86.2.364" TargetMode="External"/><Relationship Id="rId18" Type="http://schemas.openxmlformats.org/officeDocument/2006/relationships/hyperlink" Target="https://doi.org/10.1016/j.bbrc.2016.10.086"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doi.org/10.31357/ait.v3i2.7339" TargetMode="External"/><Relationship Id="rId34" Type="http://schemas.openxmlformats.org/officeDocument/2006/relationships/fontTable" Target="fontTable.xml"/><Relationship Id="rId7" Type="http://schemas.openxmlformats.org/officeDocument/2006/relationships/hyperlink" Target="https://doi.org/10.3389/fanim.2023.1218175" TargetMode="External"/><Relationship Id="rId12" Type="http://schemas.openxmlformats.org/officeDocument/2006/relationships/hyperlink" Target="https://doi.org/10.1016/j.jtherbio.2021.103009" TargetMode="External"/><Relationship Id="rId17" Type="http://schemas.openxmlformats.org/officeDocument/2006/relationships/hyperlink" Target="https://doi.org/10.1097/md.0000000000037360" TargetMode="Externa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527/2005.8361385x" TargetMode="External"/><Relationship Id="rId20" Type="http://schemas.openxmlformats.org/officeDocument/2006/relationships/hyperlink" Target="https://doi.org/10.3390/ani11061833"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1/AN15267" TargetMode="External"/><Relationship Id="rId24" Type="http://schemas.openxmlformats.org/officeDocument/2006/relationships/chart" Target="charts/chart3.xm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0003-2697(66)90167-9" TargetMode="External"/><Relationship Id="rId23" Type="http://schemas.openxmlformats.org/officeDocument/2006/relationships/chart" Target="charts/chart2.xml"/><Relationship Id="rId28" Type="http://schemas.openxmlformats.org/officeDocument/2006/relationships/header" Target="header1.xml"/><Relationship Id="rId10" Type="http://schemas.openxmlformats.org/officeDocument/2006/relationships/hyperlink" Target="https://doi.org/10.2527/jas.2008-1176" TargetMode="External"/><Relationship Id="rId19" Type="http://schemas.openxmlformats.org/officeDocument/2006/relationships/hyperlink" Target="https://doi.org/10.3390/ani907039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3390/vetsci12050429" TargetMode="External"/><Relationship Id="rId14" Type="http://schemas.openxmlformats.org/officeDocument/2006/relationships/hyperlink" Target="https://doi.org/10.3109/02656736.2014.971446" TargetMode="External"/><Relationship Id="rId22" Type="http://schemas.openxmlformats.org/officeDocument/2006/relationships/chart" Target="charts/chart1.xml"/><Relationship Id="rId27" Type="http://schemas.openxmlformats.org/officeDocument/2006/relationships/image" Target="media/image3.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3390/atmos13010140"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Master's%20doc\Corrected%20parameter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AppData\Roaming\Microsoft\Excel\Corrected%20parameters%20(version%201).xlsb"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Master's%20doc\Corrected%20paramete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600"/>
              <a:t>Erythrocytic Malondialdehyde (MDA) (nmol/mg)</a:t>
            </a:r>
          </a:p>
        </c:rich>
      </c:tx>
      <c:layout>
        <c:manualLayout>
          <c:xMode val="edge"/>
          <c:yMode val="edge"/>
          <c:x val="0.17019268811179281"/>
          <c:y val="4.1225159812415785E-2"/>
        </c:manualLayout>
      </c:layout>
      <c:overlay val="0"/>
      <c:spPr>
        <a:noFill/>
        <a:ln>
          <a:noFill/>
        </a:ln>
        <a:effectLst/>
      </c:spPr>
    </c:title>
    <c:autoTitleDeleted val="0"/>
    <c:plotArea>
      <c:layout/>
      <c:barChart>
        <c:barDir val="col"/>
        <c:grouping val="clustered"/>
        <c:varyColors val="0"/>
        <c:ser>
          <c:idx val="0"/>
          <c:order val="0"/>
          <c:tx>
            <c:strRef>
              <c:f>Sheet4!$A$14</c:f>
              <c:strCache>
                <c:ptCount val="1"/>
                <c:pt idx="0">
                  <c:v>Erythrocytic Malondialdehyde ± nmol/mg</c:v>
                </c:pt>
              </c:strCache>
            </c:strRef>
          </c:tx>
          <c:spPr>
            <a:solidFill>
              <a:schemeClr val="accent1"/>
            </a:solidFill>
            <a:ln>
              <a:noFill/>
            </a:ln>
            <a:effectLst/>
          </c:spPr>
          <c:invertIfNegative val="0"/>
          <c:dPt>
            <c:idx val="0"/>
            <c:invertIfNegative val="0"/>
            <c:bubble3D val="0"/>
            <c:extLst>
              <c:ext xmlns:c16="http://schemas.microsoft.com/office/drawing/2014/chart" uri="{C3380CC4-5D6E-409C-BE32-E72D297353CC}">
                <c16:uniqueId val="{00000000-A6D7-4C8A-A01F-C8D0D022CCA6}"/>
              </c:ext>
            </c:extLst>
          </c:dPt>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2-A6D7-4C8A-A01F-C8D0D022CCA6}"/>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4-A6D7-4C8A-A01F-C8D0D022CCA6}"/>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6-A6D7-4C8A-A01F-C8D0D022CCA6}"/>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8-A6D7-4C8A-A01F-C8D0D022CCA6}"/>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A-A6D7-4C8A-A01F-C8D0D022CCA6}"/>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C-A6D7-4C8A-A01F-C8D0D022CCA6}"/>
              </c:ext>
            </c:extLst>
          </c:dPt>
          <c:errBars>
            <c:errBarType val="both"/>
            <c:errValType val="cust"/>
            <c:noEndCap val="0"/>
            <c:pl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plus>
            <c:minus>
              <c:numRef>
                <c:f>Sheet4!$B$26:$M$26</c:f>
                <c:numCache>
                  <c:formatCode>General</c:formatCode>
                  <c:ptCount val="12"/>
                  <c:pt idx="0">
                    <c:v>0.374</c:v>
                  </c:pt>
                  <c:pt idx="1">
                    <c:v>0.32800000000000001</c:v>
                  </c:pt>
                  <c:pt idx="2">
                    <c:v>0.46300000000000002</c:v>
                  </c:pt>
                  <c:pt idx="3">
                    <c:v>0.44700000000000001</c:v>
                  </c:pt>
                  <c:pt idx="4">
                    <c:v>0.159</c:v>
                  </c:pt>
                  <c:pt idx="5">
                    <c:v>9.5000000000000001E-2</c:v>
                  </c:pt>
                  <c:pt idx="6">
                    <c:v>0.214</c:v>
                  </c:pt>
                  <c:pt idx="7">
                    <c:v>0.35199999999999998</c:v>
                  </c:pt>
                  <c:pt idx="8">
                    <c:v>0.41199999999999998</c:v>
                  </c:pt>
                  <c:pt idx="9">
                    <c:v>0.254</c:v>
                  </c:pt>
                  <c:pt idx="10">
                    <c:v>0.16300000000000001</c:v>
                  </c:pt>
                  <c:pt idx="11">
                    <c:v>0.26600000000000001</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Sheet4!$B$14:$M$14</c:f>
              <c:numCache>
                <c:formatCode>General</c:formatCode>
                <c:ptCount val="12"/>
                <c:pt idx="0">
                  <c:v>2.4700000000000002</c:v>
                </c:pt>
                <c:pt idx="1">
                  <c:v>2.5099999999999998</c:v>
                </c:pt>
                <c:pt idx="2">
                  <c:v>2.2400000000000002</c:v>
                </c:pt>
                <c:pt idx="3">
                  <c:v>2.25</c:v>
                </c:pt>
                <c:pt idx="4">
                  <c:v>1.61</c:v>
                </c:pt>
                <c:pt idx="5">
                  <c:v>1.41</c:v>
                </c:pt>
                <c:pt idx="6">
                  <c:v>1.46</c:v>
                </c:pt>
                <c:pt idx="7">
                  <c:v>1.53</c:v>
                </c:pt>
                <c:pt idx="8">
                  <c:v>3.67</c:v>
                </c:pt>
                <c:pt idx="9">
                  <c:v>3.58</c:v>
                </c:pt>
                <c:pt idx="10">
                  <c:v>3.64</c:v>
                </c:pt>
                <c:pt idx="11">
                  <c:v>3.48</c:v>
                </c:pt>
              </c:numCache>
            </c:numRef>
          </c:val>
          <c:extLst>
            <c:ext xmlns:c16="http://schemas.microsoft.com/office/drawing/2014/chart" uri="{C3380CC4-5D6E-409C-BE32-E72D297353CC}">
              <c16:uniqueId val="{0000000D-A6D7-4C8A-A01F-C8D0D022CCA6}"/>
            </c:ext>
          </c:extLst>
        </c:ser>
        <c:dLbls>
          <c:showLegendKey val="0"/>
          <c:showVal val="0"/>
          <c:showCatName val="0"/>
          <c:showSerName val="0"/>
          <c:showPercent val="0"/>
          <c:showBubbleSize val="0"/>
        </c:dLbls>
        <c:gapWidth val="65"/>
        <c:overlap val="-18"/>
        <c:axId val="154427776"/>
        <c:axId val="154429312"/>
      </c:barChart>
      <c:catAx>
        <c:axId val="15442777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9312"/>
        <c:crosses val="autoZero"/>
        <c:auto val="1"/>
        <c:lblAlgn val="ctr"/>
        <c:lblOffset val="100"/>
        <c:noMultiLvlLbl val="0"/>
      </c:catAx>
      <c:valAx>
        <c:axId val="15442931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0" spcFirstLastPara="1" vertOverflow="ellipsis"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4427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Whole blood reduced Glutathione (GSH) (</a:t>
            </a:r>
            <a:r>
              <a:rPr lang="el-GR"/>
              <a:t>μ</a:t>
            </a:r>
            <a:r>
              <a:rPr lang="en-IN"/>
              <a:t>mol/L)</a:t>
            </a:r>
          </a:p>
        </c:rich>
      </c:tx>
      <c:overlay val="0"/>
      <c:spPr>
        <a:noFill/>
        <a:ln>
          <a:noFill/>
        </a:ln>
        <a:effectLst/>
      </c:spPr>
    </c:title>
    <c:autoTitleDeleted val="0"/>
    <c:plotArea>
      <c:layout>
        <c:manualLayout>
          <c:layoutTarget val="inner"/>
          <c:xMode val="edge"/>
          <c:yMode val="edge"/>
          <c:x val="6.4321741032370969E-2"/>
          <c:y val="0.13860976392480237"/>
          <c:w val="0.90512270341207346"/>
          <c:h val="0.56753156215799105"/>
        </c:manualLayout>
      </c:layout>
      <c:barChart>
        <c:barDir val="col"/>
        <c:grouping val="clustered"/>
        <c:varyColors val="0"/>
        <c:ser>
          <c:idx val="0"/>
          <c:order val="0"/>
          <c:tx>
            <c:strRef>
              <c:f>Sheet4!$A$20</c:f>
              <c:strCache>
                <c:ptCount val="1"/>
                <c:pt idx="0">
                  <c:v>Whole blood reduced Glutathione (μmol/L)</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3861-43C2-8CDB-12D173A7D21C}"/>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3861-43C2-8CDB-12D173A7D21C}"/>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3861-43C2-8CDB-12D173A7D21C}"/>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3861-43C2-8CDB-12D173A7D21C}"/>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3861-43C2-8CDB-12D173A7D21C}"/>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3861-43C2-8CDB-12D173A7D21C}"/>
              </c:ext>
            </c:extLst>
          </c:dPt>
          <c:errBars>
            <c:errBarType val="both"/>
            <c:errValType val="cust"/>
            <c:noEndCap val="0"/>
            <c:pl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plus>
            <c:minus>
              <c:numRef>
                <c:f>Sheet4!$B$32:$M$32</c:f>
                <c:numCache>
                  <c:formatCode>General</c:formatCode>
                  <c:ptCount val="12"/>
                  <c:pt idx="0">
                    <c:v>0.186</c:v>
                  </c:pt>
                  <c:pt idx="1">
                    <c:v>0.20800000000000002</c:v>
                  </c:pt>
                  <c:pt idx="2">
                    <c:v>0.20300000000000001</c:v>
                  </c:pt>
                  <c:pt idx="3">
                    <c:v>0.21100000000000002</c:v>
                  </c:pt>
                  <c:pt idx="4">
                    <c:v>0.21500000000000002</c:v>
                  </c:pt>
                  <c:pt idx="5">
                    <c:v>0.22500000000000003</c:v>
                  </c:pt>
                  <c:pt idx="6">
                    <c:v>0.20400000000000001</c:v>
                  </c:pt>
                  <c:pt idx="7">
                    <c:v>0.21900000000000003</c:v>
                  </c:pt>
                  <c:pt idx="8">
                    <c:v>0.30399999999999999</c:v>
                  </c:pt>
                  <c:pt idx="9">
                    <c:v>0.247</c:v>
                  </c:pt>
                  <c:pt idx="10">
                    <c:v>0.23699999999999999</c:v>
                  </c:pt>
                  <c:pt idx="11">
                    <c:v>0.27399999999999997</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Sheet4!$B$20:$M$20</c:f>
              <c:numCache>
                <c:formatCode>General</c:formatCode>
                <c:ptCount val="12"/>
                <c:pt idx="0">
                  <c:v>6.5709999999999997</c:v>
                </c:pt>
                <c:pt idx="1">
                  <c:v>6.484</c:v>
                </c:pt>
                <c:pt idx="2">
                  <c:v>6.7770000000000001</c:v>
                </c:pt>
                <c:pt idx="3">
                  <c:v>6.7830000000000004</c:v>
                </c:pt>
                <c:pt idx="4">
                  <c:v>9.3450000000000006</c:v>
                </c:pt>
                <c:pt idx="5">
                  <c:v>9.1820000000000004</c:v>
                </c:pt>
                <c:pt idx="6">
                  <c:v>9.6280000000000001</c:v>
                </c:pt>
                <c:pt idx="7">
                  <c:v>9.4619999999999997</c:v>
                </c:pt>
                <c:pt idx="8">
                  <c:v>5.2649999999999997</c:v>
                </c:pt>
                <c:pt idx="9">
                  <c:v>5.2350000000000003</c:v>
                </c:pt>
                <c:pt idx="10">
                  <c:v>5.585</c:v>
                </c:pt>
                <c:pt idx="11">
                  <c:v>5.601</c:v>
                </c:pt>
              </c:numCache>
            </c:numRef>
          </c:val>
          <c:extLst>
            <c:ext xmlns:c16="http://schemas.microsoft.com/office/drawing/2014/chart" uri="{C3380CC4-5D6E-409C-BE32-E72D297353CC}">
              <c16:uniqueId val="{0000000C-3861-43C2-8CDB-12D173A7D21C}"/>
            </c:ext>
          </c:extLst>
        </c:ser>
        <c:dLbls>
          <c:showLegendKey val="0"/>
          <c:showVal val="0"/>
          <c:showCatName val="0"/>
          <c:showSerName val="0"/>
          <c:showPercent val="0"/>
          <c:showBubbleSize val="0"/>
        </c:dLbls>
        <c:gapWidth val="65"/>
        <c:overlap val="-17"/>
        <c:axId val="66294144"/>
        <c:axId val="66295680"/>
      </c:barChart>
      <c:catAx>
        <c:axId val="66294144"/>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5680"/>
        <c:crosses val="autoZero"/>
        <c:auto val="1"/>
        <c:lblAlgn val="ctr"/>
        <c:lblOffset val="100"/>
        <c:noMultiLvlLbl val="0"/>
      </c:catAx>
      <c:valAx>
        <c:axId val="66295680"/>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94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600"/>
              <a:t>Glutathione reductase (IU/min)</a:t>
            </a:r>
          </a:p>
        </c:rich>
      </c:tx>
      <c:layout>
        <c:manualLayout>
          <c:xMode val="edge"/>
          <c:yMode val="edge"/>
          <c:x val="0.25139750465203892"/>
          <c:y val="8.2450346388837137E-2"/>
        </c:manualLayout>
      </c:layout>
      <c:overlay val="0"/>
      <c:spPr>
        <a:noFill/>
        <a:ln>
          <a:noFill/>
        </a:ln>
        <a:effectLst/>
      </c:spPr>
    </c:title>
    <c:autoTitleDeleted val="0"/>
    <c:plotArea>
      <c:layout>
        <c:manualLayout>
          <c:layoutTarget val="inner"/>
          <c:xMode val="edge"/>
          <c:yMode val="edge"/>
          <c:x val="6.4321741032370969E-2"/>
          <c:y val="0.16354916067146286"/>
          <c:w val="0.90512270341207346"/>
          <c:h val="0.57177476916104908"/>
        </c:manualLayout>
      </c:layout>
      <c:barChart>
        <c:barDir val="col"/>
        <c:grouping val="clustered"/>
        <c:varyColors val="0"/>
        <c:ser>
          <c:idx val="0"/>
          <c:order val="0"/>
          <c:tx>
            <c:strRef>
              <c:f>Sheet4!$A$19</c:f>
              <c:strCache>
                <c:ptCount val="1"/>
                <c:pt idx="0">
                  <c:v>Glutathione reductase ± IU/min</c:v>
                </c:pt>
              </c:strCache>
            </c:strRef>
          </c:tx>
          <c:spPr>
            <a:solidFill>
              <a:schemeClr val="accent1"/>
            </a:solidFill>
            <a:ln>
              <a:noFill/>
            </a:ln>
            <a:effectLst/>
          </c:spPr>
          <c:invertIfNegative val="0"/>
          <c:dPt>
            <c:idx val="1"/>
            <c:invertIfNegative val="0"/>
            <c:bubble3D val="0"/>
            <c:spPr>
              <a:solidFill>
                <a:schemeClr val="accent4">
                  <a:lumMod val="75000"/>
                </a:schemeClr>
              </a:solidFill>
              <a:ln>
                <a:noFill/>
              </a:ln>
              <a:effectLst/>
            </c:spPr>
            <c:extLst>
              <c:ext xmlns:c16="http://schemas.microsoft.com/office/drawing/2014/chart" uri="{C3380CC4-5D6E-409C-BE32-E72D297353CC}">
                <c16:uniqueId val="{00000001-C7A9-4082-AE4A-E9FFEB036422}"/>
              </c:ext>
            </c:extLst>
          </c:dPt>
          <c:dPt>
            <c:idx val="3"/>
            <c:invertIfNegative val="0"/>
            <c:bubble3D val="0"/>
            <c:spPr>
              <a:solidFill>
                <a:schemeClr val="accent4">
                  <a:lumMod val="75000"/>
                </a:schemeClr>
              </a:solidFill>
              <a:ln>
                <a:noFill/>
              </a:ln>
              <a:effectLst/>
            </c:spPr>
            <c:extLst>
              <c:ext xmlns:c16="http://schemas.microsoft.com/office/drawing/2014/chart" uri="{C3380CC4-5D6E-409C-BE32-E72D297353CC}">
                <c16:uniqueId val="{00000003-C7A9-4082-AE4A-E9FFEB036422}"/>
              </c:ext>
            </c:extLst>
          </c:dPt>
          <c:dPt>
            <c:idx val="5"/>
            <c:invertIfNegative val="0"/>
            <c:bubble3D val="0"/>
            <c:spPr>
              <a:solidFill>
                <a:schemeClr val="accent4">
                  <a:lumMod val="75000"/>
                </a:schemeClr>
              </a:solidFill>
              <a:ln>
                <a:noFill/>
              </a:ln>
              <a:effectLst/>
            </c:spPr>
            <c:extLst>
              <c:ext xmlns:c16="http://schemas.microsoft.com/office/drawing/2014/chart" uri="{C3380CC4-5D6E-409C-BE32-E72D297353CC}">
                <c16:uniqueId val="{00000005-C7A9-4082-AE4A-E9FFEB036422}"/>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7-C7A9-4082-AE4A-E9FFEB036422}"/>
              </c:ext>
            </c:extLst>
          </c:dPt>
          <c:dPt>
            <c:idx val="9"/>
            <c:invertIfNegative val="0"/>
            <c:bubble3D val="0"/>
            <c:spPr>
              <a:solidFill>
                <a:schemeClr val="accent4">
                  <a:lumMod val="75000"/>
                </a:schemeClr>
              </a:solidFill>
              <a:ln>
                <a:noFill/>
              </a:ln>
              <a:effectLst/>
            </c:spPr>
            <c:extLst>
              <c:ext xmlns:c16="http://schemas.microsoft.com/office/drawing/2014/chart" uri="{C3380CC4-5D6E-409C-BE32-E72D297353CC}">
                <c16:uniqueId val="{00000009-C7A9-4082-AE4A-E9FFEB036422}"/>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0B-C7A9-4082-AE4A-E9FFEB036422}"/>
              </c:ext>
            </c:extLst>
          </c:dPt>
          <c:errBars>
            <c:errBarType val="both"/>
            <c:errValType val="cust"/>
            <c:noEndCap val="0"/>
            <c:pl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plus>
            <c:minus>
              <c:numRef>
                <c:f>Sheet4!$B$31:$M$31</c:f>
                <c:numCache>
                  <c:formatCode>General</c:formatCode>
                  <c:ptCount val="12"/>
                  <c:pt idx="0">
                    <c:v>0.21299999999999999</c:v>
                  </c:pt>
                  <c:pt idx="1">
                    <c:v>0.14299999999999999</c:v>
                  </c:pt>
                  <c:pt idx="2">
                    <c:v>0.22600000000000001</c:v>
                  </c:pt>
                  <c:pt idx="3">
                    <c:v>0.19600000000000001</c:v>
                  </c:pt>
                  <c:pt idx="4">
                    <c:v>0.20499999999999999</c:v>
                  </c:pt>
                  <c:pt idx="5">
                    <c:v>0.188</c:v>
                  </c:pt>
                  <c:pt idx="6">
                    <c:v>0.154</c:v>
                  </c:pt>
                  <c:pt idx="7">
                    <c:v>0.158</c:v>
                  </c:pt>
                  <c:pt idx="8">
                    <c:v>0.27900000000000003</c:v>
                  </c:pt>
                  <c:pt idx="9">
                    <c:v>0.253</c:v>
                  </c:pt>
                  <c:pt idx="10">
                    <c:v>0.29299999999999998</c:v>
                  </c:pt>
                  <c:pt idx="11">
                    <c:v>0.28599999999999998</c:v>
                  </c:pt>
                </c:numCache>
              </c:numRef>
            </c:minus>
            <c:spPr>
              <a:noFill/>
              <a:ln w="9525" cap="flat" cmpd="sng" algn="ctr">
                <a:solidFill>
                  <a:schemeClr val="tx1">
                    <a:lumMod val="65000"/>
                    <a:lumOff val="35000"/>
                  </a:schemeClr>
                </a:solidFill>
                <a:round/>
              </a:ln>
              <a:effectLst/>
            </c:spPr>
          </c:errBars>
          <c:cat>
            <c:multiLvlStrRef>
              <c:f>Sheet4!$B$11:$M$13</c:f>
              <c:multiLvlStrCache>
                <c:ptCount val="12"/>
                <c:lvl>
                  <c:pt idx="0">
                    <c:v>Male</c:v>
                  </c:pt>
                  <c:pt idx="1">
                    <c:v>Female</c:v>
                  </c:pt>
                  <c:pt idx="2">
                    <c:v>Male</c:v>
                  </c:pt>
                  <c:pt idx="3">
                    <c:v>Female</c:v>
                  </c:pt>
                  <c:pt idx="4">
                    <c:v>Male</c:v>
                  </c:pt>
                  <c:pt idx="5">
                    <c:v>Female</c:v>
                  </c:pt>
                  <c:pt idx="6">
                    <c:v>Male</c:v>
                  </c:pt>
                  <c:pt idx="7">
                    <c:v>Female</c:v>
                  </c:pt>
                  <c:pt idx="8">
                    <c:v>Male</c:v>
                  </c:pt>
                  <c:pt idx="9">
                    <c:v>Female</c:v>
                  </c:pt>
                  <c:pt idx="10">
                    <c:v>Male</c:v>
                  </c:pt>
                  <c:pt idx="11">
                    <c:v>Female</c:v>
                  </c:pt>
                </c:lvl>
                <c:lvl>
                  <c:pt idx="0">
                    <c:v>Grower</c:v>
                  </c:pt>
                  <c:pt idx="2">
                    <c:v>Finisher</c:v>
                  </c:pt>
                  <c:pt idx="4">
                    <c:v>Grower</c:v>
                  </c:pt>
                  <c:pt idx="6">
                    <c:v>Finisher</c:v>
                  </c:pt>
                  <c:pt idx="8">
                    <c:v>Grower</c:v>
                  </c:pt>
                  <c:pt idx="10">
                    <c:v>Finisher</c:v>
                  </c:pt>
                </c:lvl>
                <c:lvl>
                  <c:pt idx="0">
                    <c:v>Winter</c:v>
                  </c:pt>
                  <c:pt idx="4">
                    <c:v>Spring</c:v>
                  </c:pt>
                  <c:pt idx="8">
                    <c:v>Summer</c:v>
                  </c:pt>
                </c:lvl>
              </c:multiLvlStrCache>
            </c:multiLvlStrRef>
          </c:cat>
          <c:val>
            <c:numRef>
              <c:f>Sheet4!$B$19:$M$19</c:f>
              <c:numCache>
                <c:formatCode>General</c:formatCode>
                <c:ptCount val="12"/>
                <c:pt idx="0">
                  <c:v>7.085</c:v>
                </c:pt>
                <c:pt idx="1">
                  <c:v>6.9</c:v>
                </c:pt>
                <c:pt idx="2">
                  <c:v>7.2590000000000003</c:v>
                </c:pt>
                <c:pt idx="3">
                  <c:v>7.1310000000000002</c:v>
                </c:pt>
                <c:pt idx="4">
                  <c:v>4.9359999999999999</c:v>
                </c:pt>
                <c:pt idx="5">
                  <c:v>4.883</c:v>
                </c:pt>
                <c:pt idx="6">
                  <c:v>5.0019999999999998</c:v>
                </c:pt>
                <c:pt idx="7">
                  <c:v>4.9039999999999999</c:v>
                </c:pt>
                <c:pt idx="8">
                  <c:v>9.6829999999999998</c:v>
                </c:pt>
                <c:pt idx="9">
                  <c:v>9.5670000000000002</c:v>
                </c:pt>
                <c:pt idx="10">
                  <c:v>10.026999999999999</c:v>
                </c:pt>
                <c:pt idx="11">
                  <c:v>9.75</c:v>
                </c:pt>
              </c:numCache>
            </c:numRef>
          </c:val>
          <c:extLst>
            <c:ext xmlns:c16="http://schemas.microsoft.com/office/drawing/2014/chart" uri="{C3380CC4-5D6E-409C-BE32-E72D297353CC}">
              <c16:uniqueId val="{0000000C-C7A9-4082-AE4A-E9FFEB036422}"/>
            </c:ext>
          </c:extLst>
        </c:ser>
        <c:dLbls>
          <c:showLegendKey val="0"/>
          <c:showVal val="0"/>
          <c:showCatName val="0"/>
          <c:showSerName val="0"/>
          <c:showPercent val="0"/>
          <c:showBubbleSize val="0"/>
        </c:dLbls>
        <c:gapWidth val="65"/>
        <c:overlap val="-17"/>
        <c:axId val="66199936"/>
        <c:axId val="66201472"/>
      </c:barChart>
      <c:catAx>
        <c:axId val="66199936"/>
        <c:scaling>
          <c:orientation val="minMax"/>
        </c:scaling>
        <c:delete val="0"/>
        <c:axPos val="b"/>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201472"/>
        <c:crosses val="autoZero"/>
        <c:auto val="1"/>
        <c:lblAlgn val="ctr"/>
        <c:lblOffset val="100"/>
        <c:noMultiLvlLbl val="0"/>
      </c:catAx>
      <c:valAx>
        <c:axId val="66201472"/>
        <c:scaling>
          <c:orientation val="minMax"/>
        </c:scaling>
        <c:delete val="0"/>
        <c:axPos val="l"/>
        <c:numFmt formatCode="General" sourceLinked="1"/>
        <c:majorTickMark val="none"/>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61999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0.07917</cdr:x>
      <cdr:y>0.14029</cdr:y>
    </cdr:from>
    <cdr:to>
      <cdr:x>0.94861</cdr:x>
      <cdr:y>0.53477</cdr:y>
    </cdr:to>
    <cdr:grpSp>
      <cdr:nvGrpSpPr>
        <cdr:cNvPr id="12" name="Group 11">
          <a:extLst xmlns:a="http://schemas.openxmlformats.org/drawingml/2006/main">
            <a:ext uri="{FF2B5EF4-FFF2-40B4-BE49-F238E27FC236}">
              <a16:creationId xmlns:a16="http://schemas.microsoft.com/office/drawing/2014/main" id="{0CC6D317-22DF-8D0F-5DEE-3599104C2532}"/>
            </a:ext>
          </a:extLst>
        </cdr:cNvPr>
        <cdr:cNvGrpSpPr/>
      </cdr:nvGrpSpPr>
      <cdr:grpSpPr>
        <a:xfrm xmlns:a="http://schemas.openxmlformats.org/drawingml/2006/main">
          <a:off x="418226" y="432183"/>
          <a:ext cx="4592930" cy="1215252"/>
          <a:chOff x="361965" y="371481"/>
          <a:chExt cx="3975080" cy="1044563"/>
        </a:xfrm>
      </cdr:grpSpPr>
      <cdr:sp macro="" textlink="">
        <cdr:nvSpPr>
          <cdr:cNvPr id="2" name="TextBox 1">
            <a:extLst xmlns:a="http://schemas.openxmlformats.org/drawingml/2006/main">
              <a:ext uri="{FF2B5EF4-FFF2-40B4-BE49-F238E27FC236}">
                <a16:creationId xmlns:a16="http://schemas.microsoft.com/office/drawing/2014/main" id="{E5DB3766-234B-3F10-7E47-84D83C23156A}"/>
              </a:ext>
            </a:extLst>
          </cdr:cNvPr>
          <cdr:cNvSpPr txBox="1"/>
        </cdr:nvSpPr>
        <cdr:spPr>
          <a:xfrm xmlns:a="http://schemas.openxmlformats.org/drawingml/2006/main">
            <a:off x="3108320" y="371481"/>
            <a:ext cx="196870" cy="2032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3"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790965" y="412762"/>
            <a:ext cx="196825" cy="2031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4"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448065" y="400052"/>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5"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4140220" y="406407"/>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sp macro="" textlink="">
        <cdr:nvSpPr>
          <cdr:cNvPr id="6" name="TextBox 1">
            <a:extLst xmlns:a="http://schemas.openxmlformats.org/drawingml/2006/main">
              <a:ext uri="{FF2B5EF4-FFF2-40B4-BE49-F238E27FC236}">
                <a16:creationId xmlns:a16="http://schemas.microsoft.com/office/drawing/2014/main" id="{CB2C658B-24E4-9A58-1164-8D0B05486616}"/>
              </a:ext>
            </a:extLst>
          </cdr:cNvPr>
          <cdr:cNvSpPr txBox="1"/>
        </cdr:nvSpPr>
        <cdr:spPr>
          <a:xfrm xmlns:a="http://schemas.openxmlformats.org/drawingml/2006/main">
            <a:off x="361965" y="736607"/>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7"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047765" y="768356"/>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8"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711220" y="742962"/>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9"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397020" y="749290"/>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sp macro="" textlink="">
        <cdr:nvSpPr>
          <cdr:cNvPr id="10"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1733565" y="1073161"/>
            <a:ext cx="196825" cy="20317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1" name="TextBox 1">
            <a:extLst xmlns:a="http://schemas.openxmlformats.org/drawingml/2006/main">
              <a:ext uri="{FF2B5EF4-FFF2-40B4-BE49-F238E27FC236}">
                <a16:creationId xmlns:a16="http://schemas.microsoft.com/office/drawing/2014/main" id="{02AF73A5-17DD-6693-D662-D2C39C6920BD}"/>
              </a:ext>
            </a:extLst>
          </cdr:cNvPr>
          <cdr:cNvSpPr txBox="1"/>
        </cdr:nvSpPr>
        <cdr:spPr>
          <a:xfrm xmlns:a="http://schemas.openxmlformats.org/drawingml/2006/main">
            <a:off x="2076465" y="1212841"/>
            <a:ext cx="196825" cy="20320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sp macro="" textlink="">
        <cdr:nvSpPr>
          <cdr:cNvPr id="14"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768620" y="1098555"/>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sp macro="" textlink="">
        <cdr:nvSpPr>
          <cdr:cNvPr id="15" name="TextBox 1">
            <a:extLst xmlns:a="http://schemas.openxmlformats.org/drawingml/2006/main">
              <a:ext uri="{FF2B5EF4-FFF2-40B4-BE49-F238E27FC236}">
                <a16:creationId xmlns:a16="http://schemas.microsoft.com/office/drawing/2014/main" id="{FBD02EE2-B0DE-8962-8F83-9ED669593E88}"/>
              </a:ext>
            </a:extLst>
          </cdr:cNvPr>
          <cdr:cNvSpPr txBox="1"/>
        </cdr:nvSpPr>
        <cdr:spPr>
          <a:xfrm xmlns:a="http://schemas.openxmlformats.org/drawingml/2006/main">
            <a:off x="2419365" y="1168408"/>
            <a:ext cx="196825" cy="203204"/>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grpSp>
  </cdr:relSizeAnchor>
</c:userShapes>
</file>

<file path=word/drawings/drawing2.xml><?xml version="1.0" encoding="utf-8"?>
<c:userShapes xmlns:c="http://schemas.openxmlformats.org/drawingml/2006/chart">
  <cdr:relSizeAnchor xmlns:cdr="http://schemas.openxmlformats.org/drawingml/2006/chartDrawing">
    <cdr:from>
      <cdr:x>0.38443</cdr:x>
      <cdr:y>0.15813</cdr:y>
    </cdr:from>
    <cdr:to>
      <cdr:x>0.42749</cdr:x>
      <cdr:y>0.2322</cdr:y>
    </cdr:to>
    <cdr:sp macro="" textlink="">
      <cdr:nvSpPr>
        <cdr:cNvPr id="2" name="TextBox 1">
          <a:extLst xmlns:a="http://schemas.openxmlformats.org/drawingml/2006/main">
            <a:ext uri="{FF2B5EF4-FFF2-40B4-BE49-F238E27FC236}">
              <a16:creationId xmlns:a16="http://schemas.microsoft.com/office/drawing/2014/main" id="{FA4784B8-1A70-829C-3547-AFDB9B633606}"/>
            </a:ext>
          </a:extLst>
        </cdr:cNvPr>
        <cdr:cNvSpPr txBox="1"/>
      </cdr:nvSpPr>
      <cdr:spPr>
        <a:xfrm xmlns:a="http://schemas.openxmlformats.org/drawingml/2006/main">
          <a:off x="2560998" y="42031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0.53652</cdr:x>
      <cdr:y>0.15002</cdr:y>
    </cdr:from>
    <cdr:to>
      <cdr:x>0.57957</cdr:x>
      <cdr:y>0.2241</cdr:y>
    </cdr:to>
    <cdr:sp macro="" textlink="">
      <cdr:nvSpPr>
        <cdr:cNvPr id="3" name="TextBox 1">
          <a:extLst xmlns:a="http://schemas.openxmlformats.org/drawingml/2006/main">
            <a:ext uri="{FF2B5EF4-FFF2-40B4-BE49-F238E27FC236}">
              <a16:creationId xmlns:a16="http://schemas.microsoft.com/office/drawing/2014/main" id="{281798E4-FA18-95B1-494F-8559C92A5300}"/>
            </a:ext>
          </a:extLst>
        </cdr:cNvPr>
        <cdr:cNvSpPr txBox="1"/>
      </cdr:nvSpPr>
      <cdr:spPr>
        <a:xfrm xmlns:a="http://schemas.openxmlformats.org/drawingml/2006/main">
          <a:off x="3574193" y="398762"/>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0.45735</cdr:x>
      <cdr:y>0.16623</cdr:y>
    </cdr:from>
    <cdr:to>
      <cdr:x>0.50041</cdr:x>
      <cdr:y>0.2403</cdr:y>
    </cdr:to>
    <cdr:sp macro="" textlink="">
      <cdr:nvSpPr>
        <cdr:cNvPr id="4" name="TextBox 1">
          <a:extLst xmlns:a="http://schemas.openxmlformats.org/drawingml/2006/main">
            <a:ext uri="{FF2B5EF4-FFF2-40B4-BE49-F238E27FC236}">
              <a16:creationId xmlns:a16="http://schemas.microsoft.com/office/drawing/2014/main" id="{165055A1-A8B1-75FB-474F-32A00F2CC706}"/>
            </a:ext>
          </a:extLst>
        </cdr:cNvPr>
        <cdr:cNvSpPr txBox="1"/>
      </cdr:nvSpPr>
      <cdr:spPr>
        <a:xfrm xmlns:a="http://schemas.openxmlformats.org/drawingml/2006/main">
          <a:off x="3046777" y="441849"/>
          <a:ext cx="286858" cy="1968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0.61013</cdr:x>
      <cdr:y>0.1616</cdr:y>
    </cdr:from>
    <cdr:to>
      <cdr:x>0.65318</cdr:x>
      <cdr:y>0.23567</cdr:y>
    </cdr:to>
    <cdr:sp macro="" textlink="">
      <cdr:nvSpPr>
        <cdr:cNvPr id="5" name="TextBox 1">
          <a:extLst xmlns:a="http://schemas.openxmlformats.org/drawingml/2006/main">
            <a:ext uri="{FF2B5EF4-FFF2-40B4-BE49-F238E27FC236}">
              <a16:creationId xmlns:a16="http://schemas.microsoft.com/office/drawing/2014/main" id="{0B1B36B9-9CDC-CD16-B53E-49F785B730B8}"/>
            </a:ext>
          </a:extLst>
        </cdr:cNvPr>
        <cdr:cNvSpPr txBox="1"/>
      </cdr:nvSpPr>
      <cdr:spPr>
        <a:xfrm xmlns:a="http://schemas.openxmlformats.org/drawingml/2006/main">
          <a:off x="4064569" y="429542"/>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0.08271</cdr:x>
      <cdr:y>0.28968</cdr:y>
    </cdr:from>
    <cdr:to>
      <cdr:x>0.12577</cdr:x>
      <cdr:y>0.36376</cdr:y>
    </cdr:to>
    <cdr:sp macro="" textlink="">
      <cdr:nvSpPr>
        <cdr:cNvPr id="6" name="TextBox 1">
          <a:extLst xmlns:a="http://schemas.openxmlformats.org/drawingml/2006/main">
            <a:ext uri="{FF2B5EF4-FFF2-40B4-BE49-F238E27FC236}">
              <a16:creationId xmlns:a16="http://schemas.microsoft.com/office/drawing/2014/main" id="{789FBF4F-1767-B19D-24C4-D8EF151704F4}"/>
            </a:ext>
          </a:extLst>
        </cdr:cNvPr>
        <cdr:cNvSpPr txBox="1"/>
      </cdr:nvSpPr>
      <cdr:spPr>
        <a:xfrm xmlns:a="http://schemas.openxmlformats.org/drawingml/2006/main">
          <a:off x="551006" y="769965"/>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0.2341</cdr:x>
      <cdr:y>0.292</cdr:y>
    </cdr:from>
    <cdr:to>
      <cdr:x>0.27715</cdr:x>
      <cdr:y>0.36607</cdr:y>
    </cdr:to>
    <cdr:sp macro="" textlink="">
      <cdr:nvSpPr>
        <cdr:cNvPr id="7" name="TextBox 1">
          <a:extLst xmlns:a="http://schemas.openxmlformats.org/drawingml/2006/main">
            <a:ext uri="{FF2B5EF4-FFF2-40B4-BE49-F238E27FC236}">
              <a16:creationId xmlns:a16="http://schemas.microsoft.com/office/drawing/2014/main" id="{BA672B56-3044-921D-04C1-18A12C3F4CC1}"/>
            </a:ext>
          </a:extLst>
        </cdr:cNvPr>
        <cdr:cNvSpPr txBox="1"/>
      </cdr:nvSpPr>
      <cdr:spPr>
        <a:xfrm xmlns:a="http://schemas.openxmlformats.org/drawingml/2006/main">
          <a:off x="1559538" y="776131"/>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0.15771</cdr:x>
      <cdr:y>0.29663</cdr:y>
    </cdr:from>
    <cdr:to>
      <cdr:x>0.20077</cdr:x>
      <cdr:y>0.3707</cdr:y>
    </cdr:to>
    <cdr:sp macro="" textlink="">
      <cdr:nvSpPr>
        <cdr:cNvPr id="8" name="TextBox 1">
          <a:extLst xmlns:a="http://schemas.openxmlformats.org/drawingml/2006/main">
            <a:ext uri="{FF2B5EF4-FFF2-40B4-BE49-F238E27FC236}">
              <a16:creationId xmlns:a16="http://schemas.microsoft.com/office/drawing/2014/main" id="{25E80646-DD98-250E-45D8-4772DA8F2AE4}"/>
            </a:ext>
          </a:extLst>
        </cdr:cNvPr>
        <cdr:cNvSpPr txBox="1"/>
      </cdr:nvSpPr>
      <cdr:spPr>
        <a:xfrm xmlns:a="http://schemas.openxmlformats.org/drawingml/2006/main">
          <a:off x="1050642" y="788438"/>
          <a:ext cx="286858"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0.3091</cdr:x>
      <cdr:y>0.28968</cdr:y>
    </cdr:from>
    <cdr:to>
      <cdr:x>0.35215</cdr:x>
      <cdr:y>0.36376</cdr:y>
    </cdr:to>
    <cdr:sp macro="" textlink="">
      <cdr:nvSpPr>
        <cdr:cNvPr id="9" name="TextBox 1">
          <a:extLst xmlns:a="http://schemas.openxmlformats.org/drawingml/2006/main">
            <a:ext uri="{FF2B5EF4-FFF2-40B4-BE49-F238E27FC236}">
              <a16:creationId xmlns:a16="http://schemas.microsoft.com/office/drawing/2014/main" id="{E5DE2771-9631-3C10-C0AA-D4C99712D6D3}"/>
            </a:ext>
          </a:extLst>
        </cdr:cNvPr>
        <cdr:cNvSpPr txBox="1"/>
      </cdr:nvSpPr>
      <cdr:spPr>
        <a:xfrm xmlns:a="http://schemas.openxmlformats.org/drawingml/2006/main">
          <a:off x="2059174" y="769965"/>
          <a:ext cx="286791"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0.68657</cdr:x>
      <cdr:y>0.34755</cdr:y>
    </cdr:from>
    <cdr:to>
      <cdr:x>0.72963</cdr:x>
      <cdr:y>0.42163</cdr:y>
    </cdr:to>
    <cdr:sp macro="" textlink="">
      <cdr:nvSpPr>
        <cdr:cNvPr id="10" name="TextBox 1">
          <a:extLst xmlns:a="http://schemas.openxmlformats.org/drawingml/2006/main">
            <a:ext uri="{FF2B5EF4-FFF2-40B4-BE49-F238E27FC236}">
              <a16:creationId xmlns:a16="http://schemas.microsoft.com/office/drawing/2014/main" id="{8ADE2002-EFB6-F71E-24AB-A8FB9CAE6FB6}"/>
            </a:ext>
          </a:extLst>
        </cdr:cNvPr>
        <cdr:cNvSpPr txBox="1"/>
      </cdr:nvSpPr>
      <cdr:spPr>
        <a:xfrm xmlns:a="http://schemas.openxmlformats.org/drawingml/2006/main">
          <a:off x="4573780" y="923784"/>
          <a:ext cx="286858"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0.76019</cdr:x>
      <cdr:y>0.35218</cdr:y>
    </cdr:from>
    <cdr:to>
      <cdr:x>0.80324</cdr:x>
      <cdr:y>0.42626</cdr:y>
    </cdr:to>
    <cdr:sp macro="" textlink="">
      <cdr:nvSpPr>
        <cdr:cNvPr id="11" name="TextBox 1">
          <a:extLst xmlns:a="http://schemas.openxmlformats.org/drawingml/2006/main">
            <a:ext uri="{FF2B5EF4-FFF2-40B4-BE49-F238E27FC236}">
              <a16:creationId xmlns:a16="http://schemas.microsoft.com/office/drawing/2014/main" id="{B2F790F1-7586-6667-D508-93B1E65D59F2}"/>
            </a:ext>
          </a:extLst>
        </cdr:cNvPr>
        <cdr:cNvSpPr txBox="1"/>
      </cdr:nvSpPr>
      <cdr:spPr>
        <a:xfrm xmlns:a="http://schemas.openxmlformats.org/drawingml/2006/main">
          <a:off x="5064223" y="936090"/>
          <a:ext cx="286791" cy="19690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0.91653</cdr:x>
      <cdr:y>0.33442</cdr:y>
    </cdr:from>
    <cdr:to>
      <cdr:x>0.95958</cdr:x>
      <cdr:y>0.4085</cdr:y>
    </cdr:to>
    <cdr:sp macro="" textlink="">
      <cdr:nvSpPr>
        <cdr:cNvPr id="12" name="TextBox 1">
          <a:extLst xmlns:a="http://schemas.openxmlformats.org/drawingml/2006/main">
            <a:ext uri="{FF2B5EF4-FFF2-40B4-BE49-F238E27FC236}">
              <a16:creationId xmlns:a16="http://schemas.microsoft.com/office/drawing/2014/main" id="{718B77FB-B8B3-7FD7-6BF6-E40D4DA341CB}"/>
            </a:ext>
          </a:extLst>
        </cdr:cNvPr>
        <cdr:cNvSpPr txBox="1"/>
      </cdr:nvSpPr>
      <cdr:spPr>
        <a:xfrm xmlns:a="http://schemas.openxmlformats.org/drawingml/2006/main">
          <a:off x="6105744" y="888897"/>
          <a:ext cx="286792" cy="1969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0.8338</cdr:x>
      <cdr:y>0.34061</cdr:y>
    </cdr:from>
    <cdr:to>
      <cdr:x>0.87685</cdr:x>
      <cdr:y>0.41468</cdr:y>
    </cdr:to>
    <cdr:sp macro="" textlink="">
      <cdr:nvSpPr>
        <cdr:cNvPr id="13" name="TextBox 1">
          <a:extLst xmlns:a="http://schemas.openxmlformats.org/drawingml/2006/main">
            <a:ext uri="{FF2B5EF4-FFF2-40B4-BE49-F238E27FC236}">
              <a16:creationId xmlns:a16="http://schemas.microsoft.com/office/drawing/2014/main" id="{27B639DE-CFDC-122B-CF94-930F449C0FE1}"/>
            </a:ext>
          </a:extLst>
        </cdr:cNvPr>
        <cdr:cNvSpPr txBox="1"/>
      </cdr:nvSpPr>
      <cdr:spPr>
        <a:xfrm xmlns:a="http://schemas.openxmlformats.org/drawingml/2006/main">
          <a:off x="5554599" y="905337"/>
          <a:ext cx="286791" cy="19687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dirty="0">
              <a:latin typeface="Times New Roman" panose="02020603050405020304" pitchFamily="18" charset="0"/>
              <a:cs typeface="Times New Roman" panose="02020603050405020304" pitchFamily="18" charset="0"/>
            </a:rPr>
            <a:t>c</a:t>
          </a:r>
        </a:p>
      </cdr:txBody>
    </cdr:sp>
  </cdr:relSizeAnchor>
</c:userShapes>
</file>

<file path=word/drawings/drawing3.xml><?xml version="1.0" encoding="utf-8"?>
<c:userShapes xmlns:c="http://schemas.openxmlformats.org/drawingml/2006/chart">
  <cdr:relSizeAnchor xmlns:cdr="http://schemas.openxmlformats.org/drawingml/2006/chartDrawing">
    <cdr:from>
      <cdr:x>0.67708</cdr:x>
      <cdr:y>0.15588</cdr:y>
    </cdr:from>
    <cdr:to>
      <cdr:x>0.72014</cdr:x>
      <cdr:y>0.23261</cdr:y>
    </cdr:to>
    <cdr:sp macro="" textlink="">
      <cdr:nvSpPr>
        <cdr:cNvPr id="2" name="TextBox 1">
          <a:extLst xmlns:a="http://schemas.openxmlformats.org/drawingml/2006/main">
            <a:ext uri="{FF2B5EF4-FFF2-40B4-BE49-F238E27FC236}">
              <a16:creationId xmlns:a16="http://schemas.microsoft.com/office/drawing/2014/main" id="{E2920882-492B-8527-2A60-AB2AED93FD75}"/>
            </a:ext>
          </a:extLst>
        </cdr:cNvPr>
        <cdr:cNvSpPr txBox="1"/>
      </cdr:nvSpPr>
      <cdr:spPr>
        <a:xfrm xmlns:a="http://schemas.openxmlformats.org/drawingml/2006/main">
          <a:off x="3095625" y="412750"/>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0.82639</cdr:x>
      <cdr:y>0.14748</cdr:y>
    </cdr:from>
    <cdr:to>
      <cdr:x>0.86944</cdr:x>
      <cdr:y>0.22422</cdr:y>
    </cdr:to>
    <cdr:sp macro="" textlink="">
      <cdr:nvSpPr>
        <cdr:cNvPr id="3" name="TextBox 1">
          <a:extLst xmlns:a="http://schemas.openxmlformats.org/drawingml/2006/main">
            <a:ext uri="{FF2B5EF4-FFF2-40B4-BE49-F238E27FC236}">
              <a16:creationId xmlns:a16="http://schemas.microsoft.com/office/drawing/2014/main" id="{7684324A-0864-D7D7-CD5A-7435E94C0FA4}"/>
            </a:ext>
          </a:extLst>
        </cdr:cNvPr>
        <cdr:cNvSpPr txBox="1"/>
      </cdr:nvSpPr>
      <cdr:spPr>
        <a:xfrm xmlns:a="http://schemas.openxmlformats.org/drawingml/2006/main">
          <a:off x="3778250" y="3905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0.75139</cdr:x>
      <cdr:y>0.16667</cdr:y>
    </cdr:from>
    <cdr:to>
      <cdr:x>0.79444</cdr:x>
      <cdr:y>0.24341</cdr:y>
    </cdr:to>
    <cdr:sp macro="" textlink="">
      <cdr:nvSpPr>
        <cdr:cNvPr id="4" name="TextBox 1">
          <a:extLst xmlns:a="http://schemas.openxmlformats.org/drawingml/2006/main">
            <a:ext uri="{FF2B5EF4-FFF2-40B4-BE49-F238E27FC236}">
              <a16:creationId xmlns:a16="http://schemas.microsoft.com/office/drawing/2014/main" id="{79DF7BC3-0F6F-42EC-5E99-82934857A7EE}"/>
            </a:ext>
          </a:extLst>
        </cdr:cNvPr>
        <cdr:cNvSpPr txBox="1"/>
      </cdr:nvSpPr>
      <cdr:spPr>
        <a:xfrm xmlns:a="http://schemas.openxmlformats.org/drawingml/2006/main">
          <a:off x="3435350" y="4413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0.90278</cdr:x>
      <cdr:y>0.16906</cdr:y>
    </cdr:from>
    <cdr:to>
      <cdr:x>0.94583</cdr:x>
      <cdr:y>0.2458</cdr:y>
    </cdr:to>
    <cdr:sp macro="" textlink="">
      <cdr:nvSpPr>
        <cdr:cNvPr id="5" name="TextBox 1">
          <a:extLst xmlns:a="http://schemas.openxmlformats.org/drawingml/2006/main">
            <a:ext uri="{FF2B5EF4-FFF2-40B4-BE49-F238E27FC236}">
              <a16:creationId xmlns:a16="http://schemas.microsoft.com/office/drawing/2014/main" id="{CF96E29A-E90A-54D1-62C1-7CE8AF321A10}"/>
            </a:ext>
          </a:extLst>
        </cdr:cNvPr>
        <cdr:cNvSpPr txBox="1"/>
      </cdr:nvSpPr>
      <cdr:spPr>
        <a:xfrm xmlns:a="http://schemas.openxmlformats.org/drawingml/2006/main">
          <a:off x="4127500" y="4476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0.07222</cdr:x>
      <cdr:y>0.28177</cdr:y>
    </cdr:from>
    <cdr:to>
      <cdr:x>0.11528</cdr:x>
      <cdr:y>0.35851</cdr:y>
    </cdr:to>
    <cdr:sp macro="" textlink="">
      <cdr:nvSpPr>
        <cdr:cNvPr id="6" name="TextBox 1">
          <a:extLst xmlns:a="http://schemas.openxmlformats.org/drawingml/2006/main">
            <a:ext uri="{FF2B5EF4-FFF2-40B4-BE49-F238E27FC236}">
              <a16:creationId xmlns:a16="http://schemas.microsoft.com/office/drawing/2014/main" id="{E8AC5D3E-3452-599F-481D-B35CFF0EF8DD}"/>
            </a:ext>
          </a:extLst>
        </cdr:cNvPr>
        <cdr:cNvSpPr txBox="1"/>
      </cdr:nvSpPr>
      <cdr:spPr>
        <a:xfrm xmlns:a="http://schemas.openxmlformats.org/drawingml/2006/main">
          <a:off x="330200" y="7461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0.22083</cdr:x>
      <cdr:y>0.27938</cdr:y>
    </cdr:from>
    <cdr:to>
      <cdr:x>0.26389</cdr:x>
      <cdr:y>0.35612</cdr:y>
    </cdr:to>
    <cdr:sp macro="" textlink="">
      <cdr:nvSpPr>
        <cdr:cNvPr id="7" name="TextBox 1">
          <a:extLst xmlns:a="http://schemas.openxmlformats.org/drawingml/2006/main">
            <a:ext uri="{FF2B5EF4-FFF2-40B4-BE49-F238E27FC236}">
              <a16:creationId xmlns:a16="http://schemas.microsoft.com/office/drawing/2014/main" id="{3D159F3C-47A1-715A-13E1-327B77172A14}"/>
            </a:ext>
          </a:extLst>
        </cdr:cNvPr>
        <cdr:cNvSpPr txBox="1"/>
      </cdr:nvSpPr>
      <cdr:spPr>
        <a:xfrm xmlns:a="http://schemas.openxmlformats.org/drawingml/2006/main">
          <a:off x="1009650" y="739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0.15</cdr:x>
      <cdr:y>0.27698</cdr:y>
    </cdr:from>
    <cdr:to>
      <cdr:x>0.19306</cdr:x>
      <cdr:y>0.35372</cdr:y>
    </cdr:to>
    <cdr:sp macro="" textlink="">
      <cdr:nvSpPr>
        <cdr:cNvPr id="8" name="TextBox 1">
          <a:extLst xmlns:a="http://schemas.openxmlformats.org/drawingml/2006/main">
            <a:ext uri="{FF2B5EF4-FFF2-40B4-BE49-F238E27FC236}">
              <a16:creationId xmlns:a16="http://schemas.microsoft.com/office/drawing/2014/main" id="{6B6DF9AB-6A7C-7C8F-D7CE-5B0D6CF14C4B}"/>
            </a:ext>
          </a:extLst>
        </cdr:cNvPr>
        <cdr:cNvSpPr txBox="1"/>
      </cdr:nvSpPr>
      <cdr:spPr>
        <a:xfrm xmlns:a="http://schemas.openxmlformats.org/drawingml/2006/main">
          <a:off x="685800" y="733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cdr:x>
      <cdr:y>0.27458</cdr:y>
    </cdr:from>
    <cdr:to>
      <cdr:x>0.34306</cdr:x>
      <cdr:y>0.35132</cdr:y>
    </cdr:to>
    <cdr:sp macro="" textlink="">
      <cdr:nvSpPr>
        <cdr:cNvPr id="9" name="TextBox 1">
          <a:extLst xmlns:a="http://schemas.openxmlformats.org/drawingml/2006/main">
            <a:ext uri="{FF2B5EF4-FFF2-40B4-BE49-F238E27FC236}">
              <a16:creationId xmlns:a16="http://schemas.microsoft.com/office/drawing/2014/main" id="{600C52A7-82DE-68DE-518B-7AB6633642B2}"/>
            </a:ext>
          </a:extLst>
        </cdr:cNvPr>
        <cdr:cNvSpPr txBox="1"/>
      </cdr:nvSpPr>
      <cdr:spPr>
        <a:xfrm xmlns:a="http://schemas.openxmlformats.org/drawingml/2006/main">
          <a:off x="1371600" y="7270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b</a:t>
          </a:r>
        </a:p>
      </cdr:txBody>
    </cdr:sp>
  </cdr:relSizeAnchor>
  <cdr:relSizeAnchor xmlns:cdr="http://schemas.openxmlformats.org/drawingml/2006/chartDrawing">
    <cdr:from>
      <cdr:x>0.37361</cdr:x>
      <cdr:y>0.3753</cdr:y>
    </cdr:from>
    <cdr:to>
      <cdr:x>0.41667</cdr:x>
      <cdr:y>0.45204</cdr:y>
    </cdr:to>
    <cdr:sp macro="" textlink="">
      <cdr:nvSpPr>
        <cdr:cNvPr id="10" name="TextBox 1">
          <a:extLst xmlns:a="http://schemas.openxmlformats.org/drawingml/2006/main">
            <a:ext uri="{FF2B5EF4-FFF2-40B4-BE49-F238E27FC236}">
              <a16:creationId xmlns:a16="http://schemas.microsoft.com/office/drawing/2014/main" id="{3BBF94F5-AD86-AA70-7D18-27F94BFF71C7}"/>
            </a:ext>
          </a:extLst>
        </cdr:cNvPr>
        <cdr:cNvSpPr txBox="1"/>
      </cdr:nvSpPr>
      <cdr:spPr>
        <a:xfrm xmlns:a="http://schemas.openxmlformats.org/drawingml/2006/main">
          <a:off x="17081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0.45417</cdr:x>
      <cdr:y>0.3753</cdr:y>
    </cdr:from>
    <cdr:to>
      <cdr:x>0.49722</cdr:x>
      <cdr:y>0.45204</cdr:y>
    </cdr:to>
    <cdr:sp macro="" textlink="">
      <cdr:nvSpPr>
        <cdr:cNvPr id="11" name="TextBox 1">
          <a:extLst xmlns:a="http://schemas.openxmlformats.org/drawingml/2006/main">
            <a:ext uri="{FF2B5EF4-FFF2-40B4-BE49-F238E27FC236}">
              <a16:creationId xmlns:a16="http://schemas.microsoft.com/office/drawing/2014/main" id="{5DF889A2-9AC7-8673-8C68-06084073254D}"/>
            </a:ext>
          </a:extLst>
        </cdr:cNvPr>
        <cdr:cNvSpPr txBox="1"/>
      </cdr:nvSpPr>
      <cdr:spPr>
        <a:xfrm xmlns:a="http://schemas.openxmlformats.org/drawingml/2006/main">
          <a:off x="207645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0.60278</cdr:x>
      <cdr:y>0.3753</cdr:y>
    </cdr:from>
    <cdr:to>
      <cdr:x>0.64583</cdr:x>
      <cdr:y>0.45204</cdr:y>
    </cdr:to>
    <cdr:sp macro="" textlink="">
      <cdr:nvSpPr>
        <cdr:cNvPr id="12" name="TextBox 1">
          <a:extLst xmlns:a="http://schemas.openxmlformats.org/drawingml/2006/main">
            <a:ext uri="{FF2B5EF4-FFF2-40B4-BE49-F238E27FC236}">
              <a16:creationId xmlns:a16="http://schemas.microsoft.com/office/drawing/2014/main" id="{B28C3062-C6F3-27EE-3EF6-97B84222C71F}"/>
            </a:ext>
          </a:extLst>
        </cdr:cNvPr>
        <cdr:cNvSpPr txBox="1"/>
      </cdr:nvSpPr>
      <cdr:spPr>
        <a:xfrm xmlns:a="http://schemas.openxmlformats.org/drawingml/2006/main">
          <a:off x="2755900" y="99377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dr:relSizeAnchor xmlns:cdr="http://schemas.openxmlformats.org/drawingml/2006/chartDrawing">
    <cdr:from>
      <cdr:x>0.525</cdr:x>
      <cdr:y>0.3729</cdr:y>
    </cdr:from>
    <cdr:to>
      <cdr:x>0.56806</cdr:x>
      <cdr:y>0.44964</cdr:y>
    </cdr:to>
    <cdr:sp macro="" textlink="">
      <cdr:nvSpPr>
        <cdr:cNvPr id="13" name="TextBox 1">
          <a:extLst xmlns:a="http://schemas.openxmlformats.org/drawingml/2006/main">
            <a:ext uri="{FF2B5EF4-FFF2-40B4-BE49-F238E27FC236}">
              <a16:creationId xmlns:a16="http://schemas.microsoft.com/office/drawing/2014/main" id="{2878DC7F-D337-A9A8-6DD1-DDD5D41520FB}"/>
            </a:ext>
          </a:extLst>
        </cdr:cNvPr>
        <cdr:cNvSpPr txBox="1"/>
      </cdr:nvSpPr>
      <cdr:spPr>
        <a:xfrm xmlns:a="http://schemas.openxmlformats.org/drawingml/2006/main">
          <a:off x="2400300" y="987425"/>
          <a:ext cx="196850" cy="2032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IN" sz="1200">
              <a:latin typeface="Times New Roman" panose="02020603050405020304" pitchFamily="18" charset="0"/>
              <a:cs typeface="Times New Roman" panose="02020603050405020304" pitchFamily="18" charset="0"/>
            </a:rPr>
            <a:t>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16</Pages>
  <Words>4703</Words>
  <Characters>26812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Lalhmangaihzuali Ralte</dc:creator>
  <cp:keywords/>
  <dc:description/>
  <cp:lastModifiedBy>SDI 1186</cp:lastModifiedBy>
  <cp:revision>12</cp:revision>
  <dcterms:created xsi:type="dcterms:W3CDTF">2025-11-26T17:01:00Z</dcterms:created>
  <dcterms:modified xsi:type="dcterms:W3CDTF">2025-11-27T07:08:00Z</dcterms:modified>
</cp:coreProperties>
</file>