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13684162"/>
    <w:p w14:paraId="602B8DBE" w14:textId="10D163F9" w:rsidR="00BD7A95" w:rsidRPr="005343A6" w:rsidRDefault="00AD3534" w:rsidP="00556F0D">
      <w:pPr>
        <w:spacing w:after="0" w:line="240" w:lineRule="auto"/>
        <w:jc w:val="right"/>
        <w:rPr>
          <w:rFonts w:ascii="Arial" w:eastAsia="Times New Roman" w:hAnsi="Arial" w:cs="Arial"/>
          <w:b/>
          <w:bCs/>
          <w:kern w:val="28"/>
          <w:sz w:val="12"/>
          <w:szCs w:val="20"/>
        </w:rPr>
      </w:pPr>
      <w:r>
        <w:rPr>
          <w:rFonts w:ascii="Arial" w:eastAsia="Times New Roman" w:hAnsi="Arial" w:cs="Arial"/>
          <w:b/>
          <w:bCs/>
          <w:noProof/>
          <w:kern w:val="28"/>
          <w:sz w:val="12"/>
          <w:szCs w:val="20"/>
        </w:rPr>
        <mc:AlternateContent>
          <mc:Choice Requires="wps">
            <w:drawing>
              <wp:inline distT="0" distB="0" distL="0" distR="0" wp14:anchorId="5CF1CFC9" wp14:editId="14D37F90">
                <wp:extent cx="4114800" cy="6350"/>
                <wp:effectExtent l="0" t="0" r="0" b="0"/>
                <wp:docPr id="102905641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0D4745" id="AutoShape 1" o:spid="_x0000_s1026" style="width:324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i1wEAAJ0DAAAOAAAAZHJzL2Uyb0RvYy54bWysU8Fu2zAMvQ/YPwi6L7aztOuMOEXRosOA&#10;bh3Q7QMUWbaF2aJGKnGyrx8lp0m23opdBJGUHx8fn5fXu6EXW4NkwVWymOVSGKehtq6t5I/v9++u&#10;pKCgXK16cKaSe0PyevX2zXL0pZlDB31tUDCIo3L0lexC8GWWke7MoGgG3jguNoCDChxim9WoRkYf&#10;+mye55fZCFh7BG2IOHs3FeUq4TeN0eGxacgE0VeSuYV0YjrX8cxWS1W2qHxn9YGGegWLQVnHTY9Q&#10;dyoosUH7AmqwGoGgCTMNQwZNY7VJM/A0Rf7PNE+d8ibNwuKQP8pE/w9Wf90++W8YqZN/AP2ThIPb&#10;TrnW3JBn+Xip8pRChLEzqmYGRdQuGz2VR4wYEKOJ9fgFat622gRIsuwaHGIPHljskvr7o/pmF4Tm&#10;5KIoFlc5L0lz7fL9RVpOpsrnbz1S+GRgEPFSSWRyCVttHyhELqp8fhJbObi3fZ/227u/EvwwZhL3&#10;SDeahco11HumjjB5hD3Nlw7wtxQj+6OS9Guj0EjRf3Y8/sdisYiGSsHi4sOcAzyvrM8rymmGqmSQ&#10;YrrehsmEG4+27ZLKE8cblqyxaZ4TqwNZ9kAa8+DXaLLzOL06/VWrPwAAAP//AwBQSwMEFAAGAAgA&#10;AAAhAMk0NbHaAAAAAwEAAA8AAABkcnMvZG93bnJldi54bWxMj0FLw0AQhe+C/2EZwYu0G0VKSbMp&#10;UhCLCMVUe55mxySYnU2z2yT+e0cvehl4vMeb72XrybVqoD40ng3czhNQxKW3DVcG3vaPsyWoEJEt&#10;tp7JwBcFWOeXFxmm1o/8SkMRKyUlHFI0UMfYpVqHsiaHYe47YvE+fO8wiuwrbXscpdy1+i5JFtph&#10;w/Khxo42NZWfxdkZGMvdcNi/POndzWHr+bQ9bYr3Z2Our6aHFahIU/wLww++oEMuTEd/ZhtUa0CG&#10;xN8r3uJ+KfIooQR0nun/7Pk3AAAA//8DAFBLAQItABQABgAIAAAAIQC2gziS/gAAAOEBAAATAAAA&#10;AAAAAAAAAAAAAAAAAABbQ29udGVudF9UeXBlc10ueG1sUEsBAi0AFAAGAAgAAAAhADj9If/WAAAA&#10;lAEAAAsAAAAAAAAAAAAAAAAALwEAAF9yZWxzLy5yZWxzUEsBAi0AFAAGAAgAAAAhAM/8smLXAQAA&#10;nQMAAA4AAAAAAAAAAAAAAAAALgIAAGRycy9lMm9Eb2MueG1sUEsBAi0AFAAGAAgAAAAhAMk0NbHa&#10;AAAAAwEAAA8AAAAAAAAAAAAAAAAAMQQAAGRycy9kb3ducmV2LnhtbFBLBQYAAAAABAAEAPMAAAA4&#10;BQAAAAA=&#10;" filled="f" stroked="f">
                <o:lock v:ext="edit" aspectratio="t"/>
                <w10:anchorlock/>
              </v:rect>
            </w:pict>
          </mc:Fallback>
        </mc:AlternateContent>
      </w:r>
    </w:p>
    <w:p w14:paraId="01E99575" w14:textId="7038E95E" w:rsidR="008939AF" w:rsidRPr="005343A6" w:rsidRDefault="00AD3534" w:rsidP="00556F0D">
      <w:pPr>
        <w:widowControl w:val="0"/>
        <w:spacing w:after="0" w:line="240" w:lineRule="auto"/>
        <w:jc w:val="right"/>
        <w:rPr>
          <w:rFonts w:ascii="Arial" w:eastAsia="Calibri" w:hAnsi="Arial" w:cs="Arial"/>
          <w:b/>
          <w:bCs/>
          <w:sz w:val="20"/>
          <w:szCs w:val="36"/>
        </w:rPr>
      </w:pPr>
      <w:r>
        <w:rPr>
          <w:rFonts w:ascii="Arial" w:eastAsia="Times New Roman" w:hAnsi="Arial" w:cs="Arial"/>
          <w:b/>
          <w:bCs/>
          <w:noProof/>
          <w:kern w:val="28"/>
          <w:sz w:val="12"/>
          <w:szCs w:val="20"/>
        </w:rPr>
        <mc:AlternateContent>
          <mc:Choice Requires="wps">
            <w:drawing>
              <wp:anchor distT="0" distB="0" distL="114300" distR="114300" simplePos="0" relativeHeight="251657728" behindDoc="0" locked="0" layoutInCell="1" allowOverlap="1" wp14:anchorId="5CF1CFC9" wp14:editId="28200A53">
                <wp:simplePos x="0" y="0"/>
                <wp:positionH relativeFrom="character">
                  <wp:posOffset>-4114800</wp:posOffset>
                </wp:positionH>
                <wp:positionV relativeFrom="line">
                  <wp:posOffset>19050</wp:posOffset>
                </wp:positionV>
                <wp:extent cx="4114800" cy="0"/>
                <wp:effectExtent l="9525" t="15240" r="9525" b="13335"/>
                <wp:wrapNone/>
                <wp:docPr id="96902242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B8FDF14" id="_x0000_t32" coordsize="21600,21600" o:spt="32" o:oned="t" path="m,l21600,21600e" filled="f">
                <v:path arrowok="t" fillok="f" o:connecttype="none"/>
                <o:lock v:ext="edit" shapetype="t"/>
              </v:shapetype>
              <v:shape id="AutoShape 54" o:spid="_x0000_s1026" type="#_x0000_t32" style="position:absolute;margin-left:-324pt;margin-top:1.5pt;width:324pt;height:0;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OZuAEAAFcDAAAOAAAAZHJzL2Uyb0RvYy54bWysU8Fu2zAMvQ/YPwi6L7aLbuiMOD2k6y7d&#10;FqDdBzCSbAuVRYFU4uTvJ6lJWmy3oT4IlEg+Pj7Sy9vD5MTeEFv0nWwWtRTGK9TWD538/XT/6UYK&#10;juA1OPSmk0fD8nb18cNyDq25whGdNiQSiOd2Dp0cYwxtVbEazQS8wGB8cvZIE8R0paHSBHNCn1x1&#10;VddfqhlJB0JlmNPr3YtTrgp+3xsVf/U9myhcJxO3WE4q5zaf1WoJ7UAQRqtONOA/WExgfSp6gbqD&#10;CGJH9h+oySpCxj4uFE4V9r1VpvSQumnqv7p5HCGY0ksSh8NFJn4/WPVzv/YbytTVwT+GB1TPLDyu&#10;R/CDKQSejiENrslSVXPg9pKSLxw2JLbzD9QpBnYRiwqHnqYMmfoThyL28SK2OUSh0uN101zf1Gkm&#10;6uyroD0nBuL43eAkstFJjgR2GOMavU8jRWpKGdg/cMy0oD0n5Koe761zZbLOizlx/1p/rksGo7M6&#10;e3Mc07BdOxJ7yMtRvtJk8rwNI9x5XdBGA/rbyY5g3Yudqjt/0ibLkXeP2y3q44bOmqXpFZqnTcvr&#10;8fZesl//h9UfAAAA//8DAFBLAwQUAAYACAAAACEAeo4Pm9cAAAAFAQAADwAAAGRycy9kb3ducmV2&#10;LnhtbEyPzU7EMAyE70i8Q2QkLmg35UdVVZquEBInDpSFB3Ab01Y0TtWk2/D2GC5wsTWa0fhzdUhu&#10;UidawujZwPU+A0XceTtyb+D97WlXgAoR2eLkmQx8UYBDfX5WYWn9xq90OsZeSQmHEg0MMc6l1qEb&#10;yGHY+5lYvA+/OIwil17bBTcpd5O+ybJcOxxZLgw40+NA3edxdQbSS84xNUVqN16fQ3HVJHSNMZcX&#10;6eEeVKQU/8Lwgy/oUAtT61e2QU0GdvldIc9EA7eyJCCz/RW6rvR/+vobAAD//wMAUEsBAi0AFAAG&#10;AAgAAAAhALaDOJL+AAAA4QEAABMAAAAAAAAAAAAAAAAAAAAAAFtDb250ZW50X1R5cGVzXS54bWxQ&#10;SwECLQAUAAYACAAAACEAOP0h/9YAAACUAQAACwAAAAAAAAAAAAAAAAAvAQAAX3JlbHMvLnJlbHNQ&#10;SwECLQAUAAYACAAAACEAVgzDmbgBAABXAwAADgAAAAAAAAAAAAAAAAAuAgAAZHJzL2Uyb0RvYy54&#10;bWxQSwECLQAUAAYACAAAACEAeo4Pm9cAAAAFAQAADwAAAAAAAAAAAAAAAAASBAAAZHJzL2Rvd25y&#10;ZXYueG1sUEsFBgAAAAAEAAQA8wAAABYFAAAAAA==&#10;" strokeweight="1.5pt">
                <w10:wrap anchory="line"/>
              </v:shape>
            </w:pict>
          </mc:Fallback>
        </mc:AlternateContent>
      </w:r>
    </w:p>
    <w:p w14:paraId="397FFB6E" w14:textId="38D7C926" w:rsidR="00E1673D" w:rsidRPr="00E1673D" w:rsidRDefault="00E95206" w:rsidP="00360AC0">
      <w:pPr>
        <w:spacing w:after="0" w:line="240" w:lineRule="auto"/>
        <w:ind w:right="-41"/>
        <w:rPr>
          <w:rFonts w:ascii="Arial" w:hAnsi="Arial" w:cs="Arial"/>
          <w:sz w:val="32"/>
          <w:szCs w:val="32"/>
          <w:lang w:val="en-ID"/>
        </w:rPr>
      </w:pPr>
      <w:r w:rsidRPr="00E95206">
        <w:rPr>
          <w:rFonts w:ascii="Arial" w:hAnsi="Arial" w:cs="Arial"/>
          <w:b/>
          <w:bCs/>
          <w:sz w:val="32"/>
          <w:szCs w:val="32"/>
        </w:rPr>
        <w:t xml:space="preserve">Temporal </w:t>
      </w:r>
      <w:r w:rsidR="006C413F">
        <w:rPr>
          <w:rFonts w:ascii="Arial" w:hAnsi="Arial" w:cs="Arial"/>
          <w:b/>
          <w:bCs/>
          <w:sz w:val="32"/>
          <w:szCs w:val="32"/>
        </w:rPr>
        <w:t>D</w:t>
      </w:r>
      <w:r w:rsidRPr="00E95206">
        <w:rPr>
          <w:rFonts w:ascii="Arial" w:hAnsi="Arial" w:cs="Arial"/>
          <w:b/>
          <w:bCs/>
          <w:sz w:val="32"/>
          <w:szCs w:val="32"/>
        </w:rPr>
        <w:t xml:space="preserve">ynamics of </w:t>
      </w:r>
      <w:r w:rsidR="006C413F">
        <w:rPr>
          <w:rFonts w:ascii="Arial" w:hAnsi="Arial" w:cs="Arial"/>
          <w:b/>
          <w:bCs/>
          <w:sz w:val="32"/>
          <w:szCs w:val="32"/>
        </w:rPr>
        <w:t>D</w:t>
      </w:r>
      <w:r w:rsidRPr="00E95206">
        <w:rPr>
          <w:rFonts w:ascii="Arial" w:hAnsi="Arial" w:cs="Arial"/>
          <w:b/>
          <w:bCs/>
          <w:sz w:val="32"/>
          <w:szCs w:val="32"/>
        </w:rPr>
        <w:t xml:space="preserve">iatoms as </w:t>
      </w:r>
      <w:r w:rsidR="00C90C83">
        <w:rPr>
          <w:rFonts w:ascii="Arial" w:hAnsi="Arial" w:cs="Arial"/>
          <w:b/>
          <w:bCs/>
          <w:sz w:val="32"/>
          <w:szCs w:val="32"/>
        </w:rPr>
        <w:t>“</w:t>
      </w:r>
      <w:r w:rsidR="006C413F">
        <w:rPr>
          <w:rFonts w:ascii="Arial" w:hAnsi="Arial" w:cs="Arial"/>
          <w:b/>
          <w:bCs/>
          <w:sz w:val="32"/>
          <w:szCs w:val="32"/>
        </w:rPr>
        <w:t>E</w:t>
      </w:r>
      <w:r w:rsidRPr="00E95206">
        <w:rPr>
          <w:rFonts w:ascii="Arial" w:hAnsi="Arial" w:cs="Arial"/>
          <w:b/>
          <w:bCs/>
          <w:sz w:val="32"/>
          <w:szCs w:val="32"/>
        </w:rPr>
        <w:t xml:space="preserve">arly </w:t>
      </w:r>
      <w:r w:rsidR="006C413F">
        <w:rPr>
          <w:rFonts w:ascii="Arial" w:hAnsi="Arial" w:cs="Arial"/>
          <w:b/>
          <w:bCs/>
          <w:sz w:val="32"/>
          <w:szCs w:val="32"/>
        </w:rPr>
        <w:t>W</w:t>
      </w:r>
      <w:r w:rsidRPr="00E95206">
        <w:rPr>
          <w:rFonts w:ascii="Arial" w:hAnsi="Arial" w:cs="Arial"/>
          <w:b/>
          <w:bCs/>
          <w:sz w:val="32"/>
          <w:szCs w:val="32"/>
        </w:rPr>
        <w:t xml:space="preserve">arning </w:t>
      </w:r>
      <w:r w:rsidR="006C413F">
        <w:rPr>
          <w:rFonts w:ascii="Arial" w:hAnsi="Arial" w:cs="Arial"/>
          <w:b/>
          <w:bCs/>
          <w:sz w:val="32"/>
          <w:szCs w:val="32"/>
        </w:rPr>
        <w:t>I</w:t>
      </w:r>
      <w:r w:rsidRPr="00E95206">
        <w:rPr>
          <w:rFonts w:ascii="Arial" w:hAnsi="Arial" w:cs="Arial"/>
          <w:b/>
          <w:bCs/>
          <w:sz w:val="32"/>
          <w:szCs w:val="32"/>
        </w:rPr>
        <w:t>ndicators</w:t>
      </w:r>
      <w:r w:rsidR="00C90C83">
        <w:rPr>
          <w:rFonts w:ascii="Arial" w:hAnsi="Arial" w:cs="Arial"/>
          <w:b/>
          <w:bCs/>
          <w:sz w:val="32"/>
          <w:szCs w:val="32"/>
        </w:rPr>
        <w:t>”</w:t>
      </w:r>
      <w:r w:rsidRPr="00E95206">
        <w:rPr>
          <w:rFonts w:ascii="Arial" w:hAnsi="Arial" w:cs="Arial"/>
          <w:b/>
          <w:bCs/>
          <w:sz w:val="32"/>
          <w:szCs w:val="32"/>
        </w:rPr>
        <w:t xml:space="preserve"> of </w:t>
      </w:r>
      <w:r w:rsidR="006C413F">
        <w:rPr>
          <w:rFonts w:ascii="Arial" w:hAnsi="Arial" w:cs="Arial"/>
          <w:b/>
          <w:bCs/>
          <w:sz w:val="32"/>
          <w:szCs w:val="32"/>
        </w:rPr>
        <w:t>E</w:t>
      </w:r>
      <w:r w:rsidRPr="00E95206">
        <w:rPr>
          <w:rFonts w:ascii="Arial" w:hAnsi="Arial" w:cs="Arial"/>
          <w:b/>
          <w:bCs/>
          <w:sz w:val="32"/>
          <w:szCs w:val="32"/>
        </w:rPr>
        <w:t xml:space="preserve">cosystem </w:t>
      </w:r>
      <w:r w:rsidR="00C90C83">
        <w:rPr>
          <w:rFonts w:ascii="Arial" w:hAnsi="Arial" w:cs="Arial"/>
          <w:b/>
          <w:bCs/>
          <w:sz w:val="32"/>
          <w:szCs w:val="32"/>
        </w:rPr>
        <w:t>Stress</w:t>
      </w:r>
      <w:r w:rsidR="001472EB" w:rsidRPr="001472EB">
        <w:rPr>
          <w:rFonts w:ascii="Arial" w:hAnsi="Arial" w:cs="Arial"/>
          <w:b/>
          <w:bCs/>
          <w:sz w:val="32"/>
          <w:szCs w:val="32"/>
        </w:rPr>
        <w:t xml:space="preserve"> in Jakarta</w:t>
      </w:r>
      <w:r w:rsidR="001472EB">
        <w:rPr>
          <w:rFonts w:ascii="Arial" w:hAnsi="Arial" w:cs="Arial"/>
          <w:b/>
          <w:bCs/>
          <w:sz w:val="32"/>
          <w:szCs w:val="32"/>
        </w:rPr>
        <w:t xml:space="preserve"> Bay</w:t>
      </w:r>
      <w:r w:rsidR="00CF73E1">
        <w:rPr>
          <w:rFonts w:ascii="Arial" w:hAnsi="Arial" w:cs="Arial"/>
          <w:b/>
          <w:bCs/>
          <w:sz w:val="32"/>
          <w:szCs w:val="32"/>
          <w:lang w:val="en-ID"/>
        </w:rPr>
        <w:t>, Indonesia</w:t>
      </w:r>
    </w:p>
    <w:p w14:paraId="5DE6E648" w14:textId="0DB079E4" w:rsidR="00AE3EF5" w:rsidRDefault="00AE3EF5" w:rsidP="001A4963">
      <w:pPr>
        <w:autoSpaceDE w:val="0"/>
        <w:autoSpaceDN w:val="0"/>
        <w:adjustRightInd w:val="0"/>
        <w:spacing w:after="0" w:line="240" w:lineRule="auto"/>
        <w:jc w:val="both"/>
        <w:rPr>
          <w:rFonts w:ascii="Arial" w:eastAsia="Times New Roman" w:hAnsi="Arial" w:cs="Arial"/>
          <w:bCs/>
          <w:sz w:val="12"/>
          <w:szCs w:val="14"/>
        </w:rPr>
      </w:pPr>
    </w:p>
    <w:p w14:paraId="7A629605" w14:textId="77777777" w:rsidR="00024A4F" w:rsidRDefault="00024A4F" w:rsidP="00B36A19">
      <w:pPr>
        <w:pStyle w:val="NoSpacing"/>
        <w:jc w:val="both"/>
        <w:rPr>
          <w:rFonts w:ascii="Arial" w:hAnsi="Arial" w:cs="Arial"/>
          <w:b/>
          <w:sz w:val="18"/>
          <w:szCs w:val="18"/>
        </w:rPr>
      </w:pPr>
      <w:bookmarkStart w:id="1" w:name="_Hlk207843638"/>
    </w:p>
    <w:bookmarkEnd w:id="1"/>
    <w:p w14:paraId="4640C6F1" w14:textId="77777777" w:rsidR="002302A5" w:rsidRPr="00AE3EF5" w:rsidRDefault="002302A5" w:rsidP="001A4963">
      <w:pPr>
        <w:autoSpaceDE w:val="0"/>
        <w:autoSpaceDN w:val="0"/>
        <w:adjustRightInd w:val="0"/>
        <w:spacing w:after="0" w:line="240" w:lineRule="auto"/>
        <w:jc w:val="both"/>
        <w:rPr>
          <w:rFonts w:ascii="Arial" w:eastAsia="Times New Roman" w:hAnsi="Arial" w:cs="Arial"/>
          <w:bCs/>
          <w:sz w:val="12"/>
          <w:szCs w:val="14"/>
        </w:rPr>
      </w:pPr>
    </w:p>
    <w:p w14:paraId="78E14FA8" w14:textId="5C9A6186" w:rsidR="001D4826" w:rsidRPr="005343A6" w:rsidRDefault="00AD3534" w:rsidP="001A4963">
      <w:pPr>
        <w:keepNext/>
        <w:spacing w:after="0" w:line="240" w:lineRule="auto"/>
        <w:rPr>
          <w:rFonts w:ascii="Arial" w:eastAsia="Times New Roman" w:hAnsi="Arial" w:cs="Arial"/>
          <w:b/>
          <w:caps/>
          <w:sz w:val="20"/>
          <w:szCs w:val="20"/>
        </w:rPr>
      </w:pPr>
      <w:r>
        <w:rPr>
          <w:rFonts w:ascii="Arial" w:eastAsia="Times New Roman" w:hAnsi="Arial" w:cs="Arial"/>
          <w:noProof/>
          <w:sz w:val="24"/>
          <w:szCs w:val="20"/>
        </w:rPr>
        <mc:AlternateContent>
          <mc:Choice Requires="wps">
            <w:drawing>
              <wp:anchor distT="0" distB="0" distL="114300" distR="114300" simplePos="0" relativeHeight="251656704" behindDoc="0" locked="0" layoutInCell="1" allowOverlap="1" wp14:anchorId="4B1A6AAA" wp14:editId="70573508">
                <wp:simplePos x="0" y="0"/>
                <wp:positionH relativeFrom="character">
                  <wp:posOffset>0</wp:posOffset>
                </wp:positionH>
                <wp:positionV relativeFrom="line">
                  <wp:posOffset>10160</wp:posOffset>
                </wp:positionV>
                <wp:extent cx="4114800" cy="0"/>
                <wp:effectExtent l="9525" t="12700" r="9525" b="15875"/>
                <wp:wrapNone/>
                <wp:docPr id="189301156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A6F8DC" id="AutoShape 2" o:spid="_x0000_s1026" type="#_x0000_t32" style="position:absolute;margin-left:0;margin-top:.8pt;width:324pt;height:0;z-index:2516567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OZuAEAAFcDAAAOAAAAZHJzL2Uyb0RvYy54bWysU8Fu2zAMvQ/YPwi6L7aLbuiMOD2k6y7d&#10;FqDdBzCSbAuVRYFU4uTvJ6lJWmy3oT4IlEg+Pj7Sy9vD5MTeEFv0nWwWtRTGK9TWD538/XT/6UYK&#10;juA1OPSmk0fD8nb18cNyDq25whGdNiQSiOd2Dp0cYwxtVbEazQS8wGB8cvZIE8R0paHSBHNCn1x1&#10;VddfqhlJB0JlmNPr3YtTrgp+3xsVf/U9myhcJxO3WE4q5zaf1WoJ7UAQRqtONOA/WExgfSp6gbqD&#10;CGJH9h+oySpCxj4uFE4V9r1VpvSQumnqv7p5HCGY0ksSh8NFJn4/WPVzv/YbytTVwT+GB1TPLDyu&#10;R/CDKQSejiENrslSVXPg9pKSLxw2JLbzD9QpBnYRiwqHnqYMmfoThyL28SK2OUSh0uN101zf1Gkm&#10;6uyroD0nBuL43eAkstFJjgR2GOMavU8jRWpKGdg/cMy0oD0n5Koe761zZbLOizlx/1p/rksGo7M6&#10;e3Mc07BdOxJ7yMtRvtJk8rwNI9x5XdBGA/rbyY5g3Yudqjt/0ibLkXeP2y3q44bOmqXpFZqnTcvr&#10;8fZesl//h9UfAAAA//8DAFBLAwQUAAYACAAAACEACD8DS9UAAAAEAQAADwAAAGRycy9kb3ducmV2&#10;LnhtbEyPwUrEQAyG74LvMETwIu5UkVJqp8siePJgXX2AtBPbsp1M6Uy349sbvejxyx/+fKn2yU3q&#10;TEsYPRu422WgiDtvR+4NfLw/3xagQkS2OHkmA18UYF9fXlRYWr/xG52PsVdSwqFEA0OMc6l16AZy&#10;GHZ+Jpbs0y8Oo+DSa7vgJuVu0vdZlmuHI8uFAWd6Gqg7HVdnIL3mHFNTpHbj9SUUN01C1xhzfZUO&#10;j6Aipfi3DD/6og61OLV+ZRvUZEAeiTLNQUmYPxTC7S/rutL/5etvAAAA//8DAFBLAQItABQABgAI&#10;AAAAIQC2gziS/gAAAOEBAAATAAAAAAAAAAAAAAAAAAAAAABbQ29udGVudF9UeXBlc10ueG1sUEsB&#10;Ai0AFAAGAAgAAAAhADj9If/WAAAAlAEAAAsAAAAAAAAAAAAAAAAALwEAAF9yZWxzLy5yZWxzUEsB&#10;Ai0AFAAGAAgAAAAhAFYMw5m4AQAAVwMAAA4AAAAAAAAAAAAAAAAALgIAAGRycy9lMm9Eb2MueG1s&#10;UEsBAi0AFAAGAAgAAAAhAAg/A0vVAAAABAEAAA8AAAAAAAAAAAAAAAAAEgQAAGRycy9kb3ducmV2&#10;LnhtbFBLBQYAAAAABAAEAPMAAAAUBQAAAAA=&#10;" strokeweight="1.5pt">
                <w10:wrap anchory="line"/>
              </v:shape>
            </w:pict>
          </mc:Fallback>
        </mc:AlternateContent>
      </w:r>
    </w:p>
    <w:p w14:paraId="0A787BBD" w14:textId="555F139C" w:rsidR="00B67CEE" w:rsidRPr="006B5C4D" w:rsidRDefault="001D4826" w:rsidP="006B5C4D">
      <w:pPr>
        <w:pStyle w:val="Heading2"/>
        <w:rPr>
          <w:rFonts w:eastAsia="Times New Roman" w:cs="Arial"/>
        </w:rPr>
      </w:pPr>
      <w:r w:rsidRPr="005343A6">
        <w:rPr>
          <w:rFonts w:eastAsia="Times New Roman" w:cs="Arial"/>
          <w:sz w:val="20"/>
        </w:rPr>
        <w:t>ABSTRACT</w:t>
      </w:r>
    </w:p>
    <w:bookmarkEnd w:id="0"/>
    <w:p w14:paraId="313AD7E0" w14:textId="5F8D5E36" w:rsidR="00A27992" w:rsidRPr="00061EF6" w:rsidRDefault="00A27992" w:rsidP="00A27992">
      <w:pPr>
        <w:spacing w:after="0" w:line="240" w:lineRule="auto"/>
        <w:jc w:val="both"/>
        <w:rPr>
          <w:rFonts w:ascii="Arial" w:hAnsi="Arial" w:cs="Arial"/>
          <w:color w:val="0070C0"/>
          <w:sz w:val="18"/>
          <w:szCs w:val="18"/>
          <w:lang w:val="en-ID"/>
        </w:rPr>
      </w:pPr>
      <w:r>
        <w:rPr>
          <w:rFonts w:ascii="Arial" w:hAnsi="Arial" w:cs="Arial"/>
          <w:color w:val="000000" w:themeColor="text1"/>
          <w:sz w:val="18"/>
          <w:szCs w:val="18"/>
          <w:lang w:val="en-ID"/>
        </w:rPr>
        <w:t xml:space="preserve">Jakarta Bay, one of Indonesia’s most heavily urbanized coastal systems, has experienced ongoing eutrophication caused by rapid urban growth and high human nutrient inputs. To evaluate how the ecosystem responds to nutrient enrichment, we </w:t>
      </w:r>
      <w:proofErr w:type="spellStart"/>
      <w:r>
        <w:rPr>
          <w:rFonts w:ascii="Arial" w:hAnsi="Arial" w:cs="Arial"/>
          <w:color w:val="000000" w:themeColor="text1"/>
          <w:sz w:val="18"/>
          <w:szCs w:val="18"/>
          <w:lang w:val="en-ID"/>
        </w:rPr>
        <w:t>analyzed</w:t>
      </w:r>
      <w:proofErr w:type="spellEnd"/>
      <w:r>
        <w:rPr>
          <w:rFonts w:ascii="Arial" w:hAnsi="Arial" w:cs="Arial"/>
          <w:color w:val="000000" w:themeColor="text1"/>
          <w:sz w:val="18"/>
          <w:szCs w:val="18"/>
          <w:lang w:val="en-ID"/>
        </w:rPr>
        <w:t xml:space="preserve"> long-term (2008–2019) phytoplankton data collected from the inner, middle, and outer zones of the bay during different monsoon seasons. Environmental parameters such as temperature, salinity, dissolved oxygen, nitrate, phosphate, and silicate were measured using standard oceanographic procedures, and phytoplankton composition, abundance, and diversity indices were used to assess trophic status. Results show a consistently diatom-dominated community, with </w:t>
      </w:r>
      <w:proofErr w:type="spellStart"/>
      <w:r>
        <w:rPr>
          <w:rFonts w:ascii="Arial" w:hAnsi="Arial" w:cs="Arial"/>
          <w:color w:val="000000" w:themeColor="text1"/>
          <w:sz w:val="18"/>
          <w:szCs w:val="18"/>
          <w:lang w:val="en-ID"/>
        </w:rPr>
        <w:t>Chaetoceros</w:t>
      </w:r>
      <w:proofErr w:type="spellEnd"/>
      <w:r>
        <w:rPr>
          <w:rFonts w:ascii="Arial" w:hAnsi="Arial" w:cs="Arial"/>
          <w:color w:val="000000" w:themeColor="text1"/>
          <w:sz w:val="18"/>
          <w:szCs w:val="18"/>
          <w:lang w:val="en-ID"/>
        </w:rPr>
        <w:t xml:space="preserve">, </w:t>
      </w:r>
      <w:proofErr w:type="spellStart"/>
      <w:r>
        <w:rPr>
          <w:rFonts w:ascii="Arial" w:hAnsi="Arial" w:cs="Arial"/>
          <w:color w:val="000000" w:themeColor="text1"/>
          <w:sz w:val="18"/>
          <w:szCs w:val="18"/>
          <w:lang w:val="en-ID"/>
        </w:rPr>
        <w:t>Skeletonema</w:t>
      </w:r>
      <w:proofErr w:type="spellEnd"/>
      <w:r>
        <w:rPr>
          <w:rFonts w:ascii="Arial" w:hAnsi="Arial" w:cs="Arial"/>
          <w:color w:val="000000" w:themeColor="text1"/>
          <w:sz w:val="18"/>
          <w:szCs w:val="18"/>
          <w:lang w:val="en-ID"/>
        </w:rPr>
        <w:t xml:space="preserve">, and </w:t>
      </w:r>
      <w:proofErr w:type="spellStart"/>
      <w:r>
        <w:rPr>
          <w:rFonts w:ascii="Arial" w:hAnsi="Arial" w:cs="Arial"/>
          <w:color w:val="000000" w:themeColor="text1"/>
          <w:sz w:val="18"/>
          <w:szCs w:val="18"/>
          <w:lang w:val="en-ID"/>
        </w:rPr>
        <w:t>Thalassiosira</w:t>
      </w:r>
      <w:proofErr w:type="spellEnd"/>
      <w:r>
        <w:rPr>
          <w:rFonts w:ascii="Arial" w:hAnsi="Arial" w:cs="Arial"/>
          <w:color w:val="000000" w:themeColor="text1"/>
          <w:sz w:val="18"/>
          <w:szCs w:val="18"/>
          <w:lang w:val="en-ID"/>
        </w:rPr>
        <w:t xml:space="preserve"> accounting for over 90% of total abundance. A notable bloom occurred between 2009 and 2010 during an intense La Niña phase, coinciding with increased nitrate levels and high N:P ratios (&gt;16). Diversity (H′ = 0.7–1.6) and evenness (E = 0.3–0.6) remained low, indicating community simplification and ecological stress. Spatial analysis revealed that the inner bay was hypertrophic, while the outer bay remained mesotrophic. This dominance pattern correlates with consistently high inorganic nitrogen levels, elevated N:P ratios, and nutrient-loading hotspots near major river mouths. These findings demonstrate that diatom dominance is an effective bioindicator of eutrophication. The strong link between diatom blooms and altered nutrient ratios highlights that diatoms serve as “</w:t>
      </w:r>
      <w:r w:rsidRPr="00C90C83">
        <w:rPr>
          <w:rFonts w:ascii="Arial" w:hAnsi="Arial" w:cs="Arial"/>
          <w:i/>
          <w:iCs/>
          <w:color w:val="000000" w:themeColor="text1"/>
          <w:sz w:val="18"/>
          <w:szCs w:val="18"/>
          <w:lang w:val="en-ID"/>
        </w:rPr>
        <w:t>early warning indicators</w:t>
      </w:r>
      <w:r>
        <w:rPr>
          <w:rFonts w:ascii="Arial" w:hAnsi="Arial" w:cs="Arial"/>
          <w:color w:val="000000" w:themeColor="text1"/>
          <w:sz w:val="18"/>
          <w:szCs w:val="18"/>
          <w:lang w:val="en-ID"/>
        </w:rPr>
        <w:t>” of ecosystem degradation and imbalance in tropical megacity coasts. Urgent measures such as integrated nutrient management, improved wastewater treatment, and routine phytoplankton monitoring are essential to restore ecological resilience and prevent recurrent harmful algal blooms in Jakarta Bay.</w:t>
      </w:r>
    </w:p>
    <w:p w14:paraId="664F27AE" w14:textId="77777777" w:rsidR="00EC43AC" w:rsidRDefault="00EC43AC" w:rsidP="00EC43AC">
      <w:pPr>
        <w:spacing w:after="0" w:line="240" w:lineRule="auto"/>
        <w:jc w:val="both"/>
        <w:rPr>
          <w:rFonts w:ascii="Arial" w:hAnsi="Arial" w:cs="Arial"/>
          <w:b/>
          <w:bCs/>
          <w:color w:val="000000" w:themeColor="text1"/>
          <w:sz w:val="18"/>
          <w:szCs w:val="18"/>
          <w:lang w:val="en-ID"/>
        </w:rPr>
      </w:pPr>
    </w:p>
    <w:p w14:paraId="05B2308E" w14:textId="1EE9789E" w:rsidR="00EC43AC" w:rsidRPr="00A27992" w:rsidRDefault="00A27992" w:rsidP="00EC43AC">
      <w:pPr>
        <w:spacing w:after="0" w:line="240" w:lineRule="auto"/>
        <w:jc w:val="both"/>
        <w:rPr>
          <w:rFonts w:ascii="Arial" w:hAnsi="Arial" w:cs="Arial"/>
          <w:color w:val="000000" w:themeColor="text1"/>
          <w:sz w:val="18"/>
          <w:szCs w:val="18"/>
          <w:lang w:val="en-ID"/>
        </w:rPr>
      </w:pPr>
      <w:r>
        <w:rPr>
          <w:rFonts w:ascii="Arial" w:hAnsi="Arial" w:cs="Arial"/>
          <w:b/>
          <w:bCs/>
          <w:color w:val="000000" w:themeColor="text1"/>
          <w:sz w:val="18"/>
          <w:szCs w:val="18"/>
          <w:lang w:val="en-ID"/>
        </w:rPr>
        <w:t xml:space="preserve">Keywords: </w:t>
      </w:r>
      <w:r w:rsidRPr="00A27992">
        <w:rPr>
          <w:rFonts w:ascii="Arial" w:hAnsi="Arial" w:cs="Arial"/>
          <w:color w:val="000000" w:themeColor="text1"/>
          <w:sz w:val="18"/>
          <w:szCs w:val="18"/>
          <w:lang w:val="en-ID"/>
        </w:rPr>
        <w:t>Coastal ecosystem resilience, diatom dominance, early warning indicators, eutrophication, Jakarta Bay.</w:t>
      </w:r>
    </w:p>
    <w:p w14:paraId="1CCE95AD" w14:textId="77777777" w:rsidR="004E33C9" w:rsidRDefault="004E33C9" w:rsidP="00E1673D">
      <w:pPr>
        <w:spacing w:after="0" w:line="240" w:lineRule="auto"/>
        <w:jc w:val="both"/>
        <w:outlineLvl w:val="0"/>
        <w:rPr>
          <w:rFonts w:ascii="Arial" w:eastAsia="Times New Roman" w:hAnsi="Arial" w:cs="Arial"/>
          <w:bCs/>
          <w:i/>
          <w:iCs/>
          <w:sz w:val="18"/>
          <w:szCs w:val="20"/>
          <w:lang w:val="id"/>
        </w:rPr>
      </w:pPr>
    </w:p>
    <w:p w14:paraId="3CE5363B" w14:textId="77777777" w:rsidR="00863BC4" w:rsidRPr="004E33C9" w:rsidRDefault="00863BC4" w:rsidP="00E1673D">
      <w:pPr>
        <w:spacing w:after="0" w:line="240" w:lineRule="auto"/>
        <w:jc w:val="both"/>
        <w:outlineLvl w:val="0"/>
        <w:rPr>
          <w:rFonts w:ascii="Arial" w:eastAsia="Times New Roman" w:hAnsi="Arial" w:cs="Arial"/>
          <w:bCs/>
          <w:i/>
          <w:iCs/>
          <w:sz w:val="18"/>
          <w:szCs w:val="20"/>
          <w:lang w:val="id"/>
        </w:rPr>
      </w:pPr>
    </w:p>
    <w:p w14:paraId="2F88A14A" w14:textId="1DCBBFF4" w:rsidR="00556F0D" w:rsidRPr="005343A6" w:rsidRDefault="00556F0D" w:rsidP="00556F0D">
      <w:pPr>
        <w:pStyle w:val="Heading1"/>
        <w:jc w:val="both"/>
        <w:rPr>
          <w:rFonts w:cs="Arial"/>
          <w:b w:val="0"/>
          <w:sz w:val="20"/>
          <w:szCs w:val="20"/>
        </w:rPr>
      </w:pPr>
      <w:r w:rsidRPr="005343A6">
        <w:rPr>
          <w:rFonts w:cs="Arial"/>
          <w:sz w:val="20"/>
          <w:szCs w:val="20"/>
        </w:rPr>
        <w:t>1.</w:t>
      </w:r>
      <w:r w:rsidR="006816CB" w:rsidRPr="005343A6">
        <w:rPr>
          <w:rFonts w:cs="Arial"/>
          <w:sz w:val="20"/>
          <w:szCs w:val="20"/>
        </w:rPr>
        <w:t xml:space="preserve"> </w:t>
      </w:r>
      <w:r w:rsidRPr="005343A6">
        <w:rPr>
          <w:rFonts w:cs="Arial"/>
          <w:bCs w:val="0"/>
          <w:sz w:val="20"/>
          <w:szCs w:val="20"/>
        </w:rPr>
        <w:t>INTRODUCTION</w:t>
      </w:r>
    </w:p>
    <w:p w14:paraId="79346A8B" w14:textId="77777777" w:rsidR="00556F0D" w:rsidRPr="00F1570C" w:rsidRDefault="00556F0D" w:rsidP="00556F0D">
      <w:pPr>
        <w:spacing w:after="0" w:line="240" w:lineRule="auto"/>
        <w:jc w:val="both"/>
        <w:rPr>
          <w:rFonts w:ascii="Arial" w:eastAsia="SimSun" w:hAnsi="Arial" w:cs="Arial"/>
          <w:color w:val="000000" w:themeColor="text1"/>
          <w:sz w:val="18"/>
          <w:szCs w:val="18"/>
        </w:rPr>
      </w:pPr>
    </w:p>
    <w:p w14:paraId="5B949CE7" w14:textId="7897B8AA" w:rsidR="002254B4" w:rsidRPr="00F1570C" w:rsidRDefault="00CC2E12" w:rsidP="002254B4">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Jakarta Bay is one of Indonesia’s most ecologically stressed yet socioeconomically vital coastal ecosystems. Located near the capital city, the bay supports fisheries, aquaculture, transportation, and trade, while also receiving significant human inputs from industrial, domestic, and river sources. Over recent decades, rapid urbanization, land reclamation, and untreated wastewater discharge have greatly disrupted its ecological balance, showing eutrophication-driven changes typical of tropical coastal systems under heavy human influence (</w:t>
      </w:r>
      <w:proofErr w:type="spellStart"/>
      <w:r>
        <w:rPr>
          <w:rFonts w:ascii="Arial" w:hAnsi="Arial" w:cs="Arial"/>
          <w:color w:val="000000" w:themeColor="text1"/>
          <w:sz w:val="18"/>
          <w:szCs w:val="18"/>
          <w:lang w:val="en-ID"/>
        </w:rPr>
        <w:t>Damar</w:t>
      </w:r>
      <w:proofErr w:type="spellEnd"/>
      <w:r>
        <w:rPr>
          <w:rFonts w:ascii="Arial" w:hAnsi="Arial" w:cs="Arial"/>
          <w:color w:val="000000" w:themeColor="text1"/>
          <w:sz w:val="18"/>
          <w:szCs w:val="18"/>
          <w:lang w:val="en-ID"/>
        </w:rPr>
        <w:t xml:space="preserve"> et al., 2020; Malone &amp; Newton, 2020; Firdaus et al., 2023). As a result, assessing the bay’s ecological </w:t>
      </w:r>
      <w:r>
        <w:rPr>
          <w:rFonts w:ascii="Arial" w:hAnsi="Arial" w:cs="Arial"/>
          <w:color w:val="000000" w:themeColor="text1"/>
          <w:sz w:val="18"/>
          <w:szCs w:val="18"/>
          <w:lang w:val="en-ID"/>
        </w:rPr>
        <w:lastRenderedPageBreak/>
        <w:t>condition through biological indicators has become crucial for evaluating its environmental health and resilience.</w:t>
      </w:r>
    </w:p>
    <w:p w14:paraId="6F542CBF" w14:textId="77777777" w:rsidR="002254B4" w:rsidRPr="00F1570C" w:rsidRDefault="002254B4" w:rsidP="002254B4">
      <w:pPr>
        <w:spacing w:after="0" w:line="240" w:lineRule="auto"/>
        <w:jc w:val="both"/>
        <w:rPr>
          <w:rFonts w:ascii="Arial" w:hAnsi="Arial" w:cs="Arial"/>
          <w:color w:val="000000" w:themeColor="text1"/>
          <w:sz w:val="18"/>
          <w:szCs w:val="18"/>
          <w:lang w:val="en-ID"/>
        </w:rPr>
      </w:pPr>
    </w:p>
    <w:p w14:paraId="7695124B" w14:textId="4444CB75" w:rsidR="00E33344" w:rsidRPr="00F1570C" w:rsidRDefault="00CC2E12" w:rsidP="00E33344">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Phytoplankton, as primary producers at the base of aquatic food webs, respond quickly to nutrient increases and physical changes in the water column, making them reliable indicators of trophic status and ecosystem stress (Peppa et al., 2020; Lefebvre &amp; </w:t>
      </w:r>
      <w:proofErr w:type="spellStart"/>
      <w:r>
        <w:rPr>
          <w:rFonts w:ascii="Arial" w:hAnsi="Arial" w:cs="Arial"/>
          <w:color w:val="000000" w:themeColor="text1"/>
          <w:sz w:val="18"/>
          <w:szCs w:val="18"/>
          <w:lang w:val="en-ID"/>
        </w:rPr>
        <w:t>Dezcache</w:t>
      </w:r>
      <w:proofErr w:type="spellEnd"/>
      <w:r>
        <w:rPr>
          <w:rFonts w:ascii="Arial" w:hAnsi="Arial" w:cs="Arial"/>
          <w:color w:val="000000" w:themeColor="text1"/>
          <w:sz w:val="18"/>
          <w:szCs w:val="18"/>
          <w:lang w:val="en-ID"/>
        </w:rPr>
        <w:t xml:space="preserve">, 2020). They serve as highly sensitive and trustworthy early warning indicators of aquatic ecosystem health, reflecting environmental changes at both the molecular and community levels. </w:t>
      </w:r>
      <w:proofErr w:type="spellStart"/>
      <w:r>
        <w:rPr>
          <w:rFonts w:ascii="Arial" w:hAnsi="Arial" w:cs="Arial"/>
          <w:color w:val="000000" w:themeColor="text1"/>
          <w:sz w:val="18"/>
          <w:szCs w:val="18"/>
          <w:lang w:val="en-ID"/>
        </w:rPr>
        <w:t>Ugya</w:t>
      </w:r>
      <w:proofErr w:type="spellEnd"/>
      <w:r>
        <w:rPr>
          <w:rFonts w:ascii="Arial" w:hAnsi="Arial" w:cs="Arial"/>
          <w:color w:val="000000" w:themeColor="text1"/>
          <w:sz w:val="18"/>
          <w:szCs w:val="18"/>
          <w:lang w:val="en-ID"/>
        </w:rPr>
        <w:t xml:space="preserve"> et al. (2025) demonstrate that phytoplankton respond to environmental stressors through complex molecular mechanisms, including changes in gene expression and stress-related </w:t>
      </w:r>
      <w:proofErr w:type="spellStart"/>
      <w:r>
        <w:rPr>
          <w:rFonts w:ascii="Arial" w:hAnsi="Arial" w:cs="Arial"/>
          <w:color w:val="000000" w:themeColor="text1"/>
          <w:sz w:val="18"/>
          <w:szCs w:val="18"/>
          <w:lang w:val="en-ID"/>
        </w:rPr>
        <w:t>signaling</w:t>
      </w:r>
      <w:proofErr w:type="spellEnd"/>
      <w:r>
        <w:rPr>
          <w:rFonts w:ascii="Arial" w:hAnsi="Arial" w:cs="Arial"/>
          <w:color w:val="000000" w:themeColor="text1"/>
          <w:sz w:val="18"/>
          <w:szCs w:val="18"/>
          <w:lang w:val="en-ID"/>
        </w:rPr>
        <w:t xml:space="preserve"> pathways. Specifically, the community structure can vary significantly across hydrologic cycles and nutrient conditions, with different taxonomic groups (chlorophytes, diatoms, cyanobacteria) responding differently to environmental shifts (</w:t>
      </w:r>
      <w:proofErr w:type="spellStart"/>
      <w:r>
        <w:rPr>
          <w:rFonts w:ascii="Arial" w:hAnsi="Arial" w:cs="Arial"/>
          <w:color w:val="000000" w:themeColor="text1"/>
          <w:sz w:val="18"/>
          <w:szCs w:val="18"/>
          <w:lang w:val="en-ID"/>
        </w:rPr>
        <w:t>Paerl</w:t>
      </w:r>
      <w:proofErr w:type="spellEnd"/>
      <w:r>
        <w:rPr>
          <w:rFonts w:ascii="Arial" w:hAnsi="Arial" w:cs="Arial"/>
          <w:color w:val="000000" w:themeColor="text1"/>
          <w:sz w:val="18"/>
          <w:szCs w:val="18"/>
          <w:lang w:val="en-ID"/>
        </w:rPr>
        <w:t xml:space="preserve"> et al., 2007; Spilling et al., 2018; Ge et al., 2020). Hsieh C.H. et al. (2010) further confirm that phytoplankton communities can reorganize dramatically in response to changes in trophic status and water column properties. These findings collectively highlight phytoplankton’s vital role as quick, comprehensive indicators of ecosystem stress and potential ecological imbalance. Understanding shifts in phytoplankton communities can therefore provide early warnings of environmental imbalance and help guide mitigation efforts.</w:t>
      </w:r>
    </w:p>
    <w:p w14:paraId="060A7D3A" w14:textId="77777777" w:rsidR="002254B4" w:rsidRPr="00F1570C" w:rsidRDefault="002254B4" w:rsidP="002254B4">
      <w:pPr>
        <w:spacing w:after="0" w:line="240" w:lineRule="auto"/>
        <w:jc w:val="both"/>
        <w:rPr>
          <w:rFonts w:ascii="Arial" w:hAnsi="Arial" w:cs="Arial"/>
          <w:color w:val="000000" w:themeColor="text1"/>
          <w:sz w:val="18"/>
          <w:szCs w:val="18"/>
          <w:lang w:val="en-ID"/>
        </w:rPr>
      </w:pPr>
    </w:p>
    <w:p w14:paraId="5B72D676" w14:textId="337D2D26" w:rsidR="002254B4" w:rsidRPr="00F1570C" w:rsidRDefault="00CC2E12" w:rsidP="002254B4">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Among phytoplankton groups, diatoms show exceptional sensitivity to nutrient availability and stoichiometric ratios, especially nitrogen (N), phosphorus (P), and silicate (Si) (Ge et al., 2020). Their growth and dominance are closely tied to dissolved inorganic nitrogen (DIN) and silicate levels, making them dependable indicators of nutrient-driven changes in estuarine and coastal ecosystems. The relative abundance of diatoms compared to other phytoplankton, such as cyanobacteria or dinoflagellates, reflects both nutrient conditions and the degree of eutrophication (Andersen et al., 2019). In nutrient-limited systems, conditions that restrict nitrogen or phosphorus can alter dominance patterns, impacting productivity and promoting harmful algal blooms (HABs) that damage ecosystem health and water quality (</w:t>
      </w:r>
      <w:proofErr w:type="spellStart"/>
      <w:r>
        <w:rPr>
          <w:rFonts w:ascii="Arial" w:hAnsi="Arial" w:cs="Arial"/>
          <w:color w:val="000000" w:themeColor="text1"/>
          <w:sz w:val="18"/>
          <w:szCs w:val="18"/>
          <w:lang w:val="en-ID"/>
        </w:rPr>
        <w:t>Wentzky</w:t>
      </w:r>
      <w:proofErr w:type="spellEnd"/>
      <w:r>
        <w:rPr>
          <w:rFonts w:ascii="Arial" w:hAnsi="Arial" w:cs="Arial"/>
          <w:color w:val="000000" w:themeColor="text1"/>
          <w:sz w:val="18"/>
          <w:szCs w:val="18"/>
          <w:lang w:val="en-ID"/>
        </w:rPr>
        <w:t xml:space="preserve"> et al., 2018; </w:t>
      </w:r>
      <w:proofErr w:type="spellStart"/>
      <w:r>
        <w:rPr>
          <w:rFonts w:ascii="Arial" w:hAnsi="Arial" w:cs="Arial"/>
          <w:color w:val="000000" w:themeColor="text1"/>
          <w:sz w:val="18"/>
          <w:szCs w:val="18"/>
          <w:lang w:val="en-ID"/>
        </w:rPr>
        <w:t>Karpowicz</w:t>
      </w:r>
      <w:proofErr w:type="spellEnd"/>
      <w:r>
        <w:rPr>
          <w:rFonts w:ascii="Arial" w:hAnsi="Arial" w:cs="Arial"/>
          <w:color w:val="000000" w:themeColor="text1"/>
          <w:sz w:val="18"/>
          <w:szCs w:val="18"/>
          <w:lang w:val="en-ID"/>
        </w:rPr>
        <w:t xml:space="preserve"> et al., 2020).</w:t>
      </w:r>
    </w:p>
    <w:p w14:paraId="5F9A5624" w14:textId="77777777" w:rsidR="002254B4" w:rsidRPr="00F1570C" w:rsidRDefault="002254B4" w:rsidP="002254B4">
      <w:pPr>
        <w:spacing w:after="0" w:line="240" w:lineRule="auto"/>
        <w:jc w:val="both"/>
        <w:rPr>
          <w:rFonts w:ascii="Arial" w:hAnsi="Arial" w:cs="Arial"/>
          <w:color w:val="000000" w:themeColor="text1"/>
          <w:sz w:val="18"/>
          <w:szCs w:val="18"/>
          <w:lang w:val="en-ID"/>
        </w:rPr>
      </w:pPr>
    </w:p>
    <w:p w14:paraId="3EE784C9" w14:textId="030A5668" w:rsidR="002254B4" w:rsidRPr="00F1570C" w:rsidRDefault="00CC2E12" w:rsidP="002254B4">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In Jakarta Bay, the N:P ratio and spatial nutrient gradients are key factors affecting phytoplankton community composition (</w:t>
      </w:r>
      <w:proofErr w:type="spellStart"/>
      <w:r>
        <w:rPr>
          <w:rFonts w:ascii="Arial" w:hAnsi="Arial" w:cs="Arial"/>
          <w:color w:val="000000" w:themeColor="text1"/>
          <w:sz w:val="18"/>
          <w:szCs w:val="18"/>
          <w:lang w:val="en-ID"/>
        </w:rPr>
        <w:t>Sidabutar</w:t>
      </w:r>
      <w:proofErr w:type="spellEnd"/>
      <w:r>
        <w:rPr>
          <w:rFonts w:ascii="Arial" w:hAnsi="Arial" w:cs="Arial"/>
          <w:color w:val="000000" w:themeColor="text1"/>
          <w:sz w:val="18"/>
          <w:szCs w:val="18"/>
          <w:lang w:val="en-ID"/>
        </w:rPr>
        <w:t xml:space="preserve"> &amp; </w:t>
      </w:r>
      <w:proofErr w:type="spellStart"/>
      <w:r>
        <w:rPr>
          <w:rFonts w:ascii="Arial" w:hAnsi="Arial" w:cs="Arial"/>
          <w:color w:val="000000" w:themeColor="text1"/>
          <w:sz w:val="18"/>
          <w:szCs w:val="18"/>
          <w:lang w:val="en-ID"/>
        </w:rPr>
        <w:t>Srimariana</w:t>
      </w:r>
      <w:proofErr w:type="spellEnd"/>
      <w:r>
        <w:rPr>
          <w:rFonts w:ascii="Arial" w:hAnsi="Arial" w:cs="Arial"/>
          <w:color w:val="000000" w:themeColor="text1"/>
          <w:sz w:val="18"/>
          <w:szCs w:val="18"/>
          <w:lang w:val="en-ID"/>
        </w:rPr>
        <w:t xml:space="preserve">, 2020; </w:t>
      </w:r>
      <w:proofErr w:type="spellStart"/>
      <w:r>
        <w:rPr>
          <w:rFonts w:ascii="Arial" w:hAnsi="Arial" w:cs="Arial"/>
          <w:color w:val="000000" w:themeColor="text1"/>
          <w:sz w:val="18"/>
          <w:szCs w:val="18"/>
          <w:lang w:val="en-ID"/>
        </w:rPr>
        <w:t>Krisna</w:t>
      </w:r>
      <w:proofErr w:type="spellEnd"/>
      <w:r>
        <w:rPr>
          <w:rFonts w:ascii="Arial" w:hAnsi="Arial" w:cs="Arial"/>
          <w:color w:val="000000" w:themeColor="text1"/>
          <w:sz w:val="18"/>
          <w:szCs w:val="18"/>
          <w:lang w:val="en-ID"/>
        </w:rPr>
        <w:t xml:space="preserve"> et al., 2025). Higher nutrient levels and very high N/P ratios promote the growth of </w:t>
      </w:r>
      <w:proofErr w:type="spellStart"/>
      <w:r>
        <w:rPr>
          <w:rFonts w:ascii="Arial" w:hAnsi="Arial" w:cs="Arial"/>
          <w:color w:val="000000" w:themeColor="text1"/>
          <w:sz w:val="18"/>
          <w:szCs w:val="18"/>
          <w:lang w:val="en-ID"/>
        </w:rPr>
        <w:t>bloom</w:t>
      </w:r>
      <w:proofErr w:type="spellEnd"/>
      <w:r>
        <w:rPr>
          <w:rFonts w:ascii="Arial" w:hAnsi="Arial" w:cs="Arial"/>
          <w:color w:val="000000" w:themeColor="text1"/>
          <w:sz w:val="18"/>
          <w:szCs w:val="18"/>
          <w:lang w:val="en-ID"/>
        </w:rPr>
        <w:t xml:space="preserve">-forming diatoms like </w:t>
      </w:r>
      <w:proofErr w:type="spellStart"/>
      <w:r>
        <w:rPr>
          <w:rFonts w:ascii="Arial" w:hAnsi="Arial" w:cs="Arial"/>
          <w:color w:val="000000" w:themeColor="text1"/>
          <w:sz w:val="18"/>
          <w:szCs w:val="18"/>
          <w:lang w:val="en-ID"/>
        </w:rPr>
        <w:t>Skeletonema</w:t>
      </w:r>
      <w:proofErr w:type="spellEnd"/>
      <w:r>
        <w:rPr>
          <w:rFonts w:ascii="Arial" w:hAnsi="Arial" w:cs="Arial"/>
          <w:color w:val="000000" w:themeColor="text1"/>
          <w:sz w:val="18"/>
          <w:szCs w:val="18"/>
          <w:lang w:val="en-ID"/>
        </w:rPr>
        <w:t xml:space="preserve">, </w:t>
      </w:r>
      <w:proofErr w:type="spellStart"/>
      <w:r>
        <w:rPr>
          <w:rFonts w:ascii="Arial" w:hAnsi="Arial" w:cs="Arial"/>
          <w:color w:val="000000" w:themeColor="text1"/>
          <w:sz w:val="18"/>
          <w:szCs w:val="18"/>
          <w:lang w:val="en-ID"/>
        </w:rPr>
        <w:t>Chaetoceros</w:t>
      </w:r>
      <w:proofErr w:type="spellEnd"/>
      <w:r>
        <w:rPr>
          <w:rFonts w:ascii="Arial" w:hAnsi="Arial" w:cs="Arial"/>
          <w:color w:val="000000" w:themeColor="text1"/>
          <w:sz w:val="18"/>
          <w:szCs w:val="18"/>
          <w:lang w:val="en-ID"/>
        </w:rPr>
        <w:t xml:space="preserve">, and </w:t>
      </w:r>
      <w:proofErr w:type="spellStart"/>
      <w:r>
        <w:rPr>
          <w:rFonts w:ascii="Arial" w:hAnsi="Arial" w:cs="Arial"/>
          <w:color w:val="000000" w:themeColor="text1"/>
          <w:sz w:val="18"/>
          <w:szCs w:val="18"/>
          <w:lang w:val="en-ID"/>
        </w:rPr>
        <w:t>Thalassiosira</w:t>
      </w:r>
      <w:proofErr w:type="spellEnd"/>
      <w:r>
        <w:rPr>
          <w:rFonts w:ascii="Arial" w:hAnsi="Arial" w:cs="Arial"/>
          <w:color w:val="000000" w:themeColor="text1"/>
          <w:sz w:val="18"/>
          <w:szCs w:val="18"/>
          <w:lang w:val="en-ID"/>
        </w:rPr>
        <w:t>, as well as toxin-producing dinoflagellates (</w:t>
      </w:r>
      <w:proofErr w:type="spellStart"/>
      <w:r>
        <w:rPr>
          <w:rFonts w:ascii="Arial" w:hAnsi="Arial" w:cs="Arial"/>
          <w:color w:val="000000" w:themeColor="text1"/>
          <w:sz w:val="18"/>
          <w:szCs w:val="18"/>
          <w:lang w:val="en-ID"/>
        </w:rPr>
        <w:t>Dwiyitno</w:t>
      </w:r>
      <w:proofErr w:type="spellEnd"/>
      <w:r>
        <w:rPr>
          <w:rFonts w:ascii="Arial" w:hAnsi="Arial" w:cs="Arial"/>
          <w:color w:val="000000" w:themeColor="text1"/>
          <w:sz w:val="18"/>
          <w:szCs w:val="18"/>
          <w:lang w:val="en-ID"/>
        </w:rPr>
        <w:t xml:space="preserve"> et al., 2022; </w:t>
      </w:r>
      <w:proofErr w:type="spellStart"/>
      <w:r>
        <w:rPr>
          <w:rFonts w:ascii="Arial" w:hAnsi="Arial" w:cs="Arial"/>
          <w:color w:val="000000" w:themeColor="text1"/>
          <w:sz w:val="18"/>
          <w:szCs w:val="18"/>
          <w:lang w:val="en-ID"/>
        </w:rPr>
        <w:t>Sidabutar</w:t>
      </w:r>
      <w:proofErr w:type="spellEnd"/>
      <w:r>
        <w:rPr>
          <w:rFonts w:ascii="Arial" w:hAnsi="Arial" w:cs="Arial"/>
          <w:color w:val="000000" w:themeColor="text1"/>
          <w:sz w:val="18"/>
          <w:szCs w:val="18"/>
          <w:lang w:val="en-ID"/>
        </w:rPr>
        <w:t xml:space="preserve"> et al., 2021). When excess phytoplankton biomass breaks down through microbial processes, it reduces dissolved oxygen</w:t>
      </w:r>
      <w:r w:rsidR="00330943">
        <w:rPr>
          <w:rFonts w:ascii="Arial" w:hAnsi="Arial" w:cs="Arial"/>
          <w:color w:val="000000" w:themeColor="text1"/>
          <w:sz w:val="18"/>
          <w:szCs w:val="18"/>
          <w:lang w:val="en-ID"/>
        </w:rPr>
        <w:t xml:space="preserve"> levels, creating</w:t>
      </w:r>
      <w:r>
        <w:rPr>
          <w:rFonts w:ascii="Arial" w:hAnsi="Arial" w:cs="Arial"/>
          <w:color w:val="000000" w:themeColor="text1"/>
          <w:sz w:val="18"/>
          <w:szCs w:val="18"/>
          <w:lang w:val="en-ID"/>
        </w:rPr>
        <w:t xml:space="preserve"> hypoxic conditions that threaten fish and benthic organisms (</w:t>
      </w:r>
      <w:proofErr w:type="spellStart"/>
      <w:r>
        <w:rPr>
          <w:rFonts w:ascii="Arial" w:hAnsi="Arial" w:cs="Arial"/>
          <w:color w:val="000000" w:themeColor="text1"/>
          <w:sz w:val="18"/>
          <w:szCs w:val="18"/>
          <w:lang w:val="en-ID"/>
        </w:rPr>
        <w:t>Genitsaris</w:t>
      </w:r>
      <w:proofErr w:type="spellEnd"/>
      <w:r>
        <w:rPr>
          <w:rFonts w:ascii="Arial" w:hAnsi="Arial" w:cs="Arial"/>
          <w:color w:val="000000" w:themeColor="text1"/>
          <w:sz w:val="18"/>
          <w:szCs w:val="18"/>
          <w:lang w:val="en-ID"/>
        </w:rPr>
        <w:t xml:space="preserve"> et al., 2019; </w:t>
      </w:r>
      <w:proofErr w:type="spellStart"/>
      <w:r>
        <w:rPr>
          <w:rFonts w:ascii="Arial" w:hAnsi="Arial" w:cs="Arial"/>
          <w:color w:val="000000" w:themeColor="text1"/>
          <w:sz w:val="18"/>
          <w:szCs w:val="18"/>
          <w:lang w:val="en-ID"/>
        </w:rPr>
        <w:t>Puspasari</w:t>
      </w:r>
      <w:proofErr w:type="spellEnd"/>
      <w:r>
        <w:rPr>
          <w:rFonts w:ascii="Arial" w:hAnsi="Arial" w:cs="Arial"/>
          <w:color w:val="000000" w:themeColor="text1"/>
          <w:sz w:val="18"/>
          <w:szCs w:val="18"/>
          <w:lang w:val="en-ID"/>
        </w:rPr>
        <w:t xml:space="preserve"> et al., 2018). Moreover, HAB events are linked to toxin </w:t>
      </w:r>
      <w:r w:rsidR="00330943">
        <w:rPr>
          <w:rFonts w:ascii="Arial" w:hAnsi="Arial" w:cs="Arial"/>
          <w:color w:val="000000" w:themeColor="text1"/>
          <w:sz w:val="18"/>
          <w:szCs w:val="18"/>
          <w:lang w:val="en-ID"/>
        </w:rPr>
        <w:t>accumulation in commercially important species such as</w:t>
      </w:r>
      <w:r>
        <w:rPr>
          <w:rFonts w:ascii="Arial" w:hAnsi="Arial" w:cs="Arial"/>
          <w:color w:val="000000" w:themeColor="text1"/>
          <w:sz w:val="18"/>
          <w:szCs w:val="18"/>
          <w:lang w:val="en-ID"/>
        </w:rPr>
        <w:t xml:space="preserve"> the green mussel (</w:t>
      </w:r>
      <w:proofErr w:type="spellStart"/>
      <w:r>
        <w:rPr>
          <w:rFonts w:ascii="Arial" w:hAnsi="Arial" w:cs="Arial"/>
          <w:color w:val="000000" w:themeColor="text1"/>
          <w:sz w:val="18"/>
          <w:szCs w:val="18"/>
          <w:lang w:val="en-ID"/>
        </w:rPr>
        <w:t>Perna</w:t>
      </w:r>
      <w:proofErr w:type="spellEnd"/>
      <w:r>
        <w:rPr>
          <w:rFonts w:ascii="Arial" w:hAnsi="Arial" w:cs="Arial"/>
          <w:color w:val="000000" w:themeColor="text1"/>
          <w:sz w:val="18"/>
          <w:szCs w:val="18"/>
          <w:lang w:val="en-ID"/>
        </w:rPr>
        <w:t xml:space="preserve"> </w:t>
      </w:r>
      <w:proofErr w:type="spellStart"/>
      <w:r>
        <w:rPr>
          <w:rFonts w:ascii="Arial" w:hAnsi="Arial" w:cs="Arial"/>
          <w:color w:val="000000" w:themeColor="text1"/>
          <w:sz w:val="18"/>
          <w:szCs w:val="18"/>
          <w:lang w:val="en-ID"/>
        </w:rPr>
        <w:t>viridis</w:t>
      </w:r>
      <w:proofErr w:type="spellEnd"/>
      <w:r>
        <w:rPr>
          <w:rFonts w:ascii="Arial" w:hAnsi="Arial" w:cs="Arial"/>
          <w:color w:val="000000" w:themeColor="text1"/>
          <w:sz w:val="18"/>
          <w:szCs w:val="18"/>
          <w:lang w:val="en-ID"/>
        </w:rPr>
        <w:t>), posing risks to human health and food security (</w:t>
      </w:r>
      <w:proofErr w:type="spellStart"/>
      <w:r>
        <w:rPr>
          <w:rFonts w:ascii="Arial" w:hAnsi="Arial" w:cs="Arial"/>
          <w:color w:val="000000" w:themeColor="text1"/>
          <w:sz w:val="18"/>
          <w:szCs w:val="18"/>
          <w:lang w:val="en-ID"/>
        </w:rPr>
        <w:t>Dwiyitno</w:t>
      </w:r>
      <w:proofErr w:type="spellEnd"/>
      <w:r>
        <w:rPr>
          <w:rFonts w:ascii="Arial" w:hAnsi="Arial" w:cs="Arial"/>
          <w:color w:val="000000" w:themeColor="text1"/>
          <w:sz w:val="18"/>
          <w:szCs w:val="18"/>
          <w:lang w:val="en-ID"/>
        </w:rPr>
        <w:t xml:space="preserve"> et al., 2022).</w:t>
      </w:r>
    </w:p>
    <w:p w14:paraId="52DDE777" w14:textId="77777777" w:rsidR="002254B4" w:rsidRPr="000816D8" w:rsidRDefault="002254B4" w:rsidP="002254B4">
      <w:pPr>
        <w:spacing w:after="0" w:line="240" w:lineRule="auto"/>
        <w:jc w:val="both"/>
        <w:rPr>
          <w:rFonts w:ascii="Arial" w:hAnsi="Arial" w:cs="Arial"/>
          <w:color w:val="000000" w:themeColor="text1"/>
          <w:sz w:val="18"/>
          <w:szCs w:val="18"/>
          <w:lang w:val="en-ID"/>
        </w:rPr>
      </w:pPr>
    </w:p>
    <w:p w14:paraId="26058EE8" w14:textId="7A10DACD" w:rsidR="002254B4" w:rsidRPr="00F1570C" w:rsidRDefault="00CC2E12" w:rsidP="002254B4">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Despite numerous investigations into nutrient loading and primary productivity in Jakarta Bay, the ecological significance of phytoplankton community structure, </w:t>
      </w:r>
      <w:r w:rsidR="00330943">
        <w:rPr>
          <w:rFonts w:ascii="Arial" w:hAnsi="Arial" w:cs="Arial"/>
          <w:color w:val="000000" w:themeColor="text1"/>
          <w:sz w:val="18"/>
          <w:szCs w:val="18"/>
          <w:lang w:val="en-ID"/>
        </w:rPr>
        <w:lastRenderedPageBreak/>
        <w:t>particularly diatom dominance, remains poorly understood, particularly with respect to</w:t>
      </w:r>
      <w:r>
        <w:rPr>
          <w:rFonts w:ascii="Arial" w:hAnsi="Arial" w:cs="Arial"/>
          <w:color w:val="000000" w:themeColor="text1"/>
          <w:sz w:val="18"/>
          <w:szCs w:val="18"/>
          <w:lang w:val="en-ID"/>
        </w:rPr>
        <w:t xml:space="preserve"> nutrient stoichiometry and the intensity of eutrophication. Long-term observations elsewhere show that diatom-dominated communities generally occur under moderate eutrophic conditions, while shifts toward dinoflagellates or cyanobacteria indicate advanced or chronic nutrient stress (Li et al., 2021; Zhang et al., 2021). Determining Jakarta Bay’s position along this trophic spectrum is essential for effective coastal management and for developing nutrient-reduction strategies before irreversible damage occurs (</w:t>
      </w:r>
      <w:proofErr w:type="spellStart"/>
      <w:r>
        <w:rPr>
          <w:rFonts w:ascii="Arial" w:hAnsi="Arial" w:cs="Arial"/>
          <w:color w:val="000000" w:themeColor="text1"/>
          <w:sz w:val="18"/>
          <w:szCs w:val="18"/>
          <w:lang w:val="en-ID"/>
        </w:rPr>
        <w:t>Marzetz</w:t>
      </w:r>
      <w:proofErr w:type="spellEnd"/>
      <w:r>
        <w:rPr>
          <w:rFonts w:ascii="Arial" w:hAnsi="Arial" w:cs="Arial"/>
          <w:color w:val="000000" w:themeColor="text1"/>
          <w:sz w:val="18"/>
          <w:szCs w:val="18"/>
          <w:lang w:val="en-ID"/>
        </w:rPr>
        <w:t xml:space="preserve"> et al., 2020; </w:t>
      </w:r>
      <w:proofErr w:type="spellStart"/>
      <w:r>
        <w:rPr>
          <w:rFonts w:ascii="Arial" w:hAnsi="Arial" w:cs="Arial"/>
          <w:color w:val="000000" w:themeColor="text1"/>
          <w:sz w:val="18"/>
          <w:szCs w:val="18"/>
          <w:lang w:val="en-ID"/>
        </w:rPr>
        <w:t>Wijayanti</w:t>
      </w:r>
      <w:proofErr w:type="spellEnd"/>
      <w:r>
        <w:rPr>
          <w:rFonts w:ascii="Arial" w:hAnsi="Arial" w:cs="Arial"/>
          <w:color w:val="000000" w:themeColor="text1"/>
          <w:sz w:val="18"/>
          <w:szCs w:val="18"/>
          <w:lang w:val="en-ID"/>
        </w:rPr>
        <w:t xml:space="preserve"> et al., 2025).</w:t>
      </w:r>
    </w:p>
    <w:p w14:paraId="3E48297B" w14:textId="77777777" w:rsidR="002254B4" w:rsidRPr="00F1570C" w:rsidRDefault="002254B4" w:rsidP="002254B4">
      <w:pPr>
        <w:spacing w:after="0" w:line="240" w:lineRule="auto"/>
        <w:jc w:val="both"/>
        <w:rPr>
          <w:rFonts w:ascii="Arial" w:hAnsi="Arial" w:cs="Arial"/>
          <w:color w:val="000000" w:themeColor="text1"/>
          <w:sz w:val="18"/>
          <w:szCs w:val="18"/>
          <w:lang w:val="en-ID"/>
        </w:rPr>
      </w:pPr>
    </w:p>
    <w:p w14:paraId="5E129FBD" w14:textId="797EE08E" w:rsidR="002254B4" w:rsidRPr="00F1570C" w:rsidRDefault="00CC2E12" w:rsidP="002254B4">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Therefore, this study investigates the relationship between phytoplankton community composition, especially diatom dominance, and environmental factors in Jakarta Bay. We hypothesize that prolonged nutrient enrichment and altered hydrodynamics have simplified community structures, resulting in diatom-dominated but ecologically unstable assemblages. The findings are expected to clarify the role of diatoms as indicators of eutrophication severity and to support comprehensive monitoring strategies to enhance ecological resilience in Jakarta Bay’s coastal ecosystem.</w:t>
      </w:r>
    </w:p>
    <w:p w14:paraId="6811FF08" w14:textId="77777777" w:rsidR="002C7864" w:rsidRPr="00F1570C" w:rsidRDefault="002C7864" w:rsidP="00754C2A">
      <w:pPr>
        <w:spacing w:after="0" w:line="240" w:lineRule="auto"/>
        <w:jc w:val="both"/>
        <w:rPr>
          <w:rFonts w:ascii="Arial" w:hAnsi="Arial" w:cs="Arial"/>
          <w:color w:val="000000" w:themeColor="text1"/>
          <w:sz w:val="18"/>
          <w:szCs w:val="18"/>
          <w:lang w:val="en-ID"/>
        </w:rPr>
      </w:pPr>
    </w:p>
    <w:p w14:paraId="7DA5A4A5" w14:textId="77777777" w:rsidR="00B5049F" w:rsidRPr="00F1570C" w:rsidRDefault="00B5049F" w:rsidP="00B5049F">
      <w:pPr>
        <w:spacing w:after="0" w:line="240" w:lineRule="auto"/>
        <w:jc w:val="both"/>
        <w:rPr>
          <w:rFonts w:ascii="Arial" w:hAnsi="Arial" w:cs="Arial"/>
          <w:b/>
          <w:color w:val="000000" w:themeColor="text1"/>
          <w:sz w:val="18"/>
          <w:szCs w:val="18"/>
        </w:rPr>
      </w:pPr>
      <w:r w:rsidRPr="00F1570C">
        <w:rPr>
          <w:rFonts w:ascii="Arial" w:hAnsi="Arial" w:cs="Arial"/>
          <w:b/>
          <w:color w:val="000000" w:themeColor="text1"/>
          <w:sz w:val="18"/>
          <w:szCs w:val="18"/>
        </w:rPr>
        <w:t xml:space="preserve">2. </w:t>
      </w:r>
      <w:r w:rsidRPr="00F1570C">
        <w:rPr>
          <w:rFonts w:ascii="Arial" w:hAnsi="Arial" w:cs="Arial"/>
          <w:b/>
          <w:bCs/>
          <w:color w:val="000000" w:themeColor="text1"/>
          <w:sz w:val="18"/>
          <w:szCs w:val="18"/>
        </w:rPr>
        <w:t>MATERIALS AND METHODS</w:t>
      </w:r>
    </w:p>
    <w:p w14:paraId="50D4146A" w14:textId="77777777" w:rsidR="00EC43AC" w:rsidRPr="00F1570C" w:rsidRDefault="00EC43AC" w:rsidP="00EC43AC">
      <w:pPr>
        <w:spacing w:after="0" w:line="240" w:lineRule="auto"/>
        <w:jc w:val="both"/>
        <w:rPr>
          <w:rFonts w:ascii="Arial" w:hAnsi="Arial" w:cs="Arial"/>
          <w:b/>
          <w:bCs/>
          <w:color w:val="000000" w:themeColor="text1"/>
          <w:sz w:val="18"/>
          <w:szCs w:val="18"/>
          <w:lang w:val="en-ID"/>
        </w:rPr>
      </w:pPr>
      <w:bookmarkStart w:id="2" w:name="_Hlk207825393"/>
    </w:p>
    <w:p w14:paraId="73201493" w14:textId="77777777" w:rsidR="00EC43AC" w:rsidRPr="00F1570C" w:rsidRDefault="00EC43AC" w:rsidP="00EC43AC">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2.1. Study Area and Sampling Period</w:t>
      </w:r>
    </w:p>
    <w:p w14:paraId="30C24516" w14:textId="77777777" w:rsidR="00EC43AC" w:rsidRPr="00F1570C" w:rsidRDefault="00EC43AC" w:rsidP="00EC43AC">
      <w:pPr>
        <w:spacing w:after="0" w:line="240" w:lineRule="auto"/>
        <w:jc w:val="both"/>
        <w:rPr>
          <w:rFonts w:ascii="Arial" w:hAnsi="Arial" w:cs="Arial"/>
          <w:color w:val="000000" w:themeColor="text1"/>
          <w:sz w:val="18"/>
          <w:szCs w:val="18"/>
          <w:lang w:val="en-ID"/>
        </w:rPr>
      </w:pPr>
    </w:p>
    <w:p w14:paraId="27E1363C" w14:textId="3680A766" w:rsidR="00EC43AC" w:rsidRPr="00F1570C" w:rsidRDefault="00CC2E12" w:rsidP="00EC43AC">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Jakarta Bay (5°58′–6°07′ S; 106°33′–106°50′ E) is a shallow, semi-enclosed tropical bay on the northern coast of Java, Indonesia. It covers approximately 514 km² with an average depth of 15 meters. The bay is heavily influenced by runoff from thirteen major rivers, including the </w:t>
      </w:r>
      <w:proofErr w:type="spellStart"/>
      <w:r>
        <w:rPr>
          <w:rFonts w:ascii="Arial" w:hAnsi="Arial" w:cs="Arial"/>
          <w:color w:val="000000" w:themeColor="text1"/>
          <w:sz w:val="18"/>
          <w:szCs w:val="18"/>
          <w:lang w:val="en-ID"/>
        </w:rPr>
        <w:t>Ciliwung</w:t>
      </w:r>
      <w:proofErr w:type="spellEnd"/>
      <w:r>
        <w:rPr>
          <w:rFonts w:ascii="Arial" w:hAnsi="Arial" w:cs="Arial"/>
          <w:color w:val="000000" w:themeColor="text1"/>
          <w:sz w:val="18"/>
          <w:szCs w:val="18"/>
          <w:lang w:val="en-ID"/>
        </w:rPr>
        <w:t xml:space="preserve">, </w:t>
      </w:r>
      <w:proofErr w:type="spellStart"/>
      <w:r>
        <w:rPr>
          <w:rFonts w:ascii="Arial" w:hAnsi="Arial" w:cs="Arial"/>
          <w:color w:val="000000" w:themeColor="text1"/>
          <w:sz w:val="18"/>
          <w:szCs w:val="18"/>
          <w:lang w:val="en-ID"/>
        </w:rPr>
        <w:t>Angke</w:t>
      </w:r>
      <w:proofErr w:type="spellEnd"/>
      <w:r>
        <w:rPr>
          <w:rFonts w:ascii="Arial" w:hAnsi="Arial" w:cs="Arial"/>
          <w:color w:val="000000" w:themeColor="text1"/>
          <w:sz w:val="18"/>
          <w:szCs w:val="18"/>
          <w:lang w:val="en-ID"/>
        </w:rPr>
        <w:t>, and Bekasi, which carry nutrient-rich effluents, sediments, and pollutants from the Jakarta metropolitan area. Its hydrodynamics are affected by a monsoonal climate, characterized by the northwest (wet) monsoon from December to March and the southeast (dry) monsoon from June to September. Seasonal changes in rainfall and wind direction influence salinity and nutrient levels, which in turn regulate phytoplankton distribution and productivity (</w:t>
      </w:r>
      <w:proofErr w:type="spellStart"/>
      <w:r>
        <w:rPr>
          <w:rFonts w:ascii="Arial" w:hAnsi="Arial" w:cs="Arial"/>
          <w:color w:val="000000" w:themeColor="text1"/>
          <w:sz w:val="18"/>
          <w:szCs w:val="18"/>
          <w:lang w:val="en-ID"/>
        </w:rPr>
        <w:t>Damar</w:t>
      </w:r>
      <w:proofErr w:type="spellEnd"/>
      <w:r>
        <w:rPr>
          <w:rFonts w:ascii="Arial" w:hAnsi="Arial" w:cs="Arial"/>
          <w:color w:val="000000" w:themeColor="text1"/>
          <w:sz w:val="18"/>
          <w:szCs w:val="18"/>
          <w:lang w:val="en-ID"/>
        </w:rPr>
        <w:t xml:space="preserve"> et al., 2020; </w:t>
      </w:r>
      <w:proofErr w:type="spellStart"/>
      <w:r>
        <w:rPr>
          <w:rFonts w:ascii="Arial" w:hAnsi="Arial" w:cs="Arial"/>
          <w:color w:val="000000" w:themeColor="text1"/>
          <w:sz w:val="18"/>
          <w:szCs w:val="18"/>
          <w:lang w:val="en-ID"/>
        </w:rPr>
        <w:t>Wijayanti</w:t>
      </w:r>
      <w:proofErr w:type="spellEnd"/>
      <w:r>
        <w:rPr>
          <w:rFonts w:ascii="Arial" w:hAnsi="Arial" w:cs="Arial"/>
          <w:color w:val="000000" w:themeColor="text1"/>
          <w:sz w:val="18"/>
          <w:szCs w:val="18"/>
          <w:lang w:val="en-ID"/>
        </w:rPr>
        <w:t xml:space="preserve"> et al., 2025).</w:t>
      </w:r>
    </w:p>
    <w:p w14:paraId="05EA5C17" w14:textId="77777777" w:rsidR="00EC43AC" w:rsidRPr="00F1570C" w:rsidRDefault="00EC43AC" w:rsidP="00EC43AC">
      <w:pPr>
        <w:spacing w:after="0" w:line="240" w:lineRule="auto"/>
        <w:jc w:val="both"/>
        <w:rPr>
          <w:rFonts w:ascii="Arial" w:hAnsi="Arial" w:cs="Arial"/>
          <w:color w:val="000000" w:themeColor="text1"/>
          <w:sz w:val="18"/>
          <w:szCs w:val="18"/>
          <w:lang w:val="en-ID"/>
        </w:rPr>
      </w:pPr>
    </w:p>
    <w:p w14:paraId="356FDA30" w14:textId="45C180B1" w:rsidR="00E33344" w:rsidRPr="00F1570C" w:rsidRDefault="00CC2E12" w:rsidP="00EC43AC">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Sampling campaigns </w:t>
      </w:r>
      <w:r w:rsidR="00330943">
        <w:rPr>
          <w:rFonts w:ascii="Arial" w:hAnsi="Arial" w:cs="Arial"/>
          <w:color w:val="000000" w:themeColor="text1"/>
          <w:sz w:val="18"/>
          <w:szCs w:val="18"/>
          <w:lang w:val="en-ID"/>
        </w:rPr>
        <w:t>were conducted during the east monsoon seasons of 2008, 2009, 2010, 2011, 2013, 2015, and 2019, periods when algal blooms typically occur following</w:t>
      </w:r>
      <w:r>
        <w:rPr>
          <w:rFonts w:ascii="Arial" w:hAnsi="Arial" w:cs="Arial"/>
          <w:color w:val="000000" w:themeColor="text1"/>
          <w:sz w:val="18"/>
          <w:szCs w:val="18"/>
          <w:lang w:val="en-ID"/>
        </w:rPr>
        <w:t xml:space="preserve"> high nutrient inputs and increased sunlight. Ten stations were chosen along a transect from the inner (river-influenced) to the outer (marine-influenced) bay, representing different levels of human impact. The study area was split into inner, middle, and outer zones based on hydrological and nutrient criteria, following </w:t>
      </w:r>
      <w:proofErr w:type="spellStart"/>
      <w:r>
        <w:rPr>
          <w:rFonts w:ascii="Arial" w:hAnsi="Arial" w:cs="Arial"/>
          <w:color w:val="000000" w:themeColor="text1"/>
          <w:sz w:val="18"/>
          <w:szCs w:val="18"/>
          <w:lang w:val="en-ID"/>
        </w:rPr>
        <w:t>Damar</w:t>
      </w:r>
      <w:proofErr w:type="spellEnd"/>
      <w:r>
        <w:rPr>
          <w:rFonts w:ascii="Arial" w:hAnsi="Arial" w:cs="Arial"/>
          <w:color w:val="000000" w:themeColor="text1"/>
          <w:sz w:val="18"/>
          <w:szCs w:val="18"/>
          <w:lang w:val="en-ID"/>
        </w:rPr>
        <w:t xml:space="preserve"> et al. (2020).</w:t>
      </w:r>
    </w:p>
    <w:p w14:paraId="192D4552" w14:textId="77777777" w:rsidR="00E33344" w:rsidRPr="00F1570C" w:rsidRDefault="00E33344" w:rsidP="00EC43AC">
      <w:pPr>
        <w:spacing w:after="0" w:line="240" w:lineRule="auto"/>
        <w:jc w:val="both"/>
        <w:rPr>
          <w:rFonts w:ascii="Arial" w:hAnsi="Arial" w:cs="Arial"/>
          <w:color w:val="000000" w:themeColor="text1"/>
          <w:sz w:val="18"/>
          <w:szCs w:val="18"/>
          <w:lang w:val="en-ID"/>
        </w:rPr>
      </w:pPr>
    </w:p>
    <w:p w14:paraId="3F20DC60" w14:textId="77777777" w:rsidR="00FD18A2" w:rsidRDefault="00FD18A2" w:rsidP="00EC43AC">
      <w:pPr>
        <w:spacing w:after="0" w:line="240" w:lineRule="auto"/>
        <w:jc w:val="both"/>
        <w:rPr>
          <w:rFonts w:ascii="Arial" w:hAnsi="Arial" w:cs="Arial"/>
          <w:b/>
          <w:bCs/>
          <w:color w:val="000000" w:themeColor="text1"/>
          <w:sz w:val="18"/>
          <w:szCs w:val="18"/>
          <w:lang w:val="en-ID"/>
        </w:rPr>
      </w:pPr>
    </w:p>
    <w:p w14:paraId="43B40CF2" w14:textId="392AEF08" w:rsidR="00EC43AC" w:rsidRPr="004C1C8A" w:rsidRDefault="00EC43AC" w:rsidP="00EC43AC">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2.2. Sampling Design and Environmental Data Collection</w:t>
      </w:r>
    </w:p>
    <w:p w14:paraId="73F49FC2" w14:textId="77777777" w:rsidR="00FD18A2" w:rsidRDefault="00FD18A2" w:rsidP="00EC43AC">
      <w:pPr>
        <w:spacing w:after="0" w:line="240" w:lineRule="auto"/>
        <w:jc w:val="both"/>
        <w:rPr>
          <w:rFonts w:ascii="Arial" w:hAnsi="Arial" w:cs="Arial"/>
          <w:color w:val="000000" w:themeColor="text1"/>
          <w:sz w:val="18"/>
          <w:szCs w:val="18"/>
          <w:lang w:val="en-ID"/>
        </w:rPr>
      </w:pPr>
    </w:p>
    <w:p w14:paraId="6D6171CF" w14:textId="6AB319E0" w:rsidR="00EC43AC" w:rsidRPr="00F1570C" w:rsidRDefault="00EC43AC" w:rsidP="00EC43AC">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Water sampling was conducted during both the wet (February–March) and dry (August–September) monsoon seasons to monitor temporal changes in phytoplankton and environmental conditions. Surface water samples (from 0.5 m </w:t>
      </w:r>
      <w:r w:rsidRPr="00F1570C">
        <w:rPr>
          <w:rFonts w:ascii="Arial" w:hAnsi="Arial" w:cs="Arial"/>
          <w:color w:val="000000" w:themeColor="text1"/>
          <w:sz w:val="18"/>
          <w:szCs w:val="18"/>
          <w:lang w:val="en-ID"/>
        </w:rPr>
        <w:lastRenderedPageBreak/>
        <w:t>de</w:t>
      </w:r>
      <w:r w:rsidR="00CC2E12">
        <w:rPr>
          <w:rFonts w:ascii="Arial" w:hAnsi="Arial" w:cs="Arial"/>
          <w:color w:val="000000" w:themeColor="text1"/>
          <w:sz w:val="18"/>
          <w:szCs w:val="18"/>
          <w:lang w:val="en-ID"/>
        </w:rPr>
        <w:t>ep</w:t>
      </w:r>
      <w:r w:rsidRPr="00F1570C">
        <w:rPr>
          <w:rFonts w:ascii="Arial" w:hAnsi="Arial" w:cs="Arial"/>
          <w:color w:val="000000" w:themeColor="text1"/>
          <w:sz w:val="18"/>
          <w:szCs w:val="18"/>
          <w:lang w:val="en-ID"/>
        </w:rPr>
        <w:t xml:space="preserve">) were collected at each station using a </w:t>
      </w:r>
      <w:proofErr w:type="spellStart"/>
      <w:r w:rsidRPr="00F1570C">
        <w:rPr>
          <w:rFonts w:ascii="Arial" w:hAnsi="Arial" w:cs="Arial"/>
          <w:color w:val="000000" w:themeColor="text1"/>
          <w:sz w:val="18"/>
          <w:szCs w:val="18"/>
          <w:lang w:val="en-ID"/>
        </w:rPr>
        <w:t>Niskin</w:t>
      </w:r>
      <w:proofErr w:type="spellEnd"/>
      <w:r w:rsidRPr="00F1570C">
        <w:rPr>
          <w:rFonts w:ascii="Arial" w:hAnsi="Arial" w:cs="Arial"/>
          <w:color w:val="000000" w:themeColor="text1"/>
          <w:sz w:val="18"/>
          <w:szCs w:val="18"/>
          <w:lang w:val="en-ID"/>
        </w:rPr>
        <w:t xml:space="preserve"> bottle. In situ measurements of temperature, pH, salinity, and dissolved oxygen (DO) were taken with a multiparameter YSI </w:t>
      </w:r>
      <w:proofErr w:type="spellStart"/>
      <w:r w:rsidRPr="00F1570C">
        <w:rPr>
          <w:rFonts w:ascii="Arial" w:hAnsi="Arial" w:cs="Arial"/>
          <w:color w:val="000000" w:themeColor="text1"/>
          <w:sz w:val="18"/>
          <w:szCs w:val="18"/>
          <w:lang w:val="en-ID"/>
        </w:rPr>
        <w:t>ProDSS</w:t>
      </w:r>
      <w:proofErr w:type="spellEnd"/>
      <w:r w:rsidRPr="00F1570C">
        <w:rPr>
          <w:rFonts w:ascii="Arial" w:hAnsi="Arial" w:cs="Arial"/>
          <w:color w:val="000000" w:themeColor="text1"/>
          <w:sz w:val="18"/>
          <w:szCs w:val="18"/>
          <w:lang w:val="en-ID"/>
        </w:rPr>
        <w:t xml:space="preserve"> probe. Water transparency and turbidity were measured using a Secchi disk, and total dissolved solids (TDS) were determined with a conductivity meter (Firdaus et al., 2023; </w:t>
      </w:r>
      <w:proofErr w:type="spellStart"/>
      <w:r w:rsidRPr="00F1570C">
        <w:rPr>
          <w:rFonts w:ascii="Arial" w:hAnsi="Arial" w:cs="Arial"/>
          <w:color w:val="000000" w:themeColor="text1"/>
          <w:sz w:val="18"/>
          <w:szCs w:val="18"/>
          <w:lang w:val="en-ID"/>
        </w:rPr>
        <w:t>Nastiti</w:t>
      </w:r>
      <w:proofErr w:type="spellEnd"/>
      <w:r w:rsidRPr="00F1570C">
        <w:rPr>
          <w:rFonts w:ascii="Arial" w:hAnsi="Arial" w:cs="Arial"/>
          <w:color w:val="000000" w:themeColor="text1"/>
          <w:sz w:val="18"/>
          <w:szCs w:val="18"/>
          <w:lang w:val="en-ID"/>
        </w:rPr>
        <w:t xml:space="preserve"> &amp; </w:t>
      </w:r>
      <w:proofErr w:type="spellStart"/>
      <w:r w:rsidRPr="00F1570C">
        <w:rPr>
          <w:rFonts w:ascii="Arial" w:hAnsi="Arial" w:cs="Arial"/>
          <w:color w:val="000000" w:themeColor="text1"/>
          <w:sz w:val="18"/>
          <w:szCs w:val="18"/>
          <w:lang w:val="en-ID"/>
        </w:rPr>
        <w:t>Hartati</w:t>
      </w:r>
      <w:proofErr w:type="spellEnd"/>
      <w:r w:rsidRPr="00F1570C">
        <w:rPr>
          <w:rFonts w:ascii="Arial" w:hAnsi="Arial" w:cs="Arial"/>
          <w:color w:val="000000" w:themeColor="text1"/>
          <w:sz w:val="18"/>
          <w:szCs w:val="18"/>
          <w:lang w:val="en-ID"/>
        </w:rPr>
        <w:t>, 2016).</w:t>
      </w:r>
    </w:p>
    <w:p w14:paraId="4E58007E" w14:textId="77777777" w:rsidR="00EC43AC" w:rsidRPr="00F1570C" w:rsidRDefault="00EC43AC" w:rsidP="00EC43AC">
      <w:pPr>
        <w:spacing w:after="0" w:line="240" w:lineRule="auto"/>
        <w:jc w:val="both"/>
        <w:rPr>
          <w:rFonts w:ascii="Arial" w:hAnsi="Arial" w:cs="Arial"/>
          <w:color w:val="000000" w:themeColor="text1"/>
          <w:sz w:val="18"/>
          <w:szCs w:val="18"/>
          <w:lang w:val="en-ID"/>
        </w:rPr>
      </w:pPr>
    </w:p>
    <w:p w14:paraId="2117CA00" w14:textId="7DF285E9" w:rsidR="00EC43AC" w:rsidRPr="00F1570C" w:rsidRDefault="00EC43AC" w:rsidP="00EC43AC">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Temperature and salinity profiles were recorded using a CTD (SBE 603). Data were processed with the programs Term19, DATCNV, and BINAVG (Sea-Bird et al., 1998) to obtain depth-averaged values. Nutrient analyses included nitrate (NO</w:t>
      </w:r>
      <w:r w:rsidRPr="00F1570C">
        <w:rPr>
          <w:rFonts w:ascii="Cambria Math" w:hAnsi="Cambria Math" w:cs="Cambria Math"/>
          <w:color w:val="000000" w:themeColor="text1"/>
          <w:sz w:val="18"/>
          <w:szCs w:val="18"/>
          <w:lang w:val="en-ID"/>
        </w:rPr>
        <w:t>₃⁻</w:t>
      </w:r>
      <w:r w:rsidRPr="00F1570C">
        <w:rPr>
          <w:rFonts w:ascii="Arial" w:hAnsi="Arial" w:cs="Arial"/>
          <w:color w:val="000000" w:themeColor="text1"/>
          <w:sz w:val="18"/>
          <w:szCs w:val="18"/>
          <w:lang w:val="en-ID"/>
        </w:rPr>
        <w:t>), phosphate (PO</w:t>
      </w:r>
      <w:r w:rsidRPr="00F1570C">
        <w:rPr>
          <w:rFonts w:ascii="Cambria Math" w:hAnsi="Cambria Math" w:cs="Cambria Math"/>
          <w:color w:val="000000" w:themeColor="text1"/>
          <w:sz w:val="18"/>
          <w:szCs w:val="18"/>
          <w:lang w:val="en-ID"/>
        </w:rPr>
        <w:t>₄</w:t>
      </w:r>
      <w:r w:rsidRPr="00F1570C">
        <w:rPr>
          <w:rFonts w:ascii="Arial" w:hAnsi="Arial" w:cs="Arial"/>
          <w:color w:val="000000" w:themeColor="text1"/>
          <w:sz w:val="18"/>
          <w:szCs w:val="18"/>
          <w:lang w:val="en-ID"/>
        </w:rPr>
        <w:t>³</w:t>
      </w:r>
      <w:r w:rsidRPr="00F1570C">
        <w:rPr>
          <w:rFonts w:ascii="Cambria Math" w:hAnsi="Cambria Math" w:cs="Cambria Math"/>
          <w:color w:val="000000" w:themeColor="text1"/>
          <w:sz w:val="18"/>
          <w:szCs w:val="18"/>
          <w:lang w:val="en-ID"/>
        </w:rPr>
        <w:t>⁻</w:t>
      </w:r>
      <w:r w:rsidRPr="00F1570C">
        <w:rPr>
          <w:rFonts w:ascii="Arial" w:hAnsi="Arial" w:cs="Arial"/>
          <w:color w:val="000000" w:themeColor="text1"/>
          <w:sz w:val="18"/>
          <w:szCs w:val="18"/>
          <w:lang w:val="en-ID"/>
        </w:rPr>
        <w:t>), and silicate (</w:t>
      </w:r>
      <w:proofErr w:type="spellStart"/>
      <w:r w:rsidRPr="00F1570C">
        <w:rPr>
          <w:rFonts w:ascii="Arial" w:hAnsi="Arial" w:cs="Arial"/>
          <w:color w:val="000000" w:themeColor="text1"/>
          <w:sz w:val="18"/>
          <w:szCs w:val="18"/>
          <w:lang w:val="en-ID"/>
        </w:rPr>
        <w:t>SiO</w:t>
      </w:r>
      <w:proofErr w:type="spellEnd"/>
      <w:r w:rsidRPr="00F1570C">
        <w:rPr>
          <w:rFonts w:ascii="Cambria Math" w:hAnsi="Cambria Math" w:cs="Cambria Math"/>
          <w:color w:val="000000" w:themeColor="text1"/>
          <w:sz w:val="18"/>
          <w:szCs w:val="18"/>
          <w:lang w:val="en-ID"/>
        </w:rPr>
        <w:t>₄</w:t>
      </w:r>
      <w:r w:rsidRPr="00F1570C">
        <w:rPr>
          <w:rFonts w:ascii="Arial" w:hAnsi="Arial" w:cs="Arial"/>
          <w:color w:val="000000" w:themeColor="text1"/>
          <w:sz w:val="18"/>
          <w:szCs w:val="18"/>
          <w:lang w:val="en-ID"/>
        </w:rPr>
        <w:t>⁴</w:t>
      </w:r>
      <w:r w:rsidRPr="00F1570C">
        <w:rPr>
          <w:rFonts w:ascii="Cambria Math" w:hAnsi="Cambria Math" w:cs="Cambria Math"/>
          <w:color w:val="000000" w:themeColor="text1"/>
          <w:sz w:val="18"/>
          <w:szCs w:val="18"/>
          <w:lang w:val="en-ID"/>
        </w:rPr>
        <w:t>⁻</w:t>
      </w:r>
      <w:r w:rsidRPr="00F1570C">
        <w:rPr>
          <w:rFonts w:ascii="Arial" w:hAnsi="Arial" w:cs="Arial"/>
          <w:color w:val="000000" w:themeColor="text1"/>
          <w:sz w:val="18"/>
          <w:szCs w:val="18"/>
          <w:lang w:val="en-ID"/>
        </w:rPr>
        <w:t xml:space="preserve">), determined following the standard spectrophotometric methods described by Parsons et al. (1984). Approximately 1 L of seawater was collected at each station and filtered through Whatman GF/C filters (0.45 </w:t>
      </w:r>
      <w:proofErr w:type="spellStart"/>
      <w:r w:rsidRPr="00F1570C">
        <w:rPr>
          <w:rFonts w:ascii="Arial" w:hAnsi="Arial" w:cs="Arial"/>
          <w:color w:val="000000" w:themeColor="text1"/>
          <w:sz w:val="18"/>
          <w:szCs w:val="18"/>
          <w:lang w:val="en-ID"/>
        </w:rPr>
        <w:t>μm</w:t>
      </w:r>
      <w:proofErr w:type="spellEnd"/>
      <w:r w:rsidRPr="00F1570C">
        <w:rPr>
          <w:rFonts w:ascii="Arial" w:hAnsi="Arial" w:cs="Arial"/>
          <w:color w:val="000000" w:themeColor="text1"/>
          <w:sz w:val="18"/>
          <w:szCs w:val="18"/>
          <w:lang w:val="en-ID"/>
        </w:rPr>
        <w:t xml:space="preserve"> pore size, 47 mm diameter) using a vacuum pump. Absorbance was measured with a Shimadzu spectrophotometer at wavelengths of 885 nm for phosphate, 543 nm for nitrate, and 810 and 680 nm for silicate. Nutrient concentrations were expressed in </w:t>
      </w:r>
      <w:proofErr w:type="spellStart"/>
      <w:r w:rsidR="004C1C8A">
        <w:rPr>
          <w:rFonts w:ascii="Arial" w:hAnsi="Arial" w:cs="Arial"/>
          <w:color w:val="000000" w:themeColor="text1"/>
          <w:sz w:val="18"/>
          <w:szCs w:val="18"/>
          <w:lang w:val="en-ID"/>
        </w:rPr>
        <w:t>μg</w:t>
      </w:r>
      <w:proofErr w:type="spellEnd"/>
      <w:r w:rsidR="004C1C8A">
        <w:rPr>
          <w:rFonts w:ascii="Arial" w:hAnsi="Arial" w:cs="Arial"/>
          <w:color w:val="000000" w:themeColor="text1"/>
          <w:sz w:val="18"/>
          <w:szCs w:val="18"/>
          <w:lang w:val="en-ID"/>
        </w:rPr>
        <w:t>-at</w:t>
      </w:r>
      <w:r w:rsidRPr="00F1570C">
        <w:rPr>
          <w:rFonts w:ascii="Arial" w:hAnsi="Arial" w:cs="Arial"/>
          <w:color w:val="000000" w:themeColor="text1"/>
          <w:sz w:val="18"/>
          <w:szCs w:val="18"/>
          <w:lang w:val="en-ID"/>
        </w:rPr>
        <w:t>/L.</w:t>
      </w:r>
    </w:p>
    <w:p w14:paraId="28AD2EE1" w14:textId="77777777" w:rsidR="00EC43AC" w:rsidRPr="00F1570C" w:rsidRDefault="00EC43AC" w:rsidP="00EC43AC">
      <w:pPr>
        <w:spacing w:after="0" w:line="240" w:lineRule="auto"/>
        <w:jc w:val="both"/>
        <w:rPr>
          <w:rFonts w:ascii="Arial" w:hAnsi="Arial" w:cs="Arial"/>
          <w:color w:val="000000" w:themeColor="text1"/>
          <w:sz w:val="18"/>
          <w:szCs w:val="18"/>
          <w:lang w:val="en-ID"/>
        </w:rPr>
      </w:pPr>
    </w:p>
    <w:p w14:paraId="16EC2F27" w14:textId="77777777" w:rsidR="00EC43AC" w:rsidRPr="00F1570C" w:rsidRDefault="00EC43AC" w:rsidP="00EC43AC">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2.3. Phytoplankton Sampling and Identification</w:t>
      </w:r>
    </w:p>
    <w:p w14:paraId="7DD9B498" w14:textId="77777777" w:rsidR="00EC43AC" w:rsidRPr="00F1570C" w:rsidRDefault="00EC43AC" w:rsidP="00EC43AC">
      <w:pPr>
        <w:spacing w:after="0" w:line="240" w:lineRule="auto"/>
        <w:jc w:val="both"/>
        <w:rPr>
          <w:rFonts w:ascii="Arial" w:hAnsi="Arial" w:cs="Arial"/>
          <w:color w:val="000000" w:themeColor="text1"/>
          <w:sz w:val="18"/>
          <w:szCs w:val="18"/>
          <w:lang w:val="en-ID"/>
        </w:rPr>
      </w:pPr>
    </w:p>
    <w:p w14:paraId="23F22BB9" w14:textId="638457C3" w:rsidR="00EC43AC" w:rsidRPr="00F1570C" w:rsidRDefault="00CC2E12" w:rsidP="00EC43AC">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Phytoplankton samples were collected using a conical plankton net (mesh size 20 </w:t>
      </w:r>
      <w:proofErr w:type="spellStart"/>
      <w:r>
        <w:rPr>
          <w:rFonts w:ascii="Arial" w:hAnsi="Arial" w:cs="Arial"/>
          <w:color w:val="000000" w:themeColor="text1"/>
          <w:sz w:val="18"/>
          <w:szCs w:val="18"/>
          <w:lang w:val="en-ID"/>
        </w:rPr>
        <w:t>μm</w:t>
      </w:r>
      <w:proofErr w:type="spellEnd"/>
      <w:r>
        <w:rPr>
          <w:rFonts w:ascii="Arial" w:hAnsi="Arial" w:cs="Arial"/>
          <w:color w:val="000000" w:themeColor="text1"/>
          <w:sz w:val="18"/>
          <w:szCs w:val="18"/>
          <w:lang w:val="en-ID"/>
        </w:rPr>
        <w:t>; length 125 cm; mouth diameter 25 cm) equipped with a ballast for vertical hauls. The net was slowly lowered from the surface to the desired depth and retrieved at the same speed to ensure representative sampling. Collected samples were transferred to polyethylene bottles and preserved with neutralized formalin (final concentration 2–4%) for laboratory analysis.</w:t>
      </w:r>
    </w:p>
    <w:p w14:paraId="1C841F77" w14:textId="77777777" w:rsidR="00EC43AC" w:rsidRPr="00F1570C" w:rsidRDefault="00EC43AC" w:rsidP="00EC43AC">
      <w:pPr>
        <w:spacing w:after="0" w:line="240" w:lineRule="auto"/>
        <w:jc w:val="both"/>
        <w:rPr>
          <w:rFonts w:ascii="Arial" w:hAnsi="Arial" w:cs="Arial"/>
          <w:color w:val="000000" w:themeColor="text1"/>
          <w:sz w:val="18"/>
          <w:szCs w:val="18"/>
          <w:lang w:val="en-ID"/>
        </w:rPr>
      </w:pPr>
    </w:p>
    <w:p w14:paraId="13B7E81B" w14:textId="0CF2AC87" w:rsidR="00EC43AC" w:rsidRPr="00F1570C" w:rsidRDefault="00CC2E12" w:rsidP="00EC43AC">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In the laboratory, samples were concentrated and </w:t>
      </w:r>
      <w:proofErr w:type="spellStart"/>
      <w:r>
        <w:rPr>
          <w:rFonts w:ascii="Arial" w:hAnsi="Arial" w:cs="Arial"/>
          <w:color w:val="000000" w:themeColor="text1"/>
          <w:sz w:val="18"/>
          <w:szCs w:val="18"/>
          <w:lang w:val="en-ID"/>
        </w:rPr>
        <w:t>analyzed</w:t>
      </w:r>
      <w:proofErr w:type="spellEnd"/>
      <w:r>
        <w:rPr>
          <w:rFonts w:ascii="Arial" w:hAnsi="Arial" w:cs="Arial"/>
          <w:color w:val="000000" w:themeColor="text1"/>
          <w:sz w:val="18"/>
          <w:szCs w:val="18"/>
          <w:lang w:val="en-ID"/>
        </w:rPr>
        <w:t xml:space="preserve"> using a Sedgwick–Rafter counting chamber under a compound microscope (Michael, 1995). Phytoplankton abundance was calculated following </w:t>
      </w:r>
      <w:proofErr w:type="spellStart"/>
      <w:r>
        <w:rPr>
          <w:rFonts w:ascii="Arial" w:hAnsi="Arial" w:cs="Arial"/>
          <w:color w:val="000000" w:themeColor="text1"/>
          <w:sz w:val="18"/>
          <w:szCs w:val="18"/>
          <w:lang w:val="en-ID"/>
        </w:rPr>
        <w:t>Sournia</w:t>
      </w:r>
      <w:proofErr w:type="spellEnd"/>
      <w:r>
        <w:rPr>
          <w:rFonts w:ascii="Arial" w:hAnsi="Arial" w:cs="Arial"/>
          <w:color w:val="000000" w:themeColor="text1"/>
          <w:sz w:val="18"/>
          <w:szCs w:val="18"/>
          <w:lang w:val="en-ID"/>
        </w:rPr>
        <w:t xml:space="preserve"> (1978), and taxa were identified to the genus level based on established references (</w:t>
      </w:r>
      <w:proofErr w:type="spellStart"/>
      <w:r>
        <w:rPr>
          <w:rFonts w:ascii="Arial" w:hAnsi="Arial" w:cs="Arial"/>
          <w:color w:val="000000" w:themeColor="text1"/>
          <w:sz w:val="18"/>
          <w:szCs w:val="18"/>
          <w:lang w:val="en-ID"/>
        </w:rPr>
        <w:t>Yamaji</w:t>
      </w:r>
      <w:proofErr w:type="spellEnd"/>
      <w:r>
        <w:rPr>
          <w:rFonts w:ascii="Arial" w:hAnsi="Arial" w:cs="Arial"/>
          <w:color w:val="000000" w:themeColor="text1"/>
          <w:sz w:val="18"/>
          <w:szCs w:val="18"/>
          <w:lang w:val="en-ID"/>
        </w:rPr>
        <w:t>, 1966; Newell &amp; Newell, 1977; Thomas, 1997). Taxonomic identification was cross-checked with recent updates in diatom taxonomy (</w:t>
      </w:r>
      <w:proofErr w:type="spellStart"/>
      <w:r>
        <w:rPr>
          <w:rFonts w:ascii="Arial" w:hAnsi="Arial" w:cs="Arial"/>
          <w:color w:val="000000" w:themeColor="text1"/>
          <w:sz w:val="18"/>
          <w:szCs w:val="18"/>
          <w:lang w:val="en-ID"/>
        </w:rPr>
        <w:t>Hasle</w:t>
      </w:r>
      <w:proofErr w:type="spellEnd"/>
      <w:r>
        <w:rPr>
          <w:rFonts w:ascii="Arial" w:hAnsi="Arial" w:cs="Arial"/>
          <w:color w:val="000000" w:themeColor="text1"/>
          <w:sz w:val="18"/>
          <w:szCs w:val="18"/>
          <w:lang w:val="en-ID"/>
        </w:rPr>
        <w:t xml:space="preserve"> &amp; </w:t>
      </w:r>
      <w:proofErr w:type="spellStart"/>
      <w:r>
        <w:rPr>
          <w:rFonts w:ascii="Arial" w:hAnsi="Arial" w:cs="Arial"/>
          <w:color w:val="000000" w:themeColor="text1"/>
          <w:sz w:val="18"/>
          <w:szCs w:val="18"/>
          <w:lang w:val="en-ID"/>
        </w:rPr>
        <w:t>Syvertsen</w:t>
      </w:r>
      <w:proofErr w:type="spellEnd"/>
      <w:r>
        <w:rPr>
          <w:rFonts w:ascii="Arial" w:hAnsi="Arial" w:cs="Arial"/>
          <w:color w:val="000000" w:themeColor="text1"/>
          <w:sz w:val="18"/>
          <w:szCs w:val="18"/>
          <w:lang w:val="en-ID"/>
        </w:rPr>
        <w:t xml:space="preserve">, 1997; </w:t>
      </w:r>
      <w:proofErr w:type="spellStart"/>
      <w:r>
        <w:rPr>
          <w:rFonts w:ascii="Arial" w:hAnsi="Arial" w:cs="Arial"/>
          <w:color w:val="000000" w:themeColor="text1"/>
          <w:sz w:val="18"/>
          <w:szCs w:val="18"/>
          <w:lang w:val="en-ID"/>
        </w:rPr>
        <w:t>Guiry</w:t>
      </w:r>
      <w:proofErr w:type="spellEnd"/>
      <w:r>
        <w:rPr>
          <w:rFonts w:ascii="Arial" w:hAnsi="Arial" w:cs="Arial"/>
          <w:color w:val="000000" w:themeColor="text1"/>
          <w:sz w:val="18"/>
          <w:szCs w:val="18"/>
          <w:lang w:val="en-ID"/>
        </w:rPr>
        <w:t xml:space="preserve"> &amp; </w:t>
      </w:r>
      <w:proofErr w:type="spellStart"/>
      <w:r>
        <w:rPr>
          <w:rFonts w:ascii="Arial" w:hAnsi="Arial" w:cs="Arial"/>
          <w:color w:val="000000" w:themeColor="text1"/>
          <w:sz w:val="18"/>
          <w:szCs w:val="18"/>
          <w:lang w:val="en-ID"/>
        </w:rPr>
        <w:t>Guiry</w:t>
      </w:r>
      <w:proofErr w:type="spellEnd"/>
      <w:r>
        <w:rPr>
          <w:rFonts w:ascii="Arial" w:hAnsi="Arial" w:cs="Arial"/>
          <w:color w:val="000000" w:themeColor="text1"/>
          <w:sz w:val="18"/>
          <w:szCs w:val="18"/>
          <w:lang w:val="en-ID"/>
        </w:rPr>
        <w:t>, 2024) to ensure consistency with current nomenclature.</w:t>
      </w:r>
    </w:p>
    <w:p w14:paraId="11501F6A" w14:textId="77777777" w:rsidR="00EC43AC" w:rsidRPr="00F1570C" w:rsidRDefault="00EC43AC" w:rsidP="00EC43AC">
      <w:pPr>
        <w:spacing w:after="0" w:line="240" w:lineRule="auto"/>
        <w:jc w:val="both"/>
        <w:rPr>
          <w:rFonts w:ascii="Arial" w:hAnsi="Arial" w:cs="Arial"/>
          <w:color w:val="000000" w:themeColor="text1"/>
          <w:sz w:val="18"/>
          <w:szCs w:val="18"/>
          <w:lang w:val="en-ID"/>
        </w:rPr>
      </w:pPr>
    </w:p>
    <w:p w14:paraId="49D1E38C" w14:textId="1113934B" w:rsidR="00EC43AC" w:rsidRPr="00F1570C" w:rsidRDefault="00EC43AC" w:rsidP="00EC43AC">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2.4. Data Analyses</w:t>
      </w:r>
    </w:p>
    <w:p w14:paraId="14135AFD" w14:textId="77777777" w:rsidR="00EC43AC" w:rsidRPr="00F1570C" w:rsidRDefault="00EC43AC" w:rsidP="00EC43AC">
      <w:pPr>
        <w:spacing w:after="0" w:line="240" w:lineRule="auto"/>
        <w:jc w:val="both"/>
        <w:rPr>
          <w:rFonts w:ascii="Arial" w:hAnsi="Arial" w:cs="Arial"/>
          <w:color w:val="000000" w:themeColor="text1"/>
          <w:sz w:val="18"/>
          <w:szCs w:val="18"/>
          <w:lang w:val="en-ID"/>
        </w:rPr>
      </w:pPr>
    </w:p>
    <w:p w14:paraId="45964951" w14:textId="7D5AEF91" w:rsidR="00EC43AC" w:rsidRPr="00F1570C" w:rsidRDefault="00CC2E12" w:rsidP="00EC43AC">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The phytoplankton community structure was assessed using the Shannon–Wiener diversity index (H′), </w:t>
      </w:r>
      <w:proofErr w:type="spellStart"/>
      <w:r>
        <w:rPr>
          <w:rFonts w:ascii="Arial" w:hAnsi="Arial" w:cs="Arial"/>
          <w:color w:val="000000" w:themeColor="text1"/>
          <w:sz w:val="18"/>
          <w:szCs w:val="18"/>
          <w:lang w:val="en-ID"/>
        </w:rPr>
        <w:t>Pielou’s</w:t>
      </w:r>
      <w:proofErr w:type="spellEnd"/>
      <w:r>
        <w:rPr>
          <w:rFonts w:ascii="Arial" w:hAnsi="Arial" w:cs="Arial"/>
          <w:color w:val="000000" w:themeColor="text1"/>
          <w:sz w:val="18"/>
          <w:szCs w:val="18"/>
          <w:lang w:val="en-ID"/>
        </w:rPr>
        <w:t xml:space="preserve"> evenness index (E), and </w:t>
      </w:r>
      <w:proofErr w:type="spellStart"/>
      <w:r>
        <w:rPr>
          <w:rFonts w:ascii="Arial" w:hAnsi="Arial" w:cs="Arial"/>
          <w:color w:val="000000" w:themeColor="text1"/>
          <w:sz w:val="18"/>
          <w:szCs w:val="18"/>
          <w:lang w:val="en-ID"/>
        </w:rPr>
        <w:t>Margalef’s</w:t>
      </w:r>
      <w:proofErr w:type="spellEnd"/>
      <w:r>
        <w:rPr>
          <w:rFonts w:ascii="Arial" w:hAnsi="Arial" w:cs="Arial"/>
          <w:color w:val="000000" w:themeColor="text1"/>
          <w:sz w:val="18"/>
          <w:szCs w:val="18"/>
          <w:lang w:val="en-ID"/>
        </w:rPr>
        <w:t xml:space="preserve"> species richness index (J) according to </w:t>
      </w:r>
      <w:proofErr w:type="spellStart"/>
      <w:r>
        <w:rPr>
          <w:rFonts w:ascii="Arial" w:hAnsi="Arial" w:cs="Arial"/>
          <w:color w:val="000000" w:themeColor="text1"/>
          <w:sz w:val="18"/>
          <w:szCs w:val="18"/>
          <w:lang w:val="en-ID"/>
        </w:rPr>
        <w:t>Odum</w:t>
      </w:r>
      <w:proofErr w:type="spellEnd"/>
      <w:r>
        <w:rPr>
          <w:rFonts w:ascii="Arial" w:hAnsi="Arial" w:cs="Arial"/>
          <w:color w:val="000000" w:themeColor="text1"/>
          <w:sz w:val="18"/>
          <w:szCs w:val="18"/>
          <w:lang w:val="en-ID"/>
        </w:rPr>
        <w:t xml:space="preserve"> (1998). These indices </w:t>
      </w:r>
      <w:r w:rsidR="00330943">
        <w:rPr>
          <w:rFonts w:ascii="Arial" w:hAnsi="Arial" w:cs="Arial"/>
          <w:color w:val="000000" w:themeColor="text1"/>
          <w:sz w:val="18"/>
          <w:szCs w:val="18"/>
          <w:lang w:val="en-ID"/>
        </w:rPr>
        <w:t>help evaluate</w:t>
      </w:r>
      <w:r>
        <w:rPr>
          <w:rFonts w:ascii="Arial" w:hAnsi="Arial" w:cs="Arial"/>
          <w:color w:val="000000" w:themeColor="text1"/>
          <w:sz w:val="18"/>
          <w:szCs w:val="18"/>
          <w:lang w:val="en-ID"/>
        </w:rPr>
        <w:t xml:space="preserve"> species diversity, evenness, and richness. H′ values of ≤ 1 indicate low diversity and community instability, 1 &lt; H′ ≤ 3 suggest moderate stability, and H′ ≥ 3 reflect high diversity and ecological balance. Evenness (E) values below 0.5 </w:t>
      </w:r>
      <w:r w:rsidR="00330943">
        <w:rPr>
          <w:rFonts w:ascii="Arial" w:hAnsi="Arial" w:cs="Arial"/>
          <w:color w:val="000000" w:themeColor="text1"/>
          <w:sz w:val="18"/>
          <w:szCs w:val="18"/>
          <w:lang w:val="en-ID"/>
        </w:rPr>
        <w:t>indicate stressed conditions, 0.5–0.75 indicate moderate stability, and values above 0.75 indicate</w:t>
      </w:r>
      <w:r>
        <w:rPr>
          <w:rFonts w:ascii="Arial" w:hAnsi="Arial" w:cs="Arial"/>
          <w:color w:val="000000" w:themeColor="text1"/>
          <w:sz w:val="18"/>
          <w:szCs w:val="18"/>
          <w:lang w:val="en-ID"/>
        </w:rPr>
        <w:t xml:space="preserve"> stable communities (Brower &amp; </w:t>
      </w:r>
      <w:proofErr w:type="spellStart"/>
      <w:r>
        <w:rPr>
          <w:rFonts w:ascii="Arial" w:hAnsi="Arial" w:cs="Arial"/>
          <w:color w:val="000000" w:themeColor="text1"/>
          <w:sz w:val="18"/>
          <w:szCs w:val="18"/>
          <w:lang w:val="en-ID"/>
        </w:rPr>
        <w:t>Zar</w:t>
      </w:r>
      <w:proofErr w:type="spellEnd"/>
      <w:r>
        <w:rPr>
          <w:rFonts w:ascii="Arial" w:hAnsi="Arial" w:cs="Arial"/>
          <w:color w:val="000000" w:themeColor="text1"/>
          <w:sz w:val="18"/>
          <w:szCs w:val="18"/>
          <w:lang w:val="en-ID"/>
        </w:rPr>
        <w:t xml:space="preserve">, 1989; Smith, 1980). Simpson’s dominance index (D) was also calculated to </w:t>
      </w:r>
      <w:proofErr w:type="spellStart"/>
      <w:r>
        <w:rPr>
          <w:rFonts w:ascii="Arial" w:hAnsi="Arial" w:cs="Arial"/>
          <w:color w:val="000000" w:themeColor="text1"/>
          <w:sz w:val="18"/>
          <w:szCs w:val="18"/>
          <w:lang w:val="en-ID"/>
        </w:rPr>
        <w:t>analyze</w:t>
      </w:r>
      <w:proofErr w:type="spellEnd"/>
      <w:r>
        <w:rPr>
          <w:rFonts w:ascii="Arial" w:hAnsi="Arial" w:cs="Arial"/>
          <w:color w:val="000000" w:themeColor="text1"/>
          <w:sz w:val="18"/>
          <w:szCs w:val="18"/>
          <w:lang w:val="en-ID"/>
        </w:rPr>
        <w:t xml:space="preserve"> species dominance patterns.</w:t>
      </w:r>
    </w:p>
    <w:p w14:paraId="168F31AF" w14:textId="77777777" w:rsidR="00EC43AC" w:rsidRPr="00F1570C" w:rsidRDefault="00EC43AC" w:rsidP="00B353F1">
      <w:pPr>
        <w:spacing w:after="0" w:line="240" w:lineRule="auto"/>
        <w:jc w:val="both"/>
        <w:rPr>
          <w:rFonts w:ascii="Arial" w:hAnsi="Arial" w:cs="Arial"/>
          <w:b/>
          <w:bCs/>
          <w:color w:val="000000" w:themeColor="text1"/>
          <w:sz w:val="18"/>
          <w:szCs w:val="18"/>
          <w:lang w:val="en-ID"/>
        </w:rPr>
      </w:pPr>
    </w:p>
    <w:p w14:paraId="02FF922D" w14:textId="77777777" w:rsidR="005C388E" w:rsidRDefault="005C388E" w:rsidP="00B353F1">
      <w:pPr>
        <w:spacing w:after="0" w:line="240" w:lineRule="auto"/>
        <w:jc w:val="both"/>
        <w:rPr>
          <w:rFonts w:ascii="Arial" w:hAnsi="Arial" w:cs="Arial"/>
          <w:b/>
          <w:bCs/>
          <w:color w:val="000000" w:themeColor="text1"/>
          <w:sz w:val="18"/>
          <w:szCs w:val="18"/>
          <w:lang w:val="en-ID"/>
        </w:rPr>
      </w:pPr>
    </w:p>
    <w:p w14:paraId="458C97F1" w14:textId="77777777" w:rsidR="005C388E" w:rsidRPr="00F1570C" w:rsidRDefault="005C388E" w:rsidP="005C388E">
      <w:pPr>
        <w:spacing w:after="0" w:line="240" w:lineRule="auto"/>
        <w:jc w:val="both"/>
        <w:rPr>
          <w:rFonts w:ascii="Arial" w:hAnsi="Arial" w:cs="Arial"/>
          <w:color w:val="000000" w:themeColor="text1"/>
          <w:sz w:val="18"/>
          <w:szCs w:val="18"/>
          <w:lang w:val="en-ID"/>
        </w:rPr>
      </w:pPr>
    </w:p>
    <w:p w14:paraId="5AE595A9" w14:textId="363FFC63" w:rsidR="008E106C" w:rsidRPr="00F1570C" w:rsidRDefault="008E106C" w:rsidP="00E1673D">
      <w:pPr>
        <w:spacing w:after="0" w:line="240" w:lineRule="auto"/>
        <w:rPr>
          <w:rFonts w:ascii="Arial" w:hAnsi="Arial" w:cs="Arial"/>
          <w:bCs/>
          <w:color w:val="000000" w:themeColor="text1"/>
          <w:sz w:val="18"/>
          <w:szCs w:val="18"/>
        </w:rPr>
      </w:pPr>
      <w:r w:rsidRPr="00F1570C">
        <w:rPr>
          <w:rFonts w:ascii="Arial" w:hAnsi="Arial" w:cs="Arial"/>
          <w:noProof/>
          <w:color w:val="000000" w:themeColor="text1"/>
          <w:sz w:val="18"/>
          <w:szCs w:val="18"/>
          <w:lang w:val="en-AU" w:eastAsia="zh-TW"/>
        </w:rPr>
        <w:lastRenderedPageBreak/>
        <w:drawing>
          <wp:anchor distT="0" distB="0" distL="114300" distR="114300" simplePos="0" relativeHeight="251698688" behindDoc="0" locked="0" layoutInCell="1" allowOverlap="1" wp14:anchorId="2B5A1632" wp14:editId="0B4B35A0">
            <wp:simplePos x="0" y="0"/>
            <wp:positionH relativeFrom="column">
              <wp:posOffset>189913</wp:posOffset>
            </wp:positionH>
            <wp:positionV relativeFrom="paragraph">
              <wp:posOffset>195</wp:posOffset>
            </wp:positionV>
            <wp:extent cx="3957449" cy="2869759"/>
            <wp:effectExtent l="0" t="0" r="5080" b="6985"/>
            <wp:wrapTopAndBottom/>
            <wp:docPr id="3" name="Picture 3" descr="A map of indonesia and indones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indonesia and indonesia&#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7717" cy="2869953"/>
                    </a:xfrm>
                    <a:prstGeom prst="rect">
                      <a:avLst/>
                    </a:prstGeom>
                    <a:noFill/>
                    <a:ln>
                      <a:noFill/>
                    </a:ln>
                    <a:effectLst>
                      <a:softEdge rad="0"/>
                    </a:effectLst>
                  </pic:spPr>
                </pic:pic>
              </a:graphicData>
            </a:graphic>
            <wp14:sizeRelH relativeFrom="margin">
              <wp14:pctWidth>0</wp14:pctWidth>
            </wp14:sizeRelH>
            <wp14:sizeRelV relativeFrom="margin">
              <wp14:pctHeight>0</wp14:pctHeight>
            </wp14:sizeRelV>
          </wp:anchor>
        </w:drawing>
      </w:r>
    </w:p>
    <w:p w14:paraId="39318BFC" w14:textId="77777777" w:rsidR="004E36A9" w:rsidRDefault="004E36A9" w:rsidP="004E36A9">
      <w:pPr>
        <w:spacing w:after="0" w:line="240" w:lineRule="auto"/>
        <w:jc w:val="both"/>
        <w:rPr>
          <w:rFonts w:ascii="Arial" w:hAnsi="Arial" w:cs="Arial"/>
          <w:bCs/>
          <w:color w:val="000000" w:themeColor="text1"/>
          <w:sz w:val="18"/>
          <w:szCs w:val="18"/>
        </w:rPr>
      </w:pPr>
      <w:r>
        <w:rPr>
          <w:rFonts w:ascii="Arial" w:hAnsi="Arial" w:cs="Arial"/>
          <w:b/>
          <w:color w:val="000000" w:themeColor="text1"/>
          <w:sz w:val="18"/>
          <w:szCs w:val="18"/>
        </w:rPr>
        <w:t xml:space="preserve">Figure 1. </w:t>
      </w:r>
      <w:r w:rsidRPr="004E36A9">
        <w:rPr>
          <w:rFonts w:ascii="Arial" w:hAnsi="Arial" w:cs="Arial"/>
          <w:bCs/>
          <w:color w:val="000000" w:themeColor="text1"/>
          <w:sz w:val="18"/>
          <w:szCs w:val="18"/>
        </w:rPr>
        <w:t xml:space="preserve">Map of Indonesia showing locations and research stations in </w:t>
      </w:r>
    </w:p>
    <w:p w14:paraId="06E028E1" w14:textId="3CD422AE" w:rsidR="00754C2A" w:rsidRPr="004E36A9" w:rsidRDefault="004E36A9" w:rsidP="004E36A9">
      <w:pPr>
        <w:spacing w:after="0" w:line="240" w:lineRule="auto"/>
        <w:ind w:firstLine="720"/>
        <w:jc w:val="both"/>
        <w:rPr>
          <w:rFonts w:ascii="Arial" w:hAnsi="Arial" w:cs="Arial"/>
          <w:bCs/>
          <w:color w:val="000000" w:themeColor="text1"/>
          <w:sz w:val="18"/>
          <w:szCs w:val="18"/>
        </w:rPr>
      </w:pPr>
      <w:r>
        <w:rPr>
          <w:rFonts w:ascii="Arial" w:hAnsi="Arial" w:cs="Arial"/>
          <w:bCs/>
          <w:color w:val="000000" w:themeColor="text1"/>
          <w:sz w:val="18"/>
          <w:szCs w:val="18"/>
        </w:rPr>
        <w:t xml:space="preserve"> </w:t>
      </w:r>
      <w:r w:rsidRPr="004E36A9">
        <w:rPr>
          <w:rFonts w:ascii="Arial" w:hAnsi="Arial" w:cs="Arial"/>
          <w:bCs/>
          <w:color w:val="000000" w:themeColor="text1"/>
          <w:sz w:val="18"/>
          <w:szCs w:val="18"/>
        </w:rPr>
        <w:t>Jakarta Bay.</w:t>
      </w:r>
    </w:p>
    <w:p w14:paraId="4BE4DE59" w14:textId="36FD7BA1" w:rsidR="00EC43AC" w:rsidRPr="00F1570C" w:rsidRDefault="00EC43AC" w:rsidP="008E106C">
      <w:pPr>
        <w:spacing w:after="0" w:line="240" w:lineRule="auto"/>
        <w:jc w:val="both"/>
        <w:rPr>
          <w:rFonts w:ascii="Arial" w:hAnsi="Arial" w:cs="Arial"/>
          <w:b/>
          <w:bCs/>
          <w:color w:val="000000" w:themeColor="text1"/>
          <w:sz w:val="18"/>
          <w:szCs w:val="18"/>
        </w:rPr>
      </w:pPr>
      <w:bookmarkStart w:id="3" w:name="_Hlk213418200"/>
    </w:p>
    <w:p w14:paraId="14AC2023" w14:textId="77777777" w:rsidR="00B06D57" w:rsidRPr="00F1570C" w:rsidRDefault="00B06D57" w:rsidP="008E106C">
      <w:pPr>
        <w:spacing w:after="0" w:line="240" w:lineRule="auto"/>
        <w:jc w:val="both"/>
        <w:rPr>
          <w:rFonts w:ascii="Arial" w:hAnsi="Arial" w:cs="Arial"/>
          <w:b/>
          <w:bCs/>
          <w:color w:val="000000" w:themeColor="text1"/>
          <w:sz w:val="18"/>
          <w:szCs w:val="18"/>
        </w:rPr>
      </w:pPr>
    </w:p>
    <w:p w14:paraId="39F7E6D8" w14:textId="77777777" w:rsidR="004C1C8A" w:rsidRPr="00F1570C" w:rsidRDefault="004C1C8A" w:rsidP="004C1C8A">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3. RESULTS AND DISCUSSION</w:t>
      </w:r>
    </w:p>
    <w:p w14:paraId="1B3AE9D4" w14:textId="77777777" w:rsidR="008D2D15" w:rsidRDefault="008D2D15" w:rsidP="004C1C8A">
      <w:pPr>
        <w:spacing w:after="0" w:line="240" w:lineRule="auto"/>
        <w:rPr>
          <w:rFonts w:ascii="Arial" w:hAnsi="Arial" w:cs="Arial"/>
          <w:b/>
          <w:bCs/>
          <w:color w:val="000000" w:themeColor="text1"/>
          <w:sz w:val="18"/>
          <w:szCs w:val="18"/>
          <w:lang w:val="en-ID"/>
        </w:rPr>
      </w:pPr>
    </w:p>
    <w:p w14:paraId="765FCE2C" w14:textId="3E1A8A5D" w:rsidR="004C1C8A" w:rsidRPr="00F1570C" w:rsidRDefault="008D2D15" w:rsidP="004C1C8A">
      <w:pPr>
        <w:spacing w:after="0" w:line="240" w:lineRule="auto"/>
        <w:rPr>
          <w:rFonts w:ascii="Arial" w:hAnsi="Arial" w:cs="Arial"/>
          <w:b/>
          <w:bCs/>
          <w:color w:val="000000" w:themeColor="text1"/>
          <w:sz w:val="18"/>
          <w:szCs w:val="18"/>
          <w:lang w:val="en-ID"/>
        </w:rPr>
      </w:pPr>
      <w:r w:rsidRPr="008D2D15">
        <w:rPr>
          <w:rFonts w:ascii="Arial" w:hAnsi="Arial" w:cs="Arial"/>
          <w:b/>
          <w:bCs/>
          <w:color w:val="000000" w:themeColor="text1"/>
          <w:sz w:val="18"/>
          <w:szCs w:val="18"/>
          <w:lang w:val="en-ID"/>
        </w:rPr>
        <w:t>3.1 Oceanographic characteristics</w:t>
      </w:r>
    </w:p>
    <w:p w14:paraId="7C722E74" w14:textId="77777777" w:rsidR="008D2D15" w:rsidRDefault="008D2D15" w:rsidP="008D2D15">
      <w:pPr>
        <w:spacing w:after="0" w:line="240" w:lineRule="auto"/>
        <w:jc w:val="both"/>
        <w:rPr>
          <w:rFonts w:ascii="Arial" w:hAnsi="Arial" w:cs="Arial"/>
          <w:sz w:val="18"/>
          <w:szCs w:val="18"/>
          <w:lang w:val="en-ID"/>
        </w:rPr>
      </w:pPr>
    </w:p>
    <w:p w14:paraId="3527DB78" w14:textId="0AA1B936" w:rsidR="008D2D15" w:rsidRPr="00FD18A2" w:rsidRDefault="00CC2E12" w:rsidP="00FD18A2">
      <w:pPr>
        <w:spacing w:after="0" w:line="240" w:lineRule="auto"/>
        <w:jc w:val="both"/>
        <w:rPr>
          <w:rFonts w:ascii="Arial" w:hAnsi="Arial" w:cs="Arial"/>
          <w:sz w:val="18"/>
          <w:szCs w:val="18"/>
          <w:lang w:val="en-ID"/>
        </w:rPr>
      </w:pPr>
      <w:r>
        <w:rPr>
          <w:rFonts w:ascii="Arial" w:hAnsi="Arial" w:cs="Arial"/>
          <w:sz w:val="18"/>
          <w:szCs w:val="18"/>
          <w:lang w:val="en-ID"/>
        </w:rPr>
        <w:t xml:space="preserve">The average water temperature during the study was 29.97°C, ranging from 29.72 to 30.48°C. The lowest monthly temperature (29.37°C) occurred in May 2008, while the highest (30.48°C) was recorded in March 2013. Salinity averaged 28.98 PSU, </w:t>
      </w:r>
      <w:r w:rsidR="00330943">
        <w:rPr>
          <w:rFonts w:ascii="Arial" w:hAnsi="Arial" w:cs="Arial"/>
          <w:sz w:val="18"/>
          <w:szCs w:val="18"/>
          <w:lang w:val="en-ID"/>
        </w:rPr>
        <w:t>ranging</w:t>
      </w:r>
      <w:r>
        <w:rPr>
          <w:rFonts w:ascii="Arial" w:hAnsi="Arial" w:cs="Arial"/>
          <w:sz w:val="18"/>
          <w:szCs w:val="18"/>
          <w:lang w:val="en-ID"/>
        </w:rPr>
        <w:t xml:space="preserve"> from 27.72 to 30.88 PSU. The lowest salinity (26.41 PSU) was observed in March 2009, and the highest (30.88 PSU) in May 2010; overall, salinity remained relatively stable except for notable drops in May 2008 and March–June 2009. Dissolved oxygen (DO) ranged from 2.96 to 4.12 ppm, with an unusually low value of 2.96 ppm in March 2009, for which there is no clear explanation. The average pH was 8.03, ranging from 7.68 to 8.30. The lowest pH (7.68) was in July 2015, while the highest (8.19) occurred in May 2015. A summary of these oceanographic parameters is provided in Table 1. Overall, no extreme values were observed during the study, except for the notably low DO in March 2009. Due to the bay’s shallow depth (6–15 m) and constant tidal and current mixing, Jakarta Bay exhibited no pronounced water-column stratification.</w:t>
      </w:r>
    </w:p>
    <w:p w14:paraId="1E6DC011" w14:textId="77777777" w:rsidR="008F6BB6" w:rsidRDefault="008F6BB6" w:rsidP="004C1C8A">
      <w:pPr>
        <w:spacing w:after="0" w:line="240" w:lineRule="auto"/>
        <w:rPr>
          <w:rFonts w:ascii="Arial" w:hAnsi="Arial" w:cs="Arial"/>
          <w:b/>
          <w:bCs/>
          <w:color w:val="000000" w:themeColor="text1"/>
          <w:sz w:val="18"/>
          <w:szCs w:val="18"/>
          <w:lang w:val="en-ID"/>
        </w:rPr>
      </w:pPr>
    </w:p>
    <w:p w14:paraId="76D4A3B8" w14:textId="23BEE539" w:rsidR="008F6BB6" w:rsidRPr="008F6BB6" w:rsidRDefault="008F6BB6" w:rsidP="004C1C8A">
      <w:pPr>
        <w:spacing w:after="0" w:line="240" w:lineRule="auto"/>
        <w:rPr>
          <w:rFonts w:ascii="Arial" w:hAnsi="Arial" w:cs="Arial"/>
          <w:color w:val="000000" w:themeColor="text1"/>
          <w:sz w:val="18"/>
          <w:szCs w:val="18"/>
          <w:lang w:val="en-ID"/>
        </w:rPr>
      </w:pPr>
      <w:r>
        <w:rPr>
          <w:rFonts w:ascii="Arial" w:hAnsi="Arial" w:cs="Arial"/>
          <w:b/>
          <w:bCs/>
          <w:color w:val="000000" w:themeColor="text1"/>
          <w:sz w:val="18"/>
          <w:szCs w:val="18"/>
          <w:lang w:val="en-ID"/>
        </w:rPr>
        <w:t xml:space="preserve">Table 1. </w:t>
      </w:r>
      <w:r w:rsidRPr="008F6BB6">
        <w:rPr>
          <w:rFonts w:ascii="Arial" w:hAnsi="Arial" w:cs="Arial"/>
          <w:color w:val="000000" w:themeColor="text1"/>
          <w:sz w:val="18"/>
          <w:szCs w:val="18"/>
          <w:lang w:val="en-ID"/>
        </w:rPr>
        <w:t xml:space="preserve">Averages of oceanographic parameters during the study (2007-2019) </w:t>
      </w:r>
    </w:p>
    <w:p w14:paraId="2F799BEE" w14:textId="77777777" w:rsidR="008F6BB6" w:rsidRDefault="008F6BB6" w:rsidP="004C1C8A">
      <w:pPr>
        <w:spacing w:after="0" w:line="240" w:lineRule="auto"/>
        <w:rPr>
          <w:rFonts w:ascii="Arial" w:hAnsi="Arial" w:cs="Arial"/>
          <w:b/>
          <w:bCs/>
          <w:color w:val="000000" w:themeColor="text1"/>
          <w:sz w:val="18"/>
          <w:szCs w:val="18"/>
          <w:lang w:val="en-ID"/>
        </w:rPr>
      </w:pPr>
    </w:p>
    <w:tbl>
      <w:tblPr>
        <w:tblW w:w="6400" w:type="dxa"/>
        <w:tblLook w:val="04A0" w:firstRow="1" w:lastRow="0" w:firstColumn="1" w:lastColumn="0" w:noHBand="0" w:noVBand="1"/>
      </w:tblPr>
      <w:tblGrid>
        <w:gridCol w:w="2440"/>
        <w:gridCol w:w="2040"/>
        <w:gridCol w:w="1920"/>
      </w:tblGrid>
      <w:tr w:rsidR="008F6BB6" w:rsidRPr="008F6BB6" w14:paraId="170783B7" w14:textId="77777777" w:rsidTr="008F6BB6">
        <w:trPr>
          <w:trHeight w:val="290"/>
        </w:trPr>
        <w:tc>
          <w:tcPr>
            <w:tcW w:w="2440" w:type="dxa"/>
            <w:tcBorders>
              <w:top w:val="single" w:sz="4" w:space="0" w:color="auto"/>
              <w:left w:val="nil"/>
              <w:bottom w:val="single" w:sz="4" w:space="0" w:color="auto"/>
              <w:right w:val="nil"/>
            </w:tcBorders>
            <w:noWrap/>
            <w:vAlign w:val="center"/>
            <w:hideMark/>
          </w:tcPr>
          <w:p w14:paraId="7B5FE72A" w14:textId="77777777" w:rsidR="008F6BB6" w:rsidRPr="008F6BB6" w:rsidRDefault="008F6BB6" w:rsidP="008F6BB6">
            <w:pPr>
              <w:spacing w:after="0" w:line="240" w:lineRule="auto"/>
              <w:jc w:val="center"/>
              <w:rPr>
                <w:rFonts w:ascii="Arial" w:eastAsia="Times New Roman" w:hAnsi="Arial" w:cs="Arial"/>
                <w:b/>
                <w:bCs/>
                <w:color w:val="000000"/>
                <w:sz w:val="18"/>
                <w:szCs w:val="18"/>
                <w:lang w:val="en-ID" w:eastAsia="en-ID"/>
              </w:rPr>
            </w:pPr>
            <w:r w:rsidRPr="008F6BB6">
              <w:rPr>
                <w:rFonts w:ascii="Arial" w:eastAsia="Times New Roman" w:hAnsi="Arial" w:cs="Arial"/>
                <w:b/>
                <w:bCs/>
                <w:color w:val="000000"/>
                <w:sz w:val="18"/>
                <w:szCs w:val="18"/>
                <w:lang w:val="en-ID" w:eastAsia="en-ID"/>
              </w:rPr>
              <w:lastRenderedPageBreak/>
              <w:t>Parameters</w:t>
            </w:r>
          </w:p>
        </w:tc>
        <w:tc>
          <w:tcPr>
            <w:tcW w:w="2040" w:type="dxa"/>
            <w:tcBorders>
              <w:top w:val="single" w:sz="4" w:space="0" w:color="auto"/>
              <w:left w:val="nil"/>
              <w:bottom w:val="single" w:sz="4" w:space="0" w:color="auto"/>
              <w:right w:val="nil"/>
            </w:tcBorders>
            <w:noWrap/>
            <w:vAlign w:val="center"/>
            <w:hideMark/>
          </w:tcPr>
          <w:p w14:paraId="29341DA9" w14:textId="77777777" w:rsidR="008F6BB6" w:rsidRPr="008F6BB6" w:rsidRDefault="008F6BB6" w:rsidP="008F6BB6">
            <w:pPr>
              <w:spacing w:after="0" w:line="240" w:lineRule="auto"/>
              <w:jc w:val="center"/>
              <w:rPr>
                <w:rFonts w:ascii="Arial" w:eastAsia="Times New Roman" w:hAnsi="Arial" w:cs="Arial"/>
                <w:b/>
                <w:bCs/>
                <w:color w:val="000000"/>
                <w:sz w:val="18"/>
                <w:szCs w:val="18"/>
                <w:lang w:val="en-ID" w:eastAsia="en-ID"/>
              </w:rPr>
            </w:pPr>
            <w:r w:rsidRPr="008F6BB6">
              <w:rPr>
                <w:rFonts w:ascii="Arial" w:eastAsia="Times New Roman" w:hAnsi="Arial" w:cs="Arial"/>
                <w:b/>
                <w:bCs/>
                <w:color w:val="000000"/>
                <w:sz w:val="18"/>
                <w:szCs w:val="18"/>
                <w:lang w:val="en-ID" w:eastAsia="en-ID"/>
              </w:rPr>
              <w:t>Range</w:t>
            </w:r>
          </w:p>
        </w:tc>
        <w:tc>
          <w:tcPr>
            <w:tcW w:w="1920" w:type="dxa"/>
            <w:tcBorders>
              <w:top w:val="single" w:sz="4" w:space="0" w:color="auto"/>
              <w:left w:val="nil"/>
              <w:bottom w:val="single" w:sz="4" w:space="0" w:color="auto"/>
              <w:right w:val="nil"/>
            </w:tcBorders>
            <w:noWrap/>
            <w:vAlign w:val="center"/>
            <w:hideMark/>
          </w:tcPr>
          <w:p w14:paraId="4F62A958" w14:textId="77777777" w:rsidR="008F6BB6" w:rsidRPr="008F6BB6" w:rsidRDefault="008F6BB6" w:rsidP="008F6BB6">
            <w:pPr>
              <w:spacing w:after="0" w:line="240" w:lineRule="auto"/>
              <w:jc w:val="center"/>
              <w:rPr>
                <w:rFonts w:ascii="Arial" w:eastAsia="Times New Roman" w:hAnsi="Arial" w:cs="Arial"/>
                <w:b/>
                <w:bCs/>
                <w:color w:val="000000"/>
                <w:sz w:val="18"/>
                <w:szCs w:val="18"/>
                <w:lang w:val="en-ID" w:eastAsia="en-ID"/>
              </w:rPr>
            </w:pPr>
            <w:r w:rsidRPr="008F6BB6">
              <w:rPr>
                <w:rFonts w:ascii="Arial" w:eastAsia="Times New Roman" w:hAnsi="Arial" w:cs="Arial"/>
                <w:b/>
                <w:bCs/>
                <w:color w:val="000000"/>
                <w:sz w:val="18"/>
                <w:szCs w:val="18"/>
                <w:lang w:val="en-ID" w:eastAsia="en-ID"/>
              </w:rPr>
              <w:t>Averages</w:t>
            </w:r>
          </w:p>
        </w:tc>
      </w:tr>
      <w:tr w:rsidR="008F6BB6" w:rsidRPr="008F6BB6" w14:paraId="4DA5C6A5" w14:textId="77777777" w:rsidTr="008F6BB6">
        <w:trPr>
          <w:trHeight w:val="290"/>
        </w:trPr>
        <w:tc>
          <w:tcPr>
            <w:tcW w:w="2440" w:type="dxa"/>
            <w:tcBorders>
              <w:top w:val="nil"/>
              <w:left w:val="nil"/>
              <w:bottom w:val="nil"/>
              <w:right w:val="nil"/>
            </w:tcBorders>
            <w:noWrap/>
            <w:vAlign w:val="bottom"/>
            <w:hideMark/>
          </w:tcPr>
          <w:p w14:paraId="1654C8CB" w14:textId="77777777" w:rsidR="008F6BB6" w:rsidRPr="008F6BB6" w:rsidRDefault="008F6BB6" w:rsidP="008F6BB6">
            <w:pPr>
              <w:spacing w:after="0" w:line="240" w:lineRule="auto"/>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 xml:space="preserve">Temperature (°C)  </w:t>
            </w:r>
          </w:p>
        </w:tc>
        <w:tc>
          <w:tcPr>
            <w:tcW w:w="2040" w:type="dxa"/>
            <w:tcBorders>
              <w:top w:val="nil"/>
              <w:left w:val="nil"/>
              <w:bottom w:val="nil"/>
              <w:right w:val="nil"/>
            </w:tcBorders>
            <w:noWrap/>
            <w:vAlign w:val="bottom"/>
            <w:hideMark/>
          </w:tcPr>
          <w:p w14:paraId="4DA7C7E5" w14:textId="77777777" w:rsidR="008F6BB6" w:rsidRPr="008F6BB6" w:rsidRDefault="008F6BB6" w:rsidP="008F6BB6">
            <w:pPr>
              <w:spacing w:after="0" w:line="240" w:lineRule="auto"/>
              <w:jc w:val="center"/>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 xml:space="preserve"> 29.72-30.48     </w:t>
            </w:r>
          </w:p>
        </w:tc>
        <w:tc>
          <w:tcPr>
            <w:tcW w:w="1920" w:type="dxa"/>
            <w:tcBorders>
              <w:top w:val="nil"/>
              <w:left w:val="nil"/>
              <w:bottom w:val="nil"/>
              <w:right w:val="nil"/>
            </w:tcBorders>
            <w:noWrap/>
            <w:vAlign w:val="bottom"/>
            <w:hideMark/>
          </w:tcPr>
          <w:p w14:paraId="38AC8637" w14:textId="77777777" w:rsidR="008F6BB6" w:rsidRPr="008F6BB6" w:rsidRDefault="008F6BB6" w:rsidP="008F6BB6">
            <w:pPr>
              <w:spacing w:after="0" w:line="240" w:lineRule="auto"/>
              <w:jc w:val="center"/>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29.97</w:t>
            </w:r>
          </w:p>
        </w:tc>
      </w:tr>
      <w:tr w:rsidR="008F6BB6" w:rsidRPr="008F6BB6" w14:paraId="536B8E34" w14:textId="77777777" w:rsidTr="008F6BB6">
        <w:trPr>
          <w:trHeight w:val="290"/>
        </w:trPr>
        <w:tc>
          <w:tcPr>
            <w:tcW w:w="2440" w:type="dxa"/>
            <w:tcBorders>
              <w:top w:val="nil"/>
              <w:left w:val="nil"/>
              <w:bottom w:val="nil"/>
              <w:right w:val="nil"/>
            </w:tcBorders>
            <w:noWrap/>
            <w:vAlign w:val="bottom"/>
            <w:hideMark/>
          </w:tcPr>
          <w:p w14:paraId="6BC27989" w14:textId="77777777" w:rsidR="008F6BB6" w:rsidRPr="008F6BB6" w:rsidRDefault="008F6BB6" w:rsidP="008F6BB6">
            <w:pPr>
              <w:spacing w:after="0" w:line="240" w:lineRule="auto"/>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Salinity (</w:t>
            </w:r>
            <w:proofErr w:type="spellStart"/>
            <w:r w:rsidRPr="008F6BB6">
              <w:rPr>
                <w:rFonts w:ascii="Arial" w:eastAsia="Times New Roman" w:hAnsi="Arial" w:cs="Arial"/>
                <w:color w:val="000000"/>
                <w:sz w:val="18"/>
                <w:szCs w:val="18"/>
                <w:lang w:val="en-ID" w:eastAsia="en-ID"/>
              </w:rPr>
              <w:t>psu</w:t>
            </w:r>
            <w:proofErr w:type="spellEnd"/>
            <w:r w:rsidRPr="008F6BB6">
              <w:rPr>
                <w:rFonts w:ascii="Arial" w:eastAsia="Times New Roman" w:hAnsi="Arial" w:cs="Arial"/>
                <w:color w:val="000000"/>
                <w:sz w:val="18"/>
                <w:szCs w:val="18"/>
                <w:lang w:val="en-ID" w:eastAsia="en-ID"/>
              </w:rPr>
              <w:t xml:space="preserve">)            </w:t>
            </w:r>
          </w:p>
        </w:tc>
        <w:tc>
          <w:tcPr>
            <w:tcW w:w="2040" w:type="dxa"/>
            <w:tcBorders>
              <w:top w:val="nil"/>
              <w:left w:val="nil"/>
              <w:bottom w:val="nil"/>
              <w:right w:val="nil"/>
            </w:tcBorders>
            <w:noWrap/>
            <w:vAlign w:val="bottom"/>
            <w:hideMark/>
          </w:tcPr>
          <w:p w14:paraId="1EBD758E" w14:textId="77777777" w:rsidR="008F6BB6" w:rsidRPr="008F6BB6" w:rsidRDefault="008F6BB6" w:rsidP="008F6BB6">
            <w:pPr>
              <w:spacing w:after="0" w:line="240" w:lineRule="auto"/>
              <w:jc w:val="center"/>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 xml:space="preserve"> 27.72-30.88      </w:t>
            </w:r>
          </w:p>
        </w:tc>
        <w:tc>
          <w:tcPr>
            <w:tcW w:w="1920" w:type="dxa"/>
            <w:tcBorders>
              <w:top w:val="nil"/>
              <w:left w:val="nil"/>
              <w:bottom w:val="nil"/>
              <w:right w:val="nil"/>
            </w:tcBorders>
            <w:noWrap/>
            <w:vAlign w:val="bottom"/>
            <w:hideMark/>
          </w:tcPr>
          <w:p w14:paraId="65539AEE" w14:textId="77777777" w:rsidR="008F6BB6" w:rsidRPr="008F6BB6" w:rsidRDefault="008F6BB6" w:rsidP="008F6BB6">
            <w:pPr>
              <w:spacing w:after="0" w:line="240" w:lineRule="auto"/>
              <w:jc w:val="center"/>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28.98</w:t>
            </w:r>
          </w:p>
        </w:tc>
      </w:tr>
      <w:tr w:rsidR="008F6BB6" w:rsidRPr="008F6BB6" w14:paraId="62353D45" w14:textId="77777777" w:rsidTr="008F6BB6">
        <w:trPr>
          <w:trHeight w:val="290"/>
        </w:trPr>
        <w:tc>
          <w:tcPr>
            <w:tcW w:w="2440" w:type="dxa"/>
            <w:tcBorders>
              <w:top w:val="nil"/>
              <w:left w:val="nil"/>
              <w:bottom w:val="nil"/>
              <w:right w:val="nil"/>
            </w:tcBorders>
            <w:noWrap/>
            <w:vAlign w:val="bottom"/>
            <w:hideMark/>
          </w:tcPr>
          <w:p w14:paraId="603B3063" w14:textId="77777777" w:rsidR="008F6BB6" w:rsidRPr="008F6BB6" w:rsidRDefault="008F6BB6" w:rsidP="008F6BB6">
            <w:pPr>
              <w:spacing w:after="0" w:line="240" w:lineRule="auto"/>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 xml:space="preserve">pH                                </w:t>
            </w:r>
          </w:p>
        </w:tc>
        <w:tc>
          <w:tcPr>
            <w:tcW w:w="2040" w:type="dxa"/>
            <w:tcBorders>
              <w:top w:val="nil"/>
              <w:left w:val="nil"/>
              <w:bottom w:val="nil"/>
              <w:right w:val="nil"/>
            </w:tcBorders>
            <w:noWrap/>
            <w:vAlign w:val="bottom"/>
            <w:hideMark/>
          </w:tcPr>
          <w:p w14:paraId="59BC3B73" w14:textId="77777777" w:rsidR="008F6BB6" w:rsidRPr="008F6BB6" w:rsidRDefault="008F6BB6" w:rsidP="008F6BB6">
            <w:pPr>
              <w:spacing w:after="0" w:line="240" w:lineRule="auto"/>
              <w:jc w:val="center"/>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 xml:space="preserve"> 7.68-8.30              </w:t>
            </w:r>
          </w:p>
        </w:tc>
        <w:tc>
          <w:tcPr>
            <w:tcW w:w="1920" w:type="dxa"/>
            <w:tcBorders>
              <w:top w:val="nil"/>
              <w:left w:val="nil"/>
              <w:bottom w:val="nil"/>
              <w:right w:val="nil"/>
            </w:tcBorders>
            <w:noWrap/>
            <w:vAlign w:val="bottom"/>
            <w:hideMark/>
          </w:tcPr>
          <w:p w14:paraId="2541A3CA" w14:textId="77777777" w:rsidR="008F6BB6" w:rsidRPr="008F6BB6" w:rsidRDefault="008F6BB6" w:rsidP="008F6BB6">
            <w:pPr>
              <w:spacing w:after="0" w:line="240" w:lineRule="auto"/>
              <w:jc w:val="center"/>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8.03</w:t>
            </w:r>
          </w:p>
        </w:tc>
      </w:tr>
      <w:tr w:rsidR="008F6BB6" w:rsidRPr="008F6BB6" w14:paraId="5FF87C5B" w14:textId="77777777" w:rsidTr="008F6BB6">
        <w:trPr>
          <w:trHeight w:val="290"/>
        </w:trPr>
        <w:tc>
          <w:tcPr>
            <w:tcW w:w="2440" w:type="dxa"/>
            <w:tcBorders>
              <w:top w:val="nil"/>
              <w:left w:val="nil"/>
              <w:bottom w:val="single" w:sz="4" w:space="0" w:color="auto"/>
              <w:right w:val="nil"/>
            </w:tcBorders>
            <w:noWrap/>
            <w:vAlign w:val="bottom"/>
            <w:hideMark/>
          </w:tcPr>
          <w:p w14:paraId="2F7C6572" w14:textId="77777777" w:rsidR="008F6BB6" w:rsidRPr="008F6BB6" w:rsidRDefault="008F6BB6" w:rsidP="008F6BB6">
            <w:pPr>
              <w:spacing w:after="0" w:line="240" w:lineRule="auto"/>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 xml:space="preserve">Dissolved Oxygen (ppm)  </w:t>
            </w:r>
          </w:p>
        </w:tc>
        <w:tc>
          <w:tcPr>
            <w:tcW w:w="2040" w:type="dxa"/>
            <w:tcBorders>
              <w:top w:val="nil"/>
              <w:left w:val="nil"/>
              <w:bottom w:val="single" w:sz="4" w:space="0" w:color="auto"/>
              <w:right w:val="nil"/>
            </w:tcBorders>
            <w:noWrap/>
            <w:vAlign w:val="bottom"/>
            <w:hideMark/>
          </w:tcPr>
          <w:p w14:paraId="524C9709" w14:textId="77777777" w:rsidR="008F6BB6" w:rsidRPr="008F6BB6" w:rsidRDefault="008F6BB6" w:rsidP="008F6BB6">
            <w:pPr>
              <w:spacing w:after="0" w:line="240" w:lineRule="auto"/>
              <w:jc w:val="center"/>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 xml:space="preserve">2.96-5.17     </w:t>
            </w:r>
          </w:p>
        </w:tc>
        <w:tc>
          <w:tcPr>
            <w:tcW w:w="1920" w:type="dxa"/>
            <w:tcBorders>
              <w:top w:val="nil"/>
              <w:left w:val="nil"/>
              <w:bottom w:val="single" w:sz="4" w:space="0" w:color="auto"/>
              <w:right w:val="nil"/>
            </w:tcBorders>
            <w:noWrap/>
            <w:vAlign w:val="bottom"/>
            <w:hideMark/>
          </w:tcPr>
          <w:p w14:paraId="5F4B1F31" w14:textId="77777777" w:rsidR="008F6BB6" w:rsidRPr="008F6BB6" w:rsidRDefault="008F6BB6" w:rsidP="008F6BB6">
            <w:pPr>
              <w:spacing w:after="0" w:line="240" w:lineRule="auto"/>
              <w:jc w:val="center"/>
              <w:rPr>
                <w:rFonts w:ascii="Arial" w:eastAsia="Times New Roman" w:hAnsi="Arial" w:cs="Arial"/>
                <w:color w:val="000000"/>
                <w:sz w:val="18"/>
                <w:szCs w:val="18"/>
                <w:lang w:val="en-ID" w:eastAsia="en-ID"/>
              </w:rPr>
            </w:pPr>
            <w:r w:rsidRPr="008F6BB6">
              <w:rPr>
                <w:rFonts w:ascii="Arial" w:eastAsia="Times New Roman" w:hAnsi="Arial" w:cs="Arial"/>
                <w:color w:val="000000"/>
                <w:sz w:val="18"/>
                <w:szCs w:val="18"/>
                <w:lang w:val="en-ID" w:eastAsia="en-ID"/>
              </w:rPr>
              <w:t xml:space="preserve"> 4.12</w:t>
            </w:r>
          </w:p>
        </w:tc>
      </w:tr>
    </w:tbl>
    <w:p w14:paraId="4FE1D79D" w14:textId="77777777" w:rsidR="008F6BB6" w:rsidRDefault="008F6BB6" w:rsidP="004C1C8A">
      <w:pPr>
        <w:spacing w:after="0" w:line="240" w:lineRule="auto"/>
        <w:rPr>
          <w:rFonts w:ascii="Arial" w:hAnsi="Arial" w:cs="Arial"/>
          <w:b/>
          <w:bCs/>
          <w:color w:val="000000" w:themeColor="text1"/>
          <w:sz w:val="18"/>
          <w:szCs w:val="18"/>
          <w:lang w:val="en-ID"/>
        </w:rPr>
      </w:pPr>
    </w:p>
    <w:p w14:paraId="3D19365F" w14:textId="77777777" w:rsidR="008F6BB6" w:rsidRDefault="008F6BB6" w:rsidP="004C1C8A">
      <w:pPr>
        <w:spacing w:after="0" w:line="240" w:lineRule="auto"/>
        <w:rPr>
          <w:rFonts w:ascii="Arial" w:hAnsi="Arial" w:cs="Arial"/>
          <w:b/>
          <w:bCs/>
          <w:color w:val="000000" w:themeColor="text1"/>
          <w:sz w:val="18"/>
          <w:szCs w:val="18"/>
          <w:lang w:val="en-ID"/>
        </w:rPr>
      </w:pPr>
    </w:p>
    <w:p w14:paraId="547568CA" w14:textId="49F888FA" w:rsidR="004C1C8A" w:rsidRPr="00F1570C" w:rsidRDefault="004C1C8A" w:rsidP="004C1C8A">
      <w:pPr>
        <w:spacing w:after="0" w:line="240" w:lineRule="auto"/>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3.</w:t>
      </w:r>
      <w:r w:rsidR="008D2D15">
        <w:rPr>
          <w:rFonts w:ascii="Arial" w:hAnsi="Arial" w:cs="Arial"/>
          <w:b/>
          <w:bCs/>
          <w:color w:val="000000" w:themeColor="text1"/>
          <w:sz w:val="18"/>
          <w:szCs w:val="18"/>
          <w:lang w:val="en-ID"/>
        </w:rPr>
        <w:t>2</w:t>
      </w:r>
      <w:r w:rsidRPr="00F1570C">
        <w:rPr>
          <w:rFonts w:ascii="Arial" w:hAnsi="Arial" w:cs="Arial"/>
          <w:b/>
          <w:bCs/>
          <w:color w:val="000000" w:themeColor="text1"/>
          <w:sz w:val="18"/>
          <w:szCs w:val="18"/>
          <w:lang w:val="en-ID"/>
        </w:rPr>
        <w:t xml:space="preserve">  Phytoplankton Abundance</w:t>
      </w:r>
    </w:p>
    <w:p w14:paraId="3742027F" w14:textId="77777777" w:rsidR="004C1C8A" w:rsidRPr="00F1570C" w:rsidRDefault="004C1C8A" w:rsidP="004C1C8A">
      <w:pPr>
        <w:spacing w:after="0" w:line="240" w:lineRule="auto"/>
        <w:rPr>
          <w:rFonts w:ascii="Arial" w:hAnsi="Arial" w:cs="Arial"/>
          <w:b/>
          <w:bCs/>
          <w:color w:val="000000" w:themeColor="text1"/>
          <w:sz w:val="18"/>
          <w:szCs w:val="18"/>
          <w:lang w:val="en-ID"/>
        </w:rPr>
      </w:pPr>
    </w:p>
    <w:p w14:paraId="7A66984D" w14:textId="0ED11395" w:rsidR="004C1C8A" w:rsidRPr="00F1570C" w:rsidRDefault="004C1C8A" w:rsidP="004C1C8A">
      <w:pPr>
        <w:spacing w:after="0" w:line="240" w:lineRule="auto"/>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3.</w:t>
      </w:r>
      <w:r w:rsidR="008D2D15">
        <w:rPr>
          <w:rFonts w:ascii="Arial" w:hAnsi="Arial" w:cs="Arial"/>
          <w:b/>
          <w:bCs/>
          <w:color w:val="000000" w:themeColor="text1"/>
          <w:sz w:val="18"/>
          <w:szCs w:val="18"/>
          <w:lang w:val="en-ID"/>
        </w:rPr>
        <w:t>2</w:t>
      </w:r>
      <w:r w:rsidRPr="00F1570C">
        <w:rPr>
          <w:rFonts w:ascii="Arial" w:hAnsi="Arial" w:cs="Arial"/>
          <w:b/>
          <w:bCs/>
          <w:color w:val="000000" w:themeColor="text1"/>
          <w:sz w:val="18"/>
          <w:szCs w:val="18"/>
          <w:lang w:val="en-ID"/>
        </w:rPr>
        <w:t>.1 Trend of phytoplankton abundance in Jakarta Bay from 2008 to 2019.</w:t>
      </w:r>
    </w:p>
    <w:p w14:paraId="4CEDBDD4" w14:textId="77777777" w:rsidR="004C1C8A" w:rsidRPr="00F1570C" w:rsidRDefault="004C1C8A" w:rsidP="004C1C8A">
      <w:pPr>
        <w:spacing w:after="0" w:line="240" w:lineRule="auto"/>
        <w:jc w:val="both"/>
        <w:rPr>
          <w:rFonts w:ascii="Arial" w:hAnsi="Arial" w:cs="Arial"/>
          <w:color w:val="000000" w:themeColor="text1"/>
          <w:sz w:val="18"/>
          <w:szCs w:val="18"/>
          <w:lang w:val="en-ID"/>
        </w:rPr>
      </w:pPr>
    </w:p>
    <w:p w14:paraId="57985198" w14:textId="57732891" w:rsidR="004C1C8A" w:rsidRPr="00F1570C" w:rsidRDefault="00CC2E12" w:rsidP="004C1C8A">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The temporal trend of phytoplankton abundance in Jakarta Bay from 2008 to 2019 (Figure 2) shows significant yearly and seasonal variations, with a notable bloom between 2009 and 2010 when cell density reached about 2.85 × 10⁸ cells m</w:t>
      </w:r>
      <w:r>
        <w:rPr>
          <w:rFonts w:ascii="Cambria Math" w:hAnsi="Cambria Math" w:cs="Cambria Math"/>
          <w:color w:val="000000" w:themeColor="text1"/>
          <w:sz w:val="18"/>
          <w:szCs w:val="18"/>
          <w:lang w:val="en-ID"/>
        </w:rPr>
        <w:t>⁻</w:t>
      </w:r>
      <w:r>
        <w:rPr>
          <w:rFonts w:ascii="Arial" w:hAnsi="Arial" w:cs="Arial"/>
          <w:color w:val="000000" w:themeColor="text1"/>
          <w:sz w:val="18"/>
          <w:szCs w:val="18"/>
          <w:lang w:val="en-ID"/>
        </w:rPr>
        <w:t xml:space="preserve">³. This rapid growth, likely driven by diatom genera such as </w:t>
      </w:r>
      <w:proofErr w:type="spellStart"/>
      <w:r>
        <w:rPr>
          <w:rFonts w:ascii="Arial" w:hAnsi="Arial" w:cs="Arial"/>
          <w:color w:val="000000" w:themeColor="text1"/>
          <w:sz w:val="18"/>
          <w:szCs w:val="18"/>
          <w:lang w:val="en-ID"/>
        </w:rPr>
        <w:t>Chaetoceros</w:t>
      </w:r>
      <w:proofErr w:type="spellEnd"/>
      <w:r>
        <w:rPr>
          <w:rFonts w:ascii="Arial" w:hAnsi="Arial" w:cs="Arial"/>
          <w:color w:val="000000" w:themeColor="text1"/>
          <w:sz w:val="18"/>
          <w:szCs w:val="18"/>
          <w:lang w:val="en-ID"/>
        </w:rPr>
        <w:t xml:space="preserve"> and </w:t>
      </w:r>
      <w:proofErr w:type="spellStart"/>
      <w:r>
        <w:rPr>
          <w:rFonts w:ascii="Arial" w:hAnsi="Arial" w:cs="Arial"/>
          <w:color w:val="000000" w:themeColor="text1"/>
          <w:sz w:val="18"/>
          <w:szCs w:val="18"/>
          <w:lang w:val="en-ID"/>
        </w:rPr>
        <w:t>Skeletonema</w:t>
      </w:r>
      <w:proofErr w:type="spellEnd"/>
      <w:r>
        <w:rPr>
          <w:rFonts w:ascii="Arial" w:hAnsi="Arial" w:cs="Arial"/>
          <w:color w:val="000000" w:themeColor="text1"/>
          <w:sz w:val="18"/>
          <w:szCs w:val="18"/>
          <w:lang w:val="en-ID"/>
        </w:rPr>
        <w:t xml:space="preserve">, indicates an episodic response to </w:t>
      </w:r>
      <w:proofErr w:type="spellStart"/>
      <w:r>
        <w:rPr>
          <w:rFonts w:ascii="Arial" w:hAnsi="Arial" w:cs="Arial"/>
          <w:color w:val="000000" w:themeColor="text1"/>
          <w:sz w:val="18"/>
          <w:szCs w:val="18"/>
          <w:lang w:val="en-ID"/>
        </w:rPr>
        <w:t>favorable</w:t>
      </w:r>
      <w:proofErr w:type="spellEnd"/>
      <w:r>
        <w:rPr>
          <w:rFonts w:ascii="Arial" w:hAnsi="Arial" w:cs="Arial"/>
          <w:color w:val="000000" w:themeColor="text1"/>
          <w:sz w:val="18"/>
          <w:szCs w:val="18"/>
          <w:lang w:val="en-ID"/>
        </w:rPr>
        <w:t xml:space="preserve"> environmental conditions</w:t>
      </w:r>
      <w:r w:rsidR="00330943">
        <w:rPr>
          <w:rFonts w:ascii="Arial" w:hAnsi="Arial" w:cs="Arial"/>
          <w:color w:val="000000" w:themeColor="text1"/>
          <w:sz w:val="18"/>
          <w:szCs w:val="18"/>
          <w:lang w:val="en-ID"/>
        </w:rPr>
        <w:t xml:space="preserve">, </w:t>
      </w:r>
      <w:r>
        <w:rPr>
          <w:rFonts w:ascii="Arial" w:hAnsi="Arial" w:cs="Arial"/>
          <w:color w:val="000000" w:themeColor="text1"/>
          <w:sz w:val="18"/>
          <w:szCs w:val="18"/>
          <w:lang w:val="en-ID"/>
        </w:rPr>
        <w:t>high nutrient input, stable water movement, and increased sunlight during the dry season. Such short, intense events are typical of eutrophication pulses caused by river runoff or untreated wastewater discharge, followed by a quick decline due to nutrient depletion, grazing, or self-shading (</w:t>
      </w:r>
      <w:proofErr w:type="spellStart"/>
      <w:r>
        <w:rPr>
          <w:rFonts w:ascii="Arial" w:hAnsi="Arial" w:cs="Arial"/>
          <w:color w:val="000000" w:themeColor="text1"/>
          <w:sz w:val="18"/>
          <w:szCs w:val="18"/>
          <w:lang w:val="en-ID"/>
        </w:rPr>
        <w:t>Damar</w:t>
      </w:r>
      <w:proofErr w:type="spellEnd"/>
      <w:r>
        <w:rPr>
          <w:rFonts w:ascii="Arial" w:hAnsi="Arial" w:cs="Arial"/>
          <w:color w:val="000000" w:themeColor="text1"/>
          <w:sz w:val="18"/>
          <w:szCs w:val="18"/>
          <w:lang w:val="en-ID"/>
        </w:rPr>
        <w:t xml:space="preserve"> et al., 2020; </w:t>
      </w:r>
      <w:proofErr w:type="spellStart"/>
      <w:r>
        <w:rPr>
          <w:rFonts w:ascii="Arial" w:hAnsi="Arial" w:cs="Arial"/>
          <w:color w:val="000000" w:themeColor="text1"/>
          <w:sz w:val="18"/>
          <w:szCs w:val="18"/>
          <w:lang w:val="en-ID"/>
        </w:rPr>
        <w:t>Sidabutar</w:t>
      </w:r>
      <w:proofErr w:type="spellEnd"/>
      <w:r>
        <w:rPr>
          <w:rFonts w:ascii="Arial" w:hAnsi="Arial" w:cs="Arial"/>
          <w:color w:val="000000" w:themeColor="text1"/>
          <w:sz w:val="18"/>
          <w:szCs w:val="18"/>
          <w:lang w:val="en-ID"/>
        </w:rPr>
        <w:t xml:space="preserve"> &amp; </w:t>
      </w:r>
      <w:proofErr w:type="spellStart"/>
      <w:r>
        <w:rPr>
          <w:rFonts w:ascii="Arial" w:hAnsi="Arial" w:cs="Arial"/>
          <w:color w:val="000000" w:themeColor="text1"/>
          <w:sz w:val="18"/>
          <w:szCs w:val="18"/>
          <w:lang w:val="en-ID"/>
        </w:rPr>
        <w:t>Srimariana</w:t>
      </w:r>
      <w:proofErr w:type="spellEnd"/>
      <w:r>
        <w:rPr>
          <w:rFonts w:ascii="Arial" w:hAnsi="Arial" w:cs="Arial"/>
          <w:color w:val="000000" w:themeColor="text1"/>
          <w:sz w:val="18"/>
          <w:szCs w:val="18"/>
          <w:lang w:val="en-ID"/>
        </w:rPr>
        <w:t>, 2020).</w:t>
      </w:r>
    </w:p>
    <w:p w14:paraId="097F1D6C" w14:textId="77777777" w:rsidR="004C1C8A" w:rsidRPr="00F1570C" w:rsidRDefault="004C1C8A" w:rsidP="004C1C8A">
      <w:pPr>
        <w:spacing w:after="0" w:line="240" w:lineRule="auto"/>
        <w:jc w:val="both"/>
        <w:rPr>
          <w:rFonts w:ascii="Arial" w:hAnsi="Arial" w:cs="Arial"/>
          <w:color w:val="000000" w:themeColor="text1"/>
          <w:sz w:val="18"/>
          <w:szCs w:val="18"/>
          <w:lang w:val="en-ID"/>
        </w:rPr>
      </w:pPr>
    </w:p>
    <w:p w14:paraId="6C986C9B" w14:textId="77777777" w:rsidR="004C1C8A" w:rsidRPr="00F1570C" w:rsidRDefault="004C1C8A" w:rsidP="004C1C8A">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After this bloom, phytoplankton numbers dropped sharply and stayed low and relatively stable from 2011 to 2019, with only small yearly changes. The ongoing decrease in bloom strength suggests a shift from sporadic nutrient boosts to a consistently nutrient-rich but less productive state, probably due to changes in nutrient ratios, sediment build-up, and increased turbidity from continued coastal reclamation and pollution. The persistent low levels despite ongoing nutrient input point to changes in ecosystem functioning, including poor water quality, frequent hypoxia, and limited light, which hinder phytoplankton growth (</w:t>
      </w:r>
      <w:proofErr w:type="spellStart"/>
      <w:r w:rsidRPr="00F1570C">
        <w:rPr>
          <w:rFonts w:ascii="Arial" w:hAnsi="Arial" w:cs="Arial"/>
          <w:color w:val="000000" w:themeColor="text1"/>
          <w:sz w:val="18"/>
          <w:szCs w:val="18"/>
          <w:lang w:val="en-ID"/>
        </w:rPr>
        <w:t>Puspasari</w:t>
      </w:r>
      <w:proofErr w:type="spellEnd"/>
      <w:r w:rsidRPr="00F1570C">
        <w:rPr>
          <w:rFonts w:ascii="Arial" w:hAnsi="Arial" w:cs="Arial"/>
          <w:color w:val="000000" w:themeColor="text1"/>
          <w:sz w:val="18"/>
          <w:szCs w:val="18"/>
          <w:lang w:val="en-ID"/>
        </w:rPr>
        <w:t xml:space="preserve"> et al., 2018; </w:t>
      </w:r>
      <w:proofErr w:type="spellStart"/>
      <w:r w:rsidRPr="00F1570C">
        <w:rPr>
          <w:rFonts w:ascii="Arial" w:hAnsi="Arial" w:cs="Arial"/>
          <w:color w:val="000000" w:themeColor="text1"/>
          <w:sz w:val="18"/>
          <w:szCs w:val="18"/>
          <w:lang w:val="en-ID"/>
        </w:rPr>
        <w:t>Karpowicz</w:t>
      </w:r>
      <w:proofErr w:type="spellEnd"/>
      <w:r w:rsidRPr="00F1570C">
        <w:rPr>
          <w:rFonts w:ascii="Arial" w:hAnsi="Arial" w:cs="Arial"/>
          <w:color w:val="000000" w:themeColor="text1"/>
          <w:sz w:val="18"/>
          <w:szCs w:val="18"/>
          <w:lang w:val="en-ID"/>
        </w:rPr>
        <w:t xml:space="preserve"> et al., 2020; </w:t>
      </w:r>
      <w:proofErr w:type="spellStart"/>
      <w:r w:rsidRPr="00F1570C">
        <w:rPr>
          <w:rFonts w:ascii="Arial" w:hAnsi="Arial" w:cs="Arial"/>
          <w:color w:val="000000" w:themeColor="text1"/>
          <w:sz w:val="18"/>
          <w:szCs w:val="18"/>
          <w:lang w:val="en-ID"/>
        </w:rPr>
        <w:t>Dwiyitno</w:t>
      </w:r>
      <w:proofErr w:type="spellEnd"/>
      <w:r w:rsidRPr="00F1570C">
        <w:rPr>
          <w:rFonts w:ascii="Arial" w:hAnsi="Arial" w:cs="Arial"/>
          <w:color w:val="000000" w:themeColor="text1"/>
          <w:sz w:val="18"/>
          <w:szCs w:val="18"/>
          <w:lang w:val="en-ID"/>
        </w:rPr>
        <w:t xml:space="preserve"> et al., 2022). Overall, the data show a typical rise-and-fall pattern of phytoplankton biomass common in highly urbanized tropical coastal areas, reflecting nutrient-related instability and lowered ecological resilience (</w:t>
      </w:r>
      <w:proofErr w:type="spellStart"/>
      <w:r w:rsidRPr="00F1570C">
        <w:rPr>
          <w:rFonts w:ascii="Arial" w:hAnsi="Arial" w:cs="Arial"/>
          <w:color w:val="000000" w:themeColor="text1"/>
          <w:sz w:val="18"/>
          <w:szCs w:val="18"/>
          <w:lang w:val="en-ID"/>
        </w:rPr>
        <w:t>Heery</w:t>
      </w:r>
      <w:proofErr w:type="spellEnd"/>
      <w:r w:rsidRPr="00F1570C">
        <w:rPr>
          <w:rFonts w:ascii="Arial" w:hAnsi="Arial" w:cs="Arial"/>
          <w:color w:val="000000" w:themeColor="text1"/>
          <w:sz w:val="18"/>
          <w:szCs w:val="18"/>
          <w:lang w:val="en-ID"/>
        </w:rPr>
        <w:t xml:space="preserve"> et al., 2018; </w:t>
      </w:r>
      <w:proofErr w:type="spellStart"/>
      <w:r w:rsidRPr="00F1570C">
        <w:rPr>
          <w:rFonts w:ascii="Arial" w:hAnsi="Arial" w:cs="Arial"/>
          <w:color w:val="000000" w:themeColor="text1"/>
          <w:sz w:val="18"/>
          <w:szCs w:val="18"/>
          <w:lang w:val="en-ID"/>
        </w:rPr>
        <w:t>Damar</w:t>
      </w:r>
      <w:proofErr w:type="spellEnd"/>
      <w:r w:rsidRPr="00F1570C">
        <w:rPr>
          <w:rFonts w:ascii="Arial" w:hAnsi="Arial" w:cs="Arial"/>
          <w:color w:val="000000" w:themeColor="text1"/>
          <w:sz w:val="18"/>
          <w:szCs w:val="18"/>
          <w:lang w:val="en-ID"/>
        </w:rPr>
        <w:t xml:space="preserve"> et al., 2020).</w:t>
      </w:r>
    </w:p>
    <w:p w14:paraId="48D57D97" w14:textId="77777777" w:rsidR="005C388E" w:rsidRPr="00F1570C" w:rsidRDefault="005C388E" w:rsidP="00D4559A">
      <w:pPr>
        <w:spacing w:after="0" w:line="240" w:lineRule="auto"/>
        <w:jc w:val="both"/>
        <w:rPr>
          <w:rFonts w:ascii="Arial" w:hAnsi="Arial" w:cs="Arial"/>
          <w:color w:val="000000" w:themeColor="text1"/>
          <w:sz w:val="18"/>
          <w:szCs w:val="18"/>
          <w:lang w:val="en-ID"/>
        </w:rPr>
      </w:pPr>
    </w:p>
    <w:p w14:paraId="7729DE75" w14:textId="1966F64C" w:rsidR="00470F41" w:rsidRPr="00F1570C" w:rsidRDefault="00470F41" w:rsidP="00470F41">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3.</w:t>
      </w:r>
      <w:r w:rsidR="008D2D15">
        <w:rPr>
          <w:rFonts w:ascii="Arial" w:hAnsi="Arial" w:cs="Arial"/>
          <w:b/>
          <w:bCs/>
          <w:color w:val="000000" w:themeColor="text1"/>
          <w:sz w:val="18"/>
          <w:szCs w:val="18"/>
          <w:lang w:val="en-ID"/>
        </w:rPr>
        <w:t>2</w:t>
      </w:r>
      <w:r w:rsidRPr="00F1570C">
        <w:rPr>
          <w:rFonts w:ascii="Arial" w:hAnsi="Arial" w:cs="Arial"/>
          <w:b/>
          <w:bCs/>
          <w:color w:val="000000" w:themeColor="text1"/>
          <w:sz w:val="18"/>
          <w:szCs w:val="18"/>
          <w:lang w:val="en-ID"/>
        </w:rPr>
        <w:t xml:space="preserve">.2 </w:t>
      </w:r>
      <w:r w:rsidR="00CC2E12">
        <w:rPr>
          <w:rFonts w:ascii="Arial" w:hAnsi="Arial" w:cs="Arial"/>
          <w:b/>
          <w:bCs/>
          <w:color w:val="000000" w:themeColor="text1"/>
          <w:sz w:val="18"/>
          <w:szCs w:val="18"/>
          <w:lang w:val="en-ID"/>
        </w:rPr>
        <w:t>La Niña</w:t>
      </w:r>
      <w:r w:rsidRPr="00F1570C">
        <w:rPr>
          <w:rFonts w:ascii="Arial" w:hAnsi="Arial" w:cs="Arial"/>
          <w:b/>
          <w:bCs/>
          <w:color w:val="000000" w:themeColor="text1"/>
          <w:sz w:val="18"/>
          <w:szCs w:val="18"/>
          <w:lang w:val="en-ID"/>
        </w:rPr>
        <w:t xml:space="preserve"> </w:t>
      </w:r>
      <w:r w:rsidR="00CC2E12">
        <w:rPr>
          <w:rFonts w:ascii="Arial" w:hAnsi="Arial" w:cs="Arial"/>
          <w:b/>
          <w:bCs/>
          <w:color w:val="000000" w:themeColor="text1"/>
          <w:sz w:val="18"/>
          <w:szCs w:val="18"/>
          <w:lang w:val="en-ID"/>
        </w:rPr>
        <w:t xml:space="preserve">as the </w:t>
      </w:r>
      <w:r w:rsidR="002502C0">
        <w:rPr>
          <w:rFonts w:ascii="Arial" w:hAnsi="Arial" w:cs="Arial"/>
          <w:b/>
          <w:bCs/>
          <w:color w:val="000000" w:themeColor="text1"/>
          <w:sz w:val="18"/>
          <w:szCs w:val="18"/>
          <w:lang w:val="en-ID"/>
        </w:rPr>
        <w:t>Driver</w:t>
      </w:r>
      <w:r w:rsidRPr="00F1570C">
        <w:rPr>
          <w:rFonts w:ascii="Arial" w:hAnsi="Arial" w:cs="Arial"/>
          <w:b/>
          <w:bCs/>
          <w:color w:val="000000" w:themeColor="text1"/>
          <w:sz w:val="18"/>
          <w:szCs w:val="18"/>
          <w:lang w:val="en-ID"/>
        </w:rPr>
        <w:t xml:space="preserve"> of the 2010 Phytoplankton Peak</w:t>
      </w:r>
    </w:p>
    <w:p w14:paraId="1C483860" w14:textId="77777777" w:rsidR="00470F41" w:rsidRPr="00F1570C" w:rsidRDefault="00470F41" w:rsidP="00470F41">
      <w:pPr>
        <w:spacing w:after="0" w:line="240" w:lineRule="auto"/>
        <w:jc w:val="both"/>
        <w:rPr>
          <w:rFonts w:ascii="Arial" w:hAnsi="Arial" w:cs="Arial"/>
          <w:color w:val="000000" w:themeColor="text1"/>
          <w:sz w:val="18"/>
          <w:szCs w:val="18"/>
          <w:lang w:val="en-ID"/>
        </w:rPr>
      </w:pPr>
    </w:p>
    <w:p w14:paraId="19A78DD3" w14:textId="33E1785C" w:rsidR="00470F41" w:rsidRPr="00F1570C" w:rsidRDefault="00470F41" w:rsidP="00470F41">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The exceptionally high phytoplankton abundance observed in 2010 closely coincides with a strong La Niña event that affected much of the Indonesian maritime region. During this period, sea-surface temperatures in the central Pacific were unusually warm, which strengthened the Walker circulation and led to above-average rainfall and river discharge across Java (</w:t>
      </w:r>
      <w:proofErr w:type="spellStart"/>
      <w:r w:rsidRPr="00F1570C">
        <w:rPr>
          <w:rFonts w:ascii="Arial" w:hAnsi="Arial" w:cs="Arial"/>
          <w:color w:val="000000" w:themeColor="text1"/>
          <w:sz w:val="18"/>
          <w:szCs w:val="18"/>
          <w:lang w:val="en-ID"/>
        </w:rPr>
        <w:t>Rodysill</w:t>
      </w:r>
      <w:proofErr w:type="spellEnd"/>
      <w:r w:rsidRPr="00F1570C">
        <w:rPr>
          <w:rFonts w:ascii="Arial" w:hAnsi="Arial" w:cs="Arial"/>
          <w:color w:val="000000" w:themeColor="text1"/>
          <w:sz w:val="18"/>
          <w:szCs w:val="18"/>
          <w:lang w:val="en-ID"/>
        </w:rPr>
        <w:t xml:space="preserve"> et al., 2019; Ward et al., 2010). Increased precipitation caused flooding in lowland areas and transported significant nutrients from the </w:t>
      </w:r>
      <w:proofErr w:type="spellStart"/>
      <w:r w:rsidRPr="00F1570C">
        <w:rPr>
          <w:rFonts w:ascii="Arial" w:hAnsi="Arial" w:cs="Arial"/>
          <w:color w:val="000000" w:themeColor="text1"/>
          <w:sz w:val="18"/>
          <w:szCs w:val="18"/>
          <w:lang w:val="en-ID"/>
        </w:rPr>
        <w:t>Ciliwung</w:t>
      </w:r>
      <w:proofErr w:type="spellEnd"/>
      <w:r w:rsidRPr="00F1570C">
        <w:rPr>
          <w:rFonts w:ascii="Arial" w:hAnsi="Arial" w:cs="Arial"/>
          <w:color w:val="000000" w:themeColor="text1"/>
          <w:sz w:val="18"/>
          <w:szCs w:val="18"/>
          <w:lang w:val="en-ID"/>
        </w:rPr>
        <w:t xml:space="preserve"> and other rivers into Jakarta Bay, thereby boosting dissolved inorganic nitrogen, phosphate, and silicate inputs. These conditions are typical of La Niña years, which enhance the monsoonal flow and </w:t>
      </w:r>
      <w:r w:rsidRPr="00F1570C">
        <w:rPr>
          <w:rFonts w:ascii="Arial" w:hAnsi="Arial" w:cs="Arial"/>
          <w:color w:val="000000" w:themeColor="text1"/>
          <w:sz w:val="18"/>
          <w:szCs w:val="18"/>
          <w:lang w:val="en-ID"/>
        </w:rPr>
        <w:lastRenderedPageBreak/>
        <w:t>increase terrestrial runoff. Similar climate</w:t>
      </w:r>
      <w:r w:rsidR="002502C0">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biological links have been documented in regional studies showing that ENSO and Indian Ocean Dipole (IOD) variability strongly influence chlorophyll-a levels and phytoplankton biomass in Indonesian coastal waters (</w:t>
      </w:r>
      <w:proofErr w:type="spellStart"/>
      <w:r w:rsidRPr="00F1570C">
        <w:rPr>
          <w:rFonts w:ascii="Arial" w:hAnsi="Arial" w:cs="Arial"/>
          <w:color w:val="000000" w:themeColor="text1"/>
          <w:sz w:val="18"/>
          <w:szCs w:val="18"/>
          <w:lang w:val="en-ID"/>
        </w:rPr>
        <w:t>Siswanto</w:t>
      </w:r>
      <w:proofErr w:type="spellEnd"/>
      <w:r w:rsidRPr="00F1570C">
        <w:rPr>
          <w:rFonts w:ascii="Arial" w:hAnsi="Arial" w:cs="Arial"/>
          <w:color w:val="000000" w:themeColor="text1"/>
          <w:sz w:val="18"/>
          <w:szCs w:val="18"/>
          <w:lang w:val="en-ID"/>
        </w:rPr>
        <w:t xml:space="preserve"> et al., 2020). Therefore, the 2010 La Niña event created hydrological and nutrient conditions </w:t>
      </w:r>
      <w:proofErr w:type="spellStart"/>
      <w:r w:rsidRPr="00F1570C">
        <w:rPr>
          <w:rFonts w:ascii="Arial" w:hAnsi="Arial" w:cs="Arial"/>
          <w:color w:val="000000" w:themeColor="text1"/>
          <w:sz w:val="18"/>
          <w:szCs w:val="18"/>
          <w:lang w:val="en-ID"/>
        </w:rPr>
        <w:t>favorable</w:t>
      </w:r>
      <w:proofErr w:type="spellEnd"/>
      <w:r w:rsidRPr="00F1570C">
        <w:rPr>
          <w:rFonts w:ascii="Arial" w:hAnsi="Arial" w:cs="Arial"/>
          <w:color w:val="000000" w:themeColor="text1"/>
          <w:sz w:val="18"/>
          <w:szCs w:val="18"/>
          <w:lang w:val="en-ID"/>
        </w:rPr>
        <w:t xml:space="preserve"> for rapid diatom growth, explaining the extraordinary peak in abundance observed in Jakarta Bay that year.</w:t>
      </w:r>
    </w:p>
    <w:p w14:paraId="4BF88E0D" w14:textId="77777777" w:rsidR="00470F41" w:rsidRPr="00F1570C" w:rsidRDefault="00470F41" w:rsidP="00470F41">
      <w:pPr>
        <w:spacing w:after="0" w:line="240" w:lineRule="auto"/>
        <w:jc w:val="both"/>
        <w:rPr>
          <w:rFonts w:ascii="Arial" w:hAnsi="Arial" w:cs="Arial"/>
          <w:color w:val="000000" w:themeColor="text1"/>
          <w:sz w:val="18"/>
          <w:szCs w:val="18"/>
          <w:lang w:val="en-ID"/>
        </w:rPr>
      </w:pPr>
    </w:p>
    <w:p w14:paraId="196E5D9E" w14:textId="392BF26A" w:rsidR="00470F41" w:rsidRPr="00F1570C" w:rsidRDefault="00CC2E12" w:rsidP="00470F41">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While the La Niña anomaly </w:t>
      </w:r>
      <w:r w:rsidR="00350FA7">
        <w:rPr>
          <w:rFonts w:ascii="Arial" w:hAnsi="Arial" w:cs="Arial"/>
          <w:color w:val="000000" w:themeColor="text1"/>
          <w:sz w:val="18"/>
          <w:szCs w:val="18"/>
          <w:lang w:val="en-ID"/>
        </w:rPr>
        <w:t>served as the climatic trigger, the severity of the 2010 bloom was exacerbated by ongoing eutrophication driven</w:t>
      </w:r>
      <w:r>
        <w:rPr>
          <w:rFonts w:ascii="Arial" w:hAnsi="Arial" w:cs="Arial"/>
          <w:color w:val="000000" w:themeColor="text1"/>
          <w:sz w:val="18"/>
          <w:szCs w:val="18"/>
          <w:lang w:val="en-ID"/>
        </w:rPr>
        <w:t xml:space="preserve"> by persistent human nutrient inputs. Years of unregulated wastewater discharge, urban runoff, and sedimentation increased nutrient levels in Jakarta Bay (</w:t>
      </w:r>
      <w:proofErr w:type="spellStart"/>
      <w:r>
        <w:rPr>
          <w:rFonts w:ascii="Arial" w:hAnsi="Arial" w:cs="Arial"/>
          <w:color w:val="000000" w:themeColor="text1"/>
          <w:sz w:val="18"/>
          <w:szCs w:val="18"/>
          <w:lang w:val="en-ID"/>
        </w:rPr>
        <w:t>Sidabutar</w:t>
      </w:r>
      <w:proofErr w:type="spellEnd"/>
      <w:r>
        <w:rPr>
          <w:rFonts w:ascii="Arial" w:hAnsi="Arial" w:cs="Arial"/>
          <w:color w:val="000000" w:themeColor="text1"/>
          <w:sz w:val="18"/>
          <w:szCs w:val="18"/>
          <w:lang w:val="en-ID"/>
        </w:rPr>
        <w:t xml:space="preserve"> &amp; </w:t>
      </w:r>
      <w:proofErr w:type="spellStart"/>
      <w:r>
        <w:rPr>
          <w:rFonts w:ascii="Arial" w:hAnsi="Arial" w:cs="Arial"/>
          <w:color w:val="000000" w:themeColor="text1"/>
          <w:sz w:val="18"/>
          <w:szCs w:val="18"/>
          <w:lang w:val="en-ID"/>
        </w:rPr>
        <w:t>Srimariana</w:t>
      </w:r>
      <w:proofErr w:type="spellEnd"/>
      <w:r>
        <w:rPr>
          <w:rFonts w:ascii="Arial" w:hAnsi="Arial" w:cs="Arial"/>
          <w:color w:val="000000" w:themeColor="text1"/>
          <w:sz w:val="18"/>
          <w:szCs w:val="18"/>
          <w:lang w:val="en-ID"/>
        </w:rPr>
        <w:t xml:space="preserve">, 2020; </w:t>
      </w:r>
      <w:proofErr w:type="spellStart"/>
      <w:r>
        <w:rPr>
          <w:rFonts w:ascii="Arial" w:hAnsi="Arial" w:cs="Arial"/>
          <w:color w:val="000000" w:themeColor="text1"/>
          <w:sz w:val="18"/>
          <w:szCs w:val="18"/>
          <w:lang w:val="en-ID"/>
        </w:rPr>
        <w:t>Damar</w:t>
      </w:r>
      <w:proofErr w:type="spellEnd"/>
      <w:r>
        <w:rPr>
          <w:rFonts w:ascii="Arial" w:hAnsi="Arial" w:cs="Arial"/>
          <w:color w:val="000000" w:themeColor="text1"/>
          <w:sz w:val="18"/>
          <w:szCs w:val="18"/>
          <w:lang w:val="en-ID"/>
        </w:rPr>
        <w:t xml:space="preserve"> et al., 2020). The combination of natural climate factors and existing eutrophic conditions intensified nutrient enrichment beyond ecological limits, encouraging the rapid growth of opportunistic diatoms like </w:t>
      </w:r>
      <w:proofErr w:type="spellStart"/>
      <w:r w:rsidRPr="00350FA7">
        <w:rPr>
          <w:rFonts w:ascii="Arial" w:hAnsi="Arial" w:cs="Arial"/>
          <w:i/>
          <w:iCs/>
          <w:color w:val="000000" w:themeColor="text1"/>
          <w:sz w:val="18"/>
          <w:szCs w:val="18"/>
          <w:lang w:val="en-ID"/>
        </w:rPr>
        <w:t>Chaetoceros</w:t>
      </w:r>
      <w:proofErr w:type="spellEnd"/>
      <w:r>
        <w:rPr>
          <w:rFonts w:ascii="Arial" w:hAnsi="Arial" w:cs="Arial"/>
          <w:color w:val="000000" w:themeColor="text1"/>
          <w:sz w:val="18"/>
          <w:szCs w:val="18"/>
          <w:lang w:val="en-ID"/>
        </w:rPr>
        <w:t xml:space="preserve"> and </w:t>
      </w:r>
      <w:proofErr w:type="spellStart"/>
      <w:r w:rsidRPr="00350FA7">
        <w:rPr>
          <w:rFonts w:ascii="Arial" w:hAnsi="Arial" w:cs="Arial"/>
          <w:i/>
          <w:iCs/>
          <w:color w:val="000000" w:themeColor="text1"/>
          <w:sz w:val="18"/>
          <w:szCs w:val="18"/>
          <w:lang w:val="en-ID"/>
        </w:rPr>
        <w:t>Skeletonema</w:t>
      </w:r>
      <w:proofErr w:type="spellEnd"/>
      <w:r>
        <w:rPr>
          <w:rFonts w:ascii="Arial" w:hAnsi="Arial" w:cs="Arial"/>
          <w:color w:val="000000" w:themeColor="text1"/>
          <w:sz w:val="18"/>
          <w:szCs w:val="18"/>
          <w:lang w:val="en-ID"/>
        </w:rPr>
        <w:t>. The bloom's decay likely intensified oxygen-depletion events typical of post-bloom eutrophic systems. This interaction between La Niña-driven hydrological changes and human nutrient overload highlights the multiscale nature of ecosystem instability in Jakarta Bay, where regional climate variability affects an already nutrient-saturated and hydrodynamically restricted coastal environment.</w:t>
      </w:r>
    </w:p>
    <w:p w14:paraId="027FAD59" w14:textId="77777777" w:rsidR="00470F41" w:rsidRPr="00F1570C" w:rsidRDefault="00470F41" w:rsidP="00D4559A">
      <w:pPr>
        <w:spacing w:after="0" w:line="240" w:lineRule="auto"/>
        <w:jc w:val="both"/>
        <w:rPr>
          <w:rFonts w:ascii="Arial" w:hAnsi="Arial" w:cs="Arial"/>
          <w:color w:val="000000" w:themeColor="text1"/>
          <w:sz w:val="18"/>
          <w:szCs w:val="18"/>
          <w:lang w:val="en-ID"/>
        </w:rPr>
      </w:pPr>
    </w:p>
    <w:p w14:paraId="5AB98228" w14:textId="109D67CB" w:rsidR="00E80CB4" w:rsidRPr="00F1570C" w:rsidRDefault="00AE2EA8" w:rsidP="00B06D57">
      <w:pPr>
        <w:spacing w:after="0" w:line="240" w:lineRule="auto"/>
        <w:jc w:val="both"/>
        <w:rPr>
          <w:rFonts w:ascii="Arial" w:hAnsi="Arial" w:cs="Arial"/>
          <w:b/>
          <w:bCs/>
          <w:color w:val="000000" w:themeColor="text1"/>
          <w:sz w:val="18"/>
          <w:szCs w:val="18"/>
          <w:lang w:val="en-ID"/>
        </w:rPr>
      </w:pPr>
      <w:r w:rsidRPr="00F1570C">
        <w:rPr>
          <w:rFonts w:ascii="Arial" w:hAnsi="Arial" w:cs="Arial"/>
          <w:b/>
          <w:noProof/>
          <w:color w:val="000000" w:themeColor="text1"/>
          <w:sz w:val="18"/>
          <w:szCs w:val="18"/>
        </w:rPr>
        <w:drawing>
          <wp:anchor distT="0" distB="0" distL="114300" distR="114300" simplePos="0" relativeHeight="251723264" behindDoc="0" locked="0" layoutInCell="1" allowOverlap="1" wp14:anchorId="1097CF9B" wp14:editId="01A39EE8">
            <wp:simplePos x="0" y="0"/>
            <wp:positionH relativeFrom="column">
              <wp:posOffset>242570</wp:posOffset>
            </wp:positionH>
            <wp:positionV relativeFrom="paragraph">
              <wp:posOffset>133350</wp:posOffset>
            </wp:positionV>
            <wp:extent cx="3628390" cy="2097405"/>
            <wp:effectExtent l="0" t="0" r="0" b="0"/>
            <wp:wrapTopAndBottom/>
            <wp:docPr id="1478013290" name="Picture 1" descr="A graph of numbers and a number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13290" name="Picture 1" descr="A graph of numbers and a number of cells&#10;&#10;AI-generated content may be incorrect."/>
                    <pic:cNvPicPr/>
                  </pic:nvPicPr>
                  <pic:blipFill>
                    <a:blip r:embed="rId9"/>
                    <a:stretch>
                      <a:fillRect/>
                    </a:stretch>
                  </pic:blipFill>
                  <pic:spPr>
                    <a:xfrm>
                      <a:off x="0" y="0"/>
                      <a:ext cx="3628390" cy="2097405"/>
                    </a:xfrm>
                    <a:prstGeom prst="rect">
                      <a:avLst/>
                    </a:prstGeom>
                  </pic:spPr>
                </pic:pic>
              </a:graphicData>
            </a:graphic>
            <wp14:sizeRelH relativeFrom="margin">
              <wp14:pctWidth>0</wp14:pctWidth>
            </wp14:sizeRelH>
            <wp14:sizeRelV relativeFrom="margin">
              <wp14:pctHeight>0</wp14:pctHeight>
            </wp14:sizeRelV>
          </wp:anchor>
        </w:drawing>
      </w:r>
    </w:p>
    <w:p w14:paraId="1E838F9A" w14:textId="1A8BB282" w:rsidR="00E80CB4" w:rsidRPr="00F1570C" w:rsidRDefault="00E80CB4" w:rsidP="00B06D57">
      <w:pPr>
        <w:spacing w:after="0" w:line="240" w:lineRule="auto"/>
        <w:jc w:val="both"/>
        <w:rPr>
          <w:rFonts w:ascii="Arial" w:hAnsi="Arial" w:cs="Arial"/>
          <w:b/>
          <w:bCs/>
          <w:color w:val="000000" w:themeColor="text1"/>
          <w:sz w:val="18"/>
          <w:szCs w:val="18"/>
          <w:lang w:val="en-ID"/>
        </w:rPr>
      </w:pPr>
    </w:p>
    <w:p w14:paraId="5AAB0EF8" w14:textId="77777777" w:rsidR="00022295" w:rsidRPr="00F1570C" w:rsidRDefault="00451634" w:rsidP="00E03CDF">
      <w:pPr>
        <w:spacing w:after="0" w:line="240" w:lineRule="auto"/>
        <w:jc w:val="both"/>
        <w:rPr>
          <w:rFonts w:ascii="Arial" w:hAnsi="Arial" w:cs="Arial"/>
          <w:color w:val="000000" w:themeColor="text1"/>
          <w:sz w:val="18"/>
          <w:szCs w:val="18"/>
        </w:rPr>
      </w:pPr>
      <w:r w:rsidRPr="00F1570C">
        <w:rPr>
          <w:rFonts w:ascii="Arial" w:hAnsi="Arial" w:cs="Arial"/>
          <w:b/>
          <w:bCs/>
          <w:color w:val="000000" w:themeColor="text1"/>
          <w:sz w:val="18"/>
          <w:szCs w:val="18"/>
          <w:lang w:val="fr-FR"/>
        </w:rPr>
        <w:t xml:space="preserve">Figure </w:t>
      </w:r>
      <w:r w:rsidR="00855A6D" w:rsidRPr="00F1570C">
        <w:rPr>
          <w:rFonts w:ascii="Arial" w:hAnsi="Arial" w:cs="Arial"/>
          <w:b/>
          <w:bCs/>
          <w:color w:val="000000" w:themeColor="text1"/>
          <w:sz w:val="18"/>
          <w:szCs w:val="18"/>
          <w:lang w:val="fr-FR"/>
        </w:rPr>
        <w:t>2</w:t>
      </w:r>
      <w:r w:rsidRPr="00F1570C">
        <w:rPr>
          <w:rFonts w:ascii="Arial" w:hAnsi="Arial" w:cs="Arial"/>
          <w:color w:val="000000" w:themeColor="text1"/>
          <w:sz w:val="18"/>
          <w:szCs w:val="18"/>
          <w:lang w:val="fr-FR"/>
        </w:rPr>
        <w:t xml:space="preserve">. </w:t>
      </w:r>
      <w:r w:rsidR="00E03CDF" w:rsidRPr="00F1570C">
        <w:rPr>
          <w:rFonts w:ascii="Arial" w:hAnsi="Arial" w:cs="Arial"/>
          <w:color w:val="000000" w:themeColor="text1"/>
          <w:sz w:val="18"/>
          <w:szCs w:val="18"/>
        </w:rPr>
        <w:t>Temporal trend of phytoplankton abundance (cells m</w:t>
      </w:r>
      <w:r w:rsidR="00E03CDF" w:rsidRPr="00F1570C">
        <w:rPr>
          <w:rFonts w:ascii="Cambria Math" w:hAnsi="Cambria Math" w:cs="Cambria Math"/>
          <w:color w:val="000000" w:themeColor="text1"/>
          <w:sz w:val="18"/>
          <w:szCs w:val="18"/>
        </w:rPr>
        <w:t>⁻</w:t>
      </w:r>
      <w:r w:rsidR="00E03CDF" w:rsidRPr="00F1570C">
        <w:rPr>
          <w:rFonts w:ascii="Arial" w:hAnsi="Arial" w:cs="Arial"/>
          <w:color w:val="000000" w:themeColor="text1"/>
          <w:sz w:val="18"/>
          <w:szCs w:val="18"/>
        </w:rPr>
        <w:t>³) in Jakarta Bay</w:t>
      </w:r>
    </w:p>
    <w:p w14:paraId="17C40930" w14:textId="77777777" w:rsidR="003B7F4A" w:rsidRDefault="00E03CDF" w:rsidP="003B7F4A">
      <w:pPr>
        <w:spacing w:after="0" w:line="240" w:lineRule="auto"/>
        <w:ind w:firstLine="720"/>
        <w:jc w:val="both"/>
        <w:rPr>
          <w:rFonts w:ascii="Arial" w:hAnsi="Arial" w:cs="Arial"/>
          <w:i/>
          <w:iCs/>
          <w:color w:val="000000" w:themeColor="text1"/>
          <w:sz w:val="18"/>
          <w:szCs w:val="18"/>
        </w:rPr>
      </w:pPr>
      <w:r w:rsidRPr="00F1570C">
        <w:rPr>
          <w:rFonts w:ascii="Arial" w:hAnsi="Arial" w:cs="Arial"/>
          <w:color w:val="000000" w:themeColor="text1"/>
          <w:sz w:val="18"/>
          <w:szCs w:val="18"/>
        </w:rPr>
        <w:t xml:space="preserve"> from 2008 to 2019. </w:t>
      </w:r>
      <w:r w:rsidR="003514C6" w:rsidRPr="003514C6">
        <w:rPr>
          <w:rFonts w:ascii="Arial" w:hAnsi="Arial" w:cs="Arial"/>
          <w:i/>
          <w:iCs/>
          <w:color w:val="000000" w:themeColor="text1"/>
          <w:sz w:val="18"/>
          <w:szCs w:val="18"/>
        </w:rPr>
        <w:t>A pronounced peak in 2010</w:t>
      </w:r>
      <w:r w:rsidR="003514C6">
        <w:rPr>
          <w:rFonts w:ascii="Arial" w:hAnsi="Arial" w:cs="Arial"/>
          <w:i/>
          <w:iCs/>
          <w:color w:val="000000" w:themeColor="text1"/>
          <w:sz w:val="18"/>
          <w:szCs w:val="18"/>
        </w:rPr>
        <w:t xml:space="preserve"> </w:t>
      </w:r>
      <w:r w:rsidR="003514C6" w:rsidRPr="003514C6">
        <w:rPr>
          <w:rFonts w:ascii="Arial" w:hAnsi="Arial" w:cs="Arial"/>
          <w:i/>
          <w:iCs/>
          <w:color w:val="000000" w:themeColor="text1"/>
          <w:sz w:val="18"/>
          <w:szCs w:val="18"/>
        </w:rPr>
        <w:t>corresponds to a strong</w:t>
      </w:r>
    </w:p>
    <w:p w14:paraId="0005855B" w14:textId="77777777" w:rsidR="003B7F4A" w:rsidRDefault="003514C6" w:rsidP="003B7F4A">
      <w:pPr>
        <w:spacing w:after="0" w:line="240" w:lineRule="auto"/>
        <w:ind w:firstLine="720"/>
        <w:jc w:val="both"/>
        <w:rPr>
          <w:rFonts w:ascii="Arial" w:hAnsi="Arial" w:cs="Arial"/>
          <w:i/>
          <w:iCs/>
          <w:color w:val="000000" w:themeColor="text1"/>
          <w:sz w:val="18"/>
          <w:szCs w:val="18"/>
        </w:rPr>
      </w:pPr>
      <w:r w:rsidRPr="003514C6">
        <w:rPr>
          <w:rFonts w:ascii="Arial" w:hAnsi="Arial" w:cs="Arial"/>
          <w:i/>
          <w:iCs/>
          <w:color w:val="000000" w:themeColor="text1"/>
          <w:sz w:val="18"/>
          <w:szCs w:val="18"/>
        </w:rPr>
        <w:t xml:space="preserve"> La Niña event, which enhanced rainfall and terrestrial runoff, increasing</w:t>
      </w:r>
    </w:p>
    <w:p w14:paraId="28D14484" w14:textId="794AF719" w:rsidR="003B7F4A" w:rsidRPr="00FD18A2" w:rsidRDefault="003514C6" w:rsidP="00FD18A2">
      <w:pPr>
        <w:spacing w:after="0" w:line="240" w:lineRule="auto"/>
        <w:ind w:firstLine="720"/>
        <w:jc w:val="both"/>
        <w:rPr>
          <w:rFonts w:ascii="Arial" w:hAnsi="Arial" w:cs="Arial"/>
          <w:i/>
          <w:iCs/>
          <w:color w:val="000000" w:themeColor="text1"/>
          <w:sz w:val="18"/>
          <w:szCs w:val="18"/>
        </w:rPr>
      </w:pPr>
      <w:r w:rsidRPr="003514C6">
        <w:rPr>
          <w:rFonts w:ascii="Arial" w:hAnsi="Arial" w:cs="Arial"/>
          <w:i/>
          <w:iCs/>
          <w:color w:val="000000" w:themeColor="text1"/>
          <w:sz w:val="18"/>
          <w:szCs w:val="18"/>
        </w:rPr>
        <w:t xml:space="preserve"> nutrient input and promoting extensive phytoplankton blooms. </w:t>
      </w:r>
    </w:p>
    <w:p w14:paraId="74E495CC" w14:textId="77777777" w:rsidR="00B7771E" w:rsidRPr="00F1570C" w:rsidRDefault="00B7771E" w:rsidP="00B7771E">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3.</w:t>
      </w:r>
      <w:r>
        <w:rPr>
          <w:rFonts w:ascii="Arial" w:hAnsi="Arial" w:cs="Arial"/>
          <w:b/>
          <w:bCs/>
          <w:color w:val="000000" w:themeColor="text1"/>
          <w:sz w:val="18"/>
          <w:szCs w:val="18"/>
          <w:lang w:val="en-ID"/>
        </w:rPr>
        <w:t>3</w:t>
      </w:r>
      <w:r w:rsidRPr="00F1570C">
        <w:rPr>
          <w:rFonts w:ascii="Arial" w:hAnsi="Arial" w:cs="Arial"/>
          <w:b/>
          <w:bCs/>
          <w:color w:val="000000" w:themeColor="text1"/>
          <w:sz w:val="18"/>
          <w:szCs w:val="18"/>
          <w:lang w:val="en-ID"/>
        </w:rPr>
        <w:t xml:space="preserve"> Phytoplankton Composition </w:t>
      </w:r>
    </w:p>
    <w:p w14:paraId="1152B27F" w14:textId="77777777" w:rsidR="00A27053" w:rsidRDefault="00A27053" w:rsidP="00EF654B">
      <w:pPr>
        <w:spacing w:after="0" w:line="240" w:lineRule="auto"/>
        <w:jc w:val="both"/>
        <w:rPr>
          <w:rFonts w:ascii="Arial" w:hAnsi="Arial" w:cs="Arial"/>
          <w:color w:val="000000" w:themeColor="text1"/>
          <w:sz w:val="18"/>
          <w:szCs w:val="18"/>
          <w:lang w:val="en-ID"/>
        </w:rPr>
      </w:pPr>
    </w:p>
    <w:p w14:paraId="4DFFC565" w14:textId="784F23DD" w:rsidR="00B7771E" w:rsidRDefault="002502C0" w:rsidP="00EF654B">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Figure 3 shows that the phytoplankton community in Jakarta Bay is dominated by diatoms, </w:t>
      </w:r>
      <w:r w:rsidR="00350FA7">
        <w:rPr>
          <w:rFonts w:ascii="Arial" w:hAnsi="Arial" w:cs="Arial"/>
          <w:color w:val="000000" w:themeColor="text1"/>
          <w:sz w:val="18"/>
          <w:szCs w:val="18"/>
          <w:lang w:val="en-ID"/>
        </w:rPr>
        <w:t xml:space="preserve">accounting for over 95% of </w:t>
      </w:r>
      <w:r>
        <w:rPr>
          <w:rFonts w:ascii="Arial" w:hAnsi="Arial" w:cs="Arial"/>
          <w:color w:val="000000" w:themeColor="text1"/>
          <w:sz w:val="18"/>
          <w:szCs w:val="18"/>
          <w:lang w:val="en-ID"/>
        </w:rPr>
        <w:t xml:space="preserve">total abundance. </w:t>
      </w:r>
      <w:proofErr w:type="spellStart"/>
      <w:r w:rsidRPr="002502C0">
        <w:rPr>
          <w:rFonts w:ascii="Arial" w:hAnsi="Arial" w:cs="Arial"/>
          <w:i/>
          <w:iCs/>
          <w:color w:val="000000" w:themeColor="text1"/>
          <w:sz w:val="18"/>
          <w:szCs w:val="18"/>
          <w:lang w:val="en-ID"/>
        </w:rPr>
        <w:t>Chaetoceros</w:t>
      </w:r>
      <w:proofErr w:type="spellEnd"/>
      <w:r>
        <w:rPr>
          <w:rFonts w:ascii="Arial" w:hAnsi="Arial" w:cs="Arial"/>
          <w:color w:val="000000" w:themeColor="text1"/>
          <w:sz w:val="18"/>
          <w:szCs w:val="18"/>
          <w:lang w:val="en-ID"/>
        </w:rPr>
        <w:t xml:space="preserve"> has the largest share at 49%, followed by </w:t>
      </w:r>
      <w:proofErr w:type="spellStart"/>
      <w:r w:rsidRPr="002502C0">
        <w:rPr>
          <w:rFonts w:ascii="Arial" w:hAnsi="Arial" w:cs="Arial"/>
          <w:i/>
          <w:iCs/>
          <w:color w:val="000000" w:themeColor="text1"/>
          <w:sz w:val="18"/>
          <w:szCs w:val="18"/>
          <w:lang w:val="en-ID"/>
        </w:rPr>
        <w:t>Skeletonema</w:t>
      </w:r>
      <w:proofErr w:type="spellEnd"/>
      <w:r>
        <w:rPr>
          <w:rFonts w:ascii="Arial" w:hAnsi="Arial" w:cs="Arial"/>
          <w:color w:val="000000" w:themeColor="text1"/>
          <w:sz w:val="18"/>
          <w:szCs w:val="18"/>
          <w:lang w:val="en-ID"/>
        </w:rPr>
        <w:t xml:space="preserve"> at 21% and </w:t>
      </w:r>
      <w:proofErr w:type="spellStart"/>
      <w:r>
        <w:rPr>
          <w:rFonts w:ascii="Arial" w:hAnsi="Arial" w:cs="Arial"/>
          <w:color w:val="000000" w:themeColor="text1"/>
          <w:sz w:val="18"/>
          <w:szCs w:val="18"/>
          <w:lang w:val="en-ID"/>
        </w:rPr>
        <w:t>Thalassiosira</w:t>
      </w:r>
      <w:proofErr w:type="spellEnd"/>
      <w:r>
        <w:rPr>
          <w:rFonts w:ascii="Arial" w:hAnsi="Arial" w:cs="Arial"/>
          <w:color w:val="000000" w:themeColor="text1"/>
          <w:sz w:val="18"/>
          <w:szCs w:val="18"/>
          <w:lang w:val="en-ID"/>
        </w:rPr>
        <w:t xml:space="preserve"> at 19%, while </w:t>
      </w:r>
      <w:r>
        <w:rPr>
          <w:rFonts w:ascii="Arial" w:hAnsi="Arial" w:cs="Arial"/>
          <w:color w:val="000000" w:themeColor="text1"/>
          <w:sz w:val="18"/>
          <w:szCs w:val="18"/>
          <w:lang w:val="en-ID"/>
        </w:rPr>
        <w:lastRenderedPageBreak/>
        <w:t>other genera account for less than 9%. This dominance indicates the bay’s hypertrophic condition, caused by significant nutrient inputs from river discharge and human activities (</w:t>
      </w:r>
      <w:proofErr w:type="spellStart"/>
      <w:r>
        <w:rPr>
          <w:rFonts w:ascii="Arial" w:hAnsi="Arial" w:cs="Arial"/>
          <w:color w:val="000000" w:themeColor="text1"/>
          <w:sz w:val="18"/>
          <w:szCs w:val="18"/>
          <w:lang w:val="en-ID"/>
        </w:rPr>
        <w:t>Wijayanti</w:t>
      </w:r>
      <w:proofErr w:type="spellEnd"/>
      <w:r>
        <w:rPr>
          <w:rFonts w:ascii="Arial" w:hAnsi="Arial" w:cs="Arial"/>
          <w:color w:val="000000" w:themeColor="text1"/>
          <w:sz w:val="18"/>
          <w:szCs w:val="18"/>
          <w:lang w:val="en-ID"/>
        </w:rPr>
        <w:t xml:space="preserve"> et al., 2025; </w:t>
      </w:r>
      <w:proofErr w:type="spellStart"/>
      <w:r>
        <w:rPr>
          <w:rFonts w:ascii="Arial" w:hAnsi="Arial" w:cs="Arial"/>
          <w:color w:val="000000" w:themeColor="text1"/>
          <w:sz w:val="18"/>
          <w:szCs w:val="18"/>
          <w:lang w:val="en-ID"/>
        </w:rPr>
        <w:t>Damar</w:t>
      </w:r>
      <w:proofErr w:type="spellEnd"/>
      <w:r>
        <w:rPr>
          <w:rFonts w:ascii="Arial" w:hAnsi="Arial" w:cs="Arial"/>
          <w:color w:val="000000" w:themeColor="text1"/>
          <w:sz w:val="18"/>
          <w:szCs w:val="18"/>
          <w:lang w:val="en-ID"/>
        </w:rPr>
        <w:t xml:space="preserve"> et al., 2020). The dominance of chain-forming species, especially </w:t>
      </w:r>
      <w:proofErr w:type="spellStart"/>
      <w:r w:rsidRPr="002502C0">
        <w:rPr>
          <w:rFonts w:ascii="Arial" w:hAnsi="Arial" w:cs="Arial"/>
          <w:i/>
          <w:iCs/>
          <w:color w:val="000000" w:themeColor="text1"/>
          <w:sz w:val="18"/>
          <w:szCs w:val="18"/>
          <w:lang w:val="en-ID"/>
        </w:rPr>
        <w:t>Chaetoceros</w:t>
      </w:r>
      <w:proofErr w:type="spellEnd"/>
      <w:r w:rsidRPr="002502C0">
        <w:rPr>
          <w:rFonts w:ascii="Arial" w:hAnsi="Arial" w:cs="Arial"/>
          <w:i/>
          <w:iCs/>
          <w:color w:val="000000" w:themeColor="text1"/>
          <w:sz w:val="18"/>
          <w:szCs w:val="18"/>
          <w:lang w:val="en-ID"/>
        </w:rPr>
        <w:t xml:space="preserve"> </w:t>
      </w:r>
      <w:r>
        <w:rPr>
          <w:rFonts w:ascii="Arial" w:hAnsi="Arial" w:cs="Arial"/>
          <w:color w:val="000000" w:themeColor="text1"/>
          <w:sz w:val="18"/>
          <w:szCs w:val="18"/>
          <w:lang w:val="en-ID"/>
        </w:rPr>
        <w:t xml:space="preserve">and </w:t>
      </w:r>
      <w:proofErr w:type="spellStart"/>
      <w:r w:rsidRPr="002502C0">
        <w:rPr>
          <w:rFonts w:ascii="Arial" w:hAnsi="Arial" w:cs="Arial"/>
          <w:i/>
          <w:iCs/>
          <w:color w:val="000000" w:themeColor="text1"/>
          <w:sz w:val="18"/>
          <w:szCs w:val="18"/>
          <w:lang w:val="en-ID"/>
        </w:rPr>
        <w:t>Skeletonema</w:t>
      </w:r>
      <w:proofErr w:type="spellEnd"/>
      <w:r>
        <w:rPr>
          <w:rFonts w:ascii="Arial" w:hAnsi="Arial" w:cs="Arial"/>
          <w:color w:val="000000" w:themeColor="text1"/>
          <w:sz w:val="18"/>
          <w:szCs w:val="18"/>
          <w:lang w:val="en-ID"/>
        </w:rPr>
        <w:t>, is typical of eutrophic, turbid waters where high nutrient levels and low water exchange support rapid population growth (</w:t>
      </w:r>
      <w:proofErr w:type="spellStart"/>
      <w:r>
        <w:rPr>
          <w:rFonts w:ascii="Arial" w:hAnsi="Arial" w:cs="Arial"/>
          <w:color w:val="000000" w:themeColor="text1"/>
          <w:sz w:val="18"/>
          <w:szCs w:val="18"/>
          <w:lang w:val="en-ID"/>
        </w:rPr>
        <w:t>Sidabutar</w:t>
      </w:r>
      <w:proofErr w:type="spellEnd"/>
      <w:r>
        <w:rPr>
          <w:rFonts w:ascii="Arial" w:hAnsi="Arial" w:cs="Arial"/>
          <w:color w:val="000000" w:themeColor="text1"/>
          <w:sz w:val="18"/>
          <w:szCs w:val="18"/>
          <w:lang w:val="en-ID"/>
        </w:rPr>
        <w:t xml:space="preserve"> et al., 2021).</w:t>
      </w:r>
    </w:p>
    <w:p w14:paraId="75AF7EF4" w14:textId="77777777" w:rsidR="00B7771E" w:rsidRDefault="00B7771E" w:rsidP="00EF654B">
      <w:pPr>
        <w:spacing w:after="0" w:line="240" w:lineRule="auto"/>
        <w:jc w:val="both"/>
        <w:rPr>
          <w:rFonts w:ascii="Arial" w:hAnsi="Arial" w:cs="Arial"/>
          <w:color w:val="000000" w:themeColor="text1"/>
          <w:sz w:val="18"/>
          <w:szCs w:val="18"/>
          <w:lang w:val="en-ID"/>
        </w:rPr>
      </w:pPr>
    </w:p>
    <w:p w14:paraId="0FB40B56" w14:textId="599E99B6" w:rsidR="00EF654B" w:rsidRPr="00F1570C" w:rsidRDefault="00F45329" w:rsidP="00EF654B">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Diatoms are widely recognized as sensitive indicators of coastal ecosystem health, and changes in their dominant genera reflect shifts in nutrient levels, water movement, and temperature. The limited presence of other phytoplankton groups indicates decreased biodiversity and low functional redundancy, conditions often found in nutrient-rich systems (Li et al., 2021). This simplified community structure weakens ecological stability and increases vulnerability to stressors such as hypoxia and harmful algal blooms. Similar patterns of diatom-driven community simplification have been observed in other urbanized eutrophic estuaries (Duprey et al., 2019; </w:t>
      </w:r>
      <w:proofErr w:type="spellStart"/>
      <w:r>
        <w:rPr>
          <w:rFonts w:ascii="Arial" w:hAnsi="Arial" w:cs="Arial"/>
          <w:color w:val="000000" w:themeColor="text1"/>
          <w:sz w:val="18"/>
          <w:szCs w:val="18"/>
          <w:lang w:val="en-ID"/>
        </w:rPr>
        <w:t>Heery</w:t>
      </w:r>
      <w:proofErr w:type="spellEnd"/>
      <w:r>
        <w:rPr>
          <w:rFonts w:ascii="Arial" w:hAnsi="Arial" w:cs="Arial"/>
          <w:color w:val="000000" w:themeColor="text1"/>
          <w:sz w:val="18"/>
          <w:szCs w:val="18"/>
          <w:lang w:val="en-ID"/>
        </w:rPr>
        <w:t xml:space="preserve"> et al., 2018).</w:t>
      </w:r>
    </w:p>
    <w:p w14:paraId="0923A981" w14:textId="77777777" w:rsidR="00EF654B" w:rsidRPr="00F1570C" w:rsidRDefault="00EF654B" w:rsidP="00EF654B">
      <w:pPr>
        <w:spacing w:after="0" w:line="240" w:lineRule="auto"/>
        <w:jc w:val="both"/>
        <w:rPr>
          <w:rFonts w:ascii="Arial" w:hAnsi="Arial" w:cs="Arial"/>
          <w:color w:val="000000" w:themeColor="text1"/>
          <w:sz w:val="18"/>
          <w:szCs w:val="18"/>
          <w:lang w:val="en-ID"/>
        </w:rPr>
      </w:pPr>
    </w:p>
    <w:p w14:paraId="382A6360" w14:textId="3C9E7CA8" w:rsidR="00EF654B" w:rsidRDefault="00F45329" w:rsidP="00EF654B">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The persistent dominance of a few rapidly reproducing diatom taxa indicates that primary production in Jakarta Bay heavily depends on a narrow functional group, making the system highly vulnerable to bloom collapses and subsequent oxygen depletion. Similar patterns have been seen in Manila Bay and the Pearl River Estuary, where ongoing nutrient enrichment promotes diatom growth but reduces overall ecosystem resilience (Duprey et al., 2019). Understanding these dominance patterns is therefore essential for evaluating eutrophication severity, guiding nutrient management efforts, and supporting ecological restoration in Jakarta Bay.</w:t>
      </w:r>
    </w:p>
    <w:p w14:paraId="3E83A2DC" w14:textId="77777777" w:rsidR="00B7771E" w:rsidRDefault="00B7771E" w:rsidP="00EF654B">
      <w:pPr>
        <w:spacing w:after="0" w:line="240" w:lineRule="auto"/>
        <w:jc w:val="both"/>
        <w:rPr>
          <w:rFonts w:ascii="Arial" w:hAnsi="Arial" w:cs="Arial"/>
          <w:color w:val="000000" w:themeColor="text1"/>
          <w:sz w:val="18"/>
          <w:szCs w:val="18"/>
          <w:lang w:val="en-ID"/>
        </w:rPr>
      </w:pPr>
    </w:p>
    <w:p w14:paraId="63445ECF" w14:textId="77777777" w:rsidR="00B7771E" w:rsidRPr="00F1570C" w:rsidRDefault="00B7771E" w:rsidP="00B7771E">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3.</w:t>
      </w:r>
      <w:r>
        <w:rPr>
          <w:rFonts w:ascii="Arial" w:hAnsi="Arial" w:cs="Arial"/>
          <w:b/>
          <w:bCs/>
          <w:color w:val="000000" w:themeColor="text1"/>
          <w:sz w:val="18"/>
          <w:szCs w:val="18"/>
          <w:lang w:val="en-ID"/>
        </w:rPr>
        <w:t>4</w:t>
      </w:r>
      <w:r w:rsidRPr="00F1570C">
        <w:rPr>
          <w:rFonts w:ascii="Arial" w:hAnsi="Arial" w:cs="Arial"/>
          <w:b/>
          <w:bCs/>
          <w:color w:val="000000" w:themeColor="text1"/>
          <w:sz w:val="18"/>
          <w:szCs w:val="18"/>
          <w:lang w:val="en-ID"/>
        </w:rPr>
        <w:t xml:space="preserve"> Temporal Dynamics of Diatom and Dinoflagellate Abundance</w:t>
      </w:r>
    </w:p>
    <w:p w14:paraId="50F6044A" w14:textId="77777777" w:rsidR="00B7771E" w:rsidRPr="00F1570C" w:rsidRDefault="00B7771E" w:rsidP="00B7771E">
      <w:pPr>
        <w:spacing w:after="0" w:line="240" w:lineRule="auto"/>
        <w:jc w:val="both"/>
        <w:rPr>
          <w:rFonts w:ascii="Arial" w:hAnsi="Arial" w:cs="Arial"/>
          <w:color w:val="000000" w:themeColor="text1"/>
          <w:sz w:val="18"/>
          <w:szCs w:val="18"/>
          <w:lang w:val="en-ID"/>
        </w:rPr>
      </w:pPr>
    </w:p>
    <w:p w14:paraId="090F639A" w14:textId="3707483F" w:rsidR="00B7771E" w:rsidRPr="00F1570C" w:rsidRDefault="00F45329" w:rsidP="00B7771E">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Long-term observations from 2008 to 2019 (Figure 4) reveal significant temporal and seasonal shifts in the relative abundance of diatoms and dinoflagellates in Jakarta Bay. Diatoms consistently dominated the community, often exceeding 10⁹ cells m</w:t>
      </w:r>
      <w:r>
        <w:rPr>
          <w:rFonts w:ascii="Cambria Math" w:hAnsi="Cambria Math" w:cs="Cambria Math"/>
          <w:color w:val="000000" w:themeColor="text1"/>
          <w:sz w:val="18"/>
          <w:szCs w:val="18"/>
          <w:lang w:val="en-ID"/>
        </w:rPr>
        <w:t>⁻</w:t>
      </w:r>
      <w:r>
        <w:rPr>
          <w:rFonts w:ascii="Arial" w:hAnsi="Arial" w:cs="Arial"/>
          <w:color w:val="000000" w:themeColor="text1"/>
          <w:sz w:val="18"/>
          <w:szCs w:val="18"/>
          <w:lang w:val="en-ID"/>
        </w:rPr>
        <w:t xml:space="preserve">³, with notable increases during the dry season when reduced river discharge, higher salinity, and longer water residence times created </w:t>
      </w:r>
      <w:proofErr w:type="spellStart"/>
      <w:r>
        <w:rPr>
          <w:rFonts w:ascii="Arial" w:hAnsi="Arial" w:cs="Arial"/>
          <w:color w:val="000000" w:themeColor="text1"/>
          <w:sz w:val="18"/>
          <w:szCs w:val="18"/>
          <w:lang w:val="en-ID"/>
        </w:rPr>
        <w:t>favorable</w:t>
      </w:r>
      <w:proofErr w:type="spellEnd"/>
      <w:r>
        <w:rPr>
          <w:rFonts w:ascii="Arial" w:hAnsi="Arial" w:cs="Arial"/>
          <w:color w:val="000000" w:themeColor="text1"/>
          <w:sz w:val="18"/>
          <w:szCs w:val="18"/>
          <w:lang w:val="en-ID"/>
        </w:rPr>
        <w:t xml:space="preserve"> conditions for rapid growth (</w:t>
      </w:r>
      <w:proofErr w:type="spellStart"/>
      <w:r>
        <w:rPr>
          <w:rFonts w:ascii="Arial" w:hAnsi="Arial" w:cs="Arial"/>
          <w:color w:val="000000" w:themeColor="text1"/>
          <w:sz w:val="18"/>
          <w:szCs w:val="18"/>
          <w:lang w:val="en-ID"/>
        </w:rPr>
        <w:t>Rahayu</w:t>
      </w:r>
      <w:proofErr w:type="spellEnd"/>
      <w:r>
        <w:rPr>
          <w:rFonts w:ascii="Arial" w:hAnsi="Arial" w:cs="Arial"/>
          <w:color w:val="000000" w:themeColor="text1"/>
          <w:sz w:val="18"/>
          <w:szCs w:val="18"/>
          <w:lang w:val="en-ID"/>
        </w:rPr>
        <w:t xml:space="preserve"> et al., 2019). Conversely, dinoflagellates were much less abundant, generally peaking </w:t>
      </w:r>
      <w:r w:rsidR="00350FA7">
        <w:rPr>
          <w:rFonts w:ascii="Arial" w:hAnsi="Arial" w:cs="Arial"/>
          <w:color w:val="000000" w:themeColor="text1"/>
          <w:sz w:val="18"/>
          <w:szCs w:val="18"/>
          <w:lang w:val="en-ID"/>
        </w:rPr>
        <w:t>at around 10⁷ cells m</w:t>
      </w:r>
      <w:r w:rsidR="00350FA7">
        <w:rPr>
          <w:rFonts w:ascii="Cambria Math" w:hAnsi="Cambria Math" w:cs="Cambria Math"/>
          <w:color w:val="000000" w:themeColor="text1"/>
          <w:sz w:val="18"/>
          <w:szCs w:val="18"/>
          <w:lang w:val="en-ID"/>
        </w:rPr>
        <w:t>⁻</w:t>
      </w:r>
      <w:r w:rsidR="00350FA7">
        <w:rPr>
          <w:rFonts w:ascii="Arial" w:hAnsi="Arial" w:cs="Arial"/>
          <w:color w:val="000000" w:themeColor="text1"/>
          <w:sz w:val="18"/>
          <w:szCs w:val="18"/>
          <w:lang w:val="en-ID"/>
        </w:rPr>
        <w:t xml:space="preserve">³ and often rising only </w:t>
      </w:r>
      <w:r>
        <w:rPr>
          <w:rFonts w:ascii="Arial" w:hAnsi="Arial" w:cs="Arial"/>
          <w:color w:val="000000" w:themeColor="text1"/>
          <w:sz w:val="18"/>
          <w:szCs w:val="18"/>
          <w:lang w:val="en-ID"/>
        </w:rPr>
        <w:t xml:space="preserve">after diatom populations declined. These secondary peaks indicate a successional transition influenced by changing nutrient stoichiometry, light availability, and hydrodynamic </w:t>
      </w:r>
      <w:r w:rsidR="00350FA7">
        <w:rPr>
          <w:rFonts w:ascii="Arial" w:hAnsi="Arial" w:cs="Arial"/>
          <w:color w:val="000000" w:themeColor="text1"/>
          <w:sz w:val="18"/>
          <w:szCs w:val="18"/>
          <w:lang w:val="en-ID"/>
        </w:rPr>
        <w:t>stability mechanisms</w:t>
      </w:r>
      <w:r>
        <w:rPr>
          <w:rFonts w:ascii="Arial" w:hAnsi="Arial" w:cs="Arial"/>
          <w:color w:val="000000" w:themeColor="text1"/>
          <w:sz w:val="18"/>
          <w:szCs w:val="18"/>
          <w:lang w:val="en-ID"/>
        </w:rPr>
        <w:t xml:space="preserve"> commonly observed in eutrophic tropical estuaries (</w:t>
      </w:r>
      <w:proofErr w:type="spellStart"/>
      <w:r>
        <w:rPr>
          <w:rFonts w:ascii="Arial" w:hAnsi="Arial" w:cs="Arial"/>
          <w:color w:val="000000" w:themeColor="text1"/>
          <w:sz w:val="18"/>
          <w:szCs w:val="18"/>
          <w:lang w:val="en-ID"/>
        </w:rPr>
        <w:t>Wijayanti</w:t>
      </w:r>
      <w:proofErr w:type="spellEnd"/>
      <w:r>
        <w:rPr>
          <w:rFonts w:ascii="Arial" w:hAnsi="Arial" w:cs="Arial"/>
          <w:color w:val="000000" w:themeColor="text1"/>
          <w:sz w:val="18"/>
          <w:szCs w:val="18"/>
          <w:lang w:val="en-ID"/>
        </w:rPr>
        <w:t xml:space="preserve"> et al., 2025; Li et al., 2021). Such alternating dominance patterns highlight the vulnerability of primary producers to short-term environmental fluctuations and persistent nutrient enrichment.</w:t>
      </w:r>
    </w:p>
    <w:p w14:paraId="3F5424AE" w14:textId="77777777" w:rsidR="00B7771E" w:rsidRPr="00F1570C" w:rsidRDefault="00B7771E" w:rsidP="00B7771E">
      <w:pPr>
        <w:spacing w:after="0" w:line="240" w:lineRule="auto"/>
        <w:jc w:val="both"/>
        <w:rPr>
          <w:rFonts w:ascii="Arial" w:hAnsi="Arial" w:cs="Arial"/>
          <w:color w:val="000000" w:themeColor="text1"/>
          <w:sz w:val="18"/>
          <w:szCs w:val="18"/>
          <w:lang w:val="en-ID"/>
        </w:rPr>
      </w:pPr>
    </w:p>
    <w:p w14:paraId="6A1C85C2" w14:textId="77777777" w:rsidR="00B7771E" w:rsidRPr="00F1570C" w:rsidRDefault="00B7771E" w:rsidP="00EF654B">
      <w:pPr>
        <w:spacing w:after="0" w:line="240" w:lineRule="auto"/>
        <w:jc w:val="both"/>
        <w:rPr>
          <w:rFonts w:ascii="Arial" w:hAnsi="Arial" w:cs="Arial"/>
          <w:color w:val="000000" w:themeColor="text1"/>
          <w:sz w:val="18"/>
          <w:szCs w:val="18"/>
          <w:lang w:val="en-ID"/>
        </w:rPr>
      </w:pPr>
    </w:p>
    <w:p w14:paraId="5FAA6C45" w14:textId="498E5F06" w:rsidR="00E4485F" w:rsidRPr="00F1570C" w:rsidRDefault="00E4485F" w:rsidP="00B06D57">
      <w:pPr>
        <w:spacing w:after="0" w:line="240" w:lineRule="auto"/>
        <w:jc w:val="both"/>
        <w:rPr>
          <w:rFonts w:ascii="Arial" w:hAnsi="Arial" w:cs="Arial"/>
          <w:color w:val="000000" w:themeColor="text1"/>
          <w:sz w:val="18"/>
          <w:szCs w:val="18"/>
          <w:lang w:val="en-ID"/>
        </w:rPr>
      </w:pPr>
      <w:r w:rsidRPr="00F1570C">
        <w:rPr>
          <w:rFonts w:ascii="Arial" w:hAnsi="Arial" w:cs="Arial"/>
          <w:b/>
          <w:noProof/>
          <w:color w:val="000000" w:themeColor="text1"/>
          <w:sz w:val="18"/>
          <w:szCs w:val="18"/>
        </w:rPr>
        <w:lastRenderedPageBreak/>
        <w:drawing>
          <wp:anchor distT="0" distB="0" distL="114300" distR="114300" simplePos="0" relativeHeight="251702784" behindDoc="0" locked="0" layoutInCell="1" allowOverlap="1" wp14:anchorId="0622FB62" wp14:editId="314348C6">
            <wp:simplePos x="0" y="0"/>
            <wp:positionH relativeFrom="column">
              <wp:posOffset>112395</wp:posOffset>
            </wp:positionH>
            <wp:positionV relativeFrom="paragraph">
              <wp:posOffset>61000</wp:posOffset>
            </wp:positionV>
            <wp:extent cx="3851275" cy="1974215"/>
            <wp:effectExtent l="0" t="0" r="15875" b="6985"/>
            <wp:wrapTopAndBottom/>
            <wp:docPr id="280246376" name="Chart 1">
              <a:extLst xmlns:a="http://schemas.openxmlformats.org/drawingml/2006/main">
                <a:ext uri="{FF2B5EF4-FFF2-40B4-BE49-F238E27FC236}">
                  <a16:creationId xmlns:a16="http://schemas.microsoft.com/office/drawing/2014/main" id="{BB24A28C-ABB1-A4BC-0AA2-535B3DE522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4626D4AF" w14:textId="77777777" w:rsidR="00A27053" w:rsidRPr="00F1570C" w:rsidRDefault="00A27053" w:rsidP="00B06D57">
      <w:pPr>
        <w:spacing w:after="0" w:line="240" w:lineRule="auto"/>
        <w:jc w:val="both"/>
        <w:rPr>
          <w:rFonts w:ascii="Arial" w:hAnsi="Arial" w:cs="Arial"/>
          <w:color w:val="000000" w:themeColor="text1"/>
          <w:sz w:val="18"/>
          <w:szCs w:val="18"/>
          <w:lang w:val="en-ID"/>
        </w:rPr>
      </w:pPr>
    </w:p>
    <w:p w14:paraId="51867D4B" w14:textId="77777777" w:rsidR="00397CDF" w:rsidRPr="00F1570C" w:rsidRDefault="007F2D04" w:rsidP="00397CDF">
      <w:pPr>
        <w:spacing w:after="0" w:line="240" w:lineRule="auto"/>
        <w:rPr>
          <w:rFonts w:ascii="Arial" w:hAnsi="Arial" w:cs="Arial"/>
          <w:color w:val="000000" w:themeColor="text1"/>
          <w:sz w:val="18"/>
          <w:szCs w:val="18"/>
        </w:rPr>
      </w:pPr>
      <w:r w:rsidRPr="00F1570C">
        <w:rPr>
          <w:rFonts w:ascii="Arial" w:hAnsi="Arial" w:cs="Arial"/>
          <w:b/>
          <w:bCs/>
          <w:color w:val="000000" w:themeColor="text1"/>
          <w:sz w:val="18"/>
          <w:szCs w:val="18"/>
        </w:rPr>
        <w:t xml:space="preserve">Figure </w:t>
      </w:r>
      <w:r w:rsidR="00855A6D" w:rsidRPr="00F1570C">
        <w:rPr>
          <w:rFonts w:ascii="Arial" w:hAnsi="Arial" w:cs="Arial"/>
          <w:b/>
          <w:bCs/>
          <w:color w:val="000000" w:themeColor="text1"/>
          <w:sz w:val="18"/>
          <w:szCs w:val="18"/>
        </w:rPr>
        <w:t>3</w:t>
      </w:r>
      <w:r w:rsidRPr="00F1570C">
        <w:rPr>
          <w:rFonts w:ascii="Arial" w:hAnsi="Arial" w:cs="Arial"/>
          <w:color w:val="000000" w:themeColor="text1"/>
          <w:sz w:val="18"/>
          <w:szCs w:val="18"/>
        </w:rPr>
        <w:t xml:space="preserve">. </w:t>
      </w:r>
      <w:r w:rsidR="00397CDF" w:rsidRPr="00F1570C">
        <w:rPr>
          <w:rFonts w:ascii="Arial" w:hAnsi="Arial" w:cs="Arial"/>
          <w:color w:val="000000" w:themeColor="text1"/>
          <w:sz w:val="18"/>
          <w:szCs w:val="18"/>
        </w:rPr>
        <w:t>Percentage composition of dominant phytoplankton genera in Jakarta</w:t>
      </w:r>
    </w:p>
    <w:p w14:paraId="17B0EB6F" w14:textId="77777777" w:rsidR="00397CDF" w:rsidRPr="00F1570C" w:rsidRDefault="00397CDF" w:rsidP="00397CDF">
      <w:pPr>
        <w:spacing w:after="0" w:line="240" w:lineRule="auto"/>
        <w:ind w:firstLine="720"/>
        <w:rPr>
          <w:rFonts w:ascii="Arial" w:hAnsi="Arial" w:cs="Arial"/>
          <w:i/>
          <w:iCs/>
          <w:color w:val="000000" w:themeColor="text1"/>
          <w:sz w:val="18"/>
          <w:szCs w:val="18"/>
        </w:rPr>
      </w:pPr>
      <w:r w:rsidRPr="00F1570C">
        <w:rPr>
          <w:rFonts w:ascii="Arial" w:hAnsi="Arial" w:cs="Arial"/>
          <w:color w:val="000000" w:themeColor="text1"/>
          <w:sz w:val="18"/>
          <w:szCs w:val="18"/>
        </w:rPr>
        <w:t xml:space="preserve"> Bay. </w:t>
      </w:r>
      <w:r w:rsidRPr="00F1570C">
        <w:rPr>
          <w:rFonts w:ascii="Arial" w:hAnsi="Arial" w:cs="Arial"/>
          <w:i/>
          <w:iCs/>
          <w:color w:val="000000" w:themeColor="text1"/>
          <w:sz w:val="18"/>
          <w:szCs w:val="18"/>
        </w:rPr>
        <w:t>Diatoms (</w:t>
      </w:r>
      <w:proofErr w:type="spellStart"/>
      <w:r w:rsidRPr="00F1570C">
        <w:rPr>
          <w:rFonts w:ascii="Arial" w:hAnsi="Arial" w:cs="Arial"/>
          <w:i/>
          <w:iCs/>
          <w:color w:val="000000" w:themeColor="text1"/>
          <w:sz w:val="18"/>
          <w:szCs w:val="18"/>
        </w:rPr>
        <w:t>Chaetoceros</w:t>
      </w:r>
      <w:proofErr w:type="spellEnd"/>
      <w:r w:rsidRPr="00F1570C">
        <w:rPr>
          <w:rFonts w:ascii="Arial" w:hAnsi="Arial" w:cs="Arial"/>
          <w:i/>
          <w:iCs/>
          <w:color w:val="000000" w:themeColor="text1"/>
          <w:sz w:val="18"/>
          <w:szCs w:val="18"/>
        </w:rPr>
        <w:t xml:space="preserve">, </w:t>
      </w:r>
      <w:proofErr w:type="spellStart"/>
      <w:r w:rsidRPr="00F1570C">
        <w:rPr>
          <w:rFonts w:ascii="Arial" w:hAnsi="Arial" w:cs="Arial"/>
          <w:i/>
          <w:iCs/>
          <w:color w:val="000000" w:themeColor="text1"/>
          <w:sz w:val="18"/>
          <w:szCs w:val="18"/>
        </w:rPr>
        <w:t>Skeletonema</w:t>
      </w:r>
      <w:proofErr w:type="spellEnd"/>
      <w:r w:rsidRPr="00F1570C">
        <w:rPr>
          <w:rFonts w:ascii="Arial" w:hAnsi="Arial" w:cs="Arial"/>
          <w:i/>
          <w:iCs/>
          <w:color w:val="000000" w:themeColor="text1"/>
          <w:sz w:val="18"/>
          <w:szCs w:val="18"/>
        </w:rPr>
        <w:t xml:space="preserve">, and </w:t>
      </w:r>
      <w:proofErr w:type="spellStart"/>
      <w:r w:rsidRPr="00F1570C">
        <w:rPr>
          <w:rFonts w:ascii="Arial" w:hAnsi="Arial" w:cs="Arial"/>
          <w:i/>
          <w:iCs/>
          <w:color w:val="000000" w:themeColor="text1"/>
          <w:sz w:val="18"/>
          <w:szCs w:val="18"/>
        </w:rPr>
        <w:t>Thalassiosira</w:t>
      </w:r>
      <w:proofErr w:type="spellEnd"/>
      <w:r w:rsidRPr="00F1570C">
        <w:rPr>
          <w:rFonts w:ascii="Arial" w:hAnsi="Arial" w:cs="Arial"/>
          <w:i/>
          <w:iCs/>
          <w:color w:val="000000" w:themeColor="text1"/>
          <w:sz w:val="18"/>
          <w:szCs w:val="18"/>
        </w:rPr>
        <w:t xml:space="preserve">) </w:t>
      </w:r>
    </w:p>
    <w:p w14:paraId="32953B40" w14:textId="77777777" w:rsidR="00397CDF" w:rsidRPr="00F1570C" w:rsidRDefault="00397CDF" w:rsidP="00397CDF">
      <w:pPr>
        <w:spacing w:after="0" w:line="240" w:lineRule="auto"/>
        <w:ind w:left="720"/>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collectively accounted for &gt;95% of total abundance, indicating a</w:t>
      </w:r>
    </w:p>
    <w:p w14:paraId="7B5C67F6" w14:textId="2CB8268F" w:rsidR="00F956B1" w:rsidRPr="00F1570C" w:rsidRDefault="00397CDF" w:rsidP="00397CDF">
      <w:pPr>
        <w:spacing w:after="0" w:line="240" w:lineRule="auto"/>
        <w:ind w:left="720"/>
        <w:rPr>
          <w:rFonts w:ascii="Arial" w:hAnsi="Arial" w:cs="Arial"/>
          <w:color w:val="000000" w:themeColor="text1"/>
          <w:sz w:val="18"/>
          <w:szCs w:val="18"/>
        </w:rPr>
      </w:pPr>
      <w:r w:rsidRPr="00F1570C">
        <w:rPr>
          <w:rFonts w:ascii="Arial" w:hAnsi="Arial" w:cs="Arial"/>
          <w:i/>
          <w:iCs/>
          <w:color w:val="000000" w:themeColor="text1"/>
          <w:sz w:val="18"/>
          <w:szCs w:val="18"/>
        </w:rPr>
        <w:t xml:space="preserve"> strongly eutrophic community structure.</w:t>
      </w:r>
      <w:r w:rsidR="00855A6D" w:rsidRPr="00F1570C">
        <w:rPr>
          <w:rFonts w:ascii="Arial" w:hAnsi="Arial" w:cs="Arial"/>
          <w:color w:val="000000" w:themeColor="text1"/>
          <w:sz w:val="18"/>
          <w:szCs w:val="18"/>
        </w:rPr>
        <w:t xml:space="preserve"> </w:t>
      </w:r>
    </w:p>
    <w:p w14:paraId="19F947CD" w14:textId="77777777" w:rsidR="00BF7E56" w:rsidRDefault="00BF7E56" w:rsidP="00B06D57">
      <w:pPr>
        <w:spacing w:after="0" w:line="240" w:lineRule="auto"/>
        <w:jc w:val="both"/>
        <w:rPr>
          <w:rFonts w:ascii="Arial" w:hAnsi="Arial" w:cs="Arial"/>
          <w:color w:val="000000" w:themeColor="text1"/>
          <w:sz w:val="18"/>
          <w:szCs w:val="18"/>
          <w:lang w:val="en-ID"/>
        </w:rPr>
      </w:pPr>
    </w:p>
    <w:p w14:paraId="192AE629" w14:textId="77777777" w:rsidR="00A27053" w:rsidRDefault="00A27053" w:rsidP="00A27053">
      <w:pPr>
        <w:spacing w:after="0" w:line="240" w:lineRule="auto"/>
        <w:jc w:val="both"/>
        <w:rPr>
          <w:rFonts w:ascii="Arial" w:hAnsi="Arial" w:cs="Arial"/>
          <w:color w:val="000000" w:themeColor="text1"/>
          <w:sz w:val="18"/>
          <w:szCs w:val="18"/>
          <w:lang w:val="en-ID"/>
        </w:rPr>
      </w:pPr>
    </w:p>
    <w:p w14:paraId="223D983F" w14:textId="265475B9" w:rsidR="00A27053" w:rsidRPr="00F1570C" w:rsidRDefault="00F45329" w:rsidP="00A27053">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Figure 4 clearly illustrates these contrasting dynamics using dual axes that emphasize the difference in magnitude and variability between the two groups. The area plot shows that dinoflagellate pulses, although infrequent, tend to occur during periods of water-column stratification or changes in nutrient inputs, conditions that can support motile, mixotrophic species capable of thriving in low-turbulence environments (Zhang et al., 2022). Meanwhile, the diatom trend line confirms their ongoing dominance but also highlights year-to-year variability related to climatic factors, such as shifts in monsoonal forcing and rainfall-driven freshwater input.</w:t>
      </w:r>
    </w:p>
    <w:p w14:paraId="300675C4" w14:textId="77777777" w:rsidR="00A27053" w:rsidRPr="00F1570C" w:rsidRDefault="00A27053" w:rsidP="00A27053">
      <w:pPr>
        <w:spacing w:after="0" w:line="240" w:lineRule="auto"/>
        <w:jc w:val="both"/>
        <w:rPr>
          <w:rFonts w:ascii="Arial" w:hAnsi="Arial" w:cs="Arial"/>
          <w:color w:val="000000" w:themeColor="text1"/>
          <w:sz w:val="18"/>
          <w:szCs w:val="18"/>
          <w:lang w:val="en-ID"/>
        </w:rPr>
      </w:pPr>
    </w:p>
    <w:p w14:paraId="02E0A19F" w14:textId="670BBF97" w:rsidR="00A27053" w:rsidRPr="00F1570C" w:rsidRDefault="00F45329" w:rsidP="00A27053">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These patterns collectively suggest that Jakarta Bay’s phytoplankton dynamics are influenced by nutrient imbalance, hydrological changes, and climate-related forcing, all of which affect bloom size and development. The notable difference in abundance between diatoms and dinoflagellates further indicates a nutrient environment that </w:t>
      </w:r>
      <w:proofErr w:type="spellStart"/>
      <w:r>
        <w:rPr>
          <w:rFonts w:ascii="Arial" w:hAnsi="Arial" w:cs="Arial"/>
          <w:color w:val="000000" w:themeColor="text1"/>
          <w:sz w:val="18"/>
          <w:szCs w:val="18"/>
          <w:lang w:val="en-ID"/>
        </w:rPr>
        <w:t>favors</w:t>
      </w:r>
      <w:proofErr w:type="spellEnd"/>
      <w:r>
        <w:rPr>
          <w:rFonts w:ascii="Arial" w:hAnsi="Arial" w:cs="Arial"/>
          <w:color w:val="000000" w:themeColor="text1"/>
          <w:sz w:val="18"/>
          <w:szCs w:val="18"/>
          <w:lang w:val="en-ID"/>
        </w:rPr>
        <w:t xml:space="preserve"> opportunistic silicified species. This points to a community structure with lower resilience, disrupted food-web processes, and increased vulnerability to bloom-associated hypoxia and water quality problems.</w:t>
      </w:r>
    </w:p>
    <w:p w14:paraId="6EE1A355" w14:textId="77777777" w:rsidR="004C1C8A" w:rsidRPr="00F1570C" w:rsidRDefault="004C1C8A" w:rsidP="00B06D57">
      <w:pPr>
        <w:spacing w:after="0" w:line="240" w:lineRule="auto"/>
        <w:jc w:val="both"/>
        <w:rPr>
          <w:rFonts w:ascii="Arial" w:hAnsi="Arial" w:cs="Arial"/>
          <w:color w:val="000000" w:themeColor="text1"/>
          <w:sz w:val="18"/>
          <w:szCs w:val="18"/>
          <w:lang w:val="en-ID"/>
        </w:rPr>
      </w:pPr>
    </w:p>
    <w:p w14:paraId="210F1947" w14:textId="77777777" w:rsidR="009D5FEB" w:rsidRDefault="009D5FEB" w:rsidP="00B06D57">
      <w:pPr>
        <w:spacing w:after="0" w:line="240" w:lineRule="auto"/>
        <w:jc w:val="both"/>
        <w:rPr>
          <w:rFonts w:ascii="Arial" w:hAnsi="Arial" w:cs="Arial"/>
          <w:color w:val="000000" w:themeColor="text1"/>
          <w:sz w:val="18"/>
          <w:szCs w:val="18"/>
          <w:lang w:val="en-ID"/>
        </w:rPr>
      </w:pPr>
    </w:p>
    <w:p w14:paraId="4896A25D" w14:textId="2D90A4CD" w:rsidR="00AE2EA8" w:rsidRPr="00F1570C" w:rsidRDefault="00AE2EA8" w:rsidP="00B06D57">
      <w:pPr>
        <w:spacing w:after="0" w:line="240" w:lineRule="auto"/>
        <w:jc w:val="both"/>
        <w:rPr>
          <w:rFonts w:ascii="Arial" w:hAnsi="Arial" w:cs="Arial"/>
          <w:color w:val="000000" w:themeColor="text1"/>
          <w:sz w:val="18"/>
          <w:szCs w:val="18"/>
          <w:lang w:val="en-ID"/>
        </w:rPr>
      </w:pPr>
      <w:r w:rsidRPr="00F1570C">
        <w:rPr>
          <w:rFonts w:ascii="Arial" w:hAnsi="Arial" w:cs="Arial"/>
          <w:noProof/>
          <w:color w:val="000000" w:themeColor="text1"/>
          <w:sz w:val="18"/>
          <w:szCs w:val="18"/>
        </w:rPr>
        <w:lastRenderedPageBreak/>
        <w:drawing>
          <wp:anchor distT="0" distB="0" distL="114300" distR="114300" simplePos="0" relativeHeight="251725312" behindDoc="0" locked="0" layoutInCell="1" allowOverlap="1" wp14:anchorId="35B69870" wp14:editId="34E76EC1">
            <wp:simplePos x="0" y="0"/>
            <wp:positionH relativeFrom="column">
              <wp:posOffset>-14800</wp:posOffset>
            </wp:positionH>
            <wp:positionV relativeFrom="paragraph">
              <wp:posOffset>0</wp:posOffset>
            </wp:positionV>
            <wp:extent cx="4030980" cy="2303145"/>
            <wp:effectExtent l="0" t="0" r="7620" b="1905"/>
            <wp:wrapTopAndBottom/>
            <wp:docPr id="5" name="Chart 5">
              <a:extLst xmlns:a="http://schemas.openxmlformats.org/drawingml/2006/main">
                <a:ext uri="{FF2B5EF4-FFF2-40B4-BE49-F238E27FC236}">
                  <a16:creationId xmlns:a16="http://schemas.microsoft.com/office/drawing/2014/main" id="{7DF8C115-34F1-4041-A09A-BA32CA588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BD6B8B6" w14:textId="77777777" w:rsidR="009D5FEB" w:rsidRDefault="009D5FEB" w:rsidP="00DC1475">
      <w:pPr>
        <w:spacing w:after="0" w:line="240" w:lineRule="auto"/>
        <w:jc w:val="both"/>
        <w:rPr>
          <w:rFonts w:ascii="Arial" w:eastAsia="Times New Roman" w:hAnsi="Arial" w:cs="Arial"/>
          <w:b/>
          <w:bCs/>
          <w:color w:val="000000" w:themeColor="text1"/>
          <w:kern w:val="24"/>
          <w:sz w:val="18"/>
          <w:szCs w:val="18"/>
        </w:rPr>
      </w:pPr>
    </w:p>
    <w:p w14:paraId="669ECEBC" w14:textId="77777777" w:rsidR="003514C6" w:rsidRDefault="003514C6" w:rsidP="00B06D57">
      <w:pPr>
        <w:spacing w:after="0" w:line="240" w:lineRule="auto"/>
        <w:jc w:val="both"/>
        <w:rPr>
          <w:rFonts w:ascii="Arial" w:hAnsi="Arial" w:cs="Arial"/>
          <w:color w:val="000000" w:themeColor="text1"/>
          <w:sz w:val="18"/>
          <w:szCs w:val="18"/>
        </w:rPr>
      </w:pPr>
      <w:r w:rsidRPr="003514C6">
        <w:rPr>
          <w:rFonts w:ascii="Arial" w:hAnsi="Arial" w:cs="Arial"/>
          <w:b/>
          <w:bCs/>
          <w:color w:val="000000" w:themeColor="text1"/>
          <w:sz w:val="18"/>
          <w:szCs w:val="18"/>
        </w:rPr>
        <w:t>Figure 4.</w:t>
      </w:r>
      <w:r w:rsidRPr="003514C6">
        <w:rPr>
          <w:rFonts w:ascii="Arial" w:hAnsi="Arial" w:cs="Arial"/>
          <w:color w:val="000000" w:themeColor="text1"/>
          <w:sz w:val="18"/>
          <w:szCs w:val="18"/>
        </w:rPr>
        <w:t xml:space="preserve"> Temporal changes in the abundance of diatoms and dinoflagellates</w:t>
      </w:r>
    </w:p>
    <w:p w14:paraId="05AFA4B3" w14:textId="77777777" w:rsidR="003B7F4A" w:rsidRDefault="003514C6" w:rsidP="003B7F4A">
      <w:pPr>
        <w:spacing w:after="0" w:line="240" w:lineRule="auto"/>
        <w:ind w:firstLine="720"/>
        <w:jc w:val="both"/>
        <w:rPr>
          <w:rFonts w:ascii="Arial" w:hAnsi="Arial" w:cs="Arial"/>
          <w:i/>
          <w:iCs/>
          <w:color w:val="000000" w:themeColor="text1"/>
          <w:sz w:val="18"/>
          <w:szCs w:val="18"/>
        </w:rPr>
      </w:pPr>
      <w:r w:rsidRPr="003514C6">
        <w:rPr>
          <w:rFonts w:ascii="Arial" w:hAnsi="Arial" w:cs="Arial"/>
          <w:color w:val="000000" w:themeColor="text1"/>
          <w:sz w:val="18"/>
          <w:szCs w:val="18"/>
        </w:rPr>
        <w:t xml:space="preserve"> (cells m</w:t>
      </w:r>
      <w:r w:rsidRPr="003514C6">
        <w:rPr>
          <w:rFonts w:ascii="Cambria Math" w:hAnsi="Cambria Math" w:cs="Cambria Math"/>
          <w:color w:val="000000" w:themeColor="text1"/>
          <w:sz w:val="18"/>
          <w:szCs w:val="18"/>
        </w:rPr>
        <w:t>⁻</w:t>
      </w:r>
      <w:r w:rsidRPr="003514C6">
        <w:rPr>
          <w:rFonts w:ascii="Arial" w:hAnsi="Arial" w:cs="Arial"/>
          <w:color w:val="000000" w:themeColor="text1"/>
          <w:sz w:val="18"/>
          <w:szCs w:val="18"/>
        </w:rPr>
        <w:t>³) in Jakarta Bay from 2008 to 2019.</w:t>
      </w:r>
      <w:r w:rsidR="003B7F4A">
        <w:rPr>
          <w:rFonts w:ascii="Arial" w:hAnsi="Arial" w:cs="Arial"/>
          <w:color w:val="000000" w:themeColor="text1"/>
          <w:sz w:val="18"/>
          <w:szCs w:val="18"/>
        </w:rPr>
        <w:t xml:space="preserve"> </w:t>
      </w:r>
      <w:r w:rsidR="003B7F4A">
        <w:rPr>
          <w:rFonts w:ascii="Arial" w:hAnsi="Arial" w:cs="Arial"/>
          <w:i/>
          <w:iCs/>
          <w:color w:val="000000" w:themeColor="text1"/>
          <w:sz w:val="18"/>
          <w:szCs w:val="18"/>
        </w:rPr>
        <w:t>The increased diatom</w:t>
      </w:r>
    </w:p>
    <w:p w14:paraId="568F2AB2" w14:textId="77777777" w:rsidR="003B7F4A" w:rsidRDefault="003B7F4A" w:rsidP="003B7F4A">
      <w:pPr>
        <w:spacing w:after="0" w:line="240" w:lineRule="auto"/>
        <w:ind w:firstLine="720"/>
        <w:jc w:val="both"/>
        <w:rPr>
          <w:rFonts w:ascii="Arial" w:hAnsi="Arial" w:cs="Arial"/>
          <w:i/>
          <w:iCs/>
          <w:color w:val="000000" w:themeColor="text1"/>
          <w:sz w:val="18"/>
          <w:szCs w:val="18"/>
        </w:rPr>
      </w:pPr>
      <w:r>
        <w:rPr>
          <w:rFonts w:ascii="Arial" w:hAnsi="Arial" w:cs="Arial"/>
          <w:i/>
          <w:iCs/>
          <w:color w:val="000000" w:themeColor="text1"/>
          <w:sz w:val="18"/>
          <w:szCs w:val="18"/>
        </w:rPr>
        <w:t xml:space="preserve"> abundance in 2010 suggests high nutrient levels and intensified</w:t>
      </w:r>
    </w:p>
    <w:p w14:paraId="02D48474" w14:textId="3E4E2285" w:rsidR="003B7F4A" w:rsidRPr="003B7F4A" w:rsidRDefault="003B7F4A" w:rsidP="003B7F4A">
      <w:pPr>
        <w:spacing w:after="0" w:line="240" w:lineRule="auto"/>
        <w:ind w:firstLine="720"/>
        <w:jc w:val="both"/>
        <w:rPr>
          <w:rFonts w:ascii="Arial" w:hAnsi="Arial" w:cs="Arial"/>
          <w:color w:val="000000" w:themeColor="text1"/>
          <w:sz w:val="18"/>
          <w:szCs w:val="18"/>
        </w:rPr>
      </w:pPr>
      <w:r>
        <w:rPr>
          <w:rFonts w:ascii="Arial" w:hAnsi="Arial" w:cs="Arial"/>
          <w:i/>
          <w:iCs/>
          <w:color w:val="000000" w:themeColor="text1"/>
          <w:sz w:val="18"/>
          <w:szCs w:val="18"/>
        </w:rPr>
        <w:t xml:space="preserve"> eutrophic conditions caused by hydrological variability.</w:t>
      </w:r>
    </w:p>
    <w:p w14:paraId="5AFC0543" w14:textId="77777777" w:rsidR="003514C6" w:rsidRPr="00F1570C" w:rsidRDefault="003514C6" w:rsidP="003514C6">
      <w:pPr>
        <w:spacing w:after="0" w:line="240" w:lineRule="auto"/>
        <w:ind w:firstLine="720"/>
        <w:jc w:val="both"/>
        <w:rPr>
          <w:rFonts w:ascii="Arial" w:hAnsi="Arial" w:cs="Arial"/>
          <w:color w:val="000000" w:themeColor="text1"/>
          <w:sz w:val="18"/>
          <w:szCs w:val="18"/>
          <w:lang w:val="en-ID"/>
        </w:rPr>
      </w:pPr>
    </w:p>
    <w:p w14:paraId="680BC1B3" w14:textId="6257CF96" w:rsidR="005A5E25" w:rsidRPr="00F1570C" w:rsidRDefault="005A5E25" w:rsidP="005A5E25">
      <w:pPr>
        <w:spacing w:after="0" w:line="240" w:lineRule="auto"/>
        <w:jc w:val="both"/>
        <w:rPr>
          <w:rFonts w:ascii="Arial" w:hAnsi="Arial" w:cs="Arial"/>
          <w:b/>
          <w:bCs/>
          <w:color w:val="000000" w:themeColor="text1"/>
          <w:sz w:val="18"/>
          <w:szCs w:val="18"/>
          <w:lang w:val="fr-FR"/>
        </w:rPr>
      </w:pPr>
      <w:r w:rsidRPr="00F1570C">
        <w:rPr>
          <w:rFonts w:ascii="Arial" w:hAnsi="Arial" w:cs="Arial"/>
          <w:b/>
          <w:bCs/>
          <w:color w:val="000000" w:themeColor="text1"/>
          <w:sz w:val="18"/>
          <w:szCs w:val="18"/>
          <w:lang w:val="fr-FR"/>
        </w:rPr>
        <w:t>3.</w:t>
      </w:r>
      <w:r w:rsidR="008D2D15">
        <w:rPr>
          <w:rFonts w:ascii="Arial" w:hAnsi="Arial" w:cs="Arial"/>
          <w:b/>
          <w:bCs/>
          <w:color w:val="000000" w:themeColor="text1"/>
          <w:sz w:val="18"/>
          <w:szCs w:val="18"/>
          <w:lang w:val="fr-FR"/>
        </w:rPr>
        <w:t>5</w:t>
      </w:r>
      <w:r w:rsidRPr="00F1570C">
        <w:rPr>
          <w:rFonts w:ascii="Arial" w:hAnsi="Arial" w:cs="Arial"/>
          <w:b/>
          <w:bCs/>
          <w:color w:val="000000" w:themeColor="text1"/>
          <w:sz w:val="18"/>
          <w:szCs w:val="18"/>
          <w:lang w:val="fr-FR"/>
        </w:rPr>
        <w:t xml:space="preserve"> </w:t>
      </w:r>
      <w:r w:rsidR="00AE2EA8" w:rsidRPr="00F1570C">
        <w:rPr>
          <w:rFonts w:ascii="Arial" w:hAnsi="Arial" w:cs="Arial"/>
          <w:b/>
          <w:bCs/>
          <w:color w:val="000000" w:themeColor="text1"/>
          <w:sz w:val="18"/>
          <w:szCs w:val="18"/>
          <w:lang w:val="fr-FR"/>
        </w:rPr>
        <w:t>R</w:t>
      </w:r>
      <w:r w:rsidRPr="00F1570C">
        <w:rPr>
          <w:rFonts w:ascii="Arial" w:hAnsi="Arial" w:cs="Arial"/>
          <w:b/>
          <w:bCs/>
          <w:color w:val="000000" w:themeColor="text1"/>
          <w:sz w:val="18"/>
          <w:szCs w:val="18"/>
          <w:lang w:val="fr-FR"/>
        </w:rPr>
        <w:t xml:space="preserve">atio of </w:t>
      </w:r>
      <w:proofErr w:type="spellStart"/>
      <w:r w:rsidR="00AE2EA8" w:rsidRPr="00F1570C">
        <w:rPr>
          <w:rFonts w:ascii="Arial" w:hAnsi="Arial" w:cs="Arial"/>
          <w:b/>
          <w:bCs/>
          <w:color w:val="000000" w:themeColor="text1"/>
          <w:sz w:val="18"/>
          <w:szCs w:val="18"/>
          <w:lang w:val="fr-FR"/>
        </w:rPr>
        <w:t>D</w:t>
      </w:r>
      <w:r w:rsidRPr="00F1570C">
        <w:rPr>
          <w:rFonts w:ascii="Arial" w:hAnsi="Arial" w:cs="Arial"/>
          <w:b/>
          <w:bCs/>
          <w:color w:val="000000" w:themeColor="text1"/>
          <w:sz w:val="18"/>
          <w:szCs w:val="18"/>
          <w:lang w:val="fr-FR"/>
        </w:rPr>
        <w:t>iatoms</w:t>
      </w:r>
      <w:proofErr w:type="spellEnd"/>
      <w:r w:rsidRPr="00F1570C">
        <w:rPr>
          <w:rFonts w:ascii="Arial" w:hAnsi="Arial" w:cs="Arial"/>
          <w:b/>
          <w:bCs/>
          <w:color w:val="000000" w:themeColor="text1"/>
          <w:sz w:val="18"/>
          <w:szCs w:val="18"/>
          <w:lang w:val="fr-FR"/>
        </w:rPr>
        <w:t xml:space="preserve"> (</w:t>
      </w:r>
      <w:proofErr w:type="spellStart"/>
      <w:r w:rsidRPr="00F1570C">
        <w:rPr>
          <w:rFonts w:ascii="Arial" w:hAnsi="Arial" w:cs="Arial"/>
          <w:b/>
          <w:bCs/>
          <w:color w:val="000000" w:themeColor="text1"/>
          <w:sz w:val="18"/>
          <w:szCs w:val="18"/>
          <w:lang w:val="fr-FR"/>
        </w:rPr>
        <w:t>dt</w:t>
      </w:r>
      <w:proofErr w:type="spellEnd"/>
      <w:r w:rsidRPr="00F1570C">
        <w:rPr>
          <w:rFonts w:ascii="Arial" w:hAnsi="Arial" w:cs="Arial"/>
          <w:b/>
          <w:bCs/>
          <w:color w:val="000000" w:themeColor="text1"/>
          <w:sz w:val="18"/>
          <w:szCs w:val="18"/>
          <w:lang w:val="fr-FR"/>
        </w:rPr>
        <w:t xml:space="preserve">) and </w:t>
      </w:r>
      <w:proofErr w:type="spellStart"/>
      <w:r w:rsidR="00AE2EA8" w:rsidRPr="00F1570C">
        <w:rPr>
          <w:rFonts w:ascii="Arial" w:hAnsi="Arial" w:cs="Arial"/>
          <w:b/>
          <w:bCs/>
          <w:color w:val="000000" w:themeColor="text1"/>
          <w:sz w:val="18"/>
          <w:szCs w:val="18"/>
          <w:lang w:val="fr-FR"/>
        </w:rPr>
        <w:t>D</w:t>
      </w:r>
      <w:r w:rsidRPr="00F1570C">
        <w:rPr>
          <w:rFonts w:ascii="Arial" w:hAnsi="Arial" w:cs="Arial"/>
          <w:b/>
          <w:bCs/>
          <w:color w:val="000000" w:themeColor="text1"/>
          <w:sz w:val="18"/>
          <w:szCs w:val="18"/>
          <w:lang w:val="fr-FR"/>
        </w:rPr>
        <w:t>inoflagellates</w:t>
      </w:r>
      <w:proofErr w:type="spellEnd"/>
      <w:r w:rsidRPr="00F1570C">
        <w:rPr>
          <w:rFonts w:ascii="Arial" w:hAnsi="Arial" w:cs="Arial"/>
          <w:b/>
          <w:bCs/>
          <w:color w:val="000000" w:themeColor="text1"/>
          <w:sz w:val="18"/>
          <w:szCs w:val="18"/>
          <w:lang w:val="fr-FR"/>
        </w:rPr>
        <w:t xml:space="preserve"> (</w:t>
      </w:r>
      <w:proofErr w:type="spellStart"/>
      <w:r w:rsidRPr="00F1570C">
        <w:rPr>
          <w:rFonts w:ascii="Arial" w:hAnsi="Arial" w:cs="Arial"/>
          <w:b/>
          <w:bCs/>
          <w:color w:val="000000" w:themeColor="text1"/>
          <w:sz w:val="18"/>
          <w:szCs w:val="18"/>
          <w:lang w:val="fr-FR"/>
        </w:rPr>
        <w:t>dn</w:t>
      </w:r>
      <w:proofErr w:type="spellEnd"/>
      <w:r w:rsidRPr="00F1570C">
        <w:rPr>
          <w:rFonts w:ascii="Arial" w:hAnsi="Arial" w:cs="Arial"/>
          <w:b/>
          <w:bCs/>
          <w:color w:val="000000" w:themeColor="text1"/>
          <w:sz w:val="18"/>
          <w:szCs w:val="18"/>
          <w:lang w:val="fr-FR"/>
        </w:rPr>
        <w:t>)</w:t>
      </w:r>
    </w:p>
    <w:p w14:paraId="206F4737" w14:textId="77777777" w:rsidR="005A5E25" w:rsidRPr="00F1570C" w:rsidRDefault="005A5E25" w:rsidP="00B06D57">
      <w:pPr>
        <w:spacing w:after="0" w:line="240" w:lineRule="auto"/>
        <w:jc w:val="both"/>
        <w:rPr>
          <w:rFonts w:ascii="Arial" w:hAnsi="Arial" w:cs="Arial"/>
          <w:color w:val="000000" w:themeColor="text1"/>
          <w:sz w:val="18"/>
          <w:szCs w:val="18"/>
          <w:lang w:val="en-ID"/>
        </w:rPr>
      </w:pPr>
    </w:p>
    <w:p w14:paraId="5A08C5A4" w14:textId="669150D5" w:rsidR="00632D3D" w:rsidRPr="00F1570C" w:rsidRDefault="00F45329" w:rsidP="00632D3D">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Figure 5 illustrates long-term changes in the diatom-to-dinoflagellate ratio (Dt/</w:t>
      </w:r>
      <w:proofErr w:type="spellStart"/>
      <w:r>
        <w:rPr>
          <w:rFonts w:ascii="Arial" w:hAnsi="Arial" w:cs="Arial"/>
          <w:color w:val="000000" w:themeColor="text1"/>
          <w:sz w:val="18"/>
          <w:szCs w:val="18"/>
          <w:lang w:val="en-ID"/>
        </w:rPr>
        <w:t>Dn</w:t>
      </w:r>
      <w:proofErr w:type="spellEnd"/>
      <w:r>
        <w:rPr>
          <w:rFonts w:ascii="Arial" w:hAnsi="Arial" w:cs="Arial"/>
          <w:color w:val="000000" w:themeColor="text1"/>
          <w:sz w:val="18"/>
          <w:szCs w:val="18"/>
          <w:lang w:val="en-ID"/>
        </w:rPr>
        <w:t xml:space="preserve">), showing noticeable shifts in dominance between the two groups. Very high ratios, surpassing 700 in mid-2009, indicate strong diatom dominance, linked to increased nutrient levels and ideal growth conditions. Lower ratios signal transitional periods when dinoflagellates such as </w:t>
      </w:r>
      <w:proofErr w:type="spellStart"/>
      <w:r w:rsidRPr="00F45329">
        <w:rPr>
          <w:rFonts w:ascii="Arial" w:hAnsi="Arial" w:cs="Arial"/>
          <w:i/>
          <w:iCs/>
          <w:color w:val="000000" w:themeColor="text1"/>
          <w:sz w:val="18"/>
          <w:szCs w:val="18"/>
          <w:lang w:val="en-ID"/>
        </w:rPr>
        <w:t>Alexandrium</w:t>
      </w:r>
      <w:proofErr w:type="spellEnd"/>
      <w:r>
        <w:rPr>
          <w:rFonts w:ascii="Arial" w:hAnsi="Arial" w:cs="Arial"/>
          <w:color w:val="000000" w:themeColor="text1"/>
          <w:sz w:val="18"/>
          <w:szCs w:val="18"/>
          <w:lang w:val="en-ID"/>
        </w:rPr>
        <w:t xml:space="preserve"> and </w:t>
      </w:r>
      <w:proofErr w:type="spellStart"/>
      <w:r w:rsidRPr="00F45329">
        <w:rPr>
          <w:rFonts w:ascii="Arial" w:hAnsi="Arial" w:cs="Arial"/>
          <w:i/>
          <w:iCs/>
          <w:color w:val="000000" w:themeColor="text1"/>
          <w:sz w:val="18"/>
          <w:szCs w:val="18"/>
          <w:lang w:val="en-ID"/>
        </w:rPr>
        <w:t>Gymnodinium</w:t>
      </w:r>
      <w:proofErr w:type="spellEnd"/>
      <w:r w:rsidRPr="00F45329">
        <w:rPr>
          <w:rFonts w:ascii="Arial" w:hAnsi="Arial" w:cs="Arial"/>
          <w:i/>
          <w:iCs/>
          <w:color w:val="000000" w:themeColor="text1"/>
          <w:sz w:val="18"/>
          <w:szCs w:val="18"/>
          <w:lang w:val="en-ID"/>
        </w:rPr>
        <w:t xml:space="preserve"> </w:t>
      </w:r>
      <w:proofErr w:type="spellStart"/>
      <w:r w:rsidRPr="00F45329">
        <w:rPr>
          <w:rFonts w:ascii="Arial" w:hAnsi="Arial" w:cs="Arial"/>
          <w:i/>
          <w:iCs/>
          <w:color w:val="000000" w:themeColor="text1"/>
          <w:sz w:val="18"/>
          <w:szCs w:val="18"/>
          <w:lang w:val="en-ID"/>
        </w:rPr>
        <w:t>spp</w:t>
      </w:r>
      <w:proofErr w:type="spellEnd"/>
      <w:r>
        <w:rPr>
          <w:rFonts w:ascii="Arial" w:hAnsi="Arial" w:cs="Arial"/>
          <w:color w:val="000000" w:themeColor="text1"/>
          <w:sz w:val="18"/>
          <w:szCs w:val="18"/>
          <w:lang w:val="en-ID"/>
        </w:rPr>
        <w:t xml:space="preserve"> became more prevalent (</w:t>
      </w:r>
      <w:proofErr w:type="spellStart"/>
      <w:r>
        <w:rPr>
          <w:rFonts w:ascii="Arial" w:hAnsi="Arial" w:cs="Arial"/>
          <w:color w:val="000000" w:themeColor="text1"/>
          <w:sz w:val="18"/>
          <w:szCs w:val="18"/>
          <w:lang w:val="en-ID"/>
        </w:rPr>
        <w:t>Dwiyitno</w:t>
      </w:r>
      <w:proofErr w:type="spellEnd"/>
      <w:r>
        <w:rPr>
          <w:rFonts w:ascii="Arial" w:hAnsi="Arial" w:cs="Arial"/>
          <w:color w:val="000000" w:themeColor="text1"/>
          <w:sz w:val="18"/>
          <w:szCs w:val="18"/>
          <w:lang w:val="en-ID"/>
        </w:rPr>
        <w:t xml:space="preserve"> et al., 2022). These dinoflagellate blooms are ecologically significant because several species are known producers of saxitoxins, which can accumulate in filter feeders like </w:t>
      </w:r>
      <w:proofErr w:type="spellStart"/>
      <w:r>
        <w:rPr>
          <w:rFonts w:ascii="Arial" w:hAnsi="Arial" w:cs="Arial"/>
          <w:color w:val="000000" w:themeColor="text1"/>
          <w:sz w:val="18"/>
          <w:szCs w:val="18"/>
          <w:lang w:val="en-ID"/>
        </w:rPr>
        <w:t>Perna</w:t>
      </w:r>
      <w:proofErr w:type="spellEnd"/>
      <w:r>
        <w:rPr>
          <w:rFonts w:ascii="Arial" w:hAnsi="Arial" w:cs="Arial"/>
          <w:color w:val="000000" w:themeColor="text1"/>
          <w:sz w:val="18"/>
          <w:szCs w:val="18"/>
          <w:lang w:val="en-ID"/>
        </w:rPr>
        <w:t xml:space="preserve"> </w:t>
      </w:r>
      <w:proofErr w:type="spellStart"/>
      <w:r>
        <w:rPr>
          <w:rFonts w:ascii="Arial" w:hAnsi="Arial" w:cs="Arial"/>
          <w:color w:val="000000" w:themeColor="text1"/>
          <w:sz w:val="18"/>
          <w:szCs w:val="18"/>
          <w:lang w:val="en-ID"/>
        </w:rPr>
        <w:t>viridis</w:t>
      </w:r>
      <w:proofErr w:type="spellEnd"/>
      <w:r>
        <w:rPr>
          <w:rFonts w:ascii="Arial" w:hAnsi="Arial" w:cs="Arial"/>
          <w:color w:val="000000" w:themeColor="text1"/>
          <w:sz w:val="18"/>
          <w:szCs w:val="18"/>
          <w:lang w:val="en-ID"/>
        </w:rPr>
        <w:t>, posing hazards to marine life and human health (</w:t>
      </w:r>
      <w:proofErr w:type="spellStart"/>
      <w:r>
        <w:rPr>
          <w:rFonts w:ascii="Arial" w:hAnsi="Arial" w:cs="Arial"/>
          <w:color w:val="000000" w:themeColor="text1"/>
          <w:sz w:val="18"/>
          <w:szCs w:val="18"/>
          <w:lang w:val="en-ID"/>
        </w:rPr>
        <w:t>Sidabutar</w:t>
      </w:r>
      <w:proofErr w:type="spellEnd"/>
      <w:r>
        <w:rPr>
          <w:rFonts w:ascii="Arial" w:hAnsi="Arial" w:cs="Arial"/>
          <w:color w:val="000000" w:themeColor="text1"/>
          <w:sz w:val="18"/>
          <w:szCs w:val="18"/>
          <w:lang w:val="en-ID"/>
        </w:rPr>
        <w:t xml:space="preserve"> et al., 2021; Anderson et al., 2012).</w:t>
      </w:r>
    </w:p>
    <w:p w14:paraId="1D93059D" w14:textId="77777777" w:rsidR="00632D3D" w:rsidRPr="00F1570C" w:rsidRDefault="00632D3D" w:rsidP="00632D3D">
      <w:pPr>
        <w:spacing w:after="0" w:line="240" w:lineRule="auto"/>
        <w:jc w:val="both"/>
        <w:rPr>
          <w:rFonts w:ascii="Arial" w:hAnsi="Arial" w:cs="Arial"/>
          <w:color w:val="000000" w:themeColor="text1"/>
          <w:sz w:val="18"/>
          <w:szCs w:val="18"/>
          <w:lang w:val="en-ID"/>
        </w:rPr>
      </w:pPr>
    </w:p>
    <w:p w14:paraId="57500363" w14:textId="7FF9DBA8" w:rsidR="00632D3D" w:rsidRPr="00F1570C" w:rsidRDefault="00F45329" w:rsidP="00632D3D">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Temporal fluctuations in the Dt/</w:t>
      </w:r>
      <w:proofErr w:type="spellStart"/>
      <w:r>
        <w:rPr>
          <w:rFonts w:ascii="Arial" w:hAnsi="Arial" w:cs="Arial"/>
          <w:color w:val="000000" w:themeColor="text1"/>
          <w:sz w:val="18"/>
          <w:szCs w:val="18"/>
          <w:lang w:val="en-ID"/>
        </w:rPr>
        <w:t>Dn</w:t>
      </w:r>
      <w:proofErr w:type="spellEnd"/>
      <w:r>
        <w:rPr>
          <w:rFonts w:ascii="Arial" w:hAnsi="Arial" w:cs="Arial"/>
          <w:color w:val="000000" w:themeColor="text1"/>
          <w:sz w:val="18"/>
          <w:szCs w:val="18"/>
          <w:lang w:val="en-ID"/>
        </w:rPr>
        <w:t xml:space="preserve"> ratio closely align with eutrophication patterns in Jakarta Bay. Initially, nutrient-rich conditions caused by river runoff, wastewater inputs, and monsoon-driven hydrodynamics typically trigger rapid diatom blooms. As nutrient ratios change and water-column stability increases, dinoflagellates often replace diatoms, showing a </w:t>
      </w:r>
      <w:r w:rsidR="00350FA7">
        <w:rPr>
          <w:rFonts w:ascii="Arial" w:hAnsi="Arial" w:cs="Arial"/>
          <w:color w:val="000000" w:themeColor="text1"/>
          <w:sz w:val="18"/>
          <w:szCs w:val="18"/>
          <w:lang w:val="en-ID"/>
        </w:rPr>
        <w:t>typical</w:t>
      </w:r>
      <w:r>
        <w:rPr>
          <w:rFonts w:ascii="Arial" w:hAnsi="Arial" w:cs="Arial"/>
          <w:color w:val="000000" w:themeColor="text1"/>
          <w:sz w:val="18"/>
          <w:szCs w:val="18"/>
          <w:lang w:val="en-ID"/>
        </w:rPr>
        <w:t xml:space="preserve"> nutrient-driven succession pattern observed in many eutrophic coastal ecosystems (</w:t>
      </w:r>
      <w:proofErr w:type="spellStart"/>
      <w:r>
        <w:rPr>
          <w:rFonts w:ascii="Arial" w:hAnsi="Arial" w:cs="Arial"/>
          <w:color w:val="000000" w:themeColor="text1"/>
          <w:sz w:val="18"/>
          <w:szCs w:val="18"/>
          <w:lang w:val="en-ID"/>
        </w:rPr>
        <w:t>Sidabutar</w:t>
      </w:r>
      <w:proofErr w:type="spellEnd"/>
      <w:r>
        <w:rPr>
          <w:rFonts w:ascii="Arial" w:hAnsi="Arial" w:cs="Arial"/>
          <w:color w:val="000000" w:themeColor="text1"/>
          <w:sz w:val="18"/>
          <w:szCs w:val="18"/>
          <w:lang w:val="en-ID"/>
        </w:rPr>
        <w:t xml:space="preserve"> &amp; </w:t>
      </w:r>
      <w:proofErr w:type="spellStart"/>
      <w:r>
        <w:rPr>
          <w:rFonts w:ascii="Arial" w:hAnsi="Arial" w:cs="Arial"/>
          <w:color w:val="000000" w:themeColor="text1"/>
          <w:sz w:val="18"/>
          <w:szCs w:val="18"/>
          <w:lang w:val="en-ID"/>
        </w:rPr>
        <w:t>Srimariana</w:t>
      </w:r>
      <w:proofErr w:type="spellEnd"/>
      <w:r>
        <w:rPr>
          <w:rFonts w:ascii="Arial" w:hAnsi="Arial" w:cs="Arial"/>
          <w:color w:val="000000" w:themeColor="text1"/>
          <w:sz w:val="18"/>
          <w:szCs w:val="18"/>
          <w:lang w:val="en-ID"/>
        </w:rPr>
        <w:t>, 2020; Lin et al., 2021). Although gaps in observations from 2011–2013 and 2013–2015 likely result from inconsistent sampling, they do not obscure the overall trend of alternating dominance and community shifts. Global studies also demonstrate that changes in N:P and N:Si ratios can shift communities from diatom- to dinoflagellate-dominant, especially with warming and stratification (</w:t>
      </w:r>
      <w:proofErr w:type="spellStart"/>
      <w:r>
        <w:rPr>
          <w:rFonts w:ascii="Arial" w:hAnsi="Arial" w:cs="Arial"/>
          <w:color w:val="000000" w:themeColor="text1"/>
          <w:sz w:val="18"/>
          <w:szCs w:val="18"/>
          <w:lang w:val="en-ID"/>
        </w:rPr>
        <w:t>Glibert</w:t>
      </w:r>
      <w:proofErr w:type="spellEnd"/>
      <w:r>
        <w:rPr>
          <w:rFonts w:ascii="Arial" w:hAnsi="Arial" w:cs="Arial"/>
          <w:color w:val="000000" w:themeColor="text1"/>
          <w:sz w:val="18"/>
          <w:szCs w:val="18"/>
          <w:lang w:val="en-ID"/>
        </w:rPr>
        <w:t>, 2020).</w:t>
      </w:r>
    </w:p>
    <w:p w14:paraId="04552B66" w14:textId="77777777" w:rsidR="00E77AA5" w:rsidRPr="00F1570C" w:rsidRDefault="00E77AA5" w:rsidP="00632D3D">
      <w:pPr>
        <w:spacing w:after="0" w:line="240" w:lineRule="auto"/>
        <w:jc w:val="both"/>
        <w:rPr>
          <w:rFonts w:ascii="Arial" w:hAnsi="Arial" w:cs="Arial"/>
          <w:color w:val="000000" w:themeColor="text1"/>
          <w:sz w:val="18"/>
          <w:szCs w:val="18"/>
          <w:lang w:val="en-ID"/>
        </w:rPr>
      </w:pPr>
    </w:p>
    <w:p w14:paraId="63DD00BE" w14:textId="2DA9C9CA" w:rsidR="00E77AA5" w:rsidRPr="00F1570C" w:rsidRDefault="00350FA7" w:rsidP="00B06D57">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lastRenderedPageBreak/>
        <w:t>Figure 5 illustrates how Jakarta Bay’s phytoplankton community actively responds to changing nutrient levels and water conditions. The persistent dominance of diatoms indicates ongoing eutrophic conditions, while occasional increases in dinoflagellates signal short-term bloom events caused by shifts in nutrient ratios or water movement patterns. These patterns emphasize the importance of long-term phytoplankton monitoring to detect community changes, assess eutrophication, and predict impacts on the food web, harmful algal blooms, and overall ecosystem health.</w:t>
      </w:r>
    </w:p>
    <w:p w14:paraId="32486737" w14:textId="290C22B4" w:rsidR="00E77AA5" w:rsidRPr="00F1570C" w:rsidRDefault="00E77AA5" w:rsidP="00B06D57">
      <w:pPr>
        <w:spacing w:after="0" w:line="240" w:lineRule="auto"/>
        <w:jc w:val="both"/>
        <w:rPr>
          <w:rFonts w:ascii="Arial" w:hAnsi="Arial" w:cs="Arial"/>
          <w:color w:val="000000" w:themeColor="text1"/>
          <w:sz w:val="18"/>
          <w:szCs w:val="18"/>
          <w:lang w:val="en-ID"/>
        </w:rPr>
      </w:pPr>
      <w:r w:rsidRPr="00F1570C">
        <w:rPr>
          <w:rFonts w:ascii="Arial" w:hAnsi="Arial" w:cs="Arial"/>
          <w:noProof/>
          <w:color w:val="000000" w:themeColor="text1"/>
          <w:sz w:val="18"/>
          <w:szCs w:val="18"/>
        </w:rPr>
        <w:drawing>
          <wp:anchor distT="0" distB="0" distL="114300" distR="114300" simplePos="0" relativeHeight="251706880" behindDoc="0" locked="0" layoutInCell="1" allowOverlap="1" wp14:anchorId="2BD9A5B7" wp14:editId="0B157F78">
            <wp:simplePos x="0" y="0"/>
            <wp:positionH relativeFrom="column">
              <wp:posOffset>-19050</wp:posOffset>
            </wp:positionH>
            <wp:positionV relativeFrom="paragraph">
              <wp:posOffset>208915</wp:posOffset>
            </wp:positionV>
            <wp:extent cx="4114165" cy="2540000"/>
            <wp:effectExtent l="0" t="0" r="635" b="0"/>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14AB9988" w14:textId="6D3F1B6D" w:rsidR="00DC1475" w:rsidRPr="00F1570C" w:rsidRDefault="00DC1475" w:rsidP="00DC1475">
      <w:pPr>
        <w:spacing w:after="0" w:line="240" w:lineRule="auto"/>
        <w:jc w:val="both"/>
        <w:rPr>
          <w:rFonts w:ascii="Arial" w:hAnsi="Arial" w:cs="Arial"/>
          <w:b/>
          <w:bCs/>
          <w:color w:val="000000" w:themeColor="text1"/>
          <w:sz w:val="18"/>
          <w:szCs w:val="18"/>
          <w:lang w:val="fr-FR"/>
        </w:rPr>
      </w:pPr>
    </w:p>
    <w:p w14:paraId="2E4004FC" w14:textId="6A748F55" w:rsidR="00DC1475" w:rsidRPr="00F1570C" w:rsidRDefault="00F247A5" w:rsidP="00DC1475">
      <w:pPr>
        <w:spacing w:after="0" w:line="240" w:lineRule="auto"/>
        <w:jc w:val="both"/>
        <w:rPr>
          <w:rFonts w:ascii="Arial" w:hAnsi="Arial" w:cs="Arial"/>
          <w:color w:val="000000" w:themeColor="text1"/>
          <w:sz w:val="18"/>
          <w:szCs w:val="18"/>
          <w:lang w:val="fr-FR"/>
        </w:rPr>
      </w:pPr>
      <w:r w:rsidRPr="00F1570C">
        <w:rPr>
          <w:rFonts w:ascii="Arial" w:hAnsi="Arial" w:cs="Arial"/>
          <w:b/>
          <w:bCs/>
          <w:color w:val="000000" w:themeColor="text1"/>
          <w:sz w:val="18"/>
          <w:szCs w:val="18"/>
          <w:lang w:val="fr-FR"/>
        </w:rPr>
        <w:t xml:space="preserve">Figure </w:t>
      </w:r>
      <w:r w:rsidR="00855A6D" w:rsidRPr="00F1570C">
        <w:rPr>
          <w:rFonts w:ascii="Arial" w:hAnsi="Arial" w:cs="Arial"/>
          <w:b/>
          <w:bCs/>
          <w:color w:val="000000" w:themeColor="text1"/>
          <w:sz w:val="18"/>
          <w:szCs w:val="18"/>
          <w:lang w:val="fr-FR"/>
        </w:rPr>
        <w:t>5</w:t>
      </w:r>
      <w:r w:rsidRPr="00F1570C">
        <w:rPr>
          <w:rFonts w:ascii="Arial" w:hAnsi="Arial" w:cs="Arial"/>
          <w:color w:val="000000" w:themeColor="text1"/>
          <w:sz w:val="18"/>
          <w:szCs w:val="18"/>
          <w:lang w:val="fr-FR"/>
        </w:rPr>
        <w:t xml:space="preserve">. </w:t>
      </w:r>
      <w:r w:rsidR="00DC1475" w:rsidRPr="00F1570C">
        <w:rPr>
          <w:rFonts w:ascii="Arial" w:hAnsi="Arial" w:cs="Arial"/>
          <w:color w:val="000000" w:themeColor="text1"/>
          <w:sz w:val="18"/>
          <w:szCs w:val="18"/>
          <w:lang w:val="fr-FR"/>
        </w:rPr>
        <w:t xml:space="preserve">Temporal variation in </w:t>
      </w:r>
      <w:proofErr w:type="spellStart"/>
      <w:r w:rsidR="00DC1475" w:rsidRPr="00F1570C">
        <w:rPr>
          <w:rFonts w:ascii="Arial" w:hAnsi="Arial" w:cs="Arial"/>
          <w:color w:val="000000" w:themeColor="text1"/>
          <w:sz w:val="18"/>
          <w:szCs w:val="18"/>
          <w:lang w:val="fr-FR"/>
        </w:rPr>
        <w:t>diatom</w:t>
      </w:r>
      <w:proofErr w:type="spellEnd"/>
      <w:r w:rsidR="00DC1475" w:rsidRPr="00F1570C">
        <w:rPr>
          <w:rFonts w:ascii="Arial" w:hAnsi="Arial" w:cs="Arial"/>
          <w:color w:val="000000" w:themeColor="text1"/>
          <w:sz w:val="18"/>
          <w:szCs w:val="18"/>
          <w:lang w:val="fr-FR"/>
        </w:rPr>
        <w:t xml:space="preserve"> and </w:t>
      </w:r>
      <w:proofErr w:type="spellStart"/>
      <w:r w:rsidR="00DC1475" w:rsidRPr="00F1570C">
        <w:rPr>
          <w:rFonts w:ascii="Arial" w:hAnsi="Arial" w:cs="Arial"/>
          <w:color w:val="000000" w:themeColor="text1"/>
          <w:sz w:val="18"/>
          <w:szCs w:val="18"/>
          <w:lang w:val="fr-FR"/>
        </w:rPr>
        <w:t>dinoflagellate</w:t>
      </w:r>
      <w:proofErr w:type="spellEnd"/>
      <w:r w:rsidR="00DC1475" w:rsidRPr="00F1570C">
        <w:rPr>
          <w:rFonts w:ascii="Arial" w:hAnsi="Arial" w:cs="Arial"/>
          <w:color w:val="000000" w:themeColor="text1"/>
          <w:sz w:val="18"/>
          <w:szCs w:val="18"/>
          <w:lang w:val="fr-FR"/>
        </w:rPr>
        <w:t xml:space="preserve"> </w:t>
      </w:r>
      <w:proofErr w:type="spellStart"/>
      <w:r w:rsidR="00DC1475" w:rsidRPr="00F1570C">
        <w:rPr>
          <w:rFonts w:ascii="Arial" w:hAnsi="Arial" w:cs="Arial"/>
          <w:color w:val="000000" w:themeColor="text1"/>
          <w:sz w:val="18"/>
          <w:szCs w:val="18"/>
          <w:lang w:val="fr-FR"/>
        </w:rPr>
        <w:t>abundance</w:t>
      </w:r>
      <w:proofErr w:type="spellEnd"/>
      <w:r w:rsidR="00DC1475" w:rsidRPr="00F1570C">
        <w:rPr>
          <w:rFonts w:ascii="Arial" w:hAnsi="Arial" w:cs="Arial"/>
          <w:color w:val="000000" w:themeColor="text1"/>
          <w:sz w:val="18"/>
          <w:szCs w:val="18"/>
          <w:lang w:val="fr-FR"/>
        </w:rPr>
        <w:t xml:space="preserve"> and the</w:t>
      </w:r>
    </w:p>
    <w:p w14:paraId="7181CD45" w14:textId="77777777" w:rsidR="00DC1475" w:rsidRPr="00F1570C" w:rsidRDefault="00DC1475" w:rsidP="00DC1475">
      <w:pPr>
        <w:spacing w:after="0" w:line="240" w:lineRule="auto"/>
        <w:ind w:firstLine="720"/>
        <w:jc w:val="both"/>
        <w:rPr>
          <w:rFonts w:ascii="Arial" w:hAnsi="Arial" w:cs="Arial"/>
          <w:color w:val="000000" w:themeColor="text1"/>
          <w:sz w:val="18"/>
          <w:szCs w:val="18"/>
          <w:lang w:val="fr-FR"/>
        </w:rPr>
      </w:pPr>
      <w:r w:rsidRPr="00F1570C">
        <w:rPr>
          <w:rFonts w:ascii="Arial" w:hAnsi="Arial" w:cs="Arial"/>
          <w:color w:val="000000" w:themeColor="text1"/>
          <w:sz w:val="18"/>
          <w:szCs w:val="18"/>
          <w:lang w:val="fr-FR"/>
        </w:rPr>
        <w:t xml:space="preserve"> </w:t>
      </w:r>
      <w:proofErr w:type="spellStart"/>
      <w:r w:rsidRPr="00F1570C">
        <w:rPr>
          <w:rFonts w:ascii="Arial" w:hAnsi="Arial" w:cs="Arial"/>
          <w:color w:val="000000" w:themeColor="text1"/>
          <w:sz w:val="18"/>
          <w:szCs w:val="18"/>
          <w:lang w:val="fr-FR"/>
        </w:rPr>
        <w:t>diatom</w:t>
      </w:r>
      <w:proofErr w:type="spellEnd"/>
      <w:r w:rsidRPr="00F1570C">
        <w:rPr>
          <w:rFonts w:ascii="Arial" w:hAnsi="Arial" w:cs="Arial"/>
          <w:color w:val="000000" w:themeColor="text1"/>
          <w:sz w:val="18"/>
          <w:szCs w:val="18"/>
          <w:lang w:val="fr-FR"/>
        </w:rPr>
        <w:t>–</w:t>
      </w:r>
      <w:proofErr w:type="spellStart"/>
      <w:r w:rsidRPr="00F1570C">
        <w:rPr>
          <w:rFonts w:ascii="Arial" w:hAnsi="Arial" w:cs="Arial"/>
          <w:color w:val="000000" w:themeColor="text1"/>
          <w:sz w:val="18"/>
          <w:szCs w:val="18"/>
          <w:lang w:val="fr-FR"/>
        </w:rPr>
        <w:t>dinoflagellate</w:t>
      </w:r>
      <w:proofErr w:type="spellEnd"/>
      <w:r w:rsidRPr="00F1570C">
        <w:rPr>
          <w:rFonts w:ascii="Arial" w:hAnsi="Arial" w:cs="Arial"/>
          <w:color w:val="000000" w:themeColor="text1"/>
          <w:sz w:val="18"/>
          <w:szCs w:val="18"/>
          <w:lang w:val="fr-FR"/>
        </w:rPr>
        <w:t xml:space="preserve"> ratio (</w:t>
      </w:r>
      <w:proofErr w:type="spellStart"/>
      <w:r w:rsidRPr="00F1570C">
        <w:rPr>
          <w:rFonts w:ascii="Arial" w:hAnsi="Arial" w:cs="Arial"/>
          <w:color w:val="000000" w:themeColor="text1"/>
          <w:sz w:val="18"/>
          <w:szCs w:val="18"/>
          <w:lang w:val="fr-FR"/>
        </w:rPr>
        <w:t>Dt</w:t>
      </w:r>
      <w:proofErr w:type="spellEnd"/>
      <w:r w:rsidRPr="00F1570C">
        <w:rPr>
          <w:rFonts w:ascii="Arial" w:hAnsi="Arial" w:cs="Arial"/>
          <w:color w:val="000000" w:themeColor="text1"/>
          <w:sz w:val="18"/>
          <w:szCs w:val="18"/>
          <w:lang w:val="fr-FR"/>
        </w:rPr>
        <w:t>/</w:t>
      </w:r>
      <w:proofErr w:type="spellStart"/>
      <w:r w:rsidRPr="00F1570C">
        <w:rPr>
          <w:rFonts w:ascii="Arial" w:hAnsi="Arial" w:cs="Arial"/>
          <w:color w:val="000000" w:themeColor="text1"/>
          <w:sz w:val="18"/>
          <w:szCs w:val="18"/>
          <w:lang w:val="fr-FR"/>
        </w:rPr>
        <w:t>Dn</w:t>
      </w:r>
      <w:proofErr w:type="spellEnd"/>
      <w:r w:rsidRPr="00F1570C">
        <w:rPr>
          <w:rFonts w:ascii="Arial" w:hAnsi="Arial" w:cs="Arial"/>
          <w:color w:val="000000" w:themeColor="text1"/>
          <w:sz w:val="18"/>
          <w:szCs w:val="18"/>
          <w:lang w:val="fr-FR"/>
        </w:rPr>
        <w:t xml:space="preserve">) in Jakarta Bay </w:t>
      </w:r>
      <w:proofErr w:type="spellStart"/>
      <w:r w:rsidRPr="00F1570C">
        <w:rPr>
          <w:rFonts w:ascii="Arial" w:hAnsi="Arial" w:cs="Arial"/>
          <w:color w:val="000000" w:themeColor="text1"/>
          <w:sz w:val="18"/>
          <w:szCs w:val="18"/>
          <w:lang w:val="fr-FR"/>
        </w:rPr>
        <w:t>from</w:t>
      </w:r>
      <w:proofErr w:type="spellEnd"/>
      <w:r w:rsidRPr="00F1570C">
        <w:rPr>
          <w:rFonts w:ascii="Arial" w:hAnsi="Arial" w:cs="Arial"/>
          <w:color w:val="000000" w:themeColor="text1"/>
          <w:sz w:val="18"/>
          <w:szCs w:val="18"/>
          <w:lang w:val="fr-FR"/>
        </w:rPr>
        <w:t xml:space="preserve"> 2008 to</w:t>
      </w:r>
    </w:p>
    <w:p w14:paraId="4E5A48D9" w14:textId="20578B47" w:rsidR="00DC1475" w:rsidRPr="00F1570C" w:rsidRDefault="00DC1475" w:rsidP="00DC1475">
      <w:pPr>
        <w:spacing w:after="0" w:line="240" w:lineRule="auto"/>
        <w:ind w:firstLine="720"/>
        <w:jc w:val="both"/>
        <w:rPr>
          <w:rFonts w:ascii="Arial" w:hAnsi="Arial" w:cs="Arial"/>
          <w:i/>
          <w:iCs/>
          <w:color w:val="000000" w:themeColor="text1"/>
          <w:sz w:val="18"/>
          <w:szCs w:val="18"/>
        </w:rPr>
      </w:pPr>
      <w:r w:rsidRPr="00F1570C">
        <w:rPr>
          <w:rFonts w:ascii="Arial" w:hAnsi="Arial" w:cs="Arial"/>
          <w:color w:val="000000" w:themeColor="text1"/>
          <w:sz w:val="18"/>
          <w:szCs w:val="18"/>
          <w:lang w:val="fr-FR"/>
        </w:rPr>
        <w:t xml:space="preserve"> 2015</w:t>
      </w:r>
      <w:r w:rsidRPr="00F1570C">
        <w:rPr>
          <w:rFonts w:ascii="Arial" w:hAnsi="Arial" w:cs="Arial"/>
          <w:i/>
          <w:iCs/>
          <w:color w:val="000000" w:themeColor="text1"/>
          <w:sz w:val="18"/>
          <w:szCs w:val="18"/>
          <w:lang w:val="fr-FR"/>
        </w:rPr>
        <w:t xml:space="preserve">. </w:t>
      </w:r>
      <w:r w:rsidRPr="00F1570C">
        <w:rPr>
          <w:rFonts w:ascii="Arial" w:hAnsi="Arial" w:cs="Arial"/>
          <w:i/>
          <w:iCs/>
          <w:color w:val="000000" w:themeColor="text1"/>
          <w:sz w:val="18"/>
          <w:szCs w:val="18"/>
        </w:rPr>
        <w:t>High Dt/</w:t>
      </w:r>
      <w:proofErr w:type="spellStart"/>
      <w:r w:rsidRPr="00F1570C">
        <w:rPr>
          <w:rFonts w:ascii="Arial" w:hAnsi="Arial" w:cs="Arial"/>
          <w:i/>
          <w:iCs/>
          <w:color w:val="000000" w:themeColor="text1"/>
          <w:sz w:val="18"/>
          <w:szCs w:val="18"/>
        </w:rPr>
        <w:t>Dn</w:t>
      </w:r>
      <w:proofErr w:type="spellEnd"/>
      <w:r w:rsidRPr="00F1570C">
        <w:rPr>
          <w:rFonts w:ascii="Arial" w:hAnsi="Arial" w:cs="Arial"/>
          <w:i/>
          <w:iCs/>
          <w:color w:val="000000" w:themeColor="text1"/>
          <w:sz w:val="18"/>
          <w:szCs w:val="18"/>
        </w:rPr>
        <w:t xml:space="preserve"> values, such as those observed in 2009 and 2013,</w:t>
      </w:r>
    </w:p>
    <w:p w14:paraId="1D71C5B3" w14:textId="77777777" w:rsidR="00DC1475" w:rsidRPr="00F1570C" w:rsidRDefault="00DC1475" w:rsidP="00DC1475">
      <w:pPr>
        <w:spacing w:after="0" w:line="240" w:lineRule="auto"/>
        <w:ind w:firstLine="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indicate strong diatom dominance, whereas lower ratios correspond to</w:t>
      </w:r>
    </w:p>
    <w:p w14:paraId="41C95C56" w14:textId="6D250D0C" w:rsidR="00F247A5" w:rsidRPr="00F1570C" w:rsidRDefault="00DC1475" w:rsidP="00DC1475">
      <w:pPr>
        <w:spacing w:after="0" w:line="240" w:lineRule="auto"/>
        <w:ind w:firstLine="720"/>
        <w:jc w:val="both"/>
        <w:rPr>
          <w:rFonts w:ascii="Arial" w:hAnsi="Arial" w:cs="Arial"/>
          <w:i/>
          <w:iCs/>
          <w:color w:val="000000" w:themeColor="text1"/>
          <w:sz w:val="18"/>
          <w:szCs w:val="18"/>
          <w:lang w:val="fr-FR"/>
        </w:rPr>
      </w:pPr>
      <w:r w:rsidRPr="00F1570C">
        <w:rPr>
          <w:rFonts w:ascii="Arial" w:hAnsi="Arial" w:cs="Arial"/>
          <w:i/>
          <w:iCs/>
          <w:color w:val="000000" w:themeColor="text1"/>
          <w:sz w:val="18"/>
          <w:szCs w:val="18"/>
        </w:rPr>
        <w:t xml:space="preserve"> periods when dinoflagellates became relatively more abundant.</w:t>
      </w:r>
    </w:p>
    <w:p w14:paraId="4F4F1920" w14:textId="77777777" w:rsidR="004C1C8A" w:rsidRDefault="004C1C8A" w:rsidP="00D34837">
      <w:pPr>
        <w:spacing w:after="0" w:line="240" w:lineRule="auto"/>
        <w:jc w:val="both"/>
        <w:rPr>
          <w:rFonts w:ascii="Arial" w:hAnsi="Arial" w:cs="Arial"/>
          <w:color w:val="000000" w:themeColor="text1"/>
          <w:sz w:val="18"/>
          <w:szCs w:val="18"/>
          <w:lang w:val="en-ID"/>
        </w:rPr>
      </w:pPr>
    </w:p>
    <w:p w14:paraId="3648821C" w14:textId="77777777" w:rsidR="00B7771E" w:rsidRPr="00F1570C" w:rsidRDefault="00B7771E" w:rsidP="00B7771E">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3.</w:t>
      </w:r>
      <w:r>
        <w:rPr>
          <w:rFonts w:ascii="Arial" w:hAnsi="Arial" w:cs="Arial"/>
          <w:b/>
          <w:bCs/>
          <w:color w:val="000000" w:themeColor="text1"/>
          <w:sz w:val="18"/>
          <w:szCs w:val="18"/>
          <w:lang w:val="en-ID"/>
        </w:rPr>
        <w:t>6</w:t>
      </w:r>
      <w:r w:rsidRPr="00F1570C">
        <w:rPr>
          <w:rFonts w:ascii="Arial" w:hAnsi="Arial" w:cs="Arial"/>
          <w:b/>
          <w:bCs/>
          <w:color w:val="000000" w:themeColor="text1"/>
          <w:sz w:val="18"/>
          <w:szCs w:val="18"/>
          <w:lang w:val="en-ID"/>
        </w:rPr>
        <w:t xml:space="preserve"> Spatial Distribution Patterns</w:t>
      </w:r>
    </w:p>
    <w:p w14:paraId="16B4439E" w14:textId="77777777" w:rsidR="00B7771E" w:rsidRPr="00F1570C" w:rsidRDefault="00B7771E" w:rsidP="00B7771E">
      <w:pPr>
        <w:spacing w:after="0" w:line="240" w:lineRule="auto"/>
        <w:jc w:val="both"/>
        <w:rPr>
          <w:rFonts w:ascii="Arial" w:hAnsi="Arial" w:cs="Arial"/>
          <w:color w:val="000000" w:themeColor="text1"/>
          <w:sz w:val="18"/>
          <w:szCs w:val="18"/>
          <w:lang w:val="en-ID"/>
        </w:rPr>
      </w:pPr>
    </w:p>
    <w:p w14:paraId="1C92B6E7" w14:textId="411CF326" w:rsidR="00B7771E" w:rsidRPr="00F1570C" w:rsidRDefault="00B7771E" w:rsidP="00B7771E">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Spatial mapping from March 2010 (Figure 6) shows that phytoplankton levels were highest in nearshore and estuarine areas, especially around the </w:t>
      </w:r>
      <w:proofErr w:type="spellStart"/>
      <w:r w:rsidRPr="00F1570C">
        <w:rPr>
          <w:rFonts w:ascii="Arial" w:hAnsi="Arial" w:cs="Arial"/>
          <w:color w:val="000000" w:themeColor="text1"/>
          <w:sz w:val="18"/>
          <w:szCs w:val="18"/>
          <w:lang w:val="en-ID"/>
        </w:rPr>
        <w:t>Ciliwung</w:t>
      </w:r>
      <w:proofErr w:type="spellEnd"/>
      <w:r w:rsidRPr="00F1570C">
        <w:rPr>
          <w:rFonts w:ascii="Arial" w:hAnsi="Arial" w:cs="Arial"/>
          <w:color w:val="000000" w:themeColor="text1"/>
          <w:sz w:val="18"/>
          <w:szCs w:val="18"/>
          <w:lang w:val="en-ID"/>
        </w:rPr>
        <w:t xml:space="preserve"> and </w:t>
      </w:r>
      <w:proofErr w:type="spellStart"/>
      <w:r w:rsidRPr="00F1570C">
        <w:rPr>
          <w:rFonts w:ascii="Arial" w:hAnsi="Arial" w:cs="Arial"/>
          <w:color w:val="000000" w:themeColor="text1"/>
          <w:sz w:val="18"/>
          <w:szCs w:val="18"/>
          <w:lang w:val="en-ID"/>
        </w:rPr>
        <w:t>Angke</w:t>
      </w:r>
      <w:proofErr w:type="spellEnd"/>
      <w:r w:rsidRPr="00F1570C">
        <w:rPr>
          <w:rFonts w:ascii="Arial" w:hAnsi="Arial" w:cs="Arial"/>
          <w:color w:val="000000" w:themeColor="text1"/>
          <w:sz w:val="18"/>
          <w:szCs w:val="18"/>
          <w:lang w:val="en-ID"/>
        </w:rPr>
        <w:t xml:space="preserve"> river mouths, where nutrients and suspended solids were concentrated. Levels decreased gradually toward offshore stations, creating a </w:t>
      </w:r>
      <w:r w:rsidR="00851656">
        <w:rPr>
          <w:rFonts w:ascii="Arial" w:hAnsi="Arial" w:cs="Arial"/>
          <w:color w:val="000000" w:themeColor="text1"/>
          <w:sz w:val="18"/>
          <w:szCs w:val="18"/>
          <w:lang w:val="en-ID"/>
        </w:rPr>
        <w:t>transparent</w:t>
      </w:r>
      <w:r w:rsidRPr="00F1570C">
        <w:rPr>
          <w:rFonts w:ascii="Arial" w:hAnsi="Arial" w:cs="Arial"/>
          <w:color w:val="000000" w:themeColor="text1"/>
          <w:sz w:val="18"/>
          <w:szCs w:val="18"/>
          <w:lang w:val="en-ID"/>
        </w:rPr>
        <w:t xml:space="preserve"> coastal–offshore gradient influenced by river inputs and limited hydrodynamic mixing in the inner bay (Surya et al., 2019). This pattern matches TRIX-based assessments indicating hypereutrophic conditions near the coast and mesotrophic–eutrophic conditions further offshore (</w:t>
      </w:r>
      <w:proofErr w:type="spellStart"/>
      <w:r w:rsidRPr="00F1570C">
        <w:rPr>
          <w:rFonts w:ascii="Arial" w:hAnsi="Arial" w:cs="Arial"/>
          <w:color w:val="000000" w:themeColor="text1"/>
          <w:sz w:val="18"/>
          <w:szCs w:val="18"/>
          <w:lang w:val="en-ID"/>
        </w:rPr>
        <w:t>Krisna</w:t>
      </w:r>
      <w:proofErr w:type="spellEnd"/>
      <w:r w:rsidRPr="00F1570C">
        <w:rPr>
          <w:rFonts w:ascii="Arial" w:hAnsi="Arial" w:cs="Arial"/>
          <w:color w:val="000000" w:themeColor="text1"/>
          <w:sz w:val="18"/>
          <w:szCs w:val="18"/>
          <w:lang w:val="en-ID"/>
        </w:rPr>
        <w:t xml:space="preserve"> et al., 2025), and supports previous findings that sedimentation and restricted water exchange</w:t>
      </w:r>
      <w:r w:rsidR="004E36A9">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lastRenderedPageBreak/>
        <w:t>exacerbated by coastal reclamation</w:t>
      </w:r>
      <w:r w:rsidR="00851656">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encourage localized eutrophication (</w:t>
      </w:r>
      <w:proofErr w:type="spellStart"/>
      <w:r w:rsidRPr="00F1570C">
        <w:rPr>
          <w:rFonts w:ascii="Arial" w:hAnsi="Arial" w:cs="Arial"/>
          <w:color w:val="000000" w:themeColor="text1"/>
          <w:sz w:val="18"/>
          <w:szCs w:val="18"/>
          <w:lang w:val="en-ID"/>
        </w:rPr>
        <w:t>Puspasari</w:t>
      </w:r>
      <w:proofErr w:type="spellEnd"/>
      <w:r w:rsidRPr="00F1570C">
        <w:rPr>
          <w:rFonts w:ascii="Arial" w:hAnsi="Arial" w:cs="Arial"/>
          <w:color w:val="000000" w:themeColor="text1"/>
          <w:sz w:val="18"/>
          <w:szCs w:val="18"/>
          <w:lang w:val="en-ID"/>
        </w:rPr>
        <w:t xml:space="preserve"> et al., 2018).</w:t>
      </w:r>
    </w:p>
    <w:p w14:paraId="437F7FBA" w14:textId="77777777" w:rsidR="00B7771E" w:rsidRPr="00F1570C" w:rsidRDefault="00B7771E" w:rsidP="00B7771E">
      <w:pPr>
        <w:spacing w:after="0" w:line="240" w:lineRule="auto"/>
        <w:jc w:val="both"/>
        <w:rPr>
          <w:rFonts w:ascii="Arial" w:hAnsi="Arial" w:cs="Arial"/>
          <w:color w:val="000000" w:themeColor="text1"/>
          <w:sz w:val="18"/>
          <w:szCs w:val="18"/>
          <w:lang w:val="en-ID"/>
        </w:rPr>
      </w:pPr>
    </w:p>
    <w:p w14:paraId="0D53EB2C" w14:textId="6788A08E" w:rsidR="00B7771E" w:rsidRPr="00F1570C" w:rsidRDefault="005E2E5C" w:rsidP="00B7771E">
      <w:pPr>
        <w:spacing w:after="0" w:line="240" w:lineRule="auto"/>
        <w:jc w:val="both"/>
        <w:rPr>
          <w:rFonts w:ascii="Arial" w:hAnsi="Arial" w:cs="Arial"/>
          <w:color w:val="000000" w:themeColor="text1"/>
          <w:sz w:val="18"/>
          <w:szCs w:val="18"/>
          <w:lang w:val="en-ID"/>
        </w:rPr>
      </w:pPr>
      <w:r w:rsidRPr="00F1570C">
        <w:rPr>
          <w:rFonts w:ascii="Arial" w:hAnsi="Arial" w:cs="Arial"/>
          <w:noProof/>
          <w:color w:val="000000" w:themeColor="text1"/>
          <w:sz w:val="18"/>
          <w:szCs w:val="18"/>
          <w:lang w:val="en-ID"/>
        </w:rPr>
        <w:drawing>
          <wp:anchor distT="0" distB="0" distL="114300" distR="114300" simplePos="0" relativeHeight="251731456" behindDoc="0" locked="0" layoutInCell="1" allowOverlap="1" wp14:anchorId="01A664A9" wp14:editId="60830768">
            <wp:simplePos x="0" y="0"/>
            <wp:positionH relativeFrom="column">
              <wp:posOffset>361279</wp:posOffset>
            </wp:positionH>
            <wp:positionV relativeFrom="paragraph">
              <wp:posOffset>1286415</wp:posOffset>
            </wp:positionV>
            <wp:extent cx="3101975" cy="2254250"/>
            <wp:effectExtent l="0" t="0" r="3175" b="0"/>
            <wp:wrapTopAndBottom/>
            <wp:docPr id="7875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9020" name=""/>
                    <pic:cNvPicPr/>
                  </pic:nvPicPr>
                  <pic:blipFill>
                    <a:blip r:embed="rId13"/>
                    <a:stretch>
                      <a:fillRect/>
                    </a:stretch>
                  </pic:blipFill>
                  <pic:spPr>
                    <a:xfrm>
                      <a:off x="0" y="0"/>
                      <a:ext cx="3101975" cy="2254250"/>
                    </a:xfrm>
                    <a:prstGeom prst="rect">
                      <a:avLst/>
                    </a:prstGeom>
                  </pic:spPr>
                </pic:pic>
              </a:graphicData>
            </a:graphic>
            <wp14:sizeRelH relativeFrom="margin">
              <wp14:pctWidth>0</wp14:pctWidth>
            </wp14:sizeRelH>
            <wp14:sizeRelV relativeFrom="margin">
              <wp14:pctHeight>0</wp14:pctHeight>
            </wp14:sizeRelV>
          </wp:anchor>
        </w:drawing>
      </w:r>
      <w:r w:rsidR="00B7771E" w:rsidRPr="00F1570C">
        <w:rPr>
          <w:rFonts w:ascii="Arial" w:hAnsi="Arial" w:cs="Arial"/>
          <w:color w:val="000000" w:themeColor="text1"/>
          <w:sz w:val="18"/>
          <w:szCs w:val="18"/>
          <w:lang w:val="en-ID"/>
        </w:rPr>
        <w:t>The spatial distribution shown in Figure 6 reflects underlying environmental gradients and highlights areas of increased biological activity affected by terrestrial runoff. Nearshore zones with higher phytoplankton biomass may serve as productivity hotspots but also as potential sites for harmful algal blooms and oxygen depletion. In contrast, offshore areas show lower concentrations due to dilution and stronger currents. This spatial mapping is essential for assessing water quality, identifying ecologically sensitive habitats, and guiding management actions, including pollution control, fisheries planning, and long-term monitoring of climate- or human-driven changes in primary productivity.</w:t>
      </w:r>
    </w:p>
    <w:p w14:paraId="3F2B837F" w14:textId="77777777" w:rsidR="005F5E3A" w:rsidRPr="00F1570C" w:rsidRDefault="005F5E3A" w:rsidP="005F5E3A">
      <w:pPr>
        <w:spacing w:after="0" w:line="240" w:lineRule="auto"/>
        <w:jc w:val="both"/>
        <w:rPr>
          <w:rFonts w:ascii="Arial" w:hAnsi="Arial" w:cs="Arial"/>
          <w:b/>
          <w:bCs/>
          <w:color w:val="000000" w:themeColor="text1"/>
          <w:sz w:val="18"/>
          <w:szCs w:val="18"/>
        </w:rPr>
      </w:pPr>
    </w:p>
    <w:p w14:paraId="14FEFBAB" w14:textId="3AAAA292" w:rsidR="005F5E3A" w:rsidRPr="00F1570C" w:rsidRDefault="00F247A5" w:rsidP="005F5E3A">
      <w:pPr>
        <w:spacing w:after="0" w:line="240" w:lineRule="auto"/>
        <w:jc w:val="both"/>
        <w:rPr>
          <w:rFonts w:ascii="Arial" w:hAnsi="Arial" w:cs="Arial"/>
          <w:color w:val="000000" w:themeColor="text1"/>
          <w:sz w:val="18"/>
          <w:szCs w:val="18"/>
        </w:rPr>
      </w:pPr>
      <w:r w:rsidRPr="00F1570C">
        <w:rPr>
          <w:rFonts w:ascii="Arial" w:hAnsi="Arial" w:cs="Arial"/>
          <w:b/>
          <w:bCs/>
          <w:color w:val="000000" w:themeColor="text1"/>
          <w:sz w:val="18"/>
          <w:szCs w:val="18"/>
        </w:rPr>
        <w:t xml:space="preserve">Figure </w:t>
      </w:r>
      <w:r w:rsidR="00855A6D" w:rsidRPr="00F1570C">
        <w:rPr>
          <w:rFonts w:ascii="Arial" w:hAnsi="Arial" w:cs="Arial"/>
          <w:b/>
          <w:bCs/>
          <w:color w:val="000000" w:themeColor="text1"/>
          <w:sz w:val="18"/>
          <w:szCs w:val="18"/>
        </w:rPr>
        <w:t>6</w:t>
      </w:r>
      <w:r w:rsidRPr="00F1570C">
        <w:rPr>
          <w:rFonts w:ascii="Arial" w:hAnsi="Arial" w:cs="Arial"/>
          <w:b/>
          <w:bCs/>
          <w:color w:val="000000" w:themeColor="text1"/>
          <w:sz w:val="18"/>
          <w:szCs w:val="18"/>
        </w:rPr>
        <w:t>.</w:t>
      </w:r>
      <w:r w:rsidRPr="00F1570C">
        <w:rPr>
          <w:rFonts w:ascii="Arial" w:hAnsi="Arial" w:cs="Arial"/>
          <w:color w:val="000000" w:themeColor="text1"/>
          <w:sz w:val="18"/>
          <w:szCs w:val="18"/>
        </w:rPr>
        <w:t xml:space="preserve">  </w:t>
      </w:r>
      <w:r w:rsidR="005F5E3A" w:rsidRPr="00F1570C">
        <w:rPr>
          <w:rFonts w:ascii="Arial" w:hAnsi="Arial" w:cs="Arial"/>
          <w:color w:val="000000" w:themeColor="text1"/>
          <w:sz w:val="18"/>
          <w:szCs w:val="18"/>
        </w:rPr>
        <w:t>Spatial distribution of phytoplankton abundance in Jakarta Bay during</w:t>
      </w:r>
    </w:p>
    <w:p w14:paraId="6073B5AF" w14:textId="13E21F18" w:rsidR="005F5E3A" w:rsidRPr="00F1570C" w:rsidRDefault="005F5E3A" w:rsidP="005F5E3A">
      <w:pPr>
        <w:spacing w:after="0" w:line="240" w:lineRule="auto"/>
        <w:ind w:firstLine="720"/>
        <w:jc w:val="both"/>
        <w:rPr>
          <w:rFonts w:ascii="Arial" w:hAnsi="Arial" w:cs="Arial"/>
          <w:i/>
          <w:iCs/>
          <w:color w:val="000000" w:themeColor="text1"/>
          <w:sz w:val="18"/>
          <w:szCs w:val="18"/>
        </w:rPr>
      </w:pPr>
      <w:r w:rsidRPr="00F1570C">
        <w:rPr>
          <w:rFonts w:ascii="Arial" w:hAnsi="Arial" w:cs="Arial"/>
          <w:color w:val="000000" w:themeColor="text1"/>
          <w:sz w:val="18"/>
          <w:szCs w:val="18"/>
        </w:rPr>
        <w:t xml:space="preserve">  March 2010. </w:t>
      </w:r>
      <w:r w:rsidRPr="00F1570C">
        <w:rPr>
          <w:rFonts w:ascii="Arial" w:hAnsi="Arial" w:cs="Arial"/>
          <w:i/>
          <w:iCs/>
          <w:color w:val="000000" w:themeColor="text1"/>
          <w:sz w:val="18"/>
          <w:szCs w:val="18"/>
        </w:rPr>
        <w:t>This map illustrates the horizontal distribution of</w:t>
      </w:r>
    </w:p>
    <w:p w14:paraId="65D7AEC3" w14:textId="64CF9569" w:rsidR="005F5E3A" w:rsidRPr="00F1570C" w:rsidRDefault="005F5E3A" w:rsidP="005F5E3A">
      <w:pPr>
        <w:spacing w:after="0" w:line="240" w:lineRule="auto"/>
        <w:ind w:left="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phytoplankton abundance across Jakarta Bay, revealing high</w:t>
      </w:r>
    </w:p>
    <w:p w14:paraId="3D98397C" w14:textId="0AA3D81B" w:rsidR="005F5E3A" w:rsidRPr="00F1570C" w:rsidRDefault="005F5E3A" w:rsidP="005F5E3A">
      <w:pPr>
        <w:spacing w:after="0" w:line="240" w:lineRule="auto"/>
        <w:ind w:left="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concentrations in nearshore and estuarine zones, especially near the</w:t>
      </w:r>
    </w:p>
    <w:p w14:paraId="118F6654" w14:textId="77777777" w:rsidR="005E2E5C" w:rsidRDefault="005F5E3A" w:rsidP="00B7771E">
      <w:pPr>
        <w:spacing w:after="0" w:line="240" w:lineRule="auto"/>
        <w:ind w:left="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river mouths.</w:t>
      </w:r>
    </w:p>
    <w:p w14:paraId="5364E608" w14:textId="77777777" w:rsidR="005E2E5C" w:rsidRDefault="005E2E5C" w:rsidP="00B7771E">
      <w:pPr>
        <w:spacing w:after="0" w:line="240" w:lineRule="auto"/>
        <w:ind w:left="720"/>
        <w:jc w:val="both"/>
        <w:rPr>
          <w:rFonts w:ascii="Arial" w:hAnsi="Arial" w:cs="Arial"/>
          <w:i/>
          <w:iCs/>
          <w:color w:val="000000" w:themeColor="text1"/>
          <w:sz w:val="18"/>
          <w:szCs w:val="18"/>
        </w:rPr>
      </w:pPr>
    </w:p>
    <w:p w14:paraId="03FF9941" w14:textId="77777777" w:rsidR="005E2E5C" w:rsidRPr="00F1570C" w:rsidRDefault="005E2E5C" w:rsidP="005E2E5C">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t>3.</w:t>
      </w:r>
      <w:r>
        <w:rPr>
          <w:rFonts w:ascii="Arial" w:hAnsi="Arial" w:cs="Arial"/>
          <w:b/>
          <w:bCs/>
          <w:color w:val="000000" w:themeColor="text1"/>
          <w:sz w:val="18"/>
          <w:szCs w:val="18"/>
          <w:lang w:val="en-ID"/>
        </w:rPr>
        <w:t>7</w:t>
      </w:r>
      <w:r w:rsidRPr="00F1570C">
        <w:rPr>
          <w:rFonts w:ascii="Arial" w:hAnsi="Arial" w:cs="Arial"/>
          <w:b/>
          <w:bCs/>
          <w:color w:val="000000" w:themeColor="text1"/>
          <w:sz w:val="18"/>
          <w:szCs w:val="18"/>
          <w:lang w:val="en-ID"/>
        </w:rPr>
        <w:t xml:space="preserve"> Species-Specific Bloom Patterns</w:t>
      </w:r>
    </w:p>
    <w:p w14:paraId="7FA7137F" w14:textId="77777777" w:rsidR="005E2E5C" w:rsidRPr="00F1570C" w:rsidRDefault="005E2E5C" w:rsidP="005E2E5C">
      <w:pPr>
        <w:spacing w:after="0" w:line="240" w:lineRule="auto"/>
        <w:jc w:val="both"/>
        <w:rPr>
          <w:rFonts w:ascii="Arial" w:hAnsi="Arial" w:cs="Arial"/>
          <w:color w:val="000000" w:themeColor="text1"/>
          <w:sz w:val="18"/>
          <w:szCs w:val="18"/>
          <w:lang w:val="en-ID"/>
        </w:rPr>
      </w:pPr>
    </w:p>
    <w:p w14:paraId="47A3FAE1" w14:textId="7DE80C26" w:rsidR="005E2E5C" w:rsidRPr="00F1570C" w:rsidRDefault="003A793E" w:rsidP="005E2E5C">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Time-series observations from 2008 to 2019 (Figure 7) show that </w:t>
      </w:r>
      <w:proofErr w:type="spellStart"/>
      <w:r w:rsidRPr="003A793E">
        <w:rPr>
          <w:rFonts w:ascii="Arial" w:hAnsi="Arial" w:cs="Arial"/>
          <w:i/>
          <w:iCs/>
          <w:color w:val="000000" w:themeColor="text1"/>
          <w:sz w:val="18"/>
          <w:szCs w:val="18"/>
          <w:lang w:val="en-ID"/>
        </w:rPr>
        <w:t>Chaetoceros</w:t>
      </w:r>
      <w:proofErr w:type="spellEnd"/>
      <w:r w:rsidRPr="003A793E">
        <w:rPr>
          <w:rFonts w:ascii="Arial" w:hAnsi="Arial" w:cs="Arial"/>
          <w:i/>
          <w:iCs/>
          <w:color w:val="000000" w:themeColor="text1"/>
          <w:sz w:val="18"/>
          <w:szCs w:val="18"/>
          <w:lang w:val="en-ID"/>
        </w:rPr>
        <w:t xml:space="preserve"> </w:t>
      </w:r>
      <w:r>
        <w:rPr>
          <w:rFonts w:ascii="Arial" w:hAnsi="Arial" w:cs="Arial"/>
          <w:color w:val="000000" w:themeColor="text1"/>
          <w:sz w:val="18"/>
          <w:szCs w:val="18"/>
          <w:lang w:val="en-ID"/>
        </w:rPr>
        <w:t>consistently had the highest abundance, with peak blooms occasionally surpassing 140 × 10⁶ cells L</w:t>
      </w:r>
      <w:r>
        <w:rPr>
          <w:rFonts w:ascii="Cambria Math" w:hAnsi="Cambria Math" w:cs="Cambria Math"/>
          <w:color w:val="000000" w:themeColor="text1"/>
          <w:sz w:val="18"/>
          <w:szCs w:val="18"/>
          <w:lang w:val="en-ID"/>
        </w:rPr>
        <w:t>⁻</w:t>
      </w:r>
      <w:r>
        <w:rPr>
          <w:rFonts w:ascii="Arial" w:hAnsi="Arial" w:cs="Arial"/>
          <w:color w:val="000000" w:themeColor="text1"/>
          <w:sz w:val="18"/>
          <w:szCs w:val="18"/>
          <w:lang w:val="en-ID"/>
        </w:rPr>
        <w:t>¹, especially during the dry season. This persistent dominance reflects the species’ opportunistic bloom-forming strategy, thriving under nutrient-rich conditions, calm hydrodynamics, and increased light availability (</w:t>
      </w:r>
      <w:proofErr w:type="spellStart"/>
      <w:r>
        <w:rPr>
          <w:rFonts w:ascii="Arial" w:hAnsi="Arial" w:cs="Arial"/>
          <w:color w:val="000000" w:themeColor="text1"/>
          <w:sz w:val="18"/>
          <w:szCs w:val="18"/>
          <w:lang w:val="en-ID"/>
        </w:rPr>
        <w:t>Wijayanti</w:t>
      </w:r>
      <w:proofErr w:type="spellEnd"/>
      <w:r>
        <w:rPr>
          <w:rFonts w:ascii="Arial" w:hAnsi="Arial" w:cs="Arial"/>
          <w:color w:val="000000" w:themeColor="text1"/>
          <w:sz w:val="18"/>
          <w:szCs w:val="18"/>
          <w:lang w:val="en-ID"/>
        </w:rPr>
        <w:t xml:space="preserve"> et al., 2025). </w:t>
      </w:r>
      <w:proofErr w:type="spellStart"/>
      <w:r w:rsidRPr="003A793E">
        <w:rPr>
          <w:rFonts w:ascii="Arial" w:hAnsi="Arial" w:cs="Arial"/>
          <w:i/>
          <w:iCs/>
          <w:color w:val="000000" w:themeColor="text1"/>
          <w:sz w:val="18"/>
          <w:szCs w:val="18"/>
          <w:lang w:val="en-ID"/>
        </w:rPr>
        <w:t>Skeletonema</w:t>
      </w:r>
      <w:proofErr w:type="spellEnd"/>
      <w:r>
        <w:rPr>
          <w:rFonts w:ascii="Arial" w:hAnsi="Arial" w:cs="Arial"/>
          <w:color w:val="000000" w:themeColor="text1"/>
          <w:sz w:val="18"/>
          <w:szCs w:val="18"/>
          <w:lang w:val="en-ID"/>
        </w:rPr>
        <w:t xml:space="preserve"> showed more moderate and less variable abundance patterns, reaching occasional peaks of about 20 × 10⁶ cells L</w:t>
      </w:r>
      <w:r>
        <w:rPr>
          <w:rFonts w:ascii="Cambria Math" w:hAnsi="Cambria Math" w:cs="Cambria Math"/>
          <w:color w:val="000000" w:themeColor="text1"/>
          <w:sz w:val="18"/>
          <w:szCs w:val="18"/>
          <w:lang w:val="en-ID"/>
        </w:rPr>
        <w:t>⁻</w:t>
      </w:r>
      <w:r>
        <w:rPr>
          <w:rFonts w:ascii="Arial" w:hAnsi="Arial" w:cs="Arial"/>
          <w:color w:val="000000" w:themeColor="text1"/>
          <w:sz w:val="18"/>
          <w:szCs w:val="18"/>
          <w:lang w:val="en-ID"/>
        </w:rPr>
        <w:t xml:space="preserve">¹, while </w:t>
      </w:r>
      <w:proofErr w:type="spellStart"/>
      <w:r>
        <w:rPr>
          <w:rFonts w:ascii="Arial" w:hAnsi="Arial" w:cs="Arial"/>
          <w:color w:val="000000" w:themeColor="text1"/>
          <w:sz w:val="18"/>
          <w:szCs w:val="18"/>
          <w:lang w:val="en-ID"/>
        </w:rPr>
        <w:t>Thalassiosira</w:t>
      </w:r>
      <w:proofErr w:type="spellEnd"/>
      <w:r>
        <w:rPr>
          <w:rFonts w:ascii="Arial" w:hAnsi="Arial" w:cs="Arial"/>
          <w:color w:val="000000" w:themeColor="text1"/>
          <w:sz w:val="18"/>
          <w:szCs w:val="18"/>
          <w:lang w:val="en-ID"/>
        </w:rPr>
        <w:t xml:space="preserve"> remained the least abundant and most stable, rarely exceeding 10 × 10⁶ cells L</w:t>
      </w:r>
      <w:r>
        <w:rPr>
          <w:rFonts w:ascii="Cambria Math" w:hAnsi="Cambria Math" w:cs="Cambria Math"/>
          <w:color w:val="000000" w:themeColor="text1"/>
          <w:sz w:val="18"/>
          <w:szCs w:val="18"/>
          <w:lang w:val="en-ID"/>
        </w:rPr>
        <w:t>⁻</w:t>
      </w:r>
      <w:r>
        <w:rPr>
          <w:rFonts w:ascii="Arial" w:hAnsi="Arial" w:cs="Arial"/>
          <w:color w:val="000000" w:themeColor="text1"/>
          <w:sz w:val="18"/>
          <w:szCs w:val="18"/>
          <w:lang w:val="en-ID"/>
        </w:rPr>
        <w:t xml:space="preserve">¹. These differences in timing highlight distinct ecological strategies </w:t>
      </w:r>
      <w:r>
        <w:rPr>
          <w:rFonts w:ascii="Arial" w:hAnsi="Arial" w:cs="Arial"/>
          <w:color w:val="000000" w:themeColor="text1"/>
          <w:sz w:val="18"/>
          <w:szCs w:val="18"/>
          <w:lang w:val="en-ID"/>
        </w:rPr>
        <w:lastRenderedPageBreak/>
        <w:t>among major diatom groups, consistent with patterns seen in other eutrophic coastal systems (</w:t>
      </w:r>
      <w:proofErr w:type="spellStart"/>
      <w:r>
        <w:rPr>
          <w:rFonts w:ascii="Arial" w:hAnsi="Arial" w:cs="Arial"/>
          <w:color w:val="000000" w:themeColor="text1"/>
          <w:sz w:val="18"/>
          <w:szCs w:val="18"/>
          <w:lang w:val="en-ID"/>
        </w:rPr>
        <w:t>Smayda</w:t>
      </w:r>
      <w:proofErr w:type="spellEnd"/>
      <w:r>
        <w:rPr>
          <w:rFonts w:ascii="Arial" w:hAnsi="Arial" w:cs="Arial"/>
          <w:color w:val="000000" w:themeColor="text1"/>
          <w:sz w:val="18"/>
          <w:szCs w:val="18"/>
          <w:lang w:val="en-ID"/>
        </w:rPr>
        <w:t>, 1997).</w:t>
      </w:r>
    </w:p>
    <w:p w14:paraId="78DC5A6F" w14:textId="77777777" w:rsidR="005E2E5C" w:rsidRPr="00F1570C" w:rsidRDefault="005E2E5C" w:rsidP="005E2E5C">
      <w:pPr>
        <w:spacing w:after="0" w:line="240" w:lineRule="auto"/>
        <w:jc w:val="both"/>
        <w:rPr>
          <w:rFonts w:ascii="Arial" w:hAnsi="Arial" w:cs="Arial"/>
          <w:color w:val="000000" w:themeColor="text1"/>
          <w:sz w:val="18"/>
          <w:szCs w:val="18"/>
          <w:lang w:val="en-ID"/>
        </w:rPr>
      </w:pPr>
    </w:p>
    <w:p w14:paraId="38864637" w14:textId="61298DAB" w:rsidR="005E2E5C" w:rsidRPr="00F1570C" w:rsidRDefault="003A793E" w:rsidP="005E2E5C">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The significant interannual and seasonal variability, especially the notable </w:t>
      </w:r>
      <w:proofErr w:type="spellStart"/>
      <w:r w:rsidRPr="003A793E">
        <w:rPr>
          <w:rFonts w:ascii="Arial" w:hAnsi="Arial" w:cs="Arial"/>
          <w:i/>
          <w:iCs/>
          <w:color w:val="000000" w:themeColor="text1"/>
          <w:sz w:val="18"/>
          <w:szCs w:val="18"/>
          <w:lang w:val="en-ID"/>
        </w:rPr>
        <w:t>Chaetoceros</w:t>
      </w:r>
      <w:proofErr w:type="spellEnd"/>
      <w:r>
        <w:rPr>
          <w:rFonts w:ascii="Arial" w:hAnsi="Arial" w:cs="Arial"/>
          <w:color w:val="000000" w:themeColor="text1"/>
          <w:sz w:val="18"/>
          <w:szCs w:val="18"/>
          <w:lang w:val="en-ID"/>
        </w:rPr>
        <w:t xml:space="preserve"> peaks in 2009 and 2010, indicates that diatom dynamics are closely linked to short-term environmental changes and longer-term climatic factors. Variations in temperature, sunlight, nutrient availability, and water-column stability greatly influence bloom initiation and decline. At the same time, episodic monsoonal forces, storms, or shifts in circulation can enhance or suppress population growth (</w:t>
      </w:r>
      <w:proofErr w:type="spellStart"/>
      <w:r>
        <w:rPr>
          <w:rFonts w:ascii="Arial" w:hAnsi="Arial" w:cs="Arial"/>
          <w:color w:val="000000" w:themeColor="text1"/>
          <w:sz w:val="18"/>
          <w:szCs w:val="18"/>
          <w:lang w:val="en-ID"/>
        </w:rPr>
        <w:t>Paerl</w:t>
      </w:r>
      <w:proofErr w:type="spellEnd"/>
      <w:r>
        <w:rPr>
          <w:rFonts w:ascii="Arial" w:hAnsi="Arial" w:cs="Arial"/>
          <w:color w:val="000000" w:themeColor="text1"/>
          <w:sz w:val="18"/>
          <w:szCs w:val="18"/>
          <w:lang w:val="en-ID"/>
        </w:rPr>
        <w:t xml:space="preserve"> &amp; </w:t>
      </w:r>
      <w:proofErr w:type="spellStart"/>
      <w:r>
        <w:rPr>
          <w:rFonts w:ascii="Arial" w:hAnsi="Arial" w:cs="Arial"/>
          <w:color w:val="000000" w:themeColor="text1"/>
          <w:sz w:val="18"/>
          <w:szCs w:val="18"/>
          <w:lang w:val="en-ID"/>
        </w:rPr>
        <w:t>Otten</w:t>
      </w:r>
      <w:proofErr w:type="spellEnd"/>
      <w:r>
        <w:rPr>
          <w:rFonts w:ascii="Arial" w:hAnsi="Arial" w:cs="Arial"/>
          <w:color w:val="000000" w:themeColor="text1"/>
          <w:sz w:val="18"/>
          <w:szCs w:val="18"/>
          <w:lang w:val="en-ID"/>
        </w:rPr>
        <w:t>, 2016). These cyclical changes also reflect broader trends related to climate variability and human-caused nutrient loading, suggesting that bloom-forming diatoms respond quickly to both immediate environmental shifts and long-term ecosystem changes.</w:t>
      </w:r>
    </w:p>
    <w:p w14:paraId="1240896B" w14:textId="77777777" w:rsidR="005E2E5C" w:rsidRPr="00F1570C" w:rsidRDefault="005E2E5C" w:rsidP="005E2E5C">
      <w:pPr>
        <w:spacing w:after="0" w:line="240" w:lineRule="auto"/>
        <w:jc w:val="both"/>
        <w:rPr>
          <w:rFonts w:ascii="Arial" w:hAnsi="Arial" w:cs="Arial"/>
          <w:color w:val="000000" w:themeColor="text1"/>
          <w:sz w:val="18"/>
          <w:szCs w:val="18"/>
          <w:lang w:val="en-ID"/>
        </w:rPr>
      </w:pPr>
    </w:p>
    <w:p w14:paraId="50E494C1" w14:textId="4583C29D" w:rsidR="005E2E5C" w:rsidRDefault="003A793E" w:rsidP="005E2E5C">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As primary producers </w:t>
      </w:r>
      <w:r w:rsidR="00024A4F">
        <w:rPr>
          <w:rFonts w:ascii="Arial" w:hAnsi="Arial" w:cs="Arial"/>
          <w:color w:val="000000" w:themeColor="text1"/>
          <w:sz w:val="18"/>
          <w:szCs w:val="18"/>
          <w:lang w:val="en-ID"/>
        </w:rPr>
        <w:t>that form the foundation of the marine food web, diatom blooms directly affect</w:t>
      </w:r>
      <w:r>
        <w:rPr>
          <w:rFonts w:ascii="Arial" w:hAnsi="Arial" w:cs="Arial"/>
          <w:color w:val="000000" w:themeColor="text1"/>
          <w:sz w:val="18"/>
          <w:szCs w:val="18"/>
          <w:lang w:val="en-ID"/>
        </w:rPr>
        <w:t xml:space="preserve"> ecosystem function and water quality. High diatom biomass boosts productivity but also increases the risk of hypoxia during bloom decay, as microbial decomposition raises Biological Oxygen Demand (BOD) (</w:t>
      </w:r>
      <w:proofErr w:type="spellStart"/>
      <w:r>
        <w:rPr>
          <w:rFonts w:ascii="Arial" w:hAnsi="Arial" w:cs="Arial"/>
          <w:color w:val="000000" w:themeColor="text1"/>
          <w:sz w:val="18"/>
          <w:szCs w:val="18"/>
          <w:lang w:val="en-ID"/>
        </w:rPr>
        <w:t>Damar</w:t>
      </w:r>
      <w:proofErr w:type="spellEnd"/>
      <w:r>
        <w:rPr>
          <w:rFonts w:ascii="Arial" w:hAnsi="Arial" w:cs="Arial"/>
          <w:color w:val="000000" w:themeColor="text1"/>
          <w:sz w:val="18"/>
          <w:szCs w:val="18"/>
          <w:lang w:val="en-ID"/>
        </w:rPr>
        <w:t xml:space="preserve"> et al., 2020). These oxygen-depletion events are known to cause fish kills and benthic mortality in Jakarta Bay and other eutrophic coastal waters (</w:t>
      </w:r>
      <w:proofErr w:type="spellStart"/>
      <w:r>
        <w:rPr>
          <w:rFonts w:ascii="Arial" w:hAnsi="Arial" w:cs="Arial"/>
          <w:color w:val="000000" w:themeColor="text1"/>
          <w:sz w:val="18"/>
          <w:szCs w:val="18"/>
          <w:lang w:val="en-ID"/>
        </w:rPr>
        <w:t>Puspasari</w:t>
      </w:r>
      <w:proofErr w:type="spellEnd"/>
      <w:r>
        <w:rPr>
          <w:rFonts w:ascii="Arial" w:hAnsi="Arial" w:cs="Arial"/>
          <w:color w:val="000000" w:themeColor="text1"/>
          <w:sz w:val="18"/>
          <w:szCs w:val="18"/>
          <w:lang w:val="en-ID"/>
        </w:rPr>
        <w:t xml:space="preserve"> et al., 2018). Therefore, this long-term dataset is essential for understanding the balance between nutrient-driven productivity and ecological vulnerability, providing key insights for predicting changes in phytoplankton and guiding fisheries management and conservation efforts.</w:t>
      </w:r>
    </w:p>
    <w:p w14:paraId="322C1EF5" w14:textId="4555718B" w:rsidR="00F247A5" w:rsidRPr="00B7771E" w:rsidRDefault="00F247A5" w:rsidP="00B7771E">
      <w:pPr>
        <w:spacing w:after="0" w:line="240" w:lineRule="auto"/>
        <w:ind w:left="720"/>
        <w:jc w:val="both"/>
        <w:rPr>
          <w:rFonts w:ascii="Arial" w:hAnsi="Arial" w:cs="Arial"/>
          <w:i/>
          <w:iCs/>
          <w:color w:val="000000" w:themeColor="text1"/>
          <w:sz w:val="18"/>
          <w:szCs w:val="18"/>
        </w:rPr>
      </w:pPr>
      <w:r w:rsidRPr="00F1570C">
        <w:rPr>
          <w:rFonts w:ascii="Arial" w:hAnsi="Arial" w:cs="Arial"/>
          <w:noProof/>
          <w:color w:val="000000" w:themeColor="text1"/>
          <w:sz w:val="18"/>
          <w:szCs w:val="18"/>
          <w:lang w:eastAsia="ja-JP"/>
        </w:rPr>
        <w:drawing>
          <wp:anchor distT="0" distB="0" distL="114300" distR="114300" simplePos="0" relativeHeight="251710976" behindDoc="0" locked="0" layoutInCell="1" allowOverlap="1" wp14:anchorId="62233850" wp14:editId="0EC86CFF">
            <wp:simplePos x="0" y="0"/>
            <wp:positionH relativeFrom="column">
              <wp:posOffset>22860</wp:posOffset>
            </wp:positionH>
            <wp:positionV relativeFrom="paragraph">
              <wp:posOffset>198120</wp:posOffset>
            </wp:positionV>
            <wp:extent cx="3871595" cy="2013585"/>
            <wp:effectExtent l="0" t="0" r="14605" b="5715"/>
            <wp:wrapTopAndBottom/>
            <wp:docPr id="1916092845" name="Chart 1916092845">
              <a:extLst xmlns:a="http://schemas.openxmlformats.org/drawingml/2006/main">
                <a:ext uri="{FF2B5EF4-FFF2-40B4-BE49-F238E27FC236}">
                  <a16:creationId xmlns:a16="http://schemas.microsoft.com/office/drawing/2014/main" id="{209415AC-BBC1-47E0-B4D8-5ACB1B5F79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E6F6421" w14:textId="77777777" w:rsidR="00F247A5" w:rsidRPr="00F1570C" w:rsidRDefault="00F247A5" w:rsidP="00F247A5">
      <w:pPr>
        <w:spacing w:after="0" w:line="240" w:lineRule="auto"/>
        <w:jc w:val="both"/>
        <w:rPr>
          <w:rFonts w:ascii="Arial" w:hAnsi="Arial" w:cs="Arial"/>
          <w:color w:val="000000" w:themeColor="text1"/>
          <w:sz w:val="18"/>
          <w:szCs w:val="18"/>
        </w:rPr>
      </w:pPr>
    </w:p>
    <w:p w14:paraId="51B8D0A2" w14:textId="77777777" w:rsidR="003D7AAE" w:rsidRPr="00F1570C" w:rsidRDefault="00F247A5" w:rsidP="003D7AAE">
      <w:pPr>
        <w:spacing w:after="0" w:line="240" w:lineRule="auto"/>
        <w:jc w:val="both"/>
        <w:rPr>
          <w:rFonts w:ascii="Arial" w:hAnsi="Arial" w:cs="Arial"/>
          <w:color w:val="000000" w:themeColor="text1"/>
          <w:sz w:val="18"/>
          <w:szCs w:val="18"/>
        </w:rPr>
      </w:pPr>
      <w:r w:rsidRPr="00F1570C">
        <w:rPr>
          <w:rFonts w:ascii="Arial" w:hAnsi="Arial" w:cs="Arial"/>
          <w:b/>
          <w:bCs/>
          <w:color w:val="000000" w:themeColor="text1"/>
          <w:sz w:val="18"/>
          <w:szCs w:val="18"/>
        </w:rPr>
        <w:t xml:space="preserve">Figure </w:t>
      </w:r>
      <w:r w:rsidR="00543E27" w:rsidRPr="00F1570C">
        <w:rPr>
          <w:rFonts w:ascii="Arial" w:hAnsi="Arial" w:cs="Arial"/>
          <w:b/>
          <w:bCs/>
          <w:color w:val="000000" w:themeColor="text1"/>
          <w:sz w:val="18"/>
          <w:szCs w:val="18"/>
        </w:rPr>
        <w:t>7</w:t>
      </w:r>
      <w:r w:rsidRPr="00F1570C">
        <w:rPr>
          <w:rFonts w:ascii="Arial" w:hAnsi="Arial" w:cs="Arial"/>
          <w:color w:val="000000" w:themeColor="text1"/>
          <w:sz w:val="18"/>
          <w:szCs w:val="18"/>
        </w:rPr>
        <w:t xml:space="preserve">. </w:t>
      </w:r>
      <w:r w:rsidR="003D7AAE" w:rsidRPr="00F1570C">
        <w:rPr>
          <w:rFonts w:ascii="Arial" w:hAnsi="Arial" w:cs="Arial"/>
          <w:color w:val="000000" w:themeColor="text1"/>
          <w:sz w:val="18"/>
          <w:szCs w:val="18"/>
        </w:rPr>
        <w:t>Temporal fluctuations in the abundance of dominant diatom genera</w:t>
      </w:r>
    </w:p>
    <w:p w14:paraId="46EF7DE3" w14:textId="77777777" w:rsidR="003D7AAE" w:rsidRPr="00F1570C" w:rsidRDefault="003D7AAE" w:rsidP="003D7AAE">
      <w:pPr>
        <w:spacing w:after="0" w:line="240" w:lineRule="auto"/>
        <w:ind w:firstLine="720"/>
        <w:jc w:val="both"/>
        <w:rPr>
          <w:rFonts w:ascii="Arial" w:hAnsi="Arial" w:cs="Arial"/>
          <w:color w:val="000000" w:themeColor="text1"/>
          <w:sz w:val="18"/>
          <w:szCs w:val="18"/>
        </w:rPr>
      </w:pPr>
      <w:r w:rsidRPr="00F1570C">
        <w:rPr>
          <w:rFonts w:ascii="Arial" w:hAnsi="Arial" w:cs="Arial"/>
          <w:color w:val="000000" w:themeColor="text1"/>
          <w:sz w:val="18"/>
          <w:szCs w:val="18"/>
        </w:rPr>
        <w:t xml:space="preserve"> (</w:t>
      </w:r>
      <w:proofErr w:type="spellStart"/>
      <w:r w:rsidRPr="00F1570C">
        <w:rPr>
          <w:rFonts w:ascii="Arial" w:hAnsi="Arial" w:cs="Arial"/>
          <w:i/>
          <w:iCs/>
          <w:color w:val="000000" w:themeColor="text1"/>
          <w:sz w:val="18"/>
          <w:szCs w:val="18"/>
        </w:rPr>
        <w:t>Chaetoceros</w:t>
      </w:r>
      <w:proofErr w:type="spellEnd"/>
      <w:r w:rsidRPr="00F1570C">
        <w:rPr>
          <w:rFonts w:ascii="Arial" w:hAnsi="Arial" w:cs="Arial"/>
          <w:i/>
          <w:iCs/>
          <w:color w:val="000000" w:themeColor="text1"/>
          <w:sz w:val="18"/>
          <w:szCs w:val="18"/>
        </w:rPr>
        <w:t xml:space="preserve">, </w:t>
      </w:r>
      <w:proofErr w:type="spellStart"/>
      <w:r w:rsidRPr="00F1570C">
        <w:rPr>
          <w:rFonts w:ascii="Arial" w:hAnsi="Arial" w:cs="Arial"/>
          <w:i/>
          <w:iCs/>
          <w:color w:val="000000" w:themeColor="text1"/>
          <w:sz w:val="18"/>
          <w:szCs w:val="18"/>
        </w:rPr>
        <w:t>Skeletonema</w:t>
      </w:r>
      <w:proofErr w:type="spellEnd"/>
      <w:r w:rsidRPr="00F1570C">
        <w:rPr>
          <w:rFonts w:ascii="Arial" w:hAnsi="Arial" w:cs="Arial"/>
          <w:i/>
          <w:iCs/>
          <w:color w:val="000000" w:themeColor="text1"/>
          <w:sz w:val="18"/>
          <w:szCs w:val="18"/>
        </w:rPr>
        <w:t xml:space="preserve">, and </w:t>
      </w:r>
      <w:proofErr w:type="spellStart"/>
      <w:r w:rsidRPr="00F1570C">
        <w:rPr>
          <w:rFonts w:ascii="Arial" w:hAnsi="Arial" w:cs="Arial"/>
          <w:i/>
          <w:iCs/>
          <w:color w:val="000000" w:themeColor="text1"/>
          <w:sz w:val="18"/>
          <w:szCs w:val="18"/>
        </w:rPr>
        <w:t>Thalassiosira</w:t>
      </w:r>
      <w:proofErr w:type="spellEnd"/>
      <w:r w:rsidRPr="00F1570C">
        <w:rPr>
          <w:rFonts w:ascii="Arial" w:hAnsi="Arial" w:cs="Arial"/>
          <w:color w:val="000000" w:themeColor="text1"/>
          <w:sz w:val="18"/>
          <w:szCs w:val="18"/>
        </w:rPr>
        <w:t>) in Jakarta Bay from</w:t>
      </w:r>
    </w:p>
    <w:p w14:paraId="322666E0" w14:textId="77777777" w:rsidR="003D7AAE" w:rsidRPr="00F1570C" w:rsidRDefault="003D7AAE" w:rsidP="003D7AAE">
      <w:pPr>
        <w:spacing w:after="0" w:line="240" w:lineRule="auto"/>
        <w:ind w:firstLine="720"/>
        <w:jc w:val="both"/>
        <w:rPr>
          <w:rFonts w:ascii="Arial" w:hAnsi="Arial" w:cs="Arial"/>
          <w:i/>
          <w:iCs/>
          <w:color w:val="000000" w:themeColor="text1"/>
          <w:sz w:val="18"/>
          <w:szCs w:val="18"/>
        </w:rPr>
      </w:pPr>
      <w:r w:rsidRPr="00F1570C">
        <w:rPr>
          <w:rFonts w:ascii="Arial" w:hAnsi="Arial" w:cs="Arial"/>
          <w:color w:val="000000" w:themeColor="text1"/>
          <w:sz w:val="18"/>
          <w:szCs w:val="18"/>
        </w:rPr>
        <w:t xml:space="preserve"> 2008 to 2019</w:t>
      </w:r>
      <w:r w:rsidRPr="00F1570C">
        <w:rPr>
          <w:rFonts w:ascii="Arial" w:hAnsi="Arial" w:cs="Arial"/>
          <w:i/>
          <w:iCs/>
          <w:color w:val="000000" w:themeColor="text1"/>
          <w:sz w:val="18"/>
          <w:szCs w:val="18"/>
        </w:rPr>
        <w:t>. This figure shows the long-term variation in the abundance</w:t>
      </w:r>
    </w:p>
    <w:p w14:paraId="2F45A750" w14:textId="77777777" w:rsidR="003D7AAE" w:rsidRPr="00F1570C" w:rsidRDefault="003D7AAE" w:rsidP="003D7AAE">
      <w:pPr>
        <w:spacing w:after="0" w:line="240" w:lineRule="auto"/>
        <w:ind w:firstLine="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of the three predominant diatom genera, highlighting strong seasonal</w:t>
      </w:r>
    </w:p>
    <w:p w14:paraId="12E82D20" w14:textId="06456523" w:rsidR="00B06D57" w:rsidRPr="00F1570C" w:rsidRDefault="003D7AAE" w:rsidP="003D7AAE">
      <w:pPr>
        <w:spacing w:after="0" w:line="240" w:lineRule="auto"/>
        <w:ind w:firstLine="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and interannual differences.</w:t>
      </w:r>
    </w:p>
    <w:p w14:paraId="74BF237A" w14:textId="77777777" w:rsidR="00FD18A2" w:rsidRDefault="00FD18A2" w:rsidP="00A22AEA">
      <w:pPr>
        <w:spacing w:after="0" w:line="240" w:lineRule="auto"/>
        <w:jc w:val="both"/>
        <w:rPr>
          <w:rFonts w:ascii="Arial" w:hAnsi="Arial" w:cs="Arial"/>
          <w:b/>
          <w:bCs/>
          <w:color w:val="000000" w:themeColor="text1"/>
          <w:sz w:val="18"/>
          <w:szCs w:val="18"/>
          <w:lang w:val="en-ID"/>
        </w:rPr>
      </w:pPr>
    </w:p>
    <w:p w14:paraId="59B3C5C2" w14:textId="49AFB4FD" w:rsidR="00C72F2D" w:rsidRPr="00FD18A2" w:rsidRDefault="00B06D57" w:rsidP="00A22AEA">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lastRenderedPageBreak/>
        <w:t>3.</w:t>
      </w:r>
      <w:r w:rsidR="008D2D15">
        <w:rPr>
          <w:rFonts w:ascii="Arial" w:hAnsi="Arial" w:cs="Arial"/>
          <w:b/>
          <w:bCs/>
          <w:color w:val="000000" w:themeColor="text1"/>
          <w:sz w:val="18"/>
          <w:szCs w:val="18"/>
          <w:lang w:val="en-ID"/>
        </w:rPr>
        <w:t>8</w:t>
      </w:r>
      <w:r w:rsidR="00AE2EA8" w:rsidRPr="00F1570C">
        <w:rPr>
          <w:rFonts w:ascii="Arial" w:hAnsi="Arial" w:cs="Arial"/>
          <w:b/>
          <w:bCs/>
          <w:color w:val="000000" w:themeColor="text1"/>
          <w:sz w:val="18"/>
          <w:szCs w:val="18"/>
          <w:lang w:val="en-ID"/>
        </w:rPr>
        <w:t xml:space="preserve"> </w:t>
      </w:r>
      <w:r w:rsidR="00A22AEA" w:rsidRPr="00F1570C">
        <w:rPr>
          <w:rFonts w:ascii="Arial" w:hAnsi="Arial" w:cs="Arial"/>
          <w:b/>
          <w:bCs/>
          <w:color w:val="000000" w:themeColor="text1"/>
          <w:sz w:val="18"/>
          <w:szCs w:val="18"/>
          <w:lang w:val="en-ID"/>
        </w:rPr>
        <w:t>P</w:t>
      </w:r>
      <w:r w:rsidR="00AE2EA8" w:rsidRPr="00F1570C">
        <w:rPr>
          <w:rFonts w:ascii="Arial" w:hAnsi="Arial" w:cs="Arial"/>
          <w:b/>
          <w:bCs/>
          <w:color w:val="000000" w:themeColor="text1"/>
          <w:sz w:val="18"/>
          <w:szCs w:val="18"/>
          <w:lang w:val="en-ID"/>
        </w:rPr>
        <w:t xml:space="preserve">hytoplankton Community Structure and </w:t>
      </w:r>
      <w:r w:rsidR="00AE19B6" w:rsidRPr="00F1570C">
        <w:rPr>
          <w:rFonts w:ascii="Arial" w:hAnsi="Arial" w:cs="Arial"/>
          <w:b/>
          <w:bCs/>
          <w:color w:val="000000" w:themeColor="text1"/>
          <w:sz w:val="18"/>
          <w:szCs w:val="18"/>
          <w:lang w:val="en-ID"/>
        </w:rPr>
        <w:t xml:space="preserve">Ecological Implications </w:t>
      </w:r>
    </w:p>
    <w:p w14:paraId="7AD5EEED" w14:textId="77777777" w:rsidR="00FD18A2" w:rsidRDefault="00FD18A2" w:rsidP="0034507C">
      <w:pPr>
        <w:spacing w:after="0" w:line="240" w:lineRule="auto"/>
        <w:jc w:val="both"/>
        <w:rPr>
          <w:rFonts w:ascii="Arial" w:hAnsi="Arial" w:cs="Arial"/>
          <w:color w:val="000000" w:themeColor="text1"/>
          <w:sz w:val="18"/>
          <w:szCs w:val="18"/>
          <w:lang w:val="en-ID"/>
        </w:rPr>
      </w:pPr>
    </w:p>
    <w:p w14:paraId="5AEE511B" w14:textId="63C0E9CB" w:rsidR="0034507C" w:rsidRPr="00F1570C" w:rsidRDefault="003A793E" w:rsidP="0034507C">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Table 2 and Figure 8 show that the phytoplankton community in Jakarta Bay generally has low diversity and uneven species distribution, with an average H′ of 1.14 and E of 0.46. Diversity values ranged from 0.7 to 1.8, with particularly low H′ values in March 2008 and 2013, indicating strong dominance by a few taxa. A significant increase in diversity from 2008 to 2009 was followed by a sharp decline in 2010 and a slow partial recovery afterward, reflecting recurring shifts between moderately diverse and highly dominated community states caused by environmental instability.</w:t>
      </w:r>
    </w:p>
    <w:p w14:paraId="03AA5161" w14:textId="77777777" w:rsidR="0034507C" w:rsidRPr="00F1570C" w:rsidRDefault="0034507C" w:rsidP="0034507C">
      <w:pPr>
        <w:spacing w:after="0" w:line="240" w:lineRule="auto"/>
        <w:jc w:val="both"/>
        <w:rPr>
          <w:rFonts w:ascii="Arial" w:hAnsi="Arial" w:cs="Arial"/>
          <w:color w:val="000000" w:themeColor="text1"/>
          <w:sz w:val="18"/>
          <w:szCs w:val="18"/>
          <w:lang w:val="en-ID"/>
        </w:rPr>
      </w:pPr>
    </w:p>
    <w:p w14:paraId="0AC0F712" w14:textId="7335A3FB" w:rsidR="0034507C" w:rsidRPr="00F1570C" w:rsidRDefault="003A793E" w:rsidP="0034507C">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Temporal variability in the indices is considerable, showing clear differences between the lowest community structure conditions (e.g., March 2010, J = 0.34) and the highest values (e.g., May 2019, H′ = 1.62; J = 0.91). These fluctuations demonstrate that the phytoplankton community responds rapidly to seasonal shifts, nutrient pulses, and episodic disturbances. Low diversity during periods of diatom dominance, particularly </w:t>
      </w:r>
      <w:proofErr w:type="spellStart"/>
      <w:r w:rsidRPr="003A793E">
        <w:rPr>
          <w:rFonts w:ascii="Arial" w:hAnsi="Arial" w:cs="Arial"/>
          <w:i/>
          <w:iCs/>
          <w:color w:val="000000" w:themeColor="text1"/>
          <w:sz w:val="18"/>
          <w:szCs w:val="18"/>
          <w:lang w:val="en-ID"/>
        </w:rPr>
        <w:t>Chaetoceros</w:t>
      </w:r>
      <w:proofErr w:type="spellEnd"/>
      <w:r>
        <w:rPr>
          <w:rFonts w:ascii="Arial" w:hAnsi="Arial" w:cs="Arial"/>
          <w:color w:val="000000" w:themeColor="text1"/>
          <w:sz w:val="18"/>
          <w:szCs w:val="18"/>
          <w:lang w:val="en-ID"/>
        </w:rPr>
        <w:t xml:space="preserve"> and </w:t>
      </w:r>
      <w:proofErr w:type="spellStart"/>
      <w:r w:rsidRPr="003A793E">
        <w:rPr>
          <w:rFonts w:ascii="Arial" w:hAnsi="Arial" w:cs="Arial"/>
          <w:i/>
          <w:iCs/>
          <w:color w:val="000000" w:themeColor="text1"/>
          <w:sz w:val="18"/>
          <w:szCs w:val="18"/>
          <w:lang w:val="en-ID"/>
        </w:rPr>
        <w:t>Skeletonema</w:t>
      </w:r>
      <w:proofErr w:type="spellEnd"/>
      <w:r>
        <w:rPr>
          <w:rFonts w:ascii="Arial" w:hAnsi="Arial" w:cs="Arial"/>
          <w:color w:val="000000" w:themeColor="text1"/>
          <w:sz w:val="18"/>
          <w:szCs w:val="18"/>
          <w:lang w:val="en-ID"/>
        </w:rPr>
        <w:t>, suggests reduced resilience and heightened vulnerability to ecological stress (</w:t>
      </w:r>
      <w:proofErr w:type="spellStart"/>
      <w:r>
        <w:rPr>
          <w:rFonts w:ascii="Arial" w:hAnsi="Arial" w:cs="Arial"/>
          <w:color w:val="000000" w:themeColor="text1"/>
          <w:sz w:val="18"/>
          <w:szCs w:val="18"/>
          <w:lang w:val="en-ID"/>
        </w:rPr>
        <w:t>Susanti</w:t>
      </w:r>
      <w:proofErr w:type="spellEnd"/>
      <w:r>
        <w:rPr>
          <w:rFonts w:ascii="Arial" w:hAnsi="Arial" w:cs="Arial"/>
          <w:color w:val="000000" w:themeColor="text1"/>
          <w:sz w:val="18"/>
          <w:szCs w:val="18"/>
          <w:lang w:val="en-ID"/>
        </w:rPr>
        <w:t xml:space="preserve"> et al., 2022). Decreases in H′ and E during key bloom years, especially 2010, align with eutrophication-driven dominance cycles typical of nutrient-rich coastal systems (</w:t>
      </w:r>
      <w:proofErr w:type="spellStart"/>
      <w:r>
        <w:rPr>
          <w:rFonts w:ascii="Arial" w:hAnsi="Arial" w:cs="Arial"/>
          <w:color w:val="000000" w:themeColor="text1"/>
          <w:sz w:val="18"/>
          <w:szCs w:val="18"/>
          <w:lang w:val="en-ID"/>
        </w:rPr>
        <w:t>Cloern</w:t>
      </w:r>
      <w:proofErr w:type="spellEnd"/>
      <w:r>
        <w:rPr>
          <w:rFonts w:ascii="Arial" w:hAnsi="Arial" w:cs="Arial"/>
          <w:color w:val="000000" w:themeColor="text1"/>
          <w:sz w:val="18"/>
          <w:szCs w:val="18"/>
          <w:lang w:val="en-ID"/>
        </w:rPr>
        <w:t xml:space="preserve"> &amp; </w:t>
      </w:r>
      <w:proofErr w:type="spellStart"/>
      <w:r>
        <w:rPr>
          <w:rFonts w:ascii="Arial" w:hAnsi="Arial" w:cs="Arial"/>
          <w:color w:val="000000" w:themeColor="text1"/>
          <w:sz w:val="18"/>
          <w:szCs w:val="18"/>
          <w:lang w:val="en-ID"/>
        </w:rPr>
        <w:t>Jassby</w:t>
      </w:r>
      <w:proofErr w:type="spellEnd"/>
      <w:r>
        <w:rPr>
          <w:rFonts w:ascii="Arial" w:hAnsi="Arial" w:cs="Arial"/>
          <w:color w:val="000000" w:themeColor="text1"/>
          <w:sz w:val="18"/>
          <w:szCs w:val="18"/>
          <w:lang w:val="en-ID"/>
        </w:rPr>
        <w:t>, 2010).</w:t>
      </w:r>
    </w:p>
    <w:p w14:paraId="17D17295" w14:textId="77777777" w:rsidR="009D5FEB" w:rsidRDefault="009D5FEB" w:rsidP="0034507C">
      <w:pPr>
        <w:spacing w:after="0" w:line="240" w:lineRule="auto"/>
        <w:jc w:val="both"/>
        <w:rPr>
          <w:rFonts w:ascii="Arial" w:hAnsi="Arial" w:cs="Arial"/>
          <w:color w:val="000000" w:themeColor="text1"/>
          <w:sz w:val="18"/>
          <w:szCs w:val="18"/>
          <w:lang w:val="en-ID"/>
        </w:rPr>
      </w:pPr>
    </w:p>
    <w:p w14:paraId="27D33566" w14:textId="234E8F05" w:rsidR="0034507C" w:rsidRPr="00F1570C" w:rsidRDefault="0034507C" w:rsidP="0034507C">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These diversity shifts are closely linked to ongoing environmental pressures in Jakarta Bay, such as nutrient enrichment, pollution, sedimentation, and hydrodynamic changes. Increased nutrient input promotes bloom-forming species, suppresses less tolerant taxa, and reduces both evenness and richness. Similar low-diversity assemblages and simplified community structures have been observed in other urban coastal environments affected by continuous human activities (</w:t>
      </w:r>
      <w:proofErr w:type="spellStart"/>
      <w:r w:rsidRPr="00F1570C">
        <w:rPr>
          <w:rFonts w:ascii="Arial" w:hAnsi="Arial" w:cs="Arial"/>
          <w:color w:val="000000" w:themeColor="text1"/>
          <w:sz w:val="18"/>
          <w:szCs w:val="18"/>
          <w:lang w:val="en-ID"/>
        </w:rPr>
        <w:t>Heery</w:t>
      </w:r>
      <w:proofErr w:type="spellEnd"/>
      <w:r w:rsidRPr="00F1570C">
        <w:rPr>
          <w:rFonts w:ascii="Arial" w:hAnsi="Arial" w:cs="Arial"/>
          <w:color w:val="000000" w:themeColor="text1"/>
          <w:sz w:val="18"/>
          <w:szCs w:val="18"/>
          <w:lang w:val="en-ID"/>
        </w:rPr>
        <w:t xml:space="preserve"> et al., 2018; Duprey et al., 2019). Although occasional improvements happen, the continued low evenness (&lt;0.6) suggests that the community remains structurally unbalanced and functionally simplified, conditions often associated with decreased ecological stability.</w:t>
      </w:r>
    </w:p>
    <w:p w14:paraId="6CB444F2" w14:textId="77777777" w:rsidR="0034507C" w:rsidRPr="00F1570C" w:rsidRDefault="0034507C" w:rsidP="0034507C">
      <w:pPr>
        <w:spacing w:after="0" w:line="240" w:lineRule="auto"/>
        <w:jc w:val="both"/>
        <w:rPr>
          <w:rFonts w:ascii="Arial" w:hAnsi="Arial" w:cs="Arial"/>
          <w:color w:val="000000" w:themeColor="text1"/>
          <w:sz w:val="18"/>
          <w:szCs w:val="18"/>
          <w:lang w:val="en-ID"/>
        </w:rPr>
      </w:pPr>
    </w:p>
    <w:p w14:paraId="52274D43" w14:textId="54D884E4" w:rsidR="00571727" w:rsidRDefault="0034507C" w:rsidP="00B06D57">
      <w:pPr>
        <w:spacing w:after="0" w:line="240" w:lineRule="auto"/>
        <w:jc w:val="both"/>
        <w:rPr>
          <w:rFonts w:ascii="Arial" w:hAnsi="Arial" w:cs="Arial"/>
          <w:color w:val="000000" w:themeColor="text1"/>
          <w:sz w:val="18"/>
          <w:szCs w:val="18"/>
          <w:lang w:val="en-ID"/>
        </w:rPr>
      </w:pPr>
      <w:r w:rsidRPr="00F1570C">
        <w:rPr>
          <w:rFonts w:ascii="Arial" w:hAnsi="Arial" w:cs="Arial"/>
          <w:color w:val="000000" w:themeColor="text1"/>
          <w:sz w:val="18"/>
          <w:szCs w:val="18"/>
          <w:lang w:val="en-ID"/>
        </w:rPr>
        <w:t xml:space="preserve">Index variability also reflects the interaction of seasonal hydrodynamics and climate-related processes. During wet seasons and La Niña years (e.g., 2010), heavy rainfall increases river discharge from the </w:t>
      </w:r>
      <w:proofErr w:type="spellStart"/>
      <w:r w:rsidRPr="00F1570C">
        <w:rPr>
          <w:rFonts w:ascii="Arial" w:hAnsi="Arial" w:cs="Arial"/>
          <w:color w:val="000000" w:themeColor="text1"/>
          <w:sz w:val="18"/>
          <w:szCs w:val="18"/>
          <w:lang w:val="en-ID"/>
        </w:rPr>
        <w:t>Ciliwung</w:t>
      </w:r>
      <w:proofErr w:type="spellEnd"/>
      <w:r w:rsidRPr="00F1570C">
        <w:rPr>
          <w:rFonts w:ascii="Arial" w:hAnsi="Arial" w:cs="Arial"/>
          <w:color w:val="000000" w:themeColor="text1"/>
          <w:sz w:val="18"/>
          <w:szCs w:val="18"/>
          <w:lang w:val="en-ID"/>
        </w:rPr>
        <w:t xml:space="preserve"> and </w:t>
      </w:r>
      <w:proofErr w:type="spellStart"/>
      <w:r w:rsidRPr="00F1570C">
        <w:rPr>
          <w:rFonts w:ascii="Arial" w:hAnsi="Arial" w:cs="Arial"/>
          <w:color w:val="000000" w:themeColor="text1"/>
          <w:sz w:val="18"/>
          <w:szCs w:val="18"/>
          <w:lang w:val="en-ID"/>
        </w:rPr>
        <w:t>Angke</w:t>
      </w:r>
      <w:proofErr w:type="spellEnd"/>
      <w:r w:rsidRPr="00F1570C">
        <w:rPr>
          <w:rFonts w:ascii="Arial" w:hAnsi="Arial" w:cs="Arial"/>
          <w:color w:val="000000" w:themeColor="text1"/>
          <w:sz w:val="18"/>
          <w:szCs w:val="18"/>
          <w:lang w:val="en-ID"/>
        </w:rPr>
        <w:t xml:space="preserve"> systems, carrying nutrient loads that trigger diatom blooms and temporarily reduce diversity (</w:t>
      </w:r>
      <w:proofErr w:type="spellStart"/>
      <w:r w:rsidRPr="00F1570C">
        <w:rPr>
          <w:rFonts w:ascii="Arial" w:hAnsi="Arial" w:cs="Arial"/>
          <w:color w:val="000000" w:themeColor="text1"/>
          <w:sz w:val="18"/>
          <w:szCs w:val="18"/>
          <w:lang w:val="en-ID"/>
        </w:rPr>
        <w:t>Rodysill</w:t>
      </w:r>
      <w:proofErr w:type="spellEnd"/>
      <w:r w:rsidRPr="00F1570C">
        <w:rPr>
          <w:rFonts w:ascii="Arial" w:hAnsi="Arial" w:cs="Arial"/>
          <w:color w:val="000000" w:themeColor="text1"/>
          <w:sz w:val="18"/>
          <w:szCs w:val="18"/>
          <w:lang w:val="en-ID"/>
        </w:rPr>
        <w:t xml:space="preserve"> et al., 2019; </w:t>
      </w:r>
      <w:proofErr w:type="spellStart"/>
      <w:r w:rsidRPr="00F1570C">
        <w:rPr>
          <w:rFonts w:ascii="Arial" w:hAnsi="Arial" w:cs="Arial"/>
          <w:color w:val="000000" w:themeColor="text1"/>
          <w:sz w:val="18"/>
          <w:szCs w:val="18"/>
          <w:lang w:val="en-ID"/>
        </w:rPr>
        <w:t>Siswanto</w:t>
      </w:r>
      <w:proofErr w:type="spellEnd"/>
      <w:r w:rsidRPr="00F1570C">
        <w:rPr>
          <w:rFonts w:ascii="Arial" w:hAnsi="Arial" w:cs="Arial"/>
          <w:color w:val="000000" w:themeColor="text1"/>
          <w:sz w:val="18"/>
          <w:szCs w:val="18"/>
          <w:lang w:val="en-ID"/>
        </w:rPr>
        <w:t xml:space="preserve"> et al., 2020). In contrast, dry-season conditions</w:t>
      </w:r>
      <w:r w:rsidR="00AD687D">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characterized by decreased runoff and more vigorous mixing</w:t>
      </w:r>
      <w:r w:rsidR="00AD687D">
        <w:rPr>
          <w:rFonts w:ascii="Arial" w:hAnsi="Arial" w:cs="Arial"/>
          <w:color w:val="000000" w:themeColor="text1"/>
          <w:sz w:val="18"/>
          <w:szCs w:val="18"/>
          <w:lang w:val="en-ID"/>
        </w:rPr>
        <w:t xml:space="preserve">, </w:t>
      </w:r>
      <w:r w:rsidRPr="00F1570C">
        <w:rPr>
          <w:rFonts w:ascii="Arial" w:hAnsi="Arial" w:cs="Arial"/>
          <w:color w:val="000000" w:themeColor="text1"/>
          <w:sz w:val="18"/>
          <w:szCs w:val="18"/>
          <w:lang w:val="en-ID"/>
        </w:rPr>
        <w:t>allow for higher species evenness as dinoflagellates, cyanobacteria, and small flagellates reappear. Coastal reclamation and sediment resuspension further disrupt light penetration and salinity patterns, contributing to recurring changes in community composition (</w:t>
      </w:r>
      <w:proofErr w:type="spellStart"/>
      <w:r w:rsidRPr="00F1570C">
        <w:rPr>
          <w:rFonts w:ascii="Arial" w:hAnsi="Arial" w:cs="Arial"/>
          <w:color w:val="000000" w:themeColor="text1"/>
          <w:sz w:val="18"/>
          <w:szCs w:val="18"/>
          <w:lang w:val="en-ID"/>
        </w:rPr>
        <w:t>Damar</w:t>
      </w:r>
      <w:proofErr w:type="spellEnd"/>
      <w:r w:rsidRPr="00F1570C">
        <w:rPr>
          <w:rFonts w:ascii="Arial" w:hAnsi="Arial" w:cs="Arial"/>
          <w:color w:val="000000" w:themeColor="text1"/>
          <w:sz w:val="18"/>
          <w:szCs w:val="18"/>
          <w:lang w:val="en-ID"/>
        </w:rPr>
        <w:t xml:space="preserve"> et al., 2020). The coexistence of moderate diversity with persistently low evenness reflects an adaptive yet chronically stressed phytoplankton community, shaped by alternating nutrient surpluses, hydrodynamic retention, and human-induced environmental changes (</w:t>
      </w:r>
      <w:proofErr w:type="spellStart"/>
      <w:r w:rsidRPr="00F1570C">
        <w:rPr>
          <w:rFonts w:ascii="Arial" w:hAnsi="Arial" w:cs="Arial"/>
          <w:color w:val="000000" w:themeColor="text1"/>
          <w:sz w:val="18"/>
          <w:szCs w:val="18"/>
          <w:lang w:val="en-ID"/>
        </w:rPr>
        <w:t>Sidabutar</w:t>
      </w:r>
      <w:proofErr w:type="spellEnd"/>
      <w:r w:rsidRPr="00F1570C">
        <w:rPr>
          <w:rFonts w:ascii="Arial" w:hAnsi="Arial" w:cs="Arial"/>
          <w:color w:val="000000" w:themeColor="text1"/>
          <w:sz w:val="18"/>
          <w:szCs w:val="18"/>
          <w:lang w:val="en-ID"/>
        </w:rPr>
        <w:t xml:space="preserve"> &amp; </w:t>
      </w:r>
      <w:proofErr w:type="spellStart"/>
      <w:r w:rsidRPr="00F1570C">
        <w:rPr>
          <w:rFonts w:ascii="Arial" w:hAnsi="Arial" w:cs="Arial"/>
          <w:color w:val="000000" w:themeColor="text1"/>
          <w:sz w:val="18"/>
          <w:szCs w:val="18"/>
          <w:lang w:val="en-ID"/>
        </w:rPr>
        <w:t>Srimariana</w:t>
      </w:r>
      <w:proofErr w:type="spellEnd"/>
      <w:r w:rsidRPr="00F1570C">
        <w:rPr>
          <w:rFonts w:ascii="Arial" w:hAnsi="Arial" w:cs="Arial"/>
          <w:color w:val="000000" w:themeColor="text1"/>
          <w:sz w:val="18"/>
          <w:szCs w:val="18"/>
          <w:lang w:val="en-ID"/>
        </w:rPr>
        <w:t xml:space="preserve">, 2020; </w:t>
      </w:r>
      <w:proofErr w:type="spellStart"/>
      <w:r w:rsidRPr="00F1570C">
        <w:rPr>
          <w:rFonts w:ascii="Arial" w:hAnsi="Arial" w:cs="Arial"/>
          <w:color w:val="000000" w:themeColor="text1"/>
          <w:sz w:val="18"/>
          <w:szCs w:val="18"/>
          <w:lang w:val="en-ID"/>
        </w:rPr>
        <w:t>Wijayanti</w:t>
      </w:r>
      <w:proofErr w:type="spellEnd"/>
      <w:r w:rsidRPr="00F1570C">
        <w:rPr>
          <w:rFonts w:ascii="Arial" w:hAnsi="Arial" w:cs="Arial"/>
          <w:color w:val="000000" w:themeColor="text1"/>
          <w:sz w:val="18"/>
          <w:szCs w:val="18"/>
          <w:lang w:val="en-ID"/>
        </w:rPr>
        <w:t xml:space="preserve"> et al., 2025).</w:t>
      </w:r>
    </w:p>
    <w:p w14:paraId="09616ABC" w14:textId="77777777" w:rsidR="004C1C8A" w:rsidRPr="00F1570C" w:rsidRDefault="004C1C8A" w:rsidP="00B06D57">
      <w:pPr>
        <w:spacing w:after="0" w:line="240" w:lineRule="auto"/>
        <w:jc w:val="both"/>
        <w:rPr>
          <w:rFonts w:ascii="Arial" w:hAnsi="Arial" w:cs="Arial"/>
          <w:color w:val="000000" w:themeColor="text1"/>
          <w:sz w:val="18"/>
          <w:szCs w:val="18"/>
          <w:lang w:val="en-ID"/>
        </w:rPr>
      </w:pPr>
    </w:p>
    <w:p w14:paraId="329252D9" w14:textId="6BA93655" w:rsidR="00863BC4" w:rsidRPr="00F1570C" w:rsidRDefault="00571727" w:rsidP="00CD4393">
      <w:pPr>
        <w:spacing w:after="0" w:line="240" w:lineRule="auto"/>
        <w:jc w:val="both"/>
        <w:rPr>
          <w:rFonts w:ascii="Arial" w:hAnsi="Arial" w:cs="Arial"/>
          <w:color w:val="000000" w:themeColor="text1"/>
          <w:sz w:val="18"/>
          <w:szCs w:val="18"/>
        </w:rPr>
      </w:pPr>
      <w:r w:rsidRPr="00F1570C">
        <w:rPr>
          <w:rFonts w:ascii="Arial" w:hAnsi="Arial" w:cs="Arial"/>
          <w:color w:val="000000" w:themeColor="text1"/>
          <w:sz w:val="18"/>
          <w:szCs w:val="18"/>
        </w:rPr>
        <w:lastRenderedPageBreak/>
        <w:t xml:space="preserve">Table </w:t>
      </w:r>
      <w:r w:rsidR="009D5FEB">
        <w:rPr>
          <w:rFonts w:ascii="Arial" w:hAnsi="Arial" w:cs="Arial"/>
          <w:color w:val="000000" w:themeColor="text1"/>
          <w:sz w:val="18"/>
          <w:szCs w:val="18"/>
        </w:rPr>
        <w:t>2</w:t>
      </w:r>
      <w:r w:rsidRPr="00F1570C">
        <w:rPr>
          <w:rFonts w:ascii="Arial" w:hAnsi="Arial" w:cs="Arial"/>
          <w:color w:val="000000" w:themeColor="text1"/>
          <w:sz w:val="18"/>
          <w:szCs w:val="18"/>
        </w:rPr>
        <w:t xml:space="preserve">. </w:t>
      </w:r>
      <w:r w:rsidR="00CD4393" w:rsidRPr="00F1570C">
        <w:rPr>
          <w:rFonts w:ascii="Arial" w:hAnsi="Arial" w:cs="Arial"/>
          <w:color w:val="000000" w:themeColor="text1"/>
          <w:sz w:val="18"/>
          <w:szCs w:val="18"/>
        </w:rPr>
        <w:t>Temporal variation of phytoplankton community structure indices</w:t>
      </w:r>
    </w:p>
    <w:p w14:paraId="08E485A6" w14:textId="2DE70607" w:rsidR="00571727" w:rsidRPr="00F1570C" w:rsidRDefault="00CD4393" w:rsidP="00863BC4">
      <w:pPr>
        <w:spacing w:after="0" w:line="240" w:lineRule="auto"/>
        <w:ind w:firstLine="720"/>
        <w:jc w:val="both"/>
        <w:rPr>
          <w:rFonts w:ascii="Arial" w:hAnsi="Arial" w:cs="Arial"/>
          <w:color w:val="000000" w:themeColor="text1"/>
          <w:sz w:val="18"/>
          <w:szCs w:val="18"/>
        </w:rPr>
      </w:pPr>
      <w:r w:rsidRPr="00F1570C">
        <w:rPr>
          <w:rFonts w:ascii="Arial" w:hAnsi="Arial" w:cs="Arial"/>
          <w:color w:val="000000" w:themeColor="text1"/>
          <w:sz w:val="18"/>
          <w:szCs w:val="18"/>
        </w:rPr>
        <w:t>(H′, E,</w:t>
      </w:r>
      <w:r w:rsidR="00863BC4" w:rsidRPr="00F1570C">
        <w:rPr>
          <w:rFonts w:ascii="Arial" w:hAnsi="Arial" w:cs="Arial"/>
          <w:color w:val="000000" w:themeColor="text1"/>
          <w:sz w:val="18"/>
          <w:szCs w:val="18"/>
        </w:rPr>
        <w:t xml:space="preserve"> </w:t>
      </w:r>
      <w:r w:rsidRPr="00F1570C">
        <w:rPr>
          <w:rFonts w:ascii="Arial" w:hAnsi="Arial" w:cs="Arial"/>
          <w:color w:val="000000" w:themeColor="text1"/>
          <w:sz w:val="18"/>
          <w:szCs w:val="18"/>
        </w:rPr>
        <w:t xml:space="preserve">J) in Jakarta Bay from 2008 to 2019. </w:t>
      </w:r>
    </w:p>
    <w:p w14:paraId="770F98DC" w14:textId="77777777" w:rsidR="00863BC4" w:rsidRPr="00F1570C" w:rsidRDefault="00863BC4" w:rsidP="00863BC4">
      <w:pPr>
        <w:spacing w:after="0" w:line="240" w:lineRule="auto"/>
        <w:ind w:firstLine="720"/>
        <w:jc w:val="both"/>
        <w:rPr>
          <w:rFonts w:ascii="Arial" w:hAnsi="Arial" w:cs="Arial"/>
          <w:noProof/>
          <w:color w:val="000000" w:themeColor="text1"/>
          <w:sz w:val="18"/>
          <w:szCs w:val="18"/>
        </w:rPr>
      </w:pPr>
    </w:p>
    <w:tbl>
      <w:tblPr>
        <w:tblW w:w="5546" w:type="dxa"/>
        <w:jc w:val="center"/>
        <w:tblCellMar>
          <w:left w:w="0" w:type="dxa"/>
          <w:right w:w="0" w:type="dxa"/>
        </w:tblCellMar>
        <w:tblLook w:val="0600" w:firstRow="0" w:lastRow="0" w:firstColumn="0" w:lastColumn="0" w:noHBand="1" w:noVBand="1"/>
      </w:tblPr>
      <w:tblGrid>
        <w:gridCol w:w="648"/>
        <w:gridCol w:w="1009"/>
        <w:gridCol w:w="1387"/>
        <w:gridCol w:w="1387"/>
        <w:gridCol w:w="1115"/>
      </w:tblGrid>
      <w:tr w:rsidR="00F1570C" w:rsidRPr="00F1570C" w14:paraId="3F0A4307" w14:textId="77777777" w:rsidTr="00844711">
        <w:trPr>
          <w:trHeight w:val="246"/>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41E7F650"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bookmarkStart w:id="4" w:name="_Hlk153890099"/>
            <w:r w:rsidRPr="00F1570C">
              <w:rPr>
                <w:rFonts w:ascii="Arial" w:hAnsi="Arial" w:cs="Arial"/>
                <w:bCs/>
                <w:color w:val="000000" w:themeColor="text1"/>
                <w:sz w:val="16"/>
                <w:szCs w:val="16"/>
                <w:lang w:val="en-ID"/>
              </w:rPr>
              <w:t>Year</w:t>
            </w:r>
          </w:p>
        </w:tc>
        <w:tc>
          <w:tcPr>
            <w:tcW w:w="1009"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7AE14010"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Month</w:t>
            </w:r>
          </w:p>
        </w:tc>
        <w:tc>
          <w:tcPr>
            <w:tcW w:w="3889" w:type="dxa"/>
            <w:gridSpan w:val="3"/>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2E63A052"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Community Structure Indexes</w:t>
            </w:r>
          </w:p>
        </w:tc>
      </w:tr>
      <w:tr w:rsidR="00F1570C" w:rsidRPr="00F1570C" w14:paraId="40C571BC" w14:textId="77777777" w:rsidTr="00844711">
        <w:trPr>
          <w:trHeight w:val="264"/>
          <w:jc w:val="center"/>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14:paraId="07BA4A33" w14:textId="77777777" w:rsidR="00571727" w:rsidRPr="00F1570C" w:rsidRDefault="00571727" w:rsidP="00844711">
            <w:pPr>
              <w:spacing w:after="0" w:line="240" w:lineRule="auto"/>
              <w:jc w:val="center"/>
              <w:rPr>
                <w:rFonts w:ascii="Arial" w:hAnsi="Arial" w:cs="Arial"/>
                <w:b/>
                <w:color w:val="000000" w:themeColor="text1"/>
                <w:sz w:val="16"/>
                <w:szCs w:val="16"/>
                <w:lang w:val="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BD3429" w14:textId="77777777" w:rsidR="00571727" w:rsidRPr="00F1570C" w:rsidRDefault="00571727" w:rsidP="00844711">
            <w:pPr>
              <w:spacing w:after="0" w:line="240" w:lineRule="auto"/>
              <w:jc w:val="center"/>
              <w:rPr>
                <w:rFonts w:ascii="Arial" w:hAnsi="Arial" w:cs="Arial"/>
                <w:b/>
                <w:color w:val="000000" w:themeColor="text1"/>
                <w:sz w:val="16"/>
                <w:szCs w:val="16"/>
                <w:lang w:val="en-ID"/>
              </w:rPr>
            </w:pPr>
          </w:p>
        </w:tc>
        <w:tc>
          <w:tcPr>
            <w:tcW w:w="1387"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4586D41F" w14:textId="77777777" w:rsidR="00571727" w:rsidRPr="00F1570C" w:rsidRDefault="00571727" w:rsidP="00844711">
            <w:pPr>
              <w:spacing w:after="0" w:line="240" w:lineRule="auto"/>
              <w:jc w:val="center"/>
              <w:rPr>
                <w:rFonts w:ascii="Arial" w:hAnsi="Arial" w:cs="Arial"/>
                <w:b/>
                <w:color w:val="000000" w:themeColor="text1"/>
                <w:sz w:val="16"/>
                <w:szCs w:val="16"/>
                <w:lang w:val="en-ID"/>
              </w:rPr>
            </w:pPr>
            <w:r w:rsidRPr="00F1570C">
              <w:rPr>
                <w:rFonts w:ascii="Arial" w:hAnsi="Arial" w:cs="Arial"/>
                <w:b/>
                <w:color w:val="000000" w:themeColor="text1"/>
                <w:sz w:val="16"/>
                <w:szCs w:val="16"/>
                <w:lang w:val="en-ID"/>
              </w:rPr>
              <w:t>(H')</w:t>
            </w:r>
          </w:p>
        </w:tc>
        <w:tc>
          <w:tcPr>
            <w:tcW w:w="1387"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60849130" w14:textId="77777777" w:rsidR="00571727" w:rsidRPr="00F1570C" w:rsidRDefault="00571727" w:rsidP="00844711">
            <w:pPr>
              <w:spacing w:after="0" w:line="240" w:lineRule="auto"/>
              <w:jc w:val="center"/>
              <w:rPr>
                <w:rFonts w:ascii="Arial" w:hAnsi="Arial" w:cs="Arial"/>
                <w:b/>
                <w:color w:val="000000" w:themeColor="text1"/>
                <w:sz w:val="16"/>
                <w:szCs w:val="16"/>
                <w:lang w:val="en-ID"/>
              </w:rPr>
            </w:pPr>
            <w:r w:rsidRPr="00F1570C">
              <w:rPr>
                <w:rFonts w:ascii="Arial" w:hAnsi="Arial" w:cs="Arial"/>
                <w:b/>
                <w:color w:val="000000" w:themeColor="text1"/>
                <w:sz w:val="16"/>
                <w:szCs w:val="16"/>
                <w:lang w:val="en-ID"/>
              </w:rPr>
              <w:t xml:space="preserve"> (E)</w:t>
            </w:r>
          </w:p>
        </w:tc>
        <w:tc>
          <w:tcPr>
            <w:tcW w:w="1114"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58C2B5CD" w14:textId="77777777" w:rsidR="00571727" w:rsidRPr="00F1570C" w:rsidRDefault="00571727" w:rsidP="00844711">
            <w:pPr>
              <w:spacing w:after="0" w:line="240" w:lineRule="auto"/>
              <w:jc w:val="center"/>
              <w:rPr>
                <w:rFonts w:ascii="Arial" w:hAnsi="Arial" w:cs="Arial"/>
                <w:b/>
                <w:color w:val="000000" w:themeColor="text1"/>
                <w:sz w:val="16"/>
                <w:szCs w:val="16"/>
                <w:lang w:val="en-ID"/>
              </w:rPr>
            </w:pPr>
            <w:r w:rsidRPr="00F1570C">
              <w:rPr>
                <w:rFonts w:ascii="Arial" w:hAnsi="Arial" w:cs="Arial"/>
                <w:b/>
                <w:color w:val="000000" w:themeColor="text1"/>
                <w:sz w:val="16"/>
                <w:szCs w:val="16"/>
                <w:lang w:val="en-ID"/>
              </w:rPr>
              <w:t>(J)</w:t>
            </w:r>
          </w:p>
        </w:tc>
      </w:tr>
      <w:tr w:rsidR="00F1570C" w:rsidRPr="00F1570C" w14:paraId="7FD4A402"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1A9013A"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2008</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BA0F64B"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Mar</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9158E8F"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0,74</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B0AF2C4"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0,31</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E103BD7"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0,56</w:t>
            </w:r>
          </w:p>
        </w:tc>
      </w:tr>
      <w:tr w:rsidR="00F1570C" w:rsidRPr="00F1570C" w14:paraId="770B824F"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BA4D924"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 </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E2AE9A9"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May</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F52B8FB"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1,44</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38F650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0,56</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F2484E8"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0,79</w:t>
            </w:r>
          </w:p>
        </w:tc>
      </w:tr>
      <w:tr w:rsidR="00F1570C" w:rsidRPr="00F1570C" w14:paraId="654EF40D"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F92FC39"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2009</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4E2E35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Mar</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F39134A"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1,53</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BA5FA0A"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0,57</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9762AA6"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0,78</w:t>
            </w:r>
          </w:p>
        </w:tc>
      </w:tr>
      <w:tr w:rsidR="00F1570C" w:rsidRPr="00F1570C" w14:paraId="4BDFA72D"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0F57715"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 </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3E62AB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Jun</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0023A6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1,58</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088300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0,59</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3A8555C"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0,82</w:t>
            </w:r>
          </w:p>
        </w:tc>
      </w:tr>
      <w:tr w:rsidR="00F1570C" w:rsidRPr="00F1570C" w14:paraId="56B22AC4"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E1D53BF"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2010</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6229D88"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Mar</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9022767"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0,77</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2AE485A"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0,43</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31A656E"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0,34</w:t>
            </w:r>
          </w:p>
        </w:tc>
      </w:tr>
      <w:tr w:rsidR="00F1570C" w:rsidRPr="00F1570C" w14:paraId="46C7C8AF"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C1F9113"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 </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20D40A6"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May</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175E35E"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0,90</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2A0566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0,42</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C20862A"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0,38</w:t>
            </w:r>
          </w:p>
        </w:tc>
      </w:tr>
      <w:tr w:rsidR="00F1570C" w:rsidRPr="00F1570C" w14:paraId="3B2C40B3"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96AA9BA"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 </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BFE41B4"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Jun</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42B570E"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1,14</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B7848E"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0,51</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4653EF0"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0,41</w:t>
            </w:r>
          </w:p>
        </w:tc>
      </w:tr>
      <w:tr w:rsidR="00F1570C" w:rsidRPr="00F1570C" w14:paraId="7E5889E6"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BBADFC1"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2011</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B26C8F4"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Mar</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9F80A50"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1,29</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BB07874"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0,52</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C09C85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0,66</w:t>
            </w:r>
          </w:p>
        </w:tc>
      </w:tr>
      <w:tr w:rsidR="00F1570C" w:rsidRPr="00F1570C" w14:paraId="3A6D01A7"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5AF2EE6"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 </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A6E839"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Jul</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A27B52A"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0,95</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05DD9A9"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0,43</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B73F439"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0,49</w:t>
            </w:r>
          </w:p>
        </w:tc>
      </w:tr>
      <w:tr w:rsidR="00F1570C" w:rsidRPr="00F1570C" w14:paraId="7B228C23"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2E5406F"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2013</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FE590DB"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Mar</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4F2F3AF"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0,74</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77B4E0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0,29</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06E1B84"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0,62</w:t>
            </w:r>
          </w:p>
        </w:tc>
      </w:tr>
      <w:tr w:rsidR="00F1570C" w:rsidRPr="00F1570C" w14:paraId="11CF1C19"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7671E36"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 </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9FEF56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May</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51A4185"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0,96</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B506CDF"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0,39</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76D93E3"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0,60</w:t>
            </w:r>
          </w:p>
        </w:tc>
      </w:tr>
      <w:tr w:rsidR="00F1570C" w:rsidRPr="00F1570C" w14:paraId="0C5157EA"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1759A23"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2015</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7A70D41"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Jul</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EB4369A"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1,18</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29F906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0,45</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E74A7AC"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0,78</w:t>
            </w:r>
          </w:p>
        </w:tc>
      </w:tr>
      <w:tr w:rsidR="00F1570C" w:rsidRPr="00F1570C" w14:paraId="411A3035" w14:textId="77777777" w:rsidTr="00844711">
        <w:trPr>
          <w:trHeight w:val="183"/>
          <w:jc w:val="center"/>
        </w:trPr>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7A66B2D"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2019</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66A558B"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May</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860982E"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1,62</w:t>
            </w:r>
          </w:p>
        </w:tc>
        <w:tc>
          <w:tcPr>
            <w:tcW w:w="13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CBAD8A8"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0,58</w:t>
            </w:r>
          </w:p>
        </w:tc>
        <w:tc>
          <w:tcPr>
            <w:tcW w:w="111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716647F"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0,91</w:t>
            </w:r>
          </w:p>
        </w:tc>
      </w:tr>
      <w:tr w:rsidR="00F1570C" w:rsidRPr="00F1570C" w14:paraId="456D65A7" w14:textId="77777777" w:rsidTr="00844711">
        <w:trPr>
          <w:trHeight w:val="183"/>
          <w:jc w:val="center"/>
        </w:trPr>
        <w:tc>
          <w:tcPr>
            <w:tcW w:w="1657" w:type="dxa"/>
            <w:gridSpan w:val="2"/>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center"/>
            <w:hideMark/>
          </w:tcPr>
          <w:p w14:paraId="24B83374"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Range</w:t>
            </w:r>
          </w:p>
        </w:tc>
        <w:tc>
          <w:tcPr>
            <w:tcW w:w="1387"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499AA695"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0,74 -1,62</w:t>
            </w:r>
          </w:p>
        </w:tc>
        <w:tc>
          <w:tcPr>
            <w:tcW w:w="1387"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4CF579DF"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0,29 - 0,59</w:t>
            </w:r>
          </w:p>
        </w:tc>
        <w:tc>
          <w:tcPr>
            <w:tcW w:w="1114"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00512E64"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0,34 - 0,91</w:t>
            </w:r>
          </w:p>
        </w:tc>
      </w:tr>
      <w:tr w:rsidR="00571727" w:rsidRPr="00F1570C" w14:paraId="62DA1DD5" w14:textId="77777777" w:rsidTr="00844711">
        <w:trPr>
          <w:trHeight w:val="183"/>
          <w:jc w:val="center"/>
        </w:trPr>
        <w:tc>
          <w:tcPr>
            <w:tcW w:w="1657" w:type="dxa"/>
            <w:gridSpan w:val="2"/>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center"/>
            <w:hideMark/>
          </w:tcPr>
          <w:p w14:paraId="10E1A1C5"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proofErr w:type="spellStart"/>
            <w:r w:rsidRPr="00F1570C">
              <w:rPr>
                <w:rFonts w:ascii="Arial" w:hAnsi="Arial" w:cs="Arial"/>
                <w:bCs/>
                <w:color w:val="000000" w:themeColor="text1"/>
                <w:sz w:val="16"/>
                <w:szCs w:val="16"/>
                <w:lang w:val="en-ID"/>
              </w:rPr>
              <w:t>Avrg</w:t>
            </w:r>
            <w:proofErr w:type="spellEnd"/>
          </w:p>
        </w:tc>
        <w:tc>
          <w:tcPr>
            <w:tcW w:w="1387"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3B07CC39"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1,14</w:t>
            </w:r>
          </w:p>
        </w:tc>
        <w:tc>
          <w:tcPr>
            <w:tcW w:w="1387"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35326F63"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0,46</w:t>
            </w:r>
          </w:p>
        </w:tc>
        <w:tc>
          <w:tcPr>
            <w:tcW w:w="1114"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bottom"/>
            <w:hideMark/>
          </w:tcPr>
          <w:p w14:paraId="6AE80A25" w14:textId="77777777" w:rsidR="00571727" w:rsidRPr="00F1570C" w:rsidRDefault="00571727" w:rsidP="00844711">
            <w:pPr>
              <w:spacing w:after="0" w:line="240" w:lineRule="auto"/>
              <w:jc w:val="center"/>
              <w:rPr>
                <w:rFonts w:ascii="Arial" w:hAnsi="Arial" w:cs="Arial"/>
                <w:bCs/>
                <w:color w:val="000000" w:themeColor="text1"/>
                <w:sz w:val="16"/>
                <w:szCs w:val="16"/>
                <w:lang w:val="en-ID"/>
              </w:rPr>
            </w:pPr>
            <w:r w:rsidRPr="00F1570C">
              <w:rPr>
                <w:rFonts w:ascii="Arial" w:hAnsi="Arial" w:cs="Arial"/>
                <w:bCs/>
                <w:color w:val="000000" w:themeColor="text1"/>
                <w:sz w:val="16"/>
                <w:szCs w:val="16"/>
                <w:lang w:val="en-ID"/>
              </w:rPr>
              <w:t>0,63</w:t>
            </w:r>
          </w:p>
        </w:tc>
      </w:tr>
    </w:tbl>
    <w:bookmarkEnd w:id="4"/>
    <w:p w14:paraId="3448C52A" w14:textId="3D63B359" w:rsidR="00571727" w:rsidRPr="00F1570C" w:rsidRDefault="00B7771E" w:rsidP="00571727">
      <w:pPr>
        <w:spacing w:after="0" w:line="240" w:lineRule="auto"/>
        <w:jc w:val="both"/>
        <w:rPr>
          <w:rFonts w:ascii="Arial" w:hAnsi="Arial" w:cs="Arial"/>
          <w:bCs/>
          <w:color w:val="000000" w:themeColor="text1"/>
          <w:sz w:val="18"/>
          <w:szCs w:val="18"/>
        </w:rPr>
      </w:pPr>
      <w:r w:rsidRPr="00F1570C">
        <w:rPr>
          <w:rFonts w:ascii="Arial" w:hAnsi="Arial" w:cs="Arial"/>
          <w:noProof/>
          <w:color w:val="000000" w:themeColor="text1"/>
          <w:sz w:val="18"/>
          <w:szCs w:val="18"/>
        </w:rPr>
        <w:drawing>
          <wp:anchor distT="0" distB="0" distL="114300" distR="114300" simplePos="0" relativeHeight="251715072" behindDoc="0" locked="0" layoutInCell="1" allowOverlap="1" wp14:anchorId="32EB7EBC" wp14:editId="3B87069D">
            <wp:simplePos x="0" y="0"/>
            <wp:positionH relativeFrom="column">
              <wp:posOffset>80645</wp:posOffset>
            </wp:positionH>
            <wp:positionV relativeFrom="paragraph">
              <wp:posOffset>254635</wp:posOffset>
            </wp:positionV>
            <wp:extent cx="3848100" cy="2286000"/>
            <wp:effectExtent l="0" t="0" r="0" b="0"/>
            <wp:wrapTopAndBottom/>
            <wp:docPr id="1" name="Chart 1">
              <a:extLst xmlns:a="http://schemas.openxmlformats.org/drawingml/2006/main">
                <a:ext uri="{FF2B5EF4-FFF2-40B4-BE49-F238E27FC236}">
                  <a16:creationId xmlns:a16="http://schemas.microsoft.com/office/drawing/2014/main" id="{3677A168-5D24-46FB-86A1-3236EF0E6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6CA63CF" w14:textId="77777777" w:rsidR="009D5FEB" w:rsidRDefault="009D5FEB" w:rsidP="000447BC">
      <w:pPr>
        <w:spacing w:after="0" w:line="240" w:lineRule="auto"/>
        <w:jc w:val="both"/>
        <w:rPr>
          <w:rFonts w:ascii="Arial" w:hAnsi="Arial" w:cs="Arial"/>
          <w:b/>
          <w:bCs/>
          <w:color w:val="000000" w:themeColor="text1"/>
          <w:kern w:val="24"/>
          <w:sz w:val="18"/>
          <w:szCs w:val="18"/>
        </w:rPr>
      </w:pPr>
    </w:p>
    <w:p w14:paraId="0DD246F8" w14:textId="6778F7E1" w:rsidR="00FF113F" w:rsidRPr="00F1570C" w:rsidRDefault="00DC29FF" w:rsidP="000447BC">
      <w:pPr>
        <w:spacing w:after="0" w:line="240" w:lineRule="auto"/>
        <w:jc w:val="both"/>
        <w:rPr>
          <w:rFonts w:ascii="Arial" w:hAnsi="Arial" w:cs="Arial"/>
          <w:color w:val="000000" w:themeColor="text1"/>
          <w:kern w:val="24"/>
          <w:sz w:val="18"/>
          <w:szCs w:val="18"/>
        </w:rPr>
      </w:pPr>
      <w:r w:rsidRPr="00F1570C">
        <w:rPr>
          <w:rFonts w:ascii="Arial" w:hAnsi="Arial" w:cs="Arial"/>
          <w:b/>
          <w:bCs/>
          <w:color w:val="000000" w:themeColor="text1"/>
          <w:kern w:val="24"/>
          <w:sz w:val="18"/>
          <w:szCs w:val="18"/>
        </w:rPr>
        <w:t xml:space="preserve">Figure </w:t>
      </w:r>
      <w:r w:rsidR="00543E27" w:rsidRPr="00F1570C">
        <w:rPr>
          <w:rFonts w:ascii="Arial" w:hAnsi="Arial" w:cs="Arial"/>
          <w:b/>
          <w:bCs/>
          <w:color w:val="000000" w:themeColor="text1"/>
          <w:kern w:val="24"/>
          <w:sz w:val="18"/>
          <w:szCs w:val="18"/>
        </w:rPr>
        <w:t>8</w:t>
      </w:r>
      <w:r w:rsidRPr="00F1570C">
        <w:rPr>
          <w:rFonts w:ascii="Arial" w:hAnsi="Arial" w:cs="Arial"/>
          <w:color w:val="000000" w:themeColor="text1"/>
          <w:kern w:val="24"/>
          <w:sz w:val="18"/>
          <w:szCs w:val="18"/>
        </w:rPr>
        <w:t xml:space="preserve">. </w:t>
      </w:r>
      <w:r w:rsidR="00FF113F" w:rsidRPr="00F1570C">
        <w:rPr>
          <w:rFonts w:ascii="Arial" w:hAnsi="Arial" w:cs="Arial"/>
          <w:color w:val="000000" w:themeColor="text1"/>
          <w:kern w:val="24"/>
          <w:sz w:val="18"/>
          <w:szCs w:val="18"/>
        </w:rPr>
        <w:t>Temporal variation in phytoplankton community structure indices (H′, E,</w:t>
      </w:r>
    </w:p>
    <w:p w14:paraId="37953207" w14:textId="77777777" w:rsidR="00FF113F" w:rsidRPr="00F1570C" w:rsidRDefault="00FF113F" w:rsidP="00FF113F">
      <w:pPr>
        <w:spacing w:after="0" w:line="240" w:lineRule="auto"/>
        <w:ind w:firstLine="720"/>
        <w:jc w:val="both"/>
        <w:rPr>
          <w:rFonts w:ascii="Arial" w:hAnsi="Arial" w:cs="Arial"/>
          <w:i/>
          <w:iCs/>
          <w:color w:val="000000" w:themeColor="text1"/>
          <w:kern w:val="24"/>
          <w:sz w:val="18"/>
          <w:szCs w:val="18"/>
        </w:rPr>
      </w:pPr>
      <w:r w:rsidRPr="00F1570C">
        <w:rPr>
          <w:rFonts w:ascii="Arial" w:hAnsi="Arial" w:cs="Arial"/>
          <w:color w:val="000000" w:themeColor="text1"/>
          <w:kern w:val="24"/>
          <w:sz w:val="18"/>
          <w:szCs w:val="18"/>
        </w:rPr>
        <w:t xml:space="preserve"> J) in Jakarta Bay from 2008 to 2019. </w:t>
      </w:r>
      <w:r w:rsidRPr="00F1570C">
        <w:rPr>
          <w:rFonts w:ascii="Arial" w:hAnsi="Arial" w:cs="Arial"/>
          <w:i/>
          <w:iCs/>
          <w:color w:val="000000" w:themeColor="text1"/>
          <w:kern w:val="24"/>
          <w:sz w:val="18"/>
          <w:szCs w:val="18"/>
        </w:rPr>
        <w:t>This figure illustrates long-term</w:t>
      </w:r>
    </w:p>
    <w:p w14:paraId="15748722" w14:textId="77777777" w:rsidR="00FF113F" w:rsidRPr="00F1570C" w:rsidRDefault="00FF113F" w:rsidP="00FF113F">
      <w:pPr>
        <w:spacing w:after="0" w:line="240" w:lineRule="auto"/>
        <w:ind w:firstLine="720"/>
        <w:jc w:val="both"/>
        <w:rPr>
          <w:rFonts w:ascii="Arial" w:hAnsi="Arial" w:cs="Arial"/>
          <w:i/>
          <w:iCs/>
          <w:color w:val="000000" w:themeColor="text1"/>
          <w:kern w:val="24"/>
          <w:sz w:val="18"/>
          <w:szCs w:val="18"/>
        </w:rPr>
      </w:pPr>
      <w:r w:rsidRPr="00F1570C">
        <w:rPr>
          <w:rFonts w:ascii="Arial" w:hAnsi="Arial" w:cs="Arial"/>
          <w:i/>
          <w:iCs/>
          <w:color w:val="000000" w:themeColor="text1"/>
          <w:kern w:val="24"/>
          <w:sz w:val="18"/>
          <w:szCs w:val="18"/>
        </w:rPr>
        <w:t xml:space="preserve"> fluctuations in Shannon diversity (H′), evenness (E), and equitability (J).</w:t>
      </w:r>
    </w:p>
    <w:p w14:paraId="2EC30B1E" w14:textId="77777777" w:rsidR="00FF113F" w:rsidRPr="00F1570C" w:rsidRDefault="00FF113F" w:rsidP="00FF113F">
      <w:pPr>
        <w:spacing w:after="0" w:line="240" w:lineRule="auto"/>
        <w:ind w:firstLine="720"/>
        <w:jc w:val="both"/>
        <w:rPr>
          <w:rFonts w:ascii="Arial" w:hAnsi="Arial" w:cs="Arial"/>
          <w:i/>
          <w:iCs/>
          <w:color w:val="000000" w:themeColor="text1"/>
          <w:kern w:val="24"/>
          <w:sz w:val="18"/>
          <w:szCs w:val="18"/>
        </w:rPr>
      </w:pPr>
      <w:r w:rsidRPr="00F1570C">
        <w:rPr>
          <w:rFonts w:ascii="Arial" w:hAnsi="Arial" w:cs="Arial"/>
          <w:i/>
          <w:iCs/>
          <w:color w:val="000000" w:themeColor="text1"/>
          <w:kern w:val="24"/>
          <w:sz w:val="18"/>
          <w:szCs w:val="18"/>
        </w:rPr>
        <w:t xml:space="preserve"> Diversity peaks in 2009 and 2011 indicate periods of more balanced</w:t>
      </w:r>
    </w:p>
    <w:p w14:paraId="6F023CBE" w14:textId="77777777" w:rsidR="00FF113F" w:rsidRPr="00F1570C" w:rsidRDefault="00FF113F" w:rsidP="00FF113F">
      <w:pPr>
        <w:spacing w:after="0" w:line="240" w:lineRule="auto"/>
        <w:ind w:firstLine="720"/>
        <w:jc w:val="both"/>
        <w:rPr>
          <w:rFonts w:ascii="Arial" w:hAnsi="Arial" w:cs="Arial"/>
          <w:i/>
          <w:iCs/>
          <w:color w:val="000000" w:themeColor="text1"/>
          <w:kern w:val="24"/>
          <w:sz w:val="18"/>
          <w:szCs w:val="18"/>
        </w:rPr>
      </w:pPr>
      <w:r w:rsidRPr="00F1570C">
        <w:rPr>
          <w:rFonts w:ascii="Arial" w:hAnsi="Arial" w:cs="Arial"/>
          <w:i/>
          <w:iCs/>
          <w:color w:val="000000" w:themeColor="text1"/>
          <w:kern w:val="24"/>
          <w:sz w:val="18"/>
          <w:szCs w:val="18"/>
        </w:rPr>
        <w:t xml:space="preserve"> community composition, whereas sharp declines in 2010 and 201</w:t>
      </w:r>
    </w:p>
    <w:p w14:paraId="333DDE6C" w14:textId="4E4B9EFF" w:rsidR="00FF113F" w:rsidRPr="00F1570C" w:rsidRDefault="00FF113F" w:rsidP="00FF113F">
      <w:pPr>
        <w:spacing w:after="0" w:line="240" w:lineRule="auto"/>
        <w:ind w:firstLine="720"/>
        <w:jc w:val="both"/>
        <w:rPr>
          <w:rFonts w:ascii="Arial" w:hAnsi="Arial" w:cs="Arial"/>
          <w:i/>
          <w:iCs/>
          <w:color w:val="000000" w:themeColor="text1"/>
          <w:kern w:val="24"/>
          <w:sz w:val="18"/>
          <w:szCs w:val="18"/>
        </w:rPr>
      </w:pPr>
      <w:r w:rsidRPr="00F1570C">
        <w:rPr>
          <w:rFonts w:ascii="Arial" w:hAnsi="Arial" w:cs="Arial"/>
          <w:i/>
          <w:iCs/>
          <w:color w:val="000000" w:themeColor="text1"/>
          <w:kern w:val="24"/>
          <w:sz w:val="18"/>
          <w:szCs w:val="18"/>
        </w:rPr>
        <w:t xml:space="preserve"> 3 reflect strong dominance by bloom-forming diatoms such as</w:t>
      </w:r>
    </w:p>
    <w:p w14:paraId="0CEB3F2B" w14:textId="116F00FD" w:rsidR="00BB4527" w:rsidRPr="00AD687D" w:rsidRDefault="00FF113F" w:rsidP="00AD687D">
      <w:pPr>
        <w:spacing w:after="0" w:line="240" w:lineRule="auto"/>
        <w:ind w:firstLine="720"/>
        <w:jc w:val="both"/>
        <w:rPr>
          <w:rFonts w:ascii="Arial" w:hAnsi="Arial" w:cs="Arial"/>
          <w:i/>
          <w:iCs/>
          <w:color w:val="000000" w:themeColor="text1"/>
          <w:kern w:val="24"/>
          <w:sz w:val="18"/>
          <w:szCs w:val="18"/>
        </w:rPr>
      </w:pPr>
      <w:r w:rsidRPr="00F1570C">
        <w:rPr>
          <w:rFonts w:ascii="Arial" w:hAnsi="Arial" w:cs="Arial"/>
          <w:i/>
          <w:iCs/>
          <w:color w:val="000000" w:themeColor="text1"/>
          <w:kern w:val="24"/>
          <w:sz w:val="18"/>
          <w:szCs w:val="18"/>
        </w:rPr>
        <w:t xml:space="preserve"> </w:t>
      </w:r>
      <w:proofErr w:type="spellStart"/>
      <w:r w:rsidRPr="00F1570C">
        <w:rPr>
          <w:rFonts w:ascii="Arial" w:hAnsi="Arial" w:cs="Arial"/>
          <w:i/>
          <w:iCs/>
          <w:color w:val="000000" w:themeColor="text1"/>
          <w:kern w:val="24"/>
          <w:sz w:val="18"/>
          <w:szCs w:val="18"/>
        </w:rPr>
        <w:t>Chaetoceros</w:t>
      </w:r>
      <w:proofErr w:type="spellEnd"/>
      <w:r w:rsidRPr="00F1570C">
        <w:rPr>
          <w:rFonts w:ascii="Arial" w:hAnsi="Arial" w:cs="Arial"/>
          <w:i/>
          <w:iCs/>
          <w:color w:val="000000" w:themeColor="text1"/>
          <w:kern w:val="24"/>
          <w:sz w:val="18"/>
          <w:szCs w:val="18"/>
        </w:rPr>
        <w:t xml:space="preserve"> and </w:t>
      </w:r>
      <w:proofErr w:type="spellStart"/>
      <w:r w:rsidRPr="00F1570C">
        <w:rPr>
          <w:rFonts w:ascii="Arial" w:hAnsi="Arial" w:cs="Arial"/>
          <w:i/>
          <w:iCs/>
          <w:color w:val="000000" w:themeColor="text1"/>
          <w:kern w:val="24"/>
          <w:sz w:val="18"/>
          <w:szCs w:val="18"/>
        </w:rPr>
        <w:t>Skeletonema</w:t>
      </w:r>
      <w:proofErr w:type="spellEnd"/>
      <w:r w:rsidRPr="00F1570C">
        <w:rPr>
          <w:rFonts w:ascii="Arial" w:hAnsi="Arial" w:cs="Arial"/>
          <w:i/>
          <w:iCs/>
          <w:color w:val="000000" w:themeColor="text1"/>
          <w:kern w:val="24"/>
          <w:sz w:val="18"/>
          <w:szCs w:val="18"/>
        </w:rPr>
        <w:t>.</w:t>
      </w:r>
    </w:p>
    <w:p w14:paraId="1E133DBA" w14:textId="78D3BB63" w:rsidR="00BB4527" w:rsidRPr="00F1570C" w:rsidRDefault="00BB4527" w:rsidP="00B06D57">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lang w:val="en-ID"/>
        </w:rPr>
        <w:lastRenderedPageBreak/>
        <w:t>3.</w:t>
      </w:r>
      <w:r w:rsidR="008D2D15">
        <w:rPr>
          <w:rFonts w:ascii="Arial" w:hAnsi="Arial" w:cs="Arial"/>
          <w:b/>
          <w:bCs/>
          <w:color w:val="000000" w:themeColor="text1"/>
          <w:sz w:val="18"/>
          <w:szCs w:val="18"/>
          <w:lang w:val="en-ID"/>
        </w:rPr>
        <w:t>9</w:t>
      </w:r>
      <w:r w:rsidR="00782307" w:rsidRPr="00F1570C">
        <w:rPr>
          <w:rFonts w:ascii="Arial" w:hAnsi="Arial" w:cs="Arial"/>
          <w:b/>
          <w:bCs/>
          <w:color w:val="000000" w:themeColor="text1"/>
          <w:sz w:val="18"/>
          <w:szCs w:val="18"/>
          <w:lang w:val="en-ID"/>
        </w:rPr>
        <w:t xml:space="preserve"> Nutrient </w:t>
      </w:r>
      <w:r w:rsidR="00543E27" w:rsidRPr="00F1570C">
        <w:rPr>
          <w:rFonts w:ascii="Arial" w:hAnsi="Arial" w:cs="Arial"/>
          <w:b/>
          <w:bCs/>
          <w:color w:val="000000" w:themeColor="text1"/>
          <w:sz w:val="18"/>
          <w:szCs w:val="18"/>
          <w:lang w:val="en-ID"/>
        </w:rPr>
        <w:t>Ratios</w:t>
      </w:r>
      <w:r w:rsidR="00782307" w:rsidRPr="00F1570C">
        <w:rPr>
          <w:rFonts w:ascii="Arial" w:hAnsi="Arial" w:cs="Arial"/>
          <w:b/>
          <w:bCs/>
          <w:color w:val="000000" w:themeColor="text1"/>
          <w:sz w:val="18"/>
          <w:szCs w:val="18"/>
          <w:lang w:val="en-ID"/>
        </w:rPr>
        <w:t xml:space="preserve"> (N</w:t>
      </w:r>
      <w:r w:rsidR="003A793E">
        <w:rPr>
          <w:rFonts w:ascii="Arial" w:hAnsi="Arial" w:cs="Arial"/>
          <w:b/>
          <w:bCs/>
          <w:color w:val="000000" w:themeColor="text1"/>
          <w:sz w:val="18"/>
          <w:szCs w:val="18"/>
          <w:lang w:val="en-ID"/>
        </w:rPr>
        <w:t xml:space="preserve">, </w:t>
      </w:r>
      <w:r w:rsidR="00782307" w:rsidRPr="00F1570C">
        <w:rPr>
          <w:rFonts w:ascii="Arial" w:hAnsi="Arial" w:cs="Arial"/>
          <w:b/>
          <w:bCs/>
          <w:color w:val="000000" w:themeColor="text1"/>
          <w:sz w:val="18"/>
          <w:szCs w:val="18"/>
          <w:lang w:val="en-ID"/>
        </w:rPr>
        <w:t>P</w:t>
      </w:r>
      <w:r w:rsidR="003A793E">
        <w:rPr>
          <w:rFonts w:ascii="Arial" w:hAnsi="Arial" w:cs="Arial"/>
          <w:b/>
          <w:bCs/>
          <w:color w:val="000000" w:themeColor="text1"/>
          <w:sz w:val="18"/>
          <w:szCs w:val="18"/>
          <w:lang w:val="en-ID"/>
        </w:rPr>
        <w:t xml:space="preserve">, </w:t>
      </w:r>
      <w:r w:rsidR="00543E27" w:rsidRPr="00F1570C">
        <w:rPr>
          <w:rFonts w:ascii="Arial" w:hAnsi="Arial" w:cs="Arial"/>
          <w:b/>
          <w:bCs/>
          <w:color w:val="000000" w:themeColor="text1"/>
          <w:sz w:val="18"/>
          <w:szCs w:val="18"/>
          <w:lang w:val="en-ID"/>
        </w:rPr>
        <w:t>Si</w:t>
      </w:r>
      <w:r w:rsidR="00782307" w:rsidRPr="00F1570C">
        <w:rPr>
          <w:rFonts w:ascii="Arial" w:hAnsi="Arial" w:cs="Arial"/>
          <w:b/>
          <w:bCs/>
          <w:color w:val="000000" w:themeColor="text1"/>
          <w:sz w:val="18"/>
          <w:szCs w:val="18"/>
          <w:lang w:val="en-ID"/>
        </w:rPr>
        <w:t>) in Jakarta Bay (2008-2019)</w:t>
      </w:r>
    </w:p>
    <w:p w14:paraId="3738763A" w14:textId="68228E67" w:rsidR="00DA0F5D" w:rsidRPr="00F1570C" w:rsidRDefault="00DA0F5D" w:rsidP="00B06D57">
      <w:pPr>
        <w:spacing w:after="0" w:line="240" w:lineRule="auto"/>
        <w:jc w:val="both"/>
        <w:rPr>
          <w:rFonts w:ascii="Arial" w:hAnsi="Arial" w:cs="Arial"/>
          <w:color w:val="000000" w:themeColor="text1"/>
          <w:sz w:val="18"/>
          <w:szCs w:val="18"/>
          <w:lang w:val="en-ID"/>
        </w:rPr>
      </w:pPr>
    </w:p>
    <w:p w14:paraId="615F1FCA" w14:textId="7FE6F797" w:rsidR="0006409B" w:rsidRPr="00F1570C" w:rsidRDefault="00C41B01" w:rsidP="0006409B">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Figure 9 shows long-term changes in nitrate (NO</w:t>
      </w:r>
      <w:r>
        <w:rPr>
          <w:rFonts w:ascii="Cambria Math" w:hAnsi="Cambria Math" w:cs="Cambria Math"/>
          <w:color w:val="000000" w:themeColor="text1"/>
          <w:sz w:val="18"/>
          <w:szCs w:val="18"/>
          <w:lang w:val="en-ID"/>
        </w:rPr>
        <w:t>₃⁻</w:t>
      </w:r>
      <w:r>
        <w:rPr>
          <w:rFonts w:ascii="Arial" w:hAnsi="Arial" w:cs="Arial"/>
          <w:color w:val="000000" w:themeColor="text1"/>
          <w:sz w:val="18"/>
          <w:szCs w:val="18"/>
          <w:lang w:val="en-ID"/>
        </w:rPr>
        <w:t>) and phosphate (PO</w:t>
      </w:r>
      <w:r>
        <w:rPr>
          <w:rFonts w:ascii="Cambria Math" w:hAnsi="Cambria Math" w:cs="Cambria Math"/>
          <w:color w:val="000000" w:themeColor="text1"/>
          <w:sz w:val="18"/>
          <w:szCs w:val="18"/>
          <w:lang w:val="en-ID"/>
        </w:rPr>
        <w:t>₄</w:t>
      </w:r>
      <w:r>
        <w:rPr>
          <w:rFonts w:ascii="Arial" w:hAnsi="Arial" w:cs="Arial"/>
          <w:color w:val="000000" w:themeColor="text1"/>
          <w:sz w:val="18"/>
          <w:szCs w:val="18"/>
          <w:lang w:val="en-ID"/>
        </w:rPr>
        <w:t>³</w:t>
      </w:r>
      <w:r>
        <w:rPr>
          <w:rFonts w:ascii="Cambria Math" w:hAnsi="Cambria Math" w:cs="Cambria Math"/>
          <w:color w:val="000000" w:themeColor="text1"/>
          <w:sz w:val="18"/>
          <w:szCs w:val="18"/>
          <w:lang w:val="en-ID"/>
        </w:rPr>
        <w:t>⁻</w:t>
      </w:r>
      <w:r>
        <w:rPr>
          <w:rFonts w:ascii="Arial" w:hAnsi="Arial" w:cs="Arial"/>
          <w:color w:val="000000" w:themeColor="text1"/>
          <w:sz w:val="18"/>
          <w:szCs w:val="18"/>
          <w:lang w:val="en-ID"/>
        </w:rPr>
        <w:t>) levels in Jakarta Bay from 2008 to 2019, highlighting clear episodic patterns in nutrient inputs. Nitrate exhibits significant fluctuations, ranging from nearly zero to about 22 µg/L, with notable peaks in 2010, 2013, and 2015, periods linked to increased river flow, stormwater runoff, and monsoon-driven inflows. In comparison, phosphate levels stay relatively steady, usually between 0.5 and 3 µg/L, probably because of quick biological uptake and adsorption onto suspended sediments (</w:t>
      </w:r>
      <w:proofErr w:type="spellStart"/>
      <w:r>
        <w:rPr>
          <w:rFonts w:ascii="Arial" w:hAnsi="Arial" w:cs="Arial"/>
          <w:color w:val="000000" w:themeColor="text1"/>
          <w:sz w:val="18"/>
          <w:szCs w:val="18"/>
          <w:lang w:val="en-ID"/>
        </w:rPr>
        <w:t>Sidabutar</w:t>
      </w:r>
      <w:proofErr w:type="spellEnd"/>
      <w:r>
        <w:rPr>
          <w:rFonts w:ascii="Arial" w:hAnsi="Arial" w:cs="Arial"/>
          <w:color w:val="000000" w:themeColor="text1"/>
          <w:sz w:val="18"/>
          <w:szCs w:val="18"/>
          <w:lang w:val="en-ID"/>
        </w:rPr>
        <w:t xml:space="preserve"> &amp; </w:t>
      </w:r>
      <w:proofErr w:type="spellStart"/>
      <w:r>
        <w:rPr>
          <w:rFonts w:ascii="Arial" w:hAnsi="Arial" w:cs="Arial"/>
          <w:color w:val="000000" w:themeColor="text1"/>
          <w:sz w:val="18"/>
          <w:szCs w:val="18"/>
          <w:lang w:val="en-ID"/>
        </w:rPr>
        <w:t>Srimariana</w:t>
      </w:r>
      <w:proofErr w:type="spellEnd"/>
      <w:r>
        <w:rPr>
          <w:rFonts w:ascii="Arial" w:hAnsi="Arial" w:cs="Arial"/>
          <w:color w:val="000000" w:themeColor="text1"/>
          <w:sz w:val="18"/>
          <w:szCs w:val="18"/>
          <w:lang w:val="en-ID"/>
        </w:rPr>
        <w:t>, 2020). The marked difference in variability between these nutrients indicates a long-standing nitrogen-focused system, typical of human-affected tropical coastal waters (</w:t>
      </w:r>
      <w:proofErr w:type="spellStart"/>
      <w:r>
        <w:rPr>
          <w:rFonts w:ascii="Arial" w:hAnsi="Arial" w:cs="Arial"/>
          <w:color w:val="000000" w:themeColor="text1"/>
          <w:sz w:val="18"/>
          <w:szCs w:val="18"/>
          <w:lang w:val="en-ID"/>
        </w:rPr>
        <w:t>Damar</w:t>
      </w:r>
      <w:proofErr w:type="spellEnd"/>
      <w:r>
        <w:rPr>
          <w:rFonts w:ascii="Arial" w:hAnsi="Arial" w:cs="Arial"/>
          <w:color w:val="000000" w:themeColor="text1"/>
          <w:sz w:val="18"/>
          <w:szCs w:val="18"/>
          <w:lang w:val="en-ID"/>
        </w:rPr>
        <w:t xml:space="preserve"> et al., 2020). These time-based patterns imply that seasonal rainfall, extreme climate events like La Niña, and urban wastewater inputs are key factors causing recurring nitrate spikes.</w:t>
      </w:r>
    </w:p>
    <w:p w14:paraId="195380DF" w14:textId="77777777" w:rsidR="0006409B" w:rsidRPr="00F1570C" w:rsidRDefault="0006409B" w:rsidP="0006409B">
      <w:pPr>
        <w:spacing w:after="0" w:line="240" w:lineRule="auto"/>
        <w:jc w:val="both"/>
        <w:rPr>
          <w:rFonts w:ascii="Arial" w:hAnsi="Arial" w:cs="Arial"/>
          <w:color w:val="000000" w:themeColor="text1"/>
          <w:sz w:val="18"/>
          <w:szCs w:val="18"/>
          <w:lang w:val="en-ID"/>
        </w:rPr>
      </w:pPr>
    </w:p>
    <w:p w14:paraId="3383A17C" w14:textId="41C542D9" w:rsidR="0006409B" w:rsidRPr="00F1570C" w:rsidRDefault="00C41B01" w:rsidP="0006409B">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This nutrient imbalance plays a key role in shaping the bay’s trophic dynamics. Elevated nitrate levels, combined with relatively low phosphate, promote rapid phytoplankton growth and may trigger harmful algal blooms (HABs) under </w:t>
      </w:r>
      <w:proofErr w:type="spellStart"/>
      <w:r>
        <w:rPr>
          <w:rFonts w:ascii="Arial" w:hAnsi="Arial" w:cs="Arial"/>
          <w:color w:val="000000" w:themeColor="text1"/>
          <w:sz w:val="18"/>
          <w:szCs w:val="18"/>
          <w:lang w:val="en-ID"/>
        </w:rPr>
        <w:t>favorable</w:t>
      </w:r>
      <w:proofErr w:type="spellEnd"/>
      <w:r>
        <w:rPr>
          <w:rFonts w:ascii="Arial" w:hAnsi="Arial" w:cs="Arial"/>
          <w:color w:val="000000" w:themeColor="text1"/>
          <w:sz w:val="18"/>
          <w:szCs w:val="18"/>
          <w:lang w:val="en-ID"/>
        </w:rPr>
        <w:t xml:space="preserve"> hydrodynamic conditions. Earlier studies in Jakarta Bay have shown that sustained nitrogen enrichment </w:t>
      </w:r>
      <w:proofErr w:type="spellStart"/>
      <w:r>
        <w:rPr>
          <w:rFonts w:ascii="Arial" w:hAnsi="Arial" w:cs="Arial"/>
          <w:color w:val="000000" w:themeColor="text1"/>
          <w:sz w:val="18"/>
          <w:szCs w:val="18"/>
          <w:lang w:val="en-ID"/>
        </w:rPr>
        <w:t>favors</w:t>
      </w:r>
      <w:proofErr w:type="spellEnd"/>
      <w:r>
        <w:rPr>
          <w:rFonts w:ascii="Arial" w:hAnsi="Arial" w:cs="Arial"/>
          <w:color w:val="000000" w:themeColor="text1"/>
          <w:sz w:val="18"/>
          <w:szCs w:val="18"/>
          <w:lang w:val="en-ID"/>
        </w:rPr>
        <w:t xml:space="preserve"> bloom-forming species such as </w:t>
      </w:r>
      <w:proofErr w:type="spellStart"/>
      <w:r w:rsidRPr="00C41B01">
        <w:rPr>
          <w:rFonts w:ascii="Arial" w:hAnsi="Arial" w:cs="Arial"/>
          <w:i/>
          <w:iCs/>
          <w:color w:val="000000" w:themeColor="text1"/>
          <w:sz w:val="18"/>
          <w:szCs w:val="18"/>
          <w:lang w:val="en-ID"/>
        </w:rPr>
        <w:t>Noctiluca</w:t>
      </w:r>
      <w:proofErr w:type="spellEnd"/>
      <w:r w:rsidRPr="00C41B01">
        <w:rPr>
          <w:rFonts w:ascii="Arial" w:hAnsi="Arial" w:cs="Arial"/>
          <w:i/>
          <w:iCs/>
          <w:color w:val="000000" w:themeColor="text1"/>
          <w:sz w:val="18"/>
          <w:szCs w:val="18"/>
          <w:lang w:val="en-ID"/>
        </w:rPr>
        <w:t xml:space="preserve"> scintillans</w:t>
      </w:r>
      <w:r>
        <w:rPr>
          <w:rFonts w:ascii="Arial" w:hAnsi="Arial" w:cs="Arial"/>
          <w:color w:val="000000" w:themeColor="text1"/>
          <w:sz w:val="18"/>
          <w:szCs w:val="18"/>
          <w:lang w:val="en-ID"/>
        </w:rPr>
        <w:t xml:space="preserve"> and opportunistic diatoms (</w:t>
      </w:r>
      <w:proofErr w:type="spellStart"/>
      <w:r>
        <w:rPr>
          <w:rFonts w:ascii="Arial" w:hAnsi="Arial" w:cs="Arial"/>
          <w:color w:val="000000" w:themeColor="text1"/>
          <w:sz w:val="18"/>
          <w:szCs w:val="18"/>
          <w:lang w:val="en-ID"/>
        </w:rPr>
        <w:t>Damar</w:t>
      </w:r>
      <w:proofErr w:type="spellEnd"/>
      <w:r>
        <w:rPr>
          <w:rFonts w:ascii="Arial" w:hAnsi="Arial" w:cs="Arial"/>
          <w:color w:val="000000" w:themeColor="text1"/>
          <w:sz w:val="18"/>
          <w:szCs w:val="18"/>
          <w:lang w:val="en-ID"/>
        </w:rPr>
        <w:t xml:space="preserve"> et al., 2019; </w:t>
      </w:r>
      <w:proofErr w:type="spellStart"/>
      <w:r>
        <w:rPr>
          <w:rFonts w:ascii="Arial" w:hAnsi="Arial" w:cs="Arial"/>
          <w:color w:val="000000" w:themeColor="text1"/>
          <w:sz w:val="18"/>
          <w:szCs w:val="18"/>
          <w:lang w:val="en-ID"/>
        </w:rPr>
        <w:t>Sidabutar</w:t>
      </w:r>
      <w:proofErr w:type="spellEnd"/>
      <w:r>
        <w:rPr>
          <w:rFonts w:ascii="Arial" w:hAnsi="Arial" w:cs="Arial"/>
          <w:color w:val="000000" w:themeColor="text1"/>
          <w:sz w:val="18"/>
          <w:szCs w:val="18"/>
          <w:lang w:val="en-ID"/>
        </w:rPr>
        <w:t xml:space="preserve"> et al., 2021). These changes reduce water clarity, speed up oxygen depletion during bloom decay, and contribute to long-term ecological decline, especially in areas impacted by land reclamation and heavy pollution (</w:t>
      </w:r>
      <w:proofErr w:type="spellStart"/>
      <w:r>
        <w:rPr>
          <w:rFonts w:ascii="Arial" w:hAnsi="Arial" w:cs="Arial"/>
          <w:color w:val="000000" w:themeColor="text1"/>
          <w:sz w:val="18"/>
          <w:szCs w:val="18"/>
          <w:lang w:val="en-ID"/>
        </w:rPr>
        <w:t>Puspasari</w:t>
      </w:r>
      <w:proofErr w:type="spellEnd"/>
      <w:r>
        <w:rPr>
          <w:rFonts w:ascii="Arial" w:hAnsi="Arial" w:cs="Arial"/>
          <w:color w:val="000000" w:themeColor="text1"/>
          <w:sz w:val="18"/>
          <w:szCs w:val="18"/>
          <w:lang w:val="en-ID"/>
        </w:rPr>
        <w:t xml:space="preserve"> et al., 2018; </w:t>
      </w:r>
      <w:proofErr w:type="spellStart"/>
      <w:r>
        <w:rPr>
          <w:rFonts w:ascii="Arial" w:hAnsi="Arial" w:cs="Arial"/>
          <w:color w:val="000000" w:themeColor="text1"/>
          <w:sz w:val="18"/>
          <w:szCs w:val="18"/>
          <w:lang w:val="en-ID"/>
        </w:rPr>
        <w:t>Heery</w:t>
      </w:r>
      <w:proofErr w:type="spellEnd"/>
      <w:r>
        <w:rPr>
          <w:rFonts w:ascii="Arial" w:hAnsi="Arial" w:cs="Arial"/>
          <w:color w:val="000000" w:themeColor="text1"/>
          <w:sz w:val="18"/>
          <w:szCs w:val="18"/>
          <w:lang w:val="en-ID"/>
        </w:rPr>
        <w:t xml:space="preserve"> et al., 2018). The patterns in Figure 8, therefore, reveal a consistent eutrophication trend driven by nutrient runoff from rivers, coastal development, and inadequate wastewater management.</w:t>
      </w:r>
    </w:p>
    <w:p w14:paraId="5BD6EDE8" w14:textId="77777777" w:rsidR="0006409B" w:rsidRPr="00F1570C" w:rsidRDefault="0006409B" w:rsidP="0006409B">
      <w:pPr>
        <w:spacing w:after="0" w:line="240" w:lineRule="auto"/>
        <w:jc w:val="both"/>
        <w:rPr>
          <w:rFonts w:ascii="Arial" w:hAnsi="Arial" w:cs="Arial"/>
          <w:color w:val="000000" w:themeColor="text1"/>
          <w:sz w:val="18"/>
          <w:szCs w:val="18"/>
          <w:lang w:val="en-ID"/>
        </w:rPr>
      </w:pPr>
    </w:p>
    <w:p w14:paraId="16F1EB32" w14:textId="2E6A2635" w:rsidR="00B7771E" w:rsidRDefault="00C41B01" w:rsidP="00B27000">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The strong link between nitrate peaks and periods of high phytoplankton abundance, especially the diatom blooms in 2010 and 2013, shows that nitrogen is the main factor driving phytoplankton growth in this system. High nitrogen-to-phosphorus (N:P) ratios, often </w:t>
      </w:r>
      <w:r w:rsidR="001C2B2B">
        <w:rPr>
          <w:rFonts w:ascii="Arial" w:hAnsi="Arial" w:cs="Arial"/>
          <w:color w:val="000000" w:themeColor="text1"/>
          <w:sz w:val="18"/>
          <w:szCs w:val="18"/>
          <w:lang w:val="en-ID"/>
        </w:rPr>
        <w:t xml:space="preserve">exceeding 16:1, </w:t>
      </w:r>
      <w:proofErr w:type="spellStart"/>
      <w:r w:rsidR="001C2B2B">
        <w:rPr>
          <w:rFonts w:ascii="Arial" w:hAnsi="Arial" w:cs="Arial"/>
          <w:color w:val="000000" w:themeColor="text1"/>
          <w:sz w:val="18"/>
          <w:szCs w:val="18"/>
          <w:lang w:val="en-ID"/>
        </w:rPr>
        <w:t>favor</w:t>
      </w:r>
      <w:proofErr w:type="spellEnd"/>
      <w:r w:rsidR="001C2B2B">
        <w:rPr>
          <w:rFonts w:ascii="Arial" w:hAnsi="Arial" w:cs="Arial"/>
          <w:color w:val="000000" w:themeColor="text1"/>
          <w:sz w:val="18"/>
          <w:szCs w:val="18"/>
          <w:lang w:val="en-ID"/>
        </w:rPr>
        <w:t xml:space="preserve"> fast-growing diatoms such as</w:t>
      </w:r>
      <w:r>
        <w:rPr>
          <w:rFonts w:ascii="Arial" w:hAnsi="Arial" w:cs="Arial"/>
          <w:color w:val="000000" w:themeColor="text1"/>
          <w:sz w:val="18"/>
          <w:szCs w:val="18"/>
          <w:lang w:val="en-ID"/>
        </w:rPr>
        <w:t xml:space="preserve"> </w:t>
      </w:r>
      <w:proofErr w:type="spellStart"/>
      <w:r w:rsidRPr="00C41B01">
        <w:rPr>
          <w:rFonts w:ascii="Arial" w:hAnsi="Arial" w:cs="Arial"/>
          <w:i/>
          <w:iCs/>
          <w:color w:val="000000" w:themeColor="text1"/>
          <w:sz w:val="18"/>
          <w:szCs w:val="18"/>
          <w:lang w:val="en-ID"/>
        </w:rPr>
        <w:t>Chaetoceros</w:t>
      </w:r>
      <w:proofErr w:type="spellEnd"/>
      <w:r>
        <w:rPr>
          <w:rFonts w:ascii="Arial" w:hAnsi="Arial" w:cs="Arial"/>
          <w:color w:val="000000" w:themeColor="text1"/>
          <w:sz w:val="18"/>
          <w:szCs w:val="18"/>
          <w:lang w:val="en-ID"/>
        </w:rPr>
        <w:t xml:space="preserve"> and </w:t>
      </w:r>
      <w:proofErr w:type="spellStart"/>
      <w:r w:rsidRPr="00C41B01">
        <w:rPr>
          <w:rFonts w:ascii="Arial" w:hAnsi="Arial" w:cs="Arial"/>
          <w:i/>
          <w:iCs/>
          <w:color w:val="000000" w:themeColor="text1"/>
          <w:sz w:val="18"/>
          <w:szCs w:val="18"/>
          <w:lang w:val="en-ID"/>
        </w:rPr>
        <w:t>Skeletonema</w:t>
      </w:r>
      <w:proofErr w:type="spellEnd"/>
      <w:r>
        <w:rPr>
          <w:rFonts w:ascii="Arial" w:hAnsi="Arial" w:cs="Arial"/>
          <w:color w:val="000000" w:themeColor="text1"/>
          <w:sz w:val="18"/>
          <w:szCs w:val="18"/>
          <w:lang w:val="en-ID"/>
        </w:rPr>
        <w:t xml:space="preserve"> (</w:t>
      </w:r>
      <w:proofErr w:type="spellStart"/>
      <w:r>
        <w:rPr>
          <w:rFonts w:ascii="Arial" w:hAnsi="Arial" w:cs="Arial"/>
          <w:color w:val="000000" w:themeColor="text1"/>
          <w:sz w:val="18"/>
          <w:szCs w:val="18"/>
          <w:lang w:val="en-ID"/>
        </w:rPr>
        <w:t>Sidabutar</w:t>
      </w:r>
      <w:proofErr w:type="spellEnd"/>
      <w:r>
        <w:rPr>
          <w:rFonts w:ascii="Arial" w:hAnsi="Arial" w:cs="Arial"/>
          <w:color w:val="000000" w:themeColor="text1"/>
          <w:sz w:val="18"/>
          <w:szCs w:val="18"/>
          <w:lang w:val="en-ID"/>
        </w:rPr>
        <w:t xml:space="preserve"> &amp; </w:t>
      </w:r>
      <w:proofErr w:type="spellStart"/>
      <w:r>
        <w:rPr>
          <w:rFonts w:ascii="Arial" w:hAnsi="Arial" w:cs="Arial"/>
          <w:color w:val="000000" w:themeColor="text1"/>
          <w:sz w:val="18"/>
          <w:szCs w:val="18"/>
          <w:lang w:val="en-ID"/>
        </w:rPr>
        <w:t>Srimariana</w:t>
      </w:r>
      <w:proofErr w:type="spellEnd"/>
      <w:r>
        <w:rPr>
          <w:rFonts w:ascii="Arial" w:hAnsi="Arial" w:cs="Arial"/>
          <w:color w:val="000000" w:themeColor="text1"/>
          <w:sz w:val="18"/>
          <w:szCs w:val="18"/>
          <w:lang w:val="en-ID"/>
        </w:rPr>
        <w:t xml:space="preserve">, 2020; </w:t>
      </w:r>
      <w:proofErr w:type="spellStart"/>
      <w:r>
        <w:rPr>
          <w:rFonts w:ascii="Arial" w:hAnsi="Arial" w:cs="Arial"/>
          <w:color w:val="000000" w:themeColor="text1"/>
          <w:sz w:val="18"/>
          <w:szCs w:val="18"/>
          <w:lang w:val="en-ID"/>
        </w:rPr>
        <w:t>Wijayanti</w:t>
      </w:r>
      <w:proofErr w:type="spellEnd"/>
      <w:r>
        <w:rPr>
          <w:rFonts w:ascii="Arial" w:hAnsi="Arial" w:cs="Arial"/>
          <w:color w:val="000000" w:themeColor="text1"/>
          <w:sz w:val="18"/>
          <w:szCs w:val="18"/>
          <w:lang w:val="en-ID"/>
        </w:rPr>
        <w:t xml:space="preserve"> et al., 2025). At the same time, consistently low phosphate levels suggest P limitation during peak productivity, supporting the dominance of opportunistic taxa that thrive under nutrient pulse conditions typical of eutrophic bays (</w:t>
      </w:r>
      <w:proofErr w:type="spellStart"/>
      <w:r>
        <w:rPr>
          <w:rFonts w:ascii="Arial" w:hAnsi="Arial" w:cs="Arial"/>
          <w:color w:val="000000" w:themeColor="text1"/>
          <w:sz w:val="18"/>
          <w:szCs w:val="18"/>
          <w:lang w:val="en-ID"/>
        </w:rPr>
        <w:t>Glibert</w:t>
      </w:r>
      <w:proofErr w:type="spellEnd"/>
      <w:r>
        <w:rPr>
          <w:rFonts w:ascii="Arial" w:hAnsi="Arial" w:cs="Arial"/>
          <w:color w:val="000000" w:themeColor="text1"/>
          <w:sz w:val="18"/>
          <w:szCs w:val="18"/>
          <w:lang w:val="en-ID"/>
        </w:rPr>
        <w:t xml:space="preserve">, 2020). Over time, this imbalance can destabilize the ecosystem by increasing HAB frequency, worsening hypoxia, and reducing biodiversity. Therefore, Figure 8 not only records the chemical signal of nutrient enrichment but also shows the ecological feedback loop </w:t>
      </w:r>
      <w:r w:rsidR="001C2B2B">
        <w:rPr>
          <w:rFonts w:ascii="Arial" w:hAnsi="Arial" w:cs="Arial"/>
          <w:color w:val="000000" w:themeColor="text1"/>
          <w:sz w:val="18"/>
          <w:szCs w:val="18"/>
          <w:lang w:val="en-ID"/>
        </w:rPr>
        <w:t xml:space="preserve">among nutrient inputs, phytoplankton dynamics, and the ongoing </w:t>
      </w:r>
      <w:r>
        <w:rPr>
          <w:rFonts w:ascii="Arial" w:hAnsi="Arial" w:cs="Arial"/>
          <w:color w:val="000000" w:themeColor="text1"/>
          <w:sz w:val="18"/>
          <w:szCs w:val="18"/>
          <w:lang w:val="en-ID"/>
        </w:rPr>
        <w:t>eutrophication in Jakarta Bay.</w:t>
      </w:r>
    </w:p>
    <w:p w14:paraId="6434951E" w14:textId="77777777" w:rsidR="00B7771E" w:rsidRDefault="00B7771E" w:rsidP="00B27000">
      <w:pPr>
        <w:spacing w:after="0" w:line="240" w:lineRule="auto"/>
        <w:jc w:val="both"/>
        <w:rPr>
          <w:rFonts w:ascii="Arial" w:hAnsi="Arial" w:cs="Arial"/>
          <w:color w:val="000000" w:themeColor="text1"/>
          <w:sz w:val="18"/>
          <w:szCs w:val="18"/>
          <w:lang w:val="en-ID"/>
        </w:rPr>
      </w:pPr>
    </w:p>
    <w:p w14:paraId="3D92334B" w14:textId="77777777" w:rsidR="009D5FEB" w:rsidRDefault="009D5FEB" w:rsidP="00B27000">
      <w:pPr>
        <w:spacing w:after="0" w:line="240" w:lineRule="auto"/>
        <w:jc w:val="both"/>
        <w:rPr>
          <w:rFonts w:ascii="Arial" w:hAnsi="Arial" w:cs="Arial"/>
          <w:color w:val="000000" w:themeColor="text1"/>
          <w:sz w:val="18"/>
          <w:szCs w:val="18"/>
          <w:lang w:val="en-ID"/>
        </w:rPr>
      </w:pPr>
    </w:p>
    <w:p w14:paraId="6571CAEC" w14:textId="389D7E00" w:rsidR="009D5FEB" w:rsidRDefault="009D5FEB" w:rsidP="00B7771E">
      <w:pPr>
        <w:spacing w:after="0" w:line="240" w:lineRule="auto"/>
        <w:jc w:val="both"/>
        <w:rPr>
          <w:rFonts w:ascii="Arial" w:hAnsi="Arial" w:cs="Arial"/>
          <w:color w:val="000000" w:themeColor="text1"/>
          <w:sz w:val="18"/>
          <w:szCs w:val="18"/>
          <w:lang w:val="en-ID"/>
        </w:rPr>
      </w:pPr>
      <w:r w:rsidRPr="00F1570C">
        <w:rPr>
          <w:rFonts w:ascii="Arial" w:hAnsi="Arial" w:cs="Arial"/>
          <w:noProof/>
          <w:color w:val="000000" w:themeColor="text1"/>
          <w:sz w:val="18"/>
          <w:szCs w:val="18"/>
        </w:rPr>
        <w:lastRenderedPageBreak/>
        <w:drawing>
          <wp:anchor distT="0" distB="0" distL="114300" distR="114300" simplePos="0" relativeHeight="251727360" behindDoc="0" locked="0" layoutInCell="1" allowOverlap="1" wp14:anchorId="7A3B3296" wp14:editId="29D1F154">
            <wp:simplePos x="0" y="0"/>
            <wp:positionH relativeFrom="column">
              <wp:posOffset>147320</wp:posOffset>
            </wp:positionH>
            <wp:positionV relativeFrom="paragraph">
              <wp:posOffset>95738</wp:posOffset>
            </wp:positionV>
            <wp:extent cx="3979545" cy="2204720"/>
            <wp:effectExtent l="0" t="0" r="1905" b="5080"/>
            <wp:wrapSquare wrapText="bothSides"/>
            <wp:docPr id="525806268" name="Picture 2" descr="A graph of different types of substances&#10;&#10;AI-generated content may be incorrect.">
              <a:extLst xmlns:a="http://schemas.openxmlformats.org/drawingml/2006/main">
                <a:ext uri="{FF2B5EF4-FFF2-40B4-BE49-F238E27FC236}">
                  <a16:creationId xmlns:a16="http://schemas.microsoft.com/office/drawing/2014/main" id="{7F855E61-FB96-D235-D78F-C5F4AD448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06268" name="Picture 2" descr="A graph of different types of substances&#10;&#10;AI-generated content may be incorrect.">
                      <a:extLst>
                        <a:ext uri="{FF2B5EF4-FFF2-40B4-BE49-F238E27FC236}">
                          <a16:creationId xmlns:a16="http://schemas.microsoft.com/office/drawing/2014/main" id="{7F855E61-FB96-D235-D78F-C5F4AD44876B}"/>
                        </a:ext>
                      </a:extLst>
                    </pic:cNvPr>
                    <pic:cNvPicPr>
                      <a:picLocks noChangeAspect="1"/>
                    </pic:cNvPicPr>
                  </pic:nvPicPr>
                  <pic:blipFill>
                    <a:blip r:embed="rId16"/>
                    <a:stretch>
                      <a:fillRect/>
                    </a:stretch>
                  </pic:blipFill>
                  <pic:spPr>
                    <a:xfrm>
                      <a:off x="0" y="0"/>
                      <a:ext cx="3979545" cy="2204720"/>
                    </a:xfrm>
                    <a:prstGeom prst="rect">
                      <a:avLst/>
                    </a:prstGeom>
                  </pic:spPr>
                </pic:pic>
              </a:graphicData>
            </a:graphic>
            <wp14:sizeRelH relativeFrom="margin">
              <wp14:pctWidth>0</wp14:pctWidth>
            </wp14:sizeRelH>
            <wp14:sizeRelV relativeFrom="margin">
              <wp14:pctHeight>0</wp14:pctHeight>
            </wp14:sizeRelV>
          </wp:anchor>
        </w:drawing>
      </w:r>
    </w:p>
    <w:p w14:paraId="02D467DF" w14:textId="3D7ADBFD" w:rsidR="009D5FEB" w:rsidRPr="00B7771E" w:rsidRDefault="009D5FEB" w:rsidP="00B7771E">
      <w:pPr>
        <w:spacing w:after="0" w:line="240" w:lineRule="auto"/>
        <w:jc w:val="both"/>
        <w:rPr>
          <w:rFonts w:ascii="Arial" w:hAnsi="Arial" w:cs="Arial"/>
          <w:color w:val="000000" w:themeColor="text1"/>
          <w:sz w:val="18"/>
          <w:szCs w:val="18"/>
          <w:lang w:val="en-ID"/>
        </w:rPr>
      </w:pPr>
    </w:p>
    <w:p w14:paraId="6C597BEB" w14:textId="6CE45CA1" w:rsidR="00CD4393" w:rsidRPr="00F1570C" w:rsidRDefault="00AD343B" w:rsidP="00CD4393">
      <w:pPr>
        <w:spacing w:after="0" w:line="240" w:lineRule="auto"/>
        <w:jc w:val="both"/>
        <w:rPr>
          <w:rFonts w:ascii="Arial" w:hAnsi="Arial" w:cs="Arial"/>
          <w:color w:val="000000" w:themeColor="text1"/>
          <w:sz w:val="18"/>
          <w:szCs w:val="18"/>
        </w:rPr>
      </w:pPr>
      <w:r w:rsidRPr="00F1570C">
        <w:rPr>
          <w:rFonts w:ascii="Arial" w:hAnsi="Arial" w:cs="Arial"/>
          <w:b/>
          <w:bCs/>
          <w:color w:val="000000" w:themeColor="text1"/>
          <w:sz w:val="18"/>
          <w:szCs w:val="18"/>
        </w:rPr>
        <w:t>Fig</w:t>
      </w:r>
      <w:r w:rsidR="00543E27" w:rsidRPr="00F1570C">
        <w:rPr>
          <w:rFonts w:ascii="Arial" w:hAnsi="Arial" w:cs="Arial"/>
          <w:b/>
          <w:bCs/>
          <w:color w:val="000000" w:themeColor="text1"/>
          <w:sz w:val="18"/>
          <w:szCs w:val="18"/>
        </w:rPr>
        <w:t>ure</w:t>
      </w:r>
      <w:r w:rsidRPr="00F1570C">
        <w:rPr>
          <w:rFonts w:ascii="Arial" w:hAnsi="Arial" w:cs="Arial"/>
          <w:b/>
          <w:bCs/>
          <w:color w:val="000000" w:themeColor="text1"/>
          <w:sz w:val="18"/>
          <w:szCs w:val="18"/>
        </w:rPr>
        <w:t xml:space="preserve"> </w:t>
      </w:r>
      <w:r w:rsidR="009D5FEB">
        <w:rPr>
          <w:rFonts w:ascii="Arial" w:hAnsi="Arial" w:cs="Arial"/>
          <w:b/>
          <w:bCs/>
          <w:color w:val="000000" w:themeColor="text1"/>
          <w:sz w:val="18"/>
          <w:szCs w:val="18"/>
        </w:rPr>
        <w:t>9</w:t>
      </w:r>
      <w:r w:rsidRPr="00F1570C">
        <w:rPr>
          <w:rFonts w:ascii="Arial" w:hAnsi="Arial" w:cs="Arial"/>
          <w:color w:val="000000" w:themeColor="text1"/>
          <w:sz w:val="18"/>
          <w:szCs w:val="18"/>
        </w:rPr>
        <w:t xml:space="preserve">. </w:t>
      </w:r>
      <w:r w:rsidR="00FF113F" w:rsidRPr="00F1570C">
        <w:rPr>
          <w:rFonts w:ascii="Arial" w:hAnsi="Arial" w:cs="Arial"/>
          <w:color w:val="000000" w:themeColor="text1"/>
          <w:sz w:val="18"/>
          <w:szCs w:val="18"/>
        </w:rPr>
        <w:t>Temporal trends in phosphate (PO</w:t>
      </w:r>
      <w:r w:rsidR="00FF113F" w:rsidRPr="00F1570C">
        <w:rPr>
          <w:rFonts w:ascii="Cambria Math" w:hAnsi="Cambria Math" w:cs="Cambria Math"/>
          <w:color w:val="000000" w:themeColor="text1"/>
          <w:sz w:val="18"/>
          <w:szCs w:val="18"/>
        </w:rPr>
        <w:t>₄</w:t>
      </w:r>
      <w:r w:rsidR="00FF113F" w:rsidRPr="00F1570C">
        <w:rPr>
          <w:rFonts w:ascii="Arial" w:hAnsi="Arial" w:cs="Arial"/>
          <w:color w:val="000000" w:themeColor="text1"/>
          <w:sz w:val="18"/>
          <w:szCs w:val="18"/>
        </w:rPr>
        <w:t>³</w:t>
      </w:r>
      <w:r w:rsidR="00FF113F" w:rsidRPr="00F1570C">
        <w:rPr>
          <w:rFonts w:ascii="Cambria Math" w:hAnsi="Cambria Math" w:cs="Cambria Math"/>
          <w:color w:val="000000" w:themeColor="text1"/>
          <w:sz w:val="18"/>
          <w:szCs w:val="18"/>
        </w:rPr>
        <w:t>⁻</w:t>
      </w:r>
      <w:r w:rsidR="00FF113F" w:rsidRPr="00F1570C">
        <w:rPr>
          <w:rFonts w:ascii="Arial" w:hAnsi="Arial" w:cs="Arial"/>
          <w:color w:val="000000" w:themeColor="text1"/>
          <w:sz w:val="18"/>
          <w:szCs w:val="18"/>
        </w:rPr>
        <w:t>) and nitrate (NO</w:t>
      </w:r>
      <w:r w:rsidR="00FF113F" w:rsidRPr="00F1570C">
        <w:rPr>
          <w:rFonts w:ascii="Cambria Math" w:hAnsi="Cambria Math" w:cs="Cambria Math"/>
          <w:color w:val="000000" w:themeColor="text1"/>
          <w:sz w:val="18"/>
          <w:szCs w:val="18"/>
        </w:rPr>
        <w:t>₃⁻</w:t>
      </w:r>
      <w:r w:rsidR="00FF113F" w:rsidRPr="00F1570C">
        <w:rPr>
          <w:rFonts w:ascii="Arial" w:hAnsi="Arial" w:cs="Arial"/>
          <w:color w:val="000000" w:themeColor="text1"/>
          <w:sz w:val="18"/>
          <w:szCs w:val="18"/>
        </w:rPr>
        <w:t>) concentrations</w:t>
      </w:r>
    </w:p>
    <w:p w14:paraId="1657CBD6" w14:textId="6CF2C5DC" w:rsidR="00CD4393" w:rsidRPr="00F1570C" w:rsidRDefault="00CD4393" w:rsidP="00CD4393">
      <w:pPr>
        <w:spacing w:after="0" w:line="240" w:lineRule="auto"/>
        <w:ind w:firstLine="720"/>
        <w:jc w:val="both"/>
        <w:rPr>
          <w:rFonts w:ascii="Arial" w:hAnsi="Arial" w:cs="Arial"/>
          <w:i/>
          <w:iCs/>
          <w:color w:val="000000" w:themeColor="text1"/>
          <w:sz w:val="18"/>
          <w:szCs w:val="18"/>
        </w:rPr>
      </w:pPr>
      <w:r w:rsidRPr="00F1570C">
        <w:rPr>
          <w:rFonts w:ascii="Arial" w:hAnsi="Arial" w:cs="Arial"/>
          <w:color w:val="000000" w:themeColor="text1"/>
          <w:sz w:val="18"/>
          <w:szCs w:val="18"/>
        </w:rPr>
        <w:t xml:space="preserve"> </w:t>
      </w:r>
      <w:r w:rsidR="00FF113F" w:rsidRPr="00F1570C">
        <w:rPr>
          <w:rFonts w:ascii="Arial" w:hAnsi="Arial" w:cs="Arial"/>
          <w:color w:val="000000" w:themeColor="text1"/>
          <w:sz w:val="18"/>
          <w:szCs w:val="18"/>
        </w:rPr>
        <w:t>in Jakarta Bay (2008–2019).</w:t>
      </w:r>
      <w:r w:rsidRPr="00F1570C">
        <w:rPr>
          <w:rFonts w:ascii="Arial" w:hAnsi="Arial" w:cs="Arial"/>
          <w:color w:val="000000" w:themeColor="text1"/>
          <w:sz w:val="18"/>
          <w:szCs w:val="18"/>
        </w:rPr>
        <w:t xml:space="preserve"> </w:t>
      </w:r>
      <w:r w:rsidRPr="00F1570C">
        <w:rPr>
          <w:rFonts w:ascii="Arial" w:hAnsi="Arial" w:cs="Arial"/>
          <w:i/>
          <w:iCs/>
          <w:color w:val="000000" w:themeColor="text1"/>
          <w:sz w:val="18"/>
          <w:szCs w:val="18"/>
        </w:rPr>
        <w:t>This figure shows episodic but recurrent</w:t>
      </w:r>
    </w:p>
    <w:p w14:paraId="72D10E14" w14:textId="563869B9" w:rsidR="00CD4393" w:rsidRPr="00F1570C" w:rsidRDefault="00CD4393" w:rsidP="00CD4393">
      <w:pPr>
        <w:spacing w:after="0" w:line="240" w:lineRule="auto"/>
        <w:ind w:firstLine="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nitrate peaks</w:t>
      </w:r>
      <w:r w:rsidR="00B7771E">
        <w:rPr>
          <w:rFonts w:ascii="Arial" w:hAnsi="Arial" w:cs="Arial"/>
          <w:i/>
          <w:iCs/>
          <w:color w:val="000000" w:themeColor="text1"/>
          <w:sz w:val="18"/>
          <w:szCs w:val="18"/>
        </w:rPr>
        <w:t xml:space="preserve">, </w:t>
      </w:r>
      <w:r w:rsidRPr="00F1570C">
        <w:rPr>
          <w:rFonts w:ascii="Arial" w:hAnsi="Arial" w:cs="Arial"/>
          <w:i/>
          <w:iCs/>
          <w:color w:val="000000" w:themeColor="text1"/>
          <w:sz w:val="18"/>
          <w:szCs w:val="18"/>
        </w:rPr>
        <w:t>particularly in 2010, 2013, and 2015</w:t>
      </w:r>
      <w:r w:rsidR="00B7771E">
        <w:rPr>
          <w:rFonts w:ascii="Arial" w:hAnsi="Arial" w:cs="Arial"/>
          <w:i/>
          <w:iCs/>
          <w:color w:val="000000" w:themeColor="text1"/>
          <w:sz w:val="18"/>
          <w:szCs w:val="18"/>
        </w:rPr>
        <w:t xml:space="preserve">, </w:t>
      </w:r>
      <w:r w:rsidRPr="00F1570C">
        <w:rPr>
          <w:rFonts w:ascii="Arial" w:hAnsi="Arial" w:cs="Arial"/>
          <w:i/>
          <w:iCs/>
          <w:color w:val="000000" w:themeColor="text1"/>
          <w:sz w:val="18"/>
          <w:szCs w:val="18"/>
        </w:rPr>
        <w:t>associated with</w:t>
      </w:r>
    </w:p>
    <w:p w14:paraId="6D7F2010" w14:textId="57FD2E65" w:rsidR="008C5A22" w:rsidRPr="00F1570C" w:rsidRDefault="00CD4393" w:rsidP="00B27000">
      <w:pPr>
        <w:spacing w:after="0" w:line="240" w:lineRule="auto"/>
        <w:ind w:firstLine="720"/>
        <w:jc w:val="both"/>
        <w:rPr>
          <w:rFonts w:ascii="Arial" w:hAnsi="Arial" w:cs="Arial"/>
          <w:i/>
          <w:iCs/>
          <w:color w:val="000000" w:themeColor="text1"/>
          <w:sz w:val="18"/>
          <w:szCs w:val="18"/>
        </w:rPr>
      </w:pPr>
      <w:r w:rsidRPr="00F1570C">
        <w:rPr>
          <w:rFonts w:ascii="Arial" w:hAnsi="Arial" w:cs="Arial"/>
          <w:i/>
          <w:iCs/>
          <w:color w:val="000000" w:themeColor="text1"/>
          <w:sz w:val="18"/>
          <w:szCs w:val="18"/>
        </w:rPr>
        <w:t xml:space="preserve"> monsoon-driven runoff and urban wastewater inputs.</w:t>
      </w:r>
    </w:p>
    <w:p w14:paraId="0FA53809" w14:textId="77777777" w:rsidR="009D5FEB" w:rsidRDefault="009D5FEB" w:rsidP="008C5A22">
      <w:pPr>
        <w:spacing w:after="0" w:line="240" w:lineRule="auto"/>
        <w:jc w:val="both"/>
        <w:rPr>
          <w:rFonts w:ascii="Arial" w:hAnsi="Arial" w:cs="Arial"/>
          <w:color w:val="000000" w:themeColor="text1"/>
          <w:sz w:val="18"/>
          <w:szCs w:val="18"/>
          <w:lang w:val="en-ID"/>
        </w:rPr>
      </w:pPr>
    </w:p>
    <w:p w14:paraId="2B7F9122" w14:textId="77777777" w:rsidR="009D5FEB" w:rsidRPr="00F1570C" w:rsidRDefault="009D5FEB" w:rsidP="009D5FEB">
      <w:pPr>
        <w:spacing w:after="0" w:line="240" w:lineRule="auto"/>
        <w:jc w:val="both"/>
        <w:rPr>
          <w:rFonts w:ascii="Arial" w:hAnsi="Arial" w:cs="Arial"/>
          <w:b/>
          <w:bCs/>
          <w:color w:val="000000" w:themeColor="text1"/>
          <w:sz w:val="18"/>
          <w:szCs w:val="18"/>
          <w:lang w:val="en-ID"/>
        </w:rPr>
      </w:pPr>
      <w:r w:rsidRPr="00F1570C">
        <w:rPr>
          <w:rFonts w:ascii="Arial" w:hAnsi="Arial" w:cs="Arial"/>
          <w:b/>
          <w:bCs/>
          <w:color w:val="000000" w:themeColor="text1"/>
          <w:sz w:val="18"/>
          <w:szCs w:val="18"/>
        </w:rPr>
        <w:t>3.</w:t>
      </w:r>
      <w:r>
        <w:rPr>
          <w:rFonts w:ascii="Arial" w:hAnsi="Arial" w:cs="Arial"/>
          <w:b/>
          <w:bCs/>
          <w:color w:val="000000" w:themeColor="text1"/>
          <w:sz w:val="18"/>
          <w:szCs w:val="18"/>
        </w:rPr>
        <w:t>10</w:t>
      </w:r>
      <w:r w:rsidRPr="00F1570C">
        <w:rPr>
          <w:rFonts w:ascii="Arial" w:hAnsi="Arial" w:cs="Arial"/>
          <w:b/>
          <w:bCs/>
          <w:color w:val="000000" w:themeColor="text1"/>
          <w:sz w:val="18"/>
          <w:szCs w:val="18"/>
        </w:rPr>
        <w:t xml:space="preserve"> Variability of N:P and N:Si Ratios and  Ecological Implications</w:t>
      </w:r>
    </w:p>
    <w:p w14:paraId="57EF8544" w14:textId="77777777" w:rsidR="009D5FEB" w:rsidRPr="00F1570C" w:rsidRDefault="009D5FEB" w:rsidP="009D5FEB">
      <w:pPr>
        <w:spacing w:after="0" w:line="240" w:lineRule="auto"/>
        <w:jc w:val="both"/>
        <w:rPr>
          <w:rFonts w:ascii="Arial" w:hAnsi="Arial" w:cs="Arial"/>
          <w:color w:val="000000" w:themeColor="text1"/>
          <w:sz w:val="18"/>
          <w:szCs w:val="18"/>
          <w:lang w:val="en-ID"/>
        </w:rPr>
      </w:pPr>
    </w:p>
    <w:p w14:paraId="1AD85939" w14:textId="3211A084" w:rsidR="009D5FEB" w:rsidRPr="00F1570C" w:rsidRDefault="00C41B01" w:rsidP="009D5FEB">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Table 3 and </w:t>
      </w:r>
      <w:r w:rsidR="001C2B2B">
        <w:rPr>
          <w:rFonts w:ascii="Arial" w:hAnsi="Arial" w:cs="Arial"/>
          <w:color w:val="000000" w:themeColor="text1"/>
          <w:sz w:val="18"/>
          <w:szCs w:val="18"/>
          <w:lang w:val="en-ID"/>
        </w:rPr>
        <w:t>Figure</w:t>
      </w:r>
      <w:r>
        <w:rPr>
          <w:rFonts w:ascii="Arial" w:hAnsi="Arial" w:cs="Arial"/>
          <w:color w:val="000000" w:themeColor="text1"/>
          <w:sz w:val="18"/>
          <w:szCs w:val="18"/>
          <w:lang w:val="en-ID"/>
        </w:rPr>
        <w:t xml:space="preserve"> 10 show that nutrient levels and their ratios in Jakarta Bay change a lot over time, revealing a clear imbalance among nitrogen, phosphorus, and silicon. Nitrate (NO</w:t>
      </w:r>
      <w:r>
        <w:rPr>
          <w:rFonts w:ascii="Cambria Math" w:hAnsi="Cambria Math" w:cs="Cambria Math"/>
          <w:color w:val="000000" w:themeColor="text1"/>
          <w:sz w:val="18"/>
          <w:szCs w:val="18"/>
          <w:lang w:val="en-ID"/>
        </w:rPr>
        <w:t>₃⁻</w:t>
      </w:r>
      <w:r>
        <w:rPr>
          <w:rFonts w:ascii="Arial" w:hAnsi="Arial" w:cs="Arial"/>
          <w:color w:val="000000" w:themeColor="text1"/>
          <w:sz w:val="18"/>
          <w:szCs w:val="18"/>
          <w:lang w:val="en-ID"/>
        </w:rPr>
        <w:t>) has the widest range (1.50–67.38 µg/L) and the highest average (4.80 µg/L), indicating ongoing nitrogen input from land sources. Phosphate (PO</w:t>
      </w:r>
      <w:r>
        <w:rPr>
          <w:rFonts w:ascii="Cambria Math" w:hAnsi="Cambria Math" w:cs="Cambria Math"/>
          <w:color w:val="000000" w:themeColor="text1"/>
          <w:sz w:val="18"/>
          <w:szCs w:val="18"/>
          <w:lang w:val="en-ID"/>
        </w:rPr>
        <w:t>₄</w:t>
      </w:r>
      <w:r>
        <w:rPr>
          <w:rFonts w:ascii="Arial" w:hAnsi="Arial" w:cs="Arial"/>
          <w:color w:val="000000" w:themeColor="text1"/>
          <w:sz w:val="18"/>
          <w:szCs w:val="18"/>
          <w:lang w:val="en-ID"/>
        </w:rPr>
        <w:t>³</w:t>
      </w:r>
      <w:r>
        <w:rPr>
          <w:rFonts w:ascii="Cambria Math" w:hAnsi="Cambria Math" w:cs="Cambria Math"/>
          <w:color w:val="000000" w:themeColor="text1"/>
          <w:sz w:val="18"/>
          <w:szCs w:val="18"/>
          <w:lang w:val="en-ID"/>
        </w:rPr>
        <w:t>⁻</w:t>
      </w:r>
      <w:r>
        <w:rPr>
          <w:rFonts w:ascii="Arial" w:hAnsi="Arial" w:cs="Arial"/>
          <w:color w:val="000000" w:themeColor="text1"/>
          <w:sz w:val="18"/>
          <w:szCs w:val="18"/>
          <w:lang w:val="en-ID"/>
        </w:rPr>
        <w:t>), however, remains low (average 1.08 µg/L), suggesting chronic phosphorus limitation. Silicate (</w:t>
      </w:r>
      <w:proofErr w:type="spellStart"/>
      <w:r>
        <w:rPr>
          <w:rFonts w:ascii="Arial" w:hAnsi="Arial" w:cs="Arial"/>
          <w:color w:val="000000" w:themeColor="text1"/>
          <w:sz w:val="18"/>
          <w:szCs w:val="18"/>
          <w:lang w:val="en-ID"/>
        </w:rPr>
        <w:t>SiO</w:t>
      </w:r>
      <w:proofErr w:type="spellEnd"/>
      <w:r>
        <w:rPr>
          <w:rFonts w:ascii="Cambria Math" w:hAnsi="Cambria Math" w:cs="Cambria Math"/>
          <w:color w:val="000000" w:themeColor="text1"/>
          <w:sz w:val="18"/>
          <w:szCs w:val="18"/>
          <w:lang w:val="en-ID"/>
        </w:rPr>
        <w:t>₃</w:t>
      </w:r>
      <w:r>
        <w:rPr>
          <w:rFonts w:ascii="Arial" w:hAnsi="Arial" w:cs="Arial"/>
          <w:color w:val="000000" w:themeColor="text1"/>
          <w:sz w:val="18"/>
          <w:szCs w:val="18"/>
          <w:lang w:val="en-ID"/>
        </w:rPr>
        <w:t>) levels are consistently higher (1.75–151.83 µg/L; average 35.85 µg/L), reflecting continuous supply from watershed runoff and sediment resuspension. Ammonia (NH</w:t>
      </w:r>
      <w:r>
        <w:rPr>
          <w:rFonts w:ascii="Cambria Math" w:hAnsi="Cambria Math" w:cs="Cambria Math"/>
          <w:color w:val="000000" w:themeColor="text1"/>
          <w:sz w:val="18"/>
          <w:szCs w:val="18"/>
          <w:lang w:val="en-ID"/>
        </w:rPr>
        <w:t>₃</w:t>
      </w:r>
      <w:r>
        <w:rPr>
          <w:rFonts w:ascii="Arial" w:hAnsi="Arial" w:cs="Arial"/>
          <w:color w:val="000000" w:themeColor="text1"/>
          <w:sz w:val="18"/>
          <w:szCs w:val="18"/>
          <w:lang w:val="en-ID"/>
        </w:rPr>
        <w:t xml:space="preserve">) contributes moderately to the nitrogen pool (0.46–8.99 µg/L), further emphasizing nitrogen dominance. These patterns align with an unbalanced nutrient system </w:t>
      </w:r>
      <w:r w:rsidR="001C2B2B">
        <w:rPr>
          <w:rFonts w:ascii="Arial" w:hAnsi="Arial" w:cs="Arial"/>
          <w:color w:val="000000" w:themeColor="text1"/>
          <w:sz w:val="18"/>
          <w:szCs w:val="18"/>
          <w:lang w:val="en-ID"/>
        </w:rPr>
        <w:t>in which nitrogen is abundant, phosphorus is limited, and silicon remains</w:t>
      </w:r>
      <w:r>
        <w:rPr>
          <w:rFonts w:ascii="Arial" w:hAnsi="Arial" w:cs="Arial"/>
          <w:color w:val="000000" w:themeColor="text1"/>
          <w:sz w:val="18"/>
          <w:szCs w:val="18"/>
          <w:lang w:val="en-ID"/>
        </w:rPr>
        <w:t xml:space="preserve"> sufficiently available to support diatom growth.</w:t>
      </w:r>
    </w:p>
    <w:p w14:paraId="78E3992D" w14:textId="77777777" w:rsidR="009D5FEB" w:rsidRPr="00F1570C" w:rsidRDefault="009D5FEB" w:rsidP="009D5FEB">
      <w:pPr>
        <w:spacing w:after="0" w:line="240" w:lineRule="auto"/>
        <w:jc w:val="both"/>
        <w:rPr>
          <w:rFonts w:ascii="Arial" w:hAnsi="Arial" w:cs="Arial"/>
          <w:color w:val="000000" w:themeColor="text1"/>
          <w:sz w:val="18"/>
          <w:szCs w:val="18"/>
          <w:lang w:val="en-ID"/>
        </w:rPr>
      </w:pPr>
    </w:p>
    <w:p w14:paraId="221C1C8A" w14:textId="0C69CEFC" w:rsidR="009D5FEB" w:rsidRDefault="00C41B01" w:rsidP="008C5A22">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The N/P ratios, which range from 0.66 to 47.38, often surpass the Redfield threshold of 16:1, indicating conditions </w:t>
      </w:r>
      <w:proofErr w:type="spellStart"/>
      <w:r>
        <w:rPr>
          <w:rFonts w:ascii="Arial" w:hAnsi="Arial" w:cs="Arial"/>
          <w:color w:val="000000" w:themeColor="text1"/>
          <w:sz w:val="18"/>
          <w:szCs w:val="18"/>
          <w:lang w:val="en-ID"/>
        </w:rPr>
        <w:t>favorable</w:t>
      </w:r>
      <w:proofErr w:type="spellEnd"/>
      <w:r>
        <w:rPr>
          <w:rFonts w:ascii="Arial" w:hAnsi="Arial" w:cs="Arial"/>
          <w:color w:val="000000" w:themeColor="text1"/>
          <w:sz w:val="18"/>
          <w:szCs w:val="18"/>
          <w:lang w:val="en-ID"/>
        </w:rPr>
        <w:t xml:space="preserve"> for bloom formation when nitrogen exceeds phosphorus (</w:t>
      </w:r>
      <w:proofErr w:type="spellStart"/>
      <w:r>
        <w:rPr>
          <w:rFonts w:ascii="Arial" w:hAnsi="Arial" w:cs="Arial"/>
          <w:color w:val="000000" w:themeColor="text1"/>
          <w:sz w:val="18"/>
          <w:szCs w:val="18"/>
          <w:lang w:val="en-ID"/>
        </w:rPr>
        <w:t>Damar</w:t>
      </w:r>
      <w:proofErr w:type="spellEnd"/>
      <w:r>
        <w:rPr>
          <w:rFonts w:ascii="Arial" w:hAnsi="Arial" w:cs="Arial"/>
          <w:color w:val="000000" w:themeColor="text1"/>
          <w:sz w:val="18"/>
          <w:szCs w:val="18"/>
          <w:lang w:val="en-ID"/>
        </w:rPr>
        <w:t xml:space="preserve"> et al., 2020). Lower ratios, sometimes below 1, imply periods of nitrogen depletion or increased phosphorus supply, which coincide with decreased phytoplankton productivity (</w:t>
      </w:r>
      <w:proofErr w:type="spellStart"/>
      <w:r>
        <w:rPr>
          <w:rFonts w:ascii="Arial" w:hAnsi="Arial" w:cs="Arial"/>
          <w:color w:val="000000" w:themeColor="text1"/>
          <w:sz w:val="18"/>
          <w:szCs w:val="18"/>
          <w:lang w:val="en-ID"/>
        </w:rPr>
        <w:t>Sidabutar</w:t>
      </w:r>
      <w:proofErr w:type="spellEnd"/>
      <w:r>
        <w:rPr>
          <w:rFonts w:ascii="Arial" w:hAnsi="Arial" w:cs="Arial"/>
          <w:color w:val="000000" w:themeColor="text1"/>
          <w:sz w:val="18"/>
          <w:szCs w:val="18"/>
          <w:lang w:val="en-ID"/>
        </w:rPr>
        <w:t xml:space="preserve"> &amp; </w:t>
      </w:r>
      <w:proofErr w:type="spellStart"/>
      <w:r>
        <w:rPr>
          <w:rFonts w:ascii="Arial" w:hAnsi="Arial" w:cs="Arial"/>
          <w:color w:val="000000" w:themeColor="text1"/>
          <w:sz w:val="18"/>
          <w:szCs w:val="18"/>
          <w:lang w:val="en-ID"/>
        </w:rPr>
        <w:t>Srimariana</w:t>
      </w:r>
      <w:proofErr w:type="spellEnd"/>
      <w:r>
        <w:rPr>
          <w:rFonts w:ascii="Arial" w:hAnsi="Arial" w:cs="Arial"/>
          <w:color w:val="000000" w:themeColor="text1"/>
          <w:sz w:val="18"/>
          <w:szCs w:val="18"/>
          <w:lang w:val="en-ID"/>
        </w:rPr>
        <w:t>, 2020). These variations reflect episodic nutrient pulses driven by monsoon runoff, wastewater discharge, and other human-related inputs, aligning with nutrient dynamics found in many eutrophic urban coastal systems (</w:t>
      </w:r>
      <w:proofErr w:type="spellStart"/>
      <w:r>
        <w:rPr>
          <w:rFonts w:ascii="Arial" w:hAnsi="Arial" w:cs="Arial"/>
          <w:color w:val="000000" w:themeColor="text1"/>
          <w:sz w:val="18"/>
          <w:szCs w:val="18"/>
          <w:lang w:val="en-ID"/>
        </w:rPr>
        <w:t>Puspasari</w:t>
      </w:r>
      <w:proofErr w:type="spellEnd"/>
      <w:r>
        <w:rPr>
          <w:rFonts w:ascii="Arial" w:hAnsi="Arial" w:cs="Arial"/>
          <w:color w:val="000000" w:themeColor="text1"/>
          <w:sz w:val="18"/>
          <w:szCs w:val="18"/>
          <w:lang w:val="en-ID"/>
        </w:rPr>
        <w:t xml:space="preserve"> et al., 2018). Such fluctuations suggest that nutrient limitation can change seasonally, creating </w:t>
      </w:r>
      <w:r>
        <w:rPr>
          <w:rFonts w:ascii="Arial" w:hAnsi="Arial" w:cs="Arial"/>
          <w:color w:val="000000" w:themeColor="text1"/>
          <w:sz w:val="18"/>
          <w:szCs w:val="18"/>
          <w:lang w:val="en-ID"/>
        </w:rPr>
        <w:lastRenderedPageBreak/>
        <w:t>alternating periods of nutrient stress that influence phytoplankton growth and succession.</w:t>
      </w:r>
    </w:p>
    <w:p w14:paraId="23569CC1" w14:textId="77777777" w:rsidR="009D5FEB" w:rsidRDefault="009D5FEB" w:rsidP="008C5A22">
      <w:pPr>
        <w:spacing w:after="0" w:line="240" w:lineRule="auto"/>
        <w:jc w:val="both"/>
        <w:rPr>
          <w:rFonts w:ascii="Arial" w:hAnsi="Arial" w:cs="Arial"/>
          <w:color w:val="000000" w:themeColor="text1"/>
          <w:sz w:val="18"/>
          <w:szCs w:val="18"/>
          <w:lang w:val="en-ID"/>
        </w:rPr>
      </w:pPr>
    </w:p>
    <w:p w14:paraId="52ACB37A" w14:textId="23F90ECF" w:rsidR="008C5A22" w:rsidRPr="00F1570C" w:rsidRDefault="00C41B01" w:rsidP="008C5A22">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The N/Si ratios (0.01–0.69) remain well below 1.0 during most of the study period, indicating silicon-rich conditions that promote diatom dominance. Since diatoms require dissolved silicate for frustule formation, the persistently low N/Si ratio suggests strong riverine silicate input and active vertical mixing (</w:t>
      </w:r>
      <w:proofErr w:type="spellStart"/>
      <w:r>
        <w:rPr>
          <w:rFonts w:ascii="Arial" w:hAnsi="Arial" w:cs="Arial"/>
          <w:color w:val="000000" w:themeColor="text1"/>
          <w:sz w:val="18"/>
          <w:szCs w:val="18"/>
          <w:lang w:val="en-ID"/>
        </w:rPr>
        <w:t>Heery</w:t>
      </w:r>
      <w:proofErr w:type="spellEnd"/>
      <w:r>
        <w:rPr>
          <w:rFonts w:ascii="Arial" w:hAnsi="Arial" w:cs="Arial"/>
          <w:color w:val="000000" w:themeColor="text1"/>
          <w:sz w:val="18"/>
          <w:szCs w:val="18"/>
          <w:lang w:val="en-ID"/>
        </w:rPr>
        <w:t xml:space="preserve"> et al., 2018). Only in certain years (e.g., 2009 and 2019) do N/Si ratios approach 0.66–0.69, </w:t>
      </w:r>
      <w:r w:rsidR="001C2B2B">
        <w:rPr>
          <w:rFonts w:ascii="Arial" w:hAnsi="Arial" w:cs="Arial"/>
          <w:color w:val="000000" w:themeColor="text1"/>
          <w:sz w:val="18"/>
          <w:szCs w:val="18"/>
          <w:lang w:val="en-ID"/>
        </w:rPr>
        <w:t>suggesting transitional phases in which</w:t>
      </w:r>
      <w:r>
        <w:rPr>
          <w:rFonts w:ascii="Arial" w:hAnsi="Arial" w:cs="Arial"/>
          <w:color w:val="000000" w:themeColor="text1"/>
          <w:sz w:val="18"/>
          <w:szCs w:val="18"/>
          <w:lang w:val="en-ID"/>
        </w:rPr>
        <w:t xml:space="preserve"> reduced silicate availability could enable non-siliceous groups, including dinoflagellates, to compete more effectively (</w:t>
      </w:r>
      <w:proofErr w:type="spellStart"/>
      <w:r>
        <w:rPr>
          <w:rFonts w:ascii="Arial" w:hAnsi="Arial" w:cs="Arial"/>
          <w:color w:val="000000" w:themeColor="text1"/>
          <w:sz w:val="18"/>
          <w:szCs w:val="18"/>
          <w:lang w:val="en-ID"/>
        </w:rPr>
        <w:t>Wijayanti</w:t>
      </w:r>
      <w:proofErr w:type="spellEnd"/>
      <w:r>
        <w:rPr>
          <w:rFonts w:ascii="Arial" w:hAnsi="Arial" w:cs="Arial"/>
          <w:color w:val="000000" w:themeColor="text1"/>
          <w:sz w:val="18"/>
          <w:szCs w:val="18"/>
          <w:lang w:val="en-ID"/>
        </w:rPr>
        <w:t xml:space="preserve"> et al., 2025). These transitional conditions, combined with higher N/P ratios, create ecological windows conducive to harmful algal blooms (HABs), particularly for mixotrophic and bloom-forming taxa like </w:t>
      </w:r>
      <w:proofErr w:type="spellStart"/>
      <w:r w:rsidRPr="00C41B01">
        <w:rPr>
          <w:rFonts w:ascii="Arial" w:hAnsi="Arial" w:cs="Arial"/>
          <w:i/>
          <w:iCs/>
          <w:color w:val="000000" w:themeColor="text1"/>
          <w:sz w:val="18"/>
          <w:szCs w:val="18"/>
          <w:lang w:val="en-ID"/>
        </w:rPr>
        <w:t>Noctiluca</w:t>
      </w:r>
      <w:proofErr w:type="spellEnd"/>
      <w:r w:rsidRPr="00C41B01">
        <w:rPr>
          <w:rFonts w:ascii="Arial" w:hAnsi="Arial" w:cs="Arial"/>
          <w:i/>
          <w:iCs/>
          <w:color w:val="000000" w:themeColor="text1"/>
          <w:sz w:val="18"/>
          <w:szCs w:val="18"/>
          <w:lang w:val="en-ID"/>
        </w:rPr>
        <w:t xml:space="preserve"> scintillans</w:t>
      </w:r>
      <w:r>
        <w:rPr>
          <w:rFonts w:ascii="Arial" w:hAnsi="Arial" w:cs="Arial"/>
          <w:color w:val="000000" w:themeColor="text1"/>
          <w:sz w:val="18"/>
          <w:szCs w:val="18"/>
          <w:lang w:val="en-ID"/>
        </w:rPr>
        <w:t xml:space="preserve"> (</w:t>
      </w:r>
      <w:proofErr w:type="spellStart"/>
      <w:r>
        <w:rPr>
          <w:rFonts w:ascii="Arial" w:hAnsi="Arial" w:cs="Arial"/>
          <w:color w:val="000000" w:themeColor="text1"/>
          <w:sz w:val="18"/>
          <w:szCs w:val="18"/>
          <w:lang w:val="en-ID"/>
        </w:rPr>
        <w:t>Damar</w:t>
      </w:r>
      <w:proofErr w:type="spellEnd"/>
      <w:r>
        <w:rPr>
          <w:rFonts w:ascii="Arial" w:hAnsi="Arial" w:cs="Arial"/>
          <w:color w:val="000000" w:themeColor="text1"/>
          <w:sz w:val="18"/>
          <w:szCs w:val="18"/>
          <w:lang w:val="en-ID"/>
        </w:rPr>
        <w:t xml:space="preserve"> et al., 2019; </w:t>
      </w:r>
      <w:proofErr w:type="spellStart"/>
      <w:r>
        <w:rPr>
          <w:rFonts w:ascii="Arial" w:hAnsi="Arial" w:cs="Arial"/>
          <w:color w:val="000000" w:themeColor="text1"/>
          <w:sz w:val="18"/>
          <w:szCs w:val="18"/>
          <w:lang w:val="en-ID"/>
        </w:rPr>
        <w:t>Sidabutar</w:t>
      </w:r>
      <w:proofErr w:type="spellEnd"/>
      <w:r>
        <w:rPr>
          <w:rFonts w:ascii="Arial" w:hAnsi="Arial" w:cs="Arial"/>
          <w:color w:val="000000" w:themeColor="text1"/>
          <w:sz w:val="18"/>
          <w:szCs w:val="18"/>
          <w:lang w:val="en-ID"/>
        </w:rPr>
        <w:t xml:space="preserve"> et al., 2021; </w:t>
      </w:r>
      <w:proofErr w:type="spellStart"/>
      <w:r>
        <w:rPr>
          <w:rFonts w:ascii="Arial" w:hAnsi="Arial" w:cs="Arial"/>
          <w:color w:val="000000" w:themeColor="text1"/>
          <w:sz w:val="18"/>
          <w:szCs w:val="18"/>
          <w:lang w:val="en-ID"/>
        </w:rPr>
        <w:t>Glibert</w:t>
      </w:r>
      <w:proofErr w:type="spellEnd"/>
      <w:r>
        <w:rPr>
          <w:rFonts w:ascii="Arial" w:hAnsi="Arial" w:cs="Arial"/>
          <w:color w:val="000000" w:themeColor="text1"/>
          <w:sz w:val="18"/>
          <w:szCs w:val="18"/>
          <w:lang w:val="en-ID"/>
        </w:rPr>
        <w:t>, 2020).</w:t>
      </w:r>
    </w:p>
    <w:p w14:paraId="466E209E" w14:textId="77777777" w:rsidR="008C5A22" w:rsidRPr="00F1570C" w:rsidRDefault="008C5A22" w:rsidP="008C5A22">
      <w:pPr>
        <w:spacing w:after="0" w:line="240" w:lineRule="auto"/>
        <w:jc w:val="both"/>
        <w:rPr>
          <w:rFonts w:ascii="Arial" w:hAnsi="Arial" w:cs="Arial"/>
          <w:color w:val="000000" w:themeColor="text1"/>
          <w:sz w:val="18"/>
          <w:szCs w:val="18"/>
          <w:lang w:val="en-ID"/>
        </w:rPr>
      </w:pPr>
    </w:p>
    <w:p w14:paraId="09E62A50" w14:textId="6ACDD1F5" w:rsidR="008C5A22" w:rsidRPr="00F1570C" w:rsidRDefault="00C41B01" w:rsidP="008C5A22">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The nutrient stoichiometry indicates a system heavily influenced by human activities and monsoon-driven hydrodynamics, leading to an environment rich in nitrogen, deficient in phosphorus, and periodically low in silicon. These nutrient imbalances boost phytoplankton productivity but also create unstable conditions that increase the likelihood of blooms, hypoxia, and shifts in community composition (</w:t>
      </w:r>
      <w:proofErr w:type="spellStart"/>
      <w:r>
        <w:rPr>
          <w:rFonts w:ascii="Arial" w:hAnsi="Arial" w:cs="Arial"/>
          <w:color w:val="000000" w:themeColor="text1"/>
          <w:sz w:val="18"/>
          <w:szCs w:val="18"/>
          <w:lang w:val="en-ID"/>
        </w:rPr>
        <w:t>Krisna</w:t>
      </w:r>
      <w:proofErr w:type="spellEnd"/>
      <w:r>
        <w:rPr>
          <w:rFonts w:ascii="Arial" w:hAnsi="Arial" w:cs="Arial"/>
          <w:color w:val="000000" w:themeColor="text1"/>
          <w:sz w:val="18"/>
          <w:szCs w:val="18"/>
          <w:lang w:val="en-ID"/>
        </w:rPr>
        <w:t xml:space="preserve"> et al., 2025; Firdaus et al., 2023). The dominance of a few diatom genera, recurring bloom cycles, and moderate yet changing diversity highlight a coastal ecosystem under ongoing eutrophication pressure. Since phytoplankton serve as both indicators and drivers of ecological change, managing nutrient loads, especially reducing nitrogen inputs and balancing phosphorus levels</w:t>
      </w:r>
      <w:r w:rsidR="00024A4F">
        <w:rPr>
          <w:rFonts w:ascii="Arial" w:hAnsi="Arial" w:cs="Arial"/>
          <w:color w:val="000000" w:themeColor="text1"/>
          <w:sz w:val="18"/>
          <w:szCs w:val="18"/>
          <w:lang w:val="en-ID"/>
        </w:rPr>
        <w:t>,</w:t>
      </w:r>
      <w:r>
        <w:rPr>
          <w:rFonts w:ascii="Arial" w:hAnsi="Arial" w:cs="Arial"/>
          <w:color w:val="000000" w:themeColor="text1"/>
          <w:sz w:val="18"/>
          <w:szCs w:val="18"/>
          <w:lang w:val="en-ID"/>
        </w:rPr>
        <w:t xml:space="preserve"> is crucial for stabilizing ecosystem functions, minimizing HAB risks, and protecting fisheries and food web stability (</w:t>
      </w:r>
      <w:proofErr w:type="spellStart"/>
      <w:r>
        <w:rPr>
          <w:rFonts w:ascii="Arial" w:hAnsi="Arial" w:cs="Arial"/>
          <w:color w:val="000000" w:themeColor="text1"/>
          <w:sz w:val="18"/>
          <w:szCs w:val="18"/>
          <w:lang w:val="en-ID"/>
        </w:rPr>
        <w:t>Dwiyitno</w:t>
      </w:r>
      <w:proofErr w:type="spellEnd"/>
      <w:r>
        <w:rPr>
          <w:rFonts w:ascii="Arial" w:hAnsi="Arial" w:cs="Arial"/>
          <w:color w:val="000000" w:themeColor="text1"/>
          <w:sz w:val="18"/>
          <w:szCs w:val="18"/>
          <w:lang w:val="en-ID"/>
        </w:rPr>
        <w:t xml:space="preserve"> et al., 2022).</w:t>
      </w:r>
    </w:p>
    <w:p w14:paraId="74741D74" w14:textId="77777777" w:rsidR="005C388E" w:rsidRPr="00F1570C" w:rsidRDefault="005C388E" w:rsidP="008C5A22">
      <w:pPr>
        <w:spacing w:after="0" w:line="240" w:lineRule="auto"/>
        <w:jc w:val="both"/>
        <w:rPr>
          <w:rFonts w:ascii="Arial" w:hAnsi="Arial" w:cs="Arial"/>
          <w:color w:val="000000" w:themeColor="text1"/>
          <w:sz w:val="18"/>
          <w:szCs w:val="18"/>
          <w:lang w:val="en-ID"/>
        </w:rPr>
      </w:pPr>
    </w:p>
    <w:p w14:paraId="58BC741D" w14:textId="56ED5659" w:rsidR="005C388E" w:rsidRPr="00F1570C" w:rsidRDefault="00C80C07" w:rsidP="005C388E">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Nitrogen levels, elevated N:P ratios, and spatial hotspots near major river discharges. Community metrics, including consistently low diversity and evenness, indicate structural simplification and reduced ecological resilience. The recurring shift from diatom peaks to occasional </w:t>
      </w:r>
      <w:r w:rsidR="001C2B2B">
        <w:rPr>
          <w:rFonts w:ascii="Arial" w:hAnsi="Arial" w:cs="Arial"/>
          <w:color w:val="000000" w:themeColor="text1"/>
          <w:sz w:val="18"/>
          <w:szCs w:val="18"/>
          <w:lang w:val="en-ID"/>
        </w:rPr>
        <w:t>dinoflagellate increases</w:t>
      </w:r>
      <w:r>
        <w:rPr>
          <w:rFonts w:ascii="Arial" w:hAnsi="Arial" w:cs="Arial"/>
          <w:color w:val="000000" w:themeColor="text1"/>
          <w:sz w:val="18"/>
          <w:szCs w:val="18"/>
          <w:lang w:val="en-ID"/>
        </w:rPr>
        <w:t xml:space="preserve">, along with their association with monsoon-driven hydrology and climate anomalies such as La Niña, underscores the strong connection between nutrient enrichment, hydrodynamic variability, and bloom patterns in urbanized tropical estuaries. These findings confirm that diatoms serve as reliable early warning indicators of eutrophication, providing a </w:t>
      </w:r>
      <w:r w:rsidR="001C2B2B">
        <w:rPr>
          <w:rFonts w:ascii="Arial" w:hAnsi="Arial" w:cs="Arial"/>
          <w:color w:val="000000" w:themeColor="text1"/>
          <w:sz w:val="18"/>
          <w:szCs w:val="18"/>
          <w:lang w:val="en-ID"/>
        </w:rPr>
        <w:t>precise</w:t>
      </w:r>
      <w:r>
        <w:rPr>
          <w:rFonts w:ascii="Arial" w:hAnsi="Arial" w:cs="Arial"/>
          <w:color w:val="000000" w:themeColor="text1"/>
          <w:sz w:val="18"/>
          <w:szCs w:val="18"/>
          <w:lang w:val="en-ID"/>
        </w:rPr>
        <w:t xml:space="preserve"> diagnosis of the bay’s nutrient imbalance and ongoing human impacts.</w:t>
      </w:r>
    </w:p>
    <w:p w14:paraId="32DD3342" w14:textId="77777777" w:rsidR="008C5A22" w:rsidRPr="00F1570C" w:rsidRDefault="008C5A22" w:rsidP="00E47C79">
      <w:pPr>
        <w:spacing w:after="0" w:line="240" w:lineRule="auto"/>
        <w:jc w:val="both"/>
        <w:rPr>
          <w:rFonts w:ascii="Arial" w:hAnsi="Arial" w:cs="Arial"/>
          <w:color w:val="000000" w:themeColor="text1"/>
          <w:sz w:val="18"/>
          <w:szCs w:val="18"/>
        </w:rPr>
      </w:pPr>
    </w:p>
    <w:p w14:paraId="13A38C22" w14:textId="3A158B25" w:rsidR="004D3673" w:rsidRPr="00F1570C" w:rsidRDefault="004D3673" w:rsidP="004D3673">
      <w:pPr>
        <w:spacing w:after="0" w:line="240" w:lineRule="auto"/>
        <w:jc w:val="both"/>
        <w:rPr>
          <w:rFonts w:ascii="Arial" w:hAnsi="Arial" w:cs="Arial"/>
          <w:color w:val="000000" w:themeColor="text1"/>
          <w:sz w:val="18"/>
          <w:szCs w:val="18"/>
          <w:lang w:val="en-ID"/>
        </w:rPr>
      </w:pPr>
      <w:r w:rsidRPr="00F1570C">
        <w:rPr>
          <w:rFonts w:ascii="Arial" w:hAnsi="Arial" w:cs="Arial"/>
          <w:b/>
          <w:bCs/>
          <w:color w:val="000000" w:themeColor="text1"/>
          <w:sz w:val="18"/>
          <w:szCs w:val="18"/>
          <w:lang w:val="en-ID"/>
        </w:rPr>
        <w:t>Table 3</w:t>
      </w:r>
      <w:r w:rsidRPr="00F1570C">
        <w:rPr>
          <w:rFonts w:ascii="Arial" w:hAnsi="Arial" w:cs="Arial"/>
          <w:color w:val="000000" w:themeColor="text1"/>
          <w:sz w:val="18"/>
          <w:szCs w:val="18"/>
          <w:lang w:val="en-ID"/>
        </w:rPr>
        <w:t>. Nutrient concentration and ratio of N</w:t>
      </w:r>
      <w:r w:rsidR="00D654A3" w:rsidRPr="00F1570C">
        <w:rPr>
          <w:rFonts w:ascii="Arial" w:hAnsi="Arial" w:cs="Arial"/>
          <w:color w:val="000000" w:themeColor="text1"/>
          <w:sz w:val="18"/>
          <w:szCs w:val="18"/>
          <w:lang w:val="en-ID"/>
        </w:rPr>
        <w:t>-P-</w:t>
      </w:r>
      <w:r w:rsidRPr="00F1570C">
        <w:rPr>
          <w:rFonts w:ascii="Arial" w:hAnsi="Arial" w:cs="Arial"/>
          <w:color w:val="000000" w:themeColor="text1"/>
          <w:sz w:val="18"/>
          <w:szCs w:val="18"/>
          <w:lang w:val="en-ID"/>
        </w:rPr>
        <w:t>Si in Jakarta Bay</w:t>
      </w:r>
      <w:r w:rsidR="00D654A3" w:rsidRPr="00F1570C">
        <w:rPr>
          <w:rFonts w:ascii="Arial" w:hAnsi="Arial" w:cs="Arial"/>
          <w:color w:val="000000" w:themeColor="text1"/>
          <w:sz w:val="18"/>
          <w:szCs w:val="18"/>
          <w:lang w:val="en-ID"/>
        </w:rPr>
        <w:t xml:space="preserve"> (2008-2015)</w:t>
      </w:r>
    </w:p>
    <w:p w14:paraId="5150D5D7" w14:textId="416DFFC5" w:rsidR="004D3673" w:rsidRPr="00F1570C" w:rsidRDefault="00C80C07" w:rsidP="00E47C79">
      <w:pPr>
        <w:spacing w:after="0" w:line="240" w:lineRule="auto"/>
        <w:jc w:val="both"/>
        <w:rPr>
          <w:rFonts w:ascii="Arial" w:hAnsi="Arial" w:cs="Arial"/>
          <w:color w:val="000000" w:themeColor="text1"/>
          <w:sz w:val="18"/>
          <w:szCs w:val="18"/>
        </w:rPr>
      </w:pPr>
      <w:r w:rsidRPr="00C80C07">
        <w:rPr>
          <w:rFonts w:ascii="Arial" w:hAnsi="Arial" w:cs="Arial"/>
          <w:noProof/>
          <w:color w:val="000000" w:themeColor="text1"/>
          <w:sz w:val="18"/>
          <w:szCs w:val="18"/>
        </w:rPr>
        <w:drawing>
          <wp:anchor distT="0" distB="0" distL="114300" distR="114300" simplePos="0" relativeHeight="251735552" behindDoc="0" locked="0" layoutInCell="1" allowOverlap="1" wp14:anchorId="33F9F884" wp14:editId="0844C418">
            <wp:simplePos x="0" y="0"/>
            <wp:positionH relativeFrom="column">
              <wp:posOffset>0</wp:posOffset>
            </wp:positionH>
            <wp:positionV relativeFrom="paragraph">
              <wp:posOffset>134620</wp:posOffset>
            </wp:positionV>
            <wp:extent cx="4114800" cy="967740"/>
            <wp:effectExtent l="0" t="0" r="0" b="3810"/>
            <wp:wrapSquare wrapText="bothSides"/>
            <wp:docPr id="1980388330" name="Picture 1"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8330" name="Picture 1" descr="A table with numbers and symbols&#10;&#10;AI-generated content may be incorrect."/>
                    <pic:cNvPicPr/>
                  </pic:nvPicPr>
                  <pic:blipFill>
                    <a:blip r:embed="rId17"/>
                    <a:stretch>
                      <a:fillRect/>
                    </a:stretch>
                  </pic:blipFill>
                  <pic:spPr>
                    <a:xfrm>
                      <a:off x="0" y="0"/>
                      <a:ext cx="4114800" cy="967740"/>
                    </a:xfrm>
                    <a:prstGeom prst="rect">
                      <a:avLst/>
                    </a:prstGeom>
                  </pic:spPr>
                </pic:pic>
              </a:graphicData>
            </a:graphic>
          </wp:anchor>
        </w:drawing>
      </w:r>
    </w:p>
    <w:p w14:paraId="2FD79D90" w14:textId="55ED339C" w:rsidR="00E47C79" w:rsidRPr="00F1570C" w:rsidRDefault="004A4B35" w:rsidP="00B06D57">
      <w:pPr>
        <w:spacing w:after="0" w:line="240" w:lineRule="auto"/>
        <w:jc w:val="both"/>
        <w:rPr>
          <w:rFonts w:ascii="Arial" w:hAnsi="Arial" w:cs="Arial"/>
          <w:color w:val="000000" w:themeColor="text1"/>
          <w:sz w:val="18"/>
          <w:szCs w:val="18"/>
          <w:lang w:val="en-ID"/>
        </w:rPr>
      </w:pPr>
      <w:r w:rsidRPr="00F1570C">
        <w:rPr>
          <w:rFonts w:ascii="Arial" w:hAnsi="Arial" w:cs="Arial"/>
          <w:noProof/>
          <w:color w:val="000000" w:themeColor="text1"/>
          <w:sz w:val="18"/>
          <w:szCs w:val="18"/>
          <w:lang w:val="en-ID"/>
        </w:rPr>
        <w:lastRenderedPageBreak/>
        <w:drawing>
          <wp:anchor distT="0" distB="0" distL="114300" distR="114300" simplePos="0" relativeHeight="251733504" behindDoc="0" locked="0" layoutInCell="1" allowOverlap="1" wp14:anchorId="1019BDBB" wp14:editId="05CE799C">
            <wp:simplePos x="0" y="0"/>
            <wp:positionH relativeFrom="column">
              <wp:posOffset>365704</wp:posOffset>
            </wp:positionH>
            <wp:positionV relativeFrom="paragraph">
              <wp:posOffset>25400</wp:posOffset>
            </wp:positionV>
            <wp:extent cx="3593465" cy="4082415"/>
            <wp:effectExtent l="0" t="0" r="6985" b="0"/>
            <wp:wrapTopAndBottom/>
            <wp:docPr id="82441194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11947" name="Picture 1" descr="A screenshot of a graph&#10;&#10;AI-generated content may be incorrect."/>
                    <pic:cNvPicPr/>
                  </pic:nvPicPr>
                  <pic:blipFill>
                    <a:blip r:embed="rId18"/>
                    <a:stretch>
                      <a:fillRect/>
                    </a:stretch>
                  </pic:blipFill>
                  <pic:spPr>
                    <a:xfrm>
                      <a:off x="0" y="0"/>
                      <a:ext cx="3593465" cy="4082415"/>
                    </a:xfrm>
                    <a:prstGeom prst="rect">
                      <a:avLst/>
                    </a:prstGeom>
                  </pic:spPr>
                </pic:pic>
              </a:graphicData>
            </a:graphic>
            <wp14:sizeRelH relativeFrom="margin">
              <wp14:pctWidth>0</wp14:pctWidth>
            </wp14:sizeRelH>
            <wp14:sizeRelV relativeFrom="margin">
              <wp14:pctHeight>0</wp14:pctHeight>
            </wp14:sizeRelV>
          </wp:anchor>
        </w:drawing>
      </w:r>
    </w:p>
    <w:p w14:paraId="3423B445" w14:textId="7E338FB4" w:rsidR="004A4B35" w:rsidRDefault="004A4B35" w:rsidP="00E77AA5">
      <w:pPr>
        <w:spacing w:after="0" w:line="240" w:lineRule="auto"/>
        <w:jc w:val="both"/>
        <w:rPr>
          <w:rFonts w:ascii="Arial" w:hAnsi="Arial" w:cs="Arial"/>
          <w:b/>
          <w:bCs/>
          <w:color w:val="000000" w:themeColor="text1"/>
          <w:sz w:val="18"/>
          <w:szCs w:val="18"/>
          <w:lang w:val="en-ID"/>
        </w:rPr>
      </w:pPr>
    </w:p>
    <w:p w14:paraId="001F5D91" w14:textId="6D61CD43" w:rsidR="00CD4393" w:rsidRPr="00F1570C" w:rsidRDefault="00E47C79" w:rsidP="00E77AA5">
      <w:pPr>
        <w:spacing w:after="0" w:line="240" w:lineRule="auto"/>
        <w:jc w:val="both"/>
        <w:rPr>
          <w:rFonts w:ascii="Arial" w:hAnsi="Arial" w:cs="Arial"/>
          <w:color w:val="000000" w:themeColor="text1"/>
          <w:sz w:val="18"/>
          <w:szCs w:val="18"/>
          <w:lang w:val="en-ID"/>
        </w:rPr>
      </w:pPr>
      <w:r w:rsidRPr="00F1570C">
        <w:rPr>
          <w:rFonts w:ascii="Arial" w:hAnsi="Arial" w:cs="Arial"/>
          <w:b/>
          <w:bCs/>
          <w:color w:val="000000" w:themeColor="text1"/>
          <w:sz w:val="18"/>
          <w:szCs w:val="18"/>
          <w:lang w:val="en-ID"/>
        </w:rPr>
        <w:t xml:space="preserve">Figure </w:t>
      </w:r>
      <w:r w:rsidR="009D5FEB">
        <w:rPr>
          <w:rFonts w:ascii="Arial" w:hAnsi="Arial" w:cs="Arial"/>
          <w:b/>
          <w:bCs/>
          <w:color w:val="000000" w:themeColor="text1"/>
          <w:sz w:val="18"/>
          <w:szCs w:val="18"/>
          <w:lang w:val="en-ID"/>
        </w:rPr>
        <w:t>10</w:t>
      </w:r>
      <w:r w:rsidR="00CF73E1" w:rsidRPr="00F1570C">
        <w:rPr>
          <w:rFonts w:ascii="Arial" w:hAnsi="Arial" w:cs="Arial"/>
          <w:b/>
          <w:bCs/>
          <w:color w:val="000000" w:themeColor="text1"/>
          <w:sz w:val="18"/>
          <w:szCs w:val="18"/>
          <w:lang w:val="en-ID"/>
        </w:rPr>
        <w:t>.</w:t>
      </w:r>
      <w:r w:rsidR="00CF73E1" w:rsidRPr="00F1570C">
        <w:rPr>
          <w:rFonts w:ascii="Arial" w:hAnsi="Arial" w:cs="Arial"/>
          <w:color w:val="000000" w:themeColor="text1"/>
          <w:sz w:val="18"/>
          <w:szCs w:val="18"/>
          <w:lang w:val="en-ID"/>
        </w:rPr>
        <w:t xml:space="preserve"> </w:t>
      </w:r>
      <w:r w:rsidR="00CD4393" w:rsidRPr="00F1570C">
        <w:rPr>
          <w:rFonts w:ascii="Arial" w:hAnsi="Arial" w:cs="Arial"/>
          <w:color w:val="000000" w:themeColor="text1"/>
          <w:sz w:val="18"/>
          <w:szCs w:val="18"/>
          <w:lang w:val="en-ID"/>
        </w:rPr>
        <w:t>Temporal fluctuations of N:P and N:Si ratios and their relation to</w:t>
      </w:r>
    </w:p>
    <w:p w14:paraId="33492656" w14:textId="18509234" w:rsidR="00CD4393" w:rsidRPr="00F1570C" w:rsidRDefault="00CD4393" w:rsidP="00E77AA5">
      <w:pPr>
        <w:spacing w:after="0" w:line="240" w:lineRule="auto"/>
        <w:ind w:firstLine="720"/>
        <w:jc w:val="both"/>
        <w:rPr>
          <w:rFonts w:ascii="Arial" w:hAnsi="Arial" w:cs="Arial"/>
          <w:i/>
          <w:iCs/>
          <w:color w:val="000000" w:themeColor="text1"/>
          <w:sz w:val="18"/>
          <w:szCs w:val="18"/>
          <w:lang w:val="en-ID"/>
        </w:rPr>
      </w:pPr>
      <w:r w:rsidRPr="00F1570C">
        <w:rPr>
          <w:rFonts w:ascii="Arial" w:hAnsi="Arial" w:cs="Arial"/>
          <w:color w:val="000000" w:themeColor="text1"/>
          <w:sz w:val="18"/>
          <w:szCs w:val="18"/>
          <w:lang w:val="en-ID"/>
        </w:rPr>
        <w:t xml:space="preserve">  phytoplankton dominance in Jakarta Bay. </w:t>
      </w:r>
      <w:r w:rsidRPr="00F1570C">
        <w:rPr>
          <w:rFonts w:ascii="Arial" w:hAnsi="Arial" w:cs="Arial"/>
          <w:i/>
          <w:iCs/>
          <w:color w:val="000000" w:themeColor="text1"/>
          <w:sz w:val="18"/>
          <w:szCs w:val="18"/>
          <w:lang w:val="en-ID"/>
        </w:rPr>
        <w:t>The upper panel shows the</w:t>
      </w:r>
    </w:p>
    <w:p w14:paraId="414BD76E" w14:textId="77777777" w:rsidR="00CD4393" w:rsidRPr="00F1570C" w:rsidRDefault="00CD4393" w:rsidP="00E77AA5">
      <w:pPr>
        <w:spacing w:after="0" w:line="240" w:lineRule="auto"/>
        <w:ind w:left="720"/>
        <w:jc w:val="both"/>
        <w:rPr>
          <w:rFonts w:ascii="Arial" w:hAnsi="Arial" w:cs="Arial"/>
          <w:i/>
          <w:iCs/>
          <w:color w:val="000000" w:themeColor="text1"/>
          <w:sz w:val="18"/>
          <w:szCs w:val="18"/>
          <w:lang w:val="en-ID"/>
        </w:rPr>
      </w:pPr>
      <w:r w:rsidRPr="00F1570C">
        <w:rPr>
          <w:rFonts w:ascii="Arial" w:hAnsi="Arial" w:cs="Arial"/>
          <w:i/>
          <w:iCs/>
          <w:color w:val="000000" w:themeColor="text1"/>
          <w:sz w:val="18"/>
          <w:szCs w:val="18"/>
          <w:lang w:val="en-ID"/>
        </w:rPr>
        <w:t xml:space="preserve">  N:P ratio, which frequently exceeds the Redfield threshold of 16:1,</w:t>
      </w:r>
    </w:p>
    <w:p w14:paraId="425CD3F1" w14:textId="77777777" w:rsidR="004C1C8A" w:rsidRDefault="00CD4393" w:rsidP="004C1C8A">
      <w:pPr>
        <w:spacing w:after="0" w:line="240" w:lineRule="auto"/>
        <w:ind w:left="720"/>
        <w:jc w:val="both"/>
        <w:rPr>
          <w:rFonts w:ascii="Arial" w:hAnsi="Arial" w:cs="Arial"/>
          <w:i/>
          <w:iCs/>
          <w:color w:val="000000" w:themeColor="text1"/>
          <w:sz w:val="18"/>
          <w:szCs w:val="18"/>
          <w:lang w:val="en-ID"/>
        </w:rPr>
      </w:pPr>
      <w:r w:rsidRPr="00F1570C">
        <w:rPr>
          <w:rFonts w:ascii="Arial" w:hAnsi="Arial" w:cs="Arial"/>
          <w:i/>
          <w:iCs/>
          <w:color w:val="000000" w:themeColor="text1"/>
          <w:sz w:val="18"/>
          <w:szCs w:val="18"/>
          <w:lang w:val="en-ID"/>
        </w:rPr>
        <w:t xml:space="preserve">  indicating conditions favourable for phytoplankton blooms and </w:t>
      </w:r>
      <w:r w:rsidR="004C1C8A">
        <w:rPr>
          <w:rFonts w:ascii="Arial" w:hAnsi="Arial" w:cs="Arial"/>
          <w:i/>
          <w:iCs/>
          <w:color w:val="000000" w:themeColor="text1"/>
          <w:sz w:val="18"/>
          <w:szCs w:val="18"/>
          <w:lang w:val="en-ID"/>
        </w:rPr>
        <w:t>nitrogen-</w:t>
      </w:r>
    </w:p>
    <w:p w14:paraId="33DB822E" w14:textId="7E3BA774" w:rsidR="00CD4393" w:rsidRPr="00F1570C" w:rsidRDefault="004C1C8A" w:rsidP="004C1C8A">
      <w:pPr>
        <w:spacing w:after="0" w:line="240" w:lineRule="auto"/>
        <w:ind w:left="720"/>
        <w:jc w:val="both"/>
        <w:rPr>
          <w:rFonts w:ascii="Arial" w:hAnsi="Arial" w:cs="Arial"/>
          <w:i/>
          <w:iCs/>
          <w:color w:val="000000" w:themeColor="text1"/>
          <w:sz w:val="18"/>
          <w:szCs w:val="18"/>
          <w:lang w:val="en-ID"/>
        </w:rPr>
      </w:pPr>
      <w:r>
        <w:rPr>
          <w:rFonts w:ascii="Arial" w:hAnsi="Arial" w:cs="Arial"/>
          <w:i/>
          <w:iCs/>
          <w:color w:val="000000" w:themeColor="text1"/>
          <w:sz w:val="18"/>
          <w:szCs w:val="18"/>
          <w:lang w:val="en-ID"/>
        </w:rPr>
        <w:t xml:space="preserve">  driven</w:t>
      </w:r>
      <w:r w:rsidR="00CD4393" w:rsidRPr="00F1570C">
        <w:rPr>
          <w:rFonts w:ascii="Arial" w:hAnsi="Arial" w:cs="Arial"/>
          <w:i/>
          <w:iCs/>
          <w:color w:val="000000" w:themeColor="text1"/>
          <w:sz w:val="18"/>
          <w:szCs w:val="18"/>
          <w:lang w:val="en-ID"/>
        </w:rPr>
        <w:t xml:space="preserve"> eutrophication. The lower panel illustrates N:Si ratios that remain</w:t>
      </w:r>
    </w:p>
    <w:p w14:paraId="471DED52" w14:textId="77777777" w:rsidR="00CD4393" w:rsidRPr="00F1570C" w:rsidRDefault="00CD4393" w:rsidP="00E77AA5">
      <w:pPr>
        <w:spacing w:after="0" w:line="240" w:lineRule="auto"/>
        <w:ind w:left="720"/>
        <w:jc w:val="both"/>
        <w:rPr>
          <w:rFonts w:ascii="Arial" w:hAnsi="Arial" w:cs="Arial"/>
          <w:i/>
          <w:iCs/>
          <w:color w:val="000000" w:themeColor="text1"/>
          <w:sz w:val="18"/>
          <w:szCs w:val="18"/>
          <w:lang w:val="en-ID"/>
        </w:rPr>
      </w:pPr>
      <w:r w:rsidRPr="00F1570C">
        <w:rPr>
          <w:rFonts w:ascii="Arial" w:hAnsi="Arial" w:cs="Arial"/>
          <w:i/>
          <w:iCs/>
          <w:color w:val="000000" w:themeColor="text1"/>
          <w:sz w:val="18"/>
          <w:szCs w:val="18"/>
          <w:lang w:val="en-ID"/>
        </w:rPr>
        <w:t xml:space="preserve">  below 1.0 for most of the period, signalling silicate-sufficient conditions</w:t>
      </w:r>
    </w:p>
    <w:p w14:paraId="45B405ED" w14:textId="5ABA0E1F" w:rsidR="008D6C67" w:rsidRPr="00F1570C" w:rsidRDefault="00CD4393" w:rsidP="00E77AA5">
      <w:pPr>
        <w:spacing w:after="0" w:line="240" w:lineRule="auto"/>
        <w:ind w:left="720"/>
        <w:jc w:val="both"/>
        <w:rPr>
          <w:rFonts w:ascii="Arial" w:hAnsi="Arial" w:cs="Arial"/>
          <w:i/>
          <w:iCs/>
          <w:color w:val="000000" w:themeColor="text1"/>
          <w:sz w:val="18"/>
          <w:szCs w:val="18"/>
        </w:rPr>
      </w:pPr>
      <w:r w:rsidRPr="00F1570C">
        <w:rPr>
          <w:rFonts w:ascii="Arial" w:hAnsi="Arial" w:cs="Arial"/>
          <w:i/>
          <w:iCs/>
          <w:color w:val="000000" w:themeColor="text1"/>
          <w:sz w:val="18"/>
          <w:szCs w:val="18"/>
          <w:lang w:val="en-ID"/>
        </w:rPr>
        <w:t xml:space="preserve">  that support diatom dominance</w:t>
      </w:r>
      <w:r w:rsidR="00A27053">
        <w:rPr>
          <w:rFonts w:ascii="Arial" w:hAnsi="Arial" w:cs="Arial"/>
          <w:i/>
          <w:iCs/>
          <w:color w:val="000000" w:themeColor="text1"/>
          <w:sz w:val="18"/>
          <w:szCs w:val="18"/>
          <w:lang w:val="en-ID"/>
        </w:rPr>
        <w:t>.</w:t>
      </w:r>
    </w:p>
    <w:p w14:paraId="727A0B23" w14:textId="77777777" w:rsidR="005C388E" w:rsidRPr="00F1570C" w:rsidRDefault="005C388E" w:rsidP="00B06D57">
      <w:pPr>
        <w:spacing w:after="0" w:line="240" w:lineRule="auto"/>
        <w:jc w:val="both"/>
        <w:rPr>
          <w:rFonts w:ascii="Arial" w:hAnsi="Arial" w:cs="Arial"/>
          <w:b/>
          <w:bCs/>
          <w:color w:val="000000" w:themeColor="text1"/>
          <w:sz w:val="18"/>
          <w:szCs w:val="18"/>
          <w:lang w:val="en-ID"/>
        </w:rPr>
      </w:pPr>
    </w:p>
    <w:p w14:paraId="57944B14" w14:textId="77777777" w:rsidR="005C388E" w:rsidRPr="00F1570C" w:rsidRDefault="005C388E" w:rsidP="00B06D57">
      <w:pPr>
        <w:spacing w:after="0" w:line="240" w:lineRule="auto"/>
        <w:jc w:val="both"/>
        <w:rPr>
          <w:rFonts w:ascii="Arial" w:hAnsi="Arial" w:cs="Arial"/>
          <w:b/>
          <w:bCs/>
          <w:color w:val="000000" w:themeColor="text1"/>
          <w:sz w:val="18"/>
          <w:szCs w:val="18"/>
          <w:lang w:val="en-ID"/>
        </w:rPr>
      </w:pPr>
    </w:p>
    <w:p w14:paraId="5D05E6AD" w14:textId="545575CD" w:rsidR="00C80BCA" w:rsidRDefault="00C80BCA" w:rsidP="00C80BCA">
      <w:pPr>
        <w:spacing w:after="0" w:line="240" w:lineRule="auto"/>
        <w:jc w:val="both"/>
        <w:rPr>
          <w:rFonts w:ascii="Arial" w:hAnsi="Arial" w:cs="Arial"/>
          <w:b/>
          <w:bCs/>
          <w:color w:val="000000" w:themeColor="text1"/>
          <w:sz w:val="18"/>
          <w:szCs w:val="18"/>
          <w:lang w:val="en-ID"/>
        </w:rPr>
      </w:pPr>
      <w:r>
        <w:rPr>
          <w:rFonts w:ascii="Arial" w:hAnsi="Arial" w:cs="Arial"/>
          <w:b/>
          <w:bCs/>
          <w:color w:val="000000" w:themeColor="text1"/>
          <w:sz w:val="18"/>
          <w:szCs w:val="18"/>
          <w:lang w:val="en-ID"/>
        </w:rPr>
        <w:t xml:space="preserve">4. </w:t>
      </w:r>
      <w:r w:rsidRPr="00C80BCA">
        <w:rPr>
          <w:rFonts w:ascii="Arial" w:hAnsi="Arial" w:cs="Arial"/>
          <w:b/>
          <w:bCs/>
          <w:color w:val="000000" w:themeColor="text1"/>
          <w:sz w:val="18"/>
          <w:szCs w:val="18"/>
          <w:lang w:val="en-ID"/>
        </w:rPr>
        <w:t xml:space="preserve">CONCLUSION </w:t>
      </w:r>
    </w:p>
    <w:p w14:paraId="0CB9511D" w14:textId="77777777" w:rsidR="006C413F" w:rsidRDefault="006C413F" w:rsidP="00C80BCA">
      <w:pPr>
        <w:spacing w:after="0" w:line="240" w:lineRule="auto"/>
        <w:jc w:val="both"/>
        <w:rPr>
          <w:rFonts w:ascii="Arial" w:hAnsi="Arial" w:cs="Arial"/>
          <w:color w:val="000000" w:themeColor="text1"/>
          <w:sz w:val="18"/>
          <w:szCs w:val="18"/>
          <w:lang w:val="en-ID"/>
        </w:rPr>
      </w:pPr>
    </w:p>
    <w:p w14:paraId="7B736726" w14:textId="5BF2C569" w:rsidR="00C80BCA" w:rsidRDefault="00E839FB" w:rsidP="00C80BCA">
      <w:pPr>
        <w:spacing w:after="0" w:line="240" w:lineRule="auto"/>
        <w:jc w:val="both"/>
        <w:rPr>
          <w:rFonts w:ascii="Arial" w:hAnsi="Arial" w:cs="Arial"/>
          <w:color w:val="000000" w:themeColor="text1"/>
          <w:sz w:val="18"/>
          <w:szCs w:val="18"/>
          <w:lang w:val="en-ID"/>
        </w:rPr>
      </w:pPr>
      <w:r w:rsidRPr="008C3851">
        <w:rPr>
          <w:rFonts w:ascii="Arial" w:hAnsi="Arial" w:cs="Arial"/>
          <w:sz w:val="18"/>
          <w:szCs w:val="18"/>
          <w:lang w:val="en-ID"/>
        </w:rPr>
        <w:t xml:space="preserve">Long-term observations from 2008 to 2019 show that Jakarta Bay consistently remains a eutrophic coastal ecosystem dominated by diatoms. </w:t>
      </w:r>
      <w:r w:rsidR="006C413F" w:rsidRPr="008C3851">
        <w:rPr>
          <w:rFonts w:ascii="Arial" w:hAnsi="Arial" w:cs="Arial"/>
          <w:sz w:val="18"/>
          <w:szCs w:val="18"/>
        </w:rPr>
        <w:t>Seasonal and interannual patterns in diatom community composition reliably reflect fluctuations in environmental variables</w:t>
      </w:r>
      <w:r w:rsidR="005F1EEC">
        <w:rPr>
          <w:rFonts w:ascii="Arial" w:hAnsi="Arial" w:cs="Arial"/>
          <w:sz w:val="18"/>
          <w:szCs w:val="18"/>
        </w:rPr>
        <w:t>, including</w:t>
      </w:r>
      <w:r w:rsidR="006C413F" w:rsidRPr="008C3851">
        <w:rPr>
          <w:rFonts w:ascii="Arial" w:hAnsi="Arial" w:cs="Arial"/>
          <w:sz w:val="18"/>
          <w:szCs w:val="18"/>
        </w:rPr>
        <w:t xml:space="preserve"> temperature, nutrient availability, hydrological </w:t>
      </w:r>
      <w:r w:rsidR="006C413F" w:rsidRPr="008C3851">
        <w:rPr>
          <w:rFonts w:ascii="Arial" w:hAnsi="Arial" w:cs="Arial"/>
          <w:sz w:val="18"/>
          <w:szCs w:val="18"/>
        </w:rPr>
        <w:lastRenderedPageBreak/>
        <w:t xml:space="preserve">regimes, and anthropogenic stressors. </w:t>
      </w:r>
      <w:r w:rsidRPr="008C3851">
        <w:rPr>
          <w:rFonts w:ascii="Arial" w:hAnsi="Arial" w:cs="Arial"/>
          <w:sz w:val="18"/>
          <w:szCs w:val="18"/>
          <w:lang w:val="en-ID"/>
        </w:rPr>
        <w:t xml:space="preserve">Increased nutrient inputs, mainly from human activities, have caused repeated phytoplankton blooms, with genera such as </w:t>
      </w:r>
      <w:proofErr w:type="spellStart"/>
      <w:r w:rsidRPr="005F1EEC">
        <w:rPr>
          <w:rFonts w:ascii="Arial" w:hAnsi="Arial" w:cs="Arial"/>
          <w:i/>
          <w:iCs/>
          <w:sz w:val="18"/>
          <w:szCs w:val="18"/>
          <w:lang w:val="en-ID"/>
        </w:rPr>
        <w:t>Chaetoceros</w:t>
      </w:r>
      <w:proofErr w:type="spellEnd"/>
      <w:r w:rsidRPr="005F1EEC">
        <w:rPr>
          <w:rFonts w:ascii="Arial" w:hAnsi="Arial" w:cs="Arial"/>
          <w:i/>
          <w:iCs/>
          <w:sz w:val="18"/>
          <w:szCs w:val="18"/>
          <w:lang w:val="en-ID"/>
        </w:rPr>
        <w:t xml:space="preserve">, </w:t>
      </w:r>
      <w:proofErr w:type="spellStart"/>
      <w:r w:rsidRPr="005F1EEC">
        <w:rPr>
          <w:rFonts w:ascii="Arial" w:hAnsi="Arial" w:cs="Arial"/>
          <w:i/>
          <w:iCs/>
          <w:sz w:val="18"/>
          <w:szCs w:val="18"/>
          <w:lang w:val="en-ID"/>
        </w:rPr>
        <w:t>Skeletonema</w:t>
      </w:r>
      <w:proofErr w:type="spellEnd"/>
      <w:r w:rsidRPr="008C3851">
        <w:rPr>
          <w:rFonts w:ascii="Arial" w:hAnsi="Arial" w:cs="Arial"/>
          <w:sz w:val="18"/>
          <w:szCs w:val="18"/>
          <w:lang w:val="en-ID"/>
        </w:rPr>
        <w:t xml:space="preserve">, and </w:t>
      </w:r>
      <w:proofErr w:type="spellStart"/>
      <w:r w:rsidRPr="005F1EEC">
        <w:rPr>
          <w:rFonts w:ascii="Arial" w:hAnsi="Arial" w:cs="Arial"/>
          <w:i/>
          <w:iCs/>
          <w:sz w:val="18"/>
          <w:szCs w:val="18"/>
          <w:lang w:val="en-ID"/>
        </w:rPr>
        <w:t>Thalassiosira</w:t>
      </w:r>
      <w:proofErr w:type="spellEnd"/>
      <w:r w:rsidRPr="008C3851">
        <w:rPr>
          <w:rFonts w:ascii="Arial" w:hAnsi="Arial" w:cs="Arial"/>
          <w:sz w:val="18"/>
          <w:szCs w:val="18"/>
          <w:lang w:val="en-ID"/>
        </w:rPr>
        <w:t xml:space="preserve"> clearly indicating nutrient enrichment. The strong link between diatom abundance, high inorganic nitrogen levels, and elevated N:P ratios reflects the bay’s ongoing eutrophic state. Steadily low species diversity and evenness signal ecological simplification and decreased resilience, while the quick response of diatoms to nutrient changes confirms their role as sensitive bioindicators </w:t>
      </w:r>
      <w:r>
        <w:rPr>
          <w:rFonts w:ascii="Arial" w:hAnsi="Arial" w:cs="Arial"/>
          <w:color w:val="000000" w:themeColor="text1"/>
          <w:sz w:val="18"/>
          <w:szCs w:val="18"/>
          <w:lang w:val="en-ID"/>
        </w:rPr>
        <w:t>of ecosystem stress.</w:t>
      </w:r>
    </w:p>
    <w:p w14:paraId="4C11DA6D" w14:textId="77777777" w:rsidR="006C413F" w:rsidRDefault="006C413F" w:rsidP="00C80BCA">
      <w:pPr>
        <w:spacing w:after="0" w:line="240" w:lineRule="auto"/>
        <w:jc w:val="both"/>
        <w:rPr>
          <w:rFonts w:ascii="Arial" w:hAnsi="Arial" w:cs="Arial"/>
          <w:color w:val="000000" w:themeColor="text1"/>
          <w:sz w:val="18"/>
          <w:szCs w:val="18"/>
          <w:lang w:val="en-ID"/>
        </w:rPr>
      </w:pPr>
    </w:p>
    <w:p w14:paraId="57405C04" w14:textId="43AE7A7E" w:rsidR="006C413F" w:rsidRPr="00C80BCA" w:rsidRDefault="005F1EEC" w:rsidP="00C80BCA">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rPr>
        <w:t xml:space="preserve">In summary, diatoms provide dependable </w:t>
      </w:r>
      <w:r w:rsidRPr="005F1EEC">
        <w:rPr>
          <w:rFonts w:ascii="Arial" w:hAnsi="Arial" w:cs="Arial"/>
          <w:i/>
          <w:iCs/>
          <w:color w:val="000000" w:themeColor="text1"/>
          <w:sz w:val="18"/>
          <w:szCs w:val="18"/>
        </w:rPr>
        <w:t>early warning signals</w:t>
      </w:r>
      <w:r>
        <w:rPr>
          <w:rFonts w:ascii="Arial" w:hAnsi="Arial" w:cs="Arial"/>
          <w:color w:val="000000" w:themeColor="text1"/>
          <w:sz w:val="18"/>
          <w:szCs w:val="18"/>
        </w:rPr>
        <w:t xml:space="preserve"> of ecosystem decline across various time frames and environmental conditions. Their community patterns reveal both sudden and gradual environmental changes, making them crucial for identifying ecological thresholds and guiding management strategies.</w:t>
      </w:r>
    </w:p>
    <w:p w14:paraId="29D7ABC6" w14:textId="77777777" w:rsidR="00E839FB" w:rsidRDefault="00E839FB" w:rsidP="00C80BCA">
      <w:pPr>
        <w:spacing w:after="0" w:line="240" w:lineRule="auto"/>
        <w:jc w:val="both"/>
        <w:rPr>
          <w:rFonts w:ascii="Arial" w:hAnsi="Arial" w:cs="Arial"/>
          <w:color w:val="000000" w:themeColor="text1"/>
          <w:sz w:val="18"/>
          <w:szCs w:val="18"/>
          <w:lang w:val="en-ID"/>
        </w:rPr>
      </w:pPr>
    </w:p>
    <w:p w14:paraId="00478F6A" w14:textId="77777777" w:rsidR="006C413F" w:rsidRPr="00C80BCA" w:rsidRDefault="006C413F" w:rsidP="006C413F">
      <w:pPr>
        <w:spacing w:after="0" w:line="240" w:lineRule="auto"/>
        <w:jc w:val="both"/>
        <w:rPr>
          <w:rFonts w:ascii="Arial" w:hAnsi="Arial" w:cs="Arial"/>
          <w:b/>
          <w:bCs/>
          <w:color w:val="000000" w:themeColor="text1"/>
          <w:sz w:val="18"/>
          <w:szCs w:val="18"/>
          <w:lang w:val="en-ID"/>
        </w:rPr>
      </w:pPr>
      <w:r w:rsidRPr="00C80BCA">
        <w:rPr>
          <w:rFonts w:ascii="Arial" w:hAnsi="Arial" w:cs="Arial"/>
          <w:b/>
          <w:bCs/>
          <w:color w:val="000000" w:themeColor="text1"/>
          <w:sz w:val="18"/>
          <w:szCs w:val="18"/>
          <w:lang w:val="en-ID"/>
        </w:rPr>
        <w:t>RECOMMENDATIONS</w:t>
      </w:r>
    </w:p>
    <w:p w14:paraId="4A2B7580" w14:textId="77777777" w:rsidR="006C413F" w:rsidRDefault="006C413F" w:rsidP="00C80BCA">
      <w:pPr>
        <w:spacing w:after="0" w:line="240" w:lineRule="auto"/>
        <w:jc w:val="both"/>
        <w:rPr>
          <w:rFonts w:ascii="Arial" w:hAnsi="Arial" w:cs="Arial"/>
          <w:color w:val="000000" w:themeColor="text1"/>
          <w:sz w:val="18"/>
          <w:szCs w:val="18"/>
          <w:lang w:val="en-ID"/>
        </w:rPr>
      </w:pPr>
    </w:p>
    <w:p w14:paraId="15492314" w14:textId="16718DD6" w:rsidR="00C80BCA" w:rsidRPr="00C80BCA" w:rsidRDefault="00E839FB" w:rsidP="00C80BCA">
      <w:pPr>
        <w:spacing w:after="0" w:line="240" w:lineRule="auto"/>
        <w:jc w:val="both"/>
        <w:rPr>
          <w:rFonts w:ascii="Arial" w:hAnsi="Arial" w:cs="Arial"/>
          <w:color w:val="000000" w:themeColor="text1"/>
          <w:sz w:val="18"/>
          <w:szCs w:val="18"/>
          <w:lang w:val="en-ID"/>
        </w:rPr>
      </w:pPr>
      <w:r>
        <w:rPr>
          <w:rFonts w:ascii="Arial" w:hAnsi="Arial" w:cs="Arial"/>
          <w:color w:val="000000" w:themeColor="text1"/>
          <w:sz w:val="18"/>
          <w:szCs w:val="18"/>
          <w:lang w:val="en-ID"/>
        </w:rPr>
        <w:t xml:space="preserve">The dominance and </w:t>
      </w:r>
      <w:proofErr w:type="spellStart"/>
      <w:r>
        <w:rPr>
          <w:rFonts w:ascii="Arial" w:hAnsi="Arial" w:cs="Arial"/>
          <w:color w:val="000000" w:themeColor="text1"/>
          <w:sz w:val="18"/>
          <w:szCs w:val="18"/>
          <w:lang w:val="en-ID"/>
        </w:rPr>
        <w:t>behaviors</w:t>
      </w:r>
      <w:proofErr w:type="spellEnd"/>
      <w:r>
        <w:rPr>
          <w:rFonts w:ascii="Arial" w:hAnsi="Arial" w:cs="Arial"/>
          <w:color w:val="000000" w:themeColor="text1"/>
          <w:sz w:val="18"/>
          <w:szCs w:val="18"/>
          <w:lang w:val="en-ID"/>
        </w:rPr>
        <w:t xml:space="preserve"> of diatoms provide reliable early-warning signs of eutrophication and serve as a practical tool for monitoring environmental health in Jakarta Bay. Incorporating diatom-based assessments into long-term coastal monitoring programs would allow for early detection of nutrient imbalances and ecosystem decline. Effective management should focus on reducing human-caused nutrient inputs and restoring hydrodynamic balance to enhance ecological stability. The phytoplankton-based diagnostic framework shown in this study can act as a model for other tropical coastal ecosystems facing similar eutrophication challenges. Using diatoms as bioindicators offers a cost-effective</w:t>
      </w:r>
      <w:r w:rsidR="00024A4F">
        <w:rPr>
          <w:rFonts w:ascii="Arial" w:hAnsi="Arial" w:cs="Arial"/>
          <w:color w:val="000000" w:themeColor="text1"/>
          <w:sz w:val="18"/>
          <w:szCs w:val="18"/>
          <w:lang w:val="en-ID"/>
        </w:rPr>
        <w:t>, scientifically sound approach to</w:t>
      </w:r>
      <w:r>
        <w:rPr>
          <w:rFonts w:ascii="Arial" w:hAnsi="Arial" w:cs="Arial"/>
          <w:color w:val="000000" w:themeColor="text1"/>
          <w:sz w:val="18"/>
          <w:szCs w:val="18"/>
          <w:lang w:val="en-ID"/>
        </w:rPr>
        <w:t xml:space="preserve"> guiding future coastal management and conservation efforts.</w:t>
      </w:r>
    </w:p>
    <w:bookmarkEnd w:id="2"/>
    <w:bookmarkEnd w:id="3"/>
    <w:p w14:paraId="2EC87FFD" w14:textId="77777777" w:rsidR="00E839FB" w:rsidRDefault="00E839FB" w:rsidP="00C6075B">
      <w:pPr>
        <w:spacing w:after="0" w:line="240" w:lineRule="auto"/>
        <w:jc w:val="both"/>
        <w:rPr>
          <w:rFonts w:ascii="Arial" w:hAnsi="Arial" w:cs="Arial"/>
          <w:color w:val="0D0D0D" w:themeColor="text1" w:themeTint="F2"/>
          <w:sz w:val="18"/>
          <w:szCs w:val="18"/>
        </w:rPr>
      </w:pPr>
    </w:p>
    <w:p w14:paraId="1C2220D8" w14:textId="63C05ADE" w:rsidR="00C6075B" w:rsidRPr="00C6075B" w:rsidRDefault="00C6075B" w:rsidP="00C6075B">
      <w:pPr>
        <w:spacing w:after="0" w:line="240" w:lineRule="auto"/>
        <w:jc w:val="both"/>
        <w:rPr>
          <w:rFonts w:ascii="Arial" w:hAnsi="Arial" w:cs="Arial"/>
          <w:b/>
          <w:bCs/>
          <w:color w:val="0D0D0D" w:themeColor="text1" w:themeTint="F2"/>
          <w:sz w:val="18"/>
          <w:szCs w:val="18"/>
        </w:rPr>
      </w:pPr>
      <w:r w:rsidRPr="00C6075B">
        <w:rPr>
          <w:rFonts w:ascii="Arial" w:hAnsi="Arial" w:cs="Arial"/>
          <w:b/>
          <w:bCs/>
          <w:color w:val="0D0D0D" w:themeColor="text1" w:themeTint="F2"/>
          <w:sz w:val="18"/>
          <w:szCs w:val="18"/>
        </w:rPr>
        <w:t>DISCLAIMER (ARTIFICIAL INTELLIGENCE)</w:t>
      </w:r>
    </w:p>
    <w:p w14:paraId="31EA0EA2" w14:textId="1CA0FA45" w:rsidR="00A465A6" w:rsidRDefault="00024A4F" w:rsidP="00467601">
      <w:pPr>
        <w:spacing w:after="0" w:line="240" w:lineRule="auto"/>
        <w:jc w:val="both"/>
        <w:rPr>
          <w:rFonts w:ascii="Arial" w:hAnsi="Arial" w:cs="Arial"/>
          <w:color w:val="0D0D0D" w:themeColor="text1" w:themeTint="F2"/>
          <w:sz w:val="18"/>
          <w:szCs w:val="18"/>
        </w:rPr>
      </w:pPr>
      <w:r>
        <w:rPr>
          <w:rFonts w:ascii="Arial" w:hAnsi="Arial" w:cs="Arial"/>
          <w:color w:val="0D0D0D" w:themeColor="text1" w:themeTint="F2"/>
          <w:sz w:val="18"/>
          <w:szCs w:val="18"/>
        </w:rPr>
        <w:t>During the preparation of the work, the authors used Grammarly as a writing assistant to review grammar and tone. After utilizing the service, the authors reviewed and edited the manuscript. All authors take full responsibility for the content of the publication.</w:t>
      </w:r>
    </w:p>
    <w:p w14:paraId="5019DC15" w14:textId="77777777" w:rsidR="00467601" w:rsidRPr="00467601" w:rsidRDefault="00467601" w:rsidP="00467601">
      <w:pPr>
        <w:spacing w:after="0" w:line="240" w:lineRule="auto"/>
        <w:jc w:val="both"/>
        <w:rPr>
          <w:rFonts w:ascii="Arial" w:hAnsi="Arial" w:cs="Arial"/>
          <w:color w:val="0D0D0D" w:themeColor="text1" w:themeTint="F2"/>
          <w:sz w:val="18"/>
          <w:szCs w:val="18"/>
        </w:rPr>
      </w:pPr>
    </w:p>
    <w:p w14:paraId="5E742C63" w14:textId="206A87D7" w:rsidR="00A465A6" w:rsidRPr="00467601" w:rsidRDefault="00A465A6" w:rsidP="00467601">
      <w:pPr>
        <w:spacing w:after="0" w:line="240" w:lineRule="auto"/>
        <w:jc w:val="both"/>
        <w:outlineLvl w:val="0"/>
        <w:rPr>
          <w:rFonts w:ascii="Arial" w:hAnsi="Arial" w:cs="Arial"/>
          <w:sz w:val="18"/>
          <w:szCs w:val="18"/>
        </w:rPr>
      </w:pPr>
      <w:r w:rsidRPr="00467601">
        <w:rPr>
          <w:rFonts w:ascii="Arial" w:hAnsi="Arial" w:cs="Arial"/>
          <w:b/>
          <w:bCs/>
          <w:sz w:val="18"/>
          <w:szCs w:val="18"/>
        </w:rPr>
        <w:t>COMPETING INTERESTS DISCLAIMER:</w:t>
      </w:r>
    </w:p>
    <w:p w14:paraId="63428C14" w14:textId="5A2AA399" w:rsidR="00467601" w:rsidRDefault="001305E0" w:rsidP="001305E0">
      <w:pPr>
        <w:spacing w:after="0" w:line="240" w:lineRule="auto"/>
        <w:jc w:val="both"/>
        <w:rPr>
          <w:rFonts w:ascii="Arial" w:hAnsi="Arial" w:cs="Arial"/>
          <w:sz w:val="18"/>
          <w:szCs w:val="18"/>
        </w:rPr>
      </w:pPr>
      <w:r>
        <w:rPr>
          <w:rFonts w:ascii="Arial" w:hAnsi="Arial" w:cs="Arial"/>
          <w:sz w:val="18"/>
          <w:szCs w:val="18"/>
        </w:rPr>
        <w:t>The authors have declared that there are no known competing financial interests, non-financial interests, or personal relationships that could have appeared to influence the work reported in this paper.</w:t>
      </w:r>
    </w:p>
    <w:p w14:paraId="5CE5C967" w14:textId="77777777" w:rsidR="006C413F" w:rsidRDefault="006C413F" w:rsidP="001305E0">
      <w:pPr>
        <w:spacing w:after="0" w:line="240" w:lineRule="auto"/>
        <w:jc w:val="both"/>
        <w:rPr>
          <w:rFonts w:ascii="Arial" w:hAnsi="Arial" w:cs="Arial"/>
          <w:b/>
          <w:color w:val="0D0D0D" w:themeColor="text1" w:themeTint="F2"/>
          <w:sz w:val="18"/>
          <w:szCs w:val="18"/>
        </w:rPr>
      </w:pPr>
    </w:p>
    <w:p w14:paraId="24F49D2D" w14:textId="78383EE7" w:rsidR="001F78D2" w:rsidRPr="00F1570C" w:rsidRDefault="001F78D2" w:rsidP="00863BC4">
      <w:pPr>
        <w:spacing w:after="0" w:line="240" w:lineRule="auto"/>
        <w:ind w:left="567" w:hanging="567"/>
        <w:jc w:val="both"/>
        <w:rPr>
          <w:rFonts w:ascii="Arial" w:hAnsi="Arial" w:cs="Arial"/>
          <w:b/>
          <w:bCs/>
          <w:color w:val="000000" w:themeColor="text1"/>
          <w:sz w:val="18"/>
          <w:szCs w:val="18"/>
          <w:lang w:val="en-ID"/>
        </w:rPr>
      </w:pPr>
      <w:bookmarkStart w:id="5" w:name="_Hlk213425244"/>
      <w:r w:rsidRPr="00F1570C">
        <w:rPr>
          <w:rFonts w:ascii="Arial" w:hAnsi="Arial" w:cs="Arial"/>
          <w:b/>
          <w:bCs/>
          <w:color w:val="000000" w:themeColor="text1"/>
          <w:sz w:val="18"/>
          <w:szCs w:val="18"/>
          <w:lang w:val="en-ID"/>
        </w:rPr>
        <w:t xml:space="preserve">REFERENCES </w:t>
      </w:r>
    </w:p>
    <w:p w14:paraId="573E7EA5" w14:textId="77777777" w:rsidR="001F78D2" w:rsidRPr="00F1570C" w:rsidRDefault="001F78D2" w:rsidP="00F1570C">
      <w:pPr>
        <w:spacing w:after="0" w:line="240" w:lineRule="auto"/>
        <w:ind w:left="567" w:hanging="567"/>
        <w:jc w:val="both"/>
        <w:rPr>
          <w:rFonts w:ascii="Arial" w:hAnsi="Arial" w:cs="Arial"/>
          <w:color w:val="000000" w:themeColor="text1"/>
          <w:sz w:val="18"/>
          <w:szCs w:val="18"/>
          <w:lang w:val="en-ID"/>
        </w:rPr>
      </w:pPr>
    </w:p>
    <w:p w14:paraId="1848520C" w14:textId="77777777" w:rsidR="00E84334" w:rsidRPr="00F1570C" w:rsidRDefault="00E84334" w:rsidP="0046784D">
      <w:pPr>
        <w:pStyle w:val="Bibliography"/>
        <w:numPr>
          <w:ilvl w:val="0"/>
          <w:numId w:val="24"/>
        </w:numPr>
        <w:spacing w:after="0" w:line="240" w:lineRule="auto"/>
        <w:jc w:val="both"/>
        <w:rPr>
          <w:rFonts w:ascii="Arial" w:hAnsi="Arial"/>
          <w:color w:val="000000" w:themeColor="text1"/>
          <w:sz w:val="18"/>
          <w:szCs w:val="18"/>
        </w:rPr>
      </w:pPr>
      <w:r w:rsidRPr="00F1570C">
        <w:rPr>
          <w:rFonts w:ascii="Arial" w:hAnsi="Arial"/>
          <w:color w:val="000000" w:themeColor="text1"/>
          <w:sz w:val="18"/>
          <w:szCs w:val="18"/>
        </w:rPr>
        <w:t xml:space="preserve">Andersen, I. M., Williamson, T. J., </w:t>
      </w:r>
      <w:proofErr w:type="spellStart"/>
      <w:r w:rsidRPr="00F1570C">
        <w:rPr>
          <w:rFonts w:ascii="Arial" w:hAnsi="Arial"/>
          <w:color w:val="000000" w:themeColor="text1"/>
          <w:sz w:val="18"/>
          <w:szCs w:val="18"/>
        </w:rPr>
        <w:t>Gonzlez</w:t>
      </w:r>
      <w:proofErr w:type="spellEnd"/>
      <w:r w:rsidRPr="00F1570C">
        <w:rPr>
          <w:rFonts w:ascii="Arial" w:hAnsi="Arial"/>
          <w:color w:val="000000" w:themeColor="text1"/>
          <w:sz w:val="18"/>
          <w:szCs w:val="18"/>
        </w:rPr>
        <w:t xml:space="preserve">, M. J., &amp; </w:t>
      </w:r>
      <w:proofErr w:type="spellStart"/>
      <w:r w:rsidRPr="00F1570C">
        <w:rPr>
          <w:rFonts w:ascii="Arial" w:hAnsi="Arial"/>
          <w:color w:val="000000" w:themeColor="text1"/>
          <w:sz w:val="18"/>
          <w:szCs w:val="18"/>
        </w:rPr>
        <w:t>Vanni</w:t>
      </w:r>
      <w:proofErr w:type="spellEnd"/>
      <w:r w:rsidRPr="00F1570C">
        <w:rPr>
          <w:rFonts w:ascii="Arial" w:hAnsi="Arial"/>
          <w:color w:val="000000" w:themeColor="text1"/>
          <w:sz w:val="18"/>
          <w:szCs w:val="18"/>
        </w:rPr>
        <w:t xml:space="preserve">, M. J. (2019). Nitrate, ammonium, and phosphorus drive seasonal nutrient limitation of chlorophytes, cyanobacteria, and diatoms in a hypereutrophic reservoir. Wiley. </w:t>
      </w:r>
      <w:hyperlink r:id="rId19" w:history="1">
        <w:r w:rsidRPr="00F1570C">
          <w:rPr>
            <w:rStyle w:val="Hyperlink"/>
            <w:rFonts w:ascii="Arial" w:hAnsi="Arial"/>
            <w:color w:val="000000" w:themeColor="text1"/>
            <w:sz w:val="18"/>
            <w:szCs w:val="18"/>
          </w:rPr>
          <w:t>https://doi.org/https://doi.org/10.1002/lno.11363</w:t>
        </w:r>
      </w:hyperlink>
    </w:p>
    <w:p w14:paraId="1871486C" w14:textId="77777777" w:rsidR="00E84334" w:rsidRPr="0046784D" w:rsidRDefault="00E84334" w:rsidP="0046784D">
      <w:pPr>
        <w:pStyle w:val="ListParagraph"/>
        <w:numPr>
          <w:ilvl w:val="0"/>
          <w:numId w:val="24"/>
        </w:numPr>
        <w:spacing w:after="0" w:line="240" w:lineRule="auto"/>
        <w:jc w:val="both"/>
        <w:rPr>
          <w:rFonts w:ascii="Arial" w:hAnsi="Arial" w:cs="Arial"/>
          <w:color w:val="000000" w:themeColor="text1"/>
          <w:sz w:val="18"/>
          <w:szCs w:val="18"/>
          <w:lang w:val="en-ID"/>
        </w:rPr>
      </w:pPr>
      <w:r w:rsidRPr="0046784D">
        <w:rPr>
          <w:rFonts w:ascii="Arial" w:hAnsi="Arial" w:cs="Arial"/>
          <w:color w:val="000000" w:themeColor="text1"/>
          <w:sz w:val="18"/>
          <w:szCs w:val="18"/>
          <w:lang w:val="en-ID"/>
        </w:rPr>
        <w:t xml:space="preserve">Aprilia, M., Effendi, H., </w:t>
      </w:r>
      <w:proofErr w:type="spellStart"/>
      <w:r w:rsidRPr="0046784D">
        <w:rPr>
          <w:rFonts w:ascii="Arial" w:hAnsi="Arial" w:cs="Arial"/>
          <w:color w:val="000000" w:themeColor="text1"/>
          <w:sz w:val="18"/>
          <w:szCs w:val="18"/>
          <w:lang w:val="en-ID"/>
        </w:rPr>
        <w:t>Hariyadi</w:t>
      </w:r>
      <w:proofErr w:type="spellEnd"/>
      <w:r w:rsidRPr="0046784D">
        <w:rPr>
          <w:rFonts w:ascii="Arial" w:hAnsi="Arial" w:cs="Arial"/>
          <w:color w:val="000000" w:themeColor="text1"/>
          <w:sz w:val="18"/>
          <w:szCs w:val="18"/>
          <w:lang w:val="en-ID"/>
        </w:rPr>
        <w:t xml:space="preserve">, S., &amp; </w:t>
      </w:r>
      <w:proofErr w:type="spellStart"/>
      <w:r w:rsidRPr="0046784D">
        <w:rPr>
          <w:rFonts w:ascii="Arial" w:hAnsi="Arial" w:cs="Arial"/>
          <w:color w:val="000000" w:themeColor="text1"/>
          <w:sz w:val="18"/>
          <w:szCs w:val="18"/>
          <w:lang w:val="en-ID"/>
        </w:rPr>
        <w:t>Permatasari</w:t>
      </w:r>
      <w:proofErr w:type="spellEnd"/>
      <w:r w:rsidRPr="0046784D">
        <w:rPr>
          <w:rFonts w:ascii="Arial" w:hAnsi="Arial" w:cs="Arial"/>
          <w:color w:val="000000" w:themeColor="text1"/>
          <w:sz w:val="18"/>
          <w:szCs w:val="18"/>
          <w:lang w:val="en-ID"/>
        </w:rPr>
        <w:t xml:space="preserve">, P. (2023). Aquatic eDNA Metabarcoding Reveals Biodiversity and Plankton Composition in </w:t>
      </w:r>
      <w:r w:rsidRPr="0046784D">
        <w:rPr>
          <w:rFonts w:ascii="Arial" w:hAnsi="Arial" w:cs="Arial"/>
          <w:color w:val="000000" w:themeColor="text1"/>
          <w:sz w:val="18"/>
          <w:szCs w:val="18"/>
          <w:lang w:val="en-ID"/>
        </w:rPr>
        <w:lastRenderedPageBreak/>
        <w:t>River Ecosystems. Polish Journal of Environmental Studies</w:t>
      </w:r>
      <w:r w:rsidRPr="0046784D">
        <w:rPr>
          <w:rFonts w:ascii="Arial" w:hAnsi="Arial" w:cs="Arial"/>
          <w:i/>
          <w:iCs/>
          <w:color w:val="000000" w:themeColor="text1"/>
          <w:sz w:val="18"/>
          <w:szCs w:val="18"/>
          <w:lang w:val="en-ID"/>
        </w:rPr>
        <w:t>.</w:t>
      </w:r>
      <w:r w:rsidRPr="0046784D">
        <w:rPr>
          <w:rFonts w:ascii="Arial" w:hAnsi="Arial" w:cs="Arial"/>
          <w:color w:val="000000" w:themeColor="text1"/>
          <w:sz w:val="18"/>
          <w:szCs w:val="18"/>
          <w:lang w:val="en-ID"/>
        </w:rPr>
        <w:t xml:space="preserve"> </w:t>
      </w:r>
      <w:hyperlink r:id="rId20" w:tgtFrame="_new" w:history="1">
        <w:r w:rsidRPr="0046784D">
          <w:rPr>
            <w:rStyle w:val="Hyperlink"/>
            <w:rFonts w:ascii="Arial" w:hAnsi="Arial" w:cs="Arial"/>
            <w:color w:val="000000" w:themeColor="text1"/>
            <w:sz w:val="18"/>
            <w:szCs w:val="18"/>
            <w:lang w:val="en-ID"/>
          </w:rPr>
          <w:t>https://doi.org/10.15244/pjoes/163625</w:t>
        </w:r>
      </w:hyperlink>
    </w:p>
    <w:p w14:paraId="729598C7" w14:textId="77777777" w:rsidR="00E8231F" w:rsidRPr="0046784D" w:rsidRDefault="00E8231F" w:rsidP="0046784D">
      <w:pPr>
        <w:pStyle w:val="ListParagraph"/>
        <w:numPr>
          <w:ilvl w:val="0"/>
          <w:numId w:val="24"/>
        </w:numPr>
        <w:spacing w:after="0" w:line="240" w:lineRule="auto"/>
        <w:jc w:val="both"/>
        <w:rPr>
          <w:rFonts w:ascii="Arial" w:hAnsi="Arial" w:cs="Arial"/>
          <w:color w:val="000000" w:themeColor="text1"/>
          <w:sz w:val="18"/>
          <w:szCs w:val="18"/>
        </w:rPr>
      </w:pPr>
      <w:r w:rsidRPr="0046784D">
        <w:rPr>
          <w:rFonts w:ascii="Arial" w:hAnsi="Arial" w:cs="Arial"/>
          <w:color w:val="000000" w:themeColor="text1"/>
          <w:sz w:val="18"/>
          <w:szCs w:val="18"/>
        </w:rPr>
        <w:t xml:space="preserve">Bach, L. T., </w:t>
      </w:r>
      <w:proofErr w:type="spellStart"/>
      <w:r w:rsidRPr="0046784D">
        <w:rPr>
          <w:rFonts w:ascii="Arial" w:hAnsi="Arial" w:cs="Arial"/>
          <w:color w:val="000000" w:themeColor="text1"/>
          <w:sz w:val="18"/>
          <w:szCs w:val="18"/>
        </w:rPr>
        <w:t>Boxhammer</w:t>
      </w:r>
      <w:proofErr w:type="spellEnd"/>
      <w:r w:rsidRPr="0046784D">
        <w:rPr>
          <w:rFonts w:ascii="Arial" w:hAnsi="Arial" w:cs="Arial"/>
          <w:color w:val="000000" w:themeColor="text1"/>
          <w:sz w:val="18"/>
          <w:szCs w:val="18"/>
        </w:rPr>
        <w:t xml:space="preserve">, T., Larsen, A., Hildebrandt, N., Schulz, K. G., &amp; </w:t>
      </w:r>
      <w:proofErr w:type="spellStart"/>
      <w:r w:rsidRPr="0046784D">
        <w:rPr>
          <w:rFonts w:ascii="Arial" w:hAnsi="Arial" w:cs="Arial"/>
          <w:color w:val="000000" w:themeColor="text1"/>
          <w:sz w:val="18"/>
          <w:szCs w:val="18"/>
        </w:rPr>
        <w:t>Riebesell</w:t>
      </w:r>
      <w:proofErr w:type="spellEnd"/>
      <w:r w:rsidRPr="0046784D">
        <w:rPr>
          <w:rFonts w:ascii="Arial" w:hAnsi="Arial" w:cs="Arial"/>
          <w:color w:val="000000" w:themeColor="text1"/>
          <w:sz w:val="18"/>
          <w:szCs w:val="18"/>
        </w:rPr>
        <w:t xml:space="preserve">, U. (2016). Influence of plankton community structure on the sinking velocity of marine aggregates. Global Biogeochemical Cycles, 30(8), 1145–1165. </w:t>
      </w:r>
      <w:hyperlink r:id="rId21" w:history="1">
        <w:r w:rsidRPr="0046784D">
          <w:rPr>
            <w:rStyle w:val="Hyperlink"/>
            <w:rFonts w:ascii="Arial" w:hAnsi="Arial" w:cs="Arial"/>
            <w:color w:val="000000" w:themeColor="text1"/>
            <w:sz w:val="18"/>
            <w:szCs w:val="18"/>
          </w:rPr>
          <w:t>https://doi.org/10.1002/2016gb005372</w:t>
        </w:r>
      </w:hyperlink>
    </w:p>
    <w:p w14:paraId="114A9394" w14:textId="52953539" w:rsidR="00E84334" w:rsidRPr="0046784D" w:rsidRDefault="00E84334" w:rsidP="0046784D">
      <w:pPr>
        <w:pStyle w:val="ListParagraph"/>
        <w:numPr>
          <w:ilvl w:val="0"/>
          <w:numId w:val="24"/>
        </w:numPr>
        <w:autoSpaceDE w:val="0"/>
        <w:autoSpaceDN w:val="0"/>
        <w:adjustRightInd w:val="0"/>
        <w:spacing w:after="0" w:line="240" w:lineRule="auto"/>
        <w:jc w:val="both"/>
        <w:rPr>
          <w:rFonts w:ascii="Arial" w:hAnsi="Arial" w:cs="Arial"/>
          <w:color w:val="000000" w:themeColor="text1"/>
          <w:sz w:val="18"/>
          <w:szCs w:val="18"/>
          <w:lang w:val="de-DE"/>
        </w:rPr>
      </w:pPr>
      <w:r w:rsidRPr="0046784D">
        <w:rPr>
          <w:rFonts w:ascii="Arial" w:hAnsi="Arial" w:cs="Arial"/>
          <w:color w:val="000000" w:themeColor="text1"/>
          <w:sz w:val="18"/>
          <w:szCs w:val="18"/>
        </w:rPr>
        <w:t xml:space="preserve">Brower J.E. dan </w:t>
      </w:r>
      <w:proofErr w:type="spellStart"/>
      <w:r w:rsidRPr="0046784D">
        <w:rPr>
          <w:rFonts w:ascii="Arial" w:hAnsi="Arial" w:cs="Arial"/>
          <w:color w:val="000000" w:themeColor="text1"/>
          <w:sz w:val="18"/>
          <w:szCs w:val="18"/>
        </w:rPr>
        <w:t>Zar</w:t>
      </w:r>
      <w:proofErr w:type="spellEnd"/>
      <w:r w:rsidRPr="0046784D">
        <w:rPr>
          <w:rFonts w:ascii="Arial" w:hAnsi="Arial" w:cs="Arial"/>
          <w:color w:val="000000" w:themeColor="text1"/>
          <w:sz w:val="18"/>
          <w:szCs w:val="18"/>
        </w:rPr>
        <w:t xml:space="preserve"> J.H.  Field and laboratory method for general ecology. Wm. C. Brown </w:t>
      </w:r>
      <w:r w:rsidR="00467601" w:rsidRPr="0046784D">
        <w:rPr>
          <w:rFonts w:ascii="Arial" w:hAnsi="Arial" w:cs="Arial"/>
          <w:color w:val="000000" w:themeColor="text1"/>
          <w:sz w:val="18"/>
          <w:szCs w:val="18"/>
        </w:rPr>
        <w:t>Pub</w:t>
      </w:r>
      <w:r w:rsidRPr="0046784D">
        <w:rPr>
          <w:rFonts w:ascii="Arial" w:hAnsi="Arial" w:cs="Arial"/>
          <w:color w:val="000000" w:themeColor="text1"/>
          <w:sz w:val="18"/>
          <w:szCs w:val="18"/>
        </w:rPr>
        <w:t>. Dubuque. Iowa, 1989.</w:t>
      </w:r>
    </w:p>
    <w:p w14:paraId="1877C272" w14:textId="08BD2071" w:rsidR="0034507C" w:rsidRPr="0046784D" w:rsidRDefault="0034507C" w:rsidP="0046784D">
      <w:pPr>
        <w:pStyle w:val="ListParagraph"/>
        <w:numPr>
          <w:ilvl w:val="0"/>
          <w:numId w:val="24"/>
        </w:numPr>
        <w:spacing w:after="0" w:line="240" w:lineRule="auto"/>
        <w:jc w:val="both"/>
        <w:rPr>
          <w:rFonts w:ascii="Arial" w:hAnsi="Arial" w:cs="Arial"/>
          <w:color w:val="000000" w:themeColor="text1"/>
          <w:sz w:val="18"/>
          <w:szCs w:val="18"/>
          <w:lang w:val="en-ID"/>
        </w:rPr>
      </w:pPr>
      <w:proofErr w:type="spellStart"/>
      <w:r w:rsidRPr="0046784D">
        <w:rPr>
          <w:rFonts w:ascii="Arial" w:hAnsi="Arial" w:cs="Arial"/>
          <w:color w:val="000000" w:themeColor="text1"/>
          <w:sz w:val="18"/>
          <w:szCs w:val="18"/>
        </w:rPr>
        <w:t>Cloern</w:t>
      </w:r>
      <w:proofErr w:type="spellEnd"/>
      <w:r w:rsidRPr="0046784D">
        <w:rPr>
          <w:rFonts w:ascii="Arial" w:hAnsi="Arial" w:cs="Arial"/>
          <w:color w:val="000000" w:themeColor="text1"/>
          <w:sz w:val="18"/>
          <w:szCs w:val="18"/>
        </w:rPr>
        <w:t xml:space="preserve">, J.E., &amp; </w:t>
      </w:r>
      <w:proofErr w:type="spellStart"/>
      <w:r w:rsidRPr="0046784D">
        <w:rPr>
          <w:rFonts w:ascii="Arial" w:hAnsi="Arial" w:cs="Arial"/>
          <w:color w:val="000000" w:themeColor="text1"/>
          <w:sz w:val="18"/>
          <w:szCs w:val="18"/>
        </w:rPr>
        <w:t>Jassby</w:t>
      </w:r>
      <w:proofErr w:type="spellEnd"/>
      <w:r w:rsidRPr="0046784D">
        <w:rPr>
          <w:rFonts w:ascii="Arial" w:hAnsi="Arial" w:cs="Arial"/>
          <w:color w:val="000000" w:themeColor="text1"/>
          <w:sz w:val="18"/>
          <w:szCs w:val="18"/>
        </w:rPr>
        <w:t>, A.D. (2010). Patterns and scaling of phytoplankton variability in estuarine–coastal ecosystems. Estuaries and Coasts, 33, 230–241.</w:t>
      </w:r>
    </w:p>
    <w:p w14:paraId="76C2DB95" w14:textId="1EFEB24E" w:rsidR="00E84334" w:rsidRPr="0046784D" w:rsidRDefault="00E84334" w:rsidP="0046784D">
      <w:pPr>
        <w:pStyle w:val="ListParagraph"/>
        <w:numPr>
          <w:ilvl w:val="0"/>
          <w:numId w:val="24"/>
        </w:numPr>
        <w:spacing w:after="0" w:line="240" w:lineRule="auto"/>
        <w:jc w:val="both"/>
        <w:rPr>
          <w:rFonts w:ascii="Arial" w:hAnsi="Arial" w:cs="Arial"/>
          <w:color w:val="000000" w:themeColor="text1"/>
          <w:sz w:val="18"/>
          <w:szCs w:val="18"/>
        </w:rPr>
      </w:pPr>
      <w:proofErr w:type="spellStart"/>
      <w:r w:rsidRPr="0046784D">
        <w:rPr>
          <w:rFonts w:ascii="Arial" w:hAnsi="Arial" w:cs="Arial"/>
          <w:color w:val="000000" w:themeColor="text1"/>
          <w:sz w:val="18"/>
          <w:szCs w:val="18"/>
        </w:rPr>
        <w:t>Damar</w:t>
      </w:r>
      <w:proofErr w:type="spellEnd"/>
      <w:r w:rsidRPr="0046784D">
        <w:rPr>
          <w:rFonts w:ascii="Arial" w:hAnsi="Arial" w:cs="Arial"/>
          <w:color w:val="000000" w:themeColor="text1"/>
          <w:sz w:val="18"/>
          <w:szCs w:val="18"/>
        </w:rPr>
        <w:t xml:space="preserve">, A., Hesse, K.-J., </w:t>
      </w:r>
      <w:proofErr w:type="spellStart"/>
      <w:r w:rsidRPr="0046784D">
        <w:rPr>
          <w:rFonts w:ascii="Arial" w:hAnsi="Arial" w:cs="Arial"/>
          <w:color w:val="000000" w:themeColor="text1"/>
          <w:sz w:val="18"/>
          <w:szCs w:val="18"/>
        </w:rPr>
        <w:t>Colijn</w:t>
      </w:r>
      <w:proofErr w:type="spellEnd"/>
      <w:r w:rsidRPr="0046784D">
        <w:rPr>
          <w:rFonts w:ascii="Arial" w:hAnsi="Arial" w:cs="Arial"/>
          <w:color w:val="000000" w:themeColor="text1"/>
          <w:sz w:val="18"/>
          <w:szCs w:val="18"/>
        </w:rPr>
        <w:t xml:space="preserve">, F., &amp; </w:t>
      </w:r>
      <w:proofErr w:type="spellStart"/>
      <w:r w:rsidRPr="0046784D">
        <w:rPr>
          <w:rFonts w:ascii="Arial" w:hAnsi="Arial" w:cs="Arial"/>
          <w:color w:val="000000" w:themeColor="text1"/>
          <w:sz w:val="18"/>
          <w:szCs w:val="18"/>
        </w:rPr>
        <w:t>Vitner</w:t>
      </w:r>
      <w:proofErr w:type="spellEnd"/>
      <w:r w:rsidRPr="0046784D">
        <w:rPr>
          <w:rFonts w:ascii="Arial" w:hAnsi="Arial" w:cs="Arial"/>
          <w:color w:val="000000" w:themeColor="text1"/>
          <w:sz w:val="18"/>
          <w:szCs w:val="18"/>
        </w:rPr>
        <w:t xml:space="preserve">, Y. (2019). The eutrophication states of the Indonesian sea large marine ecosystem: Jakarta Bay, 2001–2013. Deep-Sea Research Part </w:t>
      </w:r>
      <w:r w:rsidR="00467601" w:rsidRPr="0046784D">
        <w:rPr>
          <w:rFonts w:ascii="Arial" w:hAnsi="Arial" w:cs="Arial"/>
          <w:color w:val="000000" w:themeColor="text1"/>
          <w:sz w:val="18"/>
          <w:szCs w:val="18"/>
        </w:rPr>
        <w:t>II-Topical</w:t>
      </w:r>
      <w:r w:rsidRPr="0046784D">
        <w:rPr>
          <w:rFonts w:ascii="Arial" w:hAnsi="Arial" w:cs="Arial"/>
          <w:color w:val="000000" w:themeColor="text1"/>
          <w:sz w:val="18"/>
          <w:szCs w:val="18"/>
        </w:rPr>
        <w:t xml:space="preserve"> Studies in Oceanography, 163, 72–86. </w:t>
      </w:r>
      <w:hyperlink r:id="rId22" w:history="1">
        <w:r w:rsidRPr="0046784D">
          <w:rPr>
            <w:rStyle w:val="Hyperlink"/>
            <w:rFonts w:ascii="Arial" w:hAnsi="Arial" w:cs="Arial"/>
            <w:color w:val="000000" w:themeColor="text1"/>
            <w:sz w:val="18"/>
            <w:szCs w:val="18"/>
          </w:rPr>
          <w:t>https://doi.org/10.1016/j.dsr2.2019.05.012</w:t>
        </w:r>
      </w:hyperlink>
    </w:p>
    <w:p w14:paraId="3104DBF8" w14:textId="77777777" w:rsidR="001F78D2" w:rsidRPr="0046784D" w:rsidRDefault="001F78D2" w:rsidP="0046784D">
      <w:pPr>
        <w:pStyle w:val="ListParagraph"/>
        <w:numPr>
          <w:ilvl w:val="0"/>
          <w:numId w:val="24"/>
        </w:numPr>
        <w:spacing w:after="0" w:line="240" w:lineRule="auto"/>
        <w:jc w:val="both"/>
        <w:rPr>
          <w:rFonts w:ascii="Arial" w:hAnsi="Arial" w:cs="Arial"/>
          <w:color w:val="000000" w:themeColor="text1"/>
          <w:sz w:val="18"/>
          <w:szCs w:val="18"/>
        </w:rPr>
      </w:pPr>
      <w:proofErr w:type="spellStart"/>
      <w:r w:rsidRPr="0046784D">
        <w:rPr>
          <w:rFonts w:ascii="Arial" w:hAnsi="Arial" w:cs="Arial"/>
          <w:color w:val="000000" w:themeColor="text1"/>
          <w:sz w:val="18"/>
          <w:szCs w:val="18"/>
          <w:lang w:val="en-ID"/>
        </w:rPr>
        <w:t>Damar</w:t>
      </w:r>
      <w:proofErr w:type="spellEnd"/>
      <w:r w:rsidRPr="0046784D">
        <w:rPr>
          <w:rFonts w:ascii="Arial" w:hAnsi="Arial" w:cs="Arial"/>
          <w:color w:val="000000" w:themeColor="text1"/>
          <w:sz w:val="18"/>
          <w:szCs w:val="18"/>
          <w:lang w:val="en-ID"/>
        </w:rPr>
        <w:t xml:space="preserve">, A., </w:t>
      </w:r>
      <w:proofErr w:type="spellStart"/>
      <w:r w:rsidRPr="0046784D">
        <w:rPr>
          <w:rFonts w:ascii="Arial" w:hAnsi="Arial" w:cs="Arial"/>
          <w:color w:val="000000" w:themeColor="text1"/>
          <w:sz w:val="18"/>
          <w:szCs w:val="18"/>
          <w:lang w:val="en-ID"/>
        </w:rPr>
        <w:t>Colijn</w:t>
      </w:r>
      <w:proofErr w:type="spellEnd"/>
      <w:r w:rsidRPr="0046784D">
        <w:rPr>
          <w:rFonts w:ascii="Arial" w:hAnsi="Arial" w:cs="Arial"/>
          <w:color w:val="000000" w:themeColor="text1"/>
          <w:sz w:val="18"/>
          <w:szCs w:val="18"/>
          <w:lang w:val="en-ID"/>
        </w:rPr>
        <w:t xml:space="preserve">, F., Hesse, K.-J., </w:t>
      </w:r>
      <w:proofErr w:type="spellStart"/>
      <w:r w:rsidRPr="0046784D">
        <w:rPr>
          <w:rFonts w:ascii="Arial" w:hAnsi="Arial" w:cs="Arial"/>
          <w:color w:val="000000" w:themeColor="text1"/>
          <w:sz w:val="18"/>
          <w:szCs w:val="18"/>
          <w:lang w:val="en-ID"/>
        </w:rPr>
        <w:t>Adrianto</w:t>
      </w:r>
      <w:proofErr w:type="spellEnd"/>
      <w:r w:rsidRPr="0046784D">
        <w:rPr>
          <w:rFonts w:ascii="Arial" w:hAnsi="Arial" w:cs="Arial"/>
          <w:color w:val="000000" w:themeColor="text1"/>
          <w:sz w:val="18"/>
          <w:szCs w:val="18"/>
          <w:lang w:val="en-ID"/>
        </w:rPr>
        <w:t xml:space="preserve">, L., </w:t>
      </w:r>
      <w:proofErr w:type="spellStart"/>
      <w:r w:rsidRPr="0046784D">
        <w:rPr>
          <w:rFonts w:ascii="Arial" w:hAnsi="Arial" w:cs="Arial"/>
          <w:color w:val="000000" w:themeColor="text1"/>
          <w:sz w:val="18"/>
          <w:szCs w:val="18"/>
          <w:lang w:val="en-ID"/>
        </w:rPr>
        <w:t>Yonvitner</w:t>
      </w:r>
      <w:proofErr w:type="spellEnd"/>
      <w:r w:rsidRPr="0046784D">
        <w:rPr>
          <w:rFonts w:ascii="Arial" w:hAnsi="Arial" w:cs="Arial"/>
          <w:color w:val="000000" w:themeColor="text1"/>
          <w:sz w:val="18"/>
          <w:szCs w:val="18"/>
          <w:lang w:val="en-ID"/>
        </w:rPr>
        <w:t xml:space="preserve">, Y., </w:t>
      </w:r>
      <w:proofErr w:type="spellStart"/>
      <w:r w:rsidRPr="0046784D">
        <w:rPr>
          <w:rFonts w:ascii="Arial" w:hAnsi="Arial" w:cs="Arial"/>
          <w:color w:val="000000" w:themeColor="text1"/>
          <w:sz w:val="18"/>
          <w:szCs w:val="18"/>
          <w:lang w:val="en-ID"/>
        </w:rPr>
        <w:t>Fahrudin</w:t>
      </w:r>
      <w:proofErr w:type="spellEnd"/>
      <w:r w:rsidRPr="0046784D">
        <w:rPr>
          <w:rFonts w:ascii="Arial" w:hAnsi="Arial" w:cs="Arial"/>
          <w:color w:val="000000" w:themeColor="text1"/>
          <w:sz w:val="18"/>
          <w:szCs w:val="18"/>
          <w:lang w:val="en-ID"/>
        </w:rPr>
        <w:t xml:space="preserve">, A., et al. (2020). Phytoplankton Biomass Dynamics in Tropical Coastal Waters of Jakarta Bay, Indonesia in the Period between 2001 and 2019. Journal of Marine Science and Engineering, 8(9), 674. </w:t>
      </w:r>
      <w:hyperlink r:id="rId23" w:tgtFrame="_new" w:history="1">
        <w:r w:rsidRPr="0046784D">
          <w:rPr>
            <w:rStyle w:val="Hyperlink"/>
            <w:rFonts w:ascii="Arial" w:hAnsi="Arial" w:cs="Arial"/>
            <w:color w:val="000000" w:themeColor="text1"/>
            <w:sz w:val="18"/>
            <w:szCs w:val="18"/>
            <w:lang w:val="en-ID"/>
          </w:rPr>
          <w:t>https://doi.org/10.3390/jmse8090674</w:t>
        </w:r>
      </w:hyperlink>
    </w:p>
    <w:p w14:paraId="45699EB1" w14:textId="2430A11E" w:rsidR="0034507C" w:rsidRPr="0046784D" w:rsidRDefault="0034507C" w:rsidP="0046784D">
      <w:pPr>
        <w:pStyle w:val="ListParagraph"/>
        <w:numPr>
          <w:ilvl w:val="0"/>
          <w:numId w:val="24"/>
        </w:numPr>
        <w:spacing w:after="0" w:line="240" w:lineRule="auto"/>
        <w:jc w:val="both"/>
        <w:rPr>
          <w:rFonts w:ascii="Arial" w:hAnsi="Arial" w:cs="Arial"/>
          <w:color w:val="000000" w:themeColor="text1"/>
          <w:sz w:val="18"/>
          <w:szCs w:val="18"/>
          <w:lang w:val="en-ID"/>
        </w:rPr>
      </w:pPr>
      <w:r w:rsidRPr="0046784D">
        <w:rPr>
          <w:rFonts w:ascii="Arial" w:hAnsi="Arial" w:cs="Arial"/>
          <w:color w:val="000000" w:themeColor="text1"/>
          <w:sz w:val="18"/>
          <w:szCs w:val="18"/>
        </w:rPr>
        <w:t>Duprey, N., et al. (2019). Phytoplankton responses in urbanized tropical bays. Estuarine, Coastal and Shelf Science, 222, 165–176.</w:t>
      </w:r>
    </w:p>
    <w:p w14:paraId="78F37D5C" w14:textId="0FFC82BE" w:rsidR="00E84334" w:rsidRPr="0046784D" w:rsidRDefault="00E84334" w:rsidP="0046784D">
      <w:pPr>
        <w:pStyle w:val="ListParagraph"/>
        <w:numPr>
          <w:ilvl w:val="0"/>
          <w:numId w:val="24"/>
        </w:numPr>
        <w:spacing w:after="0" w:line="240" w:lineRule="auto"/>
        <w:jc w:val="both"/>
        <w:rPr>
          <w:rFonts w:ascii="Arial" w:hAnsi="Arial" w:cs="Arial"/>
          <w:color w:val="000000" w:themeColor="text1"/>
          <w:sz w:val="18"/>
          <w:szCs w:val="18"/>
          <w:lang w:val="en-ID"/>
        </w:rPr>
      </w:pPr>
      <w:proofErr w:type="spellStart"/>
      <w:r w:rsidRPr="0046784D">
        <w:rPr>
          <w:rFonts w:ascii="Arial" w:hAnsi="Arial" w:cs="Arial"/>
          <w:color w:val="000000" w:themeColor="text1"/>
          <w:sz w:val="18"/>
          <w:szCs w:val="18"/>
          <w:lang w:val="en-ID"/>
        </w:rPr>
        <w:t>Dwiyitno</w:t>
      </w:r>
      <w:proofErr w:type="spellEnd"/>
      <w:r w:rsidRPr="0046784D">
        <w:rPr>
          <w:rFonts w:ascii="Arial" w:hAnsi="Arial" w:cs="Arial"/>
          <w:color w:val="000000" w:themeColor="text1"/>
          <w:sz w:val="18"/>
          <w:szCs w:val="18"/>
          <w:lang w:val="en-ID"/>
        </w:rPr>
        <w:t xml:space="preserve">, D., </w:t>
      </w:r>
      <w:proofErr w:type="spellStart"/>
      <w:r w:rsidRPr="0046784D">
        <w:rPr>
          <w:rFonts w:ascii="Arial" w:hAnsi="Arial" w:cs="Arial"/>
          <w:color w:val="000000" w:themeColor="text1"/>
          <w:sz w:val="18"/>
          <w:szCs w:val="18"/>
          <w:lang w:val="en-ID"/>
        </w:rPr>
        <w:t>Barokah</w:t>
      </w:r>
      <w:proofErr w:type="spellEnd"/>
      <w:r w:rsidRPr="0046784D">
        <w:rPr>
          <w:rFonts w:ascii="Arial" w:hAnsi="Arial" w:cs="Arial"/>
          <w:color w:val="000000" w:themeColor="text1"/>
          <w:sz w:val="18"/>
          <w:szCs w:val="18"/>
          <w:lang w:val="en-ID"/>
        </w:rPr>
        <w:t xml:space="preserve">, G. R., </w:t>
      </w:r>
      <w:proofErr w:type="spellStart"/>
      <w:r w:rsidRPr="0046784D">
        <w:rPr>
          <w:rFonts w:ascii="Arial" w:hAnsi="Arial" w:cs="Arial"/>
          <w:color w:val="000000" w:themeColor="text1"/>
          <w:sz w:val="18"/>
          <w:szCs w:val="18"/>
          <w:lang w:val="en-ID"/>
        </w:rPr>
        <w:t>Rustiani</w:t>
      </w:r>
      <w:proofErr w:type="spellEnd"/>
      <w:r w:rsidRPr="0046784D">
        <w:rPr>
          <w:rFonts w:ascii="Arial" w:hAnsi="Arial" w:cs="Arial"/>
          <w:color w:val="000000" w:themeColor="text1"/>
          <w:sz w:val="18"/>
          <w:szCs w:val="18"/>
          <w:lang w:val="en-ID"/>
        </w:rPr>
        <w:t xml:space="preserve">, R., &amp; </w:t>
      </w:r>
      <w:proofErr w:type="spellStart"/>
      <w:r w:rsidRPr="0046784D">
        <w:rPr>
          <w:rFonts w:ascii="Arial" w:hAnsi="Arial" w:cs="Arial"/>
          <w:color w:val="000000" w:themeColor="text1"/>
          <w:sz w:val="18"/>
          <w:szCs w:val="18"/>
          <w:lang w:val="en-ID"/>
        </w:rPr>
        <w:t>Wibowo</w:t>
      </w:r>
      <w:proofErr w:type="spellEnd"/>
      <w:r w:rsidRPr="0046784D">
        <w:rPr>
          <w:rFonts w:ascii="Arial" w:hAnsi="Arial" w:cs="Arial"/>
          <w:color w:val="000000" w:themeColor="text1"/>
          <w:sz w:val="18"/>
          <w:szCs w:val="18"/>
          <w:lang w:val="en-ID"/>
        </w:rPr>
        <w:t xml:space="preserve">, S. (2022). Distribution of saxitoxin-producing algae in Jakarta Bay and the </w:t>
      </w:r>
      <w:r w:rsidR="00467601" w:rsidRPr="0046784D">
        <w:rPr>
          <w:rFonts w:ascii="Arial" w:hAnsi="Arial" w:cs="Arial"/>
          <w:color w:val="000000" w:themeColor="text1"/>
          <w:sz w:val="18"/>
          <w:szCs w:val="18"/>
          <w:lang w:val="en-ID"/>
        </w:rPr>
        <w:t>implications for</w:t>
      </w:r>
      <w:r w:rsidRPr="0046784D">
        <w:rPr>
          <w:rFonts w:ascii="Arial" w:hAnsi="Arial" w:cs="Arial"/>
          <w:color w:val="000000" w:themeColor="text1"/>
          <w:sz w:val="18"/>
          <w:szCs w:val="18"/>
          <w:lang w:val="en-ID"/>
        </w:rPr>
        <w:t xml:space="preserve"> saxitoxin concentration in green mussel. IOP Conference Series: Earth and Environmental Science, 967, 012037. </w:t>
      </w:r>
      <w:hyperlink r:id="rId24" w:tgtFrame="_new" w:history="1">
        <w:r w:rsidRPr="0046784D">
          <w:rPr>
            <w:rStyle w:val="Hyperlink"/>
            <w:rFonts w:ascii="Arial" w:hAnsi="Arial" w:cs="Arial"/>
            <w:color w:val="000000" w:themeColor="text1"/>
            <w:sz w:val="18"/>
            <w:szCs w:val="18"/>
            <w:lang w:val="en-ID"/>
          </w:rPr>
          <w:t>https://doi.org/10.1088/1755-1315/967/1/012037</w:t>
        </w:r>
      </w:hyperlink>
    </w:p>
    <w:p w14:paraId="2DD173E7" w14:textId="77777777" w:rsidR="00D4559A" w:rsidRPr="0046784D" w:rsidRDefault="001F78D2" w:rsidP="0046784D">
      <w:pPr>
        <w:pStyle w:val="ListParagraph"/>
        <w:numPr>
          <w:ilvl w:val="0"/>
          <w:numId w:val="24"/>
        </w:numPr>
        <w:spacing w:after="0" w:line="240" w:lineRule="auto"/>
        <w:jc w:val="both"/>
        <w:rPr>
          <w:rFonts w:ascii="Arial" w:hAnsi="Arial" w:cs="Arial"/>
          <w:color w:val="000000" w:themeColor="text1"/>
          <w:sz w:val="18"/>
          <w:szCs w:val="18"/>
          <w:lang w:val="en-ID"/>
        </w:rPr>
      </w:pPr>
      <w:r w:rsidRPr="0046784D">
        <w:rPr>
          <w:rFonts w:ascii="Arial" w:hAnsi="Arial" w:cs="Arial"/>
          <w:color w:val="000000" w:themeColor="text1"/>
          <w:sz w:val="18"/>
          <w:szCs w:val="18"/>
          <w:lang w:val="en-ID"/>
        </w:rPr>
        <w:t xml:space="preserve">Firdaus, M. R., </w:t>
      </w:r>
      <w:proofErr w:type="spellStart"/>
      <w:r w:rsidRPr="0046784D">
        <w:rPr>
          <w:rFonts w:ascii="Arial" w:hAnsi="Arial" w:cs="Arial"/>
          <w:color w:val="000000" w:themeColor="text1"/>
          <w:sz w:val="18"/>
          <w:szCs w:val="18"/>
          <w:lang w:val="en-ID"/>
        </w:rPr>
        <w:t>Thoha</w:t>
      </w:r>
      <w:proofErr w:type="spellEnd"/>
      <w:r w:rsidRPr="0046784D">
        <w:rPr>
          <w:rFonts w:ascii="Arial" w:hAnsi="Arial" w:cs="Arial"/>
          <w:color w:val="000000" w:themeColor="text1"/>
          <w:sz w:val="18"/>
          <w:szCs w:val="18"/>
          <w:lang w:val="en-ID"/>
        </w:rPr>
        <w:t xml:space="preserve">, H., </w:t>
      </w:r>
      <w:proofErr w:type="spellStart"/>
      <w:r w:rsidRPr="0046784D">
        <w:rPr>
          <w:rFonts w:ascii="Arial" w:hAnsi="Arial" w:cs="Arial"/>
          <w:color w:val="000000" w:themeColor="text1"/>
          <w:sz w:val="18"/>
          <w:szCs w:val="18"/>
          <w:lang w:val="en-ID"/>
        </w:rPr>
        <w:t>Rachman</w:t>
      </w:r>
      <w:proofErr w:type="spellEnd"/>
      <w:r w:rsidRPr="0046784D">
        <w:rPr>
          <w:rFonts w:ascii="Arial" w:hAnsi="Arial" w:cs="Arial"/>
          <w:color w:val="000000" w:themeColor="text1"/>
          <w:sz w:val="18"/>
          <w:szCs w:val="18"/>
          <w:lang w:val="en-ID"/>
        </w:rPr>
        <w:t xml:space="preserve">, A., </w:t>
      </w:r>
      <w:proofErr w:type="spellStart"/>
      <w:r w:rsidRPr="0046784D">
        <w:rPr>
          <w:rFonts w:ascii="Arial" w:hAnsi="Arial" w:cs="Arial"/>
          <w:color w:val="000000" w:themeColor="text1"/>
          <w:sz w:val="18"/>
          <w:szCs w:val="18"/>
          <w:lang w:val="en-ID"/>
        </w:rPr>
        <w:t>Fitriya</w:t>
      </w:r>
      <w:proofErr w:type="spellEnd"/>
      <w:r w:rsidRPr="0046784D">
        <w:rPr>
          <w:rFonts w:ascii="Arial" w:hAnsi="Arial" w:cs="Arial"/>
          <w:color w:val="000000" w:themeColor="text1"/>
          <w:sz w:val="18"/>
          <w:szCs w:val="18"/>
          <w:lang w:val="en-ID"/>
        </w:rPr>
        <w:t xml:space="preserve">, N., </w:t>
      </w:r>
      <w:proofErr w:type="spellStart"/>
      <w:r w:rsidRPr="0046784D">
        <w:rPr>
          <w:rFonts w:ascii="Arial" w:hAnsi="Arial" w:cs="Arial"/>
          <w:color w:val="000000" w:themeColor="text1"/>
          <w:sz w:val="18"/>
          <w:szCs w:val="18"/>
          <w:lang w:val="en-ID"/>
        </w:rPr>
        <w:t>Sianturi</w:t>
      </w:r>
      <w:proofErr w:type="spellEnd"/>
      <w:r w:rsidRPr="0046784D">
        <w:rPr>
          <w:rFonts w:ascii="Arial" w:hAnsi="Arial" w:cs="Arial"/>
          <w:color w:val="000000" w:themeColor="text1"/>
          <w:sz w:val="18"/>
          <w:szCs w:val="18"/>
          <w:lang w:val="en-ID"/>
        </w:rPr>
        <w:t xml:space="preserve">, O. R., </w:t>
      </w:r>
      <w:proofErr w:type="spellStart"/>
      <w:r w:rsidRPr="0046784D">
        <w:rPr>
          <w:rFonts w:ascii="Arial" w:hAnsi="Arial" w:cs="Arial"/>
          <w:color w:val="000000" w:themeColor="text1"/>
          <w:sz w:val="18"/>
          <w:szCs w:val="18"/>
          <w:lang w:val="en-ID"/>
        </w:rPr>
        <w:t>Intan</w:t>
      </w:r>
      <w:proofErr w:type="spellEnd"/>
      <w:r w:rsidRPr="0046784D">
        <w:rPr>
          <w:rFonts w:ascii="Arial" w:hAnsi="Arial" w:cs="Arial"/>
          <w:color w:val="000000" w:themeColor="text1"/>
          <w:sz w:val="18"/>
          <w:szCs w:val="18"/>
          <w:lang w:val="en-ID"/>
        </w:rPr>
        <w:t xml:space="preserve">, M. D. B., et al. (2023). Study of plankton in Jakarta Bay and surrounding Java Sea: a comparison of community and water quality. IOP Conference Series: Earth and Environmental Science, 1271, 012040. </w:t>
      </w:r>
      <w:hyperlink r:id="rId25" w:tgtFrame="_new" w:history="1">
        <w:r w:rsidRPr="0046784D">
          <w:rPr>
            <w:rStyle w:val="Hyperlink"/>
            <w:rFonts w:ascii="Arial" w:hAnsi="Arial" w:cs="Arial"/>
            <w:color w:val="000000" w:themeColor="text1"/>
            <w:sz w:val="18"/>
            <w:szCs w:val="18"/>
            <w:lang w:val="en-ID"/>
          </w:rPr>
          <w:t>https://doi.org/10.1088/1755-1315/1271/1/012040</w:t>
        </w:r>
      </w:hyperlink>
    </w:p>
    <w:p w14:paraId="049D2A7F" w14:textId="77777777" w:rsidR="00E84334" w:rsidRPr="00F1570C" w:rsidRDefault="00E84334" w:rsidP="0046784D">
      <w:pPr>
        <w:pStyle w:val="Bibliography"/>
        <w:numPr>
          <w:ilvl w:val="0"/>
          <w:numId w:val="24"/>
        </w:numPr>
        <w:spacing w:after="0" w:line="240" w:lineRule="auto"/>
        <w:jc w:val="both"/>
        <w:rPr>
          <w:rFonts w:ascii="Arial" w:hAnsi="Arial"/>
          <w:color w:val="000000" w:themeColor="text1"/>
          <w:sz w:val="18"/>
          <w:szCs w:val="18"/>
        </w:rPr>
      </w:pPr>
      <w:r w:rsidRPr="00F1570C">
        <w:rPr>
          <w:rFonts w:ascii="Arial" w:hAnsi="Arial"/>
          <w:color w:val="000000" w:themeColor="text1"/>
          <w:sz w:val="18"/>
          <w:szCs w:val="18"/>
        </w:rPr>
        <w:t xml:space="preserve">Ge, J., Shi, S., Liu, J., Xu, Y., Chen, C., </w:t>
      </w:r>
      <w:proofErr w:type="spellStart"/>
      <w:r w:rsidRPr="00F1570C">
        <w:rPr>
          <w:rFonts w:ascii="Arial" w:hAnsi="Arial"/>
          <w:color w:val="000000" w:themeColor="text1"/>
          <w:sz w:val="18"/>
          <w:szCs w:val="18"/>
        </w:rPr>
        <w:t>Bellerby</w:t>
      </w:r>
      <w:proofErr w:type="spellEnd"/>
      <w:r w:rsidRPr="00F1570C">
        <w:rPr>
          <w:rFonts w:ascii="Arial" w:hAnsi="Arial"/>
          <w:color w:val="000000" w:themeColor="text1"/>
          <w:sz w:val="18"/>
          <w:szCs w:val="18"/>
        </w:rPr>
        <w:t xml:space="preserve">, R. G. J., &amp; Ding, P. (2020). Interannual Variabilities of Nutrients and Phytoplankton off the </w:t>
      </w:r>
      <w:proofErr w:type="spellStart"/>
      <w:r w:rsidRPr="00F1570C">
        <w:rPr>
          <w:rFonts w:ascii="Arial" w:hAnsi="Arial"/>
          <w:color w:val="000000" w:themeColor="text1"/>
          <w:sz w:val="18"/>
          <w:szCs w:val="18"/>
        </w:rPr>
        <w:t>Changjiang</w:t>
      </w:r>
      <w:proofErr w:type="spellEnd"/>
      <w:r w:rsidRPr="00F1570C">
        <w:rPr>
          <w:rFonts w:ascii="Arial" w:hAnsi="Arial"/>
          <w:color w:val="000000" w:themeColor="text1"/>
          <w:sz w:val="18"/>
          <w:szCs w:val="18"/>
        </w:rPr>
        <w:t xml:space="preserve"> Estuary in Response to Changing River Inputs. Wiley. </w:t>
      </w:r>
      <w:hyperlink r:id="rId26" w:history="1">
        <w:r w:rsidRPr="00F1570C">
          <w:rPr>
            <w:rStyle w:val="Hyperlink"/>
            <w:rFonts w:ascii="Arial" w:hAnsi="Arial"/>
            <w:color w:val="000000" w:themeColor="text1"/>
            <w:sz w:val="18"/>
            <w:szCs w:val="18"/>
          </w:rPr>
          <w:t>https://doi.org/https://doi.org/10.1029/2019jc015595</w:t>
        </w:r>
      </w:hyperlink>
    </w:p>
    <w:p w14:paraId="36039B37" w14:textId="706BBEF0" w:rsidR="00E84334" w:rsidRPr="00F1570C" w:rsidRDefault="00E84334" w:rsidP="0046784D">
      <w:pPr>
        <w:pStyle w:val="Bibliography"/>
        <w:numPr>
          <w:ilvl w:val="0"/>
          <w:numId w:val="24"/>
        </w:numPr>
        <w:spacing w:after="0" w:line="240" w:lineRule="auto"/>
        <w:jc w:val="both"/>
        <w:rPr>
          <w:rFonts w:ascii="Arial" w:hAnsi="Arial"/>
          <w:color w:val="000000" w:themeColor="text1"/>
          <w:sz w:val="18"/>
          <w:szCs w:val="18"/>
        </w:rPr>
      </w:pPr>
      <w:proofErr w:type="spellStart"/>
      <w:r w:rsidRPr="00F1570C">
        <w:rPr>
          <w:rFonts w:ascii="Arial" w:hAnsi="Arial"/>
          <w:color w:val="000000" w:themeColor="text1"/>
          <w:sz w:val="18"/>
          <w:szCs w:val="18"/>
        </w:rPr>
        <w:t>Genitsaris</w:t>
      </w:r>
      <w:proofErr w:type="spellEnd"/>
      <w:r w:rsidRPr="00F1570C">
        <w:rPr>
          <w:rFonts w:ascii="Arial" w:hAnsi="Arial"/>
          <w:color w:val="000000" w:themeColor="text1"/>
          <w:sz w:val="18"/>
          <w:szCs w:val="18"/>
        </w:rPr>
        <w:t xml:space="preserve">, S., </w:t>
      </w:r>
      <w:proofErr w:type="spellStart"/>
      <w:r w:rsidRPr="00F1570C">
        <w:rPr>
          <w:rFonts w:ascii="Arial" w:hAnsi="Arial"/>
          <w:color w:val="000000" w:themeColor="text1"/>
          <w:sz w:val="18"/>
          <w:szCs w:val="18"/>
        </w:rPr>
        <w:t>Stefanidou</w:t>
      </w:r>
      <w:proofErr w:type="spellEnd"/>
      <w:r w:rsidRPr="00F1570C">
        <w:rPr>
          <w:rFonts w:ascii="Arial" w:hAnsi="Arial"/>
          <w:color w:val="000000" w:themeColor="text1"/>
          <w:sz w:val="18"/>
          <w:szCs w:val="18"/>
        </w:rPr>
        <w:t xml:space="preserve">, N., Sommer, U., &amp; </w:t>
      </w:r>
      <w:r w:rsidR="00467601">
        <w:rPr>
          <w:rFonts w:ascii="Arial" w:hAnsi="Arial"/>
          <w:color w:val="000000" w:themeColor="text1"/>
          <w:sz w:val="18"/>
          <w:szCs w:val="18"/>
        </w:rPr>
        <w:t>Moustakas-</w:t>
      </w:r>
      <w:proofErr w:type="spellStart"/>
      <w:r w:rsidR="00467601">
        <w:rPr>
          <w:rFonts w:ascii="Arial" w:hAnsi="Arial"/>
          <w:color w:val="000000" w:themeColor="text1"/>
          <w:sz w:val="18"/>
          <w:szCs w:val="18"/>
        </w:rPr>
        <w:t>Gouni</w:t>
      </w:r>
      <w:proofErr w:type="spellEnd"/>
      <w:r w:rsidRPr="00F1570C">
        <w:rPr>
          <w:rFonts w:ascii="Arial" w:hAnsi="Arial"/>
          <w:color w:val="000000" w:themeColor="text1"/>
          <w:sz w:val="18"/>
          <w:szCs w:val="18"/>
        </w:rPr>
        <w:t xml:space="preserve">, M. (2019). Phytoplankton Blooms, Red Tides and Mucilaginous Aggregates in the Urban Thessaloniki Bay, Eastern Mediterranean. Multidisciplinary Digital Publishing Institute. </w:t>
      </w:r>
      <w:hyperlink r:id="rId27" w:history="1">
        <w:r w:rsidRPr="00F1570C">
          <w:rPr>
            <w:rStyle w:val="Hyperlink"/>
            <w:rFonts w:ascii="Arial" w:hAnsi="Arial"/>
            <w:color w:val="000000" w:themeColor="text1"/>
            <w:sz w:val="18"/>
            <w:szCs w:val="18"/>
          </w:rPr>
          <w:t>https://doi.org/https://doi.org/10.3390/d11080136</w:t>
        </w:r>
      </w:hyperlink>
    </w:p>
    <w:p w14:paraId="221DBFA9" w14:textId="0EAF0B6E" w:rsidR="009A3565" w:rsidRPr="0046784D" w:rsidRDefault="009A3565" w:rsidP="0046784D">
      <w:pPr>
        <w:pStyle w:val="ListParagraph"/>
        <w:numPr>
          <w:ilvl w:val="0"/>
          <w:numId w:val="24"/>
        </w:numPr>
        <w:spacing w:after="0" w:line="240" w:lineRule="auto"/>
        <w:jc w:val="both"/>
        <w:rPr>
          <w:rFonts w:ascii="Arial" w:hAnsi="Arial" w:cs="Arial"/>
          <w:color w:val="000000" w:themeColor="text1"/>
          <w:sz w:val="18"/>
          <w:szCs w:val="18"/>
        </w:rPr>
      </w:pPr>
      <w:proofErr w:type="spellStart"/>
      <w:r w:rsidRPr="0046784D">
        <w:rPr>
          <w:rFonts w:ascii="Arial" w:hAnsi="Arial" w:cs="Arial"/>
          <w:color w:val="000000" w:themeColor="text1"/>
          <w:sz w:val="18"/>
          <w:szCs w:val="18"/>
        </w:rPr>
        <w:t>Glibert</w:t>
      </w:r>
      <w:proofErr w:type="spellEnd"/>
      <w:r w:rsidRPr="0046784D">
        <w:rPr>
          <w:rFonts w:ascii="Arial" w:hAnsi="Arial" w:cs="Arial"/>
          <w:color w:val="000000" w:themeColor="text1"/>
          <w:sz w:val="18"/>
          <w:szCs w:val="18"/>
        </w:rPr>
        <w:t xml:space="preserve">, P. M. (2020). Harmful algal blooms: Nutrient sources, composition, and consequences. </w:t>
      </w:r>
      <w:r w:rsidRPr="0046784D">
        <w:rPr>
          <w:rFonts w:ascii="Arial" w:hAnsi="Arial" w:cs="Arial"/>
          <w:i/>
          <w:iCs/>
          <w:color w:val="000000" w:themeColor="text1"/>
          <w:sz w:val="18"/>
          <w:szCs w:val="18"/>
        </w:rPr>
        <w:t>Harmful Algae</w:t>
      </w:r>
      <w:r w:rsidRPr="0046784D">
        <w:rPr>
          <w:rFonts w:ascii="Arial" w:hAnsi="Arial" w:cs="Arial"/>
          <w:color w:val="000000" w:themeColor="text1"/>
          <w:sz w:val="18"/>
          <w:szCs w:val="18"/>
        </w:rPr>
        <w:t>, 91, 101–108.</w:t>
      </w:r>
    </w:p>
    <w:p w14:paraId="1558DB1E" w14:textId="44A5A7A8" w:rsidR="00D4559A" w:rsidRPr="0046784D" w:rsidRDefault="00D4559A" w:rsidP="0046784D">
      <w:pPr>
        <w:pStyle w:val="ListParagraph"/>
        <w:numPr>
          <w:ilvl w:val="0"/>
          <w:numId w:val="24"/>
        </w:numPr>
        <w:spacing w:after="0" w:line="240" w:lineRule="auto"/>
        <w:jc w:val="both"/>
        <w:rPr>
          <w:rFonts w:ascii="Arial" w:hAnsi="Arial" w:cs="Arial"/>
          <w:color w:val="000000" w:themeColor="text1"/>
          <w:sz w:val="18"/>
          <w:szCs w:val="18"/>
          <w:lang w:val="en-ID"/>
        </w:rPr>
      </w:pPr>
      <w:proofErr w:type="spellStart"/>
      <w:r w:rsidRPr="0046784D">
        <w:rPr>
          <w:rFonts w:ascii="Arial" w:hAnsi="Arial" w:cs="Arial"/>
          <w:color w:val="000000" w:themeColor="text1"/>
          <w:sz w:val="18"/>
          <w:szCs w:val="18"/>
          <w:lang w:val="en-ID"/>
        </w:rPr>
        <w:t>Heery</w:t>
      </w:r>
      <w:proofErr w:type="spellEnd"/>
      <w:r w:rsidRPr="0046784D">
        <w:rPr>
          <w:rFonts w:ascii="Arial" w:hAnsi="Arial" w:cs="Arial"/>
          <w:color w:val="000000" w:themeColor="text1"/>
          <w:sz w:val="18"/>
          <w:szCs w:val="18"/>
          <w:lang w:val="en-ID"/>
        </w:rPr>
        <w:t xml:space="preserve">, E. C., et al. (2018). Urban coral reefs: Degradation and resilience of hard corals across gradients of anthropogenic stress in Jakarta Bay, Indonesia. </w:t>
      </w:r>
      <w:r w:rsidRPr="0046784D">
        <w:rPr>
          <w:rFonts w:ascii="Arial" w:hAnsi="Arial" w:cs="Arial"/>
          <w:i/>
          <w:iCs/>
          <w:color w:val="000000" w:themeColor="text1"/>
          <w:sz w:val="18"/>
          <w:szCs w:val="18"/>
          <w:lang w:val="en-ID"/>
        </w:rPr>
        <w:t>Marine Pollution Bulletin</w:t>
      </w:r>
      <w:r w:rsidRPr="0046784D">
        <w:rPr>
          <w:rFonts w:ascii="Arial" w:hAnsi="Arial" w:cs="Arial"/>
          <w:color w:val="000000" w:themeColor="text1"/>
          <w:sz w:val="18"/>
          <w:szCs w:val="18"/>
          <w:lang w:val="en-ID"/>
        </w:rPr>
        <w:t xml:space="preserve">, 135, 678–689. </w:t>
      </w:r>
      <w:r w:rsidRPr="0046784D">
        <w:rPr>
          <w:rFonts w:ascii="Arial" w:hAnsi="Arial" w:cs="Arial"/>
          <w:color w:val="000000" w:themeColor="text1"/>
          <w:sz w:val="18"/>
          <w:szCs w:val="18"/>
          <w:u w:val="single"/>
          <w:lang w:val="en-ID"/>
        </w:rPr>
        <w:t>https://doi.org/10.1016/j.marpolbul.2018.07.052</w:t>
      </w:r>
    </w:p>
    <w:p w14:paraId="2A4DA105" w14:textId="77777777" w:rsidR="00F1570C" w:rsidRPr="00F1570C" w:rsidRDefault="00F1570C" w:rsidP="0046784D">
      <w:pPr>
        <w:pStyle w:val="Bibliography"/>
        <w:numPr>
          <w:ilvl w:val="0"/>
          <w:numId w:val="24"/>
        </w:numPr>
        <w:spacing w:after="0" w:line="240" w:lineRule="auto"/>
        <w:jc w:val="both"/>
        <w:rPr>
          <w:rFonts w:ascii="Arial" w:hAnsi="Arial"/>
          <w:color w:val="000000" w:themeColor="text1"/>
          <w:sz w:val="18"/>
          <w:szCs w:val="18"/>
        </w:rPr>
      </w:pPr>
      <w:r w:rsidRPr="00F1570C">
        <w:rPr>
          <w:rFonts w:ascii="Arial" w:hAnsi="Arial"/>
          <w:color w:val="000000" w:themeColor="text1"/>
          <w:sz w:val="18"/>
          <w:szCs w:val="18"/>
        </w:rPr>
        <w:lastRenderedPageBreak/>
        <w:t xml:space="preserve">Hsieh C.H., K. Ishikawa, Y. Sakai, T. Ishikawa, S. </w:t>
      </w:r>
      <w:proofErr w:type="spellStart"/>
      <w:r w:rsidRPr="00F1570C">
        <w:rPr>
          <w:rFonts w:ascii="Arial" w:hAnsi="Arial"/>
          <w:color w:val="000000" w:themeColor="text1"/>
          <w:sz w:val="18"/>
          <w:szCs w:val="18"/>
        </w:rPr>
        <w:t>Ichise</w:t>
      </w:r>
      <w:proofErr w:type="spellEnd"/>
      <w:r w:rsidRPr="00F1570C">
        <w:rPr>
          <w:rFonts w:ascii="Arial" w:hAnsi="Arial"/>
          <w:color w:val="000000" w:themeColor="text1"/>
          <w:sz w:val="18"/>
          <w:szCs w:val="18"/>
        </w:rPr>
        <w:t>, Y. Yamamoto, Ting</w:t>
      </w:r>
      <w:r w:rsidRPr="00F1570C">
        <w:rPr>
          <w:rFonts w:ascii="Cambria Math" w:hAnsi="Cambria Math" w:cs="Cambria Math"/>
          <w:color w:val="000000" w:themeColor="text1"/>
          <w:sz w:val="18"/>
          <w:szCs w:val="18"/>
        </w:rPr>
        <w:t>‐</w:t>
      </w:r>
      <w:r w:rsidRPr="00F1570C">
        <w:rPr>
          <w:rFonts w:ascii="Arial" w:hAnsi="Arial"/>
          <w:color w:val="000000" w:themeColor="text1"/>
          <w:sz w:val="18"/>
          <w:szCs w:val="18"/>
        </w:rPr>
        <w:t xml:space="preserve">Chun </w:t>
      </w:r>
      <w:proofErr w:type="spellStart"/>
      <w:r w:rsidRPr="00F1570C">
        <w:rPr>
          <w:rFonts w:ascii="Arial" w:hAnsi="Arial"/>
          <w:color w:val="000000" w:themeColor="text1"/>
          <w:sz w:val="18"/>
          <w:szCs w:val="18"/>
        </w:rPr>
        <w:t>Kuo</w:t>
      </w:r>
      <w:proofErr w:type="spellEnd"/>
      <w:r w:rsidRPr="00F1570C">
        <w:rPr>
          <w:rFonts w:ascii="Arial" w:hAnsi="Arial"/>
          <w:color w:val="000000" w:themeColor="text1"/>
          <w:sz w:val="18"/>
          <w:szCs w:val="18"/>
        </w:rPr>
        <w:t xml:space="preserve">, Ho-Dong Park, N. Yamamura, M. </w:t>
      </w:r>
      <w:proofErr w:type="spellStart"/>
      <w:r w:rsidRPr="00F1570C">
        <w:rPr>
          <w:rFonts w:ascii="Arial" w:hAnsi="Arial"/>
          <w:color w:val="000000" w:themeColor="text1"/>
          <w:sz w:val="18"/>
          <w:szCs w:val="18"/>
        </w:rPr>
        <w:t>Kumagai</w:t>
      </w:r>
      <w:proofErr w:type="spellEnd"/>
      <w:r w:rsidRPr="00F1570C">
        <w:rPr>
          <w:rFonts w:ascii="Arial" w:hAnsi="Arial"/>
          <w:color w:val="000000" w:themeColor="text1"/>
          <w:sz w:val="18"/>
          <w:szCs w:val="18"/>
        </w:rPr>
        <w:t xml:space="preserve"> (2010). Phytoplankton community reorganization driven by eutrophication and warming in Lake Biwa. Aqua. Sci. 72:467-483. </w:t>
      </w:r>
      <w:hyperlink r:id="rId28" w:history="1">
        <w:r w:rsidRPr="00F1570C">
          <w:rPr>
            <w:rStyle w:val="Hyperlink"/>
            <w:rFonts w:ascii="Arial" w:hAnsi="Arial"/>
            <w:color w:val="000000" w:themeColor="text1"/>
            <w:sz w:val="18"/>
            <w:szCs w:val="18"/>
          </w:rPr>
          <w:t>https://doi.org/10.1007/s00027-010-0149-4</w:t>
        </w:r>
      </w:hyperlink>
    </w:p>
    <w:p w14:paraId="3C2FAACD" w14:textId="20D7C83E" w:rsidR="00E84334" w:rsidRPr="00F1570C" w:rsidRDefault="00E84334" w:rsidP="0046784D">
      <w:pPr>
        <w:pStyle w:val="Bibliography"/>
        <w:numPr>
          <w:ilvl w:val="0"/>
          <w:numId w:val="24"/>
        </w:numPr>
        <w:spacing w:after="0" w:line="240" w:lineRule="auto"/>
        <w:jc w:val="both"/>
        <w:rPr>
          <w:rFonts w:ascii="Arial" w:hAnsi="Arial"/>
          <w:color w:val="000000" w:themeColor="text1"/>
          <w:sz w:val="18"/>
          <w:szCs w:val="18"/>
        </w:rPr>
      </w:pPr>
      <w:proofErr w:type="spellStart"/>
      <w:r w:rsidRPr="00F1570C">
        <w:rPr>
          <w:rFonts w:ascii="Arial" w:hAnsi="Arial"/>
          <w:color w:val="000000" w:themeColor="text1"/>
          <w:sz w:val="18"/>
          <w:szCs w:val="18"/>
        </w:rPr>
        <w:t>Karaouzas</w:t>
      </w:r>
      <w:proofErr w:type="spellEnd"/>
      <w:r w:rsidRPr="00F1570C">
        <w:rPr>
          <w:rFonts w:ascii="Arial" w:hAnsi="Arial"/>
          <w:color w:val="000000" w:themeColor="text1"/>
          <w:sz w:val="18"/>
          <w:szCs w:val="18"/>
        </w:rPr>
        <w:t xml:space="preserve">, I., </w:t>
      </w:r>
      <w:proofErr w:type="spellStart"/>
      <w:r w:rsidRPr="00F1570C">
        <w:rPr>
          <w:rFonts w:ascii="Arial" w:hAnsi="Arial"/>
          <w:color w:val="000000" w:themeColor="text1"/>
          <w:sz w:val="18"/>
          <w:szCs w:val="18"/>
        </w:rPr>
        <w:t>Dimitriou</w:t>
      </w:r>
      <w:proofErr w:type="spellEnd"/>
      <w:r w:rsidRPr="00F1570C">
        <w:rPr>
          <w:rFonts w:ascii="Arial" w:hAnsi="Arial"/>
          <w:color w:val="000000" w:themeColor="text1"/>
          <w:sz w:val="18"/>
          <w:szCs w:val="18"/>
        </w:rPr>
        <w:t xml:space="preserve">, E., </w:t>
      </w:r>
      <w:proofErr w:type="spellStart"/>
      <w:r w:rsidRPr="00F1570C">
        <w:rPr>
          <w:rFonts w:ascii="Arial" w:hAnsi="Arial"/>
          <w:color w:val="000000" w:themeColor="text1"/>
          <w:sz w:val="18"/>
          <w:szCs w:val="18"/>
        </w:rPr>
        <w:t>Tsirtsis</w:t>
      </w:r>
      <w:proofErr w:type="spellEnd"/>
      <w:r w:rsidRPr="00F1570C">
        <w:rPr>
          <w:rFonts w:ascii="Arial" w:hAnsi="Arial"/>
          <w:color w:val="000000" w:themeColor="text1"/>
          <w:sz w:val="18"/>
          <w:szCs w:val="18"/>
        </w:rPr>
        <w:t xml:space="preserve">, G., &amp; </w:t>
      </w:r>
      <w:proofErr w:type="spellStart"/>
      <w:r w:rsidRPr="00F1570C">
        <w:rPr>
          <w:rFonts w:ascii="Arial" w:hAnsi="Arial"/>
          <w:color w:val="000000" w:themeColor="text1"/>
          <w:sz w:val="18"/>
          <w:szCs w:val="18"/>
        </w:rPr>
        <w:t>Smeti</w:t>
      </w:r>
      <w:proofErr w:type="spellEnd"/>
      <w:r w:rsidRPr="00F1570C">
        <w:rPr>
          <w:rFonts w:ascii="Arial" w:hAnsi="Arial"/>
          <w:color w:val="000000" w:themeColor="text1"/>
          <w:sz w:val="18"/>
          <w:szCs w:val="18"/>
        </w:rPr>
        <w:t xml:space="preserve">, E. (2021). Benthic Diatoms in River </w:t>
      </w:r>
      <w:r w:rsidR="00467601">
        <w:rPr>
          <w:rFonts w:ascii="Arial" w:hAnsi="Arial"/>
          <w:color w:val="000000" w:themeColor="text1"/>
          <w:sz w:val="18"/>
          <w:szCs w:val="18"/>
        </w:rPr>
        <w:t>Biomonitoring: Present</w:t>
      </w:r>
      <w:r w:rsidRPr="00F1570C">
        <w:rPr>
          <w:rFonts w:ascii="Arial" w:hAnsi="Arial"/>
          <w:color w:val="000000" w:themeColor="text1"/>
          <w:sz w:val="18"/>
          <w:szCs w:val="18"/>
        </w:rPr>
        <w:t xml:space="preserve"> and Future Perspectives within the Water Framework Directive. Multidisciplinary Digital Publishing Institute. </w:t>
      </w:r>
      <w:hyperlink r:id="rId29" w:history="1">
        <w:r w:rsidRPr="00F1570C">
          <w:rPr>
            <w:rStyle w:val="Hyperlink"/>
            <w:rFonts w:ascii="Arial" w:hAnsi="Arial"/>
            <w:color w:val="000000" w:themeColor="text1"/>
            <w:sz w:val="18"/>
            <w:szCs w:val="18"/>
          </w:rPr>
          <w:t>https://doi.org/https://doi.org/10.3390/w13040478</w:t>
        </w:r>
      </w:hyperlink>
    </w:p>
    <w:p w14:paraId="484751B2" w14:textId="77777777" w:rsidR="00E84334" w:rsidRPr="00F1570C" w:rsidRDefault="00E84334" w:rsidP="0046784D">
      <w:pPr>
        <w:pStyle w:val="Bibliography"/>
        <w:numPr>
          <w:ilvl w:val="0"/>
          <w:numId w:val="24"/>
        </w:numPr>
        <w:spacing w:after="0" w:line="240" w:lineRule="auto"/>
        <w:jc w:val="both"/>
        <w:rPr>
          <w:rFonts w:ascii="Arial" w:hAnsi="Arial"/>
          <w:color w:val="000000" w:themeColor="text1"/>
          <w:sz w:val="18"/>
          <w:szCs w:val="18"/>
        </w:rPr>
      </w:pPr>
      <w:proofErr w:type="spellStart"/>
      <w:r w:rsidRPr="00F1570C">
        <w:rPr>
          <w:rFonts w:ascii="Arial" w:hAnsi="Arial"/>
          <w:color w:val="000000" w:themeColor="text1"/>
          <w:sz w:val="18"/>
          <w:szCs w:val="18"/>
        </w:rPr>
        <w:t>Karpowicz</w:t>
      </w:r>
      <w:proofErr w:type="spellEnd"/>
      <w:r w:rsidRPr="00F1570C">
        <w:rPr>
          <w:rFonts w:ascii="Arial" w:hAnsi="Arial"/>
          <w:color w:val="000000" w:themeColor="text1"/>
          <w:sz w:val="18"/>
          <w:szCs w:val="18"/>
        </w:rPr>
        <w:t xml:space="preserve">, M., </w:t>
      </w:r>
      <w:proofErr w:type="spellStart"/>
      <w:r w:rsidRPr="00F1570C">
        <w:rPr>
          <w:rFonts w:ascii="Arial" w:hAnsi="Arial"/>
          <w:color w:val="000000" w:themeColor="text1"/>
          <w:sz w:val="18"/>
          <w:szCs w:val="18"/>
        </w:rPr>
        <w:t>EjsmontKarabin</w:t>
      </w:r>
      <w:proofErr w:type="spellEnd"/>
      <w:r w:rsidRPr="00F1570C">
        <w:rPr>
          <w:rFonts w:ascii="Arial" w:hAnsi="Arial"/>
          <w:color w:val="000000" w:themeColor="text1"/>
          <w:sz w:val="18"/>
          <w:szCs w:val="18"/>
        </w:rPr>
        <w:t xml:space="preserve">, J., </w:t>
      </w:r>
      <w:proofErr w:type="spellStart"/>
      <w:r w:rsidRPr="00F1570C">
        <w:rPr>
          <w:rFonts w:ascii="Arial" w:hAnsi="Arial"/>
          <w:color w:val="000000" w:themeColor="text1"/>
          <w:sz w:val="18"/>
          <w:szCs w:val="18"/>
        </w:rPr>
        <w:t>Kozowska</w:t>
      </w:r>
      <w:proofErr w:type="spellEnd"/>
      <w:r w:rsidRPr="00F1570C">
        <w:rPr>
          <w:rFonts w:ascii="Arial" w:hAnsi="Arial"/>
          <w:color w:val="000000" w:themeColor="text1"/>
          <w:sz w:val="18"/>
          <w:szCs w:val="18"/>
        </w:rPr>
        <w:t xml:space="preserve">, J., </w:t>
      </w:r>
      <w:proofErr w:type="spellStart"/>
      <w:r w:rsidRPr="00F1570C">
        <w:rPr>
          <w:rFonts w:ascii="Arial" w:hAnsi="Arial"/>
          <w:color w:val="000000" w:themeColor="text1"/>
          <w:sz w:val="18"/>
          <w:szCs w:val="18"/>
        </w:rPr>
        <w:t>Feniova</w:t>
      </w:r>
      <w:proofErr w:type="spellEnd"/>
      <w:r w:rsidRPr="00F1570C">
        <w:rPr>
          <w:rFonts w:ascii="Arial" w:hAnsi="Arial"/>
          <w:color w:val="000000" w:themeColor="text1"/>
          <w:sz w:val="18"/>
          <w:szCs w:val="18"/>
        </w:rPr>
        <w:t xml:space="preserve">, I. Yu., &amp; </w:t>
      </w:r>
      <w:proofErr w:type="spellStart"/>
      <w:r w:rsidRPr="00F1570C">
        <w:rPr>
          <w:rFonts w:ascii="Arial" w:hAnsi="Arial"/>
          <w:color w:val="000000" w:themeColor="text1"/>
          <w:sz w:val="18"/>
          <w:szCs w:val="18"/>
        </w:rPr>
        <w:t>Dzialowski</w:t>
      </w:r>
      <w:proofErr w:type="spellEnd"/>
      <w:r w:rsidRPr="00F1570C">
        <w:rPr>
          <w:rFonts w:ascii="Arial" w:hAnsi="Arial"/>
          <w:color w:val="000000" w:themeColor="text1"/>
          <w:sz w:val="18"/>
          <w:szCs w:val="18"/>
        </w:rPr>
        <w:t xml:space="preserve">, A. R. (2020). Zooplankton Community Responses to Oxygen Stress. Multidisciplinary Digital Publishing Institute. </w:t>
      </w:r>
      <w:hyperlink r:id="rId30" w:history="1">
        <w:r w:rsidRPr="00F1570C">
          <w:rPr>
            <w:rStyle w:val="Hyperlink"/>
            <w:rFonts w:ascii="Arial" w:hAnsi="Arial"/>
            <w:color w:val="000000" w:themeColor="text1"/>
            <w:sz w:val="18"/>
            <w:szCs w:val="18"/>
          </w:rPr>
          <w:t>https://doi.org/https://doi.org/10.3390/w12030706</w:t>
        </w:r>
      </w:hyperlink>
    </w:p>
    <w:p w14:paraId="7F2FF292" w14:textId="77777777" w:rsidR="001F78D2" w:rsidRPr="0046784D" w:rsidRDefault="001F78D2" w:rsidP="0046784D">
      <w:pPr>
        <w:pStyle w:val="ListParagraph"/>
        <w:numPr>
          <w:ilvl w:val="0"/>
          <w:numId w:val="24"/>
        </w:numPr>
        <w:spacing w:after="0" w:line="240" w:lineRule="auto"/>
        <w:jc w:val="both"/>
        <w:rPr>
          <w:rFonts w:ascii="Arial" w:hAnsi="Arial" w:cs="Arial"/>
          <w:color w:val="000000" w:themeColor="text1"/>
          <w:sz w:val="18"/>
          <w:szCs w:val="18"/>
          <w:lang w:val="en-ID"/>
        </w:rPr>
      </w:pPr>
      <w:proofErr w:type="spellStart"/>
      <w:r w:rsidRPr="0046784D">
        <w:rPr>
          <w:rFonts w:ascii="Arial" w:hAnsi="Arial" w:cs="Arial"/>
          <w:color w:val="000000" w:themeColor="text1"/>
          <w:sz w:val="18"/>
          <w:szCs w:val="18"/>
          <w:lang w:val="en-ID"/>
        </w:rPr>
        <w:t>Krisna</w:t>
      </w:r>
      <w:proofErr w:type="spellEnd"/>
      <w:r w:rsidRPr="0046784D">
        <w:rPr>
          <w:rFonts w:ascii="Arial" w:hAnsi="Arial" w:cs="Arial"/>
          <w:color w:val="000000" w:themeColor="text1"/>
          <w:sz w:val="18"/>
          <w:szCs w:val="18"/>
          <w:lang w:val="en-ID"/>
        </w:rPr>
        <w:t xml:space="preserve">, H. N., </w:t>
      </w:r>
      <w:proofErr w:type="spellStart"/>
      <w:r w:rsidRPr="0046784D">
        <w:rPr>
          <w:rFonts w:ascii="Arial" w:hAnsi="Arial" w:cs="Arial"/>
          <w:color w:val="000000" w:themeColor="text1"/>
          <w:sz w:val="18"/>
          <w:szCs w:val="18"/>
          <w:lang w:val="en-ID"/>
        </w:rPr>
        <w:t>Maslukah</w:t>
      </w:r>
      <w:proofErr w:type="spellEnd"/>
      <w:r w:rsidRPr="0046784D">
        <w:rPr>
          <w:rFonts w:ascii="Arial" w:hAnsi="Arial" w:cs="Arial"/>
          <w:color w:val="000000" w:themeColor="text1"/>
          <w:sz w:val="18"/>
          <w:szCs w:val="18"/>
          <w:lang w:val="en-ID"/>
        </w:rPr>
        <w:t xml:space="preserve">, L., </w:t>
      </w:r>
      <w:proofErr w:type="spellStart"/>
      <w:r w:rsidRPr="0046784D">
        <w:rPr>
          <w:rFonts w:ascii="Arial" w:hAnsi="Arial" w:cs="Arial"/>
          <w:color w:val="000000" w:themeColor="text1"/>
          <w:sz w:val="18"/>
          <w:szCs w:val="18"/>
          <w:lang w:val="en-ID"/>
        </w:rPr>
        <w:t>Wirasatriya</w:t>
      </w:r>
      <w:proofErr w:type="spellEnd"/>
      <w:r w:rsidRPr="0046784D">
        <w:rPr>
          <w:rFonts w:ascii="Arial" w:hAnsi="Arial" w:cs="Arial"/>
          <w:color w:val="000000" w:themeColor="text1"/>
          <w:sz w:val="18"/>
          <w:szCs w:val="18"/>
          <w:lang w:val="en-ID"/>
        </w:rPr>
        <w:t xml:space="preserve">, A., </w:t>
      </w:r>
      <w:proofErr w:type="spellStart"/>
      <w:r w:rsidRPr="0046784D">
        <w:rPr>
          <w:rFonts w:ascii="Arial" w:hAnsi="Arial" w:cs="Arial"/>
          <w:color w:val="000000" w:themeColor="text1"/>
          <w:sz w:val="18"/>
          <w:szCs w:val="18"/>
          <w:lang w:val="en-ID"/>
        </w:rPr>
        <w:t>Indrayanti</w:t>
      </w:r>
      <w:proofErr w:type="spellEnd"/>
      <w:r w:rsidRPr="0046784D">
        <w:rPr>
          <w:rFonts w:ascii="Arial" w:hAnsi="Arial" w:cs="Arial"/>
          <w:color w:val="000000" w:themeColor="text1"/>
          <w:sz w:val="18"/>
          <w:szCs w:val="18"/>
          <w:lang w:val="en-ID"/>
        </w:rPr>
        <w:t xml:space="preserve">, E., &amp; </w:t>
      </w:r>
      <w:proofErr w:type="spellStart"/>
      <w:r w:rsidRPr="0046784D">
        <w:rPr>
          <w:rFonts w:ascii="Arial" w:hAnsi="Arial" w:cs="Arial"/>
          <w:color w:val="000000" w:themeColor="text1"/>
          <w:sz w:val="18"/>
          <w:szCs w:val="18"/>
          <w:lang w:val="en-ID"/>
        </w:rPr>
        <w:t>Widiaratih</w:t>
      </w:r>
      <w:proofErr w:type="spellEnd"/>
      <w:r w:rsidRPr="0046784D">
        <w:rPr>
          <w:rFonts w:ascii="Arial" w:hAnsi="Arial" w:cs="Arial"/>
          <w:color w:val="000000" w:themeColor="text1"/>
          <w:sz w:val="18"/>
          <w:szCs w:val="18"/>
          <w:lang w:val="en-ID"/>
        </w:rPr>
        <w:t xml:space="preserve">, R. (2025). </w:t>
      </w:r>
      <w:proofErr w:type="spellStart"/>
      <w:r w:rsidRPr="0046784D">
        <w:rPr>
          <w:rFonts w:ascii="Arial" w:hAnsi="Arial" w:cs="Arial"/>
          <w:color w:val="000000" w:themeColor="text1"/>
          <w:sz w:val="18"/>
          <w:szCs w:val="18"/>
          <w:lang w:val="en-ID"/>
        </w:rPr>
        <w:t>Modeling</w:t>
      </w:r>
      <w:proofErr w:type="spellEnd"/>
      <w:r w:rsidRPr="0046784D">
        <w:rPr>
          <w:rFonts w:ascii="Arial" w:hAnsi="Arial" w:cs="Arial"/>
          <w:color w:val="000000" w:themeColor="text1"/>
          <w:sz w:val="18"/>
          <w:szCs w:val="18"/>
          <w:lang w:val="en-ID"/>
        </w:rPr>
        <w:t xml:space="preserve"> Seasonal Variability of Trophic Index (TRIX) in Indonesian Waters Using PISCES Biogeochemical Data. ILMU KELAUTAN: Indonesian Journal of Marine Sciences, 30(3), 373–381. </w:t>
      </w:r>
      <w:hyperlink r:id="rId31" w:tgtFrame="_new" w:history="1">
        <w:r w:rsidRPr="0046784D">
          <w:rPr>
            <w:rStyle w:val="Hyperlink"/>
            <w:rFonts w:ascii="Arial" w:hAnsi="Arial" w:cs="Arial"/>
            <w:color w:val="000000" w:themeColor="text1"/>
            <w:sz w:val="18"/>
            <w:szCs w:val="18"/>
            <w:lang w:val="en-ID"/>
          </w:rPr>
          <w:t>https://doi.org/10.14710/ik.ijms.30.3.373-381</w:t>
        </w:r>
      </w:hyperlink>
    </w:p>
    <w:p w14:paraId="3EC8A59A" w14:textId="77777777" w:rsidR="00E84334" w:rsidRPr="00F1570C" w:rsidRDefault="00E84334" w:rsidP="0046784D">
      <w:pPr>
        <w:pStyle w:val="Bibliography"/>
        <w:numPr>
          <w:ilvl w:val="0"/>
          <w:numId w:val="24"/>
        </w:numPr>
        <w:spacing w:after="0" w:line="240" w:lineRule="auto"/>
        <w:jc w:val="both"/>
        <w:rPr>
          <w:rFonts w:ascii="Arial" w:hAnsi="Arial"/>
          <w:color w:val="000000" w:themeColor="text1"/>
          <w:sz w:val="18"/>
          <w:szCs w:val="18"/>
        </w:rPr>
      </w:pPr>
      <w:r w:rsidRPr="00F1570C">
        <w:rPr>
          <w:rFonts w:ascii="Arial" w:hAnsi="Arial"/>
          <w:color w:val="000000" w:themeColor="text1"/>
          <w:sz w:val="18"/>
          <w:szCs w:val="18"/>
        </w:rPr>
        <w:t xml:space="preserve">Lefebvre, A., &amp; </w:t>
      </w:r>
      <w:proofErr w:type="spellStart"/>
      <w:r w:rsidRPr="00F1570C">
        <w:rPr>
          <w:rFonts w:ascii="Arial" w:hAnsi="Arial"/>
          <w:color w:val="000000" w:themeColor="text1"/>
          <w:sz w:val="18"/>
          <w:szCs w:val="18"/>
        </w:rPr>
        <w:t>Dezcache</w:t>
      </w:r>
      <w:proofErr w:type="spellEnd"/>
      <w:r w:rsidRPr="00F1570C">
        <w:rPr>
          <w:rFonts w:ascii="Arial" w:hAnsi="Arial"/>
          <w:color w:val="000000" w:themeColor="text1"/>
          <w:sz w:val="18"/>
          <w:szCs w:val="18"/>
        </w:rPr>
        <w:t xml:space="preserve">, C. (2020). Trajectories of Changes in Phytoplankton Biomass, </w:t>
      </w:r>
      <w:proofErr w:type="spellStart"/>
      <w:r w:rsidRPr="00467601">
        <w:rPr>
          <w:rFonts w:ascii="Arial" w:hAnsi="Arial"/>
          <w:i/>
          <w:iCs/>
          <w:color w:val="000000" w:themeColor="text1"/>
          <w:sz w:val="18"/>
          <w:szCs w:val="18"/>
        </w:rPr>
        <w:t>Phaeocystis</w:t>
      </w:r>
      <w:proofErr w:type="spellEnd"/>
      <w:r w:rsidRPr="00467601">
        <w:rPr>
          <w:rFonts w:ascii="Arial" w:hAnsi="Arial"/>
          <w:i/>
          <w:iCs/>
          <w:color w:val="000000" w:themeColor="text1"/>
          <w:sz w:val="18"/>
          <w:szCs w:val="18"/>
        </w:rPr>
        <w:t xml:space="preserve"> </w:t>
      </w:r>
      <w:proofErr w:type="spellStart"/>
      <w:r w:rsidRPr="00467601">
        <w:rPr>
          <w:rFonts w:ascii="Arial" w:hAnsi="Arial"/>
          <w:i/>
          <w:iCs/>
          <w:color w:val="000000" w:themeColor="text1"/>
          <w:sz w:val="18"/>
          <w:szCs w:val="18"/>
        </w:rPr>
        <w:t>globosa</w:t>
      </w:r>
      <w:proofErr w:type="spellEnd"/>
      <w:r w:rsidRPr="00F1570C">
        <w:rPr>
          <w:rFonts w:ascii="Arial" w:hAnsi="Arial"/>
          <w:color w:val="000000" w:themeColor="text1"/>
          <w:sz w:val="18"/>
          <w:szCs w:val="18"/>
        </w:rPr>
        <w:t xml:space="preserve"> and Diatom (incl. </w:t>
      </w:r>
      <w:r w:rsidRPr="00467601">
        <w:rPr>
          <w:rFonts w:ascii="Arial" w:hAnsi="Arial"/>
          <w:i/>
          <w:iCs/>
          <w:color w:val="000000" w:themeColor="text1"/>
          <w:sz w:val="18"/>
          <w:szCs w:val="18"/>
        </w:rPr>
        <w:t>Pseudo-</w:t>
      </w:r>
      <w:proofErr w:type="spellStart"/>
      <w:r w:rsidRPr="00467601">
        <w:rPr>
          <w:rFonts w:ascii="Arial" w:hAnsi="Arial"/>
          <w:i/>
          <w:iCs/>
          <w:color w:val="000000" w:themeColor="text1"/>
          <w:sz w:val="18"/>
          <w:szCs w:val="18"/>
        </w:rPr>
        <w:t>nitzschia</w:t>
      </w:r>
      <w:proofErr w:type="spellEnd"/>
      <w:r w:rsidRPr="00467601">
        <w:rPr>
          <w:rFonts w:ascii="Arial" w:hAnsi="Arial"/>
          <w:i/>
          <w:iCs/>
          <w:color w:val="000000" w:themeColor="text1"/>
          <w:sz w:val="18"/>
          <w:szCs w:val="18"/>
        </w:rPr>
        <w:t xml:space="preserve"> sp</w:t>
      </w:r>
      <w:r w:rsidRPr="00F1570C">
        <w:rPr>
          <w:rFonts w:ascii="Arial" w:hAnsi="Arial"/>
          <w:color w:val="000000" w:themeColor="text1"/>
          <w:sz w:val="18"/>
          <w:szCs w:val="18"/>
        </w:rPr>
        <w:t xml:space="preserve">.) Abundances Related to Nutrient Pressures in the Eastern English Channel, Southern North Sea. Multidisciplinary Digital Publishing Institute. </w:t>
      </w:r>
      <w:hyperlink r:id="rId32" w:history="1">
        <w:r w:rsidRPr="00F1570C">
          <w:rPr>
            <w:rStyle w:val="Hyperlink"/>
            <w:rFonts w:ascii="Arial" w:hAnsi="Arial"/>
            <w:color w:val="000000" w:themeColor="text1"/>
            <w:sz w:val="18"/>
            <w:szCs w:val="18"/>
          </w:rPr>
          <w:t>https://doi.org/https://doi.org/10.3390/jmse8060401</w:t>
        </w:r>
      </w:hyperlink>
    </w:p>
    <w:p w14:paraId="7088FA19" w14:textId="04DEC694" w:rsidR="00397CDF" w:rsidRPr="0046784D" w:rsidRDefault="00397CDF" w:rsidP="0046784D">
      <w:pPr>
        <w:pStyle w:val="ListParagraph"/>
        <w:numPr>
          <w:ilvl w:val="0"/>
          <w:numId w:val="24"/>
        </w:numPr>
        <w:spacing w:after="0" w:line="240" w:lineRule="auto"/>
        <w:jc w:val="both"/>
        <w:rPr>
          <w:rFonts w:ascii="Arial" w:hAnsi="Arial" w:cs="Arial"/>
          <w:color w:val="000000" w:themeColor="text1"/>
          <w:sz w:val="18"/>
          <w:szCs w:val="18"/>
        </w:rPr>
      </w:pPr>
      <w:r w:rsidRPr="0046784D">
        <w:rPr>
          <w:rFonts w:ascii="Arial" w:hAnsi="Arial" w:cs="Arial"/>
          <w:color w:val="000000" w:themeColor="text1"/>
          <w:sz w:val="18"/>
          <w:szCs w:val="18"/>
        </w:rPr>
        <w:t xml:space="preserve">Li, Y., et al. (2021). Diatom dominance as a transitional indicator of eutrophication. Marine Ecology Progress Series, 667, 15–29. </w:t>
      </w:r>
      <w:hyperlink r:id="rId33" w:history="1">
        <w:r w:rsidRPr="0046784D">
          <w:rPr>
            <w:rStyle w:val="Hyperlink"/>
            <w:rFonts w:ascii="Arial" w:hAnsi="Arial" w:cs="Arial"/>
            <w:color w:val="000000" w:themeColor="text1"/>
            <w:sz w:val="18"/>
            <w:szCs w:val="18"/>
          </w:rPr>
          <w:t>https://doi.org/10.3354/meps13689</w:t>
        </w:r>
      </w:hyperlink>
    </w:p>
    <w:p w14:paraId="584C08CB" w14:textId="0BD3C864" w:rsidR="00E84334" w:rsidRPr="00F1570C" w:rsidRDefault="00E84334" w:rsidP="0046784D">
      <w:pPr>
        <w:pStyle w:val="Bibliography"/>
        <w:numPr>
          <w:ilvl w:val="0"/>
          <w:numId w:val="24"/>
        </w:numPr>
        <w:spacing w:after="0" w:line="240" w:lineRule="auto"/>
        <w:jc w:val="both"/>
        <w:rPr>
          <w:rFonts w:ascii="Arial" w:hAnsi="Arial"/>
          <w:color w:val="000000" w:themeColor="text1"/>
          <w:sz w:val="18"/>
          <w:szCs w:val="18"/>
        </w:rPr>
      </w:pPr>
      <w:r w:rsidRPr="00F1570C">
        <w:rPr>
          <w:rFonts w:ascii="Arial" w:hAnsi="Arial"/>
          <w:color w:val="000000" w:themeColor="text1"/>
          <w:sz w:val="18"/>
          <w:szCs w:val="18"/>
        </w:rPr>
        <w:t xml:space="preserve">Lin, Q., Zhang, K., McGowan, S., Capo, R., &amp; Shen, J. (2021). Synergistic impacts of nutrient enrichment and climate change on </w:t>
      </w:r>
      <w:r w:rsidR="00467601">
        <w:rPr>
          <w:rFonts w:ascii="Arial" w:hAnsi="Arial"/>
          <w:color w:val="000000" w:themeColor="text1"/>
          <w:sz w:val="18"/>
          <w:szCs w:val="18"/>
        </w:rPr>
        <w:t>long-term water quality and ecological dynamics in contrasting shallow lake</w:t>
      </w:r>
      <w:r w:rsidRPr="00F1570C">
        <w:rPr>
          <w:rFonts w:ascii="Arial" w:hAnsi="Arial"/>
          <w:color w:val="000000" w:themeColor="text1"/>
          <w:sz w:val="18"/>
          <w:szCs w:val="18"/>
        </w:rPr>
        <w:t xml:space="preserve"> zones. Wiley. </w:t>
      </w:r>
      <w:hyperlink r:id="rId34" w:history="1">
        <w:r w:rsidRPr="00F1570C">
          <w:rPr>
            <w:rStyle w:val="Hyperlink"/>
            <w:rFonts w:ascii="Arial" w:hAnsi="Arial"/>
            <w:color w:val="000000" w:themeColor="text1"/>
            <w:sz w:val="18"/>
            <w:szCs w:val="18"/>
          </w:rPr>
          <w:t>https://doi.org/https://doi.org/10.1002/lno.11878</w:t>
        </w:r>
      </w:hyperlink>
    </w:p>
    <w:p w14:paraId="77FA2664" w14:textId="77777777" w:rsidR="00E84334" w:rsidRPr="00F1570C" w:rsidRDefault="00E84334" w:rsidP="0046784D">
      <w:pPr>
        <w:pStyle w:val="Bibliography"/>
        <w:numPr>
          <w:ilvl w:val="0"/>
          <w:numId w:val="24"/>
        </w:numPr>
        <w:spacing w:after="0" w:line="240" w:lineRule="auto"/>
        <w:jc w:val="both"/>
        <w:rPr>
          <w:rFonts w:ascii="Arial" w:hAnsi="Arial"/>
          <w:color w:val="000000" w:themeColor="text1"/>
          <w:sz w:val="18"/>
          <w:szCs w:val="18"/>
        </w:rPr>
      </w:pPr>
      <w:r w:rsidRPr="00F1570C">
        <w:rPr>
          <w:rFonts w:ascii="Arial" w:hAnsi="Arial"/>
          <w:color w:val="000000" w:themeColor="text1"/>
          <w:sz w:val="18"/>
          <w:szCs w:val="18"/>
        </w:rPr>
        <w:t xml:space="preserve">Lin. L., Wang, Y., &amp; Liu, D. (2021). Phytoplankton shifts in the Central Bohai Sea over the last 250years reflect eutrophication and input from the Yellow River. Elsevier BV. </w:t>
      </w:r>
      <w:hyperlink r:id="rId35" w:history="1">
        <w:r w:rsidRPr="00F1570C">
          <w:rPr>
            <w:rStyle w:val="Hyperlink"/>
            <w:rFonts w:ascii="Arial" w:hAnsi="Arial"/>
            <w:color w:val="000000" w:themeColor="text1"/>
            <w:sz w:val="18"/>
            <w:szCs w:val="18"/>
          </w:rPr>
          <w:t>https://doi.org/https://doi.org/10.1016/j.ecolind.2021.107676</w:t>
        </w:r>
      </w:hyperlink>
    </w:p>
    <w:p w14:paraId="01A371F0" w14:textId="77777777" w:rsidR="00E84334" w:rsidRPr="00F1570C" w:rsidRDefault="00E84334" w:rsidP="0046784D">
      <w:pPr>
        <w:pStyle w:val="Bibliography"/>
        <w:numPr>
          <w:ilvl w:val="0"/>
          <w:numId w:val="24"/>
        </w:numPr>
        <w:spacing w:after="0" w:line="240" w:lineRule="auto"/>
        <w:jc w:val="both"/>
        <w:rPr>
          <w:rFonts w:ascii="Arial" w:hAnsi="Arial"/>
          <w:color w:val="000000" w:themeColor="text1"/>
          <w:sz w:val="18"/>
          <w:szCs w:val="18"/>
        </w:rPr>
      </w:pPr>
      <w:r w:rsidRPr="00F1570C">
        <w:rPr>
          <w:rFonts w:ascii="Arial" w:hAnsi="Arial"/>
          <w:color w:val="000000" w:themeColor="text1"/>
          <w:sz w:val="18"/>
          <w:szCs w:val="18"/>
        </w:rPr>
        <w:t xml:space="preserve">Malone, T. C., &amp; Newton, A. (2020). The Globalization of Cultural Eutrophication in the Coastal Ocean: Causes and Consequences. Frontiers Media. </w:t>
      </w:r>
      <w:hyperlink r:id="rId36" w:history="1">
        <w:r w:rsidRPr="00F1570C">
          <w:rPr>
            <w:rStyle w:val="Hyperlink"/>
            <w:rFonts w:ascii="Arial" w:hAnsi="Arial"/>
            <w:color w:val="000000" w:themeColor="text1"/>
            <w:sz w:val="18"/>
            <w:szCs w:val="18"/>
          </w:rPr>
          <w:t>https://doi.org/https://doi.org/10.3389/fmars.2020.00670</w:t>
        </w:r>
      </w:hyperlink>
    </w:p>
    <w:p w14:paraId="791E376D" w14:textId="77777777" w:rsidR="00E84334" w:rsidRPr="00F1570C" w:rsidRDefault="00E84334" w:rsidP="0046784D">
      <w:pPr>
        <w:pStyle w:val="Bibliography"/>
        <w:numPr>
          <w:ilvl w:val="0"/>
          <w:numId w:val="24"/>
        </w:numPr>
        <w:spacing w:after="0" w:line="240" w:lineRule="auto"/>
        <w:jc w:val="both"/>
        <w:rPr>
          <w:rFonts w:ascii="Arial" w:hAnsi="Arial"/>
          <w:color w:val="000000" w:themeColor="text1"/>
          <w:sz w:val="18"/>
          <w:szCs w:val="18"/>
        </w:rPr>
      </w:pPr>
      <w:proofErr w:type="spellStart"/>
      <w:r w:rsidRPr="00F1570C">
        <w:rPr>
          <w:rFonts w:ascii="Arial" w:hAnsi="Arial"/>
          <w:color w:val="000000" w:themeColor="text1"/>
          <w:sz w:val="18"/>
          <w:szCs w:val="18"/>
        </w:rPr>
        <w:t>Marzetz</w:t>
      </w:r>
      <w:proofErr w:type="spellEnd"/>
      <w:r w:rsidRPr="00F1570C">
        <w:rPr>
          <w:rFonts w:ascii="Arial" w:hAnsi="Arial"/>
          <w:color w:val="000000" w:themeColor="text1"/>
          <w:sz w:val="18"/>
          <w:szCs w:val="18"/>
        </w:rPr>
        <w:t xml:space="preserve">, V., </w:t>
      </w:r>
      <w:proofErr w:type="spellStart"/>
      <w:r w:rsidRPr="00F1570C">
        <w:rPr>
          <w:rFonts w:ascii="Arial" w:hAnsi="Arial"/>
          <w:color w:val="000000" w:themeColor="text1"/>
          <w:sz w:val="18"/>
          <w:szCs w:val="18"/>
        </w:rPr>
        <w:t>Spijkerman</w:t>
      </w:r>
      <w:proofErr w:type="spellEnd"/>
      <w:r w:rsidRPr="00F1570C">
        <w:rPr>
          <w:rFonts w:ascii="Arial" w:hAnsi="Arial"/>
          <w:color w:val="000000" w:themeColor="text1"/>
          <w:sz w:val="18"/>
          <w:szCs w:val="18"/>
        </w:rPr>
        <w:t xml:space="preserve">, E., </w:t>
      </w:r>
      <w:proofErr w:type="spellStart"/>
      <w:r w:rsidRPr="00F1570C">
        <w:rPr>
          <w:rFonts w:ascii="Arial" w:hAnsi="Arial"/>
          <w:color w:val="000000" w:themeColor="text1"/>
          <w:sz w:val="18"/>
          <w:szCs w:val="18"/>
        </w:rPr>
        <w:t>Striebel</w:t>
      </w:r>
      <w:proofErr w:type="spellEnd"/>
      <w:r w:rsidRPr="00F1570C">
        <w:rPr>
          <w:rFonts w:ascii="Arial" w:hAnsi="Arial"/>
          <w:color w:val="000000" w:themeColor="text1"/>
          <w:sz w:val="18"/>
          <w:szCs w:val="18"/>
        </w:rPr>
        <w:t xml:space="preserve">, M., &amp; Wacker, A. (2020). Phytoplankton Community Responses to Interactions Between Light Intensity, Light Variations, and Phosphorus Supply. Frontiers Media. </w:t>
      </w:r>
      <w:hyperlink r:id="rId37" w:history="1">
        <w:r w:rsidRPr="00F1570C">
          <w:rPr>
            <w:rStyle w:val="Hyperlink"/>
            <w:rFonts w:ascii="Arial" w:hAnsi="Arial"/>
            <w:color w:val="000000" w:themeColor="text1"/>
            <w:sz w:val="18"/>
            <w:szCs w:val="18"/>
          </w:rPr>
          <w:t>https://doi.org/https://doi.org/10.3389/fenvs.2020.539733</w:t>
        </w:r>
      </w:hyperlink>
    </w:p>
    <w:p w14:paraId="6D79BEBA" w14:textId="2E24F773" w:rsidR="001F78D2" w:rsidRPr="0046784D" w:rsidRDefault="001F78D2" w:rsidP="0046784D">
      <w:pPr>
        <w:pStyle w:val="ListParagraph"/>
        <w:numPr>
          <w:ilvl w:val="0"/>
          <w:numId w:val="24"/>
        </w:numPr>
        <w:spacing w:after="0" w:line="240" w:lineRule="auto"/>
        <w:jc w:val="both"/>
        <w:rPr>
          <w:rFonts w:ascii="Arial" w:hAnsi="Arial" w:cs="Arial"/>
          <w:color w:val="000000" w:themeColor="text1"/>
          <w:sz w:val="18"/>
          <w:szCs w:val="18"/>
        </w:rPr>
      </w:pPr>
      <w:proofErr w:type="spellStart"/>
      <w:r w:rsidRPr="0046784D">
        <w:rPr>
          <w:rFonts w:ascii="Arial" w:hAnsi="Arial" w:cs="Arial"/>
          <w:color w:val="000000" w:themeColor="text1"/>
          <w:sz w:val="18"/>
          <w:szCs w:val="18"/>
          <w:lang w:val="en-ID"/>
        </w:rPr>
        <w:t>Nastiti</w:t>
      </w:r>
      <w:proofErr w:type="spellEnd"/>
      <w:r w:rsidRPr="0046784D">
        <w:rPr>
          <w:rFonts w:ascii="Arial" w:hAnsi="Arial" w:cs="Arial"/>
          <w:color w:val="000000" w:themeColor="text1"/>
          <w:sz w:val="18"/>
          <w:szCs w:val="18"/>
          <w:lang w:val="en-ID"/>
        </w:rPr>
        <w:t xml:space="preserve">, A. S., &amp; </w:t>
      </w:r>
      <w:proofErr w:type="spellStart"/>
      <w:r w:rsidRPr="0046784D">
        <w:rPr>
          <w:rFonts w:ascii="Arial" w:hAnsi="Arial" w:cs="Arial"/>
          <w:color w:val="000000" w:themeColor="text1"/>
          <w:sz w:val="18"/>
          <w:szCs w:val="18"/>
          <w:lang w:val="en-ID"/>
        </w:rPr>
        <w:t>Hartati</w:t>
      </w:r>
      <w:proofErr w:type="spellEnd"/>
      <w:r w:rsidRPr="0046784D">
        <w:rPr>
          <w:rFonts w:ascii="Arial" w:hAnsi="Arial" w:cs="Arial"/>
          <w:color w:val="000000" w:themeColor="text1"/>
          <w:sz w:val="18"/>
          <w:szCs w:val="18"/>
          <w:lang w:val="en-ID"/>
        </w:rPr>
        <w:t xml:space="preserve">, S. T. (2016). </w:t>
      </w:r>
      <w:r w:rsidR="00330943" w:rsidRPr="0046784D">
        <w:rPr>
          <w:rFonts w:ascii="Arial" w:hAnsi="Arial" w:cs="Arial"/>
          <w:color w:val="000000" w:themeColor="text1"/>
          <w:sz w:val="18"/>
          <w:szCs w:val="18"/>
        </w:rPr>
        <w:t>Plankton Community Structure and Aquatic Environmental Conditions in Jakarta Bay. Prohibited</w:t>
      </w:r>
      <w:r w:rsidR="00330943" w:rsidRPr="0046784D">
        <w:rPr>
          <w:rFonts w:ascii="Arial" w:hAnsi="Arial" w:cs="Arial"/>
          <w:i/>
          <w:iCs/>
          <w:color w:val="000000" w:themeColor="text1"/>
          <w:sz w:val="18"/>
          <w:szCs w:val="18"/>
        </w:rPr>
        <w:t xml:space="preserve">, </w:t>
      </w:r>
      <w:r w:rsidRPr="0046784D">
        <w:rPr>
          <w:rFonts w:ascii="Arial" w:hAnsi="Arial" w:cs="Arial"/>
          <w:color w:val="000000" w:themeColor="text1"/>
          <w:sz w:val="18"/>
          <w:szCs w:val="18"/>
          <w:lang w:val="en-ID"/>
        </w:rPr>
        <w:t>5(3), 131–150.</w:t>
      </w:r>
      <w:r w:rsidR="00330943" w:rsidRPr="0046784D">
        <w:rPr>
          <w:rFonts w:ascii="Arial" w:hAnsi="Arial" w:cs="Arial"/>
          <w:color w:val="000000" w:themeColor="text1"/>
          <w:sz w:val="18"/>
          <w:szCs w:val="18"/>
          <w:lang w:val="en-ID"/>
        </w:rPr>
        <w:t>(</w:t>
      </w:r>
      <w:r w:rsidR="00330943" w:rsidRPr="0046784D">
        <w:rPr>
          <w:rFonts w:ascii="Arial" w:hAnsi="Arial" w:cs="Arial"/>
          <w:i/>
          <w:iCs/>
          <w:color w:val="000000" w:themeColor="text1"/>
          <w:sz w:val="18"/>
          <w:szCs w:val="18"/>
          <w:lang w:val="en-ID"/>
        </w:rPr>
        <w:t>In</w:t>
      </w:r>
      <w:r w:rsidR="00330943" w:rsidRPr="0046784D">
        <w:rPr>
          <w:rFonts w:ascii="Arial" w:hAnsi="Arial" w:cs="Arial"/>
          <w:color w:val="000000" w:themeColor="text1"/>
          <w:sz w:val="18"/>
          <w:szCs w:val="18"/>
          <w:lang w:val="en-ID"/>
        </w:rPr>
        <w:t>: Indonesian).</w:t>
      </w:r>
      <w:r w:rsidRPr="0046784D">
        <w:rPr>
          <w:rFonts w:ascii="Arial" w:hAnsi="Arial" w:cs="Arial"/>
          <w:color w:val="000000" w:themeColor="text1"/>
          <w:sz w:val="18"/>
          <w:szCs w:val="18"/>
          <w:lang w:val="en-ID"/>
        </w:rPr>
        <w:t xml:space="preserve"> </w:t>
      </w:r>
      <w:hyperlink r:id="rId38" w:tgtFrame="_new" w:history="1">
        <w:r w:rsidRPr="0046784D">
          <w:rPr>
            <w:rStyle w:val="Hyperlink"/>
            <w:rFonts w:ascii="Arial" w:hAnsi="Arial" w:cs="Arial"/>
            <w:color w:val="000000" w:themeColor="text1"/>
            <w:sz w:val="18"/>
            <w:szCs w:val="18"/>
            <w:lang w:val="en-ID"/>
          </w:rPr>
          <w:t>https://doi.org/10.15578/bawal.5.3.2013.131-150</w:t>
        </w:r>
      </w:hyperlink>
    </w:p>
    <w:p w14:paraId="2DDCD841" w14:textId="1CCB2674" w:rsidR="00E84334" w:rsidRPr="0046784D" w:rsidRDefault="00E84334" w:rsidP="0046784D">
      <w:pPr>
        <w:pStyle w:val="ListParagraph"/>
        <w:numPr>
          <w:ilvl w:val="0"/>
          <w:numId w:val="24"/>
        </w:numPr>
        <w:spacing w:after="0" w:line="240" w:lineRule="auto"/>
        <w:jc w:val="both"/>
        <w:rPr>
          <w:rFonts w:ascii="Arial" w:hAnsi="Arial" w:cs="Arial"/>
          <w:color w:val="000000" w:themeColor="text1"/>
          <w:sz w:val="18"/>
          <w:szCs w:val="18"/>
        </w:rPr>
      </w:pPr>
      <w:r w:rsidRPr="0046784D">
        <w:rPr>
          <w:rFonts w:ascii="Arial" w:hAnsi="Arial" w:cs="Arial"/>
          <w:color w:val="000000" w:themeColor="text1"/>
          <w:sz w:val="18"/>
          <w:szCs w:val="18"/>
        </w:rPr>
        <w:t xml:space="preserve">Newell </w:t>
      </w:r>
      <w:r w:rsidR="00467601" w:rsidRPr="0046784D">
        <w:rPr>
          <w:rFonts w:ascii="Arial" w:hAnsi="Arial" w:cs="Arial"/>
          <w:color w:val="000000" w:themeColor="text1"/>
          <w:sz w:val="18"/>
          <w:szCs w:val="18"/>
        </w:rPr>
        <w:t>G.E.</w:t>
      </w:r>
      <w:r w:rsidRPr="0046784D">
        <w:rPr>
          <w:rFonts w:ascii="Arial" w:hAnsi="Arial" w:cs="Arial"/>
          <w:color w:val="000000" w:themeColor="text1"/>
          <w:sz w:val="18"/>
          <w:szCs w:val="18"/>
        </w:rPr>
        <w:t xml:space="preserve"> and Newell R.C. </w:t>
      </w:r>
      <w:r w:rsidRPr="0046784D">
        <w:rPr>
          <w:rFonts w:ascii="Arial" w:hAnsi="Arial" w:cs="Arial"/>
          <w:i/>
          <w:iCs/>
          <w:color w:val="000000" w:themeColor="text1"/>
          <w:sz w:val="18"/>
          <w:szCs w:val="18"/>
        </w:rPr>
        <w:t>Marine Plankton. A Practical Guide</w:t>
      </w:r>
      <w:r w:rsidRPr="0046784D">
        <w:rPr>
          <w:rFonts w:ascii="Arial" w:hAnsi="Arial" w:cs="Arial"/>
          <w:iCs/>
          <w:color w:val="000000" w:themeColor="text1"/>
          <w:sz w:val="18"/>
          <w:szCs w:val="18"/>
          <w:u w:val="single"/>
        </w:rPr>
        <w:t xml:space="preserve">. </w:t>
      </w:r>
      <w:r w:rsidRPr="0046784D">
        <w:rPr>
          <w:rFonts w:ascii="Arial" w:hAnsi="Arial" w:cs="Arial"/>
          <w:color w:val="000000" w:themeColor="text1"/>
          <w:sz w:val="18"/>
          <w:szCs w:val="18"/>
        </w:rPr>
        <w:t>Anchor Press, London, 1977.</w:t>
      </w:r>
    </w:p>
    <w:p w14:paraId="63182DB7" w14:textId="6F809905" w:rsidR="00E84334" w:rsidRPr="0046784D" w:rsidRDefault="00E84334" w:rsidP="0046784D">
      <w:pPr>
        <w:pStyle w:val="ListParagraph"/>
        <w:numPr>
          <w:ilvl w:val="0"/>
          <w:numId w:val="24"/>
        </w:numPr>
        <w:spacing w:after="0" w:line="240" w:lineRule="auto"/>
        <w:jc w:val="both"/>
        <w:rPr>
          <w:rFonts w:ascii="Arial" w:hAnsi="Arial" w:cs="Arial"/>
          <w:color w:val="000000" w:themeColor="text1"/>
          <w:sz w:val="18"/>
          <w:szCs w:val="18"/>
        </w:rPr>
      </w:pPr>
      <w:proofErr w:type="spellStart"/>
      <w:r w:rsidRPr="0046784D">
        <w:rPr>
          <w:rFonts w:ascii="Arial" w:hAnsi="Arial" w:cs="Arial"/>
          <w:color w:val="000000" w:themeColor="text1"/>
          <w:sz w:val="18"/>
          <w:szCs w:val="18"/>
        </w:rPr>
        <w:t>Odum</w:t>
      </w:r>
      <w:proofErr w:type="spellEnd"/>
      <w:r w:rsidRPr="0046784D">
        <w:rPr>
          <w:rFonts w:ascii="Arial" w:hAnsi="Arial" w:cs="Arial"/>
          <w:color w:val="000000" w:themeColor="text1"/>
          <w:sz w:val="18"/>
          <w:szCs w:val="18"/>
        </w:rPr>
        <w:t xml:space="preserve"> E.P. </w:t>
      </w:r>
      <w:r w:rsidRPr="0046784D">
        <w:rPr>
          <w:rFonts w:ascii="Arial" w:hAnsi="Arial" w:cs="Arial"/>
          <w:i/>
          <w:iCs/>
          <w:color w:val="000000" w:themeColor="text1"/>
          <w:sz w:val="18"/>
          <w:szCs w:val="18"/>
        </w:rPr>
        <w:t>Dasar-</w:t>
      </w:r>
      <w:proofErr w:type="spellStart"/>
      <w:r w:rsidRPr="0046784D">
        <w:rPr>
          <w:rFonts w:ascii="Arial" w:hAnsi="Arial" w:cs="Arial"/>
          <w:i/>
          <w:iCs/>
          <w:color w:val="000000" w:themeColor="text1"/>
          <w:sz w:val="18"/>
          <w:szCs w:val="18"/>
        </w:rPr>
        <w:t>dasar</w:t>
      </w:r>
      <w:proofErr w:type="spellEnd"/>
      <w:r w:rsidRPr="0046784D">
        <w:rPr>
          <w:rFonts w:ascii="Arial" w:hAnsi="Arial" w:cs="Arial"/>
          <w:i/>
          <w:iCs/>
          <w:color w:val="000000" w:themeColor="text1"/>
          <w:sz w:val="18"/>
          <w:szCs w:val="18"/>
        </w:rPr>
        <w:t xml:space="preserve"> </w:t>
      </w:r>
      <w:proofErr w:type="spellStart"/>
      <w:r w:rsidRPr="0046784D">
        <w:rPr>
          <w:rFonts w:ascii="Arial" w:hAnsi="Arial" w:cs="Arial"/>
          <w:i/>
          <w:iCs/>
          <w:color w:val="000000" w:themeColor="text1"/>
          <w:sz w:val="18"/>
          <w:szCs w:val="18"/>
        </w:rPr>
        <w:t>ekologi</w:t>
      </w:r>
      <w:proofErr w:type="spellEnd"/>
      <w:r w:rsidRPr="0046784D">
        <w:rPr>
          <w:rFonts w:ascii="Arial" w:hAnsi="Arial" w:cs="Arial"/>
          <w:color w:val="000000" w:themeColor="text1"/>
          <w:sz w:val="18"/>
          <w:szCs w:val="18"/>
        </w:rPr>
        <w:t xml:space="preserve">: </w:t>
      </w:r>
      <w:proofErr w:type="spellStart"/>
      <w:r w:rsidRPr="0046784D">
        <w:rPr>
          <w:rFonts w:ascii="Arial" w:hAnsi="Arial" w:cs="Arial"/>
          <w:color w:val="000000" w:themeColor="text1"/>
          <w:sz w:val="18"/>
          <w:szCs w:val="18"/>
        </w:rPr>
        <w:t>Alih</w:t>
      </w:r>
      <w:proofErr w:type="spellEnd"/>
      <w:r w:rsidRPr="0046784D">
        <w:rPr>
          <w:rFonts w:ascii="Arial" w:hAnsi="Arial" w:cs="Arial"/>
          <w:color w:val="000000" w:themeColor="text1"/>
          <w:sz w:val="18"/>
          <w:szCs w:val="18"/>
        </w:rPr>
        <w:t xml:space="preserve"> </w:t>
      </w:r>
      <w:proofErr w:type="spellStart"/>
      <w:r w:rsidRPr="0046784D">
        <w:rPr>
          <w:rFonts w:ascii="Arial" w:hAnsi="Arial" w:cs="Arial"/>
          <w:color w:val="000000" w:themeColor="text1"/>
          <w:sz w:val="18"/>
          <w:szCs w:val="18"/>
        </w:rPr>
        <w:t>bahasa</w:t>
      </w:r>
      <w:proofErr w:type="spellEnd"/>
      <w:r w:rsidRPr="0046784D">
        <w:rPr>
          <w:rFonts w:ascii="Arial" w:hAnsi="Arial" w:cs="Arial"/>
          <w:color w:val="000000" w:themeColor="text1"/>
          <w:sz w:val="18"/>
          <w:szCs w:val="18"/>
        </w:rPr>
        <w:t xml:space="preserve"> </w:t>
      </w:r>
      <w:proofErr w:type="spellStart"/>
      <w:r w:rsidRPr="0046784D">
        <w:rPr>
          <w:rFonts w:ascii="Arial" w:hAnsi="Arial" w:cs="Arial"/>
          <w:color w:val="000000" w:themeColor="text1"/>
          <w:sz w:val="18"/>
          <w:szCs w:val="18"/>
        </w:rPr>
        <w:t>Samingan</w:t>
      </w:r>
      <w:proofErr w:type="spellEnd"/>
      <w:r w:rsidRPr="0046784D">
        <w:rPr>
          <w:rFonts w:ascii="Arial" w:hAnsi="Arial" w:cs="Arial"/>
          <w:color w:val="000000" w:themeColor="text1"/>
          <w:sz w:val="18"/>
          <w:szCs w:val="18"/>
        </w:rPr>
        <w:t xml:space="preserve">, T. </w:t>
      </w:r>
      <w:proofErr w:type="spellStart"/>
      <w:r w:rsidRPr="0046784D">
        <w:rPr>
          <w:rFonts w:ascii="Arial" w:hAnsi="Arial" w:cs="Arial"/>
          <w:color w:val="000000" w:themeColor="text1"/>
          <w:sz w:val="18"/>
          <w:szCs w:val="18"/>
        </w:rPr>
        <w:t>Edisi</w:t>
      </w:r>
      <w:proofErr w:type="spellEnd"/>
      <w:r w:rsidRPr="0046784D">
        <w:rPr>
          <w:rFonts w:ascii="Arial" w:hAnsi="Arial" w:cs="Arial"/>
          <w:color w:val="000000" w:themeColor="text1"/>
          <w:sz w:val="18"/>
          <w:szCs w:val="18"/>
        </w:rPr>
        <w:t xml:space="preserve"> </w:t>
      </w:r>
      <w:proofErr w:type="spellStart"/>
      <w:r w:rsidRPr="0046784D">
        <w:rPr>
          <w:rFonts w:ascii="Arial" w:hAnsi="Arial" w:cs="Arial"/>
          <w:color w:val="000000" w:themeColor="text1"/>
          <w:sz w:val="18"/>
          <w:szCs w:val="18"/>
        </w:rPr>
        <w:t>ketiga</w:t>
      </w:r>
      <w:proofErr w:type="spellEnd"/>
      <w:r w:rsidRPr="0046784D">
        <w:rPr>
          <w:rFonts w:ascii="Arial" w:hAnsi="Arial" w:cs="Arial"/>
          <w:color w:val="000000" w:themeColor="text1"/>
          <w:sz w:val="18"/>
          <w:szCs w:val="18"/>
        </w:rPr>
        <w:t xml:space="preserve">. </w:t>
      </w:r>
      <w:proofErr w:type="spellStart"/>
      <w:r w:rsidRPr="0046784D">
        <w:rPr>
          <w:rFonts w:ascii="Arial" w:hAnsi="Arial" w:cs="Arial"/>
          <w:color w:val="000000" w:themeColor="text1"/>
          <w:sz w:val="18"/>
          <w:szCs w:val="18"/>
        </w:rPr>
        <w:t>Universitas</w:t>
      </w:r>
      <w:proofErr w:type="spellEnd"/>
      <w:r w:rsidRPr="0046784D">
        <w:rPr>
          <w:rFonts w:ascii="Arial" w:hAnsi="Arial" w:cs="Arial"/>
          <w:color w:val="000000" w:themeColor="text1"/>
          <w:sz w:val="18"/>
          <w:szCs w:val="18"/>
        </w:rPr>
        <w:t xml:space="preserve"> </w:t>
      </w:r>
      <w:proofErr w:type="spellStart"/>
      <w:r w:rsidRPr="0046784D">
        <w:rPr>
          <w:rFonts w:ascii="Arial" w:hAnsi="Arial" w:cs="Arial"/>
          <w:color w:val="000000" w:themeColor="text1"/>
          <w:sz w:val="18"/>
          <w:szCs w:val="18"/>
        </w:rPr>
        <w:t>Gadja</w:t>
      </w:r>
      <w:proofErr w:type="spellEnd"/>
      <w:r w:rsidRPr="0046784D">
        <w:rPr>
          <w:rFonts w:ascii="Arial" w:hAnsi="Arial" w:cs="Arial"/>
          <w:color w:val="000000" w:themeColor="text1"/>
          <w:sz w:val="18"/>
          <w:szCs w:val="18"/>
        </w:rPr>
        <w:t xml:space="preserve"> </w:t>
      </w:r>
      <w:proofErr w:type="spellStart"/>
      <w:r w:rsidRPr="0046784D">
        <w:rPr>
          <w:rFonts w:ascii="Arial" w:hAnsi="Arial" w:cs="Arial"/>
          <w:color w:val="000000" w:themeColor="text1"/>
          <w:sz w:val="18"/>
          <w:szCs w:val="18"/>
        </w:rPr>
        <w:t>Mada</w:t>
      </w:r>
      <w:proofErr w:type="spellEnd"/>
      <w:r w:rsidRPr="0046784D">
        <w:rPr>
          <w:rFonts w:ascii="Arial" w:hAnsi="Arial" w:cs="Arial"/>
          <w:color w:val="000000" w:themeColor="text1"/>
          <w:sz w:val="18"/>
          <w:szCs w:val="18"/>
        </w:rPr>
        <w:t xml:space="preserve">. Yogyakarta. </w:t>
      </w:r>
      <w:proofErr w:type="spellStart"/>
      <w:r w:rsidRPr="0046784D">
        <w:rPr>
          <w:rFonts w:ascii="Arial" w:hAnsi="Arial" w:cs="Arial"/>
          <w:color w:val="000000" w:themeColor="text1"/>
          <w:sz w:val="18"/>
          <w:szCs w:val="18"/>
        </w:rPr>
        <w:t>Odum</w:t>
      </w:r>
      <w:proofErr w:type="spellEnd"/>
      <w:r w:rsidRPr="0046784D">
        <w:rPr>
          <w:rFonts w:ascii="Arial" w:hAnsi="Arial" w:cs="Arial"/>
          <w:color w:val="000000" w:themeColor="text1"/>
          <w:sz w:val="18"/>
          <w:szCs w:val="18"/>
        </w:rPr>
        <w:t xml:space="preserve"> EP. 1971. </w:t>
      </w:r>
      <w:r w:rsidR="00467601" w:rsidRPr="0046784D">
        <w:rPr>
          <w:rFonts w:ascii="Arial" w:hAnsi="Arial" w:cs="Arial"/>
          <w:color w:val="000000" w:themeColor="text1"/>
          <w:sz w:val="18"/>
          <w:szCs w:val="18"/>
        </w:rPr>
        <w:t>Fundamentals</w:t>
      </w:r>
      <w:r w:rsidRPr="0046784D">
        <w:rPr>
          <w:rFonts w:ascii="Arial" w:hAnsi="Arial" w:cs="Arial"/>
          <w:color w:val="000000" w:themeColor="text1"/>
          <w:sz w:val="18"/>
          <w:szCs w:val="18"/>
        </w:rPr>
        <w:t xml:space="preserve"> of </w:t>
      </w:r>
      <w:r w:rsidRPr="0046784D">
        <w:rPr>
          <w:rFonts w:ascii="Arial" w:hAnsi="Arial" w:cs="Arial"/>
          <w:color w:val="000000" w:themeColor="text1"/>
          <w:sz w:val="18"/>
          <w:szCs w:val="18"/>
        </w:rPr>
        <w:lastRenderedPageBreak/>
        <w:t>Ecology. 3rd Edition. W.B. Sounders Company. Philadelphia. London. Toronto, 1998.</w:t>
      </w:r>
    </w:p>
    <w:p w14:paraId="3942FB09" w14:textId="2589E022" w:rsidR="00F1570C" w:rsidRPr="00F1570C" w:rsidRDefault="00F1570C" w:rsidP="0046784D">
      <w:pPr>
        <w:pStyle w:val="Bibliography"/>
        <w:numPr>
          <w:ilvl w:val="0"/>
          <w:numId w:val="24"/>
        </w:numPr>
        <w:spacing w:after="0" w:line="240" w:lineRule="auto"/>
        <w:jc w:val="both"/>
        <w:rPr>
          <w:rFonts w:ascii="Arial" w:hAnsi="Arial"/>
          <w:color w:val="000000" w:themeColor="text1"/>
          <w:sz w:val="18"/>
          <w:szCs w:val="18"/>
        </w:rPr>
      </w:pPr>
      <w:proofErr w:type="spellStart"/>
      <w:r w:rsidRPr="00F1570C">
        <w:rPr>
          <w:rFonts w:ascii="Arial" w:hAnsi="Arial"/>
          <w:color w:val="000000" w:themeColor="text1"/>
          <w:sz w:val="18"/>
          <w:szCs w:val="18"/>
          <w:lang w:val="en-US"/>
        </w:rPr>
        <w:t>Paerl</w:t>
      </w:r>
      <w:proofErr w:type="spellEnd"/>
      <w:r w:rsidRPr="00F1570C">
        <w:rPr>
          <w:rFonts w:ascii="Arial" w:hAnsi="Arial"/>
          <w:color w:val="000000" w:themeColor="text1"/>
          <w:sz w:val="18"/>
          <w:szCs w:val="18"/>
        </w:rPr>
        <w:t xml:space="preserve"> H.</w:t>
      </w:r>
      <w:r w:rsidRPr="00F1570C">
        <w:rPr>
          <w:rFonts w:ascii="Arial" w:hAnsi="Arial"/>
          <w:color w:val="000000" w:themeColor="text1"/>
          <w:sz w:val="18"/>
          <w:szCs w:val="18"/>
          <w:lang w:val="en-US"/>
        </w:rPr>
        <w:t>, L</w:t>
      </w:r>
      <w:r w:rsidRPr="00F1570C">
        <w:rPr>
          <w:rFonts w:ascii="Arial" w:hAnsi="Arial"/>
          <w:color w:val="000000" w:themeColor="text1"/>
          <w:sz w:val="18"/>
          <w:szCs w:val="18"/>
        </w:rPr>
        <w:t>.</w:t>
      </w:r>
      <w:r w:rsidRPr="00F1570C">
        <w:rPr>
          <w:rFonts w:ascii="Arial" w:hAnsi="Arial"/>
          <w:color w:val="000000" w:themeColor="text1"/>
          <w:sz w:val="18"/>
          <w:szCs w:val="18"/>
          <w:lang w:val="en-US"/>
        </w:rPr>
        <w:t xml:space="preserve"> M. Valdes-Weaver, A</w:t>
      </w:r>
      <w:r w:rsidRPr="00F1570C">
        <w:rPr>
          <w:rFonts w:ascii="Arial" w:hAnsi="Arial"/>
          <w:color w:val="000000" w:themeColor="text1"/>
          <w:sz w:val="18"/>
          <w:szCs w:val="18"/>
        </w:rPr>
        <w:t>.</w:t>
      </w:r>
      <w:r w:rsidRPr="00F1570C">
        <w:rPr>
          <w:rFonts w:ascii="Arial" w:hAnsi="Arial"/>
          <w:color w:val="000000" w:themeColor="text1"/>
          <w:sz w:val="18"/>
          <w:szCs w:val="18"/>
          <w:lang w:val="en-US"/>
        </w:rPr>
        <w:t xml:space="preserve"> R. Joyner, V. Winkelmann</w:t>
      </w:r>
      <w:r w:rsidRPr="00F1570C">
        <w:rPr>
          <w:rFonts w:ascii="Arial" w:hAnsi="Arial"/>
          <w:color w:val="000000" w:themeColor="text1"/>
          <w:sz w:val="18"/>
          <w:szCs w:val="18"/>
        </w:rPr>
        <w:t xml:space="preserve"> (2007). Phytoplankton indicators of ecological change in the </w:t>
      </w:r>
      <w:proofErr w:type="spellStart"/>
      <w:r w:rsidRPr="00F1570C">
        <w:rPr>
          <w:rFonts w:ascii="Arial" w:hAnsi="Arial"/>
          <w:color w:val="000000" w:themeColor="text1"/>
          <w:sz w:val="18"/>
          <w:szCs w:val="18"/>
        </w:rPr>
        <w:t>eutrophying</w:t>
      </w:r>
      <w:proofErr w:type="spellEnd"/>
      <w:r w:rsidRPr="00F1570C">
        <w:rPr>
          <w:rFonts w:ascii="Arial" w:hAnsi="Arial"/>
          <w:color w:val="000000" w:themeColor="text1"/>
          <w:sz w:val="18"/>
          <w:szCs w:val="18"/>
        </w:rPr>
        <w:t xml:space="preserve"> </w:t>
      </w:r>
      <w:proofErr w:type="spellStart"/>
      <w:r w:rsidR="00467601">
        <w:rPr>
          <w:rFonts w:ascii="Arial" w:hAnsi="Arial"/>
          <w:color w:val="000000" w:themeColor="text1"/>
          <w:sz w:val="18"/>
          <w:szCs w:val="18"/>
        </w:rPr>
        <w:t>Pamlico</w:t>
      </w:r>
      <w:proofErr w:type="spellEnd"/>
      <w:r w:rsidR="00467601">
        <w:rPr>
          <w:rFonts w:ascii="Arial" w:hAnsi="Arial"/>
          <w:color w:val="000000" w:themeColor="text1"/>
          <w:sz w:val="18"/>
          <w:szCs w:val="18"/>
        </w:rPr>
        <w:t xml:space="preserve"> Sound</w:t>
      </w:r>
      <w:r w:rsidRPr="00F1570C">
        <w:rPr>
          <w:rFonts w:ascii="Arial" w:hAnsi="Arial"/>
          <w:color w:val="000000" w:themeColor="text1"/>
          <w:sz w:val="18"/>
          <w:szCs w:val="18"/>
        </w:rPr>
        <w:t xml:space="preserve"> system, North Carolina. Ecological Applications, 17(5) Supplement, 2007, pp. S88–S101. </w:t>
      </w:r>
      <w:hyperlink r:id="rId39" w:history="1">
        <w:r w:rsidRPr="00F1570C">
          <w:rPr>
            <w:rStyle w:val="Hyperlink"/>
            <w:rFonts w:ascii="Arial" w:hAnsi="Arial"/>
            <w:color w:val="000000" w:themeColor="text1"/>
            <w:sz w:val="18"/>
            <w:szCs w:val="18"/>
          </w:rPr>
          <w:t>https://doi.org/10.1890/05-0840.1</w:t>
        </w:r>
      </w:hyperlink>
    </w:p>
    <w:p w14:paraId="3877450D" w14:textId="77777777" w:rsidR="00E84334" w:rsidRPr="0046784D" w:rsidRDefault="00E84334" w:rsidP="0046784D">
      <w:pPr>
        <w:pStyle w:val="ListParagraph"/>
        <w:numPr>
          <w:ilvl w:val="0"/>
          <w:numId w:val="24"/>
        </w:numPr>
        <w:spacing w:after="0" w:line="240" w:lineRule="auto"/>
        <w:jc w:val="both"/>
        <w:rPr>
          <w:rFonts w:ascii="Arial" w:hAnsi="Arial" w:cs="Arial"/>
          <w:color w:val="000000" w:themeColor="text1"/>
          <w:sz w:val="18"/>
          <w:szCs w:val="18"/>
          <w:lang w:val="en-ID"/>
        </w:rPr>
      </w:pPr>
      <w:proofErr w:type="spellStart"/>
      <w:r w:rsidRPr="0046784D">
        <w:rPr>
          <w:rFonts w:ascii="Arial" w:hAnsi="Arial" w:cs="Arial"/>
          <w:color w:val="000000" w:themeColor="text1"/>
          <w:sz w:val="18"/>
          <w:szCs w:val="18"/>
          <w:lang w:val="en-ID"/>
        </w:rPr>
        <w:t>Paerl</w:t>
      </w:r>
      <w:proofErr w:type="spellEnd"/>
      <w:r w:rsidRPr="0046784D">
        <w:rPr>
          <w:rFonts w:ascii="Arial" w:hAnsi="Arial" w:cs="Arial"/>
          <w:color w:val="000000" w:themeColor="text1"/>
          <w:sz w:val="18"/>
          <w:szCs w:val="18"/>
          <w:lang w:val="en-ID"/>
        </w:rPr>
        <w:t xml:space="preserve">, H. W., &amp; </w:t>
      </w:r>
      <w:proofErr w:type="spellStart"/>
      <w:r w:rsidRPr="0046784D">
        <w:rPr>
          <w:rFonts w:ascii="Arial" w:hAnsi="Arial" w:cs="Arial"/>
          <w:color w:val="000000" w:themeColor="text1"/>
          <w:sz w:val="18"/>
          <w:szCs w:val="18"/>
          <w:lang w:val="en-ID"/>
        </w:rPr>
        <w:t>Otten</w:t>
      </w:r>
      <w:proofErr w:type="spellEnd"/>
      <w:r w:rsidRPr="0046784D">
        <w:rPr>
          <w:rFonts w:ascii="Arial" w:hAnsi="Arial" w:cs="Arial"/>
          <w:color w:val="000000" w:themeColor="text1"/>
          <w:sz w:val="18"/>
          <w:szCs w:val="18"/>
          <w:lang w:val="en-ID"/>
        </w:rPr>
        <w:t>, T. G. (2016). Duelling ‘</w:t>
      </w:r>
      <w:proofErr w:type="spellStart"/>
      <w:r w:rsidRPr="0046784D">
        <w:rPr>
          <w:rFonts w:ascii="Arial" w:hAnsi="Arial" w:cs="Arial"/>
          <w:color w:val="000000" w:themeColor="text1"/>
          <w:sz w:val="18"/>
          <w:szCs w:val="18"/>
          <w:lang w:val="en-ID"/>
        </w:rPr>
        <w:t>CyanoHABs</w:t>
      </w:r>
      <w:proofErr w:type="spellEnd"/>
      <w:r w:rsidRPr="0046784D">
        <w:rPr>
          <w:rFonts w:ascii="Arial" w:hAnsi="Arial" w:cs="Arial"/>
          <w:color w:val="000000" w:themeColor="text1"/>
          <w:sz w:val="18"/>
          <w:szCs w:val="18"/>
          <w:lang w:val="en-ID"/>
        </w:rPr>
        <w:t xml:space="preserve">’: unravelling the environmental drivers controlling dominance and succession. </w:t>
      </w:r>
      <w:r w:rsidRPr="0046784D">
        <w:rPr>
          <w:rFonts w:ascii="Arial" w:hAnsi="Arial" w:cs="Arial"/>
          <w:i/>
          <w:iCs/>
          <w:color w:val="000000" w:themeColor="text1"/>
          <w:sz w:val="18"/>
          <w:szCs w:val="18"/>
          <w:lang w:val="en-ID"/>
        </w:rPr>
        <w:t>Environmental Microbiology</w:t>
      </w:r>
      <w:r w:rsidRPr="0046784D">
        <w:rPr>
          <w:rFonts w:ascii="Arial" w:hAnsi="Arial" w:cs="Arial"/>
          <w:color w:val="000000" w:themeColor="text1"/>
          <w:sz w:val="18"/>
          <w:szCs w:val="18"/>
          <w:lang w:val="en-ID"/>
        </w:rPr>
        <w:t>, 18(2), 316–324.</w:t>
      </w:r>
    </w:p>
    <w:p w14:paraId="30E4DF2A" w14:textId="77777777" w:rsidR="00F1570C" w:rsidRPr="00F1570C" w:rsidRDefault="00F1570C" w:rsidP="0046784D">
      <w:pPr>
        <w:pStyle w:val="Bibliography"/>
        <w:numPr>
          <w:ilvl w:val="0"/>
          <w:numId w:val="24"/>
        </w:numPr>
        <w:spacing w:after="0" w:line="240" w:lineRule="auto"/>
        <w:jc w:val="both"/>
        <w:rPr>
          <w:rFonts w:ascii="Arial" w:hAnsi="Arial"/>
          <w:color w:val="000000" w:themeColor="text1"/>
          <w:sz w:val="18"/>
          <w:szCs w:val="18"/>
        </w:rPr>
      </w:pPr>
      <w:r w:rsidRPr="00F1570C">
        <w:rPr>
          <w:rFonts w:ascii="Arial" w:hAnsi="Arial"/>
          <w:color w:val="000000" w:themeColor="text1"/>
          <w:sz w:val="18"/>
          <w:szCs w:val="18"/>
        </w:rPr>
        <w:t xml:space="preserve">Peppa, M. V., </w:t>
      </w:r>
      <w:proofErr w:type="spellStart"/>
      <w:r w:rsidRPr="00F1570C">
        <w:rPr>
          <w:rFonts w:ascii="Arial" w:hAnsi="Arial"/>
          <w:color w:val="000000" w:themeColor="text1"/>
          <w:sz w:val="18"/>
          <w:szCs w:val="18"/>
        </w:rPr>
        <w:t>Vasilakos</w:t>
      </w:r>
      <w:proofErr w:type="spellEnd"/>
      <w:r w:rsidRPr="00F1570C">
        <w:rPr>
          <w:rFonts w:ascii="Arial" w:hAnsi="Arial"/>
          <w:color w:val="000000" w:themeColor="text1"/>
          <w:sz w:val="18"/>
          <w:szCs w:val="18"/>
        </w:rPr>
        <w:t xml:space="preserve">, C., &amp; </w:t>
      </w:r>
      <w:proofErr w:type="spellStart"/>
      <w:r w:rsidRPr="00F1570C">
        <w:rPr>
          <w:rFonts w:ascii="Arial" w:hAnsi="Arial"/>
          <w:color w:val="000000" w:themeColor="text1"/>
          <w:sz w:val="18"/>
          <w:szCs w:val="18"/>
        </w:rPr>
        <w:t>Kavroudakis</w:t>
      </w:r>
      <w:proofErr w:type="spellEnd"/>
      <w:r w:rsidRPr="00F1570C">
        <w:rPr>
          <w:rFonts w:ascii="Arial" w:hAnsi="Arial"/>
          <w:color w:val="000000" w:themeColor="text1"/>
          <w:sz w:val="18"/>
          <w:szCs w:val="18"/>
        </w:rPr>
        <w:t xml:space="preserve">, D. (2020). Eutrophication Monitoring for Lake </w:t>
      </w:r>
      <w:proofErr w:type="spellStart"/>
      <w:r w:rsidRPr="00F1570C">
        <w:rPr>
          <w:rFonts w:ascii="Arial" w:hAnsi="Arial"/>
          <w:color w:val="000000" w:themeColor="text1"/>
          <w:sz w:val="18"/>
          <w:szCs w:val="18"/>
        </w:rPr>
        <w:t>Pamvotis</w:t>
      </w:r>
      <w:proofErr w:type="spellEnd"/>
      <w:r w:rsidRPr="00F1570C">
        <w:rPr>
          <w:rFonts w:ascii="Arial" w:hAnsi="Arial"/>
          <w:color w:val="000000" w:themeColor="text1"/>
          <w:sz w:val="18"/>
          <w:szCs w:val="18"/>
        </w:rPr>
        <w:t xml:space="preserve">, Greece, Using Sentinel-2 Data. Multidisciplinary Digital Publishing Institute. </w:t>
      </w:r>
      <w:hyperlink r:id="rId40" w:history="1">
        <w:r w:rsidRPr="00F1570C">
          <w:rPr>
            <w:rStyle w:val="Hyperlink"/>
            <w:rFonts w:ascii="Arial" w:hAnsi="Arial"/>
            <w:color w:val="000000" w:themeColor="text1"/>
            <w:sz w:val="18"/>
            <w:szCs w:val="18"/>
          </w:rPr>
          <w:t>https://doi.org/https://doi.org/10.3390/ijgi9030143</w:t>
        </w:r>
      </w:hyperlink>
    </w:p>
    <w:p w14:paraId="52A0D8EA" w14:textId="77777777" w:rsidR="00E84334" w:rsidRPr="0046784D" w:rsidRDefault="00E84334" w:rsidP="0046784D">
      <w:pPr>
        <w:pStyle w:val="ListParagraph"/>
        <w:numPr>
          <w:ilvl w:val="0"/>
          <w:numId w:val="24"/>
        </w:numPr>
        <w:spacing w:after="0" w:line="240" w:lineRule="auto"/>
        <w:jc w:val="both"/>
        <w:rPr>
          <w:rFonts w:ascii="Arial" w:hAnsi="Arial" w:cs="Arial"/>
          <w:color w:val="000000" w:themeColor="text1"/>
          <w:sz w:val="18"/>
          <w:szCs w:val="18"/>
        </w:rPr>
      </w:pPr>
      <w:proofErr w:type="spellStart"/>
      <w:r w:rsidRPr="0046784D">
        <w:rPr>
          <w:rFonts w:ascii="Arial" w:hAnsi="Arial" w:cs="Arial"/>
          <w:color w:val="000000" w:themeColor="text1"/>
          <w:sz w:val="18"/>
          <w:szCs w:val="18"/>
          <w:lang w:val="en-ID"/>
        </w:rPr>
        <w:t>Puspasari</w:t>
      </w:r>
      <w:proofErr w:type="spellEnd"/>
      <w:r w:rsidRPr="0046784D">
        <w:rPr>
          <w:rFonts w:ascii="Arial" w:hAnsi="Arial" w:cs="Arial"/>
          <w:color w:val="000000" w:themeColor="text1"/>
          <w:sz w:val="18"/>
          <w:szCs w:val="18"/>
          <w:lang w:val="en-ID"/>
        </w:rPr>
        <w:t xml:space="preserve">, R., </w:t>
      </w:r>
      <w:proofErr w:type="spellStart"/>
      <w:r w:rsidRPr="0046784D">
        <w:rPr>
          <w:rFonts w:ascii="Arial" w:hAnsi="Arial" w:cs="Arial"/>
          <w:color w:val="000000" w:themeColor="text1"/>
          <w:sz w:val="18"/>
          <w:szCs w:val="18"/>
          <w:lang w:val="en-ID"/>
        </w:rPr>
        <w:t>Hartati</w:t>
      </w:r>
      <w:proofErr w:type="spellEnd"/>
      <w:r w:rsidRPr="0046784D">
        <w:rPr>
          <w:rFonts w:ascii="Arial" w:hAnsi="Arial" w:cs="Arial"/>
          <w:color w:val="000000" w:themeColor="text1"/>
          <w:sz w:val="18"/>
          <w:szCs w:val="18"/>
          <w:lang w:val="en-ID"/>
        </w:rPr>
        <w:t xml:space="preserve">, S. T., &amp; </w:t>
      </w:r>
      <w:proofErr w:type="spellStart"/>
      <w:r w:rsidRPr="0046784D">
        <w:rPr>
          <w:rFonts w:ascii="Arial" w:hAnsi="Arial" w:cs="Arial"/>
          <w:color w:val="000000" w:themeColor="text1"/>
          <w:sz w:val="18"/>
          <w:szCs w:val="18"/>
          <w:lang w:val="en-ID"/>
        </w:rPr>
        <w:t>Anggawangsa</w:t>
      </w:r>
      <w:proofErr w:type="spellEnd"/>
      <w:r w:rsidRPr="0046784D">
        <w:rPr>
          <w:rFonts w:ascii="Arial" w:hAnsi="Arial" w:cs="Arial"/>
          <w:color w:val="000000" w:themeColor="text1"/>
          <w:sz w:val="18"/>
          <w:szCs w:val="18"/>
          <w:lang w:val="en-ID"/>
        </w:rPr>
        <w:t xml:space="preserve">, R. F. (2018). </w:t>
      </w:r>
      <w:r w:rsidRPr="0046784D">
        <w:rPr>
          <w:rFonts w:ascii="Arial" w:hAnsi="Arial" w:cs="Arial"/>
          <w:color w:val="000000" w:themeColor="text1"/>
          <w:sz w:val="18"/>
          <w:szCs w:val="18"/>
        </w:rPr>
        <w:t>Analysis of the Impact of Reclamation on the Environment and Fisheries in Jakarta Bay. Indonesian Journal of Fisheries Policy, 9(</w:t>
      </w:r>
      <w:r w:rsidRPr="0046784D">
        <w:rPr>
          <w:rFonts w:ascii="Arial" w:hAnsi="Arial" w:cs="Arial"/>
          <w:color w:val="000000" w:themeColor="text1"/>
          <w:sz w:val="18"/>
          <w:szCs w:val="18"/>
          <w:lang w:val="en-ID"/>
        </w:rPr>
        <w:t xml:space="preserve">2), 85–94. </w:t>
      </w:r>
      <w:hyperlink r:id="rId41" w:tgtFrame="_new" w:history="1">
        <w:r w:rsidRPr="0046784D">
          <w:rPr>
            <w:rStyle w:val="Hyperlink"/>
            <w:rFonts w:ascii="Arial" w:hAnsi="Arial" w:cs="Arial"/>
            <w:color w:val="000000" w:themeColor="text1"/>
            <w:sz w:val="18"/>
            <w:szCs w:val="18"/>
            <w:lang w:val="en-ID"/>
          </w:rPr>
          <w:t>https://doi.org/10.15578/jkpi.9.2.2017.85-94</w:t>
        </w:r>
      </w:hyperlink>
    </w:p>
    <w:p w14:paraId="2261622D" w14:textId="57EB5237" w:rsidR="0034507C" w:rsidRPr="0046784D" w:rsidRDefault="0034507C" w:rsidP="0046784D">
      <w:pPr>
        <w:pStyle w:val="ListParagraph"/>
        <w:numPr>
          <w:ilvl w:val="0"/>
          <w:numId w:val="24"/>
        </w:numPr>
        <w:spacing w:after="0" w:line="240" w:lineRule="auto"/>
        <w:jc w:val="both"/>
        <w:rPr>
          <w:rFonts w:ascii="Arial" w:hAnsi="Arial" w:cs="Arial"/>
          <w:color w:val="000000" w:themeColor="text1"/>
          <w:sz w:val="18"/>
          <w:szCs w:val="18"/>
          <w:lang w:val="en-ID"/>
        </w:rPr>
      </w:pPr>
      <w:proofErr w:type="spellStart"/>
      <w:r w:rsidRPr="0046784D">
        <w:rPr>
          <w:rFonts w:ascii="Arial" w:hAnsi="Arial" w:cs="Arial"/>
          <w:color w:val="000000" w:themeColor="text1"/>
          <w:sz w:val="18"/>
          <w:szCs w:val="18"/>
        </w:rPr>
        <w:t>Rodysill</w:t>
      </w:r>
      <w:proofErr w:type="spellEnd"/>
      <w:r w:rsidRPr="0046784D">
        <w:rPr>
          <w:rFonts w:ascii="Arial" w:hAnsi="Arial" w:cs="Arial"/>
          <w:color w:val="000000" w:themeColor="text1"/>
          <w:sz w:val="18"/>
          <w:szCs w:val="18"/>
        </w:rPr>
        <w:t>, J.R., et al. (2019). ENSO-driven hydrological variability in Java. Climate Dynamics, 52, 4079–4092</w:t>
      </w:r>
    </w:p>
    <w:p w14:paraId="7296D0CA" w14:textId="05A34ECF" w:rsidR="001F78D2" w:rsidRPr="0046784D" w:rsidRDefault="001F78D2" w:rsidP="0046784D">
      <w:pPr>
        <w:pStyle w:val="ListParagraph"/>
        <w:numPr>
          <w:ilvl w:val="0"/>
          <w:numId w:val="24"/>
        </w:numPr>
        <w:spacing w:after="0" w:line="240" w:lineRule="auto"/>
        <w:jc w:val="both"/>
        <w:rPr>
          <w:rFonts w:ascii="Arial" w:hAnsi="Arial" w:cs="Arial"/>
          <w:color w:val="000000" w:themeColor="text1"/>
          <w:sz w:val="18"/>
          <w:szCs w:val="18"/>
          <w:lang w:val="en-ID"/>
        </w:rPr>
      </w:pPr>
      <w:proofErr w:type="spellStart"/>
      <w:r w:rsidRPr="0046784D">
        <w:rPr>
          <w:rFonts w:ascii="Arial" w:hAnsi="Arial" w:cs="Arial"/>
          <w:color w:val="000000" w:themeColor="text1"/>
          <w:sz w:val="18"/>
          <w:szCs w:val="18"/>
          <w:lang w:val="en-ID"/>
        </w:rPr>
        <w:t>Sidabutar</w:t>
      </w:r>
      <w:proofErr w:type="spellEnd"/>
      <w:r w:rsidRPr="0046784D">
        <w:rPr>
          <w:rFonts w:ascii="Arial" w:hAnsi="Arial" w:cs="Arial"/>
          <w:color w:val="000000" w:themeColor="text1"/>
          <w:sz w:val="18"/>
          <w:szCs w:val="18"/>
          <w:lang w:val="en-ID"/>
        </w:rPr>
        <w:t xml:space="preserve">, T., &amp; </w:t>
      </w:r>
      <w:proofErr w:type="spellStart"/>
      <w:r w:rsidRPr="0046784D">
        <w:rPr>
          <w:rFonts w:ascii="Arial" w:hAnsi="Arial" w:cs="Arial"/>
          <w:color w:val="000000" w:themeColor="text1"/>
          <w:sz w:val="18"/>
          <w:szCs w:val="18"/>
          <w:lang w:val="en-ID"/>
        </w:rPr>
        <w:t>Srimariana</w:t>
      </w:r>
      <w:proofErr w:type="spellEnd"/>
      <w:r w:rsidRPr="0046784D">
        <w:rPr>
          <w:rFonts w:ascii="Arial" w:hAnsi="Arial" w:cs="Arial"/>
          <w:color w:val="000000" w:themeColor="text1"/>
          <w:sz w:val="18"/>
          <w:szCs w:val="18"/>
          <w:lang w:val="en-ID"/>
        </w:rPr>
        <w:t xml:space="preserve">, E. (2020). The Connectivity of Nutrient Ratios on the Abundance of </w:t>
      </w:r>
      <w:r w:rsidR="00467601" w:rsidRPr="0046784D">
        <w:rPr>
          <w:rFonts w:ascii="Arial" w:hAnsi="Arial" w:cs="Arial"/>
          <w:color w:val="000000" w:themeColor="text1"/>
          <w:sz w:val="18"/>
          <w:szCs w:val="18"/>
          <w:lang w:val="en-ID"/>
        </w:rPr>
        <w:t xml:space="preserve">the </w:t>
      </w:r>
      <w:r w:rsidRPr="0046784D">
        <w:rPr>
          <w:rFonts w:ascii="Arial" w:hAnsi="Arial" w:cs="Arial"/>
          <w:color w:val="000000" w:themeColor="text1"/>
          <w:sz w:val="18"/>
          <w:szCs w:val="18"/>
          <w:lang w:val="en-ID"/>
        </w:rPr>
        <w:t xml:space="preserve">Phytoplankton Population in Jakarta Bay. E3S Web of Conferences, 147, 02012. </w:t>
      </w:r>
      <w:hyperlink r:id="rId42" w:tgtFrame="_new" w:history="1">
        <w:r w:rsidRPr="0046784D">
          <w:rPr>
            <w:rStyle w:val="Hyperlink"/>
            <w:rFonts w:ascii="Arial" w:hAnsi="Arial" w:cs="Arial"/>
            <w:color w:val="000000" w:themeColor="text1"/>
            <w:sz w:val="18"/>
            <w:szCs w:val="18"/>
            <w:lang w:val="en-ID"/>
          </w:rPr>
          <w:t>https://doi.org/10.1051/e3sconf/202014702012</w:t>
        </w:r>
      </w:hyperlink>
    </w:p>
    <w:p w14:paraId="4C67067A" w14:textId="77777777" w:rsidR="00257615" w:rsidRPr="0046784D" w:rsidRDefault="001F78D2" w:rsidP="0046784D">
      <w:pPr>
        <w:pStyle w:val="ListParagraph"/>
        <w:numPr>
          <w:ilvl w:val="0"/>
          <w:numId w:val="24"/>
        </w:numPr>
        <w:spacing w:after="0" w:line="240" w:lineRule="auto"/>
        <w:jc w:val="both"/>
        <w:rPr>
          <w:rFonts w:ascii="Arial" w:hAnsi="Arial" w:cs="Arial"/>
          <w:color w:val="000000" w:themeColor="text1"/>
          <w:sz w:val="18"/>
          <w:szCs w:val="18"/>
        </w:rPr>
      </w:pPr>
      <w:proofErr w:type="spellStart"/>
      <w:r w:rsidRPr="0046784D">
        <w:rPr>
          <w:rFonts w:ascii="Arial" w:hAnsi="Arial" w:cs="Arial"/>
          <w:color w:val="000000" w:themeColor="text1"/>
          <w:sz w:val="18"/>
          <w:szCs w:val="18"/>
          <w:lang w:val="en-ID"/>
        </w:rPr>
        <w:t>Sidabutar</w:t>
      </w:r>
      <w:proofErr w:type="spellEnd"/>
      <w:r w:rsidRPr="0046784D">
        <w:rPr>
          <w:rFonts w:ascii="Arial" w:hAnsi="Arial" w:cs="Arial"/>
          <w:color w:val="000000" w:themeColor="text1"/>
          <w:sz w:val="18"/>
          <w:szCs w:val="18"/>
          <w:lang w:val="en-ID"/>
        </w:rPr>
        <w:t xml:space="preserve">, T., </w:t>
      </w:r>
      <w:proofErr w:type="spellStart"/>
      <w:r w:rsidRPr="0046784D">
        <w:rPr>
          <w:rFonts w:ascii="Arial" w:hAnsi="Arial" w:cs="Arial"/>
          <w:color w:val="000000" w:themeColor="text1"/>
          <w:sz w:val="18"/>
          <w:szCs w:val="18"/>
          <w:lang w:val="en-ID"/>
        </w:rPr>
        <w:t>Srimariana</w:t>
      </w:r>
      <w:proofErr w:type="spellEnd"/>
      <w:r w:rsidRPr="0046784D">
        <w:rPr>
          <w:rFonts w:ascii="Arial" w:hAnsi="Arial" w:cs="Arial"/>
          <w:color w:val="000000" w:themeColor="text1"/>
          <w:sz w:val="18"/>
          <w:szCs w:val="18"/>
          <w:lang w:val="en-ID"/>
        </w:rPr>
        <w:t xml:space="preserve">, E. S., &amp; </w:t>
      </w:r>
      <w:proofErr w:type="spellStart"/>
      <w:r w:rsidRPr="0046784D">
        <w:rPr>
          <w:rFonts w:ascii="Arial" w:hAnsi="Arial" w:cs="Arial"/>
          <w:color w:val="000000" w:themeColor="text1"/>
          <w:sz w:val="18"/>
          <w:szCs w:val="18"/>
          <w:lang w:val="en-ID"/>
        </w:rPr>
        <w:t>Wouthuyzen</w:t>
      </w:r>
      <w:proofErr w:type="spellEnd"/>
      <w:r w:rsidRPr="0046784D">
        <w:rPr>
          <w:rFonts w:ascii="Arial" w:hAnsi="Arial" w:cs="Arial"/>
          <w:color w:val="000000" w:themeColor="text1"/>
          <w:sz w:val="18"/>
          <w:szCs w:val="18"/>
          <w:lang w:val="en-ID"/>
        </w:rPr>
        <w:t xml:space="preserve">, S. (2021). Phytoplankton species potentially Harmful Algal Blooms (HABs) in Jakarta Bay. IOP Conference Series: Earth and Environmental Science, 744, 012077. </w:t>
      </w:r>
      <w:hyperlink r:id="rId43" w:tgtFrame="_new" w:history="1">
        <w:r w:rsidRPr="0046784D">
          <w:rPr>
            <w:rStyle w:val="Hyperlink"/>
            <w:rFonts w:ascii="Arial" w:hAnsi="Arial" w:cs="Arial"/>
            <w:color w:val="000000" w:themeColor="text1"/>
            <w:sz w:val="18"/>
            <w:szCs w:val="18"/>
            <w:lang w:val="en-ID"/>
          </w:rPr>
          <w:t>https://doi.org/10.1088/1755-1315/744/1/012077</w:t>
        </w:r>
      </w:hyperlink>
    </w:p>
    <w:p w14:paraId="3B9B86D0" w14:textId="77777777" w:rsidR="00257615" w:rsidRPr="0046784D" w:rsidRDefault="00257615" w:rsidP="0046784D">
      <w:pPr>
        <w:pStyle w:val="ListParagraph"/>
        <w:numPr>
          <w:ilvl w:val="0"/>
          <w:numId w:val="24"/>
        </w:numPr>
        <w:spacing w:after="0" w:line="240" w:lineRule="auto"/>
        <w:jc w:val="both"/>
        <w:rPr>
          <w:rFonts w:ascii="Arial" w:hAnsi="Arial" w:cs="Arial"/>
          <w:color w:val="000000" w:themeColor="text1"/>
          <w:sz w:val="18"/>
          <w:szCs w:val="18"/>
          <w:lang w:val="en-ID"/>
        </w:rPr>
      </w:pPr>
      <w:proofErr w:type="spellStart"/>
      <w:r w:rsidRPr="0046784D">
        <w:rPr>
          <w:rFonts w:ascii="Arial" w:hAnsi="Arial" w:cs="Arial"/>
          <w:color w:val="000000" w:themeColor="text1"/>
          <w:sz w:val="18"/>
          <w:szCs w:val="18"/>
          <w:lang w:val="en-ID"/>
        </w:rPr>
        <w:t>Smayda</w:t>
      </w:r>
      <w:proofErr w:type="spellEnd"/>
      <w:r w:rsidRPr="0046784D">
        <w:rPr>
          <w:rFonts w:ascii="Arial" w:hAnsi="Arial" w:cs="Arial"/>
          <w:color w:val="000000" w:themeColor="text1"/>
          <w:sz w:val="18"/>
          <w:szCs w:val="18"/>
          <w:lang w:val="en-ID"/>
        </w:rPr>
        <w:t>, T. J. (1997). Harmful algal blooms: Their ecophysiology and general relevance to phytoplankton ecology. Limnology and Oceanography, 42(5), 1137–1153.</w:t>
      </w:r>
    </w:p>
    <w:p w14:paraId="332D8D85" w14:textId="6D68847F" w:rsidR="0034507C" w:rsidRPr="0046784D" w:rsidRDefault="0034507C" w:rsidP="0046784D">
      <w:pPr>
        <w:pStyle w:val="ListParagraph"/>
        <w:numPr>
          <w:ilvl w:val="0"/>
          <w:numId w:val="24"/>
        </w:numPr>
        <w:spacing w:after="0" w:line="240" w:lineRule="auto"/>
        <w:jc w:val="both"/>
        <w:rPr>
          <w:rFonts w:ascii="Arial" w:hAnsi="Arial" w:cs="Arial"/>
          <w:color w:val="000000" w:themeColor="text1"/>
          <w:sz w:val="18"/>
          <w:szCs w:val="18"/>
          <w:lang w:val="en-ID"/>
        </w:rPr>
      </w:pPr>
      <w:proofErr w:type="spellStart"/>
      <w:r w:rsidRPr="0046784D">
        <w:rPr>
          <w:rFonts w:ascii="Arial" w:hAnsi="Arial" w:cs="Arial"/>
          <w:color w:val="000000" w:themeColor="text1"/>
          <w:sz w:val="18"/>
          <w:szCs w:val="18"/>
        </w:rPr>
        <w:t>Siswanto</w:t>
      </w:r>
      <w:proofErr w:type="spellEnd"/>
      <w:r w:rsidRPr="0046784D">
        <w:rPr>
          <w:rFonts w:ascii="Arial" w:hAnsi="Arial" w:cs="Arial"/>
          <w:color w:val="000000" w:themeColor="text1"/>
          <w:sz w:val="18"/>
          <w:szCs w:val="18"/>
        </w:rPr>
        <w:t>, E., et al. (2020). Monsoonal drivers of coastal productivity. Journal of Geophysical Research–Oceans.</w:t>
      </w:r>
    </w:p>
    <w:p w14:paraId="2B2E06AE" w14:textId="5B0A6C7A" w:rsidR="00E84334" w:rsidRPr="00F1570C" w:rsidRDefault="00E84334" w:rsidP="0046784D">
      <w:pPr>
        <w:pStyle w:val="Bibliography"/>
        <w:numPr>
          <w:ilvl w:val="0"/>
          <w:numId w:val="24"/>
        </w:numPr>
        <w:spacing w:after="0" w:line="240" w:lineRule="auto"/>
        <w:jc w:val="both"/>
        <w:rPr>
          <w:rFonts w:ascii="Arial" w:hAnsi="Arial"/>
          <w:color w:val="000000" w:themeColor="text1"/>
          <w:sz w:val="18"/>
          <w:szCs w:val="18"/>
        </w:rPr>
      </w:pPr>
      <w:r w:rsidRPr="00F1570C">
        <w:rPr>
          <w:rFonts w:ascii="Arial" w:hAnsi="Arial"/>
          <w:color w:val="000000" w:themeColor="text1"/>
          <w:sz w:val="18"/>
          <w:szCs w:val="18"/>
        </w:rPr>
        <w:t xml:space="preserve">Spilling, K., Olli, K., </w:t>
      </w:r>
      <w:proofErr w:type="spellStart"/>
      <w:r w:rsidRPr="00F1570C">
        <w:rPr>
          <w:rFonts w:ascii="Arial" w:hAnsi="Arial"/>
          <w:color w:val="000000" w:themeColor="text1"/>
          <w:sz w:val="18"/>
          <w:szCs w:val="18"/>
        </w:rPr>
        <w:t>Lehtoranta</w:t>
      </w:r>
      <w:proofErr w:type="spellEnd"/>
      <w:r w:rsidRPr="00F1570C">
        <w:rPr>
          <w:rFonts w:ascii="Arial" w:hAnsi="Arial"/>
          <w:color w:val="000000" w:themeColor="text1"/>
          <w:sz w:val="18"/>
          <w:szCs w:val="18"/>
        </w:rPr>
        <w:t xml:space="preserve">, J., </w:t>
      </w:r>
      <w:proofErr w:type="spellStart"/>
      <w:r w:rsidRPr="00F1570C">
        <w:rPr>
          <w:rFonts w:ascii="Arial" w:hAnsi="Arial"/>
          <w:color w:val="000000" w:themeColor="text1"/>
          <w:sz w:val="18"/>
          <w:szCs w:val="18"/>
        </w:rPr>
        <w:t>Kremp</w:t>
      </w:r>
      <w:proofErr w:type="spellEnd"/>
      <w:r w:rsidRPr="00F1570C">
        <w:rPr>
          <w:rFonts w:ascii="Arial" w:hAnsi="Arial"/>
          <w:color w:val="000000" w:themeColor="text1"/>
          <w:sz w:val="18"/>
          <w:szCs w:val="18"/>
        </w:rPr>
        <w:t xml:space="preserve">, A., Tedesco, L., </w:t>
      </w:r>
      <w:proofErr w:type="spellStart"/>
      <w:r w:rsidRPr="00F1570C">
        <w:rPr>
          <w:rFonts w:ascii="Arial" w:hAnsi="Arial"/>
          <w:color w:val="000000" w:themeColor="text1"/>
          <w:sz w:val="18"/>
          <w:szCs w:val="18"/>
        </w:rPr>
        <w:t>Tamelander</w:t>
      </w:r>
      <w:proofErr w:type="spellEnd"/>
      <w:r w:rsidRPr="00F1570C">
        <w:rPr>
          <w:rFonts w:ascii="Arial" w:hAnsi="Arial"/>
          <w:color w:val="000000" w:themeColor="text1"/>
          <w:sz w:val="18"/>
          <w:szCs w:val="18"/>
        </w:rPr>
        <w:t xml:space="preserve">, T., </w:t>
      </w:r>
      <w:proofErr w:type="spellStart"/>
      <w:r w:rsidRPr="00F1570C">
        <w:rPr>
          <w:rFonts w:ascii="Arial" w:hAnsi="Arial"/>
          <w:color w:val="000000" w:themeColor="text1"/>
          <w:sz w:val="18"/>
          <w:szCs w:val="18"/>
        </w:rPr>
        <w:t>Klais</w:t>
      </w:r>
      <w:proofErr w:type="spellEnd"/>
      <w:r w:rsidRPr="00F1570C">
        <w:rPr>
          <w:rFonts w:ascii="Arial" w:hAnsi="Arial"/>
          <w:color w:val="000000" w:themeColor="text1"/>
          <w:sz w:val="18"/>
          <w:szCs w:val="18"/>
        </w:rPr>
        <w:t xml:space="preserve">, R., </w:t>
      </w:r>
      <w:proofErr w:type="spellStart"/>
      <w:r w:rsidRPr="00F1570C">
        <w:rPr>
          <w:rFonts w:ascii="Arial" w:hAnsi="Arial"/>
          <w:color w:val="000000" w:themeColor="text1"/>
          <w:sz w:val="18"/>
          <w:szCs w:val="18"/>
        </w:rPr>
        <w:t>Peltonen</w:t>
      </w:r>
      <w:proofErr w:type="spellEnd"/>
      <w:r w:rsidRPr="00F1570C">
        <w:rPr>
          <w:rFonts w:ascii="Arial" w:hAnsi="Arial"/>
          <w:color w:val="000000" w:themeColor="text1"/>
          <w:sz w:val="18"/>
          <w:szCs w:val="18"/>
        </w:rPr>
        <w:t xml:space="preserve">, H., &amp; </w:t>
      </w:r>
      <w:proofErr w:type="spellStart"/>
      <w:r w:rsidRPr="00F1570C">
        <w:rPr>
          <w:rFonts w:ascii="Arial" w:hAnsi="Arial"/>
          <w:color w:val="000000" w:themeColor="text1"/>
          <w:sz w:val="18"/>
          <w:szCs w:val="18"/>
        </w:rPr>
        <w:t>Tamminen</w:t>
      </w:r>
      <w:proofErr w:type="spellEnd"/>
      <w:r w:rsidRPr="00F1570C">
        <w:rPr>
          <w:rFonts w:ascii="Arial" w:hAnsi="Arial"/>
          <w:color w:val="000000" w:themeColor="text1"/>
          <w:sz w:val="18"/>
          <w:szCs w:val="18"/>
        </w:rPr>
        <w:t xml:space="preserve">, T. (2018). Shifting Diatom Dinoflagellate Dominance During Spring Bloom in the Baltic Sea and </w:t>
      </w:r>
      <w:r w:rsidR="00467601">
        <w:rPr>
          <w:rFonts w:ascii="Arial" w:hAnsi="Arial"/>
          <w:color w:val="000000" w:themeColor="text1"/>
          <w:sz w:val="18"/>
          <w:szCs w:val="18"/>
        </w:rPr>
        <w:t>Its</w:t>
      </w:r>
      <w:r w:rsidRPr="00F1570C">
        <w:rPr>
          <w:rFonts w:ascii="Arial" w:hAnsi="Arial"/>
          <w:color w:val="000000" w:themeColor="text1"/>
          <w:sz w:val="18"/>
          <w:szCs w:val="18"/>
        </w:rPr>
        <w:t xml:space="preserve"> Potential Effects on Biogeochemical Cycling. Frontiers Media. </w:t>
      </w:r>
      <w:hyperlink r:id="rId44" w:history="1">
        <w:r w:rsidRPr="00F1570C">
          <w:rPr>
            <w:rStyle w:val="Hyperlink"/>
            <w:rFonts w:ascii="Arial" w:hAnsi="Arial"/>
            <w:color w:val="000000" w:themeColor="text1"/>
            <w:sz w:val="18"/>
            <w:szCs w:val="18"/>
          </w:rPr>
          <w:t>https://doi.org/https://doi.org/10.3389/fmars.2018.00327</w:t>
        </w:r>
      </w:hyperlink>
    </w:p>
    <w:p w14:paraId="76806E0C" w14:textId="77777777" w:rsidR="00E84334" w:rsidRPr="0046784D" w:rsidRDefault="00E84334" w:rsidP="0046784D">
      <w:pPr>
        <w:pStyle w:val="ListParagraph"/>
        <w:numPr>
          <w:ilvl w:val="0"/>
          <w:numId w:val="24"/>
        </w:numPr>
        <w:spacing w:after="0" w:line="240" w:lineRule="auto"/>
        <w:jc w:val="both"/>
        <w:rPr>
          <w:rFonts w:ascii="Arial" w:hAnsi="Arial" w:cs="Arial"/>
          <w:color w:val="000000" w:themeColor="text1"/>
          <w:sz w:val="18"/>
          <w:szCs w:val="18"/>
          <w:lang w:val="en-ID"/>
        </w:rPr>
      </w:pPr>
      <w:proofErr w:type="spellStart"/>
      <w:r w:rsidRPr="0046784D">
        <w:rPr>
          <w:rFonts w:ascii="Arial" w:hAnsi="Arial" w:cs="Arial"/>
          <w:color w:val="000000" w:themeColor="text1"/>
          <w:sz w:val="18"/>
          <w:szCs w:val="18"/>
          <w:lang w:val="en-ID"/>
        </w:rPr>
        <w:t>Subambang</w:t>
      </w:r>
      <w:proofErr w:type="spellEnd"/>
      <w:r w:rsidRPr="0046784D">
        <w:rPr>
          <w:rFonts w:ascii="Arial" w:hAnsi="Arial" w:cs="Arial"/>
          <w:color w:val="000000" w:themeColor="text1"/>
          <w:sz w:val="18"/>
          <w:szCs w:val="18"/>
          <w:lang w:val="en-ID"/>
        </w:rPr>
        <w:t xml:space="preserve">, R. B., </w:t>
      </w:r>
      <w:proofErr w:type="spellStart"/>
      <w:r w:rsidRPr="0046784D">
        <w:rPr>
          <w:rFonts w:ascii="Arial" w:hAnsi="Arial" w:cs="Arial"/>
          <w:color w:val="000000" w:themeColor="text1"/>
          <w:sz w:val="18"/>
          <w:szCs w:val="18"/>
          <w:lang w:val="en-ID"/>
        </w:rPr>
        <w:t>Damar</w:t>
      </w:r>
      <w:proofErr w:type="spellEnd"/>
      <w:r w:rsidRPr="0046784D">
        <w:rPr>
          <w:rFonts w:ascii="Arial" w:hAnsi="Arial" w:cs="Arial"/>
          <w:color w:val="000000" w:themeColor="text1"/>
          <w:sz w:val="18"/>
          <w:szCs w:val="18"/>
          <w:lang w:val="en-ID"/>
        </w:rPr>
        <w:t xml:space="preserve">, A., </w:t>
      </w:r>
      <w:proofErr w:type="spellStart"/>
      <w:r w:rsidRPr="0046784D">
        <w:rPr>
          <w:rFonts w:ascii="Arial" w:hAnsi="Arial" w:cs="Arial"/>
          <w:color w:val="000000" w:themeColor="text1"/>
          <w:sz w:val="18"/>
          <w:szCs w:val="18"/>
          <w:lang w:val="en-ID"/>
        </w:rPr>
        <w:t>Taryono</w:t>
      </w:r>
      <w:proofErr w:type="spellEnd"/>
      <w:r w:rsidRPr="0046784D">
        <w:rPr>
          <w:rFonts w:ascii="Arial" w:hAnsi="Arial" w:cs="Arial"/>
          <w:color w:val="000000" w:themeColor="text1"/>
          <w:sz w:val="18"/>
          <w:szCs w:val="18"/>
          <w:lang w:val="en-ID"/>
        </w:rPr>
        <w:t xml:space="preserve">, T., </w:t>
      </w:r>
      <w:proofErr w:type="spellStart"/>
      <w:r w:rsidRPr="0046784D">
        <w:rPr>
          <w:rFonts w:ascii="Arial" w:hAnsi="Arial" w:cs="Arial"/>
          <w:color w:val="000000" w:themeColor="text1"/>
          <w:sz w:val="18"/>
          <w:szCs w:val="18"/>
          <w:lang w:val="en-ID"/>
        </w:rPr>
        <w:t>Kurnia</w:t>
      </w:r>
      <w:proofErr w:type="spellEnd"/>
      <w:r w:rsidRPr="0046784D">
        <w:rPr>
          <w:rFonts w:ascii="Arial" w:hAnsi="Arial" w:cs="Arial"/>
          <w:color w:val="000000" w:themeColor="text1"/>
          <w:sz w:val="18"/>
          <w:szCs w:val="18"/>
          <w:lang w:val="en-ID"/>
        </w:rPr>
        <w:t xml:space="preserve">, R., &amp; </w:t>
      </w:r>
      <w:proofErr w:type="spellStart"/>
      <w:r w:rsidRPr="0046784D">
        <w:rPr>
          <w:rFonts w:ascii="Arial" w:hAnsi="Arial" w:cs="Arial"/>
          <w:color w:val="000000" w:themeColor="text1"/>
          <w:sz w:val="18"/>
          <w:szCs w:val="18"/>
          <w:lang w:val="en-ID"/>
        </w:rPr>
        <w:t>Bengen</w:t>
      </w:r>
      <w:proofErr w:type="spellEnd"/>
      <w:r w:rsidRPr="0046784D">
        <w:rPr>
          <w:rFonts w:ascii="Arial" w:hAnsi="Arial" w:cs="Arial"/>
          <w:color w:val="000000" w:themeColor="text1"/>
          <w:sz w:val="18"/>
          <w:szCs w:val="18"/>
          <w:lang w:val="en-ID"/>
        </w:rPr>
        <w:t>, D. (2025). Optimization of institutional framework for mangrove ecosystem management in Jakarta Bay: A multi-stakeholder collaborative approach. International Journal of Innovative Research and Scientific Studies</w:t>
      </w:r>
      <w:r w:rsidRPr="0046784D">
        <w:rPr>
          <w:rFonts w:ascii="Arial" w:hAnsi="Arial" w:cs="Arial"/>
          <w:i/>
          <w:iCs/>
          <w:color w:val="000000" w:themeColor="text1"/>
          <w:sz w:val="18"/>
          <w:szCs w:val="18"/>
          <w:lang w:val="en-ID"/>
        </w:rPr>
        <w:t>,</w:t>
      </w:r>
      <w:r w:rsidRPr="0046784D">
        <w:rPr>
          <w:rFonts w:ascii="Arial" w:hAnsi="Arial" w:cs="Arial"/>
          <w:color w:val="000000" w:themeColor="text1"/>
          <w:sz w:val="18"/>
          <w:szCs w:val="18"/>
          <w:lang w:val="en-ID"/>
        </w:rPr>
        <w:t xml:space="preserve"> 8(8), 10548. </w:t>
      </w:r>
      <w:hyperlink r:id="rId45" w:tgtFrame="_new" w:history="1">
        <w:r w:rsidRPr="0046784D">
          <w:rPr>
            <w:rStyle w:val="Hyperlink"/>
            <w:rFonts w:ascii="Arial" w:hAnsi="Arial" w:cs="Arial"/>
            <w:color w:val="000000" w:themeColor="text1"/>
            <w:sz w:val="18"/>
            <w:szCs w:val="18"/>
            <w:lang w:val="en-ID"/>
          </w:rPr>
          <w:t>https://doi.org/10.53894/ijirss.v8i8.10548</w:t>
        </w:r>
      </w:hyperlink>
    </w:p>
    <w:p w14:paraId="380ACA81" w14:textId="77777777" w:rsidR="00E84334" w:rsidRPr="0046784D" w:rsidRDefault="00E84334" w:rsidP="0046784D">
      <w:pPr>
        <w:pStyle w:val="ListParagraph"/>
        <w:numPr>
          <w:ilvl w:val="0"/>
          <w:numId w:val="24"/>
        </w:numPr>
        <w:spacing w:after="0" w:line="240" w:lineRule="auto"/>
        <w:jc w:val="both"/>
        <w:rPr>
          <w:rFonts w:ascii="Arial" w:hAnsi="Arial" w:cs="Arial"/>
          <w:color w:val="000000" w:themeColor="text1"/>
          <w:sz w:val="18"/>
          <w:szCs w:val="18"/>
        </w:rPr>
      </w:pPr>
      <w:proofErr w:type="spellStart"/>
      <w:r w:rsidRPr="0046784D">
        <w:rPr>
          <w:rFonts w:ascii="Arial" w:hAnsi="Arial" w:cs="Arial"/>
          <w:color w:val="000000" w:themeColor="text1"/>
          <w:sz w:val="18"/>
          <w:szCs w:val="18"/>
        </w:rPr>
        <w:t>Susanti</w:t>
      </w:r>
      <w:proofErr w:type="spellEnd"/>
      <w:r w:rsidRPr="0046784D">
        <w:rPr>
          <w:rFonts w:ascii="Arial" w:hAnsi="Arial" w:cs="Arial"/>
          <w:color w:val="000000" w:themeColor="text1"/>
          <w:sz w:val="18"/>
          <w:szCs w:val="18"/>
        </w:rPr>
        <w:t xml:space="preserve">, E., </w:t>
      </w:r>
      <w:proofErr w:type="spellStart"/>
      <w:r w:rsidRPr="0046784D">
        <w:rPr>
          <w:rFonts w:ascii="Arial" w:hAnsi="Arial" w:cs="Arial"/>
          <w:color w:val="000000" w:themeColor="text1"/>
          <w:sz w:val="18"/>
          <w:szCs w:val="18"/>
        </w:rPr>
        <w:t>Widoretno</w:t>
      </w:r>
      <w:proofErr w:type="spellEnd"/>
      <w:r w:rsidRPr="0046784D">
        <w:rPr>
          <w:rFonts w:ascii="Arial" w:hAnsi="Arial" w:cs="Arial"/>
          <w:color w:val="000000" w:themeColor="text1"/>
          <w:sz w:val="18"/>
          <w:szCs w:val="18"/>
        </w:rPr>
        <w:t xml:space="preserve">, M. T., </w:t>
      </w:r>
      <w:proofErr w:type="spellStart"/>
      <w:r w:rsidRPr="0046784D">
        <w:rPr>
          <w:rFonts w:ascii="Arial" w:hAnsi="Arial" w:cs="Arial"/>
          <w:color w:val="000000" w:themeColor="text1"/>
          <w:sz w:val="18"/>
          <w:szCs w:val="18"/>
        </w:rPr>
        <w:t>Prihatinningtyas</w:t>
      </w:r>
      <w:proofErr w:type="spellEnd"/>
      <w:r w:rsidRPr="0046784D">
        <w:rPr>
          <w:rFonts w:ascii="Arial" w:hAnsi="Arial" w:cs="Arial"/>
          <w:color w:val="000000" w:themeColor="text1"/>
          <w:sz w:val="18"/>
          <w:szCs w:val="18"/>
        </w:rPr>
        <w:t xml:space="preserve">, E., </w:t>
      </w:r>
      <w:proofErr w:type="spellStart"/>
      <w:r w:rsidRPr="0046784D">
        <w:rPr>
          <w:rFonts w:ascii="Arial" w:hAnsi="Arial" w:cs="Arial"/>
          <w:color w:val="000000" w:themeColor="text1"/>
          <w:sz w:val="18"/>
          <w:szCs w:val="18"/>
        </w:rPr>
        <w:t>Akhdiana</w:t>
      </w:r>
      <w:proofErr w:type="spellEnd"/>
      <w:r w:rsidRPr="0046784D">
        <w:rPr>
          <w:rFonts w:ascii="Arial" w:hAnsi="Arial" w:cs="Arial"/>
          <w:color w:val="000000" w:themeColor="text1"/>
          <w:sz w:val="18"/>
          <w:szCs w:val="18"/>
        </w:rPr>
        <w:t xml:space="preserve">, I., </w:t>
      </w:r>
      <w:proofErr w:type="spellStart"/>
      <w:r w:rsidRPr="0046784D">
        <w:rPr>
          <w:rFonts w:ascii="Arial" w:hAnsi="Arial" w:cs="Arial"/>
          <w:color w:val="000000" w:themeColor="text1"/>
          <w:sz w:val="18"/>
          <w:szCs w:val="18"/>
        </w:rPr>
        <w:t>Riffiani</w:t>
      </w:r>
      <w:proofErr w:type="spellEnd"/>
      <w:r w:rsidRPr="0046784D">
        <w:rPr>
          <w:rFonts w:ascii="Arial" w:hAnsi="Arial" w:cs="Arial"/>
          <w:color w:val="000000" w:themeColor="text1"/>
          <w:sz w:val="18"/>
          <w:szCs w:val="18"/>
        </w:rPr>
        <w:t xml:space="preserve">, R., Henny, C., &amp; </w:t>
      </w:r>
      <w:proofErr w:type="spellStart"/>
      <w:r w:rsidRPr="0046784D">
        <w:rPr>
          <w:rFonts w:ascii="Arial" w:hAnsi="Arial" w:cs="Arial"/>
          <w:color w:val="000000" w:themeColor="text1"/>
          <w:sz w:val="18"/>
          <w:szCs w:val="18"/>
        </w:rPr>
        <w:t>Toruan</w:t>
      </w:r>
      <w:proofErr w:type="spellEnd"/>
      <w:r w:rsidRPr="0046784D">
        <w:rPr>
          <w:rFonts w:ascii="Arial" w:hAnsi="Arial" w:cs="Arial"/>
          <w:color w:val="000000" w:themeColor="text1"/>
          <w:sz w:val="18"/>
          <w:szCs w:val="18"/>
        </w:rPr>
        <w:t xml:space="preserve">, R. L. (2022). Phytoplankton Diversity in Jakarta Bay Estuary, Indonesia. IOP Conference Series, 1062(1), 012014–012014. </w:t>
      </w:r>
      <w:hyperlink r:id="rId46" w:history="1">
        <w:r w:rsidRPr="0046784D">
          <w:rPr>
            <w:rStyle w:val="Hyperlink"/>
            <w:rFonts w:ascii="Arial" w:hAnsi="Arial" w:cs="Arial"/>
            <w:color w:val="000000" w:themeColor="text1"/>
            <w:sz w:val="18"/>
            <w:szCs w:val="18"/>
          </w:rPr>
          <w:t>https://doi.org/10.1088/1755-1315/1062/1/012014</w:t>
        </w:r>
      </w:hyperlink>
    </w:p>
    <w:p w14:paraId="17AE92F3" w14:textId="77777777" w:rsidR="00F1570C" w:rsidRPr="00F1570C" w:rsidRDefault="00F1570C" w:rsidP="0046784D">
      <w:pPr>
        <w:pStyle w:val="Bibliography"/>
        <w:numPr>
          <w:ilvl w:val="0"/>
          <w:numId w:val="24"/>
        </w:numPr>
        <w:spacing w:after="0" w:line="240" w:lineRule="auto"/>
        <w:jc w:val="both"/>
        <w:rPr>
          <w:rFonts w:ascii="Arial" w:hAnsi="Arial"/>
          <w:color w:val="000000" w:themeColor="text1"/>
          <w:sz w:val="18"/>
          <w:szCs w:val="18"/>
        </w:rPr>
      </w:pPr>
      <w:proofErr w:type="spellStart"/>
      <w:r w:rsidRPr="00F1570C">
        <w:rPr>
          <w:rFonts w:ascii="Arial" w:hAnsi="Arial"/>
          <w:color w:val="000000" w:themeColor="text1"/>
          <w:sz w:val="18"/>
          <w:szCs w:val="18"/>
        </w:rPr>
        <w:t>Ugya</w:t>
      </w:r>
      <w:proofErr w:type="spellEnd"/>
      <w:r w:rsidRPr="00F1570C">
        <w:rPr>
          <w:rFonts w:ascii="Arial" w:hAnsi="Arial"/>
          <w:color w:val="000000" w:themeColor="text1"/>
          <w:sz w:val="18"/>
          <w:szCs w:val="18"/>
        </w:rPr>
        <w:t xml:space="preserve">, A.Y., Yan, C., Chen, H., &amp; Wang, Q. (2025). Unravelling the eco-monitoring potential of phytoplankton towards a sustainable aquatic </w:t>
      </w:r>
      <w:r w:rsidRPr="00F1570C">
        <w:rPr>
          <w:rFonts w:ascii="Arial" w:hAnsi="Arial"/>
          <w:color w:val="000000" w:themeColor="text1"/>
          <w:sz w:val="18"/>
          <w:szCs w:val="18"/>
        </w:rPr>
        <w:lastRenderedPageBreak/>
        <w:t>ecosystem</w:t>
      </w:r>
      <w:r w:rsidRPr="00330943">
        <w:rPr>
          <w:rFonts w:ascii="Arial" w:hAnsi="Arial"/>
          <w:color w:val="000000" w:themeColor="text1"/>
          <w:sz w:val="18"/>
          <w:szCs w:val="18"/>
        </w:rPr>
        <w:t>. Marine pollution bulletin, 216,</w:t>
      </w:r>
      <w:r w:rsidRPr="00F1570C">
        <w:rPr>
          <w:rFonts w:ascii="Arial" w:hAnsi="Arial"/>
          <w:color w:val="000000" w:themeColor="text1"/>
          <w:sz w:val="18"/>
          <w:szCs w:val="18"/>
        </w:rPr>
        <w:t xml:space="preserve"> 118021 </w:t>
      </w:r>
      <w:r w:rsidRPr="00F1570C">
        <w:rPr>
          <w:rFonts w:ascii="Arial" w:hAnsi="Arial"/>
          <w:color w:val="000000" w:themeColor="text1"/>
          <w:sz w:val="18"/>
          <w:szCs w:val="18"/>
          <w:lang w:val="en-ID"/>
        </w:rPr>
        <w:t>DOI:</w:t>
      </w:r>
      <w:hyperlink r:id="rId47" w:history="1">
        <w:r w:rsidRPr="00F1570C">
          <w:rPr>
            <w:rStyle w:val="Hyperlink"/>
            <w:rFonts w:ascii="Arial" w:hAnsi="Arial"/>
            <w:color w:val="000000" w:themeColor="text1"/>
            <w:sz w:val="18"/>
            <w:szCs w:val="18"/>
            <w:lang w:val="en-ID"/>
          </w:rPr>
          <w:t>10.1016/j.marpolbul.2025.118021</w:t>
        </w:r>
      </w:hyperlink>
    </w:p>
    <w:p w14:paraId="00B33D7A" w14:textId="5EF4BAE2" w:rsidR="00F1570C" w:rsidRPr="00F1570C" w:rsidRDefault="00F1570C" w:rsidP="0046784D">
      <w:pPr>
        <w:pStyle w:val="Bibliography"/>
        <w:numPr>
          <w:ilvl w:val="0"/>
          <w:numId w:val="24"/>
        </w:numPr>
        <w:spacing w:after="0" w:line="240" w:lineRule="auto"/>
        <w:jc w:val="both"/>
        <w:rPr>
          <w:rFonts w:ascii="Arial" w:hAnsi="Arial"/>
          <w:color w:val="000000" w:themeColor="text1"/>
          <w:sz w:val="18"/>
          <w:szCs w:val="18"/>
        </w:rPr>
      </w:pPr>
      <w:proofErr w:type="spellStart"/>
      <w:r w:rsidRPr="00F1570C">
        <w:rPr>
          <w:rFonts w:ascii="Arial" w:hAnsi="Arial"/>
          <w:color w:val="000000" w:themeColor="text1"/>
          <w:sz w:val="18"/>
          <w:szCs w:val="18"/>
        </w:rPr>
        <w:t>Wentzky</w:t>
      </w:r>
      <w:proofErr w:type="spellEnd"/>
      <w:r w:rsidRPr="00F1570C">
        <w:rPr>
          <w:rFonts w:ascii="Arial" w:hAnsi="Arial"/>
          <w:color w:val="000000" w:themeColor="text1"/>
          <w:sz w:val="18"/>
          <w:szCs w:val="18"/>
        </w:rPr>
        <w:t xml:space="preserve">, V. C., </w:t>
      </w:r>
      <w:proofErr w:type="spellStart"/>
      <w:r w:rsidRPr="00F1570C">
        <w:rPr>
          <w:rFonts w:ascii="Arial" w:hAnsi="Arial"/>
          <w:color w:val="000000" w:themeColor="text1"/>
          <w:sz w:val="18"/>
          <w:szCs w:val="18"/>
        </w:rPr>
        <w:t>Tittel</w:t>
      </w:r>
      <w:proofErr w:type="spellEnd"/>
      <w:r w:rsidRPr="00F1570C">
        <w:rPr>
          <w:rFonts w:ascii="Arial" w:hAnsi="Arial"/>
          <w:color w:val="000000" w:themeColor="text1"/>
          <w:sz w:val="18"/>
          <w:szCs w:val="18"/>
        </w:rPr>
        <w:t xml:space="preserve">, J., </w:t>
      </w:r>
      <w:proofErr w:type="spellStart"/>
      <w:r w:rsidRPr="00F1570C">
        <w:rPr>
          <w:rFonts w:ascii="Arial" w:hAnsi="Arial"/>
          <w:color w:val="000000" w:themeColor="text1"/>
          <w:sz w:val="18"/>
          <w:szCs w:val="18"/>
        </w:rPr>
        <w:t>Jger</w:t>
      </w:r>
      <w:proofErr w:type="spellEnd"/>
      <w:r w:rsidRPr="00F1570C">
        <w:rPr>
          <w:rFonts w:ascii="Arial" w:hAnsi="Arial"/>
          <w:color w:val="000000" w:themeColor="text1"/>
          <w:sz w:val="18"/>
          <w:szCs w:val="18"/>
        </w:rPr>
        <w:t xml:space="preserve">, C. G., &amp; Rinke, K. (2018). Mechanisms preventing a decrease in phytoplankton biomass after phosphorus reductions in a German drinking water </w:t>
      </w:r>
      <w:r w:rsidR="00467601">
        <w:rPr>
          <w:rFonts w:ascii="Arial" w:hAnsi="Arial"/>
          <w:color w:val="000000" w:themeColor="text1"/>
          <w:sz w:val="18"/>
          <w:szCs w:val="18"/>
        </w:rPr>
        <w:t>reservoir result</w:t>
      </w:r>
      <w:r w:rsidRPr="00F1570C">
        <w:rPr>
          <w:rFonts w:ascii="Arial" w:hAnsi="Arial"/>
          <w:color w:val="000000" w:themeColor="text1"/>
          <w:sz w:val="18"/>
          <w:szCs w:val="18"/>
        </w:rPr>
        <w:t xml:space="preserve"> from more than 50</w:t>
      </w:r>
      <w:r w:rsidR="00467601">
        <w:rPr>
          <w:rFonts w:ascii="Arial" w:hAnsi="Arial"/>
          <w:color w:val="000000" w:themeColor="text1"/>
          <w:sz w:val="18"/>
          <w:szCs w:val="18"/>
        </w:rPr>
        <w:t xml:space="preserve"> </w:t>
      </w:r>
      <w:r w:rsidRPr="00F1570C">
        <w:rPr>
          <w:rFonts w:ascii="Arial" w:hAnsi="Arial"/>
          <w:color w:val="000000" w:themeColor="text1"/>
          <w:sz w:val="18"/>
          <w:szCs w:val="18"/>
        </w:rPr>
        <w:t xml:space="preserve">years of observation. Wiley. </w:t>
      </w:r>
      <w:hyperlink r:id="rId48" w:history="1">
        <w:r w:rsidRPr="00F1570C">
          <w:rPr>
            <w:rStyle w:val="Hyperlink"/>
            <w:rFonts w:ascii="Arial" w:hAnsi="Arial"/>
            <w:color w:val="000000" w:themeColor="text1"/>
            <w:sz w:val="18"/>
            <w:szCs w:val="18"/>
          </w:rPr>
          <w:t>https://doi.org/https://doi.org/10.1111/fwb.13116</w:t>
        </w:r>
      </w:hyperlink>
    </w:p>
    <w:p w14:paraId="10740F28" w14:textId="0B69E2B3" w:rsidR="001F78D2" w:rsidRPr="0046784D" w:rsidRDefault="001F78D2" w:rsidP="0046784D">
      <w:pPr>
        <w:pStyle w:val="ListParagraph"/>
        <w:numPr>
          <w:ilvl w:val="0"/>
          <w:numId w:val="24"/>
        </w:numPr>
        <w:spacing w:after="0" w:line="240" w:lineRule="auto"/>
        <w:jc w:val="both"/>
        <w:rPr>
          <w:rFonts w:ascii="Arial" w:hAnsi="Arial" w:cs="Arial"/>
          <w:color w:val="000000" w:themeColor="text1"/>
          <w:sz w:val="18"/>
          <w:szCs w:val="18"/>
          <w:lang w:val="en-ID"/>
        </w:rPr>
      </w:pPr>
      <w:proofErr w:type="spellStart"/>
      <w:r w:rsidRPr="0046784D">
        <w:rPr>
          <w:rFonts w:ascii="Arial" w:hAnsi="Arial" w:cs="Arial"/>
          <w:color w:val="000000" w:themeColor="text1"/>
          <w:sz w:val="18"/>
          <w:szCs w:val="18"/>
          <w:lang w:val="en-ID"/>
        </w:rPr>
        <w:t>Wijayanti</w:t>
      </w:r>
      <w:proofErr w:type="spellEnd"/>
      <w:r w:rsidRPr="0046784D">
        <w:rPr>
          <w:rFonts w:ascii="Arial" w:hAnsi="Arial" w:cs="Arial"/>
          <w:color w:val="000000" w:themeColor="text1"/>
          <w:sz w:val="18"/>
          <w:szCs w:val="18"/>
          <w:lang w:val="en-ID"/>
        </w:rPr>
        <w:t xml:space="preserve">, L. A. S., </w:t>
      </w:r>
      <w:proofErr w:type="spellStart"/>
      <w:r w:rsidRPr="0046784D">
        <w:rPr>
          <w:rFonts w:ascii="Arial" w:hAnsi="Arial" w:cs="Arial"/>
          <w:color w:val="000000" w:themeColor="text1"/>
          <w:sz w:val="18"/>
          <w:szCs w:val="18"/>
          <w:lang w:val="en-ID"/>
        </w:rPr>
        <w:t>Pratama</w:t>
      </w:r>
      <w:proofErr w:type="spellEnd"/>
      <w:r w:rsidRPr="0046784D">
        <w:rPr>
          <w:rFonts w:ascii="Arial" w:hAnsi="Arial" w:cs="Arial"/>
          <w:color w:val="000000" w:themeColor="text1"/>
          <w:sz w:val="18"/>
          <w:szCs w:val="18"/>
          <w:lang w:val="en-ID"/>
        </w:rPr>
        <w:t xml:space="preserve">, G. B., Utama, M. I. C., </w:t>
      </w:r>
      <w:proofErr w:type="spellStart"/>
      <w:r w:rsidRPr="0046784D">
        <w:rPr>
          <w:rFonts w:ascii="Arial" w:hAnsi="Arial" w:cs="Arial"/>
          <w:color w:val="000000" w:themeColor="text1"/>
          <w:sz w:val="18"/>
          <w:szCs w:val="18"/>
          <w:lang w:val="en-ID"/>
        </w:rPr>
        <w:t>Umbekna</w:t>
      </w:r>
      <w:proofErr w:type="spellEnd"/>
      <w:r w:rsidRPr="0046784D">
        <w:rPr>
          <w:rFonts w:ascii="Arial" w:hAnsi="Arial" w:cs="Arial"/>
          <w:color w:val="000000" w:themeColor="text1"/>
          <w:sz w:val="18"/>
          <w:szCs w:val="18"/>
          <w:lang w:val="en-ID"/>
        </w:rPr>
        <w:t xml:space="preserve">, S., </w:t>
      </w:r>
      <w:proofErr w:type="spellStart"/>
      <w:r w:rsidRPr="0046784D">
        <w:rPr>
          <w:rFonts w:ascii="Arial" w:hAnsi="Arial" w:cs="Arial"/>
          <w:color w:val="000000" w:themeColor="text1"/>
          <w:sz w:val="18"/>
          <w:szCs w:val="18"/>
          <w:lang w:val="en-ID"/>
        </w:rPr>
        <w:t>Nugraha</w:t>
      </w:r>
      <w:proofErr w:type="spellEnd"/>
      <w:r w:rsidRPr="0046784D">
        <w:rPr>
          <w:rFonts w:ascii="Arial" w:hAnsi="Arial" w:cs="Arial"/>
          <w:color w:val="000000" w:themeColor="text1"/>
          <w:sz w:val="18"/>
          <w:szCs w:val="18"/>
          <w:lang w:val="en-ID"/>
        </w:rPr>
        <w:t xml:space="preserve">, T. A., et al. (2025). Phytoplankton Functional Types in Tropical Hypertrophic Waters: A Case Study of the Coastal Waters of Jakarta Bay, Indonesia. Environmental Quality Management. </w:t>
      </w:r>
      <w:hyperlink r:id="rId49" w:tgtFrame="_new" w:history="1">
        <w:r w:rsidRPr="0046784D">
          <w:rPr>
            <w:rStyle w:val="Hyperlink"/>
            <w:rFonts w:ascii="Arial" w:hAnsi="Arial" w:cs="Arial"/>
            <w:color w:val="000000" w:themeColor="text1"/>
            <w:sz w:val="18"/>
            <w:szCs w:val="18"/>
            <w:lang w:val="en-ID"/>
          </w:rPr>
          <w:t>https://doi.org/10.1002/tqem.70173</w:t>
        </w:r>
      </w:hyperlink>
    </w:p>
    <w:p w14:paraId="05883F82" w14:textId="31CC88F6" w:rsidR="001B3AA3" w:rsidRPr="0046784D" w:rsidRDefault="00D00057" w:rsidP="0046784D">
      <w:pPr>
        <w:pStyle w:val="ListParagraph"/>
        <w:numPr>
          <w:ilvl w:val="0"/>
          <w:numId w:val="24"/>
        </w:numPr>
        <w:spacing w:after="0" w:line="240" w:lineRule="auto"/>
        <w:rPr>
          <w:rFonts w:ascii="Arial" w:hAnsi="Arial" w:cs="Arial"/>
          <w:bCs/>
          <w:color w:val="000000" w:themeColor="text1"/>
          <w:sz w:val="18"/>
          <w:szCs w:val="18"/>
        </w:rPr>
      </w:pPr>
      <w:proofErr w:type="spellStart"/>
      <w:r w:rsidRPr="0046784D">
        <w:rPr>
          <w:rFonts w:ascii="Arial" w:hAnsi="Arial" w:cs="Arial"/>
          <w:color w:val="000000" w:themeColor="text1"/>
          <w:sz w:val="18"/>
          <w:szCs w:val="18"/>
        </w:rPr>
        <w:t>Yamaji</w:t>
      </w:r>
      <w:proofErr w:type="spellEnd"/>
      <w:r w:rsidRPr="0046784D">
        <w:rPr>
          <w:rFonts w:ascii="Arial" w:hAnsi="Arial" w:cs="Arial"/>
          <w:color w:val="000000" w:themeColor="text1"/>
          <w:sz w:val="18"/>
          <w:szCs w:val="18"/>
        </w:rPr>
        <w:t xml:space="preserve"> I. E.   Illustration of the Marine Plankton of Japan. </w:t>
      </w:r>
      <w:proofErr w:type="spellStart"/>
      <w:r w:rsidRPr="0046784D">
        <w:rPr>
          <w:rFonts w:ascii="Arial" w:hAnsi="Arial" w:cs="Arial"/>
          <w:color w:val="000000" w:themeColor="text1"/>
          <w:sz w:val="18"/>
          <w:szCs w:val="18"/>
        </w:rPr>
        <w:t>Houkusho</w:t>
      </w:r>
      <w:proofErr w:type="spellEnd"/>
      <w:r w:rsidRPr="0046784D">
        <w:rPr>
          <w:rFonts w:ascii="Arial" w:hAnsi="Arial" w:cs="Arial"/>
          <w:color w:val="000000" w:themeColor="text1"/>
          <w:sz w:val="18"/>
          <w:szCs w:val="18"/>
        </w:rPr>
        <w:t>. Osaka, Japan, 1966.</w:t>
      </w:r>
      <w:bookmarkStart w:id="6" w:name="ref-isabelle2019"/>
      <w:bookmarkStart w:id="7" w:name="refs"/>
    </w:p>
    <w:p w14:paraId="7559A3ED" w14:textId="77777777" w:rsidR="00E8231F" w:rsidRPr="0046784D" w:rsidRDefault="00E8231F" w:rsidP="0046784D">
      <w:pPr>
        <w:pStyle w:val="ListParagraph"/>
        <w:numPr>
          <w:ilvl w:val="0"/>
          <w:numId w:val="24"/>
        </w:numPr>
        <w:spacing w:after="0" w:line="240" w:lineRule="auto"/>
        <w:jc w:val="both"/>
        <w:rPr>
          <w:rFonts w:ascii="Arial" w:hAnsi="Arial" w:cs="Arial"/>
          <w:color w:val="000000" w:themeColor="text1"/>
          <w:sz w:val="18"/>
          <w:szCs w:val="18"/>
        </w:rPr>
      </w:pPr>
      <w:r w:rsidRPr="0046784D">
        <w:rPr>
          <w:rFonts w:ascii="Arial" w:hAnsi="Arial" w:cs="Arial"/>
          <w:color w:val="000000" w:themeColor="text1"/>
          <w:sz w:val="18"/>
          <w:szCs w:val="18"/>
        </w:rPr>
        <w:t xml:space="preserve">Zhang, S., Xu, H., Zhang, Y.-F., Li, Y., Wei, J., &amp; Pei, H. (2020). Variation of phytoplankton communities and their driving factors along a disturbed temperate river-to-sea ecosystem. Ecological Indicators, 118, 106776–106776. </w:t>
      </w:r>
      <w:hyperlink r:id="rId50" w:history="1">
        <w:r w:rsidRPr="0046784D">
          <w:rPr>
            <w:rStyle w:val="Hyperlink"/>
            <w:rFonts w:ascii="Arial" w:hAnsi="Arial" w:cs="Arial"/>
            <w:color w:val="000000" w:themeColor="text1"/>
            <w:sz w:val="18"/>
            <w:szCs w:val="18"/>
          </w:rPr>
          <w:t>https://doi.org/10.1016/j.ecolind.2020.106776</w:t>
        </w:r>
      </w:hyperlink>
    </w:p>
    <w:p w14:paraId="4DD8DCFD" w14:textId="77777777" w:rsidR="001B3AA3" w:rsidRPr="00F1570C" w:rsidRDefault="001B3AA3" w:rsidP="0046784D">
      <w:pPr>
        <w:pStyle w:val="Bibliography"/>
        <w:numPr>
          <w:ilvl w:val="0"/>
          <w:numId w:val="24"/>
        </w:numPr>
        <w:spacing w:after="0" w:line="240" w:lineRule="auto"/>
        <w:jc w:val="both"/>
        <w:rPr>
          <w:rFonts w:ascii="Arial" w:hAnsi="Arial"/>
          <w:color w:val="000000" w:themeColor="text1"/>
          <w:sz w:val="18"/>
          <w:szCs w:val="18"/>
        </w:rPr>
      </w:pPr>
      <w:r w:rsidRPr="00F1570C">
        <w:rPr>
          <w:rFonts w:ascii="Arial" w:hAnsi="Arial"/>
          <w:color w:val="000000" w:themeColor="text1"/>
          <w:sz w:val="18"/>
          <w:szCs w:val="18"/>
        </w:rPr>
        <w:t xml:space="preserve">Zhang, Y., Gao, W., Li, Y., Jiang, Y., Chen, X., Yao, Y., </w:t>
      </w:r>
      <w:proofErr w:type="spellStart"/>
      <w:r w:rsidRPr="00F1570C">
        <w:rPr>
          <w:rFonts w:ascii="Arial" w:hAnsi="Arial"/>
          <w:color w:val="000000" w:themeColor="text1"/>
          <w:sz w:val="18"/>
          <w:szCs w:val="18"/>
        </w:rPr>
        <w:t>Messyasz</w:t>
      </w:r>
      <w:proofErr w:type="spellEnd"/>
      <w:r w:rsidRPr="00F1570C">
        <w:rPr>
          <w:rFonts w:ascii="Arial" w:hAnsi="Arial"/>
          <w:color w:val="000000" w:themeColor="text1"/>
          <w:sz w:val="18"/>
          <w:szCs w:val="18"/>
        </w:rPr>
        <w:t xml:space="preserve">, B., Yin, K., He, W., &amp; Chen, Y. (2021). Characteristics of the Phytoplankton Community Structure and Water Quality Evaluation in Autumn in the </w:t>
      </w:r>
      <w:proofErr w:type="spellStart"/>
      <w:r w:rsidRPr="00F1570C">
        <w:rPr>
          <w:rFonts w:ascii="Arial" w:hAnsi="Arial"/>
          <w:color w:val="000000" w:themeColor="text1"/>
          <w:sz w:val="18"/>
          <w:szCs w:val="18"/>
        </w:rPr>
        <w:t>Huaihe</w:t>
      </w:r>
      <w:proofErr w:type="spellEnd"/>
      <w:r w:rsidRPr="00F1570C">
        <w:rPr>
          <w:rFonts w:ascii="Arial" w:hAnsi="Arial"/>
          <w:color w:val="000000" w:themeColor="text1"/>
          <w:sz w:val="18"/>
          <w:szCs w:val="18"/>
        </w:rPr>
        <w:t xml:space="preserve"> River (China). Multidisciplinary Digital Publishing Institute. </w:t>
      </w:r>
      <w:hyperlink r:id="rId51" w:history="1">
        <w:r w:rsidRPr="00F1570C">
          <w:rPr>
            <w:rStyle w:val="Hyperlink"/>
            <w:rFonts w:ascii="Arial" w:hAnsi="Arial"/>
            <w:color w:val="000000" w:themeColor="text1"/>
            <w:sz w:val="18"/>
            <w:szCs w:val="18"/>
          </w:rPr>
          <w:t>https://doi.org/https://doi.org/10.3390/ijerph182212092</w:t>
        </w:r>
      </w:hyperlink>
    </w:p>
    <w:p w14:paraId="7522C3D2" w14:textId="7E0AF58E" w:rsidR="00EF654B" w:rsidRPr="00F1570C" w:rsidRDefault="00EF654B" w:rsidP="0046784D">
      <w:pPr>
        <w:pStyle w:val="Bibliography"/>
        <w:numPr>
          <w:ilvl w:val="0"/>
          <w:numId w:val="24"/>
        </w:numPr>
        <w:spacing w:after="0" w:line="240" w:lineRule="auto"/>
        <w:jc w:val="both"/>
        <w:rPr>
          <w:rFonts w:ascii="Arial" w:hAnsi="Arial"/>
          <w:color w:val="000000" w:themeColor="text1"/>
          <w:sz w:val="18"/>
          <w:szCs w:val="18"/>
        </w:rPr>
      </w:pPr>
      <w:r w:rsidRPr="00F1570C">
        <w:rPr>
          <w:rFonts w:ascii="Arial" w:hAnsi="Arial"/>
          <w:color w:val="000000" w:themeColor="text1"/>
          <w:sz w:val="18"/>
          <w:szCs w:val="18"/>
          <w:lang w:val="en-US"/>
        </w:rPr>
        <w:t xml:space="preserve">Zhang, Y., et al. (2022). </w:t>
      </w:r>
      <w:r w:rsidRPr="00330943">
        <w:rPr>
          <w:rFonts w:ascii="Arial" w:hAnsi="Arial"/>
          <w:color w:val="000000" w:themeColor="text1"/>
          <w:sz w:val="18"/>
          <w:szCs w:val="18"/>
          <w:lang w:val="en-US"/>
        </w:rPr>
        <w:t>Hydrodynamic controls on phytoplankton succession in monsoon-influenced estuaries. Estuarine, Coastal and Shelf Scienc</w:t>
      </w:r>
      <w:r w:rsidRPr="00F1570C">
        <w:rPr>
          <w:rFonts w:ascii="Arial" w:hAnsi="Arial"/>
          <w:i/>
          <w:iCs/>
          <w:color w:val="000000" w:themeColor="text1"/>
          <w:sz w:val="18"/>
          <w:szCs w:val="18"/>
          <w:lang w:val="en-US"/>
        </w:rPr>
        <w:t>e</w:t>
      </w:r>
      <w:r w:rsidRPr="00F1570C">
        <w:rPr>
          <w:rFonts w:ascii="Arial" w:hAnsi="Arial"/>
          <w:color w:val="000000" w:themeColor="text1"/>
          <w:sz w:val="18"/>
          <w:szCs w:val="18"/>
          <w:lang w:val="en-US"/>
        </w:rPr>
        <w:t xml:space="preserve">, 271, 107897. </w:t>
      </w:r>
      <w:hyperlink r:id="rId52" w:history="1">
        <w:r w:rsidRPr="00F1570C">
          <w:rPr>
            <w:rStyle w:val="Hyperlink"/>
            <w:rFonts w:ascii="Arial" w:hAnsi="Arial"/>
            <w:color w:val="000000" w:themeColor="text1"/>
            <w:sz w:val="18"/>
            <w:szCs w:val="18"/>
            <w:lang w:val="en-US"/>
          </w:rPr>
          <w:t>https://doi.org/10.1016/j.ecss.2022.107897</w:t>
        </w:r>
      </w:hyperlink>
    </w:p>
    <w:bookmarkEnd w:id="5"/>
    <w:bookmarkEnd w:id="6"/>
    <w:bookmarkEnd w:id="7"/>
    <w:p w14:paraId="50EA45BD" w14:textId="77777777" w:rsidR="00E77AA5" w:rsidRDefault="00E77AA5" w:rsidP="00E61636">
      <w:pPr>
        <w:spacing w:after="0" w:line="240" w:lineRule="auto"/>
        <w:jc w:val="both"/>
        <w:outlineLvl w:val="0"/>
        <w:rPr>
          <w:rFonts w:ascii="Arial" w:eastAsia="SimSun" w:hAnsi="Arial" w:cs="Arial"/>
          <w:b/>
          <w:sz w:val="20"/>
          <w:szCs w:val="20"/>
        </w:rPr>
      </w:pPr>
    </w:p>
    <w:p w14:paraId="0C3957CA" w14:textId="77777777" w:rsidR="00E77AA5" w:rsidRDefault="00E77AA5" w:rsidP="00E61636">
      <w:pPr>
        <w:spacing w:after="0" w:line="240" w:lineRule="auto"/>
        <w:jc w:val="both"/>
        <w:outlineLvl w:val="0"/>
        <w:rPr>
          <w:rFonts w:ascii="Arial" w:eastAsia="SimSun" w:hAnsi="Arial" w:cs="Arial"/>
          <w:b/>
          <w:sz w:val="20"/>
          <w:szCs w:val="20"/>
        </w:rPr>
      </w:pPr>
    </w:p>
    <w:p w14:paraId="6DCBCC17" w14:textId="77777777" w:rsidR="00E77AA5" w:rsidRDefault="00E77AA5" w:rsidP="00E61636">
      <w:pPr>
        <w:spacing w:after="0" w:line="240" w:lineRule="auto"/>
        <w:jc w:val="both"/>
        <w:outlineLvl w:val="0"/>
        <w:rPr>
          <w:rFonts w:ascii="Arial" w:eastAsia="SimSun" w:hAnsi="Arial" w:cs="Arial"/>
          <w:b/>
          <w:sz w:val="20"/>
          <w:szCs w:val="20"/>
        </w:rPr>
      </w:pPr>
      <w:bookmarkStart w:id="8" w:name="_GoBack"/>
      <w:bookmarkEnd w:id="8"/>
    </w:p>
    <w:sectPr w:rsidR="00E77AA5" w:rsidSect="00DB27D4">
      <w:headerReference w:type="even" r:id="rId53"/>
      <w:headerReference w:type="default" r:id="rId54"/>
      <w:footerReference w:type="default" r:id="rId55"/>
      <w:headerReference w:type="first" r:id="rId56"/>
      <w:pgSz w:w="9360" w:h="13680" w:code="6"/>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01B5E" w14:textId="77777777" w:rsidR="00CD327F" w:rsidRDefault="00CD327F" w:rsidP="00BC3A09">
      <w:pPr>
        <w:spacing w:after="0" w:line="240" w:lineRule="auto"/>
      </w:pPr>
      <w:r>
        <w:separator/>
      </w:r>
    </w:p>
  </w:endnote>
  <w:endnote w:type="continuationSeparator" w:id="0">
    <w:p w14:paraId="5F57D464" w14:textId="77777777" w:rsidR="00CD327F" w:rsidRDefault="00CD327F" w:rsidP="00BC3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6098"/>
      <w:docPartObj>
        <w:docPartGallery w:val="Page Numbers (Bottom of Page)"/>
        <w:docPartUnique/>
      </w:docPartObj>
    </w:sdtPr>
    <w:sdtEndPr/>
    <w:sdtContent>
      <w:p w14:paraId="3BCD08DD" w14:textId="77777777" w:rsidR="00766215" w:rsidRPr="00FD5522" w:rsidRDefault="00766215">
        <w:pPr>
          <w:pStyle w:val="Footer"/>
          <w:jc w:val="center"/>
          <w:rPr>
            <w:rFonts w:ascii="Arial" w:hAnsi="Arial" w:cs="Arial"/>
            <w:sz w:val="28"/>
          </w:rPr>
        </w:pPr>
      </w:p>
      <w:p w14:paraId="43D9E2BF" w14:textId="77777777" w:rsidR="00766215" w:rsidRPr="005B2DF9" w:rsidRDefault="00FB4143">
        <w:pPr>
          <w:pStyle w:val="Footer"/>
          <w:jc w:val="center"/>
          <w:rPr>
            <w:rFonts w:ascii="Arial" w:hAnsi="Arial" w:cs="Arial"/>
            <w:sz w:val="18"/>
          </w:rPr>
        </w:pPr>
        <w:r w:rsidRPr="005B2DF9">
          <w:rPr>
            <w:rFonts w:ascii="Arial" w:hAnsi="Arial" w:cs="Arial"/>
            <w:sz w:val="18"/>
          </w:rPr>
          <w:fldChar w:fldCharType="begin"/>
        </w:r>
        <w:r w:rsidR="00766215" w:rsidRPr="005B2DF9">
          <w:rPr>
            <w:rFonts w:ascii="Arial" w:hAnsi="Arial" w:cs="Arial"/>
            <w:sz w:val="18"/>
          </w:rPr>
          <w:instrText xml:space="preserve"> PAGE   \* MERGEFORMAT </w:instrText>
        </w:r>
        <w:r w:rsidRPr="005B2DF9">
          <w:rPr>
            <w:rFonts w:ascii="Arial" w:hAnsi="Arial" w:cs="Arial"/>
            <w:sz w:val="18"/>
          </w:rPr>
          <w:fldChar w:fldCharType="separate"/>
        </w:r>
        <w:r w:rsidR="000D2DFF">
          <w:rPr>
            <w:rFonts w:ascii="Arial" w:hAnsi="Arial" w:cs="Arial"/>
            <w:noProof/>
            <w:sz w:val="18"/>
          </w:rPr>
          <w:t>5</w:t>
        </w:r>
        <w:r w:rsidRPr="005B2DF9">
          <w:rPr>
            <w:rFonts w:ascii="Arial" w:hAnsi="Arial" w:cs="Arial"/>
            <w:sz w:val="18"/>
          </w:rPr>
          <w:fldChar w:fldCharType="end"/>
        </w:r>
      </w:p>
      <w:p w14:paraId="18DC98C6" w14:textId="77777777" w:rsidR="00766215" w:rsidRPr="005B2DF9" w:rsidRDefault="00CD327F">
        <w:pPr>
          <w:pStyle w:val="Footer"/>
          <w:jc w:val="center"/>
          <w:rPr>
            <w:rFonts w:ascii="Arial" w:hAnsi="Arial" w:cs="Arial"/>
            <w:sz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19A48" w14:textId="77777777" w:rsidR="00CD327F" w:rsidRDefault="00CD327F" w:rsidP="00BC3A09">
      <w:pPr>
        <w:spacing w:after="0" w:line="240" w:lineRule="auto"/>
      </w:pPr>
      <w:r>
        <w:separator/>
      </w:r>
    </w:p>
  </w:footnote>
  <w:footnote w:type="continuationSeparator" w:id="0">
    <w:p w14:paraId="09108FCC" w14:textId="77777777" w:rsidR="00CD327F" w:rsidRDefault="00CD327F" w:rsidP="00BC3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C544F" w14:textId="642A34EB" w:rsidR="00766215" w:rsidRDefault="00CD327F" w:rsidP="001D1419">
    <w:pPr>
      <w:tabs>
        <w:tab w:val="center" w:pos="4320"/>
        <w:tab w:val="right" w:pos="8640"/>
      </w:tabs>
      <w:spacing w:after="0" w:line="240" w:lineRule="auto"/>
      <w:rPr>
        <w:rFonts w:ascii="Arial" w:eastAsia="Times New Roman" w:hAnsi="Arial" w:cs="Arial"/>
        <w:b/>
        <w:i/>
        <w:sz w:val="16"/>
        <w:szCs w:val="20"/>
      </w:rPr>
    </w:pPr>
    <w:r>
      <w:rPr>
        <w:noProof/>
      </w:rPr>
      <w:pict w14:anchorId="729BF5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234126" o:spid="_x0000_s2050" type="#_x0000_t136" style="position:absolute;margin-left:0;margin-top:0;width:384.25pt;height:7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42FB27BA" w14:textId="77777777" w:rsidR="00766215" w:rsidRDefault="00766215" w:rsidP="001D1419">
    <w:pPr>
      <w:tabs>
        <w:tab w:val="center" w:pos="4320"/>
        <w:tab w:val="right" w:pos="8640"/>
      </w:tabs>
      <w:spacing w:after="0" w:line="240" w:lineRule="auto"/>
      <w:rPr>
        <w:rFonts w:ascii="Arial" w:eastAsia="Times New Roman" w:hAnsi="Arial" w:cs="Arial"/>
        <w:b/>
        <w:i/>
        <w:sz w:val="16"/>
        <w:szCs w:val="20"/>
      </w:rPr>
    </w:pPr>
  </w:p>
  <w:p w14:paraId="382FD9EC" w14:textId="77777777" w:rsidR="00766215" w:rsidRDefault="00766215" w:rsidP="001D1419">
    <w:pPr>
      <w:tabs>
        <w:tab w:val="center" w:pos="4320"/>
        <w:tab w:val="right" w:pos="8640"/>
      </w:tabs>
      <w:spacing w:after="0" w:line="240" w:lineRule="auto"/>
      <w:rPr>
        <w:rFonts w:ascii="Arial" w:eastAsia="Times New Roman" w:hAnsi="Arial" w:cs="Arial"/>
        <w:b/>
        <w:i/>
        <w:sz w:val="16"/>
        <w:szCs w:val="20"/>
      </w:rPr>
    </w:pPr>
  </w:p>
  <w:p w14:paraId="1EC7F3ED" w14:textId="77777777" w:rsidR="00766215" w:rsidRPr="00FA5CD7" w:rsidRDefault="00766215" w:rsidP="001D1419">
    <w:pPr>
      <w:tabs>
        <w:tab w:val="center" w:pos="4320"/>
        <w:tab w:val="right" w:pos="8640"/>
      </w:tabs>
      <w:spacing w:after="0" w:line="240" w:lineRule="auto"/>
      <w:rPr>
        <w:rFonts w:ascii="Arial" w:eastAsia="Times New Roman" w:hAnsi="Arial" w:cs="Arial"/>
        <w:b/>
        <w:i/>
        <w:sz w:val="16"/>
        <w:szCs w:val="20"/>
      </w:rPr>
    </w:pPr>
  </w:p>
  <w:p w14:paraId="77E57F9F" w14:textId="77777777" w:rsidR="00766215" w:rsidRDefault="00766215" w:rsidP="001D1419">
    <w:pPr>
      <w:tabs>
        <w:tab w:val="center" w:pos="4320"/>
        <w:tab w:val="right" w:pos="8640"/>
      </w:tabs>
      <w:spacing w:after="0" w:line="240" w:lineRule="auto"/>
      <w:rPr>
        <w:rFonts w:ascii="Arial" w:eastAsia="Times New Roman" w:hAnsi="Arial" w:cs="Arial"/>
        <w:i/>
        <w:sz w:val="16"/>
        <w:szCs w:val="20"/>
      </w:rPr>
    </w:pPr>
  </w:p>
  <w:p w14:paraId="3A5DDD44" w14:textId="77777777" w:rsidR="00766215" w:rsidRDefault="00766215">
    <w:pPr>
      <w:pStyle w:val="Header"/>
      <w:rPr>
        <w:sz w:val="16"/>
      </w:rPr>
    </w:pPr>
  </w:p>
  <w:p w14:paraId="3DFE3FC3" w14:textId="77777777" w:rsidR="00766215" w:rsidRPr="001D1419" w:rsidRDefault="00766215">
    <w:pPr>
      <w:pStyle w:val="Heade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990E1" w14:textId="2EEA6EAF" w:rsidR="00766215" w:rsidRDefault="00CD327F" w:rsidP="0002037D">
    <w:pPr>
      <w:tabs>
        <w:tab w:val="center" w:pos="4320"/>
        <w:tab w:val="right" w:pos="8640"/>
      </w:tabs>
      <w:spacing w:after="0" w:line="240" w:lineRule="auto"/>
      <w:jc w:val="right"/>
      <w:rPr>
        <w:rFonts w:ascii="Arial" w:eastAsia="Times New Roman" w:hAnsi="Arial" w:cs="Arial"/>
        <w:i/>
        <w:sz w:val="14"/>
        <w:szCs w:val="14"/>
        <w:highlight w:val="yellow"/>
      </w:rPr>
    </w:pPr>
    <w:r>
      <w:rPr>
        <w:noProof/>
      </w:rPr>
      <w:pict w14:anchorId="0E716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234127" o:spid="_x0000_s2051" type="#_x0000_t136" style="position:absolute;left:0;text-align:left;margin-left:0;margin-top:0;width:384.25pt;height:7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3647BFC9"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i/>
        <w:sz w:val="14"/>
        <w:szCs w:val="14"/>
        <w:highlight w:val="yellow"/>
      </w:rPr>
    </w:pPr>
  </w:p>
  <w:p w14:paraId="799556C3"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i/>
        <w:sz w:val="14"/>
        <w:szCs w:val="14"/>
        <w:highlight w:val="yellow"/>
      </w:rPr>
    </w:pPr>
  </w:p>
  <w:p w14:paraId="712E6163"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b/>
        <w:i/>
        <w:sz w:val="14"/>
        <w:szCs w:val="14"/>
      </w:rPr>
    </w:pPr>
  </w:p>
  <w:p w14:paraId="1B5AF832" w14:textId="77777777" w:rsidR="00D730C3" w:rsidRDefault="00D730C3" w:rsidP="0002037D">
    <w:pPr>
      <w:tabs>
        <w:tab w:val="center" w:pos="4320"/>
        <w:tab w:val="right" w:pos="8640"/>
      </w:tabs>
      <w:spacing w:after="0" w:line="240" w:lineRule="auto"/>
      <w:jc w:val="right"/>
      <w:rPr>
        <w:rFonts w:ascii="Arial" w:eastAsia="Times New Roman" w:hAnsi="Arial" w:cs="Arial"/>
        <w:i/>
        <w:sz w:val="14"/>
        <w:szCs w:val="14"/>
      </w:rPr>
    </w:pPr>
  </w:p>
  <w:p w14:paraId="0BF058EE"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i/>
        <w:sz w:val="14"/>
        <w:szCs w:val="14"/>
      </w:rPr>
    </w:pPr>
  </w:p>
  <w:p w14:paraId="1E904FDF"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i/>
        <w:sz w:val="14"/>
        <w:szCs w:val="14"/>
      </w:rPr>
    </w:pPr>
  </w:p>
  <w:p w14:paraId="2154D456"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i/>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870B1" w14:textId="46ECBC5F" w:rsidR="002302A5" w:rsidRDefault="00CD327F">
    <w:pPr>
      <w:pStyle w:val="Header"/>
    </w:pPr>
    <w:r>
      <w:rPr>
        <w:noProof/>
      </w:rPr>
      <w:pict w14:anchorId="46CD24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234125" o:spid="_x0000_s2049" type="#_x0000_t136" style="position:absolute;margin-left:0;margin-top:0;width:384.25pt;height:7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5E36"/>
    <w:multiLevelType w:val="hybridMultilevel"/>
    <w:tmpl w:val="F0AA3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716C4"/>
    <w:multiLevelType w:val="hybridMultilevel"/>
    <w:tmpl w:val="20FA8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02FCF"/>
    <w:multiLevelType w:val="hybridMultilevel"/>
    <w:tmpl w:val="9418F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E494C"/>
    <w:multiLevelType w:val="multilevel"/>
    <w:tmpl w:val="53487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AF748C"/>
    <w:multiLevelType w:val="hybridMultilevel"/>
    <w:tmpl w:val="D2FCCE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B5F3734"/>
    <w:multiLevelType w:val="hybridMultilevel"/>
    <w:tmpl w:val="075EE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975A38"/>
    <w:multiLevelType w:val="hybridMultilevel"/>
    <w:tmpl w:val="BBE4BF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2781006"/>
    <w:multiLevelType w:val="hybridMultilevel"/>
    <w:tmpl w:val="F698E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A763B4"/>
    <w:multiLevelType w:val="hybridMultilevel"/>
    <w:tmpl w:val="9A16B94A"/>
    <w:lvl w:ilvl="0" w:tplc="FCB65AB8">
      <w:start w:val="4"/>
      <w:numFmt w:val="bullet"/>
      <w:lvlText w:val="-"/>
      <w:lvlJc w:val="left"/>
      <w:pPr>
        <w:ind w:left="720" w:hanging="360"/>
      </w:pPr>
      <w:rPr>
        <w:rFonts w:ascii="Arial" w:eastAsiaTheme="minorEastAsia"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2B006B40"/>
    <w:multiLevelType w:val="multilevel"/>
    <w:tmpl w:val="A7A2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82395C"/>
    <w:multiLevelType w:val="hybridMultilevel"/>
    <w:tmpl w:val="9C66605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2FBE3D8D"/>
    <w:multiLevelType w:val="hybridMultilevel"/>
    <w:tmpl w:val="29AC35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37C5D3B"/>
    <w:multiLevelType w:val="multilevel"/>
    <w:tmpl w:val="B16A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216225"/>
    <w:multiLevelType w:val="hybridMultilevel"/>
    <w:tmpl w:val="CD1AD5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5195DD6"/>
    <w:multiLevelType w:val="hybridMultilevel"/>
    <w:tmpl w:val="AE824D22"/>
    <w:lvl w:ilvl="0" w:tplc="91A05454">
      <w:start w:val="1"/>
      <w:numFmt w:val="decimal"/>
      <w:lvlText w:val="%1."/>
      <w:lvlJc w:val="left"/>
      <w:pPr>
        <w:ind w:left="450" w:hanging="360"/>
      </w:pPr>
      <w:rPr>
        <w:rFonts w:hint="default"/>
      </w:rPr>
    </w:lvl>
    <w:lvl w:ilvl="1" w:tplc="38090019" w:tentative="1">
      <w:start w:val="1"/>
      <w:numFmt w:val="lowerLetter"/>
      <w:lvlText w:val="%2."/>
      <w:lvlJc w:val="left"/>
      <w:pPr>
        <w:ind w:left="1170" w:hanging="360"/>
      </w:pPr>
    </w:lvl>
    <w:lvl w:ilvl="2" w:tplc="3809001B" w:tentative="1">
      <w:start w:val="1"/>
      <w:numFmt w:val="lowerRoman"/>
      <w:lvlText w:val="%3."/>
      <w:lvlJc w:val="right"/>
      <w:pPr>
        <w:ind w:left="1890" w:hanging="180"/>
      </w:pPr>
    </w:lvl>
    <w:lvl w:ilvl="3" w:tplc="3809000F" w:tentative="1">
      <w:start w:val="1"/>
      <w:numFmt w:val="decimal"/>
      <w:lvlText w:val="%4."/>
      <w:lvlJc w:val="left"/>
      <w:pPr>
        <w:ind w:left="2610" w:hanging="360"/>
      </w:pPr>
    </w:lvl>
    <w:lvl w:ilvl="4" w:tplc="38090019" w:tentative="1">
      <w:start w:val="1"/>
      <w:numFmt w:val="lowerLetter"/>
      <w:lvlText w:val="%5."/>
      <w:lvlJc w:val="left"/>
      <w:pPr>
        <w:ind w:left="3330" w:hanging="360"/>
      </w:pPr>
    </w:lvl>
    <w:lvl w:ilvl="5" w:tplc="3809001B" w:tentative="1">
      <w:start w:val="1"/>
      <w:numFmt w:val="lowerRoman"/>
      <w:lvlText w:val="%6."/>
      <w:lvlJc w:val="right"/>
      <w:pPr>
        <w:ind w:left="4050" w:hanging="180"/>
      </w:pPr>
    </w:lvl>
    <w:lvl w:ilvl="6" w:tplc="3809000F" w:tentative="1">
      <w:start w:val="1"/>
      <w:numFmt w:val="decimal"/>
      <w:lvlText w:val="%7."/>
      <w:lvlJc w:val="left"/>
      <w:pPr>
        <w:ind w:left="4770" w:hanging="360"/>
      </w:pPr>
    </w:lvl>
    <w:lvl w:ilvl="7" w:tplc="38090019" w:tentative="1">
      <w:start w:val="1"/>
      <w:numFmt w:val="lowerLetter"/>
      <w:lvlText w:val="%8."/>
      <w:lvlJc w:val="left"/>
      <w:pPr>
        <w:ind w:left="5490" w:hanging="360"/>
      </w:pPr>
    </w:lvl>
    <w:lvl w:ilvl="8" w:tplc="3809001B" w:tentative="1">
      <w:start w:val="1"/>
      <w:numFmt w:val="lowerRoman"/>
      <w:lvlText w:val="%9."/>
      <w:lvlJc w:val="right"/>
      <w:pPr>
        <w:ind w:left="6210" w:hanging="180"/>
      </w:pPr>
    </w:lvl>
  </w:abstractNum>
  <w:abstractNum w:abstractNumId="16" w15:restartNumberingAfterBreak="0">
    <w:nsid w:val="571B75C5"/>
    <w:multiLevelType w:val="hybridMultilevel"/>
    <w:tmpl w:val="B9BE5C9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25356EF"/>
    <w:multiLevelType w:val="hybridMultilevel"/>
    <w:tmpl w:val="7D78F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2C0C98"/>
    <w:multiLevelType w:val="hybridMultilevel"/>
    <w:tmpl w:val="AF304C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01F352D"/>
    <w:multiLevelType w:val="hybridMultilevel"/>
    <w:tmpl w:val="9C723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4361074"/>
    <w:multiLevelType w:val="hybridMultilevel"/>
    <w:tmpl w:val="D8027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E27CC4"/>
    <w:multiLevelType w:val="hybridMultilevel"/>
    <w:tmpl w:val="81F2B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93130B0"/>
    <w:multiLevelType w:val="multilevel"/>
    <w:tmpl w:val="0A72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2"/>
  </w:num>
  <w:num w:numId="3">
    <w:abstractNumId w:val="8"/>
  </w:num>
  <w:num w:numId="4">
    <w:abstractNumId w:val="0"/>
  </w:num>
  <w:num w:numId="5">
    <w:abstractNumId w:val="17"/>
  </w:num>
  <w:num w:numId="6">
    <w:abstractNumId w:val="2"/>
  </w:num>
  <w:num w:numId="7">
    <w:abstractNumId w:val="21"/>
  </w:num>
  <w:num w:numId="8">
    <w:abstractNumId w:val="7"/>
  </w:num>
  <w:num w:numId="9">
    <w:abstractNumId w:val="4"/>
  </w:num>
  <w:num w:numId="10">
    <w:abstractNumId w:val="16"/>
  </w:num>
  <w:num w:numId="11">
    <w:abstractNumId w:val="19"/>
  </w:num>
  <w:num w:numId="12">
    <w:abstractNumId w:val="18"/>
  </w:num>
  <w:num w:numId="13">
    <w:abstractNumId w:val="12"/>
  </w:num>
  <w:num w:numId="14">
    <w:abstractNumId w:val="5"/>
  </w:num>
  <w:num w:numId="15">
    <w:abstractNumId w:val="20"/>
  </w:num>
  <w:num w:numId="16">
    <w:abstractNumId w:val="1"/>
  </w:num>
  <w:num w:numId="17">
    <w:abstractNumId w:val="6"/>
  </w:num>
  <w:num w:numId="18">
    <w:abstractNumId w:val="15"/>
  </w:num>
  <w:num w:numId="19">
    <w:abstractNumId w:val="9"/>
  </w:num>
  <w:num w:numId="20">
    <w:abstractNumId w:val="3"/>
  </w:num>
  <w:num w:numId="21">
    <w:abstractNumId w:val="13"/>
  </w:num>
  <w:num w:numId="22">
    <w:abstractNumId w:val="23"/>
  </w:num>
  <w:num w:numId="23">
    <w:abstractNumId w:val="10"/>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tyleGuidePreference" w:val="-1"/>
  </w:docVars>
  <w:rsids>
    <w:rsidRoot w:val="00BC3A09"/>
    <w:rsid w:val="000102C3"/>
    <w:rsid w:val="0002037D"/>
    <w:rsid w:val="00020DBF"/>
    <w:rsid w:val="00022295"/>
    <w:rsid w:val="00024A4F"/>
    <w:rsid w:val="000300C0"/>
    <w:rsid w:val="00030F1D"/>
    <w:rsid w:val="00032136"/>
    <w:rsid w:val="0003366C"/>
    <w:rsid w:val="0004319C"/>
    <w:rsid w:val="000434F0"/>
    <w:rsid w:val="000446DF"/>
    <w:rsid w:val="000447BC"/>
    <w:rsid w:val="000456ED"/>
    <w:rsid w:val="000462FD"/>
    <w:rsid w:val="00055A09"/>
    <w:rsid w:val="0005695E"/>
    <w:rsid w:val="0006409B"/>
    <w:rsid w:val="00070403"/>
    <w:rsid w:val="00070BB0"/>
    <w:rsid w:val="00074041"/>
    <w:rsid w:val="00076C1B"/>
    <w:rsid w:val="0007762A"/>
    <w:rsid w:val="00081590"/>
    <w:rsid w:val="00081731"/>
    <w:rsid w:val="00083CEA"/>
    <w:rsid w:val="00093D85"/>
    <w:rsid w:val="00095E5E"/>
    <w:rsid w:val="00095F14"/>
    <w:rsid w:val="000A2704"/>
    <w:rsid w:val="000A439E"/>
    <w:rsid w:val="000A6FC6"/>
    <w:rsid w:val="000A7A0F"/>
    <w:rsid w:val="000B5310"/>
    <w:rsid w:val="000B75DD"/>
    <w:rsid w:val="000B7B33"/>
    <w:rsid w:val="000C0514"/>
    <w:rsid w:val="000D0587"/>
    <w:rsid w:val="000D2051"/>
    <w:rsid w:val="000D258D"/>
    <w:rsid w:val="000D2DFF"/>
    <w:rsid w:val="000D5740"/>
    <w:rsid w:val="000D74C2"/>
    <w:rsid w:val="000E3672"/>
    <w:rsid w:val="000E5BB1"/>
    <w:rsid w:val="000E7EDB"/>
    <w:rsid w:val="000F1DCC"/>
    <w:rsid w:val="000F6BA6"/>
    <w:rsid w:val="00102BC0"/>
    <w:rsid w:val="0010789F"/>
    <w:rsid w:val="00111232"/>
    <w:rsid w:val="00114096"/>
    <w:rsid w:val="001217EB"/>
    <w:rsid w:val="00123155"/>
    <w:rsid w:val="00124417"/>
    <w:rsid w:val="00124698"/>
    <w:rsid w:val="00127A43"/>
    <w:rsid w:val="001305E0"/>
    <w:rsid w:val="00131A11"/>
    <w:rsid w:val="00133A0F"/>
    <w:rsid w:val="00135439"/>
    <w:rsid w:val="0014014D"/>
    <w:rsid w:val="001401E6"/>
    <w:rsid w:val="0014365B"/>
    <w:rsid w:val="001472EB"/>
    <w:rsid w:val="001611B5"/>
    <w:rsid w:val="001622BB"/>
    <w:rsid w:val="00164CD4"/>
    <w:rsid w:val="00165A0D"/>
    <w:rsid w:val="00166F1A"/>
    <w:rsid w:val="00170EB0"/>
    <w:rsid w:val="00173481"/>
    <w:rsid w:val="00173660"/>
    <w:rsid w:val="00174407"/>
    <w:rsid w:val="00174FF6"/>
    <w:rsid w:val="00175F81"/>
    <w:rsid w:val="0017691B"/>
    <w:rsid w:val="00184A40"/>
    <w:rsid w:val="00184FEB"/>
    <w:rsid w:val="001926BA"/>
    <w:rsid w:val="001929E6"/>
    <w:rsid w:val="001963B0"/>
    <w:rsid w:val="001969F2"/>
    <w:rsid w:val="001A4963"/>
    <w:rsid w:val="001A546A"/>
    <w:rsid w:val="001B0C4A"/>
    <w:rsid w:val="001B3AA3"/>
    <w:rsid w:val="001B4AFE"/>
    <w:rsid w:val="001B603E"/>
    <w:rsid w:val="001B7997"/>
    <w:rsid w:val="001C00CA"/>
    <w:rsid w:val="001C1263"/>
    <w:rsid w:val="001C21FB"/>
    <w:rsid w:val="001C2B2B"/>
    <w:rsid w:val="001C34B7"/>
    <w:rsid w:val="001C3943"/>
    <w:rsid w:val="001C5940"/>
    <w:rsid w:val="001C5E12"/>
    <w:rsid w:val="001D0FFF"/>
    <w:rsid w:val="001D1419"/>
    <w:rsid w:val="001D302F"/>
    <w:rsid w:val="001D4826"/>
    <w:rsid w:val="001D50F4"/>
    <w:rsid w:val="001D5579"/>
    <w:rsid w:val="001D6BD6"/>
    <w:rsid w:val="001D6C89"/>
    <w:rsid w:val="001D799B"/>
    <w:rsid w:val="001E32CC"/>
    <w:rsid w:val="001E5AC6"/>
    <w:rsid w:val="001E73C6"/>
    <w:rsid w:val="001E7B79"/>
    <w:rsid w:val="001F029B"/>
    <w:rsid w:val="001F0557"/>
    <w:rsid w:val="001F57FF"/>
    <w:rsid w:val="001F6EF9"/>
    <w:rsid w:val="001F7304"/>
    <w:rsid w:val="001F78D2"/>
    <w:rsid w:val="00202A41"/>
    <w:rsid w:val="002065A5"/>
    <w:rsid w:val="002069F3"/>
    <w:rsid w:val="002223AC"/>
    <w:rsid w:val="00222FA0"/>
    <w:rsid w:val="002238B9"/>
    <w:rsid w:val="002254B4"/>
    <w:rsid w:val="002302A5"/>
    <w:rsid w:val="00234260"/>
    <w:rsid w:val="0024494C"/>
    <w:rsid w:val="00245E29"/>
    <w:rsid w:val="002467DD"/>
    <w:rsid w:val="002502C0"/>
    <w:rsid w:val="0025070C"/>
    <w:rsid w:val="00253760"/>
    <w:rsid w:val="0025448F"/>
    <w:rsid w:val="00254928"/>
    <w:rsid w:val="00254D3F"/>
    <w:rsid w:val="00257615"/>
    <w:rsid w:val="00260588"/>
    <w:rsid w:val="00260783"/>
    <w:rsid w:val="0026133E"/>
    <w:rsid w:val="002642FB"/>
    <w:rsid w:val="00265941"/>
    <w:rsid w:val="00265CB9"/>
    <w:rsid w:val="00270B34"/>
    <w:rsid w:val="002712E1"/>
    <w:rsid w:val="00274E73"/>
    <w:rsid w:val="002857A3"/>
    <w:rsid w:val="00293BC8"/>
    <w:rsid w:val="002973D4"/>
    <w:rsid w:val="00297FD8"/>
    <w:rsid w:val="002A2C38"/>
    <w:rsid w:val="002A30FA"/>
    <w:rsid w:val="002A574B"/>
    <w:rsid w:val="002B1358"/>
    <w:rsid w:val="002B2426"/>
    <w:rsid w:val="002B26BC"/>
    <w:rsid w:val="002B65F4"/>
    <w:rsid w:val="002C32D0"/>
    <w:rsid w:val="002C42FB"/>
    <w:rsid w:val="002C56CC"/>
    <w:rsid w:val="002C606A"/>
    <w:rsid w:val="002C73FE"/>
    <w:rsid w:val="002C7864"/>
    <w:rsid w:val="002D203E"/>
    <w:rsid w:val="002D5C57"/>
    <w:rsid w:val="002D6FAD"/>
    <w:rsid w:val="002E3476"/>
    <w:rsid w:val="002E54AD"/>
    <w:rsid w:val="002E579A"/>
    <w:rsid w:val="002F2F8D"/>
    <w:rsid w:val="002F5633"/>
    <w:rsid w:val="00300113"/>
    <w:rsid w:val="0030437E"/>
    <w:rsid w:val="0030709D"/>
    <w:rsid w:val="00307AE7"/>
    <w:rsid w:val="00311590"/>
    <w:rsid w:val="00315BDD"/>
    <w:rsid w:val="003220AC"/>
    <w:rsid w:val="00327894"/>
    <w:rsid w:val="00330943"/>
    <w:rsid w:val="00333019"/>
    <w:rsid w:val="00335795"/>
    <w:rsid w:val="00336476"/>
    <w:rsid w:val="00337907"/>
    <w:rsid w:val="0034507C"/>
    <w:rsid w:val="00346132"/>
    <w:rsid w:val="003471B9"/>
    <w:rsid w:val="00350B8A"/>
    <w:rsid w:val="00350FA7"/>
    <w:rsid w:val="003514C6"/>
    <w:rsid w:val="0035419E"/>
    <w:rsid w:val="00355DEB"/>
    <w:rsid w:val="003576BF"/>
    <w:rsid w:val="00357905"/>
    <w:rsid w:val="00360AC0"/>
    <w:rsid w:val="00361870"/>
    <w:rsid w:val="0036285D"/>
    <w:rsid w:val="003653C8"/>
    <w:rsid w:val="003654D1"/>
    <w:rsid w:val="003676B0"/>
    <w:rsid w:val="00370BF1"/>
    <w:rsid w:val="00375144"/>
    <w:rsid w:val="003819AF"/>
    <w:rsid w:val="00385A2F"/>
    <w:rsid w:val="00386363"/>
    <w:rsid w:val="00391B5D"/>
    <w:rsid w:val="003921F3"/>
    <w:rsid w:val="003940CD"/>
    <w:rsid w:val="00397809"/>
    <w:rsid w:val="00397CDF"/>
    <w:rsid w:val="00397F4E"/>
    <w:rsid w:val="003A20AD"/>
    <w:rsid w:val="003A26A0"/>
    <w:rsid w:val="003A3864"/>
    <w:rsid w:val="003A793E"/>
    <w:rsid w:val="003B11B0"/>
    <w:rsid w:val="003B1667"/>
    <w:rsid w:val="003B43D6"/>
    <w:rsid w:val="003B7B22"/>
    <w:rsid w:val="003B7F4A"/>
    <w:rsid w:val="003C0541"/>
    <w:rsid w:val="003C4CBC"/>
    <w:rsid w:val="003C6DB6"/>
    <w:rsid w:val="003D30AA"/>
    <w:rsid w:val="003D5B1B"/>
    <w:rsid w:val="003D67F8"/>
    <w:rsid w:val="003D6EFB"/>
    <w:rsid w:val="003D7949"/>
    <w:rsid w:val="003D7AAE"/>
    <w:rsid w:val="003D7B5F"/>
    <w:rsid w:val="003E2D04"/>
    <w:rsid w:val="003E7059"/>
    <w:rsid w:val="003F1A8E"/>
    <w:rsid w:val="003F1E14"/>
    <w:rsid w:val="003F69C0"/>
    <w:rsid w:val="003F771B"/>
    <w:rsid w:val="003F77AF"/>
    <w:rsid w:val="00406503"/>
    <w:rsid w:val="00411A78"/>
    <w:rsid w:val="00414681"/>
    <w:rsid w:val="00414C80"/>
    <w:rsid w:val="004150AA"/>
    <w:rsid w:val="004151BA"/>
    <w:rsid w:val="00415690"/>
    <w:rsid w:val="004166D1"/>
    <w:rsid w:val="00417D5A"/>
    <w:rsid w:val="00420EDF"/>
    <w:rsid w:val="004262F3"/>
    <w:rsid w:val="00427E04"/>
    <w:rsid w:val="004307F4"/>
    <w:rsid w:val="00430BBB"/>
    <w:rsid w:val="0043106C"/>
    <w:rsid w:val="004318F5"/>
    <w:rsid w:val="00432795"/>
    <w:rsid w:val="00432980"/>
    <w:rsid w:val="00434494"/>
    <w:rsid w:val="0043775E"/>
    <w:rsid w:val="00441E0A"/>
    <w:rsid w:val="004429EB"/>
    <w:rsid w:val="00442AED"/>
    <w:rsid w:val="0044483A"/>
    <w:rsid w:val="00445F47"/>
    <w:rsid w:val="00451634"/>
    <w:rsid w:val="00453305"/>
    <w:rsid w:val="00453BEF"/>
    <w:rsid w:val="004602CC"/>
    <w:rsid w:val="004624CB"/>
    <w:rsid w:val="0046449F"/>
    <w:rsid w:val="00464638"/>
    <w:rsid w:val="0046639E"/>
    <w:rsid w:val="00466A2B"/>
    <w:rsid w:val="00467601"/>
    <w:rsid w:val="0046784D"/>
    <w:rsid w:val="00470F41"/>
    <w:rsid w:val="004739A0"/>
    <w:rsid w:val="0047400F"/>
    <w:rsid w:val="0047473B"/>
    <w:rsid w:val="00474A07"/>
    <w:rsid w:val="004753A1"/>
    <w:rsid w:val="0048129F"/>
    <w:rsid w:val="004A163F"/>
    <w:rsid w:val="004A4B35"/>
    <w:rsid w:val="004A529C"/>
    <w:rsid w:val="004A6218"/>
    <w:rsid w:val="004B5BAE"/>
    <w:rsid w:val="004B7F30"/>
    <w:rsid w:val="004C1C8A"/>
    <w:rsid w:val="004C3F59"/>
    <w:rsid w:val="004C6A69"/>
    <w:rsid w:val="004D239E"/>
    <w:rsid w:val="004D2F44"/>
    <w:rsid w:val="004D3673"/>
    <w:rsid w:val="004E05F4"/>
    <w:rsid w:val="004E09B6"/>
    <w:rsid w:val="004E22F1"/>
    <w:rsid w:val="004E33C9"/>
    <w:rsid w:val="004E36A9"/>
    <w:rsid w:val="004F2486"/>
    <w:rsid w:val="004F3956"/>
    <w:rsid w:val="004F3E55"/>
    <w:rsid w:val="004F41B7"/>
    <w:rsid w:val="00503971"/>
    <w:rsid w:val="00510744"/>
    <w:rsid w:val="00525E9E"/>
    <w:rsid w:val="00530AE8"/>
    <w:rsid w:val="005343A6"/>
    <w:rsid w:val="005346A3"/>
    <w:rsid w:val="005406FE"/>
    <w:rsid w:val="00543E27"/>
    <w:rsid w:val="00546819"/>
    <w:rsid w:val="00547E21"/>
    <w:rsid w:val="00556F0D"/>
    <w:rsid w:val="00561754"/>
    <w:rsid w:val="005626A7"/>
    <w:rsid w:val="00562E2E"/>
    <w:rsid w:val="0056351E"/>
    <w:rsid w:val="00567441"/>
    <w:rsid w:val="00571727"/>
    <w:rsid w:val="00571AF2"/>
    <w:rsid w:val="00572B7B"/>
    <w:rsid w:val="00574BD3"/>
    <w:rsid w:val="00576C1D"/>
    <w:rsid w:val="005773CA"/>
    <w:rsid w:val="00585D3B"/>
    <w:rsid w:val="00586E72"/>
    <w:rsid w:val="005929CC"/>
    <w:rsid w:val="00592D2B"/>
    <w:rsid w:val="00592D54"/>
    <w:rsid w:val="005A55A4"/>
    <w:rsid w:val="005A5E25"/>
    <w:rsid w:val="005B0523"/>
    <w:rsid w:val="005B2DF9"/>
    <w:rsid w:val="005B4F0E"/>
    <w:rsid w:val="005B596F"/>
    <w:rsid w:val="005C388E"/>
    <w:rsid w:val="005C477A"/>
    <w:rsid w:val="005C4FF3"/>
    <w:rsid w:val="005D254A"/>
    <w:rsid w:val="005D5569"/>
    <w:rsid w:val="005D6DBE"/>
    <w:rsid w:val="005D7836"/>
    <w:rsid w:val="005E2E5C"/>
    <w:rsid w:val="005E2FD9"/>
    <w:rsid w:val="005E79FA"/>
    <w:rsid w:val="005F1EEC"/>
    <w:rsid w:val="005F3AD1"/>
    <w:rsid w:val="005F4C5B"/>
    <w:rsid w:val="005F5E3A"/>
    <w:rsid w:val="005F6F1B"/>
    <w:rsid w:val="006022AD"/>
    <w:rsid w:val="00604A8D"/>
    <w:rsid w:val="00606448"/>
    <w:rsid w:val="00614FA8"/>
    <w:rsid w:val="00616622"/>
    <w:rsid w:val="00617E4C"/>
    <w:rsid w:val="0062045B"/>
    <w:rsid w:val="0062547E"/>
    <w:rsid w:val="00632D3D"/>
    <w:rsid w:val="00635BD6"/>
    <w:rsid w:val="00637EEC"/>
    <w:rsid w:val="00640D2E"/>
    <w:rsid w:val="00642B40"/>
    <w:rsid w:val="006443D8"/>
    <w:rsid w:val="00644648"/>
    <w:rsid w:val="00645E4F"/>
    <w:rsid w:val="00647D8F"/>
    <w:rsid w:val="0065115B"/>
    <w:rsid w:val="00652B6D"/>
    <w:rsid w:val="00652EBC"/>
    <w:rsid w:val="00656BA4"/>
    <w:rsid w:val="00663B00"/>
    <w:rsid w:val="0066457A"/>
    <w:rsid w:val="006647CD"/>
    <w:rsid w:val="00670AA5"/>
    <w:rsid w:val="00671515"/>
    <w:rsid w:val="006816CB"/>
    <w:rsid w:val="00686684"/>
    <w:rsid w:val="00687561"/>
    <w:rsid w:val="00692185"/>
    <w:rsid w:val="006A19D0"/>
    <w:rsid w:val="006A7F3A"/>
    <w:rsid w:val="006B321A"/>
    <w:rsid w:val="006B5C1B"/>
    <w:rsid w:val="006B5C4D"/>
    <w:rsid w:val="006C413F"/>
    <w:rsid w:val="006C52CE"/>
    <w:rsid w:val="006D3E84"/>
    <w:rsid w:val="006D71E6"/>
    <w:rsid w:val="006E0AED"/>
    <w:rsid w:val="006F4830"/>
    <w:rsid w:val="00704880"/>
    <w:rsid w:val="00705A40"/>
    <w:rsid w:val="007065A7"/>
    <w:rsid w:val="007126E6"/>
    <w:rsid w:val="00724CDF"/>
    <w:rsid w:val="00724D7F"/>
    <w:rsid w:val="00725477"/>
    <w:rsid w:val="00732D81"/>
    <w:rsid w:val="007446AE"/>
    <w:rsid w:val="00745884"/>
    <w:rsid w:val="00753617"/>
    <w:rsid w:val="00754B6E"/>
    <w:rsid w:val="00754C2A"/>
    <w:rsid w:val="007574B5"/>
    <w:rsid w:val="00757540"/>
    <w:rsid w:val="007624EA"/>
    <w:rsid w:val="007629EC"/>
    <w:rsid w:val="00766215"/>
    <w:rsid w:val="00767FE9"/>
    <w:rsid w:val="00770B96"/>
    <w:rsid w:val="007721C1"/>
    <w:rsid w:val="00774FEF"/>
    <w:rsid w:val="00776D4F"/>
    <w:rsid w:val="007778E0"/>
    <w:rsid w:val="00782307"/>
    <w:rsid w:val="00784586"/>
    <w:rsid w:val="00792599"/>
    <w:rsid w:val="007A3014"/>
    <w:rsid w:val="007A3C31"/>
    <w:rsid w:val="007A400F"/>
    <w:rsid w:val="007B1794"/>
    <w:rsid w:val="007C5259"/>
    <w:rsid w:val="007D09E2"/>
    <w:rsid w:val="007D0E9E"/>
    <w:rsid w:val="007D23DF"/>
    <w:rsid w:val="007D4851"/>
    <w:rsid w:val="007D607F"/>
    <w:rsid w:val="007E2999"/>
    <w:rsid w:val="007E2E2C"/>
    <w:rsid w:val="007E3171"/>
    <w:rsid w:val="007E6A27"/>
    <w:rsid w:val="007E6EB7"/>
    <w:rsid w:val="007F07CC"/>
    <w:rsid w:val="007F2D04"/>
    <w:rsid w:val="007F3889"/>
    <w:rsid w:val="007F3FA3"/>
    <w:rsid w:val="007F48B5"/>
    <w:rsid w:val="007F5F67"/>
    <w:rsid w:val="007F6B3E"/>
    <w:rsid w:val="007F7D5D"/>
    <w:rsid w:val="00802FB1"/>
    <w:rsid w:val="00821B8D"/>
    <w:rsid w:val="00825957"/>
    <w:rsid w:val="00830464"/>
    <w:rsid w:val="0083061C"/>
    <w:rsid w:val="00832D05"/>
    <w:rsid w:val="008348A2"/>
    <w:rsid w:val="00835CFF"/>
    <w:rsid w:val="00841744"/>
    <w:rsid w:val="00841957"/>
    <w:rsid w:val="00842431"/>
    <w:rsid w:val="00844711"/>
    <w:rsid w:val="00846949"/>
    <w:rsid w:val="00851656"/>
    <w:rsid w:val="00851F12"/>
    <w:rsid w:val="00855A6D"/>
    <w:rsid w:val="00855C8D"/>
    <w:rsid w:val="008604C8"/>
    <w:rsid w:val="00863BC4"/>
    <w:rsid w:val="0086641B"/>
    <w:rsid w:val="00866A99"/>
    <w:rsid w:val="00867E72"/>
    <w:rsid w:val="00867FC4"/>
    <w:rsid w:val="00877590"/>
    <w:rsid w:val="008803F7"/>
    <w:rsid w:val="00880615"/>
    <w:rsid w:val="0088465A"/>
    <w:rsid w:val="008853CB"/>
    <w:rsid w:val="00886FE7"/>
    <w:rsid w:val="00887A63"/>
    <w:rsid w:val="0089268F"/>
    <w:rsid w:val="00892C62"/>
    <w:rsid w:val="008931B2"/>
    <w:rsid w:val="008939AF"/>
    <w:rsid w:val="00895AC8"/>
    <w:rsid w:val="008A1E18"/>
    <w:rsid w:val="008A5EFF"/>
    <w:rsid w:val="008B015D"/>
    <w:rsid w:val="008B267E"/>
    <w:rsid w:val="008B38F6"/>
    <w:rsid w:val="008B71E8"/>
    <w:rsid w:val="008B7B29"/>
    <w:rsid w:val="008C3851"/>
    <w:rsid w:val="008C5631"/>
    <w:rsid w:val="008C5A22"/>
    <w:rsid w:val="008C5FB4"/>
    <w:rsid w:val="008D06B8"/>
    <w:rsid w:val="008D06E2"/>
    <w:rsid w:val="008D217E"/>
    <w:rsid w:val="008D2518"/>
    <w:rsid w:val="008D2D15"/>
    <w:rsid w:val="008D415A"/>
    <w:rsid w:val="008D670A"/>
    <w:rsid w:val="008D6C67"/>
    <w:rsid w:val="008E03F3"/>
    <w:rsid w:val="008E106C"/>
    <w:rsid w:val="008E1D22"/>
    <w:rsid w:val="008E32CD"/>
    <w:rsid w:val="008E3326"/>
    <w:rsid w:val="008E372E"/>
    <w:rsid w:val="008E3C18"/>
    <w:rsid w:val="008E6358"/>
    <w:rsid w:val="008E66CC"/>
    <w:rsid w:val="008E6CAD"/>
    <w:rsid w:val="008E77B2"/>
    <w:rsid w:val="008F10AC"/>
    <w:rsid w:val="008F15AD"/>
    <w:rsid w:val="008F1AB3"/>
    <w:rsid w:val="008F3D26"/>
    <w:rsid w:val="008F6BB6"/>
    <w:rsid w:val="00900BE0"/>
    <w:rsid w:val="009206CD"/>
    <w:rsid w:val="009210B6"/>
    <w:rsid w:val="0092126B"/>
    <w:rsid w:val="00927A0A"/>
    <w:rsid w:val="00930D3C"/>
    <w:rsid w:val="00931A6C"/>
    <w:rsid w:val="009343F9"/>
    <w:rsid w:val="00942194"/>
    <w:rsid w:val="00942A40"/>
    <w:rsid w:val="00943F97"/>
    <w:rsid w:val="009447C5"/>
    <w:rsid w:val="00944A6A"/>
    <w:rsid w:val="00954E28"/>
    <w:rsid w:val="00961DA2"/>
    <w:rsid w:val="00963541"/>
    <w:rsid w:val="00963F17"/>
    <w:rsid w:val="009648E4"/>
    <w:rsid w:val="00966F29"/>
    <w:rsid w:val="00967E56"/>
    <w:rsid w:val="00974244"/>
    <w:rsid w:val="00981EFC"/>
    <w:rsid w:val="009828E7"/>
    <w:rsid w:val="0099330B"/>
    <w:rsid w:val="0099365C"/>
    <w:rsid w:val="009939FB"/>
    <w:rsid w:val="009A05F6"/>
    <w:rsid w:val="009A340C"/>
    <w:rsid w:val="009A3565"/>
    <w:rsid w:val="009A3664"/>
    <w:rsid w:val="009B10C1"/>
    <w:rsid w:val="009B1499"/>
    <w:rsid w:val="009B1CAD"/>
    <w:rsid w:val="009B5826"/>
    <w:rsid w:val="009B58D4"/>
    <w:rsid w:val="009C1CFC"/>
    <w:rsid w:val="009C2B7F"/>
    <w:rsid w:val="009C3CFF"/>
    <w:rsid w:val="009C45B1"/>
    <w:rsid w:val="009C6D54"/>
    <w:rsid w:val="009C7F67"/>
    <w:rsid w:val="009D2DBE"/>
    <w:rsid w:val="009D5FEB"/>
    <w:rsid w:val="009D634A"/>
    <w:rsid w:val="009D7918"/>
    <w:rsid w:val="009E3D04"/>
    <w:rsid w:val="009E5952"/>
    <w:rsid w:val="009E69FD"/>
    <w:rsid w:val="009F0130"/>
    <w:rsid w:val="009F0C1B"/>
    <w:rsid w:val="009F0F84"/>
    <w:rsid w:val="00A04FD1"/>
    <w:rsid w:val="00A106D8"/>
    <w:rsid w:val="00A12C88"/>
    <w:rsid w:val="00A21222"/>
    <w:rsid w:val="00A229AF"/>
    <w:rsid w:val="00A22AEA"/>
    <w:rsid w:val="00A25534"/>
    <w:rsid w:val="00A258BD"/>
    <w:rsid w:val="00A27053"/>
    <w:rsid w:val="00A27992"/>
    <w:rsid w:val="00A27EC6"/>
    <w:rsid w:val="00A34505"/>
    <w:rsid w:val="00A419C6"/>
    <w:rsid w:val="00A42435"/>
    <w:rsid w:val="00A446A7"/>
    <w:rsid w:val="00A448ED"/>
    <w:rsid w:val="00A465A6"/>
    <w:rsid w:val="00A52FE3"/>
    <w:rsid w:val="00A55522"/>
    <w:rsid w:val="00A630CE"/>
    <w:rsid w:val="00A66EDC"/>
    <w:rsid w:val="00A751F3"/>
    <w:rsid w:val="00A7725F"/>
    <w:rsid w:val="00A8336F"/>
    <w:rsid w:val="00A8786E"/>
    <w:rsid w:val="00A90F37"/>
    <w:rsid w:val="00A91C74"/>
    <w:rsid w:val="00A93DDA"/>
    <w:rsid w:val="00A95E2A"/>
    <w:rsid w:val="00AA240C"/>
    <w:rsid w:val="00AA72C6"/>
    <w:rsid w:val="00AB28FF"/>
    <w:rsid w:val="00AB4068"/>
    <w:rsid w:val="00AB4B93"/>
    <w:rsid w:val="00AC16A8"/>
    <w:rsid w:val="00AD105B"/>
    <w:rsid w:val="00AD11DC"/>
    <w:rsid w:val="00AD2C13"/>
    <w:rsid w:val="00AD343B"/>
    <w:rsid w:val="00AD3534"/>
    <w:rsid w:val="00AD4FBA"/>
    <w:rsid w:val="00AD687D"/>
    <w:rsid w:val="00AE19B6"/>
    <w:rsid w:val="00AE2EA8"/>
    <w:rsid w:val="00AE3EF5"/>
    <w:rsid w:val="00AE7B2A"/>
    <w:rsid w:val="00AF2474"/>
    <w:rsid w:val="00AF2860"/>
    <w:rsid w:val="00AF4731"/>
    <w:rsid w:val="00B0156D"/>
    <w:rsid w:val="00B01AFD"/>
    <w:rsid w:val="00B06D57"/>
    <w:rsid w:val="00B118B3"/>
    <w:rsid w:val="00B1473F"/>
    <w:rsid w:val="00B147F2"/>
    <w:rsid w:val="00B20342"/>
    <w:rsid w:val="00B22E33"/>
    <w:rsid w:val="00B26C83"/>
    <w:rsid w:val="00B26ED0"/>
    <w:rsid w:val="00B27000"/>
    <w:rsid w:val="00B3120B"/>
    <w:rsid w:val="00B31B53"/>
    <w:rsid w:val="00B33F04"/>
    <w:rsid w:val="00B34445"/>
    <w:rsid w:val="00B34859"/>
    <w:rsid w:val="00B34D3F"/>
    <w:rsid w:val="00B35083"/>
    <w:rsid w:val="00B353F1"/>
    <w:rsid w:val="00B36A19"/>
    <w:rsid w:val="00B43B70"/>
    <w:rsid w:val="00B44D3B"/>
    <w:rsid w:val="00B5049F"/>
    <w:rsid w:val="00B51F25"/>
    <w:rsid w:val="00B54830"/>
    <w:rsid w:val="00B57D59"/>
    <w:rsid w:val="00B6578F"/>
    <w:rsid w:val="00B66B38"/>
    <w:rsid w:val="00B67CEE"/>
    <w:rsid w:val="00B72393"/>
    <w:rsid w:val="00B7771E"/>
    <w:rsid w:val="00B77776"/>
    <w:rsid w:val="00B77DD8"/>
    <w:rsid w:val="00B83BB9"/>
    <w:rsid w:val="00B85892"/>
    <w:rsid w:val="00B867B1"/>
    <w:rsid w:val="00B87720"/>
    <w:rsid w:val="00B91620"/>
    <w:rsid w:val="00B926F8"/>
    <w:rsid w:val="00BA107D"/>
    <w:rsid w:val="00BA6187"/>
    <w:rsid w:val="00BA6448"/>
    <w:rsid w:val="00BA7430"/>
    <w:rsid w:val="00BA7A32"/>
    <w:rsid w:val="00BB4527"/>
    <w:rsid w:val="00BB4FDD"/>
    <w:rsid w:val="00BB4FF2"/>
    <w:rsid w:val="00BB6601"/>
    <w:rsid w:val="00BC3A09"/>
    <w:rsid w:val="00BC5186"/>
    <w:rsid w:val="00BC78AE"/>
    <w:rsid w:val="00BD30E6"/>
    <w:rsid w:val="00BD4C0F"/>
    <w:rsid w:val="00BD7A95"/>
    <w:rsid w:val="00BE19B2"/>
    <w:rsid w:val="00BE254C"/>
    <w:rsid w:val="00BE67D3"/>
    <w:rsid w:val="00BF1DCA"/>
    <w:rsid w:val="00BF5BA6"/>
    <w:rsid w:val="00BF61D2"/>
    <w:rsid w:val="00BF7E56"/>
    <w:rsid w:val="00C0144B"/>
    <w:rsid w:val="00C0276B"/>
    <w:rsid w:val="00C0276D"/>
    <w:rsid w:val="00C02EA4"/>
    <w:rsid w:val="00C0482E"/>
    <w:rsid w:val="00C05E0F"/>
    <w:rsid w:val="00C063F5"/>
    <w:rsid w:val="00C2147A"/>
    <w:rsid w:val="00C21865"/>
    <w:rsid w:val="00C24945"/>
    <w:rsid w:val="00C256F5"/>
    <w:rsid w:val="00C31F03"/>
    <w:rsid w:val="00C346B9"/>
    <w:rsid w:val="00C37146"/>
    <w:rsid w:val="00C410C6"/>
    <w:rsid w:val="00C41B01"/>
    <w:rsid w:val="00C45470"/>
    <w:rsid w:val="00C47061"/>
    <w:rsid w:val="00C501F6"/>
    <w:rsid w:val="00C50420"/>
    <w:rsid w:val="00C56544"/>
    <w:rsid w:val="00C6075B"/>
    <w:rsid w:val="00C61F3E"/>
    <w:rsid w:val="00C61F94"/>
    <w:rsid w:val="00C621D8"/>
    <w:rsid w:val="00C6322A"/>
    <w:rsid w:val="00C64E5B"/>
    <w:rsid w:val="00C6521B"/>
    <w:rsid w:val="00C652CF"/>
    <w:rsid w:val="00C65D43"/>
    <w:rsid w:val="00C65F91"/>
    <w:rsid w:val="00C66E7C"/>
    <w:rsid w:val="00C72F2D"/>
    <w:rsid w:val="00C73BDF"/>
    <w:rsid w:val="00C7752B"/>
    <w:rsid w:val="00C77F06"/>
    <w:rsid w:val="00C8037C"/>
    <w:rsid w:val="00C804BE"/>
    <w:rsid w:val="00C80AAB"/>
    <w:rsid w:val="00C80BCA"/>
    <w:rsid w:val="00C80C07"/>
    <w:rsid w:val="00C8276A"/>
    <w:rsid w:val="00C84181"/>
    <w:rsid w:val="00C85FFB"/>
    <w:rsid w:val="00C87457"/>
    <w:rsid w:val="00C90C83"/>
    <w:rsid w:val="00C95225"/>
    <w:rsid w:val="00C9538E"/>
    <w:rsid w:val="00C956BD"/>
    <w:rsid w:val="00CA2813"/>
    <w:rsid w:val="00CA550D"/>
    <w:rsid w:val="00CA59BF"/>
    <w:rsid w:val="00CB1FE5"/>
    <w:rsid w:val="00CB28AA"/>
    <w:rsid w:val="00CB7D0D"/>
    <w:rsid w:val="00CC057E"/>
    <w:rsid w:val="00CC2246"/>
    <w:rsid w:val="00CC2E12"/>
    <w:rsid w:val="00CC5551"/>
    <w:rsid w:val="00CC7CCC"/>
    <w:rsid w:val="00CD2E97"/>
    <w:rsid w:val="00CD327F"/>
    <w:rsid w:val="00CD4393"/>
    <w:rsid w:val="00CD6D74"/>
    <w:rsid w:val="00CD772F"/>
    <w:rsid w:val="00CE476C"/>
    <w:rsid w:val="00CE5374"/>
    <w:rsid w:val="00CE6D0B"/>
    <w:rsid w:val="00CF08A4"/>
    <w:rsid w:val="00CF08F6"/>
    <w:rsid w:val="00CF14D9"/>
    <w:rsid w:val="00CF69AC"/>
    <w:rsid w:val="00CF73E1"/>
    <w:rsid w:val="00D00057"/>
    <w:rsid w:val="00D048FB"/>
    <w:rsid w:val="00D06421"/>
    <w:rsid w:val="00D064E6"/>
    <w:rsid w:val="00D2012D"/>
    <w:rsid w:val="00D201DB"/>
    <w:rsid w:val="00D22C76"/>
    <w:rsid w:val="00D267DC"/>
    <w:rsid w:val="00D303A6"/>
    <w:rsid w:val="00D3419D"/>
    <w:rsid w:val="00D34837"/>
    <w:rsid w:val="00D44FC0"/>
    <w:rsid w:val="00D4534E"/>
    <w:rsid w:val="00D4559A"/>
    <w:rsid w:val="00D509FB"/>
    <w:rsid w:val="00D51EA8"/>
    <w:rsid w:val="00D617E0"/>
    <w:rsid w:val="00D62180"/>
    <w:rsid w:val="00D6248E"/>
    <w:rsid w:val="00D64CBF"/>
    <w:rsid w:val="00D654A3"/>
    <w:rsid w:val="00D70D7D"/>
    <w:rsid w:val="00D730C3"/>
    <w:rsid w:val="00D75F56"/>
    <w:rsid w:val="00D76155"/>
    <w:rsid w:val="00D764CA"/>
    <w:rsid w:val="00D8216F"/>
    <w:rsid w:val="00D8495C"/>
    <w:rsid w:val="00D91390"/>
    <w:rsid w:val="00D92CBC"/>
    <w:rsid w:val="00D938DF"/>
    <w:rsid w:val="00D93B8A"/>
    <w:rsid w:val="00DA0F5D"/>
    <w:rsid w:val="00DA4F95"/>
    <w:rsid w:val="00DA704B"/>
    <w:rsid w:val="00DA78EE"/>
    <w:rsid w:val="00DA7969"/>
    <w:rsid w:val="00DB27D4"/>
    <w:rsid w:val="00DB5340"/>
    <w:rsid w:val="00DC1475"/>
    <w:rsid w:val="00DC29FF"/>
    <w:rsid w:val="00DC4525"/>
    <w:rsid w:val="00DC483B"/>
    <w:rsid w:val="00DD78EB"/>
    <w:rsid w:val="00DE2897"/>
    <w:rsid w:val="00DE2B23"/>
    <w:rsid w:val="00DE3256"/>
    <w:rsid w:val="00DE553A"/>
    <w:rsid w:val="00DE77C7"/>
    <w:rsid w:val="00DF5D9D"/>
    <w:rsid w:val="00DF73D5"/>
    <w:rsid w:val="00E03241"/>
    <w:rsid w:val="00E03CDF"/>
    <w:rsid w:val="00E0445E"/>
    <w:rsid w:val="00E07FAA"/>
    <w:rsid w:val="00E10382"/>
    <w:rsid w:val="00E1673D"/>
    <w:rsid w:val="00E22BB5"/>
    <w:rsid w:val="00E24689"/>
    <w:rsid w:val="00E26A00"/>
    <w:rsid w:val="00E30F3E"/>
    <w:rsid w:val="00E32C4A"/>
    <w:rsid w:val="00E33344"/>
    <w:rsid w:val="00E36164"/>
    <w:rsid w:val="00E4223C"/>
    <w:rsid w:val="00E43857"/>
    <w:rsid w:val="00E43EEE"/>
    <w:rsid w:val="00E4485F"/>
    <w:rsid w:val="00E44EE8"/>
    <w:rsid w:val="00E45203"/>
    <w:rsid w:val="00E471EF"/>
    <w:rsid w:val="00E47C79"/>
    <w:rsid w:val="00E55841"/>
    <w:rsid w:val="00E55C64"/>
    <w:rsid w:val="00E56443"/>
    <w:rsid w:val="00E57DD7"/>
    <w:rsid w:val="00E61636"/>
    <w:rsid w:val="00E6319F"/>
    <w:rsid w:val="00E706AE"/>
    <w:rsid w:val="00E712C4"/>
    <w:rsid w:val="00E71375"/>
    <w:rsid w:val="00E71C49"/>
    <w:rsid w:val="00E7210A"/>
    <w:rsid w:val="00E723E0"/>
    <w:rsid w:val="00E75906"/>
    <w:rsid w:val="00E77AA5"/>
    <w:rsid w:val="00E80CB4"/>
    <w:rsid w:val="00E814CB"/>
    <w:rsid w:val="00E8231F"/>
    <w:rsid w:val="00E839FB"/>
    <w:rsid w:val="00E84334"/>
    <w:rsid w:val="00E84774"/>
    <w:rsid w:val="00E87E2D"/>
    <w:rsid w:val="00E90DD2"/>
    <w:rsid w:val="00E91BB6"/>
    <w:rsid w:val="00E93385"/>
    <w:rsid w:val="00E9412E"/>
    <w:rsid w:val="00E95206"/>
    <w:rsid w:val="00E95A1A"/>
    <w:rsid w:val="00EA411F"/>
    <w:rsid w:val="00EA7E95"/>
    <w:rsid w:val="00EB38DE"/>
    <w:rsid w:val="00EC43AC"/>
    <w:rsid w:val="00ED0402"/>
    <w:rsid w:val="00ED1A4E"/>
    <w:rsid w:val="00ED2103"/>
    <w:rsid w:val="00ED3C4C"/>
    <w:rsid w:val="00EE65DD"/>
    <w:rsid w:val="00EF06ED"/>
    <w:rsid w:val="00EF654B"/>
    <w:rsid w:val="00EF67EE"/>
    <w:rsid w:val="00EF699A"/>
    <w:rsid w:val="00F0053B"/>
    <w:rsid w:val="00F02E26"/>
    <w:rsid w:val="00F06572"/>
    <w:rsid w:val="00F07178"/>
    <w:rsid w:val="00F14425"/>
    <w:rsid w:val="00F1570C"/>
    <w:rsid w:val="00F164CF"/>
    <w:rsid w:val="00F16ADE"/>
    <w:rsid w:val="00F23F60"/>
    <w:rsid w:val="00F247A5"/>
    <w:rsid w:val="00F25AA1"/>
    <w:rsid w:val="00F25F28"/>
    <w:rsid w:val="00F322DF"/>
    <w:rsid w:val="00F3648E"/>
    <w:rsid w:val="00F4085F"/>
    <w:rsid w:val="00F41582"/>
    <w:rsid w:val="00F44A49"/>
    <w:rsid w:val="00F45329"/>
    <w:rsid w:val="00F46F2D"/>
    <w:rsid w:val="00F47CBA"/>
    <w:rsid w:val="00F50DD9"/>
    <w:rsid w:val="00F52E0E"/>
    <w:rsid w:val="00F56BA5"/>
    <w:rsid w:val="00F62E24"/>
    <w:rsid w:val="00F6335F"/>
    <w:rsid w:val="00F63DA1"/>
    <w:rsid w:val="00F64924"/>
    <w:rsid w:val="00F6626A"/>
    <w:rsid w:val="00F66E37"/>
    <w:rsid w:val="00F77C8D"/>
    <w:rsid w:val="00F81A83"/>
    <w:rsid w:val="00F84DD6"/>
    <w:rsid w:val="00F858A3"/>
    <w:rsid w:val="00F904D2"/>
    <w:rsid w:val="00F956B1"/>
    <w:rsid w:val="00F97852"/>
    <w:rsid w:val="00F97873"/>
    <w:rsid w:val="00FA1AFC"/>
    <w:rsid w:val="00FA5CD7"/>
    <w:rsid w:val="00FA7736"/>
    <w:rsid w:val="00FB039D"/>
    <w:rsid w:val="00FB3204"/>
    <w:rsid w:val="00FB4143"/>
    <w:rsid w:val="00FC0206"/>
    <w:rsid w:val="00FC0FFE"/>
    <w:rsid w:val="00FC3B64"/>
    <w:rsid w:val="00FC3EB3"/>
    <w:rsid w:val="00FC78DC"/>
    <w:rsid w:val="00FD18A2"/>
    <w:rsid w:val="00FD5522"/>
    <w:rsid w:val="00FE1D79"/>
    <w:rsid w:val="00FE2A83"/>
    <w:rsid w:val="00FE3AF5"/>
    <w:rsid w:val="00FE3AFC"/>
    <w:rsid w:val="00FF113F"/>
    <w:rsid w:val="00FF4A49"/>
    <w:rsid w:val="00FF5EF3"/>
    <w:rsid w:val="00FF6054"/>
    <w:rsid w:val="00FF628B"/>
    <w:rsid w:val="00FF6C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F75CA35"/>
  <w15:docId w15:val="{57998375-E275-427A-9A6B-AB3090D6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43A6"/>
  </w:style>
  <w:style w:type="paragraph" w:styleId="Heading1">
    <w:name w:val="heading 1"/>
    <w:basedOn w:val="Normal"/>
    <w:next w:val="Normal"/>
    <w:link w:val="Heading1Char"/>
    <w:uiPriority w:val="1"/>
    <w:qFormat/>
    <w:rsid w:val="00355DEB"/>
    <w:pPr>
      <w:keepNext/>
      <w:keepLines/>
      <w:spacing w:after="0" w:line="240" w:lineRule="auto"/>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1"/>
    <w:unhideWhenUsed/>
    <w:qFormat/>
    <w:rsid w:val="00355DEB"/>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link w:val="Heading3Char"/>
    <w:uiPriority w:val="1"/>
    <w:qFormat/>
    <w:rsid w:val="00556F0D"/>
    <w:pPr>
      <w:widowControl w:val="0"/>
      <w:autoSpaceDE w:val="0"/>
      <w:autoSpaceDN w:val="0"/>
      <w:spacing w:after="0" w:line="240" w:lineRule="auto"/>
      <w:ind w:left="386"/>
      <w:outlineLvl w:val="2"/>
    </w:pPr>
    <w:rPr>
      <w:rFonts w:ascii="Arial" w:eastAsia="Arial" w:hAnsi="Arial" w:cs="Arial"/>
      <w:b/>
      <w:bCs/>
      <w:sz w:val="24"/>
      <w:szCs w:val="24"/>
      <w:lang w:val="id"/>
    </w:rPr>
  </w:style>
  <w:style w:type="paragraph" w:styleId="Heading4">
    <w:name w:val="heading 4"/>
    <w:basedOn w:val="Normal"/>
    <w:next w:val="Normal"/>
    <w:link w:val="Heading4Char"/>
    <w:uiPriority w:val="1"/>
    <w:unhideWhenUsed/>
    <w:qFormat/>
    <w:rsid w:val="00556F0D"/>
    <w:pPr>
      <w:keepNext/>
      <w:keepLines/>
      <w:widowControl w:val="0"/>
      <w:autoSpaceDE w:val="0"/>
      <w:autoSpaceDN w:val="0"/>
      <w:spacing w:before="200" w:after="0" w:line="240" w:lineRule="auto"/>
      <w:outlineLvl w:val="3"/>
    </w:pPr>
    <w:rPr>
      <w:rFonts w:ascii="Cambria" w:eastAsia="Times New Roman" w:hAnsi="Cambria" w:cs="Times New Roman"/>
      <w:b/>
      <w:bCs/>
      <w:i/>
      <w:iCs/>
      <w:color w:val="4F81BD"/>
      <w:lang w:val="id"/>
    </w:rPr>
  </w:style>
  <w:style w:type="paragraph" w:styleId="Heading5">
    <w:name w:val="heading 5"/>
    <w:basedOn w:val="Normal"/>
    <w:link w:val="Heading5Char"/>
    <w:uiPriority w:val="1"/>
    <w:qFormat/>
    <w:rsid w:val="00556F0D"/>
    <w:pPr>
      <w:widowControl w:val="0"/>
      <w:autoSpaceDE w:val="0"/>
      <w:autoSpaceDN w:val="0"/>
      <w:spacing w:after="0" w:line="240" w:lineRule="auto"/>
      <w:ind w:left="1119" w:hanging="721"/>
      <w:outlineLvl w:val="4"/>
    </w:pPr>
    <w:rPr>
      <w:rFonts w:ascii="Arial" w:eastAsia="Arial" w:hAnsi="Arial" w:cs="Arial"/>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3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A09"/>
  </w:style>
  <w:style w:type="paragraph" w:styleId="Footer">
    <w:name w:val="footer"/>
    <w:basedOn w:val="Normal"/>
    <w:link w:val="FooterChar"/>
    <w:uiPriority w:val="99"/>
    <w:unhideWhenUsed/>
    <w:rsid w:val="00BC3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A09"/>
  </w:style>
  <w:style w:type="character" w:styleId="Hyperlink">
    <w:name w:val="Hyperlink"/>
    <w:basedOn w:val="DefaultParagraphFont"/>
    <w:uiPriority w:val="99"/>
    <w:rsid w:val="00BD7A95"/>
    <w:rPr>
      <w:color w:val="FF0080"/>
      <w:u w:val="single"/>
    </w:rPr>
  </w:style>
  <w:style w:type="paragraph" w:styleId="BalloonText">
    <w:name w:val="Balloon Text"/>
    <w:basedOn w:val="Normal"/>
    <w:link w:val="BalloonTextChar"/>
    <w:uiPriority w:val="99"/>
    <w:semiHidden/>
    <w:unhideWhenUsed/>
    <w:rsid w:val="002B2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6BC"/>
    <w:rPr>
      <w:rFonts w:ascii="Tahoma" w:hAnsi="Tahoma" w:cs="Tahoma"/>
      <w:sz w:val="16"/>
      <w:szCs w:val="16"/>
    </w:rPr>
  </w:style>
  <w:style w:type="paragraph" w:styleId="NoSpacing">
    <w:name w:val="No Spacing"/>
    <w:link w:val="NoSpacingChar"/>
    <w:uiPriority w:val="1"/>
    <w:qFormat/>
    <w:rsid w:val="00D048FB"/>
    <w:pPr>
      <w:spacing w:after="0" w:line="240" w:lineRule="auto"/>
    </w:pPr>
  </w:style>
  <w:style w:type="character" w:customStyle="1" w:styleId="NoSpacingChar">
    <w:name w:val="No Spacing Char"/>
    <w:basedOn w:val="DefaultParagraphFont"/>
    <w:link w:val="NoSpacing"/>
    <w:uiPriority w:val="1"/>
    <w:rsid w:val="00D048FB"/>
  </w:style>
  <w:style w:type="table" w:styleId="TableGrid">
    <w:name w:val="Table Grid"/>
    <w:basedOn w:val="TableNormal"/>
    <w:uiPriority w:val="59"/>
    <w:rsid w:val="00592D54"/>
    <w:pPr>
      <w:spacing w:after="0" w:line="240"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qFormat/>
    <w:rsid w:val="00592D54"/>
    <w:pPr>
      <w:ind w:left="720"/>
      <w:contextualSpacing/>
    </w:pPr>
  </w:style>
  <w:style w:type="table" w:customStyle="1" w:styleId="TableGrid1">
    <w:name w:val="Table Grid1"/>
    <w:basedOn w:val="TableNormal"/>
    <w:next w:val="TableGrid"/>
    <w:uiPriority w:val="59"/>
    <w:rsid w:val="00DE325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erHead">
    <w:name w:val="Refer Head"/>
    <w:basedOn w:val="Normal"/>
    <w:rsid w:val="001C1263"/>
    <w:pPr>
      <w:keepNext/>
      <w:spacing w:after="240" w:line="240" w:lineRule="auto"/>
    </w:pPr>
    <w:rPr>
      <w:rFonts w:ascii="Helvetica" w:eastAsia="Times New Roman" w:hAnsi="Helvetica" w:cs="Times New Roman"/>
      <w:b/>
      <w:caps/>
      <w:szCs w:val="20"/>
    </w:rPr>
  </w:style>
  <w:style w:type="paragraph" w:styleId="DocumentMap">
    <w:name w:val="Document Map"/>
    <w:basedOn w:val="Normal"/>
    <w:link w:val="DocumentMapChar"/>
    <w:uiPriority w:val="99"/>
    <w:semiHidden/>
    <w:unhideWhenUsed/>
    <w:rsid w:val="000102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102C3"/>
    <w:rPr>
      <w:rFonts w:ascii="Tahoma" w:hAnsi="Tahoma" w:cs="Tahoma"/>
      <w:sz w:val="16"/>
      <w:szCs w:val="16"/>
    </w:rPr>
  </w:style>
  <w:style w:type="character" w:customStyle="1" w:styleId="topic-highlight">
    <w:name w:val="topic-highlight"/>
    <w:basedOn w:val="DefaultParagraphFont"/>
    <w:rsid w:val="003676B0"/>
  </w:style>
  <w:style w:type="paragraph" w:styleId="NormalWeb">
    <w:name w:val="Normal (Web)"/>
    <w:basedOn w:val="Normal"/>
    <w:uiPriority w:val="99"/>
    <w:unhideWhenUsed/>
    <w:rsid w:val="00095E5E"/>
    <w:rPr>
      <w:rFonts w:ascii="Times New Roman" w:hAnsi="Times New Roman" w:cs="Times New Roman"/>
      <w:sz w:val="24"/>
      <w:szCs w:val="24"/>
    </w:rPr>
  </w:style>
  <w:style w:type="character" w:customStyle="1" w:styleId="Heading1Char">
    <w:name w:val="Heading 1 Char"/>
    <w:basedOn w:val="DefaultParagraphFont"/>
    <w:link w:val="Heading1"/>
    <w:uiPriority w:val="1"/>
    <w:rsid w:val="00355DEB"/>
    <w:rPr>
      <w:rFonts w:ascii="Arial" w:eastAsiaTheme="majorEastAsia" w:hAnsi="Arial" w:cstheme="majorBidi"/>
      <w:b/>
      <w:bCs/>
      <w:sz w:val="36"/>
      <w:szCs w:val="28"/>
    </w:rPr>
  </w:style>
  <w:style w:type="character" w:customStyle="1" w:styleId="Heading2Char">
    <w:name w:val="Heading 2 Char"/>
    <w:basedOn w:val="DefaultParagraphFont"/>
    <w:link w:val="Heading2"/>
    <w:uiPriority w:val="1"/>
    <w:rsid w:val="00355DEB"/>
    <w:rPr>
      <w:rFonts w:ascii="Arial" w:eastAsiaTheme="majorEastAsia" w:hAnsi="Arial" w:cstheme="majorBidi"/>
      <w:b/>
      <w:bCs/>
      <w:szCs w:val="26"/>
    </w:rPr>
  </w:style>
  <w:style w:type="numbering" w:customStyle="1" w:styleId="NoList1">
    <w:name w:val="No List1"/>
    <w:next w:val="NoList"/>
    <w:uiPriority w:val="99"/>
    <w:semiHidden/>
    <w:unhideWhenUsed/>
    <w:rsid w:val="00070BB0"/>
  </w:style>
  <w:style w:type="table" w:customStyle="1" w:styleId="TableGrid2">
    <w:name w:val="Table Grid2"/>
    <w:basedOn w:val="TableNormal"/>
    <w:next w:val="TableGrid"/>
    <w:uiPriority w:val="59"/>
    <w:rsid w:val="00070BB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070BB0"/>
  </w:style>
  <w:style w:type="paragraph" w:customStyle="1" w:styleId="CommentText1">
    <w:name w:val="Comment Text1"/>
    <w:basedOn w:val="Normal"/>
    <w:next w:val="CommentText"/>
    <w:link w:val="CommentTextChar"/>
    <w:uiPriority w:val="99"/>
    <w:unhideWhenUsed/>
    <w:rsid w:val="00070BB0"/>
    <w:pPr>
      <w:spacing w:after="0" w:line="240" w:lineRule="auto"/>
    </w:pPr>
    <w:rPr>
      <w:rFonts w:ascii="Calibri" w:eastAsia="MS Mincho" w:hAnsi="Calibri" w:cs="Arial"/>
      <w:sz w:val="20"/>
      <w:szCs w:val="20"/>
      <w:lang w:val="en-NZ"/>
    </w:rPr>
  </w:style>
  <w:style w:type="character" w:customStyle="1" w:styleId="CommentTextChar">
    <w:name w:val="Comment Text Char"/>
    <w:link w:val="CommentText1"/>
    <w:uiPriority w:val="99"/>
    <w:rsid w:val="00070BB0"/>
    <w:rPr>
      <w:rFonts w:ascii="Calibri" w:eastAsia="MS Mincho" w:hAnsi="Calibri" w:cs="Arial"/>
      <w:sz w:val="20"/>
      <w:szCs w:val="20"/>
      <w:lang w:val="en-NZ"/>
    </w:rPr>
  </w:style>
  <w:style w:type="character" w:styleId="CommentReference">
    <w:name w:val="annotation reference"/>
    <w:uiPriority w:val="99"/>
    <w:semiHidden/>
    <w:unhideWhenUsed/>
    <w:rsid w:val="00070BB0"/>
    <w:rPr>
      <w:sz w:val="16"/>
      <w:szCs w:val="16"/>
    </w:rPr>
  </w:style>
  <w:style w:type="character" w:customStyle="1" w:styleId="readz-c12">
    <w:name w:val="readz-c12"/>
    <w:basedOn w:val="DefaultParagraphFont"/>
    <w:rsid w:val="00070BB0"/>
  </w:style>
  <w:style w:type="character" w:customStyle="1" w:styleId="hgkelc">
    <w:name w:val="hgkelc"/>
    <w:basedOn w:val="DefaultParagraphFont"/>
    <w:rsid w:val="00070BB0"/>
  </w:style>
  <w:style w:type="paragraph" w:customStyle="1" w:styleId="CommentSubject1">
    <w:name w:val="Comment Subject1"/>
    <w:basedOn w:val="CommentText"/>
    <w:next w:val="CommentText"/>
    <w:uiPriority w:val="99"/>
    <w:semiHidden/>
    <w:unhideWhenUsed/>
    <w:rsid w:val="00070BB0"/>
  </w:style>
  <w:style w:type="character" w:customStyle="1" w:styleId="CommentSubjectChar">
    <w:name w:val="Comment Subject Char"/>
    <w:link w:val="CommentSubject"/>
    <w:uiPriority w:val="99"/>
    <w:semiHidden/>
    <w:rsid w:val="00070BB0"/>
    <w:rPr>
      <w:b/>
      <w:sz w:val="20"/>
      <w:szCs w:val="20"/>
    </w:rPr>
  </w:style>
  <w:style w:type="paragraph" w:customStyle="1" w:styleId="Bibliography1">
    <w:name w:val="Bibliography1"/>
    <w:basedOn w:val="Normal"/>
    <w:next w:val="Normal"/>
    <w:uiPriority w:val="37"/>
    <w:unhideWhenUsed/>
    <w:rsid w:val="00070BB0"/>
    <w:pPr>
      <w:tabs>
        <w:tab w:val="left" w:pos="624"/>
      </w:tabs>
      <w:spacing w:after="240" w:line="240" w:lineRule="auto"/>
      <w:ind w:left="624" w:hanging="624"/>
    </w:pPr>
    <w:rPr>
      <w:rFonts w:ascii="Times New Roman" w:eastAsia="Calibri" w:hAnsi="Times New Roman" w:cs="Times New Roman"/>
      <w:sz w:val="24"/>
      <w:szCs w:val="24"/>
      <w:lang w:val="en-NZ"/>
    </w:rPr>
  </w:style>
  <w:style w:type="character" w:customStyle="1" w:styleId="UnresolvedMention1">
    <w:name w:val="Unresolved Mention1"/>
    <w:uiPriority w:val="99"/>
    <w:semiHidden/>
    <w:unhideWhenUsed/>
    <w:rsid w:val="00070BB0"/>
    <w:rPr>
      <w:color w:val="605E5C"/>
      <w:shd w:val="clear" w:color="auto" w:fill="E1DFDD"/>
    </w:rPr>
  </w:style>
  <w:style w:type="paragraph" w:customStyle="1" w:styleId="Revision1">
    <w:name w:val="Revision1"/>
    <w:next w:val="Revision"/>
    <w:hidden/>
    <w:uiPriority w:val="99"/>
    <w:semiHidden/>
    <w:rsid w:val="00070BB0"/>
    <w:pPr>
      <w:spacing w:after="0" w:line="240" w:lineRule="auto"/>
    </w:pPr>
    <w:rPr>
      <w:rFonts w:ascii="Times New Roman" w:eastAsia="Calibri" w:hAnsi="Times New Roman" w:cs="Times New Roman"/>
      <w:sz w:val="24"/>
      <w:szCs w:val="24"/>
      <w:lang w:val="en-NZ"/>
    </w:rPr>
  </w:style>
  <w:style w:type="character" w:styleId="LineNumber">
    <w:name w:val="line number"/>
    <w:basedOn w:val="DefaultParagraphFont"/>
    <w:uiPriority w:val="99"/>
    <w:semiHidden/>
    <w:unhideWhenUsed/>
    <w:rsid w:val="00070BB0"/>
  </w:style>
  <w:style w:type="paragraph" w:customStyle="1" w:styleId="Body">
    <w:name w:val="Body"/>
    <w:basedOn w:val="Normal"/>
    <w:rsid w:val="00070BB0"/>
    <w:pPr>
      <w:spacing w:after="240" w:line="240" w:lineRule="auto"/>
      <w:jc w:val="both"/>
    </w:pPr>
    <w:rPr>
      <w:rFonts w:ascii="Helvetica" w:eastAsia="Times New Roman" w:hAnsi="Helvetica" w:cs="Times New Roman"/>
      <w:bCs/>
      <w:sz w:val="20"/>
      <w:szCs w:val="20"/>
      <w:lang w:val="en-NZ"/>
    </w:rPr>
  </w:style>
  <w:style w:type="paragraph" w:customStyle="1" w:styleId="Default">
    <w:name w:val="Default"/>
    <w:rsid w:val="00070BB0"/>
    <w:pPr>
      <w:autoSpaceDE w:val="0"/>
      <w:autoSpaceDN w:val="0"/>
      <w:adjustRightInd w:val="0"/>
      <w:spacing w:after="0" w:line="240" w:lineRule="auto"/>
    </w:pPr>
    <w:rPr>
      <w:rFonts w:ascii="Arial" w:eastAsia="Calibri" w:hAnsi="Arial" w:cs="Arial"/>
      <w:color w:val="000000"/>
      <w:sz w:val="24"/>
      <w:szCs w:val="24"/>
      <w:lang w:val="en-NZ"/>
    </w:rPr>
  </w:style>
  <w:style w:type="paragraph" w:customStyle="1" w:styleId="FootnoteText1">
    <w:name w:val="Footnote Text1"/>
    <w:basedOn w:val="Normal"/>
    <w:next w:val="FootnoteText"/>
    <w:link w:val="FootnoteTextChar"/>
    <w:uiPriority w:val="99"/>
    <w:semiHidden/>
    <w:unhideWhenUsed/>
    <w:rsid w:val="00070BB0"/>
    <w:pPr>
      <w:spacing w:after="0" w:line="240" w:lineRule="auto"/>
    </w:pPr>
    <w:rPr>
      <w:rFonts w:ascii="Calibri" w:eastAsia="MS Mincho" w:hAnsi="Calibri" w:cs="Arial"/>
      <w:sz w:val="20"/>
      <w:szCs w:val="20"/>
      <w:lang w:val="en-NZ"/>
    </w:rPr>
  </w:style>
  <w:style w:type="character" w:customStyle="1" w:styleId="FootnoteTextChar">
    <w:name w:val="Footnote Text Char"/>
    <w:link w:val="FootnoteText1"/>
    <w:uiPriority w:val="99"/>
    <w:semiHidden/>
    <w:rsid w:val="00070BB0"/>
    <w:rPr>
      <w:rFonts w:ascii="Calibri" w:eastAsia="MS Mincho" w:hAnsi="Calibri" w:cs="Arial"/>
      <w:sz w:val="20"/>
      <w:szCs w:val="20"/>
      <w:lang w:val="en-NZ"/>
    </w:rPr>
  </w:style>
  <w:style w:type="character" w:styleId="FootnoteReference">
    <w:name w:val="footnote reference"/>
    <w:uiPriority w:val="99"/>
    <w:semiHidden/>
    <w:unhideWhenUsed/>
    <w:rsid w:val="00070BB0"/>
    <w:rPr>
      <w:vertAlign w:val="superscript"/>
    </w:rPr>
  </w:style>
  <w:style w:type="paragraph" w:styleId="CommentText">
    <w:name w:val="annotation text"/>
    <w:basedOn w:val="Normal"/>
    <w:link w:val="CommentTextChar1"/>
    <w:uiPriority w:val="99"/>
    <w:semiHidden/>
    <w:unhideWhenUsed/>
    <w:rsid w:val="00070BB0"/>
    <w:pPr>
      <w:spacing w:line="240" w:lineRule="auto"/>
    </w:pPr>
    <w:rPr>
      <w:rFonts w:ascii="Calibri" w:eastAsia="MS Mincho" w:hAnsi="Calibri" w:cs="Arial"/>
      <w:sz w:val="20"/>
      <w:szCs w:val="20"/>
      <w:lang w:val="en-NZ"/>
    </w:rPr>
  </w:style>
  <w:style w:type="character" w:customStyle="1" w:styleId="CommentTextChar1">
    <w:name w:val="Comment Text Char1"/>
    <w:basedOn w:val="DefaultParagraphFont"/>
    <w:link w:val="CommentText"/>
    <w:uiPriority w:val="99"/>
    <w:semiHidden/>
    <w:rsid w:val="00070BB0"/>
    <w:rPr>
      <w:rFonts w:ascii="Calibri" w:eastAsia="MS Mincho" w:hAnsi="Calibri" w:cs="Arial"/>
      <w:sz w:val="20"/>
      <w:szCs w:val="20"/>
      <w:lang w:val="en-NZ"/>
    </w:rPr>
  </w:style>
  <w:style w:type="paragraph" w:styleId="CommentSubject">
    <w:name w:val="annotation subject"/>
    <w:basedOn w:val="CommentText"/>
    <w:next w:val="CommentText"/>
    <w:link w:val="CommentSubjectChar"/>
    <w:uiPriority w:val="99"/>
    <w:semiHidden/>
    <w:unhideWhenUsed/>
    <w:rsid w:val="00070BB0"/>
    <w:rPr>
      <w:rFonts w:asciiTheme="minorHAnsi" w:eastAsiaTheme="minorEastAsia" w:hAnsiTheme="minorHAnsi" w:cstheme="minorBidi"/>
      <w:b/>
      <w:lang w:val="en-US"/>
    </w:rPr>
  </w:style>
  <w:style w:type="character" w:customStyle="1" w:styleId="CommentSubjectChar1">
    <w:name w:val="Comment Subject Char1"/>
    <w:basedOn w:val="CommentTextChar1"/>
    <w:uiPriority w:val="99"/>
    <w:semiHidden/>
    <w:rsid w:val="00070BB0"/>
    <w:rPr>
      <w:rFonts w:ascii="Calibri" w:eastAsia="MS Mincho" w:hAnsi="Calibri" w:cs="Arial"/>
      <w:b/>
      <w:bCs/>
      <w:sz w:val="20"/>
      <w:szCs w:val="20"/>
      <w:lang w:val="en-NZ"/>
    </w:rPr>
  </w:style>
  <w:style w:type="paragraph" w:styleId="Revision">
    <w:name w:val="Revision"/>
    <w:hidden/>
    <w:uiPriority w:val="99"/>
    <w:semiHidden/>
    <w:rsid w:val="00070BB0"/>
    <w:pPr>
      <w:spacing w:after="0" w:line="240" w:lineRule="auto"/>
    </w:pPr>
    <w:rPr>
      <w:rFonts w:ascii="Calibri" w:eastAsia="MS Mincho" w:hAnsi="Calibri" w:cs="Arial"/>
    </w:rPr>
  </w:style>
  <w:style w:type="paragraph" w:styleId="FootnoteText">
    <w:name w:val="footnote text"/>
    <w:basedOn w:val="Normal"/>
    <w:link w:val="FootnoteTextChar1"/>
    <w:uiPriority w:val="99"/>
    <w:semiHidden/>
    <w:unhideWhenUsed/>
    <w:rsid w:val="00070BB0"/>
    <w:pPr>
      <w:spacing w:after="0" w:line="240" w:lineRule="auto"/>
    </w:pPr>
    <w:rPr>
      <w:rFonts w:ascii="Calibri" w:eastAsia="MS Mincho" w:hAnsi="Calibri" w:cs="Arial"/>
      <w:sz w:val="20"/>
      <w:szCs w:val="20"/>
      <w:lang w:val="en-NZ"/>
    </w:rPr>
  </w:style>
  <w:style w:type="character" w:customStyle="1" w:styleId="FootnoteTextChar1">
    <w:name w:val="Footnote Text Char1"/>
    <w:basedOn w:val="DefaultParagraphFont"/>
    <w:link w:val="FootnoteText"/>
    <w:uiPriority w:val="99"/>
    <w:semiHidden/>
    <w:rsid w:val="00070BB0"/>
    <w:rPr>
      <w:rFonts w:ascii="Calibri" w:eastAsia="MS Mincho" w:hAnsi="Calibri" w:cs="Arial"/>
      <w:sz w:val="20"/>
      <w:szCs w:val="20"/>
      <w:lang w:val="en-NZ"/>
    </w:rPr>
  </w:style>
  <w:style w:type="paragraph" w:customStyle="1" w:styleId="va-top">
    <w:name w:val="va-top"/>
    <w:basedOn w:val="Normal"/>
    <w:rsid w:val="00070BB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UnresolvedMention2">
    <w:name w:val="Unresolved Mention2"/>
    <w:uiPriority w:val="99"/>
    <w:semiHidden/>
    <w:unhideWhenUsed/>
    <w:rsid w:val="00070BB0"/>
    <w:rPr>
      <w:color w:val="605E5C"/>
      <w:shd w:val="clear" w:color="auto" w:fill="E1DFDD"/>
    </w:rPr>
  </w:style>
  <w:style w:type="paragraph" w:styleId="Bibliography">
    <w:name w:val="Bibliography"/>
    <w:basedOn w:val="Normal"/>
    <w:next w:val="Normal"/>
    <w:uiPriority w:val="37"/>
    <w:unhideWhenUsed/>
    <w:rsid w:val="00070BB0"/>
    <w:rPr>
      <w:rFonts w:ascii="Calibri" w:eastAsia="MS Mincho" w:hAnsi="Calibri" w:cs="Arial"/>
      <w:lang w:val="en-NZ"/>
    </w:rPr>
  </w:style>
  <w:style w:type="paragraph" w:customStyle="1" w:styleId="TableStyle2A">
    <w:name w:val="Table Style 2 A"/>
    <w:rsid w:val="00070BB0"/>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u w:color="000000"/>
      <w:bdr w:val="nil"/>
      <w:lang w:eastAsia="en-GB"/>
    </w:rPr>
  </w:style>
  <w:style w:type="paragraph" w:customStyle="1" w:styleId="nova-legacy-e-listitem">
    <w:name w:val="nova-legacy-e-list__item"/>
    <w:basedOn w:val="Normal"/>
    <w:rsid w:val="00070BB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numbering" w:customStyle="1" w:styleId="NoList2">
    <w:name w:val="No List2"/>
    <w:next w:val="NoList"/>
    <w:uiPriority w:val="99"/>
    <w:semiHidden/>
    <w:unhideWhenUsed/>
    <w:rsid w:val="00070BB0"/>
  </w:style>
  <w:style w:type="table" w:customStyle="1" w:styleId="TableGrid3">
    <w:name w:val="Table Grid3"/>
    <w:basedOn w:val="TableNormal"/>
    <w:next w:val="TableGrid"/>
    <w:uiPriority w:val="59"/>
    <w:rsid w:val="00070BB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070BB0"/>
  </w:style>
  <w:style w:type="paragraph" w:customStyle="1" w:styleId="FrameContents">
    <w:name w:val="Frame Contents"/>
    <w:basedOn w:val="Normal"/>
    <w:qFormat/>
    <w:rsid w:val="00A448ED"/>
  </w:style>
  <w:style w:type="character" w:customStyle="1" w:styleId="Heading3Char">
    <w:name w:val="Heading 3 Char"/>
    <w:basedOn w:val="DefaultParagraphFont"/>
    <w:link w:val="Heading3"/>
    <w:uiPriority w:val="1"/>
    <w:rsid w:val="00556F0D"/>
    <w:rPr>
      <w:rFonts w:ascii="Arial" w:eastAsia="Arial" w:hAnsi="Arial" w:cs="Arial"/>
      <w:b/>
      <w:bCs/>
      <w:sz w:val="24"/>
      <w:szCs w:val="24"/>
      <w:lang w:val="id"/>
    </w:rPr>
  </w:style>
  <w:style w:type="character" w:customStyle="1" w:styleId="Heading4Char">
    <w:name w:val="Heading 4 Char"/>
    <w:basedOn w:val="DefaultParagraphFont"/>
    <w:link w:val="Heading4"/>
    <w:uiPriority w:val="1"/>
    <w:rsid w:val="00556F0D"/>
    <w:rPr>
      <w:rFonts w:ascii="Cambria" w:eastAsia="Times New Roman" w:hAnsi="Cambria" w:cs="Times New Roman"/>
      <w:b/>
      <w:bCs/>
      <w:i/>
      <w:iCs/>
      <w:color w:val="4F81BD"/>
      <w:lang w:val="id"/>
    </w:rPr>
  </w:style>
  <w:style w:type="character" w:customStyle="1" w:styleId="Heading5Char">
    <w:name w:val="Heading 5 Char"/>
    <w:basedOn w:val="DefaultParagraphFont"/>
    <w:link w:val="Heading5"/>
    <w:uiPriority w:val="1"/>
    <w:rsid w:val="00556F0D"/>
    <w:rPr>
      <w:rFonts w:ascii="Arial" w:eastAsia="Arial" w:hAnsi="Arial" w:cs="Arial"/>
      <w:b/>
      <w:bCs/>
      <w:lang w:val="id"/>
    </w:rPr>
  </w:style>
  <w:style w:type="paragraph" w:styleId="BodyText">
    <w:name w:val="Body Text"/>
    <w:basedOn w:val="Normal"/>
    <w:link w:val="BodyTextChar"/>
    <w:uiPriority w:val="1"/>
    <w:qFormat/>
    <w:rsid w:val="00556F0D"/>
    <w:pPr>
      <w:widowControl w:val="0"/>
      <w:autoSpaceDE w:val="0"/>
      <w:autoSpaceDN w:val="0"/>
      <w:spacing w:after="0" w:line="240" w:lineRule="auto"/>
    </w:pPr>
    <w:rPr>
      <w:rFonts w:ascii="Lucida Sans Unicode" w:eastAsia="Lucida Sans Unicode" w:hAnsi="Lucida Sans Unicode" w:cs="Lucida Sans Unicode"/>
      <w:lang w:val="id"/>
    </w:rPr>
  </w:style>
  <w:style w:type="character" w:customStyle="1" w:styleId="BodyTextChar">
    <w:name w:val="Body Text Char"/>
    <w:basedOn w:val="DefaultParagraphFont"/>
    <w:link w:val="BodyText"/>
    <w:uiPriority w:val="1"/>
    <w:rsid w:val="00556F0D"/>
    <w:rPr>
      <w:rFonts w:ascii="Lucida Sans Unicode" w:eastAsia="Lucida Sans Unicode" w:hAnsi="Lucida Sans Unicode" w:cs="Lucida Sans Unicode"/>
      <w:lang w:val="id"/>
    </w:rPr>
  </w:style>
  <w:style w:type="paragraph" w:customStyle="1" w:styleId="TableParagraph">
    <w:name w:val="Table Paragraph"/>
    <w:basedOn w:val="Normal"/>
    <w:uiPriority w:val="1"/>
    <w:qFormat/>
    <w:rsid w:val="00556F0D"/>
    <w:pPr>
      <w:widowControl w:val="0"/>
      <w:autoSpaceDE w:val="0"/>
      <w:autoSpaceDN w:val="0"/>
      <w:spacing w:after="0" w:line="240" w:lineRule="auto"/>
    </w:pPr>
    <w:rPr>
      <w:rFonts w:ascii="Lucida Sans Unicode" w:eastAsia="Lucida Sans Unicode" w:hAnsi="Lucida Sans Unicode" w:cs="Lucida Sans Unicode"/>
      <w:lang w:val="id"/>
    </w:rPr>
  </w:style>
  <w:style w:type="paragraph" w:styleId="TOC1">
    <w:name w:val="toc 1"/>
    <w:basedOn w:val="Normal"/>
    <w:uiPriority w:val="1"/>
    <w:qFormat/>
    <w:rsid w:val="00556F0D"/>
    <w:pPr>
      <w:widowControl w:val="0"/>
      <w:autoSpaceDE w:val="0"/>
      <w:autoSpaceDN w:val="0"/>
      <w:spacing w:after="0" w:line="320" w:lineRule="exact"/>
      <w:ind w:left="400"/>
    </w:pPr>
    <w:rPr>
      <w:rFonts w:ascii="Lucida Sans Unicode" w:eastAsia="Lucida Sans Unicode" w:hAnsi="Lucida Sans Unicode" w:cs="Lucida Sans Unicode"/>
      <w:sz w:val="24"/>
      <w:szCs w:val="24"/>
      <w:lang w:val="id"/>
    </w:rPr>
  </w:style>
  <w:style w:type="paragraph" w:styleId="TOC2">
    <w:name w:val="toc 2"/>
    <w:basedOn w:val="Normal"/>
    <w:uiPriority w:val="1"/>
    <w:qFormat/>
    <w:rsid w:val="00556F0D"/>
    <w:pPr>
      <w:widowControl w:val="0"/>
      <w:autoSpaceDE w:val="0"/>
      <w:autoSpaceDN w:val="0"/>
      <w:spacing w:after="0" w:line="271" w:lineRule="exact"/>
      <w:ind w:left="1386" w:hanging="704"/>
    </w:pPr>
    <w:rPr>
      <w:rFonts w:ascii="Lucida Sans Unicode" w:eastAsia="Lucida Sans Unicode" w:hAnsi="Lucida Sans Unicode" w:cs="Lucida Sans Unicode"/>
      <w:sz w:val="24"/>
      <w:szCs w:val="24"/>
      <w:lang w:val="id"/>
    </w:rPr>
  </w:style>
  <w:style w:type="paragraph" w:styleId="TOC3">
    <w:name w:val="toc 3"/>
    <w:basedOn w:val="Normal"/>
    <w:uiPriority w:val="1"/>
    <w:qFormat/>
    <w:rsid w:val="00556F0D"/>
    <w:pPr>
      <w:widowControl w:val="0"/>
      <w:autoSpaceDE w:val="0"/>
      <w:autoSpaceDN w:val="0"/>
      <w:spacing w:after="0" w:line="272" w:lineRule="exact"/>
      <w:ind w:left="2101" w:hanging="721"/>
    </w:pPr>
    <w:rPr>
      <w:rFonts w:ascii="Lucida Sans Unicode" w:eastAsia="Lucida Sans Unicode" w:hAnsi="Lucida Sans Unicode" w:cs="Lucida Sans Unicode"/>
      <w:sz w:val="24"/>
      <w:szCs w:val="24"/>
      <w:lang w:val="id"/>
    </w:rPr>
  </w:style>
  <w:style w:type="paragraph" w:styleId="Title">
    <w:name w:val="Title"/>
    <w:basedOn w:val="Normal"/>
    <w:link w:val="TitleChar"/>
    <w:uiPriority w:val="1"/>
    <w:qFormat/>
    <w:rsid w:val="00556F0D"/>
    <w:pPr>
      <w:widowControl w:val="0"/>
      <w:autoSpaceDE w:val="0"/>
      <w:autoSpaceDN w:val="0"/>
      <w:spacing w:after="0" w:line="240" w:lineRule="auto"/>
    </w:pPr>
    <w:rPr>
      <w:rFonts w:ascii="Lucida Sans Unicode" w:eastAsia="Lucida Sans Unicode" w:hAnsi="Lucida Sans Unicode" w:cs="Lucida Sans Unicode"/>
      <w:sz w:val="102"/>
      <w:szCs w:val="102"/>
      <w:lang w:val="id"/>
    </w:rPr>
  </w:style>
  <w:style w:type="character" w:customStyle="1" w:styleId="TitleChar">
    <w:name w:val="Title Char"/>
    <w:basedOn w:val="DefaultParagraphFont"/>
    <w:link w:val="Title"/>
    <w:uiPriority w:val="1"/>
    <w:rsid w:val="00556F0D"/>
    <w:rPr>
      <w:rFonts w:ascii="Lucida Sans Unicode" w:eastAsia="Lucida Sans Unicode" w:hAnsi="Lucida Sans Unicode" w:cs="Lucida Sans Unicode"/>
      <w:sz w:val="102"/>
      <w:szCs w:val="102"/>
      <w:lang w:val="id"/>
    </w:rPr>
  </w:style>
  <w:style w:type="character" w:styleId="Strong">
    <w:name w:val="Strong"/>
    <w:uiPriority w:val="22"/>
    <w:qFormat/>
    <w:rsid w:val="00556F0D"/>
    <w:rPr>
      <w:b/>
      <w:bCs/>
    </w:rPr>
  </w:style>
  <w:style w:type="character" w:customStyle="1" w:styleId="nova-legacy-c-buttonlabel">
    <w:name w:val="nova-legacy-c-button__label"/>
    <w:rsid w:val="00556F0D"/>
  </w:style>
  <w:style w:type="character" w:customStyle="1" w:styleId="uppercase">
    <w:name w:val="uppercase"/>
    <w:rsid w:val="00556F0D"/>
  </w:style>
  <w:style w:type="character" w:customStyle="1" w:styleId="bold">
    <w:name w:val="bold"/>
    <w:rsid w:val="00556F0D"/>
  </w:style>
  <w:style w:type="character" w:customStyle="1" w:styleId="topiccitationitalics">
    <w:name w:val="topiccitationitalics"/>
    <w:rsid w:val="00556F0D"/>
  </w:style>
  <w:style w:type="character" w:styleId="FollowedHyperlink">
    <w:name w:val="FollowedHyperlink"/>
    <w:uiPriority w:val="99"/>
    <w:semiHidden/>
    <w:unhideWhenUsed/>
    <w:rsid w:val="00556F0D"/>
    <w:rPr>
      <w:color w:val="800080"/>
      <w:u w:val="single"/>
    </w:rPr>
  </w:style>
  <w:style w:type="paragraph" w:customStyle="1" w:styleId="D2CC0B6B44A644CB9165D72AE26434DF">
    <w:name w:val="D2CC0B6B44A644CB9165D72AE26434DF"/>
    <w:rsid w:val="00556F0D"/>
    <w:rPr>
      <w:rFonts w:ascii="Calibri" w:eastAsia="MS Mincho" w:hAnsi="Calibri" w:cs="Arial"/>
      <w:lang w:eastAsia="ja-JP"/>
    </w:rPr>
  </w:style>
  <w:style w:type="character" w:customStyle="1" w:styleId="author">
    <w:name w:val="author"/>
    <w:rsid w:val="00556F0D"/>
  </w:style>
  <w:style w:type="character" w:customStyle="1" w:styleId="pubyear">
    <w:name w:val="pubyear"/>
    <w:rsid w:val="00556F0D"/>
  </w:style>
  <w:style w:type="character" w:customStyle="1" w:styleId="articletitle">
    <w:name w:val="articletitle"/>
    <w:rsid w:val="00556F0D"/>
  </w:style>
  <w:style w:type="character" w:customStyle="1" w:styleId="vol">
    <w:name w:val="vol"/>
    <w:rsid w:val="00556F0D"/>
  </w:style>
  <w:style w:type="character" w:customStyle="1" w:styleId="pagefirst">
    <w:name w:val="pagefirst"/>
    <w:rsid w:val="00556F0D"/>
  </w:style>
  <w:style w:type="character" w:customStyle="1" w:styleId="pagelast">
    <w:name w:val="pagelast"/>
    <w:rsid w:val="00556F0D"/>
  </w:style>
  <w:style w:type="character" w:customStyle="1" w:styleId="authors">
    <w:name w:val="authors"/>
    <w:rsid w:val="00556F0D"/>
  </w:style>
  <w:style w:type="character" w:customStyle="1" w:styleId="A3">
    <w:name w:val="A3"/>
    <w:uiPriority w:val="99"/>
    <w:rsid w:val="00556F0D"/>
    <w:rPr>
      <w:rFonts w:cs="Minion Pro"/>
      <w:color w:val="000000"/>
      <w:sz w:val="22"/>
      <w:szCs w:val="22"/>
    </w:rPr>
  </w:style>
  <w:style w:type="character" w:customStyle="1" w:styleId="inlineblock">
    <w:name w:val="inlineblock"/>
    <w:rsid w:val="00556F0D"/>
  </w:style>
  <w:style w:type="character" w:styleId="Emphasis">
    <w:name w:val="Emphasis"/>
    <w:uiPriority w:val="20"/>
    <w:qFormat/>
    <w:rsid w:val="00556F0D"/>
    <w:rPr>
      <w:i/>
      <w:iCs/>
    </w:rPr>
  </w:style>
  <w:style w:type="character" w:customStyle="1" w:styleId="accordion-tabbedtab-mobile">
    <w:name w:val="accordion-tabbed__tab-mobile"/>
    <w:rsid w:val="00556F0D"/>
  </w:style>
  <w:style w:type="character" w:customStyle="1" w:styleId="comma-separator">
    <w:name w:val="comma-separator"/>
    <w:rsid w:val="00556F0D"/>
  </w:style>
  <w:style w:type="character" w:customStyle="1" w:styleId="anchor-text">
    <w:name w:val="anchor-text"/>
    <w:basedOn w:val="DefaultParagraphFont"/>
    <w:rsid w:val="00556F0D"/>
  </w:style>
  <w:style w:type="character" w:customStyle="1" w:styleId="cit-auth">
    <w:name w:val="cit-auth"/>
    <w:basedOn w:val="DefaultParagraphFont"/>
    <w:rsid w:val="00556F0D"/>
  </w:style>
  <w:style w:type="character" w:customStyle="1" w:styleId="cit-name-surname">
    <w:name w:val="cit-name-surname"/>
    <w:basedOn w:val="DefaultParagraphFont"/>
    <w:rsid w:val="00556F0D"/>
  </w:style>
  <w:style w:type="character" w:customStyle="1" w:styleId="cit-name-given-names">
    <w:name w:val="cit-name-given-names"/>
    <w:basedOn w:val="DefaultParagraphFont"/>
    <w:rsid w:val="00556F0D"/>
  </w:style>
  <w:style w:type="character" w:customStyle="1" w:styleId="cit-pub-date">
    <w:name w:val="cit-pub-date"/>
    <w:basedOn w:val="DefaultParagraphFont"/>
    <w:rsid w:val="00556F0D"/>
  </w:style>
  <w:style w:type="character" w:customStyle="1" w:styleId="cit-article-title">
    <w:name w:val="cit-article-title"/>
    <w:basedOn w:val="DefaultParagraphFont"/>
    <w:rsid w:val="00556F0D"/>
  </w:style>
  <w:style w:type="character" w:customStyle="1" w:styleId="cit-vol">
    <w:name w:val="cit-vol"/>
    <w:basedOn w:val="DefaultParagraphFont"/>
    <w:rsid w:val="00556F0D"/>
  </w:style>
  <w:style w:type="character" w:customStyle="1" w:styleId="cit-fpage">
    <w:name w:val="cit-fpage"/>
    <w:basedOn w:val="DefaultParagraphFont"/>
    <w:rsid w:val="00556F0D"/>
  </w:style>
  <w:style w:type="character" w:customStyle="1" w:styleId="cit-lpage">
    <w:name w:val="cit-lpage"/>
    <w:basedOn w:val="DefaultParagraphFont"/>
    <w:rsid w:val="00556F0D"/>
  </w:style>
  <w:style w:type="character" w:styleId="UnresolvedMention">
    <w:name w:val="Unresolved Mention"/>
    <w:uiPriority w:val="99"/>
    <w:semiHidden/>
    <w:unhideWhenUsed/>
    <w:rsid w:val="00556F0D"/>
    <w:rPr>
      <w:color w:val="605E5C"/>
      <w:shd w:val="clear" w:color="auto" w:fill="E1DFDD"/>
    </w:rPr>
  </w:style>
  <w:style w:type="paragraph" w:styleId="BodyTextIndent2">
    <w:name w:val="Body Text Indent 2"/>
    <w:basedOn w:val="Normal"/>
    <w:link w:val="BodyTextIndent2Char"/>
    <w:uiPriority w:val="99"/>
    <w:semiHidden/>
    <w:unhideWhenUsed/>
    <w:rsid w:val="00754C2A"/>
    <w:pPr>
      <w:spacing w:after="120" w:line="480" w:lineRule="auto"/>
      <w:ind w:left="283"/>
    </w:pPr>
  </w:style>
  <w:style w:type="character" w:customStyle="1" w:styleId="BodyTextIndent2Char">
    <w:name w:val="Body Text Indent 2 Char"/>
    <w:basedOn w:val="DefaultParagraphFont"/>
    <w:link w:val="BodyTextIndent2"/>
    <w:uiPriority w:val="99"/>
    <w:semiHidden/>
    <w:rsid w:val="00754C2A"/>
  </w:style>
  <w:style w:type="paragraph" w:styleId="BodyTextIndent">
    <w:name w:val="Body Text Indent"/>
    <w:basedOn w:val="Normal"/>
    <w:link w:val="BodyTextIndentChar"/>
    <w:uiPriority w:val="99"/>
    <w:semiHidden/>
    <w:unhideWhenUsed/>
    <w:rsid w:val="000456ED"/>
    <w:pPr>
      <w:spacing w:after="120" w:line="259" w:lineRule="auto"/>
      <w:ind w:left="283"/>
    </w:pPr>
    <w:rPr>
      <w:rFonts w:eastAsiaTheme="minorHAnsi"/>
    </w:rPr>
  </w:style>
  <w:style w:type="character" w:customStyle="1" w:styleId="BodyTextIndentChar">
    <w:name w:val="Body Text Indent Char"/>
    <w:basedOn w:val="DefaultParagraphFont"/>
    <w:link w:val="BodyTextIndent"/>
    <w:uiPriority w:val="99"/>
    <w:semiHidden/>
    <w:rsid w:val="000456ED"/>
    <w:rPr>
      <w:rFonts w:eastAsiaTheme="minorHAnsi"/>
    </w:rPr>
  </w:style>
  <w:style w:type="paragraph" w:customStyle="1" w:styleId="propos">
    <w:name w:val="propos"/>
    <w:basedOn w:val="Normal"/>
    <w:rsid w:val="000456ED"/>
    <w:pPr>
      <w:autoSpaceDE w:val="0"/>
      <w:autoSpaceDN w:val="0"/>
      <w:spacing w:after="0" w:line="360" w:lineRule="auto"/>
      <w:jc w:val="both"/>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67846">
      <w:bodyDiv w:val="1"/>
      <w:marLeft w:val="0"/>
      <w:marRight w:val="0"/>
      <w:marTop w:val="0"/>
      <w:marBottom w:val="0"/>
      <w:divBdr>
        <w:top w:val="none" w:sz="0" w:space="0" w:color="auto"/>
        <w:left w:val="none" w:sz="0" w:space="0" w:color="auto"/>
        <w:bottom w:val="none" w:sz="0" w:space="0" w:color="auto"/>
        <w:right w:val="none" w:sz="0" w:space="0" w:color="auto"/>
      </w:divBdr>
    </w:div>
    <w:div w:id="402797008">
      <w:bodyDiv w:val="1"/>
      <w:marLeft w:val="0"/>
      <w:marRight w:val="0"/>
      <w:marTop w:val="0"/>
      <w:marBottom w:val="0"/>
      <w:divBdr>
        <w:top w:val="none" w:sz="0" w:space="0" w:color="auto"/>
        <w:left w:val="none" w:sz="0" w:space="0" w:color="auto"/>
        <w:bottom w:val="none" w:sz="0" w:space="0" w:color="auto"/>
        <w:right w:val="none" w:sz="0" w:space="0" w:color="auto"/>
      </w:divBdr>
    </w:div>
    <w:div w:id="482896207">
      <w:bodyDiv w:val="1"/>
      <w:marLeft w:val="0"/>
      <w:marRight w:val="0"/>
      <w:marTop w:val="0"/>
      <w:marBottom w:val="0"/>
      <w:divBdr>
        <w:top w:val="none" w:sz="0" w:space="0" w:color="auto"/>
        <w:left w:val="none" w:sz="0" w:space="0" w:color="auto"/>
        <w:bottom w:val="none" w:sz="0" w:space="0" w:color="auto"/>
        <w:right w:val="none" w:sz="0" w:space="0" w:color="auto"/>
      </w:divBdr>
    </w:div>
    <w:div w:id="1286620719">
      <w:bodyDiv w:val="1"/>
      <w:marLeft w:val="0"/>
      <w:marRight w:val="0"/>
      <w:marTop w:val="0"/>
      <w:marBottom w:val="0"/>
      <w:divBdr>
        <w:top w:val="none" w:sz="0" w:space="0" w:color="auto"/>
        <w:left w:val="none" w:sz="0" w:space="0" w:color="auto"/>
        <w:bottom w:val="none" w:sz="0" w:space="0" w:color="auto"/>
        <w:right w:val="none" w:sz="0" w:space="0" w:color="auto"/>
      </w:divBdr>
    </w:div>
    <w:div w:id="129027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doi.org/https://doi.org/10.1029/2019jc015595" TargetMode="External"/><Relationship Id="rId39" Type="http://schemas.openxmlformats.org/officeDocument/2006/relationships/hyperlink" Target="https://doi.org/10.1890/05-0840.1" TargetMode="External"/><Relationship Id="rId21" Type="http://schemas.openxmlformats.org/officeDocument/2006/relationships/hyperlink" Target="https://doi.org/10.1002/2016gb005372" TargetMode="External"/><Relationship Id="rId34" Type="http://schemas.openxmlformats.org/officeDocument/2006/relationships/hyperlink" Target="https://doi.org/https://doi.org/10.1002/lno.11878" TargetMode="External"/><Relationship Id="rId42" Type="http://schemas.openxmlformats.org/officeDocument/2006/relationships/hyperlink" Target="https://doi.org/10.1051/e3sconf/202014702012" TargetMode="External"/><Relationship Id="rId47" Type="http://schemas.openxmlformats.org/officeDocument/2006/relationships/hyperlink" Target="https://doi.org/10.1016/j.marpolbul.2025.118021" TargetMode="External"/><Relationship Id="rId50" Type="http://schemas.openxmlformats.org/officeDocument/2006/relationships/hyperlink" Target="https://doi.org/10.1016/j.ecolind.2020.106776"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oi.org/https://doi.org/10.3390/w13040478" TargetMode="External"/><Relationship Id="rId11" Type="http://schemas.openxmlformats.org/officeDocument/2006/relationships/chart" Target="charts/chart2.xml"/><Relationship Id="rId24" Type="http://schemas.openxmlformats.org/officeDocument/2006/relationships/hyperlink" Target="https://doi.org/10.1088/1755-1315/967/1/012037" TargetMode="External"/><Relationship Id="rId32" Type="http://schemas.openxmlformats.org/officeDocument/2006/relationships/hyperlink" Target="https://doi.org/https://doi.org/10.3390/jmse8060401" TargetMode="External"/><Relationship Id="rId37" Type="http://schemas.openxmlformats.org/officeDocument/2006/relationships/hyperlink" Target="https://doi.org/https://doi.org/10.3389/fenvs.2020.539733" TargetMode="External"/><Relationship Id="rId40" Type="http://schemas.openxmlformats.org/officeDocument/2006/relationships/hyperlink" Target="https://doi.org/https://doi.org/10.3390/ijgi9030143" TargetMode="External"/><Relationship Id="rId45" Type="http://schemas.openxmlformats.org/officeDocument/2006/relationships/hyperlink" Target="https://doi.org/10.53894/ijirss.v8i8.10548"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i.org/https://doi.org/10.1002/lno.1136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hyperlink" Target="https://doi.org/10.1016/j.dsr2.2019.05.012" TargetMode="External"/><Relationship Id="rId27" Type="http://schemas.openxmlformats.org/officeDocument/2006/relationships/hyperlink" Target="https://doi.org/https://doi.org/10.3390/d11080136" TargetMode="External"/><Relationship Id="rId30" Type="http://schemas.openxmlformats.org/officeDocument/2006/relationships/hyperlink" Target="https://doi.org/https://doi.org/10.3390/w12030706" TargetMode="External"/><Relationship Id="rId35" Type="http://schemas.openxmlformats.org/officeDocument/2006/relationships/hyperlink" Target="https://doi.org/https://doi.org/10.1016/j.ecolind.2021.107676" TargetMode="External"/><Relationship Id="rId43" Type="http://schemas.openxmlformats.org/officeDocument/2006/relationships/hyperlink" Target="https://doi.org/10.1088/1755-1315/744/1/012077" TargetMode="External"/><Relationship Id="rId48" Type="http://schemas.openxmlformats.org/officeDocument/2006/relationships/hyperlink" Target="https://doi.org/https://doi.org/10.1111/fwb.13116"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https://doi.org/10.3390/ijerph182212092"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hyperlink" Target="https://doi.org/10.1088/1755-1315/1271/1/012040" TargetMode="External"/><Relationship Id="rId33" Type="http://schemas.openxmlformats.org/officeDocument/2006/relationships/hyperlink" Target="https://doi.org/10.3354/meps13689" TargetMode="External"/><Relationship Id="rId38" Type="http://schemas.openxmlformats.org/officeDocument/2006/relationships/hyperlink" Target="https://doi.org/10.15578/bawal.5.3.2013.131-150" TargetMode="External"/><Relationship Id="rId46" Type="http://schemas.openxmlformats.org/officeDocument/2006/relationships/hyperlink" Target="https://doi.org/10.1088/1755-1315/1062/1/012014" TargetMode="External"/><Relationship Id="rId20" Type="http://schemas.openxmlformats.org/officeDocument/2006/relationships/hyperlink" Target="https://doi.org/10.15244/pjoes/163625" TargetMode="External"/><Relationship Id="rId41" Type="http://schemas.openxmlformats.org/officeDocument/2006/relationships/hyperlink" Target="https://doi.org/10.15578/jkpi.9.2.2017.85-94"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yperlink" Target="https://doi.org/10.3390/jmse8090674" TargetMode="External"/><Relationship Id="rId28" Type="http://schemas.openxmlformats.org/officeDocument/2006/relationships/hyperlink" Target="https://doi.org/10.1007/s00027-010-0149-4" TargetMode="External"/><Relationship Id="rId36" Type="http://schemas.openxmlformats.org/officeDocument/2006/relationships/hyperlink" Target="https://doi.org/https://doi.org/10.3389/fmars.2020.00670" TargetMode="External"/><Relationship Id="rId49" Type="http://schemas.openxmlformats.org/officeDocument/2006/relationships/hyperlink" Target="https://doi.org/10.1002/tqem.70173" TargetMode="External"/><Relationship Id="rId57" Type="http://schemas.openxmlformats.org/officeDocument/2006/relationships/fontTable" Target="fontTable.xml"/><Relationship Id="rId10" Type="http://schemas.openxmlformats.org/officeDocument/2006/relationships/chart" Target="charts/chart1.xml"/><Relationship Id="rId31" Type="http://schemas.openxmlformats.org/officeDocument/2006/relationships/hyperlink" Target="https://doi.org/10.14710/ik.ijms.30.3.373-381" TargetMode="External"/><Relationship Id="rId44" Type="http://schemas.openxmlformats.org/officeDocument/2006/relationships/hyperlink" Target="https://doi.org/https://doi.org/10.3389/fmars.2018.00327" TargetMode="External"/><Relationship Id="rId52" Type="http://schemas.openxmlformats.org/officeDocument/2006/relationships/hyperlink" Target="https://doi.org/10.1016/j.ecss.2022.10789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00.%20HARDISK_01_DISERTASI\DISERTASI_TUMPAK_1\02.%20DATA_DISERTASI%201_2%20(WORK)Rev%20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ZZZZZZ.%20WORKING____PAPER%20%20(2022)\1.%20Data_ok.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982418156478834E-2"/>
          <c:y val="9.9518467256793655E-2"/>
          <c:w val="0.58428745647463243"/>
          <c:h val="0.80713282521070706"/>
        </c:manualLayout>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1F26-45A5-8026-AB72E671427F}"/>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1F26-45A5-8026-AB72E671427F}"/>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1F26-45A5-8026-AB72E671427F}"/>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F26-45A5-8026-AB72E671427F}"/>
              </c:ext>
            </c:extLst>
          </c:dPt>
          <c:dPt>
            <c:idx val="4"/>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1F26-45A5-8026-AB72E671427F}"/>
              </c:ext>
            </c:extLst>
          </c:dPt>
          <c:dLbls>
            <c:dLbl>
              <c:idx val="0"/>
              <c:layout>
                <c:manualLayout>
                  <c:x val="-0.10635231359968893"/>
                  <c:y val="-0.12902504797276992"/>
                </c:manualLayout>
              </c:layout>
              <c:showLegendKey val="0"/>
              <c:showVal val="0"/>
              <c:showCatName val="1"/>
              <c:showSerName val="0"/>
              <c:showPercent val="1"/>
              <c:showBubbleSize val="0"/>
              <c:extLst>
                <c:ext xmlns:c15="http://schemas.microsoft.com/office/drawing/2012/chart" uri="{CE6537A1-D6FC-4f65-9D91-7224C49458BB}">
                  <c15:layout>
                    <c:manualLayout>
                      <c:w val="0.26344390978905408"/>
                      <c:h val="0.23308579318580439"/>
                    </c:manualLayout>
                  </c15:layout>
                </c:ext>
                <c:ext xmlns:c16="http://schemas.microsoft.com/office/drawing/2014/chart" uri="{C3380CC4-5D6E-409C-BE32-E72D297353CC}">
                  <c16:uniqueId val="{00000001-1F26-45A5-8026-AB72E671427F}"/>
                </c:ext>
              </c:extLst>
            </c:dLbl>
            <c:dLbl>
              <c:idx val="1"/>
              <c:layout>
                <c:manualLayout>
                  <c:x val="2.6624112687442015E-2"/>
                  <c:y val="0.12587771228651989"/>
                </c:manualLayout>
              </c:layout>
              <c:showLegendKey val="0"/>
              <c:showVal val="0"/>
              <c:showCatName val="1"/>
              <c:showSerName val="0"/>
              <c:showPercent val="1"/>
              <c:showBubbleSize val="0"/>
              <c:extLst>
                <c:ext xmlns:c15="http://schemas.microsoft.com/office/drawing/2012/chart" uri="{CE6537A1-D6FC-4f65-9D91-7224C49458BB}">
                  <c15:layout>
                    <c:manualLayout>
                      <c:w val="0.28393482064741909"/>
                      <c:h val="0.22310824267445492"/>
                    </c:manualLayout>
                  </c15:layout>
                </c:ext>
                <c:ext xmlns:c16="http://schemas.microsoft.com/office/drawing/2014/chart" uri="{C3380CC4-5D6E-409C-BE32-E72D297353CC}">
                  <c16:uniqueId val="{00000003-1F26-45A5-8026-AB72E671427F}"/>
                </c:ext>
              </c:extLst>
            </c:dLbl>
            <c:dLbl>
              <c:idx val="2"/>
              <c:layout>
                <c:manualLayout>
                  <c:x val="-5.774698721983107E-8"/>
                  <c:y val="-5.6141299422811763E-2"/>
                </c:manualLayout>
              </c:layout>
              <c:showLegendKey val="0"/>
              <c:showVal val="0"/>
              <c:showCatName val="1"/>
              <c:showSerName val="0"/>
              <c:showPercent val="1"/>
              <c:showBubbleSize val="0"/>
              <c:extLst>
                <c:ext xmlns:c15="http://schemas.microsoft.com/office/drawing/2012/chart" uri="{CE6537A1-D6FC-4f65-9D91-7224C49458BB}">
                  <c15:layout>
                    <c:manualLayout>
                      <c:w val="0.26069869738504908"/>
                      <c:h val="0.2280970179301296"/>
                    </c:manualLayout>
                  </c15:layout>
                </c:ext>
                <c:ext xmlns:c16="http://schemas.microsoft.com/office/drawing/2014/chart" uri="{C3380CC4-5D6E-409C-BE32-E72D297353CC}">
                  <c16:uniqueId val="{00000005-1F26-45A5-8026-AB72E671427F}"/>
                </c:ext>
              </c:extLst>
            </c:dLbl>
            <c:dLbl>
              <c:idx val="3"/>
              <c:layout>
                <c:manualLayout>
                  <c:x val="0.1080248128706134"/>
                  <c:y val="-0.10381994842313456"/>
                </c:manualLayout>
              </c:layout>
              <c:showLegendKey val="0"/>
              <c:showVal val="0"/>
              <c:showCatName val="1"/>
              <c:showSerName val="0"/>
              <c:showPercent val="1"/>
              <c:showBubbleSize val="0"/>
              <c:extLst>
                <c:ext xmlns:c15="http://schemas.microsoft.com/office/drawing/2012/chart" uri="{CE6537A1-D6FC-4f65-9D91-7224C49458BB}">
                  <c15:layout>
                    <c:manualLayout>
                      <c:w val="0.1875007290755322"/>
                      <c:h val="0.19466515301202217"/>
                    </c:manualLayout>
                  </c15:layout>
                </c:ext>
                <c:ext xmlns:c16="http://schemas.microsoft.com/office/drawing/2014/chart" uri="{C3380CC4-5D6E-409C-BE32-E72D297353CC}">
                  <c16:uniqueId val="{00000007-1F26-45A5-8026-AB72E671427F}"/>
                </c:ext>
              </c:extLst>
            </c:dLbl>
            <c:dLbl>
              <c:idx val="4"/>
              <c:layout>
                <c:manualLayout>
                  <c:x val="0.15719390978905406"/>
                  <c:y val="-8.3611087651210107E-3"/>
                </c:manualLayout>
              </c:layout>
              <c:showLegendKey val="0"/>
              <c:showVal val="0"/>
              <c:showCatName val="1"/>
              <c:showSerName val="0"/>
              <c:showPercent val="1"/>
              <c:showBubbleSize val="0"/>
              <c:extLst>
                <c:ext xmlns:c15="http://schemas.microsoft.com/office/drawing/2012/chart" uri="{CE6537A1-D6FC-4f65-9D91-7224C49458BB}">
                  <c15:layout>
                    <c:manualLayout>
                      <c:w val="0.14955259064839119"/>
                      <c:h val="0.1752556747318533"/>
                    </c:manualLayout>
                  </c15:layout>
                </c:ext>
                <c:ext xmlns:c16="http://schemas.microsoft.com/office/drawing/2014/chart" uri="{C3380CC4-5D6E-409C-BE32-E72D297353CC}">
                  <c16:uniqueId val="{00000009-1F26-45A5-8026-AB72E671427F}"/>
                </c:ext>
              </c:extLst>
            </c:dLbl>
            <c:spPr>
              <a:noFill/>
              <a:ln>
                <a:noFill/>
              </a:ln>
              <a:effectLst/>
            </c:spPr>
            <c:txPr>
              <a:bodyPr rot="0" spcFirstLastPara="1" vertOverflow="ellipsis" vert="horz" wrap="square" anchor="ctr" anchorCtr="1"/>
              <a:lstStyle/>
              <a:p>
                <a:pPr>
                  <a:defRPr sz="800" b="0" i="1"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Sheet2!$Q$17:$Q$21</c:f>
              <c:strCache>
                <c:ptCount val="5"/>
                <c:pt idx="0">
                  <c:v>Skeletonema</c:v>
                </c:pt>
                <c:pt idx="1">
                  <c:v>Chaetoceros</c:v>
                </c:pt>
                <c:pt idx="2">
                  <c:v>Thalassiosira</c:v>
                </c:pt>
                <c:pt idx="3">
                  <c:v>Nitzschia</c:v>
                </c:pt>
                <c:pt idx="4">
                  <c:v>Others</c:v>
                </c:pt>
              </c:strCache>
            </c:strRef>
          </c:cat>
          <c:val>
            <c:numRef>
              <c:f>Sheet2!$R$17:$R$21</c:f>
              <c:numCache>
                <c:formatCode>0.00;[Red]0.00</c:formatCode>
                <c:ptCount val="5"/>
                <c:pt idx="0">
                  <c:v>48.888675542829539</c:v>
                </c:pt>
                <c:pt idx="1">
                  <c:v>28.14203771629553</c:v>
                </c:pt>
                <c:pt idx="2">
                  <c:v>9.0272563426405537</c:v>
                </c:pt>
                <c:pt idx="3">
                  <c:v>5.1249798932475068</c:v>
                </c:pt>
                <c:pt idx="4">
                  <c:v>8.82</c:v>
                </c:pt>
              </c:numCache>
            </c:numRef>
          </c:val>
          <c:extLst>
            <c:ext xmlns:c16="http://schemas.microsoft.com/office/drawing/2014/chart" uri="{C3380CC4-5D6E-409C-BE32-E72D297353CC}">
              <c16:uniqueId val="{0000000A-1F26-45A5-8026-AB72E671427F}"/>
            </c:ext>
          </c:extLst>
        </c:ser>
        <c:dLbls>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0.65757091407325596"/>
          <c:y val="0.49756683137172225"/>
          <c:w val="0.31170829851689708"/>
          <c:h val="0.3976857580458239"/>
        </c:manualLayout>
      </c:layout>
      <c:overlay val="0"/>
      <c:spPr>
        <a:noFill/>
        <a:ln>
          <a:noFill/>
        </a:ln>
        <a:effectLst/>
      </c:spPr>
      <c:txPr>
        <a:bodyPr rot="0" spcFirstLastPara="1" vertOverflow="ellipsis" vert="horz" wrap="square" anchor="ctr" anchorCtr="1"/>
        <a:lstStyle/>
        <a:p>
          <a:pPr>
            <a:defRPr sz="800" b="1"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solidFill>
        <a:schemeClr val="bg1">
          <a:lumMod val="95000"/>
        </a:schemeClr>
      </a:solidFill>
      <a:round/>
    </a:ln>
    <a:effectLst/>
  </c:spPr>
  <c:txPr>
    <a:bodyPr/>
    <a:lstStyle/>
    <a:p>
      <a:pPr>
        <a:defRPr sz="1400">
          <a:latin typeface="Arial Narrow" panose="020B0606020202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r>
              <a:rPr lang="en-ID"/>
              <a:t>Abundance of diatom and dinoflagellate (cells/m</a:t>
            </a:r>
            <a:r>
              <a:rPr lang="en-ID" baseline="30000"/>
              <a:t>3</a:t>
            </a:r>
            <a:r>
              <a:rPr lang="en-ID"/>
              <a:t>)</a:t>
            </a:r>
          </a:p>
        </c:rich>
      </c:tx>
      <c:layout>
        <c:manualLayout>
          <c:xMode val="edge"/>
          <c:yMode val="edge"/>
          <c:x val="0.15230350229907866"/>
          <c:y val="8.236335305962032E-4"/>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4145185340204566"/>
          <c:y val="0.14502443792766373"/>
          <c:w val="0.71243257383524738"/>
          <c:h val="0.67209519631160475"/>
        </c:manualLayout>
      </c:layout>
      <c:areaChart>
        <c:grouping val="stacked"/>
        <c:varyColors val="0"/>
        <c:ser>
          <c:idx val="1"/>
          <c:order val="1"/>
          <c:tx>
            <c:strRef>
              <c:f>'E:\ZZZZZZ. WORKING____PAPER  (2022)\[DATA.xlsx]Diatom-Dino_fito_zoo'!$E$3</c:f>
              <c:strCache>
                <c:ptCount val="1"/>
                <c:pt idx="0">
                  <c:v>Dinoflagellata</c:v>
                </c:pt>
              </c:strCache>
            </c:strRef>
          </c:tx>
          <c:spPr>
            <a:solidFill>
              <a:schemeClr val="accent2">
                <a:lumMod val="60000"/>
                <a:lumOff val="40000"/>
              </a:schemeClr>
            </a:solidFill>
            <a:ln>
              <a:noFill/>
            </a:ln>
            <a:effectLst/>
          </c:spPr>
          <c:cat>
            <c:multiLvlStrRef>
              <c:f>'[1]Diatom-Dino_fito_zoo'!$B$4:$C$47</c:f>
              <c:multiLvlStrCache>
                <c:ptCount val="44"/>
                <c:lvl>
                  <c:pt idx="0">
                    <c:v>Mr1</c:v>
                  </c:pt>
                  <c:pt idx="1">
                    <c:v>Mr2</c:v>
                  </c:pt>
                  <c:pt idx="2">
                    <c:v>Mr3</c:v>
                  </c:pt>
                  <c:pt idx="3">
                    <c:v>Mr4</c:v>
                  </c:pt>
                  <c:pt idx="4">
                    <c:v>My1</c:v>
                  </c:pt>
                  <c:pt idx="5">
                    <c:v>My2</c:v>
                  </c:pt>
                  <c:pt idx="6">
                    <c:v>My3</c:v>
                  </c:pt>
                  <c:pt idx="7">
                    <c:v>My4</c:v>
                  </c:pt>
                  <c:pt idx="8">
                    <c:v>Mr1</c:v>
                  </c:pt>
                  <c:pt idx="9">
                    <c:v>Mr2</c:v>
                  </c:pt>
                  <c:pt idx="10">
                    <c:v>Mr3</c:v>
                  </c:pt>
                  <c:pt idx="11">
                    <c:v>Jn1</c:v>
                  </c:pt>
                  <c:pt idx="12">
                    <c:v>Jn2</c:v>
                  </c:pt>
                  <c:pt idx="13">
                    <c:v>Jn3</c:v>
                  </c:pt>
                  <c:pt idx="14">
                    <c:v>Mr1</c:v>
                  </c:pt>
                  <c:pt idx="15">
                    <c:v>Mr3</c:v>
                  </c:pt>
                  <c:pt idx="16">
                    <c:v>Mr4</c:v>
                  </c:pt>
                  <c:pt idx="17">
                    <c:v>Mr5</c:v>
                  </c:pt>
                  <c:pt idx="18">
                    <c:v>My1</c:v>
                  </c:pt>
                  <c:pt idx="19">
                    <c:v>My2</c:v>
                  </c:pt>
                  <c:pt idx="20">
                    <c:v>My3</c:v>
                  </c:pt>
                  <c:pt idx="21">
                    <c:v>Jn1</c:v>
                  </c:pt>
                  <c:pt idx="22">
                    <c:v>Jn2</c:v>
                  </c:pt>
                  <c:pt idx="23">
                    <c:v>Mr1</c:v>
                  </c:pt>
                  <c:pt idx="24">
                    <c:v>Mr2</c:v>
                  </c:pt>
                  <c:pt idx="25">
                    <c:v>Mr3</c:v>
                  </c:pt>
                  <c:pt idx="26">
                    <c:v>Mr4</c:v>
                  </c:pt>
                  <c:pt idx="27">
                    <c:v>Mr5</c:v>
                  </c:pt>
                  <c:pt idx="28">
                    <c:v>Jl1</c:v>
                  </c:pt>
                  <c:pt idx="29">
                    <c:v>Jl2</c:v>
                  </c:pt>
                  <c:pt idx="30">
                    <c:v>Jl3</c:v>
                  </c:pt>
                  <c:pt idx="31">
                    <c:v>Jl4</c:v>
                  </c:pt>
                  <c:pt idx="32">
                    <c:v>Jl5</c:v>
                  </c:pt>
                  <c:pt idx="33">
                    <c:v>Mr1</c:v>
                  </c:pt>
                  <c:pt idx="34">
                    <c:v>Mr2</c:v>
                  </c:pt>
                  <c:pt idx="35">
                    <c:v>Mr3</c:v>
                  </c:pt>
                  <c:pt idx="36">
                    <c:v>My1</c:v>
                  </c:pt>
                  <c:pt idx="37">
                    <c:v>My2</c:v>
                  </c:pt>
                  <c:pt idx="38">
                    <c:v>My3</c:v>
                  </c:pt>
                  <c:pt idx="39">
                    <c:v>Jl1</c:v>
                  </c:pt>
                  <c:pt idx="40">
                    <c:v>Jl2</c:v>
                  </c:pt>
                  <c:pt idx="41">
                    <c:v>Jl3</c:v>
                  </c:pt>
                  <c:pt idx="42">
                    <c:v>Jl4</c:v>
                  </c:pt>
                  <c:pt idx="43">
                    <c:v>My1</c:v>
                  </c:pt>
                </c:lvl>
                <c:lvl>
                  <c:pt idx="0">
                    <c:v>Y2008</c:v>
                  </c:pt>
                  <c:pt idx="8">
                    <c:v>Y2009</c:v>
                  </c:pt>
                  <c:pt idx="14">
                    <c:v>Y2010</c:v>
                  </c:pt>
                  <c:pt idx="23">
                    <c:v>Y2011</c:v>
                  </c:pt>
                  <c:pt idx="33">
                    <c:v>Y2013</c:v>
                  </c:pt>
                  <c:pt idx="39">
                    <c:v>Y2015</c:v>
                  </c:pt>
                  <c:pt idx="43">
                    <c:v>Y2019</c:v>
                  </c:pt>
                </c:lvl>
              </c:multiLvlStrCache>
            </c:multiLvlStrRef>
          </c:cat>
          <c:val>
            <c:numRef>
              <c:f>'[1]Diatom-Dino_fito_zoo'!$E$4:$E$47</c:f>
              <c:numCache>
                <c:formatCode>General</c:formatCode>
                <c:ptCount val="44"/>
                <c:pt idx="0">
                  <c:v>845855.24668169301</c:v>
                </c:pt>
                <c:pt idx="1">
                  <c:v>440271.69299520919</c:v>
                </c:pt>
                <c:pt idx="2">
                  <c:v>923705.6048084147</c:v>
                </c:pt>
                <c:pt idx="3">
                  <c:v>243895.5672426747</c:v>
                </c:pt>
                <c:pt idx="4">
                  <c:v>1237354.4819934885</c:v>
                </c:pt>
                <c:pt idx="5">
                  <c:v>4472697.0114366803</c:v>
                </c:pt>
                <c:pt idx="6">
                  <c:v>246393.68895567241</c:v>
                </c:pt>
                <c:pt idx="7">
                  <c:v>73628.850488354627</c:v>
                </c:pt>
                <c:pt idx="8">
                  <c:v>123374.9643877707</c:v>
                </c:pt>
                <c:pt idx="9">
                  <c:v>111835.97717436665</c:v>
                </c:pt>
                <c:pt idx="10">
                  <c:v>67422.962926166932</c:v>
                </c:pt>
                <c:pt idx="11">
                  <c:v>164971.9008264463</c:v>
                </c:pt>
                <c:pt idx="12">
                  <c:v>41236.36363636364</c:v>
                </c:pt>
                <c:pt idx="13">
                  <c:v>130072.72727272729</c:v>
                </c:pt>
                <c:pt idx="14">
                  <c:v>239999.76</c:v>
                </c:pt>
                <c:pt idx="15">
                  <c:v>3883329.825000375</c:v>
                </c:pt>
                <c:pt idx="16">
                  <c:v>14474713.652545454</c:v>
                </c:pt>
                <c:pt idx="17">
                  <c:v>256249.74374999999</c:v>
                </c:pt>
                <c:pt idx="18">
                  <c:v>7383325.9500000002</c:v>
                </c:pt>
                <c:pt idx="19">
                  <c:v>12033321.300000001</c:v>
                </c:pt>
                <c:pt idx="20">
                  <c:v>13699986.300000001</c:v>
                </c:pt>
                <c:pt idx="21">
                  <c:v>9199990.8000000007</c:v>
                </c:pt>
                <c:pt idx="22">
                  <c:v>6599993.4000000004</c:v>
                </c:pt>
                <c:pt idx="23">
                  <c:v>465040.65040650417</c:v>
                </c:pt>
                <c:pt idx="24">
                  <c:v>104878.04878048781</c:v>
                </c:pt>
                <c:pt idx="25">
                  <c:v>130081.30081300819</c:v>
                </c:pt>
                <c:pt idx="26">
                  <c:v>169105.69105691061</c:v>
                </c:pt>
                <c:pt idx="27">
                  <c:v>90040.650406504064</c:v>
                </c:pt>
                <c:pt idx="28">
                  <c:v>194308.94308943086</c:v>
                </c:pt>
                <c:pt idx="29">
                  <c:v>95121.951219512193</c:v>
                </c:pt>
                <c:pt idx="30">
                  <c:v>159756.09756097558</c:v>
                </c:pt>
                <c:pt idx="31">
                  <c:v>276829.26829268294</c:v>
                </c:pt>
                <c:pt idx="32">
                  <c:v>109756.09756097561</c:v>
                </c:pt>
                <c:pt idx="33">
                  <c:v>187966.06060606061</c:v>
                </c:pt>
                <c:pt idx="34">
                  <c:v>147461.81818181821</c:v>
                </c:pt>
                <c:pt idx="35">
                  <c:v>387665.45454545447</c:v>
                </c:pt>
                <c:pt idx="36">
                  <c:v>7682996.3636363624</c:v>
                </c:pt>
                <c:pt idx="37">
                  <c:v>5661905.4545454541</c:v>
                </c:pt>
                <c:pt idx="38">
                  <c:v>3454826.666666667</c:v>
                </c:pt>
                <c:pt idx="39">
                  <c:v>787016.63964974985</c:v>
                </c:pt>
                <c:pt idx="40">
                  <c:v>154153.95725704497</c:v>
                </c:pt>
                <c:pt idx="41">
                  <c:v>605872.90929587104</c:v>
                </c:pt>
                <c:pt idx="42">
                  <c:v>29022.403258655802</c:v>
                </c:pt>
                <c:pt idx="43">
                  <c:v>130072.72727272729</c:v>
                </c:pt>
              </c:numCache>
            </c:numRef>
          </c:val>
          <c:extLst>
            <c:ext xmlns:c16="http://schemas.microsoft.com/office/drawing/2014/chart" uri="{C3380CC4-5D6E-409C-BE32-E72D297353CC}">
              <c16:uniqueId val="{00000000-EBE3-4143-A5E7-63D6179F1E8F}"/>
            </c:ext>
          </c:extLst>
        </c:ser>
        <c:dLbls>
          <c:showLegendKey val="0"/>
          <c:showVal val="0"/>
          <c:showCatName val="0"/>
          <c:showSerName val="0"/>
          <c:showPercent val="0"/>
          <c:showBubbleSize val="0"/>
        </c:dLbls>
        <c:axId val="343734544"/>
        <c:axId val="343735984"/>
      </c:areaChart>
      <c:lineChart>
        <c:grouping val="stacked"/>
        <c:varyColors val="0"/>
        <c:ser>
          <c:idx val="0"/>
          <c:order val="0"/>
          <c:tx>
            <c:strRef>
              <c:f>'E:\ZZZZZZ. WORKING____PAPER  (2022)\[DATA.xlsx]Diatom-Dino_fito_zoo'!$D$3</c:f>
              <c:strCache>
                <c:ptCount val="1"/>
                <c:pt idx="0">
                  <c:v>Diatom</c:v>
                </c:pt>
              </c:strCache>
            </c:strRef>
          </c:tx>
          <c:spPr>
            <a:ln w="19050" cap="rnd">
              <a:solidFill>
                <a:schemeClr val="tx1">
                  <a:lumMod val="75000"/>
                  <a:lumOff val="25000"/>
                </a:schemeClr>
              </a:solidFill>
              <a:round/>
            </a:ln>
            <a:effectLst/>
          </c:spPr>
          <c:marker>
            <c:symbol val="circle"/>
            <c:size val="5"/>
            <c:spPr>
              <a:solidFill>
                <a:schemeClr val="accent1"/>
              </a:solidFill>
              <a:ln w="19050">
                <a:solidFill>
                  <a:schemeClr val="tx1">
                    <a:lumMod val="75000"/>
                    <a:lumOff val="25000"/>
                  </a:schemeClr>
                </a:solidFill>
              </a:ln>
              <a:effectLst/>
            </c:spPr>
          </c:marker>
          <c:cat>
            <c:multiLvlStrRef>
              <c:f>'[1]Diatom-Dino_fito_zoo'!$B$4:$C$47</c:f>
              <c:multiLvlStrCache>
                <c:ptCount val="44"/>
                <c:lvl>
                  <c:pt idx="0">
                    <c:v>Mr1</c:v>
                  </c:pt>
                  <c:pt idx="1">
                    <c:v>Mr2</c:v>
                  </c:pt>
                  <c:pt idx="2">
                    <c:v>Mr3</c:v>
                  </c:pt>
                  <c:pt idx="3">
                    <c:v>Mr4</c:v>
                  </c:pt>
                  <c:pt idx="4">
                    <c:v>My1</c:v>
                  </c:pt>
                  <c:pt idx="5">
                    <c:v>My2</c:v>
                  </c:pt>
                  <c:pt idx="6">
                    <c:v>My3</c:v>
                  </c:pt>
                  <c:pt idx="7">
                    <c:v>My4</c:v>
                  </c:pt>
                  <c:pt idx="8">
                    <c:v>Mr1</c:v>
                  </c:pt>
                  <c:pt idx="9">
                    <c:v>Mr2</c:v>
                  </c:pt>
                  <c:pt idx="10">
                    <c:v>Mr3</c:v>
                  </c:pt>
                  <c:pt idx="11">
                    <c:v>Jn1</c:v>
                  </c:pt>
                  <c:pt idx="12">
                    <c:v>Jn2</c:v>
                  </c:pt>
                  <c:pt idx="13">
                    <c:v>Jn3</c:v>
                  </c:pt>
                  <c:pt idx="14">
                    <c:v>Mr1</c:v>
                  </c:pt>
                  <c:pt idx="15">
                    <c:v>Mr3</c:v>
                  </c:pt>
                  <c:pt idx="16">
                    <c:v>Mr4</c:v>
                  </c:pt>
                  <c:pt idx="17">
                    <c:v>Mr5</c:v>
                  </c:pt>
                  <c:pt idx="18">
                    <c:v>My1</c:v>
                  </c:pt>
                  <c:pt idx="19">
                    <c:v>My2</c:v>
                  </c:pt>
                  <c:pt idx="20">
                    <c:v>My3</c:v>
                  </c:pt>
                  <c:pt idx="21">
                    <c:v>Jn1</c:v>
                  </c:pt>
                  <c:pt idx="22">
                    <c:v>Jn2</c:v>
                  </c:pt>
                  <c:pt idx="23">
                    <c:v>Mr1</c:v>
                  </c:pt>
                  <c:pt idx="24">
                    <c:v>Mr2</c:v>
                  </c:pt>
                  <c:pt idx="25">
                    <c:v>Mr3</c:v>
                  </c:pt>
                  <c:pt idx="26">
                    <c:v>Mr4</c:v>
                  </c:pt>
                  <c:pt idx="27">
                    <c:v>Mr5</c:v>
                  </c:pt>
                  <c:pt idx="28">
                    <c:v>Jl1</c:v>
                  </c:pt>
                  <c:pt idx="29">
                    <c:v>Jl2</c:v>
                  </c:pt>
                  <c:pt idx="30">
                    <c:v>Jl3</c:v>
                  </c:pt>
                  <c:pt idx="31">
                    <c:v>Jl4</c:v>
                  </c:pt>
                  <c:pt idx="32">
                    <c:v>Jl5</c:v>
                  </c:pt>
                  <c:pt idx="33">
                    <c:v>Mr1</c:v>
                  </c:pt>
                  <c:pt idx="34">
                    <c:v>Mr2</c:v>
                  </c:pt>
                  <c:pt idx="35">
                    <c:v>Mr3</c:v>
                  </c:pt>
                  <c:pt idx="36">
                    <c:v>My1</c:v>
                  </c:pt>
                  <c:pt idx="37">
                    <c:v>My2</c:v>
                  </c:pt>
                  <c:pt idx="38">
                    <c:v>My3</c:v>
                  </c:pt>
                  <c:pt idx="39">
                    <c:v>Jl1</c:v>
                  </c:pt>
                  <c:pt idx="40">
                    <c:v>Jl2</c:v>
                  </c:pt>
                  <c:pt idx="41">
                    <c:v>Jl3</c:v>
                  </c:pt>
                  <c:pt idx="42">
                    <c:v>Jl4</c:v>
                  </c:pt>
                  <c:pt idx="43">
                    <c:v>My1</c:v>
                  </c:pt>
                </c:lvl>
                <c:lvl>
                  <c:pt idx="0">
                    <c:v>Y2008</c:v>
                  </c:pt>
                  <c:pt idx="8">
                    <c:v>Y2009</c:v>
                  </c:pt>
                  <c:pt idx="14">
                    <c:v>Y2010</c:v>
                  </c:pt>
                  <c:pt idx="23">
                    <c:v>Y2011</c:v>
                  </c:pt>
                  <c:pt idx="33">
                    <c:v>Y2013</c:v>
                  </c:pt>
                  <c:pt idx="39">
                    <c:v>Y2015</c:v>
                  </c:pt>
                  <c:pt idx="43">
                    <c:v>Y2019</c:v>
                  </c:pt>
                </c:lvl>
              </c:multiLvlStrCache>
            </c:multiLvlStrRef>
          </c:cat>
          <c:val>
            <c:numRef>
              <c:f>'[1]Diatom-Dino_fito_zoo'!$D$4:$D$47</c:f>
              <c:numCache>
                <c:formatCode>General</c:formatCode>
                <c:ptCount val="44"/>
                <c:pt idx="0">
                  <c:v>163927185.0738793</c:v>
                </c:pt>
                <c:pt idx="1">
                  <c:v>128954489.34986879</c:v>
                </c:pt>
                <c:pt idx="2">
                  <c:v>649478477.65589786</c:v>
                </c:pt>
                <c:pt idx="3">
                  <c:v>98811626.596543968</c:v>
                </c:pt>
                <c:pt idx="4">
                  <c:v>23251735.520586025</c:v>
                </c:pt>
                <c:pt idx="5">
                  <c:v>26307960.806411222</c:v>
                </c:pt>
                <c:pt idx="6">
                  <c:v>14072577.009767095</c:v>
                </c:pt>
                <c:pt idx="7">
                  <c:v>11151702.98021538</c:v>
                </c:pt>
                <c:pt idx="8">
                  <c:v>46711042.549810879</c:v>
                </c:pt>
                <c:pt idx="9">
                  <c:v>134610409.08976525</c:v>
                </c:pt>
                <c:pt idx="10">
                  <c:v>39376554.402000226</c:v>
                </c:pt>
                <c:pt idx="11">
                  <c:v>207903058.51239669</c:v>
                </c:pt>
                <c:pt idx="12">
                  <c:v>12206218.181818184</c:v>
                </c:pt>
                <c:pt idx="13">
                  <c:v>24675042.424242426</c:v>
                </c:pt>
                <c:pt idx="14">
                  <c:v>163666503.00000003</c:v>
                </c:pt>
                <c:pt idx="15">
                  <c:v>1242507090.825</c:v>
                </c:pt>
                <c:pt idx="16">
                  <c:v>398776260.38700008</c:v>
                </c:pt>
                <c:pt idx="17">
                  <c:v>135483197.85000002</c:v>
                </c:pt>
                <c:pt idx="18">
                  <c:v>1049498950.5</c:v>
                </c:pt>
                <c:pt idx="19">
                  <c:v>2242514424.1500001</c:v>
                </c:pt>
                <c:pt idx="20">
                  <c:v>1049045617.6200001</c:v>
                </c:pt>
                <c:pt idx="21">
                  <c:v>2839397160.5999999</c:v>
                </c:pt>
                <c:pt idx="22">
                  <c:v>1266232067.0999999</c:v>
                </c:pt>
                <c:pt idx="23">
                  <c:v>38800813.008130088</c:v>
                </c:pt>
                <c:pt idx="24">
                  <c:v>32810975.609756101</c:v>
                </c:pt>
                <c:pt idx="25">
                  <c:v>38445934.959349595</c:v>
                </c:pt>
                <c:pt idx="26">
                  <c:v>51713414.634146348</c:v>
                </c:pt>
                <c:pt idx="27">
                  <c:v>42121951.219512202</c:v>
                </c:pt>
                <c:pt idx="28">
                  <c:v>60503658.536585368</c:v>
                </c:pt>
                <c:pt idx="29">
                  <c:v>79813414.634146348</c:v>
                </c:pt>
                <c:pt idx="30">
                  <c:v>62172357.723577239</c:v>
                </c:pt>
                <c:pt idx="31">
                  <c:v>22127642.276422765</c:v>
                </c:pt>
                <c:pt idx="32">
                  <c:v>64404471.544715442</c:v>
                </c:pt>
                <c:pt idx="33">
                  <c:v>184123878.78787881</c:v>
                </c:pt>
                <c:pt idx="34">
                  <c:v>111682298.18181817</c:v>
                </c:pt>
                <c:pt idx="35">
                  <c:v>221813178.18181819</c:v>
                </c:pt>
                <c:pt idx="36">
                  <c:v>56656930.909090914</c:v>
                </c:pt>
                <c:pt idx="37">
                  <c:v>94505192.727272719</c:v>
                </c:pt>
                <c:pt idx="38">
                  <c:v>42158089.696969703</c:v>
                </c:pt>
                <c:pt idx="39">
                  <c:v>127388860.0246616</c:v>
                </c:pt>
                <c:pt idx="40">
                  <c:v>62347837.708435349</c:v>
                </c:pt>
                <c:pt idx="41">
                  <c:v>24723761.532168753</c:v>
                </c:pt>
                <c:pt idx="42">
                  <c:v>7496945.010183299</c:v>
                </c:pt>
                <c:pt idx="43">
                  <c:v>24675042.424242426</c:v>
                </c:pt>
              </c:numCache>
            </c:numRef>
          </c:val>
          <c:smooth val="0"/>
          <c:extLst>
            <c:ext xmlns:c16="http://schemas.microsoft.com/office/drawing/2014/chart" uri="{C3380CC4-5D6E-409C-BE32-E72D297353CC}">
              <c16:uniqueId val="{00000001-EBE3-4143-A5E7-63D6179F1E8F}"/>
            </c:ext>
          </c:extLst>
        </c:ser>
        <c:dLbls>
          <c:showLegendKey val="0"/>
          <c:showVal val="0"/>
          <c:showCatName val="0"/>
          <c:showSerName val="0"/>
          <c:showPercent val="0"/>
          <c:showBubbleSize val="0"/>
        </c:dLbls>
        <c:marker val="1"/>
        <c:smooth val="0"/>
        <c:axId val="860589192"/>
        <c:axId val="860589520"/>
      </c:lineChart>
      <c:catAx>
        <c:axId val="860589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60589520"/>
        <c:crosses val="autoZero"/>
        <c:auto val="1"/>
        <c:lblAlgn val="ctr"/>
        <c:lblOffset val="100"/>
        <c:noMultiLvlLbl val="0"/>
      </c:catAx>
      <c:valAx>
        <c:axId val="860589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ID"/>
                  <a:t>Diatom</a:t>
                </a:r>
              </a:p>
            </c:rich>
          </c:tx>
          <c:layout>
            <c:manualLayout>
              <c:xMode val="edge"/>
              <c:yMode val="edge"/>
              <c:x val="0.12226184411614875"/>
              <c:y val="0.24659560460120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60589192"/>
        <c:crosses val="autoZero"/>
        <c:crossBetween val="between"/>
      </c:valAx>
      <c:valAx>
        <c:axId val="3437359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ID"/>
                  <a:t>Dinoflagellate</a:t>
                </a:r>
              </a:p>
            </c:rich>
          </c:tx>
          <c:layout>
            <c:manualLayout>
              <c:xMode val="edge"/>
              <c:yMode val="edge"/>
              <c:x val="0.8211792170909864"/>
              <c:y val="0.2588798458027312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43734544"/>
        <c:crosses val="max"/>
        <c:crossBetween val="between"/>
      </c:valAx>
      <c:catAx>
        <c:axId val="343734544"/>
        <c:scaling>
          <c:orientation val="minMax"/>
        </c:scaling>
        <c:delete val="1"/>
        <c:axPos val="b"/>
        <c:numFmt formatCode="General" sourceLinked="1"/>
        <c:majorTickMark val="out"/>
        <c:minorTickMark val="none"/>
        <c:tickLblPos val="nextTo"/>
        <c:crossAx val="343735984"/>
        <c:crosses val="autoZero"/>
        <c:auto val="1"/>
        <c:lblAlgn val="ctr"/>
        <c:lblOffset val="100"/>
        <c:noMultiLvlLbl val="0"/>
      </c:catAx>
      <c:spPr>
        <a:noFill/>
        <a:ln>
          <a:noFill/>
        </a:ln>
        <a:effectLst/>
      </c:spPr>
    </c:plotArea>
    <c:legend>
      <c:legendPos val="b"/>
      <c:layout>
        <c:manualLayout>
          <c:xMode val="edge"/>
          <c:yMode val="edge"/>
          <c:x val="0.51702609448340675"/>
          <c:y val="0.20422277410347245"/>
          <c:w val="0.29102390898374264"/>
          <c:h val="0.14290570773475103"/>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51647153643405"/>
          <c:y val="0.14724621115908898"/>
          <c:w val="0.74163706087918024"/>
          <c:h val="0.64385712144324614"/>
        </c:manualLayout>
      </c:layout>
      <c:barChart>
        <c:barDir val="col"/>
        <c:grouping val="clustered"/>
        <c:varyColors val="0"/>
        <c:ser>
          <c:idx val="2"/>
          <c:order val="2"/>
          <c:tx>
            <c:strRef>
              <c:f>Tab_Skele_Diat_Dinof!$F$79</c:f>
              <c:strCache>
                <c:ptCount val="1"/>
                <c:pt idx="0">
                  <c:v>Rasio Dt/Dn</c:v>
                </c:pt>
              </c:strCache>
            </c:strRef>
          </c:tx>
          <c: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solidFill>
                <a:schemeClr val="tx1">
                  <a:lumMod val="65000"/>
                  <a:lumOff val="35000"/>
                </a:schemeClr>
              </a:solidFill>
            </a:ln>
            <a:effectLst/>
          </c:spPr>
          <c:invertIfNegative val="0"/>
          <c:dLbls>
            <c:dLbl>
              <c:idx val="0"/>
              <c:layout>
                <c:manualLayout>
                  <c:x val="-5.7776666732361256E-4"/>
                  <c:y val="-2.65546947760562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B0-40AB-9BD2-B2AC529FCF20}"/>
                </c:ext>
              </c:extLst>
            </c:dLbl>
            <c:dLbl>
              <c:idx val="1"/>
              <c:layout>
                <c:manualLayout>
                  <c:x val="-2.8877960535528502E-4"/>
                  <c:y val="-3.270256540513902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B0-40AB-9BD2-B2AC529FCF20}"/>
                </c:ext>
              </c:extLst>
            </c:dLbl>
            <c:dLbl>
              <c:idx val="2"/>
              <c:layout>
                <c:manualLayout>
                  <c:x val="-3.0680758502868604E-3"/>
                  <c:y val="1.7594121299353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B0-40AB-9BD2-B2AC529FCF20}"/>
                </c:ext>
              </c:extLst>
            </c:dLbl>
            <c:dLbl>
              <c:idx val="3"/>
              <c:layout>
                <c:manualLayout>
                  <c:x val="5.367674850182242E-2"/>
                  <c:y val="4.9285166341889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B0-40AB-9BD2-B2AC529FCF20}"/>
                </c:ext>
              </c:extLst>
            </c:dLbl>
            <c:dLbl>
              <c:idx val="4"/>
              <c:layout>
                <c:manualLayout>
                  <c:x val="-3.3568554556421457E-3"/>
                  <c:y val="1.3713205204188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B0-40AB-9BD2-B2AC529FCF20}"/>
                </c:ext>
              </c:extLst>
            </c:dLbl>
            <c:dLbl>
              <c:idx val="6"/>
              <c:layout>
                <c:manualLayout>
                  <c:x val="-9.2040200942475388E-3"/>
                  <c:y val="8.47021138486713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B0-40AB-9BD2-B2AC529FCF20}"/>
                </c:ext>
              </c:extLst>
            </c:dLbl>
            <c:dLbl>
              <c:idx val="8"/>
              <c:layout>
                <c:manualLayout>
                  <c:x val="-9.6604513489915895E-17"/>
                  <c:y val="1.3440860215053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B0-40AB-9BD2-B2AC529FCF20}"/>
                </c:ext>
              </c:extLst>
            </c:dLbl>
            <c:dLbl>
              <c:idx val="9"/>
              <c:layout>
                <c:manualLayout>
                  <c:x val="-5.7027748359278476E-3"/>
                  <c:y val="1.7703129850704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B0-40AB-9BD2-B2AC529FCF20}"/>
                </c:ext>
              </c:extLst>
            </c:dLbl>
            <c:dLbl>
              <c:idx val="10"/>
              <c:layout>
                <c:manualLayout>
                  <c:x val="-9.762908209785242E-4"/>
                  <c:y val="-4.64362317613532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B0-40AB-9BD2-B2AC529FCF20}"/>
                </c:ext>
              </c:extLst>
            </c:dLbl>
            <c:dLbl>
              <c:idx val="11"/>
              <c:layout>
                <c:manualLayout>
                  <c:x val="-3.1776129419735411E-3"/>
                  <c:y val="-4.903620918353769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B0-40AB-9BD2-B2AC529FCF20}"/>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Tab_Skele_Diat_Dinof!$B$80:$C$91</c:f>
              <c:multiLvlStrCache>
                <c:ptCount val="12"/>
                <c:lvl>
                  <c:pt idx="0">
                    <c:v>Mar</c:v>
                  </c:pt>
                  <c:pt idx="1">
                    <c:v>May</c:v>
                  </c:pt>
                  <c:pt idx="2">
                    <c:v>Mar</c:v>
                  </c:pt>
                  <c:pt idx="3">
                    <c:v>Jun</c:v>
                  </c:pt>
                  <c:pt idx="4">
                    <c:v>Mar</c:v>
                  </c:pt>
                  <c:pt idx="5">
                    <c:v>May</c:v>
                  </c:pt>
                  <c:pt idx="6">
                    <c:v>Jun</c:v>
                  </c:pt>
                  <c:pt idx="7">
                    <c:v>Mar</c:v>
                  </c:pt>
                  <c:pt idx="8">
                    <c:v>Jul</c:v>
                  </c:pt>
                  <c:pt idx="9">
                    <c:v>Mar</c:v>
                  </c:pt>
                  <c:pt idx="10">
                    <c:v>May</c:v>
                  </c:pt>
                  <c:pt idx="11">
                    <c:v>Jul</c:v>
                  </c:pt>
                </c:lvl>
                <c:lvl>
                  <c:pt idx="0">
                    <c:v>2008</c:v>
                  </c:pt>
                  <c:pt idx="2">
                    <c:v>2009</c:v>
                  </c:pt>
                  <c:pt idx="4">
                    <c:v>2010</c:v>
                  </c:pt>
                  <c:pt idx="7">
                    <c:v>2011</c:v>
                  </c:pt>
                  <c:pt idx="9">
                    <c:v>2013</c:v>
                  </c:pt>
                  <c:pt idx="11">
                    <c:v>2015</c:v>
                  </c:pt>
                </c:lvl>
              </c:multiLvlStrCache>
            </c:multiLvlStrRef>
          </c:cat>
          <c:val>
            <c:numRef>
              <c:f>Tab_Skele_Diat_Dinof!$F$80:$F$91</c:f>
              <c:numCache>
                <c:formatCode>0;[Red]0</c:formatCode>
                <c:ptCount val="12"/>
                <c:pt idx="0">
                  <c:v>429.61576313850099</c:v>
                </c:pt>
                <c:pt idx="1">
                  <c:v>10.962017779231468</c:v>
                </c:pt>
                <c:pt idx="2">
                  <c:v>742.21480425572861</c:v>
                </c:pt>
                <c:pt idx="3">
                  <c:v>607.86591335284879</c:v>
                </c:pt>
                <c:pt idx="4">
                  <c:v>87.538558505693658</c:v>
                </c:pt>
                <c:pt idx="5">
                  <c:v>131.0839456467036</c:v>
                </c:pt>
                <c:pt idx="6">
                  <c:v>259.8502109704641</c:v>
                </c:pt>
                <c:pt idx="7">
                  <c:v>212.57257893621525</c:v>
                </c:pt>
                <c:pt idx="8">
                  <c:v>345.81371595330745</c:v>
                </c:pt>
                <c:pt idx="9">
                  <c:v>715.84030897595699</c:v>
                </c:pt>
                <c:pt idx="10">
                  <c:v>11.507341532792449</c:v>
                </c:pt>
                <c:pt idx="11">
                  <c:v>113.5133453402114</c:v>
                </c:pt>
              </c:numCache>
            </c:numRef>
          </c:val>
          <c:extLst>
            <c:ext xmlns:c16="http://schemas.microsoft.com/office/drawing/2014/chart" uri="{C3380CC4-5D6E-409C-BE32-E72D297353CC}">
              <c16:uniqueId val="{0000000A-C6B0-40AB-9BD2-B2AC529FCF20}"/>
            </c:ext>
          </c:extLst>
        </c:ser>
        <c:dLbls>
          <c:showLegendKey val="0"/>
          <c:showVal val="0"/>
          <c:showCatName val="0"/>
          <c:showSerName val="0"/>
          <c:showPercent val="0"/>
          <c:showBubbleSize val="0"/>
        </c:dLbls>
        <c:gapWidth val="10"/>
        <c:overlap val="100"/>
        <c:axId val="835560656"/>
        <c:axId val="835552016"/>
      </c:barChart>
      <c:lineChart>
        <c:grouping val="standard"/>
        <c:varyColors val="0"/>
        <c:ser>
          <c:idx val="0"/>
          <c:order val="0"/>
          <c:tx>
            <c:strRef>
              <c:f>Tab_Skele_Diat_Dinof!$D$79</c:f>
              <c:strCache>
                <c:ptCount val="1"/>
                <c:pt idx="0">
                  <c:v>Diatom</c:v>
                </c:pt>
              </c:strCache>
            </c:strRef>
          </c:tx>
          <c:spPr>
            <a:ln w="28575" cap="rnd">
              <a:solidFill>
                <a:srgbClr val="0070C0"/>
              </a:solidFill>
              <a:round/>
            </a:ln>
            <a:effectLst/>
          </c:spPr>
          <c:marker>
            <c:symbol val="circle"/>
            <c:size val="5"/>
            <c:spPr>
              <a:solidFill>
                <a:schemeClr val="accent1"/>
              </a:solidFill>
              <a:ln w="9525">
                <a:solidFill>
                  <a:srgbClr val="0070C0"/>
                </a:solidFill>
              </a:ln>
              <a:effectLst/>
            </c:spPr>
          </c:marker>
          <c:cat>
            <c:multiLvlStrRef>
              <c:f>Tab_Skele_Diat_Dinof!$B$80:$C$91</c:f>
              <c:multiLvlStrCache>
                <c:ptCount val="12"/>
                <c:lvl>
                  <c:pt idx="0">
                    <c:v>Mar</c:v>
                  </c:pt>
                  <c:pt idx="1">
                    <c:v>May</c:v>
                  </c:pt>
                  <c:pt idx="2">
                    <c:v>Mar</c:v>
                  </c:pt>
                  <c:pt idx="3">
                    <c:v>Jun</c:v>
                  </c:pt>
                  <c:pt idx="4">
                    <c:v>Mar</c:v>
                  </c:pt>
                  <c:pt idx="5">
                    <c:v>May</c:v>
                  </c:pt>
                  <c:pt idx="6">
                    <c:v>Jun</c:v>
                  </c:pt>
                  <c:pt idx="7">
                    <c:v>Mar</c:v>
                  </c:pt>
                  <c:pt idx="8">
                    <c:v>Jul</c:v>
                  </c:pt>
                  <c:pt idx="9">
                    <c:v>Mar</c:v>
                  </c:pt>
                  <c:pt idx="10">
                    <c:v>May</c:v>
                  </c:pt>
                  <c:pt idx="11">
                    <c:v>Jul</c:v>
                  </c:pt>
                </c:lvl>
                <c:lvl>
                  <c:pt idx="0">
                    <c:v>2008</c:v>
                  </c:pt>
                  <c:pt idx="2">
                    <c:v>2009</c:v>
                  </c:pt>
                  <c:pt idx="4">
                    <c:v>2010</c:v>
                  </c:pt>
                  <c:pt idx="7">
                    <c:v>2011</c:v>
                  </c:pt>
                  <c:pt idx="9">
                    <c:v>2013</c:v>
                  </c:pt>
                  <c:pt idx="11">
                    <c:v>2015</c:v>
                  </c:pt>
                </c:lvl>
              </c:multiLvlStrCache>
            </c:multiLvlStrRef>
          </c:cat>
          <c:val>
            <c:numRef>
              <c:f>Tab_Skele_Diat_Dinof!$D$80:$D$91</c:f>
              <c:numCache>
                <c:formatCode>0.000;[Red]0.000</c:formatCode>
                <c:ptCount val="12"/>
                <c:pt idx="0">
                  <c:v>8.4008835399083051</c:v>
                </c:pt>
                <c:pt idx="1">
                  <c:v>7.2986513731657663</c:v>
                </c:pt>
                <c:pt idx="2">
                  <c:v>7.853579778673871</c:v>
                </c:pt>
                <c:pt idx="3">
                  <c:v>7.803088749531673</c:v>
                </c:pt>
                <c:pt idx="4">
                  <c:v>8.6634494522768986</c:v>
                </c:pt>
                <c:pt idx="5">
                  <c:v>9.1604744329488597</c:v>
                </c:pt>
                <c:pt idx="6">
                  <c:v>9.3123497307552405</c:v>
                </c:pt>
                <c:pt idx="7">
                  <c:v>7.6104221116838904</c:v>
                </c:pt>
                <c:pt idx="8">
                  <c:v>7.7619602135149277</c:v>
                </c:pt>
                <c:pt idx="9">
                  <c:v>8.236889252659795</c:v>
                </c:pt>
                <c:pt idx="10">
                  <c:v>7.8091560110014653</c:v>
                </c:pt>
                <c:pt idx="11">
                  <c:v>7.6758035860429388</c:v>
                </c:pt>
              </c:numCache>
            </c:numRef>
          </c:val>
          <c:smooth val="0"/>
          <c:extLst>
            <c:ext xmlns:c16="http://schemas.microsoft.com/office/drawing/2014/chart" uri="{C3380CC4-5D6E-409C-BE32-E72D297353CC}">
              <c16:uniqueId val="{0000000B-C6B0-40AB-9BD2-B2AC529FCF20}"/>
            </c:ext>
          </c:extLst>
        </c:ser>
        <c:ser>
          <c:idx val="1"/>
          <c:order val="1"/>
          <c:tx>
            <c:strRef>
              <c:f>Tab_Skele_Diat_Dinof!$E$79</c:f>
              <c:strCache>
                <c:ptCount val="1"/>
                <c:pt idx="0">
                  <c:v>Dinoflagellata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Tab_Skele_Diat_Dinof!$B$80:$C$91</c:f>
              <c:multiLvlStrCache>
                <c:ptCount val="12"/>
                <c:lvl>
                  <c:pt idx="0">
                    <c:v>Mar</c:v>
                  </c:pt>
                  <c:pt idx="1">
                    <c:v>May</c:v>
                  </c:pt>
                  <c:pt idx="2">
                    <c:v>Mar</c:v>
                  </c:pt>
                  <c:pt idx="3">
                    <c:v>Jun</c:v>
                  </c:pt>
                  <c:pt idx="4">
                    <c:v>Mar</c:v>
                  </c:pt>
                  <c:pt idx="5">
                    <c:v>May</c:v>
                  </c:pt>
                  <c:pt idx="6">
                    <c:v>Jun</c:v>
                  </c:pt>
                  <c:pt idx="7">
                    <c:v>Mar</c:v>
                  </c:pt>
                  <c:pt idx="8">
                    <c:v>Jul</c:v>
                  </c:pt>
                  <c:pt idx="9">
                    <c:v>Mar</c:v>
                  </c:pt>
                  <c:pt idx="10">
                    <c:v>May</c:v>
                  </c:pt>
                  <c:pt idx="11">
                    <c:v>Jul</c:v>
                  </c:pt>
                </c:lvl>
                <c:lvl>
                  <c:pt idx="0">
                    <c:v>2008</c:v>
                  </c:pt>
                  <c:pt idx="2">
                    <c:v>2009</c:v>
                  </c:pt>
                  <c:pt idx="4">
                    <c:v>2010</c:v>
                  </c:pt>
                  <c:pt idx="7">
                    <c:v>2011</c:v>
                  </c:pt>
                  <c:pt idx="9">
                    <c:v>2013</c:v>
                  </c:pt>
                  <c:pt idx="11">
                    <c:v>2015</c:v>
                  </c:pt>
                </c:lvl>
              </c:multiLvlStrCache>
            </c:multiLvlStrRef>
          </c:cat>
          <c:val>
            <c:numRef>
              <c:f>Tab_Skele_Diat_Dinof!$E$80:$E$91</c:f>
              <c:numCache>
                <c:formatCode>0.000;[Red]0.000</c:formatCode>
                <c:ptCount val="12"/>
                <c:pt idx="0">
                  <c:v>5.7678033321179338</c:v>
                </c:pt>
                <c:pt idx="1">
                  <c:v>6.2587608710493754</c:v>
                </c:pt>
                <c:pt idx="2">
                  <c:v>4.9830501661140163</c:v>
                </c:pt>
                <c:pt idx="3">
                  <c:v>5.019280958931934</c:v>
                </c:pt>
                <c:pt idx="4">
                  <c:v>6.7212500614525945</c:v>
                </c:pt>
                <c:pt idx="5">
                  <c:v>7.0429249277118098</c:v>
                </c:pt>
                <c:pt idx="6">
                  <c:v>6.8976266569957421</c:v>
                </c:pt>
                <c:pt idx="7">
                  <c:v>5.2829148702395701</c:v>
                </c:pt>
                <c:pt idx="8">
                  <c:v>5.2231179988838399</c:v>
                </c:pt>
                <c:pt idx="9">
                  <c:v>5.3820731027900237</c:v>
                </c:pt>
                <c:pt idx="10">
                  <c:v>6.7481810080487641</c:v>
                </c:pt>
                <c:pt idx="11">
                  <c:v>5.6207566631313846</c:v>
                </c:pt>
              </c:numCache>
            </c:numRef>
          </c:val>
          <c:smooth val="0"/>
          <c:extLst>
            <c:ext xmlns:c16="http://schemas.microsoft.com/office/drawing/2014/chart" uri="{C3380CC4-5D6E-409C-BE32-E72D297353CC}">
              <c16:uniqueId val="{0000000C-C6B0-40AB-9BD2-B2AC529FCF20}"/>
            </c:ext>
          </c:extLst>
        </c:ser>
        <c:dLbls>
          <c:showLegendKey val="0"/>
          <c:showVal val="0"/>
          <c:showCatName val="0"/>
          <c:showSerName val="0"/>
          <c:showPercent val="0"/>
          <c:showBubbleSize val="0"/>
        </c:dLbls>
        <c:marker val="1"/>
        <c:smooth val="0"/>
        <c:axId val="690766000"/>
        <c:axId val="690766560"/>
      </c:lineChart>
      <c:catAx>
        <c:axId val="69076600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t>Observations</a:t>
                </a:r>
              </a:p>
            </c:rich>
          </c:tx>
          <c:layout>
            <c:manualLayout>
              <c:xMode val="edge"/>
              <c:yMode val="edge"/>
              <c:x val="0.42679474449857996"/>
              <c:y val="0.9236310410806711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0766560"/>
        <c:crosses val="autoZero"/>
        <c:auto val="1"/>
        <c:lblAlgn val="ctr"/>
        <c:lblOffset val="100"/>
        <c:noMultiLvlLbl val="0"/>
      </c:catAx>
      <c:valAx>
        <c:axId val="690766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t>Log (Abundance: cells/m3)</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0;[Red]0.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0766000"/>
        <c:crosses val="autoZero"/>
        <c:crossBetween val="between"/>
      </c:valAx>
      <c:valAx>
        <c:axId val="835552016"/>
        <c:scaling>
          <c:orientation val="minMax"/>
        </c:scaling>
        <c:delete val="0"/>
        <c:axPos val="r"/>
        <c:numFmt formatCode="0;[Red]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5560656"/>
        <c:crosses val="max"/>
        <c:crossBetween val="between"/>
      </c:valAx>
      <c:catAx>
        <c:axId val="835560656"/>
        <c:scaling>
          <c:orientation val="minMax"/>
        </c:scaling>
        <c:delete val="1"/>
        <c:axPos val="b"/>
        <c:numFmt formatCode="General" sourceLinked="1"/>
        <c:majorTickMark val="out"/>
        <c:minorTickMark val="none"/>
        <c:tickLblPos val="nextTo"/>
        <c:crossAx val="835552016"/>
        <c:crossesAt val="0"/>
        <c:auto val="1"/>
        <c:lblAlgn val="ctr"/>
        <c:lblOffset val="100"/>
        <c:noMultiLvlLbl val="0"/>
      </c:catAx>
      <c:spPr>
        <a:noFill/>
        <a:ln>
          <a:noFill/>
        </a:ln>
        <a:effectLst/>
      </c:spPr>
    </c:plotArea>
    <c:legend>
      <c:legendPos val="t"/>
      <c:layout>
        <c:manualLayout>
          <c:xMode val="edge"/>
          <c:yMode val="edge"/>
          <c:x val="0.17811949690885029"/>
          <c:y val="3.134792921321565E-3"/>
          <c:w val="0.64493568368390619"/>
          <c:h val="7.682012003659023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solidFill>
                <a:latin typeface="Arial" panose="020B0604020202020204" pitchFamily="34" charset="0"/>
                <a:ea typeface="+mn-ea"/>
                <a:cs typeface="Arial" panose="020B0604020202020204" pitchFamily="34" charset="0"/>
              </a:defRPr>
            </a:pPr>
            <a:r>
              <a:rPr lang="en-ID" sz="800"/>
              <a:t>The Abundance of Predominant Species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165713300047086"/>
          <c:y val="0.10266926145247239"/>
          <c:w val="0.85160021071966363"/>
          <c:h val="0.65342103929112705"/>
        </c:manualLayout>
      </c:layout>
      <c:lineChart>
        <c:grouping val="standard"/>
        <c:varyColors val="0"/>
        <c:ser>
          <c:idx val="0"/>
          <c:order val="0"/>
          <c:tx>
            <c:strRef>
              <c:f>Skele_Chaeto!$D$3</c:f>
              <c:strCache>
                <c:ptCount val="1"/>
                <c:pt idx="0">
                  <c:v> Chaetoceros</c:v>
                </c:pt>
              </c:strCache>
            </c:strRef>
          </c:tx>
          <c:spPr>
            <a:ln w="28575" cap="rnd">
              <a:solidFill>
                <a:schemeClr val="accent1"/>
              </a:solidFill>
              <a:round/>
            </a:ln>
            <a:effectLst/>
          </c:spPr>
          <c:marker>
            <c:symbol val="circle"/>
            <c:size val="5"/>
            <c:spPr>
              <a:solidFill>
                <a:schemeClr val="bg1"/>
              </a:solidFill>
              <a:ln w="9525">
                <a:solidFill>
                  <a:schemeClr val="accent1"/>
                </a:solidFill>
              </a:ln>
              <a:effectLst/>
            </c:spPr>
          </c:marker>
          <c:cat>
            <c:multiLvlStrRef>
              <c:f>Skele_Chaeto!$B$4:$C$47</c:f>
              <c:multiLvlStrCache>
                <c:ptCount val="44"/>
                <c:lvl>
                  <c:pt idx="0">
                    <c:v>Mr1</c:v>
                  </c:pt>
                  <c:pt idx="1">
                    <c:v>Mr2</c:v>
                  </c:pt>
                  <c:pt idx="2">
                    <c:v>Mr3</c:v>
                  </c:pt>
                  <c:pt idx="3">
                    <c:v>Mr4</c:v>
                  </c:pt>
                  <c:pt idx="4">
                    <c:v>My1</c:v>
                  </c:pt>
                  <c:pt idx="5">
                    <c:v>My2</c:v>
                  </c:pt>
                  <c:pt idx="6">
                    <c:v>My3</c:v>
                  </c:pt>
                  <c:pt idx="7">
                    <c:v>My4</c:v>
                  </c:pt>
                  <c:pt idx="8">
                    <c:v>Mr1</c:v>
                  </c:pt>
                  <c:pt idx="9">
                    <c:v>Mr2</c:v>
                  </c:pt>
                  <c:pt idx="10">
                    <c:v>Mr3</c:v>
                  </c:pt>
                  <c:pt idx="11">
                    <c:v>Jn1</c:v>
                  </c:pt>
                  <c:pt idx="12">
                    <c:v>Jn2</c:v>
                  </c:pt>
                  <c:pt idx="13">
                    <c:v>Jn3</c:v>
                  </c:pt>
                  <c:pt idx="14">
                    <c:v>Mr1</c:v>
                  </c:pt>
                  <c:pt idx="15">
                    <c:v>Mr3</c:v>
                  </c:pt>
                  <c:pt idx="16">
                    <c:v>Mr4</c:v>
                  </c:pt>
                  <c:pt idx="17">
                    <c:v>Mr5</c:v>
                  </c:pt>
                  <c:pt idx="18">
                    <c:v>My1</c:v>
                  </c:pt>
                  <c:pt idx="19">
                    <c:v>My2</c:v>
                  </c:pt>
                  <c:pt idx="20">
                    <c:v>My3</c:v>
                  </c:pt>
                  <c:pt idx="21">
                    <c:v>Jn1</c:v>
                  </c:pt>
                  <c:pt idx="22">
                    <c:v>Jn2</c:v>
                  </c:pt>
                  <c:pt idx="23">
                    <c:v>Mr1</c:v>
                  </c:pt>
                  <c:pt idx="24">
                    <c:v>Mr2</c:v>
                  </c:pt>
                  <c:pt idx="25">
                    <c:v>Mr3</c:v>
                  </c:pt>
                  <c:pt idx="26">
                    <c:v>Mr4</c:v>
                  </c:pt>
                  <c:pt idx="27">
                    <c:v>Mr5</c:v>
                  </c:pt>
                  <c:pt idx="28">
                    <c:v>Jl1</c:v>
                  </c:pt>
                  <c:pt idx="29">
                    <c:v>Jl2</c:v>
                  </c:pt>
                  <c:pt idx="30">
                    <c:v>Jl3</c:v>
                  </c:pt>
                  <c:pt idx="31">
                    <c:v>Jl4</c:v>
                  </c:pt>
                  <c:pt idx="32">
                    <c:v>Jl5</c:v>
                  </c:pt>
                  <c:pt idx="33">
                    <c:v>Mr1</c:v>
                  </c:pt>
                  <c:pt idx="34">
                    <c:v>Mr2</c:v>
                  </c:pt>
                  <c:pt idx="35">
                    <c:v>Mr3</c:v>
                  </c:pt>
                  <c:pt idx="36">
                    <c:v>My1</c:v>
                  </c:pt>
                  <c:pt idx="37">
                    <c:v>My2</c:v>
                  </c:pt>
                  <c:pt idx="38">
                    <c:v>My3</c:v>
                  </c:pt>
                  <c:pt idx="39">
                    <c:v>Jl1</c:v>
                  </c:pt>
                  <c:pt idx="40">
                    <c:v>Jl2</c:v>
                  </c:pt>
                  <c:pt idx="41">
                    <c:v>Jl3</c:v>
                  </c:pt>
                  <c:pt idx="42">
                    <c:v>Jl4</c:v>
                  </c:pt>
                  <c:pt idx="43">
                    <c:v>My1</c:v>
                  </c:pt>
                </c:lvl>
                <c:lvl>
                  <c:pt idx="0">
                    <c:v>Y2008</c:v>
                  </c:pt>
                  <c:pt idx="8">
                    <c:v>Y2009</c:v>
                  </c:pt>
                  <c:pt idx="14">
                    <c:v>Y2010</c:v>
                  </c:pt>
                  <c:pt idx="23">
                    <c:v>Y2011</c:v>
                  </c:pt>
                  <c:pt idx="33">
                    <c:v>Y2013</c:v>
                  </c:pt>
                  <c:pt idx="39">
                    <c:v>Y2015</c:v>
                  </c:pt>
                  <c:pt idx="43">
                    <c:v>Y2019</c:v>
                  </c:pt>
                </c:lvl>
              </c:multiLvlStrCache>
            </c:multiLvlStrRef>
          </c:cat>
          <c:val>
            <c:numRef>
              <c:f>Skele_Chaeto!$D$4:$D$47</c:f>
              <c:numCache>
                <c:formatCode>General</c:formatCode>
                <c:ptCount val="44"/>
                <c:pt idx="0">
                  <c:v>100387240.17029803</c:v>
                </c:pt>
                <c:pt idx="1">
                  <c:v>78945787.0266473</c:v>
                </c:pt>
                <c:pt idx="2">
                  <c:v>414921717.83621341</c:v>
                </c:pt>
                <c:pt idx="3">
                  <c:v>71950901.577761084</c:v>
                </c:pt>
                <c:pt idx="4">
                  <c:v>3682215.9133233158</c:v>
                </c:pt>
                <c:pt idx="5">
                  <c:v>2541254.4870189498</c:v>
                </c:pt>
                <c:pt idx="6">
                  <c:v>381029.30127723521</c:v>
                </c:pt>
                <c:pt idx="7">
                  <c:v>542983.55455380259</c:v>
                </c:pt>
                <c:pt idx="8">
                  <c:v>7861649.2427011747</c:v>
                </c:pt>
                <c:pt idx="9">
                  <c:v>20657532.250388954</c:v>
                </c:pt>
                <c:pt idx="10">
                  <c:v>6056186.1474011885</c:v>
                </c:pt>
                <c:pt idx="11">
                  <c:v>13827173.553719008</c:v>
                </c:pt>
                <c:pt idx="12">
                  <c:v>1773963.6363636367</c:v>
                </c:pt>
                <c:pt idx="13">
                  <c:v>5230836.3636363624</c:v>
                </c:pt>
                <c:pt idx="14">
                  <c:v>3473329.8600000003</c:v>
                </c:pt>
                <c:pt idx="15">
                  <c:v>18333315</c:v>
                </c:pt>
                <c:pt idx="16">
                  <c:v>4973693.2141818181</c:v>
                </c:pt>
                <c:pt idx="17">
                  <c:v>949999.05</c:v>
                </c:pt>
                <c:pt idx="18">
                  <c:v>641066025.60000002</c:v>
                </c:pt>
                <c:pt idx="19">
                  <c:v>1451048548.95</c:v>
                </c:pt>
                <c:pt idx="20">
                  <c:v>632386034.27999997</c:v>
                </c:pt>
                <c:pt idx="21">
                  <c:v>781999218</c:v>
                </c:pt>
                <c:pt idx="22">
                  <c:v>202933130.40000001</c:v>
                </c:pt>
                <c:pt idx="23">
                  <c:v>12580894.308943089</c:v>
                </c:pt>
                <c:pt idx="24">
                  <c:v>13356820.234869016</c:v>
                </c:pt>
                <c:pt idx="25">
                  <c:v>14088211.382113824</c:v>
                </c:pt>
                <c:pt idx="26">
                  <c:v>22954471.544715449</c:v>
                </c:pt>
                <c:pt idx="27">
                  <c:v>16322967.479674798</c:v>
                </c:pt>
                <c:pt idx="28">
                  <c:v>36137398.373983733</c:v>
                </c:pt>
                <c:pt idx="29">
                  <c:v>47122764.227642283</c:v>
                </c:pt>
                <c:pt idx="30">
                  <c:v>42966666.666666672</c:v>
                </c:pt>
                <c:pt idx="31">
                  <c:v>10127235.772357725</c:v>
                </c:pt>
                <c:pt idx="32">
                  <c:v>29323577.23577236</c:v>
                </c:pt>
                <c:pt idx="33">
                  <c:v>23817978.18181818</c:v>
                </c:pt>
                <c:pt idx="34">
                  <c:v>10994530.909363637</c:v>
                </c:pt>
                <c:pt idx="35">
                  <c:v>42995810.909090906</c:v>
                </c:pt>
                <c:pt idx="36">
                  <c:v>5854341.8181818184</c:v>
                </c:pt>
                <c:pt idx="37">
                  <c:v>13584581.818181822</c:v>
                </c:pt>
                <c:pt idx="38">
                  <c:v>8664252.1212121211</c:v>
                </c:pt>
                <c:pt idx="39">
                  <c:v>23792364.603682615</c:v>
                </c:pt>
                <c:pt idx="40">
                  <c:v>36031852.786330312</c:v>
                </c:pt>
                <c:pt idx="41">
                  <c:v>13151363.600366049</c:v>
                </c:pt>
                <c:pt idx="42">
                  <c:v>4892566.1914460286</c:v>
                </c:pt>
                <c:pt idx="43">
                  <c:v>4784860.6060606055</c:v>
                </c:pt>
              </c:numCache>
            </c:numRef>
          </c:val>
          <c:smooth val="0"/>
          <c:extLst>
            <c:ext xmlns:c16="http://schemas.microsoft.com/office/drawing/2014/chart" uri="{C3380CC4-5D6E-409C-BE32-E72D297353CC}">
              <c16:uniqueId val="{00000000-C19B-4724-ACD6-1D85490D8A74}"/>
            </c:ext>
          </c:extLst>
        </c:ser>
        <c:ser>
          <c:idx val="1"/>
          <c:order val="1"/>
          <c:tx>
            <c:strRef>
              <c:f>Skele_Chaeto!$E$3</c:f>
              <c:strCache>
                <c:ptCount val="1"/>
                <c:pt idx="0">
                  <c:v> Skeletonema</c:v>
                </c:pt>
              </c:strCache>
            </c:strRef>
          </c:tx>
          <c:spPr>
            <a:ln w="19050" cap="rnd">
              <a:solidFill>
                <a:schemeClr val="tx1"/>
              </a:solidFill>
              <a:prstDash val="solid"/>
              <a:round/>
            </a:ln>
            <a:effectLst/>
          </c:spPr>
          <c:marker>
            <c:symbol val="circle"/>
            <c:size val="5"/>
            <c:spPr>
              <a:solidFill>
                <a:sysClr val="window" lastClr="FFFFFF"/>
              </a:solidFill>
              <a:ln w="19050">
                <a:solidFill>
                  <a:schemeClr val="tx1"/>
                </a:solidFill>
                <a:prstDash val="solid"/>
              </a:ln>
              <a:effectLst/>
            </c:spPr>
          </c:marker>
          <c:cat>
            <c:multiLvlStrRef>
              <c:f>Skele_Chaeto!$B$4:$C$47</c:f>
              <c:multiLvlStrCache>
                <c:ptCount val="44"/>
                <c:lvl>
                  <c:pt idx="0">
                    <c:v>Mr1</c:v>
                  </c:pt>
                  <c:pt idx="1">
                    <c:v>Mr2</c:v>
                  </c:pt>
                  <c:pt idx="2">
                    <c:v>Mr3</c:v>
                  </c:pt>
                  <c:pt idx="3">
                    <c:v>Mr4</c:v>
                  </c:pt>
                  <c:pt idx="4">
                    <c:v>My1</c:v>
                  </c:pt>
                  <c:pt idx="5">
                    <c:v>My2</c:v>
                  </c:pt>
                  <c:pt idx="6">
                    <c:v>My3</c:v>
                  </c:pt>
                  <c:pt idx="7">
                    <c:v>My4</c:v>
                  </c:pt>
                  <c:pt idx="8">
                    <c:v>Mr1</c:v>
                  </c:pt>
                  <c:pt idx="9">
                    <c:v>Mr2</c:v>
                  </c:pt>
                  <c:pt idx="10">
                    <c:v>Mr3</c:v>
                  </c:pt>
                  <c:pt idx="11">
                    <c:v>Jn1</c:v>
                  </c:pt>
                  <c:pt idx="12">
                    <c:v>Jn2</c:v>
                  </c:pt>
                  <c:pt idx="13">
                    <c:v>Jn3</c:v>
                  </c:pt>
                  <c:pt idx="14">
                    <c:v>Mr1</c:v>
                  </c:pt>
                  <c:pt idx="15">
                    <c:v>Mr3</c:v>
                  </c:pt>
                  <c:pt idx="16">
                    <c:v>Mr4</c:v>
                  </c:pt>
                  <c:pt idx="17">
                    <c:v>Mr5</c:v>
                  </c:pt>
                  <c:pt idx="18">
                    <c:v>My1</c:v>
                  </c:pt>
                  <c:pt idx="19">
                    <c:v>My2</c:v>
                  </c:pt>
                  <c:pt idx="20">
                    <c:v>My3</c:v>
                  </c:pt>
                  <c:pt idx="21">
                    <c:v>Jn1</c:v>
                  </c:pt>
                  <c:pt idx="22">
                    <c:v>Jn2</c:v>
                  </c:pt>
                  <c:pt idx="23">
                    <c:v>Mr1</c:v>
                  </c:pt>
                  <c:pt idx="24">
                    <c:v>Mr2</c:v>
                  </c:pt>
                  <c:pt idx="25">
                    <c:v>Mr3</c:v>
                  </c:pt>
                  <c:pt idx="26">
                    <c:v>Mr4</c:v>
                  </c:pt>
                  <c:pt idx="27">
                    <c:v>Mr5</c:v>
                  </c:pt>
                  <c:pt idx="28">
                    <c:v>Jl1</c:v>
                  </c:pt>
                  <c:pt idx="29">
                    <c:v>Jl2</c:v>
                  </c:pt>
                  <c:pt idx="30">
                    <c:v>Jl3</c:v>
                  </c:pt>
                  <c:pt idx="31">
                    <c:v>Jl4</c:v>
                  </c:pt>
                  <c:pt idx="32">
                    <c:v>Jl5</c:v>
                  </c:pt>
                  <c:pt idx="33">
                    <c:v>Mr1</c:v>
                  </c:pt>
                  <c:pt idx="34">
                    <c:v>Mr2</c:v>
                  </c:pt>
                  <c:pt idx="35">
                    <c:v>Mr3</c:v>
                  </c:pt>
                  <c:pt idx="36">
                    <c:v>My1</c:v>
                  </c:pt>
                  <c:pt idx="37">
                    <c:v>My2</c:v>
                  </c:pt>
                  <c:pt idx="38">
                    <c:v>My3</c:v>
                  </c:pt>
                  <c:pt idx="39">
                    <c:v>Jl1</c:v>
                  </c:pt>
                  <c:pt idx="40">
                    <c:v>Jl2</c:v>
                  </c:pt>
                  <c:pt idx="41">
                    <c:v>Jl3</c:v>
                  </c:pt>
                  <c:pt idx="42">
                    <c:v>Jl4</c:v>
                  </c:pt>
                  <c:pt idx="43">
                    <c:v>My1</c:v>
                  </c:pt>
                </c:lvl>
                <c:lvl>
                  <c:pt idx="0">
                    <c:v>Y2008</c:v>
                  </c:pt>
                  <c:pt idx="8">
                    <c:v>Y2009</c:v>
                  </c:pt>
                  <c:pt idx="14">
                    <c:v>Y2010</c:v>
                  </c:pt>
                  <c:pt idx="23">
                    <c:v>Y2011</c:v>
                  </c:pt>
                  <c:pt idx="33">
                    <c:v>Y2013</c:v>
                  </c:pt>
                  <c:pt idx="39">
                    <c:v>Y2015</c:v>
                  </c:pt>
                  <c:pt idx="43">
                    <c:v>Y2019</c:v>
                  </c:pt>
                </c:lvl>
              </c:multiLvlStrCache>
            </c:multiLvlStrRef>
          </c:cat>
          <c:val>
            <c:numRef>
              <c:f>Skele_Chaeto!$E$4:$E$47</c:f>
              <c:numCache>
                <c:formatCode>General</c:formatCode>
                <c:ptCount val="44"/>
                <c:pt idx="0">
                  <c:v>47326258.452291518</c:v>
                </c:pt>
                <c:pt idx="1">
                  <c:v>41523259.04748895</c:v>
                </c:pt>
                <c:pt idx="2">
                  <c:v>220404765.83020288</c:v>
                </c:pt>
                <c:pt idx="3">
                  <c:v>24409147.25770098</c:v>
                </c:pt>
                <c:pt idx="4">
                  <c:v>10979001.050914099</c:v>
                </c:pt>
                <c:pt idx="5">
                  <c:v>13751922.635445364</c:v>
                </c:pt>
                <c:pt idx="6">
                  <c:v>10477911.344853494</c:v>
                </c:pt>
                <c:pt idx="7">
                  <c:v>8607300.2754820939</c:v>
                </c:pt>
                <c:pt idx="8">
                  <c:v>17474153.51028914</c:v>
                </c:pt>
                <c:pt idx="9">
                  <c:v>71027603.715437889</c:v>
                </c:pt>
                <c:pt idx="10">
                  <c:v>17608903.349725962</c:v>
                </c:pt>
                <c:pt idx="11">
                  <c:v>95529816.859504133</c:v>
                </c:pt>
                <c:pt idx="12">
                  <c:v>2818909.0909090908</c:v>
                </c:pt>
                <c:pt idx="13">
                  <c:v>4646109.0909090918</c:v>
                </c:pt>
                <c:pt idx="14">
                  <c:v>129276537.39000002</c:v>
                </c:pt>
                <c:pt idx="15">
                  <c:v>1091932241.4000001</c:v>
                </c:pt>
                <c:pt idx="16">
                  <c:v>361591536.08690912</c:v>
                </c:pt>
                <c:pt idx="17">
                  <c:v>103326980.00625002</c:v>
                </c:pt>
                <c:pt idx="18">
                  <c:v>367382965.94999999</c:v>
                </c:pt>
                <c:pt idx="19">
                  <c:v>704565962.10000002</c:v>
                </c:pt>
                <c:pt idx="20">
                  <c:v>342532990.80000001</c:v>
                </c:pt>
                <c:pt idx="21">
                  <c:v>1313332020</c:v>
                </c:pt>
                <c:pt idx="22">
                  <c:v>763332570.00000012</c:v>
                </c:pt>
                <c:pt idx="23">
                  <c:v>21346341.463414636</c:v>
                </c:pt>
                <c:pt idx="24">
                  <c:v>14928184.281842818</c:v>
                </c:pt>
                <c:pt idx="25">
                  <c:v>18171138.211382113</c:v>
                </c:pt>
                <c:pt idx="26">
                  <c:v>17670325.203252032</c:v>
                </c:pt>
                <c:pt idx="27">
                  <c:v>16442682.926829264</c:v>
                </c:pt>
                <c:pt idx="28">
                  <c:v>6341869.9186991872</c:v>
                </c:pt>
                <c:pt idx="29">
                  <c:v>8440650.4065040648</c:v>
                </c:pt>
                <c:pt idx="30">
                  <c:v>4965853.658536586</c:v>
                </c:pt>
                <c:pt idx="31">
                  <c:v>5243495.9349593492</c:v>
                </c:pt>
                <c:pt idx="32">
                  <c:v>10516260.162601626</c:v>
                </c:pt>
                <c:pt idx="33">
                  <c:v>150296397.57575756</c:v>
                </c:pt>
                <c:pt idx="34">
                  <c:v>86810957.575757578</c:v>
                </c:pt>
                <c:pt idx="35">
                  <c:v>172066850.90909091</c:v>
                </c:pt>
                <c:pt idx="36">
                  <c:v>44573556.363636367</c:v>
                </c:pt>
                <c:pt idx="37">
                  <c:v>69092189.090909094</c:v>
                </c:pt>
                <c:pt idx="38">
                  <c:v>28476101.81818182</c:v>
                </c:pt>
                <c:pt idx="39">
                  <c:v>82456800.642864063</c:v>
                </c:pt>
                <c:pt idx="40">
                  <c:v>15675419.21200702</c:v>
                </c:pt>
                <c:pt idx="41">
                  <c:v>8596799.6754740626</c:v>
                </c:pt>
                <c:pt idx="42">
                  <c:v>1165478.615071283</c:v>
                </c:pt>
                <c:pt idx="43">
                  <c:v>5284335.3535353541</c:v>
                </c:pt>
              </c:numCache>
            </c:numRef>
          </c:val>
          <c:smooth val="0"/>
          <c:extLst>
            <c:ext xmlns:c16="http://schemas.microsoft.com/office/drawing/2014/chart" uri="{C3380CC4-5D6E-409C-BE32-E72D297353CC}">
              <c16:uniqueId val="{00000001-C19B-4724-ACD6-1D85490D8A74}"/>
            </c:ext>
          </c:extLst>
        </c:ser>
        <c:ser>
          <c:idx val="2"/>
          <c:order val="2"/>
          <c:tx>
            <c:strRef>
              <c:f>Skele_Chaeto!$F$3</c:f>
              <c:strCache>
                <c:ptCount val="1"/>
                <c:pt idx="0">
                  <c:v> Thalassiosira</c:v>
                </c:pt>
              </c:strCache>
            </c:strRef>
          </c:tx>
          <c:spPr>
            <a:ln w="19050" cap="rnd">
              <a:solidFill>
                <a:srgbClr val="FF0000"/>
              </a:solidFill>
              <a:round/>
            </a:ln>
            <a:effectLst/>
          </c:spPr>
          <c:marker>
            <c:symbol val="circle"/>
            <c:size val="5"/>
            <c:spPr>
              <a:solidFill>
                <a:schemeClr val="bg1"/>
              </a:solidFill>
              <a:ln w="19050">
                <a:solidFill>
                  <a:srgbClr val="FF0000"/>
                </a:solidFill>
              </a:ln>
              <a:effectLst/>
            </c:spPr>
          </c:marker>
          <c:cat>
            <c:multiLvlStrRef>
              <c:f>Skele_Chaeto!$B$4:$C$47</c:f>
              <c:multiLvlStrCache>
                <c:ptCount val="44"/>
                <c:lvl>
                  <c:pt idx="0">
                    <c:v>Mr1</c:v>
                  </c:pt>
                  <c:pt idx="1">
                    <c:v>Mr2</c:v>
                  </c:pt>
                  <c:pt idx="2">
                    <c:v>Mr3</c:v>
                  </c:pt>
                  <c:pt idx="3">
                    <c:v>Mr4</c:v>
                  </c:pt>
                  <c:pt idx="4">
                    <c:v>My1</c:v>
                  </c:pt>
                  <c:pt idx="5">
                    <c:v>My2</c:v>
                  </c:pt>
                  <c:pt idx="6">
                    <c:v>My3</c:v>
                  </c:pt>
                  <c:pt idx="7">
                    <c:v>My4</c:v>
                  </c:pt>
                  <c:pt idx="8">
                    <c:v>Mr1</c:v>
                  </c:pt>
                  <c:pt idx="9">
                    <c:v>Mr2</c:v>
                  </c:pt>
                  <c:pt idx="10">
                    <c:v>Mr3</c:v>
                  </c:pt>
                  <c:pt idx="11">
                    <c:v>Jn1</c:v>
                  </c:pt>
                  <c:pt idx="12">
                    <c:v>Jn2</c:v>
                  </c:pt>
                  <c:pt idx="13">
                    <c:v>Jn3</c:v>
                  </c:pt>
                  <c:pt idx="14">
                    <c:v>Mr1</c:v>
                  </c:pt>
                  <c:pt idx="15">
                    <c:v>Mr3</c:v>
                  </c:pt>
                  <c:pt idx="16">
                    <c:v>Mr4</c:v>
                  </c:pt>
                  <c:pt idx="17">
                    <c:v>Mr5</c:v>
                  </c:pt>
                  <c:pt idx="18">
                    <c:v>My1</c:v>
                  </c:pt>
                  <c:pt idx="19">
                    <c:v>My2</c:v>
                  </c:pt>
                  <c:pt idx="20">
                    <c:v>My3</c:v>
                  </c:pt>
                  <c:pt idx="21">
                    <c:v>Jn1</c:v>
                  </c:pt>
                  <c:pt idx="22">
                    <c:v>Jn2</c:v>
                  </c:pt>
                  <c:pt idx="23">
                    <c:v>Mr1</c:v>
                  </c:pt>
                  <c:pt idx="24">
                    <c:v>Mr2</c:v>
                  </c:pt>
                  <c:pt idx="25">
                    <c:v>Mr3</c:v>
                  </c:pt>
                  <c:pt idx="26">
                    <c:v>Mr4</c:v>
                  </c:pt>
                  <c:pt idx="27">
                    <c:v>Mr5</c:v>
                  </c:pt>
                  <c:pt idx="28">
                    <c:v>Jl1</c:v>
                  </c:pt>
                  <c:pt idx="29">
                    <c:v>Jl2</c:v>
                  </c:pt>
                  <c:pt idx="30">
                    <c:v>Jl3</c:v>
                  </c:pt>
                  <c:pt idx="31">
                    <c:v>Jl4</c:v>
                  </c:pt>
                  <c:pt idx="32">
                    <c:v>Jl5</c:v>
                  </c:pt>
                  <c:pt idx="33">
                    <c:v>Mr1</c:v>
                  </c:pt>
                  <c:pt idx="34">
                    <c:v>Mr2</c:v>
                  </c:pt>
                  <c:pt idx="35">
                    <c:v>Mr3</c:v>
                  </c:pt>
                  <c:pt idx="36">
                    <c:v>My1</c:v>
                  </c:pt>
                  <c:pt idx="37">
                    <c:v>My2</c:v>
                  </c:pt>
                  <c:pt idx="38">
                    <c:v>My3</c:v>
                  </c:pt>
                  <c:pt idx="39">
                    <c:v>Jl1</c:v>
                  </c:pt>
                  <c:pt idx="40">
                    <c:v>Jl2</c:v>
                  </c:pt>
                  <c:pt idx="41">
                    <c:v>Jl3</c:v>
                  </c:pt>
                  <c:pt idx="42">
                    <c:v>Jl4</c:v>
                  </c:pt>
                  <c:pt idx="43">
                    <c:v>My1</c:v>
                  </c:pt>
                </c:lvl>
                <c:lvl>
                  <c:pt idx="0">
                    <c:v>Y2008</c:v>
                  </c:pt>
                  <c:pt idx="8">
                    <c:v>Y2009</c:v>
                  </c:pt>
                  <c:pt idx="14">
                    <c:v>Y2010</c:v>
                  </c:pt>
                  <c:pt idx="23">
                    <c:v>Y2011</c:v>
                  </c:pt>
                  <c:pt idx="33">
                    <c:v>Y2013</c:v>
                  </c:pt>
                  <c:pt idx="39">
                    <c:v>Y2015</c:v>
                  </c:pt>
                  <c:pt idx="43">
                    <c:v>Y2019</c:v>
                  </c:pt>
                </c:lvl>
              </c:multiLvlStrCache>
            </c:multiLvlStrRef>
          </c:cat>
          <c:val>
            <c:numRef>
              <c:f>Skele_Chaeto!$F$4:$F$47</c:f>
              <c:numCache>
                <c:formatCode>General</c:formatCode>
                <c:ptCount val="44"/>
                <c:pt idx="0">
                  <c:v>596043.07538191846</c:v>
                </c:pt>
                <c:pt idx="1">
                  <c:v>203244.06997960719</c:v>
                </c:pt>
                <c:pt idx="2">
                  <c:v>1145607.2426746809</c:v>
                </c:pt>
                <c:pt idx="3">
                  <c:v>68501.126972201353</c:v>
                </c:pt>
                <c:pt idx="4">
                  <c:v>2183352.5741046835</c:v>
                </c:pt>
                <c:pt idx="5">
                  <c:v>5239372.0260455795</c:v>
                </c:pt>
                <c:pt idx="6">
                  <c:v>623215.62734785886</c:v>
                </c:pt>
                <c:pt idx="7">
                  <c:v>471721.34568828781</c:v>
                </c:pt>
                <c:pt idx="8">
                  <c:v>377893.54898256931</c:v>
                </c:pt>
                <c:pt idx="9">
                  <c:v>284256.59388631582</c:v>
                </c:pt>
                <c:pt idx="10">
                  <c:v>92593.51249316975</c:v>
                </c:pt>
                <c:pt idx="11">
                  <c:v>261342.14876033057</c:v>
                </c:pt>
                <c:pt idx="12">
                  <c:v>180654.54545454544</c:v>
                </c:pt>
                <c:pt idx="13">
                  <c:v>137018.18181818182</c:v>
                </c:pt>
                <c:pt idx="14">
                  <c:v>13889986.109999999</c:v>
                </c:pt>
                <c:pt idx="15">
                  <c:v>69116597.549999997</c:v>
                </c:pt>
                <c:pt idx="16">
                  <c:v>18384831.718181822</c:v>
                </c:pt>
                <c:pt idx="17">
                  <c:v>27797888.868750002</c:v>
                </c:pt>
                <c:pt idx="18">
                  <c:v>27033306.300000001</c:v>
                </c:pt>
                <c:pt idx="19">
                  <c:v>66533266.799999997</c:v>
                </c:pt>
                <c:pt idx="20">
                  <c:v>61199938.799999997</c:v>
                </c:pt>
                <c:pt idx="21">
                  <c:v>537666129</c:v>
                </c:pt>
                <c:pt idx="22">
                  <c:v>181466485.19999999</c:v>
                </c:pt>
                <c:pt idx="23">
                  <c:v>2367479.674796748</c:v>
                </c:pt>
                <c:pt idx="24">
                  <c:v>2598915.9891598918</c:v>
                </c:pt>
                <c:pt idx="25">
                  <c:v>3546747.9674796746</c:v>
                </c:pt>
                <c:pt idx="26">
                  <c:v>4719512.1951219505</c:v>
                </c:pt>
                <c:pt idx="27">
                  <c:v>4988821.1382113816</c:v>
                </c:pt>
                <c:pt idx="28">
                  <c:v>16773983.739837399</c:v>
                </c:pt>
                <c:pt idx="29">
                  <c:v>16893902.439024393</c:v>
                </c:pt>
                <c:pt idx="30">
                  <c:v>13352845.528455283</c:v>
                </c:pt>
                <c:pt idx="31">
                  <c:v>6385365.8536585364</c:v>
                </c:pt>
                <c:pt idx="32">
                  <c:v>22708536.585365854</c:v>
                </c:pt>
                <c:pt idx="33">
                  <c:v>371229.09090909094</c:v>
                </c:pt>
                <c:pt idx="34">
                  <c:v>262855.75757575751</c:v>
                </c:pt>
                <c:pt idx="35">
                  <c:v>322065.45454545459</c:v>
                </c:pt>
                <c:pt idx="36">
                  <c:v>2197032.7272727275</c:v>
                </c:pt>
                <c:pt idx="37">
                  <c:v>5073599.9999999991</c:v>
                </c:pt>
                <c:pt idx="38">
                  <c:v>458589.09090909094</c:v>
                </c:pt>
                <c:pt idx="39">
                  <c:v>3886459.6755199023</c:v>
                </c:pt>
                <c:pt idx="40">
                  <c:v>4096524.1930080554</c:v>
                </c:pt>
                <c:pt idx="41">
                  <c:v>942211.43069916673</c:v>
                </c:pt>
                <c:pt idx="42">
                  <c:v>201629.32790224033</c:v>
                </c:pt>
                <c:pt idx="43">
                  <c:v>134032.32323232325</c:v>
                </c:pt>
              </c:numCache>
            </c:numRef>
          </c:val>
          <c:smooth val="0"/>
          <c:extLst>
            <c:ext xmlns:c16="http://schemas.microsoft.com/office/drawing/2014/chart" uri="{C3380CC4-5D6E-409C-BE32-E72D297353CC}">
              <c16:uniqueId val="{00000002-C19B-4724-ACD6-1D85490D8A74}"/>
            </c:ext>
          </c:extLst>
        </c:ser>
        <c:dLbls>
          <c:showLegendKey val="0"/>
          <c:showVal val="0"/>
          <c:showCatName val="0"/>
          <c:showSerName val="0"/>
          <c:showPercent val="0"/>
          <c:showBubbleSize val="0"/>
        </c:dLbls>
        <c:marker val="1"/>
        <c:smooth val="0"/>
        <c:axId val="565014168"/>
        <c:axId val="565009904"/>
      </c:lineChart>
      <c:catAx>
        <c:axId val="56501416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r>
                  <a:rPr lang="en-ID" sz="700"/>
                  <a:t>Year and Months</a:t>
                </a:r>
              </a:p>
            </c:rich>
          </c:tx>
          <c:layout>
            <c:manualLayout>
              <c:xMode val="edge"/>
              <c:yMode val="edge"/>
              <c:x val="0.39040526239726248"/>
              <c:y val="0.9336999920464487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5009904"/>
        <c:crosses val="autoZero"/>
        <c:auto val="1"/>
        <c:lblAlgn val="ctr"/>
        <c:lblOffset val="100"/>
        <c:noMultiLvlLbl val="0"/>
      </c:catAx>
      <c:valAx>
        <c:axId val="565009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r>
                  <a:rPr lang="en-ID" sz="700"/>
                  <a:t>Abundance (cells/L)</a:t>
                </a:r>
              </a:p>
            </c:rich>
          </c:tx>
          <c:layout>
            <c:manualLayout>
              <c:xMode val="edge"/>
              <c:yMode val="edge"/>
              <c:x val="1.8504180936490745E-2"/>
              <c:y val="0.32273853092307125"/>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5014168"/>
        <c:crosses val="autoZero"/>
        <c:crossBetween val="between"/>
        <c:dispUnits>
          <c:builtInUnit val="tenMillions"/>
          <c:dispUnitsLbl>
            <c:layout>
              <c:manualLayout>
                <c:xMode val="edge"/>
                <c:yMode val="edge"/>
                <c:x val="2.0404140932197598E-2"/>
                <c:y val="7.7586780525673721E-2"/>
              </c:manualLayout>
            </c:layout>
            <c:spPr>
              <a:noFill/>
              <a:ln>
                <a:noFill/>
              </a:ln>
              <a:effectLst/>
            </c:spPr>
            <c:txPr>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legend>
      <c:legendPos val="b"/>
      <c:layout>
        <c:manualLayout>
          <c:xMode val="edge"/>
          <c:yMode val="edge"/>
          <c:x val="0.69722643246569471"/>
          <c:y val="0.18817870592262922"/>
          <c:w val="0.25398708267268638"/>
          <c:h val="0.34875729221631679"/>
        </c:manualLayout>
      </c:layout>
      <c:overlay val="0"/>
      <c:spPr>
        <a:noFill/>
        <a:ln>
          <a:noFill/>
        </a:ln>
        <a:effectLst/>
      </c:spPr>
      <c:txPr>
        <a:bodyPr rot="0" spcFirstLastPara="1" vertOverflow="ellipsis" vert="horz" wrap="square" anchor="ctr" anchorCtr="1"/>
        <a:lstStyle/>
        <a:p>
          <a:pPr>
            <a:defRPr sz="700" b="0" i="1"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Arial" panose="020B0604020202020204" pitchFamily="34" charset="0"/>
                <a:ea typeface="+mn-ea"/>
                <a:cs typeface="Arial" panose="020B0604020202020204" pitchFamily="34" charset="0"/>
              </a:defRPr>
            </a:pPr>
            <a:r>
              <a:rPr lang="en-ID" sz="900">
                <a:latin typeface="Arial" panose="020B0604020202020204" pitchFamily="34" charset="0"/>
                <a:cs typeface="Arial" panose="020B0604020202020204" pitchFamily="34" charset="0"/>
              </a:rPr>
              <a:t>Community Structure Indexes</a:t>
            </a:r>
          </a:p>
        </c:rich>
      </c:tx>
      <c:layout>
        <c:manualLayout>
          <c:xMode val="edge"/>
          <c:yMode val="edge"/>
          <c:x val="0.36820206619027201"/>
          <c:y val="3.107657071265673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778524698189658"/>
          <c:y val="0.12613189983800643"/>
          <c:w val="0.82398072291381286"/>
          <c:h val="0.63943713279442949"/>
        </c:manualLayout>
      </c:layout>
      <c:lineChart>
        <c:grouping val="standard"/>
        <c:varyColors val="0"/>
        <c:ser>
          <c:idx val="0"/>
          <c:order val="0"/>
          <c:tx>
            <c:strRef>
              <c:f>[DATA.xlsx]work!$G$1</c:f>
              <c:strCache>
                <c:ptCount val="1"/>
                <c:pt idx="0">
                  <c:v>(H')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[DATA.xlsx]work!$E$2:$F$45</c:f>
              <c:multiLvlStrCache>
                <c:ptCount val="44"/>
                <c:lvl>
                  <c:pt idx="0">
                    <c:v>Mr1</c:v>
                  </c:pt>
                  <c:pt idx="1">
                    <c:v>Mr2</c:v>
                  </c:pt>
                  <c:pt idx="2">
                    <c:v>Mr3</c:v>
                  </c:pt>
                  <c:pt idx="3">
                    <c:v>Mr4</c:v>
                  </c:pt>
                  <c:pt idx="4">
                    <c:v>My1</c:v>
                  </c:pt>
                  <c:pt idx="5">
                    <c:v>My2</c:v>
                  </c:pt>
                  <c:pt idx="6">
                    <c:v>My3</c:v>
                  </c:pt>
                  <c:pt idx="7">
                    <c:v>My4</c:v>
                  </c:pt>
                  <c:pt idx="8">
                    <c:v>Mr1</c:v>
                  </c:pt>
                  <c:pt idx="9">
                    <c:v>Mr2</c:v>
                  </c:pt>
                  <c:pt idx="10">
                    <c:v>Mr3</c:v>
                  </c:pt>
                  <c:pt idx="11">
                    <c:v>Jn1</c:v>
                  </c:pt>
                  <c:pt idx="12">
                    <c:v>Jn2</c:v>
                  </c:pt>
                  <c:pt idx="13">
                    <c:v>Jn3</c:v>
                  </c:pt>
                  <c:pt idx="14">
                    <c:v>Mr1</c:v>
                  </c:pt>
                  <c:pt idx="15">
                    <c:v>Mr3</c:v>
                  </c:pt>
                  <c:pt idx="16">
                    <c:v>Mr4</c:v>
                  </c:pt>
                  <c:pt idx="17">
                    <c:v>Mr5</c:v>
                  </c:pt>
                  <c:pt idx="18">
                    <c:v>My1</c:v>
                  </c:pt>
                  <c:pt idx="19">
                    <c:v>My2</c:v>
                  </c:pt>
                  <c:pt idx="20">
                    <c:v>My3</c:v>
                  </c:pt>
                  <c:pt idx="21">
                    <c:v>Jn1</c:v>
                  </c:pt>
                  <c:pt idx="22">
                    <c:v>Jn2</c:v>
                  </c:pt>
                  <c:pt idx="23">
                    <c:v>Mr1</c:v>
                  </c:pt>
                  <c:pt idx="24">
                    <c:v>Mr2</c:v>
                  </c:pt>
                  <c:pt idx="25">
                    <c:v>Mr3</c:v>
                  </c:pt>
                  <c:pt idx="26">
                    <c:v>Mr4</c:v>
                  </c:pt>
                  <c:pt idx="27">
                    <c:v>Mr5</c:v>
                  </c:pt>
                  <c:pt idx="28">
                    <c:v>Jl1</c:v>
                  </c:pt>
                  <c:pt idx="29">
                    <c:v>Jl2</c:v>
                  </c:pt>
                  <c:pt idx="30">
                    <c:v>Jl3</c:v>
                  </c:pt>
                  <c:pt idx="31">
                    <c:v>Jl4</c:v>
                  </c:pt>
                  <c:pt idx="32">
                    <c:v>Jl5</c:v>
                  </c:pt>
                  <c:pt idx="33">
                    <c:v>Mr1</c:v>
                  </c:pt>
                  <c:pt idx="34">
                    <c:v>Mr2</c:v>
                  </c:pt>
                  <c:pt idx="35">
                    <c:v>Mr3</c:v>
                  </c:pt>
                  <c:pt idx="36">
                    <c:v>My1</c:v>
                  </c:pt>
                  <c:pt idx="37">
                    <c:v>My2</c:v>
                  </c:pt>
                  <c:pt idx="38">
                    <c:v>My3</c:v>
                  </c:pt>
                  <c:pt idx="39">
                    <c:v>Jl1</c:v>
                  </c:pt>
                  <c:pt idx="40">
                    <c:v>Jl2</c:v>
                  </c:pt>
                  <c:pt idx="41">
                    <c:v>Jl3</c:v>
                  </c:pt>
                  <c:pt idx="42">
                    <c:v>Jl4</c:v>
                  </c:pt>
                  <c:pt idx="43">
                    <c:v>My1</c:v>
                  </c:pt>
                </c:lvl>
                <c:lvl>
                  <c:pt idx="0">
                    <c:v>Y2008</c:v>
                  </c:pt>
                  <c:pt idx="8">
                    <c:v>Y2009</c:v>
                  </c:pt>
                  <c:pt idx="14">
                    <c:v>Y2010</c:v>
                  </c:pt>
                  <c:pt idx="23">
                    <c:v>Y2011</c:v>
                  </c:pt>
                  <c:pt idx="33">
                    <c:v>Y2013</c:v>
                  </c:pt>
                  <c:pt idx="39">
                    <c:v>Y2015</c:v>
                  </c:pt>
                  <c:pt idx="43">
                    <c:v>Y2019</c:v>
                  </c:pt>
                </c:lvl>
              </c:multiLvlStrCache>
            </c:multiLvlStrRef>
          </c:cat>
          <c:val>
            <c:numRef>
              <c:f>[DATA.xlsx]work!$G$2:$G$45</c:f>
              <c:numCache>
                <c:formatCode>General</c:formatCode>
                <c:ptCount val="44"/>
                <c:pt idx="0">
                  <c:v>0.72800786499423986</c:v>
                </c:pt>
                <c:pt idx="1">
                  <c:v>0.71873298564459098</c:v>
                </c:pt>
                <c:pt idx="2">
                  <c:v>0.76490447844327181</c:v>
                </c:pt>
                <c:pt idx="3">
                  <c:v>0.73626930842145233</c:v>
                </c:pt>
                <c:pt idx="4">
                  <c:v>1.594385773519559</c:v>
                </c:pt>
                <c:pt idx="5">
                  <c:v>1.5141264232365208</c:v>
                </c:pt>
                <c:pt idx="6">
                  <c:v>1.2957831618004942</c:v>
                </c:pt>
                <c:pt idx="7">
                  <c:v>1.3404040370524768</c:v>
                </c:pt>
                <c:pt idx="8">
                  <c:v>1.6382713548204246</c:v>
                </c:pt>
                <c:pt idx="9">
                  <c:v>1.4358873069356921</c:v>
                </c:pt>
                <c:pt idx="10">
                  <c:v>1.5167543912957755</c:v>
                </c:pt>
                <c:pt idx="11">
                  <c:v>1.2287544792615568</c:v>
                </c:pt>
                <c:pt idx="12">
                  <c:v>1.8251680441545288</c:v>
                </c:pt>
                <c:pt idx="13">
                  <c:v>1.6224382568809372</c:v>
                </c:pt>
                <c:pt idx="14">
                  <c:v>0.74280667247402798</c:v>
                </c:pt>
                <c:pt idx="15">
                  <c:v>0.57290181715673283</c:v>
                </c:pt>
                <c:pt idx="16">
                  <c:v>0.83822119673688078</c:v>
                </c:pt>
                <c:pt idx="17">
                  <c:v>0.92107385193767333</c:v>
                </c:pt>
                <c:pt idx="18">
                  <c:v>0.84449631715748874</c:v>
                </c:pt>
                <c:pt idx="19">
                  <c:v>0.8734088802171136</c:v>
                </c:pt>
                <c:pt idx="20">
                  <c:v>0.96892417160268507</c:v>
                </c:pt>
                <c:pt idx="21">
                  <c:v>1.1449096767771267</c:v>
                </c:pt>
                <c:pt idx="22">
                  <c:v>1.1259200412107668</c:v>
                </c:pt>
                <c:pt idx="23">
                  <c:v>1.2288388840862317</c:v>
                </c:pt>
                <c:pt idx="24">
                  <c:v>1.2052611734921248</c:v>
                </c:pt>
                <c:pt idx="25">
                  <c:v>1.2284130930240722</c:v>
                </c:pt>
                <c:pt idx="26">
                  <c:v>1.3887600537590818</c:v>
                </c:pt>
                <c:pt idx="27">
                  <c:v>1.1427602919334074</c:v>
                </c:pt>
                <c:pt idx="28">
                  <c:v>1.3799797657641986</c:v>
                </c:pt>
                <c:pt idx="29">
                  <c:v>0.91526396009353461</c:v>
                </c:pt>
                <c:pt idx="30">
                  <c:v>0.88169298782393368</c:v>
                </c:pt>
                <c:pt idx="31">
                  <c:v>0.83252864104379309</c:v>
                </c:pt>
                <c:pt idx="32">
                  <c:v>1.1051905793004331</c:v>
                </c:pt>
                <c:pt idx="33">
                  <c:v>1.015268833074753</c:v>
                </c:pt>
                <c:pt idx="34">
                  <c:v>0.76935555868320871</c:v>
                </c:pt>
                <c:pt idx="35">
                  <c:v>0.79130361770346669</c:v>
                </c:pt>
                <c:pt idx="36">
                  <c:v>0.64629861443842307</c:v>
                </c:pt>
                <c:pt idx="37">
                  <c:v>0.79438549915469603</c:v>
                </c:pt>
                <c:pt idx="38">
                  <c:v>1.0380580662132088</c:v>
                </c:pt>
                <c:pt idx="39">
                  <c:v>1.0616941452585726</c:v>
                </c:pt>
                <c:pt idx="40">
                  <c:v>1.0336553954061674</c:v>
                </c:pt>
                <c:pt idx="41">
                  <c:v>1.1555963314622635</c:v>
                </c:pt>
                <c:pt idx="42">
                  <c:v>1.2471669010106132</c:v>
                </c:pt>
                <c:pt idx="43">
                  <c:v>1.2780033550236958</c:v>
                </c:pt>
              </c:numCache>
            </c:numRef>
          </c:val>
          <c:smooth val="0"/>
          <c:extLst>
            <c:ext xmlns:c16="http://schemas.microsoft.com/office/drawing/2014/chart" uri="{C3380CC4-5D6E-409C-BE32-E72D297353CC}">
              <c16:uniqueId val="{00000000-0D06-43B5-9213-BA7D57824E08}"/>
            </c:ext>
          </c:extLst>
        </c:ser>
        <c:ser>
          <c:idx val="1"/>
          <c:order val="1"/>
          <c:tx>
            <c:strRef>
              <c:f>[DATA.xlsx]work!$H$1</c:f>
              <c:strCache>
                <c:ptCount val="1"/>
                <c:pt idx="0">
                  <c:v> (E)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[DATA.xlsx]work!$E$2:$F$45</c:f>
              <c:multiLvlStrCache>
                <c:ptCount val="44"/>
                <c:lvl>
                  <c:pt idx="0">
                    <c:v>Mr1</c:v>
                  </c:pt>
                  <c:pt idx="1">
                    <c:v>Mr2</c:v>
                  </c:pt>
                  <c:pt idx="2">
                    <c:v>Mr3</c:v>
                  </c:pt>
                  <c:pt idx="3">
                    <c:v>Mr4</c:v>
                  </c:pt>
                  <c:pt idx="4">
                    <c:v>My1</c:v>
                  </c:pt>
                  <c:pt idx="5">
                    <c:v>My2</c:v>
                  </c:pt>
                  <c:pt idx="6">
                    <c:v>My3</c:v>
                  </c:pt>
                  <c:pt idx="7">
                    <c:v>My4</c:v>
                  </c:pt>
                  <c:pt idx="8">
                    <c:v>Mr1</c:v>
                  </c:pt>
                  <c:pt idx="9">
                    <c:v>Mr2</c:v>
                  </c:pt>
                  <c:pt idx="10">
                    <c:v>Mr3</c:v>
                  </c:pt>
                  <c:pt idx="11">
                    <c:v>Jn1</c:v>
                  </c:pt>
                  <c:pt idx="12">
                    <c:v>Jn2</c:v>
                  </c:pt>
                  <c:pt idx="13">
                    <c:v>Jn3</c:v>
                  </c:pt>
                  <c:pt idx="14">
                    <c:v>Mr1</c:v>
                  </c:pt>
                  <c:pt idx="15">
                    <c:v>Mr3</c:v>
                  </c:pt>
                  <c:pt idx="16">
                    <c:v>Mr4</c:v>
                  </c:pt>
                  <c:pt idx="17">
                    <c:v>Mr5</c:v>
                  </c:pt>
                  <c:pt idx="18">
                    <c:v>My1</c:v>
                  </c:pt>
                  <c:pt idx="19">
                    <c:v>My2</c:v>
                  </c:pt>
                  <c:pt idx="20">
                    <c:v>My3</c:v>
                  </c:pt>
                  <c:pt idx="21">
                    <c:v>Jn1</c:v>
                  </c:pt>
                  <c:pt idx="22">
                    <c:v>Jn2</c:v>
                  </c:pt>
                  <c:pt idx="23">
                    <c:v>Mr1</c:v>
                  </c:pt>
                  <c:pt idx="24">
                    <c:v>Mr2</c:v>
                  </c:pt>
                  <c:pt idx="25">
                    <c:v>Mr3</c:v>
                  </c:pt>
                  <c:pt idx="26">
                    <c:v>Mr4</c:v>
                  </c:pt>
                  <c:pt idx="27">
                    <c:v>Mr5</c:v>
                  </c:pt>
                  <c:pt idx="28">
                    <c:v>Jl1</c:v>
                  </c:pt>
                  <c:pt idx="29">
                    <c:v>Jl2</c:v>
                  </c:pt>
                  <c:pt idx="30">
                    <c:v>Jl3</c:v>
                  </c:pt>
                  <c:pt idx="31">
                    <c:v>Jl4</c:v>
                  </c:pt>
                  <c:pt idx="32">
                    <c:v>Jl5</c:v>
                  </c:pt>
                  <c:pt idx="33">
                    <c:v>Mr1</c:v>
                  </c:pt>
                  <c:pt idx="34">
                    <c:v>Mr2</c:v>
                  </c:pt>
                  <c:pt idx="35">
                    <c:v>Mr3</c:v>
                  </c:pt>
                  <c:pt idx="36">
                    <c:v>My1</c:v>
                  </c:pt>
                  <c:pt idx="37">
                    <c:v>My2</c:v>
                  </c:pt>
                  <c:pt idx="38">
                    <c:v>My3</c:v>
                  </c:pt>
                  <c:pt idx="39">
                    <c:v>Jl1</c:v>
                  </c:pt>
                  <c:pt idx="40">
                    <c:v>Jl2</c:v>
                  </c:pt>
                  <c:pt idx="41">
                    <c:v>Jl3</c:v>
                  </c:pt>
                  <c:pt idx="42">
                    <c:v>Jl4</c:v>
                  </c:pt>
                  <c:pt idx="43">
                    <c:v>My1</c:v>
                  </c:pt>
                </c:lvl>
                <c:lvl>
                  <c:pt idx="0">
                    <c:v>Y2008</c:v>
                  </c:pt>
                  <c:pt idx="8">
                    <c:v>Y2009</c:v>
                  </c:pt>
                  <c:pt idx="14">
                    <c:v>Y2010</c:v>
                  </c:pt>
                  <c:pt idx="23">
                    <c:v>Y2011</c:v>
                  </c:pt>
                  <c:pt idx="33">
                    <c:v>Y2013</c:v>
                  </c:pt>
                  <c:pt idx="39">
                    <c:v>Y2015</c:v>
                  </c:pt>
                  <c:pt idx="43">
                    <c:v>Y2019</c:v>
                  </c:pt>
                </c:lvl>
              </c:multiLvlStrCache>
            </c:multiLvlStrRef>
          </c:cat>
          <c:val>
            <c:numRef>
              <c:f>[DATA.xlsx]work!$H$2:$H$45</c:f>
              <c:numCache>
                <c:formatCode>General</c:formatCode>
                <c:ptCount val="44"/>
                <c:pt idx="0">
                  <c:v>0.30559521527739425</c:v>
                </c:pt>
                <c:pt idx="1">
                  <c:v>0.30603344887182354</c:v>
                </c:pt>
                <c:pt idx="2">
                  <c:v>0.30105262799707122</c:v>
                </c:pt>
                <c:pt idx="3">
                  <c:v>0.30975522156727592</c:v>
                </c:pt>
                <c:pt idx="4">
                  <c:v>0.61201776902819682</c:v>
                </c:pt>
                <c:pt idx="5">
                  <c:v>0.54934393656983671</c:v>
                </c:pt>
                <c:pt idx="6">
                  <c:v>0.53972647738525503</c:v>
                </c:pt>
                <c:pt idx="7">
                  <c:v>0.5068783320116621</c:v>
                </c:pt>
                <c:pt idx="8">
                  <c:v>0.58813675877754668</c:v>
                </c:pt>
                <c:pt idx="9">
                  <c:v>0.53689235878159947</c:v>
                </c:pt>
                <c:pt idx="10">
                  <c:v>0.58934086129557006</c:v>
                </c:pt>
                <c:pt idx="11">
                  <c:v>0.50422242509554027</c:v>
                </c:pt>
                <c:pt idx="12">
                  <c:v>0.6678159173205156</c:v>
                </c:pt>
                <c:pt idx="13">
                  <c:v>0.58355101095333628</c:v>
                </c:pt>
                <c:pt idx="14">
                  <c:v>0.44362818643237445</c:v>
                </c:pt>
                <c:pt idx="15">
                  <c:v>0.25303417846354631</c:v>
                </c:pt>
                <c:pt idx="16">
                  <c:v>0.48322900341310376</c:v>
                </c:pt>
                <c:pt idx="17">
                  <c:v>0.55539455140568061</c:v>
                </c:pt>
                <c:pt idx="18">
                  <c:v>0.39677580927908968</c:v>
                </c:pt>
                <c:pt idx="19">
                  <c:v>0.40707351757390331</c:v>
                </c:pt>
                <c:pt idx="20">
                  <c:v>0.45791717203082205</c:v>
                </c:pt>
                <c:pt idx="21">
                  <c:v>0.51221815615462496</c:v>
                </c:pt>
                <c:pt idx="22">
                  <c:v>0.50195862659382184</c:v>
                </c:pt>
                <c:pt idx="23">
                  <c:v>0.49743505074637956</c:v>
                </c:pt>
                <c:pt idx="24">
                  <c:v>0.49316967574053311</c:v>
                </c:pt>
                <c:pt idx="25">
                  <c:v>0.51486878983839068</c:v>
                </c:pt>
                <c:pt idx="26">
                  <c:v>0.53587813165692144</c:v>
                </c:pt>
                <c:pt idx="27">
                  <c:v>0.42198637657023114</c:v>
                </c:pt>
                <c:pt idx="28">
                  <c:v>0.5340641056046046</c:v>
                </c:pt>
                <c:pt idx="29">
                  <c:v>0.41614610222329845</c:v>
                </c:pt>
                <c:pt idx="30">
                  <c:v>0.39872869413708878</c:v>
                </c:pt>
                <c:pt idx="31">
                  <c:v>0.36779442618782882</c:v>
                </c:pt>
                <c:pt idx="32">
                  <c:v>0.51844230528421176</c:v>
                </c:pt>
                <c:pt idx="33">
                  <c:v>0.42576764234776443</c:v>
                </c:pt>
                <c:pt idx="34">
                  <c:v>0.31781440197087829</c:v>
                </c:pt>
                <c:pt idx="35">
                  <c:v>0.3157986605874778</c:v>
                </c:pt>
                <c:pt idx="36">
                  <c:v>0.24715970411120924</c:v>
                </c:pt>
                <c:pt idx="37">
                  <c:v>0.33806292692432482</c:v>
                </c:pt>
                <c:pt idx="38">
                  <c:v>0.40977132466264621</c:v>
                </c:pt>
                <c:pt idx="39">
                  <c:v>0.42518756206873737</c:v>
                </c:pt>
                <c:pt idx="40">
                  <c:v>0.40383977390753845</c:v>
                </c:pt>
                <c:pt idx="41">
                  <c:v>0.45180930301938704</c:v>
                </c:pt>
                <c:pt idx="42">
                  <c:v>0.47986849101572776</c:v>
                </c:pt>
                <c:pt idx="43">
                  <c:v>0.4720047614059053</c:v>
                </c:pt>
              </c:numCache>
            </c:numRef>
          </c:val>
          <c:smooth val="0"/>
          <c:extLst>
            <c:ext xmlns:c16="http://schemas.microsoft.com/office/drawing/2014/chart" uri="{C3380CC4-5D6E-409C-BE32-E72D297353CC}">
              <c16:uniqueId val="{00000001-0D06-43B5-9213-BA7D57824E08}"/>
            </c:ext>
          </c:extLst>
        </c:ser>
        <c:ser>
          <c:idx val="2"/>
          <c:order val="2"/>
          <c:tx>
            <c:strRef>
              <c:f>[DATA.xlsx]work!$I$1</c:f>
              <c:strCache>
                <c:ptCount val="1"/>
                <c:pt idx="0">
                  <c:v>(J)</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[DATA.xlsx]work!$E$2:$F$45</c:f>
              <c:multiLvlStrCache>
                <c:ptCount val="44"/>
                <c:lvl>
                  <c:pt idx="0">
                    <c:v>Mr1</c:v>
                  </c:pt>
                  <c:pt idx="1">
                    <c:v>Mr2</c:v>
                  </c:pt>
                  <c:pt idx="2">
                    <c:v>Mr3</c:v>
                  </c:pt>
                  <c:pt idx="3">
                    <c:v>Mr4</c:v>
                  </c:pt>
                  <c:pt idx="4">
                    <c:v>My1</c:v>
                  </c:pt>
                  <c:pt idx="5">
                    <c:v>My2</c:v>
                  </c:pt>
                  <c:pt idx="6">
                    <c:v>My3</c:v>
                  </c:pt>
                  <c:pt idx="7">
                    <c:v>My4</c:v>
                  </c:pt>
                  <c:pt idx="8">
                    <c:v>Mr1</c:v>
                  </c:pt>
                  <c:pt idx="9">
                    <c:v>Mr2</c:v>
                  </c:pt>
                  <c:pt idx="10">
                    <c:v>Mr3</c:v>
                  </c:pt>
                  <c:pt idx="11">
                    <c:v>Jn1</c:v>
                  </c:pt>
                  <c:pt idx="12">
                    <c:v>Jn2</c:v>
                  </c:pt>
                  <c:pt idx="13">
                    <c:v>Jn3</c:v>
                  </c:pt>
                  <c:pt idx="14">
                    <c:v>Mr1</c:v>
                  </c:pt>
                  <c:pt idx="15">
                    <c:v>Mr3</c:v>
                  </c:pt>
                  <c:pt idx="16">
                    <c:v>Mr4</c:v>
                  </c:pt>
                  <c:pt idx="17">
                    <c:v>Mr5</c:v>
                  </c:pt>
                  <c:pt idx="18">
                    <c:v>My1</c:v>
                  </c:pt>
                  <c:pt idx="19">
                    <c:v>My2</c:v>
                  </c:pt>
                  <c:pt idx="20">
                    <c:v>My3</c:v>
                  </c:pt>
                  <c:pt idx="21">
                    <c:v>Jn1</c:v>
                  </c:pt>
                  <c:pt idx="22">
                    <c:v>Jn2</c:v>
                  </c:pt>
                  <c:pt idx="23">
                    <c:v>Mr1</c:v>
                  </c:pt>
                  <c:pt idx="24">
                    <c:v>Mr2</c:v>
                  </c:pt>
                  <c:pt idx="25">
                    <c:v>Mr3</c:v>
                  </c:pt>
                  <c:pt idx="26">
                    <c:v>Mr4</c:v>
                  </c:pt>
                  <c:pt idx="27">
                    <c:v>Mr5</c:v>
                  </c:pt>
                  <c:pt idx="28">
                    <c:v>Jl1</c:v>
                  </c:pt>
                  <c:pt idx="29">
                    <c:v>Jl2</c:v>
                  </c:pt>
                  <c:pt idx="30">
                    <c:v>Jl3</c:v>
                  </c:pt>
                  <c:pt idx="31">
                    <c:v>Jl4</c:v>
                  </c:pt>
                  <c:pt idx="32">
                    <c:v>Jl5</c:v>
                  </c:pt>
                  <c:pt idx="33">
                    <c:v>Mr1</c:v>
                  </c:pt>
                  <c:pt idx="34">
                    <c:v>Mr2</c:v>
                  </c:pt>
                  <c:pt idx="35">
                    <c:v>Mr3</c:v>
                  </c:pt>
                  <c:pt idx="36">
                    <c:v>My1</c:v>
                  </c:pt>
                  <c:pt idx="37">
                    <c:v>My2</c:v>
                  </c:pt>
                  <c:pt idx="38">
                    <c:v>My3</c:v>
                  </c:pt>
                  <c:pt idx="39">
                    <c:v>Jl1</c:v>
                  </c:pt>
                  <c:pt idx="40">
                    <c:v>Jl2</c:v>
                  </c:pt>
                  <c:pt idx="41">
                    <c:v>Jl3</c:v>
                  </c:pt>
                  <c:pt idx="42">
                    <c:v>Jl4</c:v>
                  </c:pt>
                  <c:pt idx="43">
                    <c:v>My1</c:v>
                  </c:pt>
                </c:lvl>
                <c:lvl>
                  <c:pt idx="0">
                    <c:v>Y2008</c:v>
                  </c:pt>
                  <c:pt idx="8">
                    <c:v>Y2009</c:v>
                  </c:pt>
                  <c:pt idx="14">
                    <c:v>Y2010</c:v>
                  </c:pt>
                  <c:pt idx="23">
                    <c:v>Y2011</c:v>
                  </c:pt>
                  <c:pt idx="33">
                    <c:v>Y2013</c:v>
                  </c:pt>
                  <c:pt idx="39">
                    <c:v>Y2015</c:v>
                  </c:pt>
                  <c:pt idx="43">
                    <c:v>Y2019</c:v>
                  </c:pt>
                </c:lvl>
              </c:multiLvlStrCache>
            </c:multiLvlStrRef>
          </c:cat>
          <c:val>
            <c:numRef>
              <c:f>[DATA.xlsx]work!$I$2:$I$45</c:f>
              <c:numCache>
                <c:formatCode>General</c:formatCode>
                <c:ptCount val="44"/>
                <c:pt idx="0">
                  <c:v>0.53063335262595324</c:v>
                </c:pt>
                <c:pt idx="1">
                  <c:v>0.572772356583932</c:v>
                </c:pt>
                <c:pt idx="2">
                  <c:v>0.59151531536092972</c:v>
                </c:pt>
                <c:pt idx="3">
                  <c:v>0.55959212554557292</c:v>
                </c:pt>
                <c:pt idx="4">
                  <c:v>0.82789695703764443</c:v>
                </c:pt>
                <c:pt idx="5">
                  <c:v>0.88481120149142167</c:v>
                </c:pt>
                <c:pt idx="6">
                  <c:v>0.66470437527321535</c:v>
                </c:pt>
                <c:pt idx="7">
                  <c:v>0.85342130539349026</c:v>
                </c:pt>
                <c:pt idx="8">
                  <c:v>0.87183585851332857</c:v>
                </c:pt>
                <c:pt idx="9">
                  <c:v>0.7602401090085924</c:v>
                </c:pt>
                <c:pt idx="10">
                  <c:v>0.70651661674612887</c:v>
                </c:pt>
                <c:pt idx="11">
                  <c:v>0.55392553447476278</c:v>
                </c:pt>
                <c:pt idx="12">
                  <c:v>0.90832672215086918</c:v>
                </c:pt>
                <c:pt idx="13">
                  <c:v>0.91398239548407534</c:v>
                </c:pt>
                <c:pt idx="14">
                  <c:v>0.26980295855989128</c:v>
                </c:pt>
                <c:pt idx="15">
                  <c:v>0.41886732994652059</c:v>
                </c:pt>
                <c:pt idx="16">
                  <c:v>0.41640348784705261</c:v>
                </c:pt>
                <c:pt idx="17">
                  <c:v>0.25744275730086214</c:v>
                </c:pt>
                <c:pt idx="18">
                  <c:v>0.3754936222393761</c:v>
                </c:pt>
                <c:pt idx="19">
                  <c:v>0.37826797165568704</c:v>
                </c:pt>
                <c:pt idx="20">
                  <c:v>0.37393820638976172</c:v>
                </c:pt>
                <c:pt idx="21">
                  <c:v>0.40506038619302742</c:v>
                </c:pt>
                <c:pt idx="22">
                  <c:v>0.4166578718470702</c:v>
                </c:pt>
                <c:pt idx="23">
                  <c:v>0.63722548924691202</c:v>
                </c:pt>
                <c:pt idx="24">
                  <c:v>0.63362278952905648</c:v>
                </c:pt>
                <c:pt idx="25">
                  <c:v>0.58879926997363874</c:v>
                </c:pt>
                <c:pt idx="26">
                  <c:v>0.7111153946818739</c:v>
                </c:pt>
                <c:pt idx="27">
                  <c:v>0.76514906963347529</c:v>
                </c:pt>
                <c:pt idx="28">
                  <c:v>0.71817477764276105</c:v>
                </c:pt>
                <c:pt idx="29">
                  <c:v>0.46809627620155797</c:v>
                </c:pt>
                <c:pt idx="30">
                  <c:v>0.47174195008004849</c:v>
                </c:pt>
                <c:pt idx="31">
                  <c:v>0.48299158864071357</c:v>
                </c:pt>
                <c:pt idx="32">
                  <c:v>0.48134774810092712</c:v>
                </c:pt>
                <c:pt idx="33">
                  <c:v>0.55654514409684741</c:v>
                </c:pt>
                <c:pt idx="34">
                  <c:v>0.57356474304185157</c:v>
                </c:pt>
                <c:pt idx="35">
                  <c:v>0.62919065277630348</c:v>
                </c:pt>
                <c:pt idx="36">
                  <c:v>0.66685408509633048</c:v>
                </c:pt>
                <c:pt idx="37">
                  <c:v>0.53896805753717913</c:v>
                </c:pt>
                <c:pt idx="38">
                  <c:v>0.63816913996235969</c:v>
                </c:pt>
                <c:pt idx="39">
                  <c:v>0.63138462227402614</c:v>
                </c:pt>
                <c:pt idx="40">
                  <c:v>0.68836560381043133</c:v>
                </c:pt>
                <c:pt idx="41">
                  <c:v>0.71714232739653316</c:v>
                </c:pt>
                <c:pt idx="42">
                  <c:v>0.80036303216264604</c:v>
                </c:pt>
                <c:pt idx="43">
                  <c:v>0.898401622552778</c:v>
                </c:pt>
              </c:numCache>
            </c:numRef>
          </c:val>
          <c:smooth val="0"/>
          <c:extLst>
            <c:ext xmlns:c16="http://schemas.microsoft.com/office/drawing/2014/chart" uri="{C3380CC4-5D6E-409C-BE32-E72D297353CC}">
              <c16:uniqueId val="{00000002-0D06-43B5-9213-BA7D57824E08}"/>
            </c:ext>
          </c:extLst>
        </c:ser>
        <c:dLbls>
          <c:showLegendKey val="0"/>
          <c:showVal val="0"/>
          <c:showCatName val="0"/>
          <c:showSerName val="0"/>
          <c:showPercent val="0"/>
          <c:showBubbleSize val="0"/>
        </c:dLbls>
        <c:marker val="1"/>
        <c:smooth val="0"/>
        <c:axId val="601715552"/>
        <c:axId val="601716208"/>
      </c:lineChart>
      <c:catAx>
        <c:axId val="60171555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ID"/>
                  <a:t>Period (Year and Month)</a:t>
                </a:r>
              </a:p>
            </c:rich>
          </c:tx>
          <c:layout>
            <c:manualLayout>
              <c:xMode val="edge"/>
              <c:yMode val="edge"/>
              <c:x val="0.37014416794178157"/>
              <c:y val="0.928709612424342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1716208"/>
        <c:crosses val="autoZero"/>
        <c:auto val="1"/>
        <c:lblAlgn val="ctr"/>
        <c:lblOffset val="100"/>
        <c:noMultiLvlLbl val="0"/>
      </c:catAx>
      <c:valAx>
        <c:axId val="6017162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ID"/>
                  <a:t>Index Values</a:t>
                </a:r>
              </a:p>
            </c:rich>
          </c:tx>
          <c:layout>
            <c:manualLayout>
              <c:xMode val="edge"/>
              <c:yMode val="edge"/>
              <c:x val="1.6866296373659731E-2"/>
              <c:y val="0.3424827730719944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1715552"/>
        <c:crosses val="autoZero"/>
        <c:crossBetween val="between"/>
      </c:valAx>
      <c:spPr>
        <a:noFill/>
        <a:ln>
          <a:noFill/>
        </a:ln>
        <a:effectLst/>
      </c:spPr>
    </c:plotArea>
    <c:legend>
      <c:legendPos val="b"/>
      <c:layout>
        <c:manualLayout>
          <c:xMode val="edge"/>
          <c:yMode val="edge"/>
          <c:x val="0.48086978824079513"/>
          <c:y val="0.14869806515772388"/>
          <c:w val="0.43145122315061823"/>
          <c:h val="6.78604674435501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0">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EBABCF-3C18-49C4-9FB9-7CC8FE01C544}">
  <we:reference id="wa200000368" version="1.0.0.0" store="en-US" storeType="OMEX"/>
  <we:alternateReferences>
    <we:reference id="wa200000368" version="1.0.0.0" store="WA200000368" storeType="OMEX"/>
  </we:alternateReferences>
  <we:properties>
    <we:property name="documentId" value="&quot;c0af6684ff14b10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A89DD-63A6-4FC6-95F6-35E5CAFB3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24</Pages>
  <Words>8587</Words>
  <Characters>48947</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SDI 1186</cp:lastModifiedBy>
  <cp:revision>9</cp:revision>
  <cp:lastPrinted>2025-11-15T06:57:00Z</cp:lastPrinted>
  <dcterms:created xsi:type="dcterms:W3CDTF">2025-11-29T09:16:00Z</dcterms:created>
  <dcterms:modified xsi:type="dcterms:W3CDTF">2025-12-01T10:33:00Z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f7e71ca1-c88b-40ed-aede-50429b17dcfe</vt:lpwstr>
  </property>
</Properties>
</file>