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E03" w:rsidRDefault="006D1C76">
      <w:pPr>
        <w:ind w:firstLineChars="50" w:firstLine="160"/>
        <w:rPr>
          <w:rFonts w:ascii="Arial" w:hAnsi="Arial" w:cs="Arial"/>
          <w:b/>
          <w:bCs/>
          <w:sz w:val="32"/>
          <w:szCs w:val="32"/>
          <w:lang w:val="en-IN"/>
        </w:rPr>
      </w:pPr>
      <w:bookmarkStart w:id="0" w:name="_GoBack"/>
      <w:bookmarkEnd w:id="0"/>
      <w:r>
        <w:rPr>
          <w:rFonts w:ascii="Arial" w:hAnsi="Arial" w:cs="Arial"/>
          <w:b/>
          <w:bCs/>
          <w:sz w:val="32"/>
          <w:szCs w:val="32"/>
          <w:lang w:val="en-IN"/>
        </w:rPr>
        <w:t xml:space="preserve"> INCIDENCE OF CONGENITAL GOITRE IN GOATS,</w:t>
      </w:r>
    </w:p>
    <w:p w:rsidR="00B42E03" w:rsidRDefault="006D1C76">
      <w:pPr>
        <w:ind w:leftChars="719" w:left="2398" w:hangingChars="300" w:hanging="960"/>
        <w:rPr>
          <w:rFonts w:ascii="Arial" w:hAnsi="Arial" w:cs="Arial"/>
          <w:b/>
          <w:bCs/>
          <w:sz w:val="32"/>
          <w:szCs w:val="32"/>
          <w:lang w:val="en-IN"/>
        </w:rPr>
      </w:pPr>
      <w:r>
        <w:rPr>
          <w:rFonts w:ascii="Arial" w:hAnsi="Arial" w:cs="Arial"/>
          <w:b/>
          <w:bCs/>
          <w:sz w:val="32"/>
          <w:szCs w:val="32"/>
          <w:lang w:val="en-IN"/>
        </w:rPr>
        <w:t xml:space="preserve">IN AND AROUND HYDERABAD, INDIA </w:t>
      </w:r>
    </w:p>
    <w:p w:rsidR="00B42E03" w:rsidRDefault="00B42E03">
      <w:pPr>
        <w:ind w:leftChars="719" w:left="2398" w:hangingChars="300" w:hanging="960"/>
        <w:rPr>
          <w:rFonts w:ascii="Arial" w:hAnsi="Arial" w:cs="Arial"/>
          <w:b/>
          <w:bCs/>
          <w:sz w:val="32"/>
          <w:szCs w:val="32"/>
          <w:lang w:val="en-IN"/>
        </w:rPr>
      </w:pPr>
    </w:p>
    <w:p w:rsidR="00B42E03" w:rsidRDefault="00B42E03">
      <w:pPr>
        <w:jc w:val="center"/>
        <w:rPr>
          <w:rFonts w:ascii="Arial" w:hAnsi="Arial" w:cs="Arial"/>
          <w:b/>
          <w:bCs/>
          <w:sz w:val="22"/>
          <w:szCs w:val="22"/>
          <w:lang w:val="en-IN"/>
        </w:rPr>
      </w:pPr>
    </w:p>
    <w:p w:rsidR="00B42E03" w:rsidRDefault="00B42E03">
      <w:pPr>
        <w:jc w:val="center"/>
        <w:rPr>
          <w:rFonts w:ascii="Arial" w:hAnsi="Arial" w:cs="Arial"/>
          <w:b/>
          <w:bCs/>
          <w:sz w:val="22"/>
          <w:szCs w:val="22"/>
          <w:lang w:val="en-IN"/>
        </w:rPr>
      </w:pPr>
    </w:p>
    <w:p w:rsidR="00B42E03" w:rsidRDefault="00B42E03">
      <w:pPr>
        <w:jc w:val="center"/>
        <w:rPr>
          <w:rFonts w:ascii="Arial" w:hAnsi="Arial" w:cs="Arial"/>
          <w:b/>
          <w:bCs/>
          <w:sz w:val="22"/>
          <w:szCs w:val="22"/>
          <w:lang w:val="en-IN"/>
        </w:rPr>
      </w:pPr>
    </w:p>
    <w:p w:rsidR="00EC3403" w:rsidRDefault="00EC3403">
      <w:pPr>
        <w:jc w:val="center"/>
        <w:rPr>
          <w:rFonts w:ascii="Arial" w:hAnsi="Arial" w:cs="Arial"/>
          <w:b/>
          <w:bCs/>
          <w:sz w:val="22"/>
          <w:szCs w:val="22"/>
          <w:lang w:val="en-IN"/>
        </w:rPr>
      </w:pPr>
    </w:p>
    <w:p w:rsidR="00B42E03" w:rsidRDefault="006D1C76">
      <w:pPr>
        <w:jc w:val="center"/>
        <w:rPr>
          <w:rFonts w:ascii="Arial" w:hAnsi="Arial" w:cs="Arial"/>
          <w:b/>
          <w:bCs/>
          <w:sz w:val="22"/>
          <w:szCs w:val="22"/>
          <w:lang w:val="en-IN"/>
        </w:rPr>
      </w:pPr>
      <w:r>
        <w:rPr>
          <w:rFonts w:ascii="Arial" w:hAnsi="Arial" w:cs="Arial"/>
          <w:b/>
          <w:bCs/>
          <w:sz w:val="22"/>
          <w:szCs w:val="22"/>
          <w:lang w:val="en-IN"/>
        </w:rPr>
        <w:t>ABSTRACT</w:t>
      </w:r>
    </w:p>
    <w:p w:rsidR="00EC3403" w:rsidRDefault="00EC3403">
      <w:pPr>
        <w:jc w:val="center"/>
        <w:rPr>
          <w:rFonts w:ascii="Arial" w:hAnsi="Arial" w:cs="Arial"/>
          <w:b/>
          <w:bCs/>
          <w:sz w:val="24"/>
          <w:szCs w:val="24"/>
          <w:vertAlign w:val="superscript"/>
          <w:lang w:val="en-IN"/>
        </w:rPr>
      </w:pPr>
    </w:p>
    <w:p w:rsidR="00793462" w:rsidRDefault="00793462">
      <w:pPr>
        <w:jc w:val="both"/>
        <w:rPr>
          <w:rFonts w:ascii="Arial" w:hAnsi="Arial" w:cs="Arial"/>
          <w:b/>
          <w:bCs/>
          <w:sz w:val="22"/>
          <w:szCs w:val="22"/>
          <w:lang w:val="en-IN"/>
        </w:rPr>
      </w:pPr>
      <w:r w:rsidRPr="00793462">
        <w:rPr>
          <w:rFonts w:ascii="Arial" w:hAnsi="Arial" w:cs="Arial"/>
          <w:b/>
          <w:bCs/>
          <w:sz w:val="22"/>
          <w:szCs w:val="22"/>
          <w:lang w:val="en-IN"/>
        </w:rPr>
        <w:t xml:space="preserve">Background: </w:t>
      </w:r>
      <w:r w:rsidRPr="00EC3403">
        <w:rPr>
          <w:rFonts w:ascii="Arial" w:hAnsi="Arial" w:cs="Arial"/>
          <w:lang w:val="en-IN"/>
        </w:rPr>
        <w:t>Goitre can affect all domestic mammals, birds, and other vertebrates; it is most commonly reported in goat kids, particularly in endemic areas. The pathogenesis of goitre involves multiple etiological factors, including primary iodine deficiency, secondary goitrogen exposure, excessive dietary iodine, and, rarely, inherited enzymatic defects affecting thyroid hormone synthesis.</w:t>
      </w:r>
    </w:p>
    <w:p w:rsidR="00B42E03" w:rsidRDefault="006D1C76">
      <w:pPr>
        <w:jc w:val="both"/>
        <w:rPr>
          <w:rFonts w:ascii="Arial" w:hAnsi="Arial" w:cs="Arial"/>
          <w:b/>
          <w:bCs/>
          <w:lang w:val="en-IN"/>
        </w:rPr>
      </w:pPr>
      <w:r>
        <w:rPr>
          <w:rFonts w:ascii="Arial" w:hAnsi="Arial" w:cs="Arial"/>
          <w:b/>
          <w:bCs/>
          <w:sz w:val="22"/>
          <w:szCs w:val="22"/>
          <w:lang w:val="en-IN"/>
        </w:rPr>
        <w:t>Aim:</w:t>
      </w:r>
      <w:r>
        <w:rPr>
          <w:rFonts w:ascii="Arial" w:hAnsi="Arial" w:cs="Arial"/>
          <w:b/>
          <w:bCs/>
          <w:sz w:val="22"/>
          <w:szCs w:val="22"/>
          <w:lang w:val="en-IN"/>
        </w:rPr>
        <w:br/>
      </w:r>
      <w:r>
        <w:rPr>
          <w:rFonts w:ascii="Arial" w:hAnsi="Arial" w:cs="Arial"/>
          <w:lang w:val="en-IN"/>
        </w:rPr>
        <w:t>The present study was conducted to determine the incidence, clinical features, diagnostic findings, and therapeutic response of congenital goitre in goats.</w:t>
      </w:r>
    </w:p>
    <w:p w:rsidR="00B42E03" w:rsidRDefault="006D1C76">
      <w:pPr>
        <w:jc w:val="both"/>
        <w:rPr>
          <w:rFonts w:ascii="Arial" w:hAnsi="Arial" w:cs="Arial"/>
          <w:lang w:val="en-IN"/>
        </w:rPr>
      </w:pPr>
      <w:r>
        <w:rPr>
          <w:rFonts w:ascii="Arial" w:hAnsi="Arial" w:cs="Arial"/>
          <w:b/>
          <w:bCs/>
          <w:sz w:val="22"/>
          <w:szCs w:val="22"/>
          <w:lang w:val="en-IN"/>
        </w:rPr>
        <w:t>Study Design:</w:t>
      </w:r>
      <w:r>
        <w:rPr>
          <w:rFonts w:ascii="Arial" w:eastAsia="Times New Roman" w:hAnsi="Arial" w:cs="Arial"/>
          <w:color w:val="000000"/>
          <w:lang w:val="en-IN" w:eastAsia="en-IN"/>
        </w:rPr>
        <w:t xml:space="preserve"> </w:t>
      </w:r>
      <w:r>
        <w:rPr>
          <w:rFonts w:ascii="Arial" w:hAnsi="Arial" w:cs="Arial"/>
          <w:lang w:val="en-IN"/>
        </w:rPr>
        <w:t xml:space="preserve">The goats that were presented to </w:t>
      </w:r>
      <w:proofErr w:type="spellStart"/>
      <w:r>
        <w:rPr>
          <w:rFonts w:ascii="Arial" w:hAnsi="Arial" w:cs="Arial"/>
          <w:lang w:val="en-IN"/>
        </w:rPr>
        <w:t>C.</w:t>
      </w:r>
      <w:proofErr w:type="gramStart"/>
      <w:r>
        <w:rPr>
          <w:rFonts w:ascii="Arial" w:hAnsi="Arial" w:cs="Arial"/>
          <w:lang w:val="en-IN"/>
        </w:rPr>
        <w:t>V.Sc</w:t>
      </w:r>
      <w:proofErr w:type="spellEnd"/>
      <w:proofErr w:type="gramEnd"/>
      <w:r>
        <w:rPr>
          <w:rFonts w:ascii="Arial" w:hAnsi="Arial" w:cs="Arial"/>
          <w:lang w:val="en-IN"/>
        </w:rPr>
        <w:t xml:space="preserve">, </w:t>
      </w:r>
      <w:proofErr w:type="spellStart"/>
      <w:r>
        <w:rPr>
          <w:rFonts w:ascii="Arial" w:hAnsi="Arial" w:cs="Arial"/>
          <w:lang w:val="en-IN"/>
        </w:rPr>
        <w:t>Rjendranagar</w:t>
      </w:r>
      <w:proofErr w:type="spellEnd"/>
      <w:r>
        <w:rPr>
          <w:rFonts w:ascii="Arial" w:hAnsi="Arial" w:cs="Arial"/>
          <w:lang w:val="en-IN"/>
        </w:rPr>
        <w:t xml:space="preserve"> and referred from various dispensaries in and around Hyderabad with swelling at ventral neck formed the material for the study. The incidence of goitre based on breed, age and gender was </w:t>
      </w:r>
      <w:proofErr w:type="spellStart"/>
      <w:r>
        <w:rPr>
          <w:rFonts w:ascii="Arial" w:hAnsi="Arial" w:cs="Arial"/>
          <w:lang w:val="en-IN"/>
        </w:rPr>
        <w:t>analyzed</w:t>
      </w:r>
      <w:proofErr w:type="spellEnd"/>
      <w:r>
        <w:rPr>
          <w:rFonts w:ascii="Arial" w:hAnsi="Arial" w:cs="Arial"/>
          <w:lang w:val="en-IN"/>
        </w:rPr>
        <w:t>.</w:t>
      </w:r>
    </w:p>
    <w:p w:rsidR="00B42E03" w:rsidRDefault="006D1C76">
      <w:pPr>
        <w:jc w:val="both"/>
        <w:rPr>
          <w:rFonts w:ascii="Arial" w:hAnsi="Arial" w:cs="Arial"/>
          <w:lang w:val="en-IN"/>
        </w:rPr>
      </w:pPr>
      <w:r>
        <w:rPr>
          <w:rFonts w:ascii="Arial" w:hAnsi="Arial" w:cs="Arial"/>
          <w:b/>
          <w:bCs/>
          <w:sz w:val="22"/>
          <w:szCs w:val="22"/>
          <w:lang w:val="en-IN"/>
        </w:rPr>
        <w:t>Place and Duration of Study:</w:t>
      </w:r>
      <w:r>
        <w:rPr>
          <w:rFonts w:ascii="Arial" w:hAnsi="Arial" w:cs="Arial"/>
          <w:b/>
          <w:bCs/>
          <w:sz w:val="22"/>
          <w:szCs w:val="22"/>
          <w:lang w:val="en-IN"/>
        </w:rPr>
        <w:br/>
      </w:r>
      <w:r>
        <w:rPr>
          <w:rFonts w:ascii="Arial" w:hAnsi="Arial" w:cs="Arial"/>
          <w:lang w:val="en-IN"/>
        </w:rPr>
        <w:t xml:space="preserve">The study was carried out in goat populations presented to </w:t>
      </w:r>
      <w:r>
        <w:rPr>
          <w:rFonts w:ascii="Arial" w:hAnsi="Arial" w:cs="Arial"/>
        </w:rPr>
        <w:t xml:space="preserve">Veterinary Clinical Complex (VCC), College of Veterinary Science, </w:t>
      </w:r>
      <w:proofErr w:type="spellStart"/>
      <w:r>
        <w:rPr>
          <w:rFonts w:ascii="Arial" w:hAnsi="Arial" w:cs="Arial"/>
        </w:rPr>
        <w:t>Rajendranagar</w:t>
      </w:r>
      <w:proofErr w:type="spellEnd"/>
      <w:r>
        <w:rPr>
          <w:rFonts w:ascii="Arial" w:hAnsi="Arial" w:cs="Arial"/>
        </w:rPr>
        <w:t>, Hyderabad, from April 2024 to</w:t>
      </w:r>
      <w:r>
        <w:rPr>
          <w:rFonts w:ascii="Arial" w:hAnsi="Arial" w:cs="Arial"/>
          <w:lang w:val="en-IN"/>
        </w:rPr>
        <w:t xml:space="preserve"> April </w:t>
      </w:r>
      <w:r>
        <w:rPr>
          <w:rFonts w:ascii="Arial" w:hAnsi="Arial" w:cs="Arial"/>
        </w:rPr>
        <w:t>202</w:t>
      </w:r>
      <w:r>
        <w:rPr>
          <w:rFonts w:ascii="Arial" w:hAnsi="Arial" w:cs="Arial"/>
          <w:lang w:val="en-IN"/>
        </w:rPr>
        <w:t>5.</w:t>
      </w:r>
    </w:p>
    <w:p w:rsidR="00B42E03" w:rsidRDefault="006D1C76">
      <w:pPr>
        <w:jc w:val="both"/>
        <w:rPr>
          <w:rFonts w:ascii="Arial" w:hAnsi="Arial" w:cs="Arial"/>
          <w:b/>
          <w:bCs/>
          <w:lang w:val="en-IN"/>
        </w:rPr>
      </w:pPr>
      <w:r>
        <w:rPr>
          <w:rFonts w:ascii="Arial" w:hAnsi="Arial" w:cs="Arial"/>
          <w:b/>
          <w:bCs/>
          <w:sz w:val="22"/>
          <w:szCs w:val="22"/>
          <w:lang w:val="en-IN"/>
        </w:rPr>
        <w:t>Methodology:</w:t>
      </w:r>
      <w:r>
        <w:rPr>
          <w:rFonts w:ascii="Arial" w:hAnsi="Arial" w:cs="Arial"/>
          <w:b/>
          <w:bCs/>
          <w:sz w:val="22"/>
          <w:szCs w:val="22"/>
          <w:lang w:val="en-IN"/>
        </w:rPr>
        <w:br/>
      </w:r>
      <w:r>
        <w:rPr>
          <w:rFonts w:ascii="Arial" w:hAnsi="Arial" w:cs="Arial"/>
          <w:lang w:val="en-IN"/>
        </w:rPr>
        <w:t>A total of 1,762 goats were screened for thyroid enlargement. Clinical examination, fine needle aspiration, haematological and serum biochemical analyses, thyroid hormone assays (T</w:t>
      </w:r>
      <w:r>
        <w:rPr>
          <w:rFonts w:ascii="Cambria Math" w:hAnsi="Cambria Math" w:cs="Cambria Math"/>
          <w:lang w:val="en-IN"/>
        </w:rPr>
        <w:t>₃</w:t>
      </w:r>
      <w:r>
        <w:rPr>
          <w:rFonts w:ascii="Arial" w:hAnsi="Arial" w:cs="Arial"/>
          <w:lang w:val="en-IN"/>
        </w:rPr>
        <w:t>, T</w:t>
      </w:r>
      <w:r>
        <w:rPr>
          <w:rFonts w:ascii="Cambria Math" w:hAnsi="Cambria Math" w:cs="Cambria Math"/>
          <w:lang w:val="en-IN"/>
        </w:rPr>
        <w:t>₄</w:t>
      </w:r>
      <w:r>
        <w:rPr>
          <w:rFonts w:ascii="Arial" w:hAnsi="Arial" w:cs="Arial"/>
          <w:lang w:val="en-IN"/>
        </w:rPr>
        <w:t xml:space="preserve">, and TSH), radiography, ultrasonography, and histopathology were performed in affected animals. </w:t>
      </w:r>
      <w:proofErr w:type="spellStart"/>
      <w:r>
        <w:rPr>
          <w:rFonts w:ascii="Arial" w:hAnsi="Arial" w:cs="Arial"/>
          <w:lang w:val="en-IN"/>
        </w:rPr>
        <w:t>Goitrous</w:t>
      </w:r>
      <w:proofErr w:type="spellEnd"/>
      <w:r>
        <w:rPr>
          <w:rFonts w:ascii="Arial" w:hAnsi="Arial" w:cs="Arial"/>
          <w:lang w:val="en-IN"/>
        </w:rPr>
        <w:t xml:space="preserve"> kids were treated with sodium levothyroxine (20 µg/kg body weight orally, once daily) and potassium iodide (0.2 mg/kg body weight orally, once daily) for 10 days, and the therapeutic response was evaluated.</w:t>
      </w:r>
    </w:p>
    <w:p w:rsidR="00B42E03" w:rsidRDefault="006D1C76">
      <w:pPr>
        <w:jc w:val="both"/>
        <w:rPr>
          <w:rFonts w:ascii="Arial" w:hAnsi="Arial" w:cs="Arial"/>
          <w:sz w:val="22"/>
          <w:szCs w:val="22"/>
          <w:lang w:val="en-IN"/>
        </w:rPr>
      </w:pPr>
      <w:r>
        <w:rPr>
          <w:rFonts w:ascii="Arial" w:hAnsi="Arial" w:cs="Arial"/>
          <w:b/>
          <w:bCs/>
          <w:sz w:val="22"/>
          <w:szCs w:val="22"/>
          <w:lang w:val="en-IN"/>
        </w:rPr>
        <w:t>Results:</w:t>
      </w:r>
      <w:r>
        <w:rPr>
          <w:rFonts w:ascii="Arial" w:hAnsi="Arial" w:cs="Arial"/>
          <w:b/>
          <w:bCs/>
          <w:sz w:val="22"/>
          <w:szCs w:val="22"/>
          <w:lang w:val="en-IN"/>
        </w:rPr>
        <w:br/>
      </w:r>
      <w:r>
        <w:rPr>
          <w:rFonts w:ascii="Arial" w:hAnsi="Arial" w:cs="Arial"/>
          <w:lang w:val="en-IN"/>
        </w:rPr>
        <w:t xml:space="preserve">Out of 1,762 goats examined, 18 were found to be affected with congenital goitre, yielding an incidence of 1.02%. The condition was more frequent in males (61.11%) and in goats below 6 months of age (66.67%). Breed-wise, Malabari goats showed the highest occurrence (38.89%). Clinically, all affected animals exhibited bilateral thyroid enlargement, with common signs including failure to thrive (61.11%), </w:t>
      </w:r>
      <w:proofErr w:type="spellStart"/>
      <w:r>
        <w:rPr>
          <w:rFonts w:ascii="Arial" w:hAnsi="Arial" w:cs="Arial"/>
          <w:lang w:val="en-IN"/>
        </w:rPr>
        <w:t>dyspnea</w:t>
      </w:r>
      <w:proofErr w:type="spellEnd"/>
      <w:r>
        <w:rPr>
          <w:rFonts w:ascii="Arial" w:hAnsi="Arial" w:cs="Arial"/>
          <w:lang w:val="en-IN"/>
        </w:rPr>
        <w:t xml:space="preserve"> (50%), weakness (38.89%), sparse hair coat (33.33%), alopecia (27.78%), and </w:t>
      </w:r>
      <w:proofErr w:type="spellStart"/>
      <w:r>
        <w:rPr>
          <w:rFonts w:ascii="Arial" w:hAnsi="Arial" w:cs="Arial"/>
          <w:lang w:val="en-IN"/>
        </w:rPr>
        <w:t>myxedema</w:t>
      </w:r>
      <w:proofErr w:type="spellEnd"/>
      <w:r>
        <w:rPr>
          <w:rFonts w:ascii="Arial" w:hAnsi="Arial" w:cs="Arial"/>
          <w:lang w:val="en-IN"/>
        </w:rPr>
        <w:t xml:space="preserve"> (5.55%). Haematology revealed significantly lower haemoglobin and erythrocyte counts, while serum cholesterol levels were significantly elevated. Thyroid function tests showed significant </w:t>
      </w:r>
      <w:r>
        <w:rPr>
          <w:rStyle w:val="Strong"/>
          <w:rFonts w:ascii="Arial" w:hAnsi="Arial" w:cs="Arial"/>
          <w:b w:val="0"/>
          <w:bCs w:val="0"/>
        </w:rPr>
        <w:t>(p &lt; 0.05)</w:t>
      </w:r>
      <w:r>
        <w:rPr>
          <w:rFonts w:ascii="Arial" w:hAnsi="Arial" w:cs="Arial"/>
        </w:rPr>
        <w:t xml:space="preserve"> </w:t>
      </w:r>
      <w:r>
        <w:rPr>
          <w:rFonts w:ascii="Arial" w:hAnsi="Arial" w:cs="Arial"/>
          <w:lang w:val="en-IN"/>
        </w:rPr>
        <w:t xml:space="preserve">decrease </w:t>
      </w:r>
      <w:proofErr w:type="gramStart"/>
      <w:r>
        <w:rPr>
          <w:rFonts w:ascii="Arial" w:hAnsi="Arial" w:cs="Arial"/>
          <w:lang w:val="en-IN"/>
        </w:rPr>
        <w:t>in  serum</w:t>
      </w:r>
      <w:proofErr w:type="gramEnd"/>
      <w:r>
        <w:rPr>
          <w:rFonts w:ascii="Arial" w:hAnsi="Arial" w:cs="Arial"/>
          <w:lang w:val="en-IN"/>
        </w:rPr>
        <w:t xml:space="preserve"> T</w:t>
      </w:r>
      <w:r>
        <w:rPr>
          <w:rFonts w:ascii="Cambria Math" w:hAnsi="Cambria Math" w:cs="Cambria Math"/>
          <w:lang w:val="en-IN"/>
        </w:rPr>
        <w:t>₃</w:t>
      </w:r>
      <w:r>
        <w:rPr>
          <w:rFonts w:ascii="Arial" w:hAnsi="Arial" w:cs="Arial"/>
          <w:lang w:val="en-IN"/>
        </w:rPr>
        <w:t xml:space="preserve"> and T</w:t>
      </w:r>
      <w:r>
        <w:rPr>
          <w:rFonts w:ascii="Cambria Math" w:hAnsi="Cambria Math" w:cs="Cambria Math"/>
          <w:lang w:val="en-IN"/>
        </w:rPr>
        <w:t>₄</w:t>
      </w:r>
      <w:r>
        <w:rPr>
          <w:rFonts w:ascii="Arial" w:hAnsi="Arial" w:cs="Arial"/>
          <w:lang w:val="en-IN"/>
        </w:rPr>
        <w:t xml:space="preserve"> with elevated TSH levels, indicating hypothyroidism. Radiographs revealed increased soft tissue opacity in the ventral neck, and ultrasonography demonstrated bilateral thyroid enlargement with heterogeneous echotexture, hypoechoic areas, and increased vascularity. Histopathology confirmed hyperplastic changes with </w:t>
      </w:r>
      <w:proofErr w:type="spellStart"/>
      <w:r>
        <w:rPr>
          <w:rFonts w:ascii="Arial" w:hAnsi="Arial" w:cs="Arial"/>
          <w:lang w:val="en-IN"/>
        </w:rPr>
        <w:t>multilayered</w:t>
      </w:r>
      <w:proofErr w:type="spellEnd"/>
      <w:r>
        <w:rPr>
          <w:rFonts w:ascii="Arial" w:hAnsi="Arial" w:cs="Arial"/>
          <w:lang w:val="en-IN"/>
        </w:rPr>
        <w:t xml:space="preserve"> follicular epithelium, colloid depletion, papillary projections, and hyperchromatic columnar cells. Therapeutic management with levothyroxine and potassium iodide resulted in marked clinical and hormonal improvement in 16 out of 18 (88.89%) treated animals</w:t>
      </w:r>
      <w:r>
        <w:rPr>
          <w:rFonts w:ascii="Arial" w:hAnsi="Arial" w:cs="Arial"/>
          <w:sz w:val="22"/>
          <w:szCs w:val="22"/>
          <w:lang w:val="en-IN"/>
        </w:rPr>
        <w:t>.</w:t>
      </w:r>
    </w:p>
    <w:p w:rsidR="00B42E03" w:rsidRDefault="006D1C76">
      <w:pPr>
        <w:jc w:val="both"/>
        <w:rPr>
          <w:rFonts w:ascii="Arial" w:hAnsi="Arial" w:cs="Arial"/>
          <w:lang w:val="en-IN"/>
        </w:rPr>
      </w:pPr>
      <w:r>
        <w:rPr>
          <w:rFonts w:ascii="Arial" w:hAnsi="Arial" w:cs="Arial"/>
          <w:b/>
          <w:bCs/>
          <w:sz w:val="22"/>
          <w:szCs w:val="22"/>
          <w:lang w:val="en-IN"/>
        </w:rPr>
        <w:t>Conclusion:</w:t>
      </w:r>
      <w:r>
        <w:rPr>
          <w:rFonts w:ascii="Arial" w:hAnsi="Arial" w:cs="Arial"/>
          <w:b/>
          <w:bCs/>
          <w:sz w:val="22"/>
          <w:szCs w:val="22"/>
          <w:lang w:val="en-IN"/>
        </w:rPr>
        <w:br/>
      </w:r>
      <w:r>
        <w:rPr>
          <w:rFonts w:ascii="Arial" w:hAnsi="Arial" w:cs="Arial"/>
          <w:lang w:val="en-IN"/>
        </w:rPr>
        <w:t>Congenital goitre in goats is primarily associated with iodine deficiency leading to hypothyroidism. Comprehensive diagnosis based on clinical, biochemical, and imaging findings along with histopathology is essential for confirmation. Combined therapy with sodium levothyroxine and potassium iodide proved effective in restoring thyroid function and reversing clinical signs in the majority of affected goats.</w:t>
      </w:r>
    </w:p>
    <w:p w:rsidR="00C93AD4" w:rsidRDefault="00C93AD4">
      <w:pPr>
        <w:jc w:val="both"/>
        <w:rPr>
          <w:rFonts w:ascii="Arial" w:hAnsi="Arial" w:cs="Arial"/>
          <w:lang w:val="en-IN"/>
        </w:rPr>
      </w:pPr>
    </w:p>
    <w:p w:rsidR="00C93AD4" w:rsidRDefault="00C93AD4">
      <w:pPr>
        <w:jc w:val="both"/>
        <w:rPr>
          <w:rFonts w:ascii="Arial" w:hAnsi="Arial" w:cs="Arial"/>
          <w:lang w:val="en-IN"/>
        </w:rPr>
      </w:pPr>
      <w:r w:rsidRPr="00C93AD4">
        <w:rPr>
          <w:rFonts w:ascii="Arial" w:hAnsi="Arial" w:cs="Arial"/>
          <w:b/>
          <w:lang w:val="en-IN"/>
        </w:rPr>
        <w:t>Keywords</w:t>
      </w:r>
      <w:r>
        <w:rPr>
          <w:rFonts w:ascii="Arial" w:hAnsi="Arial" w:cs="Arial"/>
          <w:lang w:val="en-IN"/>
        </w:rPr>
        <w:t xml:space="preserve">: </w:t>
      </w:r>
      <w:r w:rsidR="00297B1A" w:rsidRPr="00297B1A">
        <w:rPr>
          <w:rFonts w:ascii="Arial" w:hAnsi="Arial" w:cs="Arial"/>
          <w:lang w:val="en-IN"/>
        </w:rPr>
        <w:t>Congenital Goitre</w:t>
      </w:r>
      <w:r w:rsidR="00297B1A">
        <w:rPr>
          <w:rFonts w:ascii="Arial" w:hAnsi="Arial" w:cs="Arial"/>
          <w:lang w:val="en-IN"/>
        </w:rPr>
        <w:t xml:space="preserve">, </w:t>
      </w:r>
      <w:r w:rsidR="00297B1A" w:rsidRPr="00297B1A">
        <w:rPr>
          <w:rFonts w:ascii="Arial" w:hAnsi="Arial" w:cs="Arial"/>
          <w:lang w:val="en-IN"/>
        </w:rPr>
        <w:t>Goats</w:t>
      </w:r>
      <w:r w:rsidR="00297B1A">
        <w:rPr>
          <w:rFonts w:ascii="Arial" w:hAnsi="Arial" w:cs="Arial"/>
          <w:lang w:val="en-IN"/>
        </w:rPr>
        <w:t xml:space="preserve">, </w:t>
      </w:r>
      <w:r w:rsidR="00F502FB" w:rsidRPr="00F502FB">
        <w:rPr>
          <w:rFonts w:ascii="Arial" w:hAnsi="Arial" w:cs="Arial"/>
          <w:lang w:val="en-IN"/>
        </w:rPr>
        <w:t>thyroid function</w:t>
      </w:r>
      <w:r w:rsidR="00F502FB">
        <w:rPr>
          <w:rFonts w:ascii="Arial" w:hAnsi="Arial" w:cs="Arial"/>
          <w:lang w:val="en-IN"/>
        </w:rPr>
        <w:t xml:space="preserve">, </w:t>
      </w:r>
      <w:r w:rsidR="00F502FB" w:rsidRPr="00F502FB">
        <w:rPr>
          <w:rFonts w:ascii="Arial" w:hAnsi="Arial" w:cs="Arial"/>
          <w:lang w:val="en-IN"/>
        </w:rPr>
        <w:t>etiological factors</w:t>
      </w:r>
    </w:p>
    <w:p w:rsidR="00B42E03" w:rsidRDefault="00B42E03">
      <w:pPr>
        <w:ind w:firstLineChars="150" w:firstLine="480"/>
        <w:rPr>
          <w:rFonts w:ascii="Arial" w:hAnsi="Arial" w:cs="Arial"/>
          <w:sz w:val="32"/>
          <w:szCs w:val="32"/>
          <w:lang w:val="en-IN"/>
        </w:rPr>
      </w:pPr>
    </w:p>
    <w:p w:rsidR="00B42E03" w:rsidRDefault="00B42E03">
      <w:pPr>
        <w:rPr>
          <w:rFonts w:ascii="Times New Roman" w:eastAsia="SimSun" w:hAnsi="Times New Roman" w:cs="Times New Roman"/>
          <w:color w:val="000000"/>
          <w:lang w:bidi="ar"/>
        </w:rPr>
      </w:pPr>
    </w:p>
    <w:p w:rsidR="00B42E03" w:rsidRDefault="0076191C">
      <w:pPr>
        <w:rPr>
          <w:rFonts w:ascii="Arial" w:eastAsia="SimSun" w:hAnsi="Arial" w:cs="Arial"/>
          <w:b/>
          <w:bCs/>
          <w:color w:val="000000"/>
          <w:sz w:val="22"/>
          <w:szCs w:val="22"/>
          <w:lang w:val="en-IN" w:bidi="ar"/>
        </w:rPr>
      </w:pPr>
      <w:r>
        <w:rPr>
          <w:rFonts w:ascii="Arial" w:eastAsia="SimSun" w:hAnsi="Arial" w:cs="Arial"/>
          <w:b/>
          <w:bCs/>
          <w:color w:val="000000"/>
          <w:sz w:val="22"/>
          <w:szCs w:val="22"/>
          <w:lang w:val="en-IN" w:bidi="ar"/>
        </w:rPr>
        <w:t>INTRODUCTION:</w:t>
      </w:r>
    </w:p>
    <w:p w:rsidR="00B42E03" w:rsidRDefault="00B42E03">
      <w:pPr>
        <w:rPr>
          <w:rFonts w:ascii="Arial" w:eastAsia="SimSun" w:hAnsi="Arial" w:cs="Arial"/>
          <w:color w:val="000000"/>
          <w:sz w:val="22"/>
          <w:szCs w:val="22"/>
          <w:lang w:val="en-IN" w:bidi="ar"/>
        </w:rPr>
      </w:pPr>
    </w:p>
    <w:p w:rsidR="00B42E03" w:rsidRDefault="006D1C76">
      <w:pPr>
        <w:ind w:firstLine="720"/>
        <w:jc w:val="both"/>
        <w:rPr>
          <w:rFonts w:ascii="Arial" w:hAnsi="Arial" w:cs="Arial"/>
        </w:rPr>
      </w:pPr>
      <w:proofErr w:type="spellStart"/>
      <w:r>
        <w:rPr>
          <w:rFonts w:ascii="Arial" w:hAnsi="Arial" w:cs="Arial"/>
        </w:rPr>
        <w:t>Goitre</w:t>
      </w:r>
      <w:proofErr w:type="spellEnd"/>
      <w:r>
        <w:rPr>
          <w:rFonts w:ascii="Arial" w:hAnsi="Arial" w:cs="Arial"/>
        </w:rPr>
        <w:t xml:space="preserve"> is defined as a non-inflammatory, non-neoplastic enlargement of the thyroid gland (</w:t>
      </w:r>
      <w:proofErr w:type="spellStart"/>
      <w:r>
        <w:rPr>
          <w:rFonts w:ascii="Arial" w:hAnsi="Arial" w:cs="Arial"/>
        </w:rPr>
        <w:t>Lafta</w:t>
      </w:r>
      <w:proofErr w:type="spellEnd"/>
      <w:r>
        <w:rPr>
          <w:rFonts w:ascii="Arial" w:hAnsi="Arial" w:cs="Arial"/>
        </w:rPr>
        <w:t xml:space="preserve"> </w:t>
      </w:r>
      <w:r>
        <w:rPr>
          <w:rFonts w:ascii="Arial" w:hAnsi="Arial" w:cs="Arial"/>
          <w:i/>
          <w:iCs/>
        </w:rPr>
        <w:t>et al.,</w:t>
      </w:r>
      <w:r>
        <w:rPr>
          <w:rFonts w:ascii="Arial" w:hAnsi="Arial" w:cs="Arial"/>
        </w:rPr>
        <w:t xml:space="preserve"> 2023). Although it can affect all domestic mammals, birds, and other vertebrates, it is most commonly reported in goat kids, particularly in endemic areas (Ani </w:t>
      </w:r>
      <w:r>
        <w:rPr>
          <w:rFonts w:ascii="Arial" w:hAnsi="Arial" w:cs="Arial"/>
          <w:i/>
          <w:iCs/>
        </w:rPr>
        <w:t>et al</w:t>
      </w:r>
      <w:r>
        <w:rPr>
          <w:rFonts w:ascii="Arial" w:hAnsi="Arial" w:cs="Arial"/>
        </w:rPr>
        <w:t xml:space="preserve">., 1998). The pathogenesis of </w:t>
      </w:r>
      <w:proofErr w:type="spellStart"/>
      <w:r>
        <w:rPr>
          <w:rFonts w:ascii="Arial" w:hAnsi="Arial" w:cs="Arial"/>
        </w:rPr>
        <w:t>goitre</w:t>
      </w:r>
      <w:proofErr w:type="spellEnd"/>
      <w:r>
        <w:rPr>
          <w:rFonts w:ascii="Arial" w:hAnsi="Arial" w:cs="Arial"/>
        </w:rPr>
        <w:t xml:space="preserve"> involves multiple etiological factors, including primary iodine deficiency, secondary goitrogen exposure, excessive dietary iodine, and rarely, inherited enzymatic defects affecting thyroid hormone synthesis</w:t>
      </w:r>
      <w:r>
        <w:rPr>
          <w:rFonts w:ascii="Arial" w:hAnsi="Arial" w:cs="Arial"/>
          <w:lang w:val="en-IN"/>
        </w:rPr>
        <w:t xml:space="preserve"> </w:t>
      </w:r>
      <w:r>
        <w:rPr>
          <w:rFonts w:ascii="Arial" w:hAnsi="Arial" w:cs="Arial"/>
        </w:rPr>
        <w:t>(</w:t>
      </w:r>
      <w:proofErr w:type="spellStart"/>
      <w:r>
        <w:rPr>
          <w:rFonts w:ascii="Arial" w:hAnsi="Arial" w:cs="Arial"/>
        </w:rPr>
        <w:t>Radostits</w:t>
      </w:r>
      <w:proofErr w:type="spellEnd"/>
      <w:r>
        <w:rPr>
          <w:rFonts w:ascii="Arial" w:hAnsi="Arial" w:cs="Arial"/>
        </w:rPr>
        <w:t xml:space="preserve"> </w:t>
      </w:r>
      <w:r>
        <w:rPr>
          <w:rFonts w:ascii="Arial" w:hAnsi="Arial" w:cs="Arial"/>
          <w:i/>
          <w:iCs/>
        </w:rPr>
        <w:t>et al</w:t>
      </w:r>
      <w:r>
        <w:rPr>
          <w:rFonts w:ascii="Arial" w:hAnsi="Arial" w:cs="Arial"/>
        </w:rPr>
        <w:t xml:space="preserve">., 2007).Primary </w:t>
      </w:r>
      <w:proofErr w:type="spellStart"/>
      <w:r>
        <w:rPr>
          <w:rFonts w:ascii="Arial" w:hAnsi="Arial" w:cs="Arial"/>
        </w:rPr>
        <w:t>goitre</w:t>
      </w:r>
      <w:proofErr w:type="spellEnd"/>
      <w:r>
        <w:rPr>
          <w:rFonts w:ascii="Arial" w:hAnsi="Arial" w:cs="Arial"/>
        </w:rPr>
        <w:t xml:space="preserve"> results from iodine-deficient diets, whereas secondary </w:t>
      </w:r>
      <w:proofErr w:type="spellStart"/>
      <w:r>
        <w:rPr>
          <w:rFonts w:ascii="Arial" w:hAnsi="Arial" w:cs="Arial"/>
        </w:rPr>
        <w:t>goitre</w:t>
      </w:r>
      <w:proofErr w:type="spellEnd"/>
      <w:r>
        <w:rPr>
          <w:rFonts w:ascii="Arial" w:hAnsi="Arial" w:cs="Arial"/>
        </w:rPr>
        <w:t xml:space="preserve"> arises from the ingestion of goitrogenic substances—such as brassica plants, soybean by-products, and water high in calcium or nitrates—which interfere with thyroid hormone synthesis (Constable </w:t>
      </w:r>
      <w:r>
        <w:rPr>
          <w:rFonts w:ascii="Arial" w:hAnsi="Arial" w:cs="Arial"/>
          <w:i/>
          <w:iCs/>
        </w:rPr>
        <w:t>et al.,</w:t>
      </w:r>
      <w:r>
        <w:rPr>
          <w:rFonts w:ascii="Arial" w:hAnsi="Arial" w:cs="Arial"/>
        </w:rPr>
        <w:t xml:space="preserve"> 2016). Iodine is essential for the synthesis of thyroxine (T₄) and triiodothyronine (T₃); these hormones are formed by iodination of tyrosine residues in thyroglobulin, a process stimulated by thyroid-stimulating hormone (TSH). In cases of iodine deficiency, inadequate production of T₃ and T₄ leads to increased TSH secretion by the fetal pituitary gland. This chronic stimulation causes hyperplasia and hypertrophy of the thyroid follicular epithelium, resulting in visible </w:t>
      </w:r>
      <w:proofErr w:type="spellStart"/>
      <w:r>
        <w:rPr>
          <w:rFonts w:ascii="Arial" w:hAnsi="Arial" w:cs="Arial"/>
        </w:rPr>
        <w:t>enlarg</w:t>
      </w:r>
      <w:proofErr w:type="spellEnd"/>
      <w:r>
        <w:rPr>
          <w:rFonts w:ascii="Arial" w:hAnsi="Arial" w:cs="Arial"/>
          <w:lang w:val="en-IN"/>
        </w:rPr>
        <w:t>e</w:t>
      </w:r>
      <w:proofErr w:type="spellStart"/>
      <w:r>
        <w:rPr>
          <w:rFonts w:ascii="Arial" w:hAnsi="Arial" w:cs="Arial"/>
        </w:rPr>
        <w:t>ment</w:t>
      </w:r>
      <w:proofErr w:type="spellEnd"/>
      <w:r>
        <w:rPr>
          <w:rFonts w:ascii="Arial" w:hAnsi="Arial" w:cs="Arial"/>
        </w:rPr>
        <w:t xml:space="preserve"> of the gland (</w:t>
      </w:r>
      <w:proofErr w:type="spellStart"/>
      <w:r>
        <w:rPr>
          <w:rFonts w:ascii="Arial" w:hAnsi="Arial" w:cs="Arial"/>
        </w:rPr>
        <w:t>Puls</w:t>
      </w:r>
      <w:proofErr w:type="spellEnd"/>
      <w:r>
        <w:rPr>
          <w:rFonts w:ascii="Arial" w:hAnsi="Arial" w:cs="Arial"/>
        </w:rPr>
        <w:t>, 1994;).</w:t>
      </w:r>
    </w:p>
    <w:p w:rsidR="00B42E03" w:rsidRDefault="006D1C76">
      <w:pPr>
        <w:pStyle w:val="NormalWeb"/>
        <w:ind w:firstLine="720"/>
        <w:jc w:val="both"/>
        <w:rPr>
          <w:rFonts w:ascii="Arial" w:hAnsi="Arial" w:cs="Arial"/>
          <w:sz w:val="20"/>
          <w:szCs w:val="20"/>
          <w:lang w:val="en-IN"/>
        </w:rPr>
      </w:pPr>
      <w:r>
        <w:rPr>
          <w:rFonts w:ascii="Arial" w:hAnsi="Arial" w:cs="Arial"/>
          <w:sz w:val="20"/>
          <w:szCs w:val="20"/>
        </w:rPr>
        <w:t xml:space="preserve">Congenital </w:t>
      </w:r>
      <w:proofErr w:type="spellStart"/>
      <w:r>
        <w:rPr>
          <w:rFonts w:ascii="Arial" w:hAnsi="Arial" w:cs="Arial"/>
          <w:sz w:val="20"/>
          <w:szCs w:val="20"/>
        </w:rPr>
        <w:t>goitre</w:t>
      </w:r>
      <w:proofErr w:type="spellEnd"/>
      <w:r>
        <w:rPr>
          <w:rFonts w:ascii="Arial" w:hAnsi="Arial" w:cs="Arial"/>
          <w:sz w:val="20"/>
          <w:szCs w:val="20"/>
        </w:rPr>
        <w:t xml:space="preserve"> is often linked to maternal iodine deficiency during gestation. In such cases, not only does the fetus suffer from thyroid hormone deficiency, but complications such as prolonged gestation, dystocia, and myxedema may also occur (Constable </w:t>
      </w:r>
      <w:r>
        <w:rPr>
          <w:rFonts w:ascii="Arial" w:hAnsi="Arial" w:cs="Arial"/>
          <w:i/>
          <w:iCs/>
          <w:sz w:val="20"/>
          <w:szCs w:val="20"/>
        </w:rPr>
        <w:t>et al</w:t>
      </w:r>
      <w:r>
        <w:rPr>
          <w:rFonts w:ascii="Arial" w:hAnsi="Arial" w:cs="Arial"/>
          <w:sz w:val="20"/>
          <w:szCs w:val="20"/>
        </w:rPr>
        <w:t xml:space="preserve">., 2016). Iodine deficiency is frequently associated with selenium and vitamin A deficiencies, which can exacerbate the clinical impact (Pearce </w:t>
      </w:r>
      <w:r>
        <w:rPr>
          <w:rFonts w:ascii="Arial" w:hAnsi="Arial" w:cs="Arial"/>
          <w:i/>
          <w:iCs/>
          <w:sz w:val="20"/>
          <w:szCs w:val="20"/>
        </w:rPr>
        <w:t xml:space="preserve">et al., </w:t>
      </w:r>
      <w:r>
        <w:rPr>
          <w:rFonts w:ascii="Arial" w:hAnsi="Arial" w:cs="Arial"/>
          <w:sz w:val="20"/>
          <w:szCs w:val="20"/>
        </w:rPr>
        <w:t>2013). Clinically, affected kids present with visibly enlarged thyroid lobes</w:t>
      </w:r>
      <w:r>
        <w:rPr>
          <w:rFonts w:ascii="Arial" w:hAnsi="Arial" w:cs="Arial"/>
          <w:sz w:val="20"/>
          <w:szCs w:val="20"/>
          <w:lang w:val="en-IN"/>
        </w:rPr>
        <w:t xml:space="preserve"> </w:t>
      </w:r>
      <w:r>
        <w:rPr>
          <w:rFonts w:ascii="Arial" w:hAnsi="Arial" w:cs="Arial"/>
          <w:sz w:val="20"/>
          <w:szCs w:val="20"/>
        </w:rPr>
        <w:t>often more than twice their normal size</w:t>
      </w:r>
      <w:r>
        <w:rPr>
          <w:rFonts w:ascii="Arial" w:hAnsi="Arial" w:cs="Arial"/>
          <w:sz w:val="20"/>
          <w:szCs w:val="20"/>
          <w:lang w:val="en-IN"/>
        </w:rPr>
        <w:t xml:space="preserve"> </w:t>
      </w:r>
      <w:r>
        <w:rPr>
          <w:rFonts w:ascii="Arial" w:hAnsi="Arial" w:cs="Arial"/>
          <w:sz w:val="20"/>
          <w:szCs w:val="20"/>
        </w:rPr>
        <w:t xml:space="preserve">with a soft, dark-red appearance. In severe cases, the enlarged thyroid may compress the trachea or esophagus, causing respiratory distress and difficulty swallowing. Systemic signs include impaired thermoregulation, poor growth, generalized weakness, and high neonatal mortality (Pugh &amp; Baird, 2012). In advanced cases, signs such as hypotrichosis, alopecia, and skin edema may develop (Constable </w:t>
      </w:r>
      <w:r>
        <w:rPr>
          <w:rFonts w:ascii="Arial" w:hAnsi="Arial" w:cs="Arial"/>
          <w:i/>
          <w:iCs/>
          <w:sz w:val="20"/>
          <w:szCs w:val="20"/>
        </w:rPr>
        <w:t>et al.</w:t>
      </w:r>
      <w:r>
        <w:rPr>
          <w:rFonts w:ascii="Arial" w:hAnsi="Arial" w:cs="Arial"/>
          <w:sz w:val="20"/>
          <w:szCs w:val="20"/>
        </w:rPr>
        <w:t xml:space="preserve">, 2016). </w:t>
      </w:r>
      <w:r>
        <w:rPr>
          <w:rStyle w:val="Strong"/>
          <w:rFonts w:ascii="Arial" w:hAnsi="Arial" w:cs="Arial"/>
          <w:b w:val="0"/>
          <w:bCs w:val="0"/>
          <w:sz w:val="20"/>
          <w:szCs w:val="20"/>
        </w:rPr>
        <w:t>Diagnosis</w:t>
      </w:r>
      <w:r>
        <w:rPr>
          <w:rFonts w:ascii="Arial" w:hAnsi="Arial" w:cs="Arial"/>
          <w:sz w:val="20"/>
          <w:szCs w:val="20"/>
        </w:rPr>
        <w:t xml:space="preserve"> of congenital </w:t>
      </w:r>
      <w:proofErr w:type="spellStart"/>
      <w:r>
        <w:rPr>
          <w:rFonts w:ascii="Arial" w:hAnsi="Arial" w:cs="Arial"/>
          <w:sz w:val="20"/>
          <w:szCs w:val="20"/>
        </w:rPr>
        <w:t>goitre</w:t>
      </w:r>
      <w:proofErr w:type="spellEnd"/>
      <w:r>
        <w:rPr>
          <w:rFonts w:ascii="Arial" w:hAnsi="Arial" w:cs="Arial"/>
          <w:sz w:val="20"/>
          <w:szCs w:val="20"/>
        </w:rPr>
        <w:t xml:space="preserve"> is based on clinical enlargement of the thyroid gland, supported by laboratory findings such as reduced serum T₃ and T₄ levels and elevated TSH concentrations.</w:t>
      </w:r>
      <w:r>
        <w:rPr>
          <w:rFonts w:ascii="Arial" w:hAnsi="Arial" w:cs="Arial"/>
          <w:sz w:val="20"/>
          <w:szCs w:val="20"/>
          <w:lang w:val="en-IN"/>
        </w:rPr>
        <w:t xml:space="preserve"> </w:t>
      </w:r>
      <w:r>
        <w:rPr>
          <w:rFonts w:ascii="Arial" w:hAnsi="Arial" w:cs="Arial"/>
          <w:sz w:val="20"/>
          <w:szCs w:val="20"/>
        </w:rPr>
        <w:t>Treatment primarily involves prompt iodine supplementation to newborn kids to restore thyroid hormone synthesis, along with administration of sodium levothyroxine in clinically affected animals to correct hypothyroid status</w:t>
      </w:r>
      <w:r>
        <w:rPr>
          <w:rFonts w:ascii="Arial" w:hAnsi="Arial" w:cs="Arial"/>
          <w:sz w:val="20"/>
          <w:szCs w:val="20"/>
          <w:lang w:val="en-IN"/>
        </w:rPr>
        <w:t xml:space="preserve">.  </w:t>
      </w:r>
      <w:r>
        <w:rPr>
          <w:rFonts w:ascii="Arial" w:hAnsi="Arial" w:cs="Arial"/>
          <w:sz w:val="20"/>
          <w:szCs w:val="20"/>
        </w:rPr>
        <w:t xml:space="preserve">Management of pregnant does through dietary iodine supplementation and avoidance of goitrogen-rich feeds forms the cornerstone of preventing </w:t>
      </w:r>
      <w:r>
        <w:rPr>
          <w:rFonts w:ascii="Arial" w:hAnsi="Arial" w:cs="Arial"/>
          <w:sz w:val="20"/>
          <w:szCs w:val="20"/>
          <w:lang w:val="en-IN"/>
        </w:rPr>
        <w:t xml:space="preserve">this </w:t>
      </w:r>
      <w:proofErr w:type="gramStart"/>
      <w:r>
        <w:rPr>
          <w:rFonts w:ascii="Arial" w:hAnsi="Arial" w:cs="Arial"/>
          <w:sz w:val="20"/>
          <w:szCs w:val="20"/>
          <w:lang w:val="en-IN"/>
        </w:rPr>
        <w:t>disorder.</w:t>
      </w:r>
      <w:r>
        <w:rPr>
          <w:rFonts w:ascii="Arial" w:hAnsi="Arial" w:cs="Arial"/>
          <w:sz w:val="20"/>
          <w:szCs w:val="20"/>
        </w:rPr>
        <w:t>As</w:t>
      </w:r>
      <w:proofErr w:type="gramEnd"/>
      <w:r>
        <w:rPr>
          <w:rFonts w:ascii="Arial" w:hAnsi="Arial" w:cs="Arial"/>
          <w:sz w:val="20"/>
          <w:szCs w:val="20"/>
        </w:rPr>
        <w:t xml:space="preserve"> no clinically documented cases of congenital </w:t>
      </w:r>
      <w:proofErr w:type="spellStart"/>
      <w:r>
        <w:rPr>
          <w:rFonts w:ascii="Arial" w:hAnsi="Arial" w:cs="Arial"/>
          <w:sz w:val="20"/>
          <w:szCs w:val="20"/>
        </w:rPr>
        <w:t>goitre</w:t>
      </w:r>
      <w:proofErr w:type="spellEnd"/>
      <w:r>
        <w:rPr>
          <w:rFonts w:ascii="Arial" w:hAnsi="Arial" w:cs="Arial"/>
          <w:sz w:val="20"/>
          <w:szCs w:val="20"/>
        </w:rPr>
        <w:t xml:space="preserve"> in goats have been reported so far from Hyderabad, Telangana, and considering its rarity and significance as an important endocrine disorder, the present study was undertaken to determine the incidence of congenital </w:t>
      </w:r>
      <w:proofErr w:type="spellStart"/>
      <w:r>
        <w:rPr>
          <w:rFonts w:ascii="Arial" w:hAnsi="Arial" w:cs="Arial"/>
          <w:sz w:val="20"/>
          <w:szCs w:val="20"/>
        </w:rPr>
        <w:t>goitre</w:t>
      </w:r>
      <w:proofErr w:type="spellEnd"/>
      <w:r>
        <w:rPr>
          <w:rFonts w:ascii="Arial" w:hAnsi="Arial" w:cs="Arial"/>
          <w:sz w:val="20"/>
          <w:szCs w:val="20"/>
        </w:rPr>
        <w:t xml:space="preserve"> in goat</w:t>
      </w:r>
      <w:r>
        <w:rPr>
          <w:rFonts w:ascii="Arial" w:hAnsi="Arial" w:cs="Arial"/>
          <w:sz w:val="20"/>
          <w:szCs w:val="20"/>
          <w:lang w:val="en-IN"/>
        </w:rPr>
        <w:t>s in and around Hyderabad.</w:t>
      </w:r>
    </w:p>
    <w:p w:rsidR="00B42E03" w:rsidRDefault="006D1C76">
      <w:pPr>
        <w:pStyle w:val="NormalWeb"/>
        <w:jc w:val="both"/>
        <w:rPr>
          <w:rFonts w:ascii="Arial" w:hAnsi="Arial" w:cs="Arial"/>
          <w:b/>
          <w:bCs/>
          <w:sz w:val="20"/>
          <w:szCs w:val="20"/>
          <w:lang w:val="en-IN"/>
        </w:rPr>
      </w:pPr>
      <w:r>
        <w:rPr>
          <w:rFonts w:ascii="Arial" w:hAnsi="Arial" w:cs="Arial"/>
          <w:b/>
          <w:bCs/>
          <w:sz w:val="20"/>
          <w:szCs w:val="20"/>
          <w:lang w:val="en-IN"/>
        </w:rPr>
        <w:t xml:space="preserve">MATERIALS AND METHODS </w:t>
      </w:r>
    </w:p>
    <w:p w:rsidR="00B42E03" w:rsidRDefault="006D1C76">
      <w:pPr>
        <w:pStyle w:val="Heading2"/>
        <w:rPr>
          <w:rFonts w:ascii="Arial" w:hAnsi="Arial" w:cs="Arial" w:hint="default"/>
          <w:sz w:val="20"/>
          <w:szCs w:val="20"/>
        </w:rPr>
      </w:pPr>
      <w:r>
        <w:rPr>
          <w:rFonts w:ascii="Arial" w:hAnsi="Arial" w:cs="Arial" w:hint="default"/>
          <w:sz w:val="20"/>
          <w:szCs w:val="20"/>
        </w:rPr>
        <w:t>Study Area and Population</w:t>
      </w:r>
    </w:p>
    <w:p w:rsidR="00B42E03" w:rsidRDefault="006D1C76">
      <w:pPr>
        <w:ind w:firstLine="720"/>
        <w:jc w:val="both"/>
      </w:pPr>
      <w:r>
        <w:rPr>
          <w:rFonts w:ascii="Arial" w:hAnsi="Arial" w:cs="Arial"/>
        </w:rPr>
        <w:t xml:space="preserve">The study was conducted at the Veterinary Clinical Complex (VCC), College of Veterinary Science, </w:t>
      </w:r>
      <w:proofErr w:type="spellStart"/>
      <w:r>
        <w:rPr>
          <w:rFonts w:ascii="Arial" w:hAnsi="Arial" w:cs="Arial"/>
        </w:rPr>
        <w:t>Rajendranagar</w:t>
      </w:r>
      <w:proofErr w:type="spellEnd"/>
      <w:r>
        <w:rPr>
          <w:rFonts w:ascii="Arial" w:hAnsi="Arial" w:cs="Arial"/>
        </w:rPr>
        <w:t>, Hyderabad, from April 2024 to</w:t>
      </w:r>
      <w:r>
        <w:rPr>
          <w:rFonts w:ascii="Arial" w:hAnsi="Arial" w:cs="Arial"/>
          <w:lang w:val="en-IN"/>
        </w:rPr>
        <w:t xml:space="preserve"> April </w:t>
      </w:r>
      <w:r>
        <w:rPr>
          <w:rFonts w:ascii="Arial" w:hAnsi="Arial" w:cs="Arial"/>
        </w:rPr>
        <w:t>202</w:t>
      </w:r>
      <w:r>
        <w:rPr>
          <w:rFonts w:ascii="Arial" w:hAnsi="Arial" w:cs="Arial"/>
          <w:lang w:val="en-IN"/>
        </w:rPr>
        <w:t>5 on g</w:t>
      </w:r>
      <w:r>
        <w:rPr>
          <w:rFonts w:ascii="Arial" w:hAnsi="Arial" w:cs="Arial"/>
        </w:rPr>
        <w:t>oats</w:t>
      </w:r>
      <w:r>
        <w:rPr>
          <w:rFonts w:ascii="Arial" w:hAnsi="Arial" w:cs="Arial"/>
          <w:lang w:val="en-IN"/>
        </w:rPr>
        <w:t xml:space="preserve"> </w:t>
      </w:r>
      <w:proofErr w:type="gramStart"/>
      <w:r>
        <w:rPr>
          <w:rFonts w:ascii="Arial" w:hAnsi="Arial" w:cs="Arial"/>
          <w:lang w:val="en-IN"/>
        </w:rPr>
        <w:t xml:space="preserve">that </w:t>
      </w:r>
      <w:r>
        <w:rPr>
          <w:rFonts w:ascii="Arial" w:hAnsi="Arial" w:cs="Arial"/>
        </w:rPr>
        <w:t xml:space="preserve"> were</w:t>
      </w:r>
      <w:proofErr w:type="gramEnd"/>
      <w:r>
        <w:rPr>
          <w:rFonts w:ascii="Arial" w:hAnsi="Arial" w:cs="Arial"/>
        </w:rPr>
        <w:t xml:space="preserve"> presented or referred from various veterinary dispensaries in Hyderabad. </w:t>
      </w:r>
      <w:r>
        <w:rPr>
          <w:rFonts w:ascii="Arial" w:hAnsi="Arial" w:cs="Arial"/>
          <w:lang w:val="en-IN"/>
        </w:rPr>
        <w:t>A total of 1762 animals were screened for congenital goitre over a period of one year.  A</w:t>
      </w:r>
      <w:proofErr w:type="spellStart"/>
      <w:r>
        <w:rPr>
          <w:rFonts w:ascii="Arial" w:hAnsi="Arial" w:cs="Arial"/>
        </w:rPr>
        <w:t>nimals</w:t>
      </w:r>
      <w:proofErr w:type="spellEnd"/>
      <w:r>
        <w:rPr>
          <w:rFonts w:ascii="Arial" w:hAnsi="Arial" w:cs="Arial"/>
        </w:rPr>
        <w:t xml:space="preserve"> were selected based on clinical signs of congenital </w:t>
      </w:r>
      <w:proofErr w:type="spellStart"/>
      <w:r>
        <w:rPr>
          <w:rFonts w:ascii="Arial" w:hAnsi="Arial" w:cs="Arial"/>
        </w:rPr>
        <w:t>goitre</w:t>
      </w:r>
      <w:proofErr w:type="spellEnd"/>
      <w:r>
        <w:rPr>
          <w:rFonts w:ascii="Arial" w:hAnsi="Arial" w:cs="Arial"/>
        </w:rPr>
        <w:t>, including thyroid enlargement, hair loss, and lethargy in newborn kids. Data on breed, age, and sex were recorded for all animals.</w:t>
      </w:r>
      <w:r>
        <w:rPr>
          <w:rFonts w:ascii="Arial" w:hAnsi="Arial" w:cs="Arial"/>
          <w:lang w:val="en-IN"/>
        </w:rPr>
        <w:t xml:space="preserve"> </w:t>
      </w:r>
      <w:r>
        <w:rPr>
          <w:rFonts w:ascii="Arial" w:eastAsia="SimSun" w:hAnsi="Arial" w:cs="Arial"/>
          <w:color w:val="000000"/>
          <w:lang w:bidi="ar"/>
        </w:rPr>
        <w:t xml:space="preserve">Six </w:t>
      </w:r>
    </w:p>
    <w:p w:rsidR="00B42E03" w:rsidRDefault="006D1C76">
      <w:pPr>
        <w:jc w:val="both"/>
        <w:rPr>
          <w:rFonts w:ascii="Arial" w:hAnsi="Arial" w:cs="Arial"/>
        </w:rPr>
      </w:pPr>
      <w:r>
        <w:rPr>
          <w:rFonts w:ascii="Arial" w:eastAsia="SimSun" w:hAnsi="Arial" w:cs="Arial"/>
          <w:color w:val="000000"/>
          <w:lang w:bidi="ar"/>
        </w:rPr>
        <w:t>apparently healthy animals were taken as a control.</w:t>
      </w:r>
    </w:p>
    <w:p w:rsidR="00B42E03" w:rsidRDefault="006D1C76">
      <w:pPr>
        <w:pStyle w:val="Heading4"/>
        <w:jc w:val="both"/>
        <w:rPr>
          <w:rFonts w:ascii="Arial" w:hAnsi="Arial" w:cs="Arial" w:hint="default"/>
          <w:sz w:val="20"/>
          <w:szCs w:val="20"/>
        </w:rPr>
      </w:pPr>
      <w:r>
        <w:rPr>
          <w:rStyle w:val="Strong"/>
          <w:rFonts w:ascii="Arial" w:hAnsi="Arial" w:cs="Arial" w:hint="default"/>
          <w:b/>
          <w:bCs/>
          <w:sz w:val="20"/>
          <w:szCs w:val="20"/>
        </w:rPr>
        <w:t>Clinical Examination and Data Collection</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Information on management practices, including deworming and vaccination status, feed and water intake, defecation, and urination patterns, was systematically documented. A </w:t>
      </w:r>
    </w:p>
    <w:p w:rsidR="00B42E03" w:rsidRDefault="006D1C76">
      <w:pPr>
        <w:rPr>
          <w:rFonts w:ascii="Arial" w:eastAsia="SimSun" w:hAnsi="Arial" w:cs="Arial"/>
        </w:rPr>
      </w:pPr>
      <w:r>
        <w:rPr>
          <w:rFonts w:ascii="Arial" w:hAnsi="Arial" w:cs="Arial"/>
        </w:rPr>
        <w:lastRenderedPageBreak/>
        <w:br w:type="page"/>
      </w:r>
    </w:p>
    <w:p w:rsidR="00B42E03" w:rsidRDefault="006D1C76">
      <w:pPr>
        <w:pStyle w:val="NormalWeb"/>
        <w:jc w:val="both"/>
        <w:rPr>
          <w:rFonts w:ascii="Arial" w:hAnsi="Arial" w:cs="Arial"/>
          <w:sz w:val="20"/>
          <w:szCs w:val="20"/>
        </w:rPr>
      </w:pPr>
      <w:r>
        <w:rPr>
          <w:rFonts w:ascii="Arial" w:hAnsi="Arial" w:cs="Arial"/>
          <w:sz w:val="20"/>
          <w:szCs w:val="20"/>
        </w:rPr>
        <w:lastRenderedPageBreak/>
        <w:t>detailed physical and clinical examination was carried out on all animals, and the observations were recorded methodically. Selected animals were subjected to various diagnostic investigations, including haemato-biochemical analysis, thyroid hormone profiling, radiography, ultrasonography, and histopathological examination. The findings were recorded and analyzed accordingly.</w:t>
      </w:r>
    </w:p>
    <w:p w:rsidR="00B42E03" w:rsidRDefault="006D1C76">
      <w:pPr>
        <w:pStyle w:val="NormalWeb"/>
        <w:jc w:val="both"/>
        <w:rPr>
          <w:rStyle w:val="Strong"/>
          <w:rFonts w:ascii="Arial" w:hAnsi="Arial" w:cs="Arial"/>
          <w:sz w:val="20"/>
          <w:szCs w:val="20"/>
        </w:rPr>
      </w:pPr>
      <w:r>
        <w:rPr>
          <w:rStyle w:val="Strong"/>
          <w:rFonts w:ascii="Arial" w:hAnsi="Arial" w:cs="Arial"/>
          <w:sz w:val="20"/>
          <w:szCs w:val="20"/>
        </w:rPr>
        <w:t>Sample Collection and Analysis</w:t>
      </w:r>
    </w:p>
    <w:p w:rsidR="00B42E03" w:rsidRDefault="006D1C76">
      <w:pPr>
        <w:pStyle w:val="NormalWeb"/>
        <w:ind w:firstLine="720"/>
        <w:jc w:val="both"/>
        <w:rPr>
          <w:rFonts w:ascii="Arial" w:hAnsi="Arial" w:cs="Arial"/>
          <w:sz w:val="20"/>
          <w:szCs w:val="20"/>
          <w:lang w:val="en-IN"/>
        </w:rPr>
      </w:pPr>
      <w:r>
        <w:rPr>
          <w:rFonts w:ascii="Arial" w:hAnsi="Arial" w:cs="Arial"/>
          <w:sz w:val="20"/>
          <w:szCs w:val="20"/>
        </w:rPr>
        <w:t xml:space="preserve">Blood samples were collected aseptically from the jugular vein of affected goats into sterile vials, both with and without EDTA. Serum was separated by centrifugation at 3000 rpm for 10 minutes and stored at –20°C until further </w:t>
      </w:r>
      <w:proofErr w:type="spellStart"/>
      <w:proofErr w:type="gramStart"/>
      <w:r>
        <w:rPr>
          <w:rFonts w:ascii="Arial" w:hAnsi="Arial" w:cs="Arial"/>
          <w:sz w:val="20"/>
          <w:szCs w:val="20"/>
        </w:rPr>
        <w:t>analysis.Hematological</w:t>
      </w:r>
      <w:proofErr w:type="spellEnd"/>
      <w:proofErr w:type="gramEnd"/>
      <w:r>
        <w:rPr>
          <w:rFonts w:ascii="Arial" w:hAnsi="Arial" w:cs="Arial"/>
          <w:sz w:val="20"/>
          <w:szCs w:val="20"/>
        </w:rPr>
        <w:t xml:space="preserve"> parameters were estimated using an </w:t>
      </w:r>
      <w:r>
        <w:rPr>
          <w:rStyle w:val="Strong"/>
          <w:rFonts w:ascii="Arial" w:hAnsi="Arial" w:cs="Arial"/>
          <w:b w:val="0"/>
          <w:bCs w:val="0"/>
          <w:sz w:val="20"/>
          <w:szCs w:val="20"/>
        </w:rPr>
        <w:t>EDAN hematology analyzer</w:t>
      </w:r>
      <w:r>
        <w:rPr>
          <w:rFonts w:ascii="Arial" w:hAnsi="Arial" w:cs="Arial"/>
          <w:sz w:val="20"/>
          <w:szCs w:val="20"/>
        </w:rPr>
        <w:t xml:space="preserve">, while biochemical parameters were analyzed with an </w:t>
      </w:r>
      <w:r>
        <w:rPr>
          <w:rStyle w:val="Strong"/>
          <w:rFonts w:ascii="Arial" w:hAnsi="Arial" w:cs="Arial"/>
          <w:b w:val="0"/>
          <w:bCs w:val="0"/>
          <w:sz w:val="20"/>
          <w:szCs w:val="20"/>
        </w:rPr>
        <w:t>EXIGO Veterinary Biochemistry Analyzer</w:t>
      </w:r>
      <w:r>
        <w:rPr>
          <w:rFonts w:ascii="Arial" w:hAnsi="Arial" w:cs="Arial"/>
          <w:sz w:val="20"/>
          <w:szCs w:val="20"/>
        </w:rPr>
        <w:t>. Serum thyroid hormone concentrations</w:t>
      </w:r>
      <w:r>
        <w:rPr>
          <w:rFonts w:ascii="Arial" w:hAnsi="Arial" w:cs="Arial"/>
          <w:sz w:val="20"/>
          <w:szCs w:val="20"/>
          <w:lang w:val="en-IN"/>
        </w:rPr>
        <w:t xml:space="preserve">, </w:t>
      </w:r>
      <w:r>
        <w:rPr>
          <w:rFonts w:ascii="Arial" w:hAnsi="Arial" w:cs="Arial"/>
          <w:sz w:val="20"/>
          <w:szCs w:val="20"/>
        </w:rPr>
        <w:t>triiodothyronine (T₃), thyroxine (T₄), and thyroid-stimulating hormone (TSH)</w:t>
      </w:r>
      <w:r>
        <w:rPr>
          <w:rFonts w:ascii="Arial" w:hAnsi="Arial" w:cs="Arial"/>
          <w:sz w:val="20"/>
          <w:szCs w:val="20"/>
          <w:lang w:val="en-IN"/>
        </w:rPr>
        <w:t xml:space="preserve"> </w:t>
      </w:r>
      <w:r>
        <w:rPr>
          <w:rFonts w:ascii="Arial" w:hAnsi="Arial" w:cs="Arial"/>
          <w:sz w:val="20"/>
          <w:szCs w:val="20"/>
        </w:rPr>
        <w:t>were determined using</w:t>
      </w:r>
      <w:r>
        <w:rPr>
          <w:rFonts w:ascii="Arial" w:hAnsi="Arial" w:cs="Arial"/>
          <w:sz w:val="20"/>
          <w:szCs w:val="20"/>
          <w:lang w:val="en-IN"/>
        </w:rPr>
        <w:t xml:space="preserve"> </w:t>
      </w:r>
      <w:proofErr w:type="spellStart"/>
      <w:r>
        <w:rPr>
          <w:rFonts w:ascii="Arial" w:eastAsia="Arial" w:hAnsi="Arial" w:cs="Arial"/>
          <w:color w:val="1B1D1D"/>
          <w:sz w:val="20"/>
          <w:szCs w:val="20"/>
          <w:shd w:val="clear" w:color="auto" w:fill="FFFFFF"/>
        </w:rPr>
        <w:t>Semi Automatic</w:t>
      </w:r>
      <w:proofErr w:type="spellEnd"/>
      <w:r>
        <w:rPr>
          <w:rFonts w:ascii="Arial" w:eastAsia="Arial" w:hAnsi="Arial" w:cs="Arial"/>
          <w:color w:val="1B1D1D"/>
          <w:sz w:val="20"/>
          <w:szCs w:val="20"/>
          <w:shd w:val="clear" w:color="auto" w:fill="FFFFFF"/>
        </w:rPr>
        <w:t xml:space="preserve"> VET Chroma Immunoassay Analyzer</w:t>
      </w:r>
      <w:r>
        <w:rPr>
          <w:rFonts w:ascii="Arial" w:eastAsia="Arial" w:hAnsi="Arial" w:cs="Arial"/>
          <w:color w:val="1B1D1D"/>
          <w:sz w:val="20"/>
          <w:szCs w:val="20"/>
          <w:shd w:val="clear" w:color="auto" w:fill="FFFFFF"/>
          <w:lang w:val="en-IN"/>
        </w:rPr>
        <w:t>.</w:t>
      </w:r>
    </w:p>
    <w:p w:rsidR="00B42E03" w:rsidRDefault="006D1C76">
      <w:pPr>
        <w:pStyle w:val="Heading4"/>
        <w:rPr>
          <w:rStyle w:val="Strong"/>
          <w:rFonts w:ascii="Arial" w:hAnsi="Arial" w:cs="Arial" w:hint="default"/>
          <w:b/>
          <w:bCs/>
          <w:sz w:val="20"/>
          <w:szCs w:val="20"/>
        </w:rPr>
      </w:pPr>
      <w:r>
        <w:rPr>
          <w:rStyle w:val="Strong"/>
          <w:rFonts w:ascii="Arial" w:hAnsi="Arial" w:cs="Arial" w:hint="default"/>
          <w:b/>
          <w:bCs/>
          <w:sz w:val="20"/>
          <w:szCs w:val="20"/>
        </w:rPr>
        <w:t>Fine Needle Aspiration Cytology (FNAC)</w:t>
      </w:r>
    </w:p>
    <w:p w:rsidR="00B42E03" w:rsidRDefault="006D1C76">
      <w:pPr>
        <w:pStyle w:val="Heading4"/>
        <w:ind w:firstLine="720"/>
        <w:jc w:val="both"/>
        <w:rPr>
          <w:rFonts w:ascii="Arial" w:hAnsi="Arial" w:cs="Arial" w:hint="default"/>
          <w:b w:val="0"/>
          <w:bCs w:val="0"/>
          <w:sz w:val="20"/>
          <w:szCs w:val="20"/>
        </w:rPr>
      </w:pPr>
      <w:r>
        <w:rPr>
          <w:rFonts w:ascii="Arial" w:hAnsi="Arial" w:cs="Arial" w:hint="default"/>
          <w:b w:val="0"/>
          <w:bCs w:val="0"/>
          <w:sz w:val="20"/>
          <w:szCs w:val="20"/>
        </w:rPr>
        <w:t>Fine needle aspiration cytology was performed under aseptic conditions using a 22 G needle to differentiate thyroid enlargement from other swellings such as caseous lymphadenitis, abscesses, or cysts.</w:t>
      </w:r>
    </w:p>
    <w:p w:rsidR="00B42E03" w:rsidRDefault="006D1C76">
      <w:pPr>
        <w:pStyle w:val="Heading4"/>
        <w:rPr>
          <w:rFonts w:ascii="Arial" w:hAnsi="Arial" w:cs="Arial" w:hint="default"/>
          <w:sz w:val="20"/>
          <w:szCs w:val="20"/>
        </w:rPr>
      </w:pPr>
      <w:r>
        <w:rPr>
          <w:rStyle w:val="Strong"/>
          <w:rFonts w:ascii="Arial" w:hAnsi="Arial" w:cs="Arial" w:hint="default"/>
          <w:b/>
          <w:bCs/>
          <w:sz w:val="20"/>
          <w:szCs w:val="20"/>
        </w:rPr>
        <w:t>Ultrasonographic Examination</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Ultrasonographic evaluation of the thyroid gland was performed on both lobes after clipping and cleaning the area. B-mode imaging combined with color Doppler flow assessment was carried out using a </w:t>
      </w:r>
      <w:r>
        <w:rPr>
          <w:rStyle w:val="Strong"/>
          <w:rFonts w:ascii="Arial" w:hAnsi="Arial" w:cs="Arial"/>
          <w:b w:val="0"/>
          <w:bCs w:val="0"/>
          <w:sz w:val="20"/>
          <w:szCs w:val="20"/>
        </w:rPr>
        <w:t xml:space="preserve">10 MHz linear transducer using Mindray </w:t>
      </w:r>
      <w:proofErr w:type="spellStart"/>
      <w:r>
        <w:rPr>
          <w:rStyle w:val="Strong"/>
          <w:rFonts w:ascii="Arial" w:hAnsi="Arial" w:cs="Arial"/>
          <w:b w:val="0"/>
          <w:bCs w:val="0"/>
          <w:sz w:val="20"/>
          <w:szCs w:val="20"/>
        </w:rPr>
        <w:t>Vetus</w:t>
      </w:r>
      <w:proofErr w:type="spellEnd"/>
      <w:r>
        <w:rPr>
          <w:rStyle w:val="Strong"/>
          <w:rFonts w:ascii="Arial" w:hAnsi="Arial" w:cs="Arial"/>
          <w:b w:val="0"/>
          <w:bCs w:val="0"/>
          <w:sz w:val="20"/>
          <w:szCs w:val="20"/>
        </w:rPr>
        <w:t xml:space="preserve"> E7 Veterinary Ultrasound machine </w:t>
      </w:r>
      <w:r>
        <w:rPr>
          <w:rFonts w:ascii="Arial" w:hAnsi="Arial" w:cs="Arial"/>
          <w:sz w:val="20"/>
          <w:szCs w:val="20"/>
        </w:rPr>
        <w:t>to assess tissue characteristics, lobe margins, and vascularization patterns.</w:t>
      </w:r>
    </w:p>
    <w:p w:rsidR="00B42E03" w:rsidRDefault="006D1C76">
      <w:pPr>
        <w:pStyle w:val="Heading4"/>
        <w:tabs>
          <w:tab w:val="left" w:pos="200"/>
        </w:tabs>
        <w:rPr>
          <w:rFonts w:ascii="Arial" w:hAnsi="Arial" w:cs="Arial" w:hint="default"/>
          <w:sz w:val="20"/>
          <w:szCs w:val="20"/>
        </w:rPr>
      </w:pPr>
      <w:r>
        <w:rPr>
          <w:rStyle w:val="Strong"/>
          <w:rFonts w:ascii="Arial" w:hAnsi="Arial" w:cs="Arial" w:hint="default"/>
          <w:b/>
          <w:bCs/>
          <w:sz w:val="20"/>
          <w:szCs w:val="20"/>
        </w:rPr>
        <w:t>Histopathological Examination</w:t>
      </w:r>
    </w:p>
    <w:p w:rsidR="00B42E03" w:rsidRDefault="006D1C76">
      <w:pPr>
        <w:pStyle w:val="NormalWeb"/>
        <w:ind w:firstLine="720"/>
        <w:jc w:val="both"/>
        <w:rPr>
          <w:rFonts w:ascii="Arial" w:hAnsi="Arial" w:cs="Arial"/>
          <w:sz w:val="20"/>
          <w:szCs w:val="20"/>
        </w:rPr>
      </w:pPr>
      <w:r>
        <w:rPr>
          <w:rFonts w:ascii="Arial" w:hAnsi="Arial" w:cs="Arial"/>
          <w:sz w:val="20"/>
          <w:szCs w:val="20"/>
        </w:rPr>
        <w:t>Thyroid tissue samples were collected from affected animals and also form deceased kids during necropsy</w:t>
      </w:r>
      <w:r>
        <w:rPr>
          <w:rFonts w:ascii="Arial" w:hAnsi="Arial" w:cs="Arial"/>
          <w:sz w:val="20"/>
          <w:szCs w:val="20"/>
          <w:lang w:val="en-IN"/>
        </w:rPr>
        <w:t xml:space="preserve"> </w:t>
      </w:r>
      <w:r>
        <w:rPr>
          <w:rFonts w:ascii="Arial" w:hAnsi="Arial" w:cs="Arial"/>
          <w:sz w:val="20"/>
          <w:szCs w:val="20"/>
        </w:rPr>
        <w:t>though percutaneous biopsy</w:t>
      </w:r>
      <w:r>
        <w:rPr>
          <w:rFonts w:ascii="Arial" w:hAnsi="Arial" w:cs="Arial"/>
          <w:sz w:val="20"/>
          <w:szCs w:val="20"/>
          <w:lang w:val="en-IN"/>
        </w:rPr>
        <w:t xml:space="preserve"> punch instrument (4.0mm) (NETCARE Instruments) </w:t>
      </w:r>
      <w:r>
        <w:rPr>
          <w:rFonts w:ascii="Arial" w:hAnsi="Arial" w:cs="Arial"/>
          <w:b/>
          <w:bCs/>
          <w:sz w:val="20"/>
          <w:szCs w:val="20"/>
          <w:lang w:val="en-IN"/>
        </w:rPr>
        <w:t xml:space="preserve">(Figure 1 &amp; 2) </w:t>
      </w:r>
      <w:r>
        <w:rPr>
          <w:rFonts w:ascii="Arial" w:hAnsi="Arial" w:cs="Arial"/>
          <w:sz w:val="20"/>
          <w:szCs w:val="20"/>
        </w:rPr>
        <w:t xml:space="preserve">and subsequently fixed in 10% neutral buffered formalin. The tissues were dehydrated through ascending grades of alcohol, cleared in benzene, impregnated in molten paraffin, and sectioned at 5 µm thickness using a rotary microtome. The sections were stained with hematoxylin and eosin (H&amp;E) as per the standard protocol described by </w:t>
      </w:r>
      <w:r>
        <w:rPr>
          <w:rStyle w:val="Strong"/>
          <w:rFonts w:ascii="Arial" w:hAnsi="Arial" w:cs="Arial"/>
          <w:b w:val="0"/>
          <w:bCs w:val="0"/>
          <w:sz w:val="20"/>
          <w:szCs w:val="20"/>
        </w:rPr>
        <w:t>Luna (1968)</w:t>
      </w:r>
      <w:r>
        <w:rPr>
          <w:rFonts w:ascii="Arial" w:hAnsi="Arial" w:cs="Arial"/>
          <w:sz w:val="20"/>
          <w:szCs w:val="20"/>
        </w:rPr>
        <w:t>, and examined microscopically for histopathological alterations.</w:t>
      </w:r>
    </w:p>
    <w:p w:rsidR="00B42E03" w:rsidRDefault="006D1C76">
      <w:pPr>
        <w:pStyle w:val="NormalWeb"/>
        <w:jc w:val="both"/>
        <w:rPr>
          <w:rStyle w:val="Strong"/>
          <w:rFonts w:ascii="Arial" w:hAnsi="Arial" w:cs="Arial"/>
          <w:sz w:val="20"/>
          <w:szCs w:val="20"/>
        </w:rPr>
      </w:pPr>
      <w:r>
        <w:rPr>
          <w:rStyle w:val="Strong"/>
          <w:rFonts w:ascii="Arial" w:hAnsi="Arial" w:cs="Arial"/>
          <w:sz w:val="20"/>
          <w:szCs w:val="20"/>
        </w:rPr>
        <w:t>Treatment</w:t>
      </w:r>
    </w:p>
    <w:p w:rsidR="00B42E03" w:rsidRDefault="006D1C76">
      <w:pPr>
        <w:pStyle w:val="Heading4"/>
        <w:ind w:firstLine="720"/>
        <w:jc w:val="both"/>
        <w:rPr>
          <w:rFonts w:ascii="Arial" w:hAnsi="Arial" w:cs="Arial" w:hint="default"/>
          <w:b w:val="0"/>
          <w:bCs w:val="0"/>
          <w:sz w:val="20"/>
          <w:szCs w:val="20"/>
        </w:rPr>
      </w:pPr>
      <w:r>
        <w:rPr>
          <w:rFonts w:ascii="Arial" w:hAnsi="Arial" w:cs="Arial" w:hint="default"/>
          <w:b w:val="0"/>
          <w:bCs w:val="0"/>
          <w:sz w:val="20"/>
          <w:szCs w:val="20"/>
        </w:rPr>
        <w:t xml:space="preserve">All affected goats were treated with </w:t>
      </w:r>
      <w:r>
        <w:rPr>
          <w:rStyle w:val="Strong"/>
          <w:rFonts w:ascii="Arial" w:hAnsi="Arial" w:cs="Arial" w:hint="default"/>
          <w:sz w:val="20"/>
          <w:szCs w:val="20"/>
        </w:rPr>
        <w:t xml:space="preserve">sodium </w:t>
      </w:r>
      <w:r>
        <w:rPr>
          <w:rStyle w:val="Strong"/>
          <w:rFonts w:ascii="Arial" w:hAnsi="Arial" w:cs="Arial" w:hint="default"/>
          <w:sz w:val="20"/>
          <w:szCs w:val="20"/>
          <w:lang w:val="en-IN"/>
        </w:rPr>
        <w:t>L</w:t>
      </w:r>
      <w:proofErr w:type="spellStart"/>
      <w:r>
        <w:rPr>
          <w:rStyle w:val="Strong"/>
          <w:rFonts w:ascii="Arial" w:hAnsi="Arial" w:cs="Arial" w:hint="default"/>
          <w:sz w:val="20"/>
          <w:szCs w:val="20"/>
        </w:rPr>
        <w:t>evothyroxine</w:t>
      </w:r>
      <w:proofErr w:type="spellEnd"/>
      <w:r>
        <w:rPr>
          <w:rFonts w:ascii="Arial" w:hAnsi="Arial" w:cs="Arial" w:hint="default"/>
          <w:b w:val="0"/>
          <w:bCs w:val="0"/>
          <w:sz w:val="20"/>
          <w:szCs w:val="20"/>
        </w:rPr>
        <w:t xml:space="preserve"> at a dose rate of </w:t>
      </w:r>
      <w:r>
        <w:rPr>
          <w:rStyle w:val="Strong"/>
          <w:rFonts w:ascii="Arial" w:hAnsi="Arial" w:cs="Arial" w:hint="default"/>
          <w:sz w:val="20"/>
          <w:szCs w:val="20"/>
        </w:rPr>
        <w:t>20 µg/kg body weight once daily</w:t>
      </w:r>
      <w:r>
        <w:rPr>
          <w:rStyle w:val="Strong"/>
          <w:rFonts w:ascii="Arial" w:hAnsi="Arial" w:cs="Arial" w:hint="default"/>
          <w:sz w:val="20"/>
          <w:szCs w:val="20"/>
          <w:lang w:val="en-IN"/>
        </w:rPr>
        <w:t xml:space="preserve"> along with supplementation </w:t>
      </w:r>
      <w:proofErr w:type="gramStart"/>
      <w:r>
        <w:rPr>
          <w:rStyle w:val="Strong"/>
          <w:rFonts w:ascii="Arial" w:hAnsi="Arial" w:cs="Arial" w:hint="default"/>
          <w:sz w:val="20"/>
          <w:szCs w:val="20"/>
          <w:lang w:val="en-IN"/>
        </w:rPr>
        <w:t xml:space="preserve">of </w:t>
      </w:r>
      <w:r>
        <w:rPr>
          <w:rFonts w:ascii="Arial" w:hAnsi="Arial" w:cs="Arial" w:hint="default"/>
          <w:b w:val="0"/>
          <w:bCs w:val="0"/>
          <w:sz w:val="20"/>
          <w:szCs w:val="20"/>
        </w:rPr>
        <w:t xml:space="preserve"> </w:t>
      </w:r>
      <w:r>
        <w:rPr>
          <w:rStyle w:val="Strong"/>
          <w:rFonts w:ascii="Arial" w:hAnsi="Arial" w:cs="Arial" w:hint="default"/>
          <w:sz w:val="20"/>
          <w:szCs w:val="20"/>
        </w:rPr>
        <w:t>oral</w:t>
      </w:r>
      <w:proofErr w:type="gramEnd"/>
      <w:r>
        <w:rPr>
          <w:rStyle w:val="Strong"/>
          <w:rFonts w:ascii="Arial" w:hAnsi="Arial" w:cs="Arial" w:hint="default"/>
          <w:sz w:val="20"/>
          <w:szCs w:val="20"/>
        </w:rPr>
        <w:t xml:space="preserve"> potassium iodide (KI)</w:t>
      </w:r>
      <w:r>
        <w:rPr>
          <w:rFonts w:ascii="Arial" w:hAnsi="Arial" w:cs="Arial" w:hint="default"/>
          <w:b w:val="0"/>
          <w:bCs w:val="0"/>
          <w:sz w:val="20"/>
          <w:szCs w:val="20"/>
        </w:rPr>
        <w:t xml:space="preserve"> at </w:t>
      </w:r>
      <w:r>
        <w:rPr>
          <w:rStyle w:val="Strong"/>
          <w:rFonts w:ascii="Arial" w:hAnsi="Arial" w:cs="Arial" w:hint="default"/>
          <w:sz w:val="20"/>
          <w:szCs w:val="20"/>
        </w:rPr>
        <w:t>0.2 mg/kg body weight daily for 10 days</w:t>
      </w:r>
      <w:r>
        <w:rPr>
          <w:rFonts w:ascii="Arial" w:hAnsi="Arial" w:cs="Arial" w:hint="default"/>
          <w:b w:val="0"/>
          <w:bCs w:val="0"/>
          <w:sz w:val="20"/>
          <w:szCs w:val="20"/>
        </w:rPr>
        <w:t>.</w:t>
      </w:r>
    </w:p>
    <w:p w:rsidR="00B42E03" w:rsidRDefault="006D1C76">
      <w:pPr>
        <w:pStyle w:val="Heading4"/>
        <w:rPr>
          <w:rFonts w:ascii="Arial" w:hAnsi="Arial" w:cs="Arial" w:hint="default"/>
          <w:sz w:val="20"/>
          <w:szCs w:val="20"/>
        </w:rPr>
      </w:pPr>
      <w:r>
        <w:rPr>
          <w:rStyle w:val="Strong"/>
          <w:rFonts w:ascii="Arial" w:hAnsi="Arial" w:cs="Arial" w:hint="default"/>
          <w:b/>
          <w:bCs/>
          <w:sz w:val="20"/>
          <w:szCs w:val="20"/>
        </w:rPr>
        <w:t>Statistical Analysis</w:t>
      </w:r>
    </w:p>
    <w:p w:rsidR="00B42E03" w:rsidRDefault="006D1C76">
      <w:pPr>
        <w:pStyle w:val="NormalWeb"/>
        <w:ind w:firstLine="720"/>
        <w:jc w:val="both"/>
        <w:rPr>
          <w:rFonts w:ascii="Arial" w:hAnsi="Arial" w:cs="Arial"/>
          <w:b/>
          <w:bCs/>
          <w:sz w:val="20"/>
          <w:szCs w:val="20"/>
          <w:lang w:val="en-IN"/>
        </w:rPr>
      </w:pPr>
      <w:r>
        <w:rPr>
          <w:rStyle w:val="Strong"/>
          <w:rFonts w:ascii="Arial" w:hAnsi="Arial" w:cs="Arial"/>
          <w:b w:val="0"/>
          <w:bCs w:val="0"/>
          <w:sz w:val="20"/>
          <w:szCs w:val="20"/>
          <w:lang w:val="en-IN"/>
        </w:rPr>
        <w:t xml:space="preserve"> </w:t>
      </w:r>
      <w:r>
        <w:rPr>
          <w:rFonts w:ascii="Arial" w:hAnsi="Arial" w:cs="Arial"/>
          <w:sz w:val="20"/>
          <w:szCs w:val="20"/>
        </w:rPr>
        <w:t xml:space="preserve">Independent sample t-test was employed to compare the </w:t>
      </w:r>
      <w:proofErr w:type="spellStart"/>
      <w:r>
        <w:rPr>
          <w:rFonts w:ascii="Arial" w:hAnsi="Arial" w:cs="Arial"/>
          <w:sz w:val="20"/>
          <w:szCs w:val="20"/>
        </w:rPr>
        <w:t>haematological</w:t>
      </w:r>
      <w:proofErr w:type="spellEnd"/>
      <w:r>
        <w:rPr>
          <w:rFonts w:ascii="Arial" w:hAnsi="Arial" w:cs="Arial"/>
          <w:sz w:val="20"/>
          <w:szCs w:val="20"/>
          <w:lang w:val="en-IN"/>
        </w:rPr>
        <w:t xml:space="preserve"> </w:t>
      </w:r>
      <w:proofErr w:type="gramStart"/>
      <w:r>
        <w:rPr>
          <w:rFonts w:ascii="Arial" w:hAnsi="Arial" w:cs="Arial"/>
          <w:sz w:val="20"/>
          <w:szCs w:val="20"/>
          <w:lang w:val="en-IN"/>
        </w:rPr>
        <w:t xml:space="preserve">and </w:t>
      </w:r>
      <w:r>
        <w:rPr>
          <w:rFonts w:ascii="Arial" w:hAnsi="Arial" w:cs="Arial"/>
          <w:sz w:val="20"/>
          <w:szCs w:val="20"/>
        </w:rPr>
        <w:t xml:space="preserve"> serum</w:t>
      </w:r>
      <w:proofErr w:type="gramEnd"/>
      <w:r>
        <w:rPr>
          <w:rFonts w:ascii="Arial" w:hAnsi="Arial" w:cs="Arial"/>
          <w:sz w:val="20"/>
          <w:szCs w:val="20"/>
        </w:rPr>
        <w:t xml:space="preserve"> biochemical </w:t>
      </w:r>
      <w:r>
        <w:rPr>
          <w:rFonts w:ascii="Arial" w:hAnsi="Arial" w:cs="Arial"/>
          <w:sz w:val="20"/>
          <w:szCs w:val="20"/>
          <w:lang w:val="en-IN"/>
        </w:rPr>
        <w:t>p</w:t>
      </w:r>
      <w:proofErr w:type="spellStart"/>
      <w:r>
        <w:rPr>
          <w:rFonts w:ascii="Arial" w:hAnsi="Arial" w:cs="Arial"/>
          <w:sz w:val="20"/>
          <w:szCs w:val="20"/>
        </w:rPr>
        <w:t>arameters</w:t>
      </w:r>
      <w:proofErr w:type="spellEnd"/>
      <w:r>
        <w:rPr>
          <w:rFonts w:ascii="Arial" w:hAnsi="Arial" w:cs="Arial"/>
          <w:sz w:val="20"/>
          <w:szCs w:val="20"/>
        </w:rPr>
        <w:t xml:space="preserve"> between healthy and affected animals. The thyroid parameters recorded before and after therapy within the affected animals were </w:t>
      </w:r>
      <w:proofErr w:type="spellStart"/>
      <w:r>
        <w:rPr>
          <w:rFonts w:ascii="Arial" w:hAnsi="Arial" w:cs="Arial"/>
          <w:sz w:val="20"/>
          <w:szCs w:val="20"/>
        </w:rPr>
        <w:t>analysed</w:t>
      </w:r>
      <w:proofErr w:type="spellEnd"/>
      <w:r>
        <w:rPr>
          <w:rFonts w:ascii="Arial" w:hAnsi="Arial" w:cs="Arial"/>
          <w:sz w:val="20"/>
          <w:szCs w:val="20"/>
        </w:rPr>
        <w:t xml:space="preserve"> using a paired t-test. All statistical analyses were carried out using SPSS software (version 20.0).</w:t>
      </w:r>
    </w:p>
    <w:p w:rsidR="00B42E03" w:rsidRDefault="00B42E03">
      <w:pPr>
        <w:jc w:val="both"/>
        <w:rPr>
          <w:rFonts w:ascii="Arial" w:hAnsi="Arial" w:cs="Arial"/>
          <w:b/>
          <w:bCs/>
          <w:lang w:val="en-IN"/>
        </w:rPr>
      </w:pPr>
    </w:p>
    <w:p w:rsidR="00B42E03" w:rsidRDefault="00B42E03">
      <w:pPr>
        <w:rPr>
          <w:rFonts w:ascii="Arial" w:hAnsi="Arial" w:cs="Arial"/>
          <w:b/>
          <w:bCs/>
          <w:sz w:val="22"/>
          <w:szCs w:val="22"/>
          <w:lang w:val="en-IN"/>
        </w:rPr>
      </w:pPr>
    </w:p>
    <w:p w:rsidR="00B42E03" w:rsidRDefault="00B42E03">
      <w:pPr>
        <w:rPr>
          <w:rFonts w:ascii="Arial" w:hAnsi="Arial" w:cs="Arial"/>
          <w:b/>
          <w:bCs/>
          <w:sz w:val="22"/>
          <w:szCs w:val="22"/>
          <w:lang w:val="en-IN"/>
        </w:rPr>
      </w:pPr>
    </w:p>
    <w:p w:rsidR="00B42E03" w:rsidRDefault="00B42E03">
      <w:pPr>
        <w:rPr>
          <w:rFonts w:ascii="Arial" w:hAnsi="Arial" w:cs="Arial"/>
          <w:b/>
          <w:bCs/>
          <w:sz w:val="22"/>
          <w:szCs w:val="22"/>
          <w:lang w:val="en-IN"/>
        </w:rPr>
      </w:pPr>
    </w:p>
    <w:p w:rsidR="00B42E03" w:rsidRDefault="006D1C76">
      <w:pPr>
        <w:rPr>
          <w:rFonts w:ascii="Arial" w:hAnsi="Arial" w:cs="Arial"/>
          <w:b/>
          <w:bCs/>
          <w:sz w:val="22"/>
          <w:szCs w:val="22"/>
          <w:lang w:val="en-IN"/>
        </w:rPr>
      </w:pPr>
      <w:r>
        <w:rPr>
          <w:rFonts w:ascii="Arial" w:hAnsi="Arial" w:cs="Arial"/>
          <w:b/>
          <w:bCs/>
          <w:sz w:val="22"/>
          <w:szCs w:val="22"/>
          <w:lang w:val="en-IN"/>
        </w:rPr>
        <w:lastRenderedPageBreak/>
        <w:t xml:space="preserve">RESULTS </w:t>
      </w:r>
    </w:p>
    <w:p w:rsidR="00B42E03" w:rsidRDefault="00B42E03">
      <w:pPr>
        <w:rPr>
          <w:rFonts w:ascii="Arial" w:hAnsi="Arial" w:cs="Arial"/>
          <w:b/>
          <w:bCs/>
          <w:lang w:val="en-IN"/>
        </w:rPr>
      </w:pPr>
    </w:p>
    <w:p w:rsidR="00B42E03" w:rsidRDefault="006D1C76">
      <w:pPr>
        <w:ind w:firstLine="720"/>
        <w:jc w:val="both"/>
        <w:rPr>
          <w:rFonts w:ascii="Arial" w:hAnsi="Arial" w:cs="Arial"/>
        </w:rPr>
      </w:pPr>
      <w:r>
        <w:rPr>
          <w:rFonts w:ascii="Arial" w:hAnsi="Arial" w:cs="Arial"/>
        </w:rPr>
        <w:t xml:space="preserve">A total of </w:t>
      </w:r>
      <w:r>
        <w:rPr>
          <w:rStyle w:val="Strong"/>
          <w:rFonts w:ascii="Arial" w:hAnsi="Arial" w:cs="Arial"/>
          <w:b w:val="0"/>
          <w:bCs w:val="0"/>
        </w:rPr>
        <w:t>1,762 goats</w:t>
      </w:r>
      <w:r>
        <w:rPr>
          <w:rFonts w:ascii="Arial" w:hAnsi="Arial" w:cs="Arial"/>
        </w:rPr>
        <w:t xml:space="preserve"> were screened, out of which </w:t>
      </w:r>
      <w:r>
        <w:rPr>
          <w:rStyle w:val="Strong"/>
          <w:rFonts w:ascii="Arial" w:hAnsi="Arial" w:cs="Arial"/>
          <w:b w:val="0"/>
          <w:bCs w:val="0"/>
        </w:rPr>
        <w:t>18 goats</w:t>
      </w:r>
      <w:r>
        <w:rPr>
          <w:rFonts w:ascii="Arial" w:hAnsi="Arial" w:cs="Arial"/>
        </w:rPr>
        <w:t xml:space="preserve"> were found to be affected with </w:t>
      </w:r>
      <w:r>
        <w:rPr>
          <w:rStyle w:val="Strong"/>
          <w:rFonts w:ascii="Arial" w:hAnsi="Arial" w:cs="Arial"/>
          <w:b w:val="0"/>
          <w:bCs w:val="0"/>
        </w:rPr>
        <w:t xml:space="preserve">congenital </w:t>
      </w:r>
      <w:proofErr w:type="spellStart"/>
      <w:r>
        <w:rPr>
          <w:rStyle w:val="Strong"/>
          <w:rFonts w:ascii="Arial" w:hAnsi="Arial" w:cs="Arial"/>
          <w:b w:val="0"/>
          <w:bCs w:val="0"/>
        </w:rPr>
        <w:t>goitre</w:t>
      </w:r>
      <w:proofErr w:type="spellEnd"/>
      <w:r>
        <w:rPr>
          <w:rFonts w:ascii="Arial" w:hAnsi="Arial" w:cs="Arial"/>
        </w:rPr>
        <w:t xml:space="preserve">, yielding an overall incidence of </w:t>
      </w:r>
      <w:r>
        <w:rPr>
          <w:rStyle w:val="Strong"/>
          <w:rFonts w:ascii="Arial" w:hAnsi="Arial" w:cs="Arial"/>
          <w:b w:val="0"/>
          <w:bCs w:val="0"/>
        </w:rPr>
        <w:t>1.02%</w:t>
      </w:r>
      <w:r>
        <w:rPr>
          <w:rFonts w:ascii="Arial" w:hAnsi="Arial" w:cs="Arial"/>
        </w:rPr>
        <w:t xml:space="preserve">. Among the affected animals, </w:t>
      </w:r>
      <w:r>
        <w:rPr>
          <w:rStyle w:val="Strong"/>
          <w:rFonts w:ascii="Arial" w:hAnsi="Arial" w:cs="Arial"/>
          <w:b w:val="0"/>
          <w:bCs w:val="0"/>
        </w:rPr>
        <w:t>11 were males</w:t>
      </w:r>
      <w:r>
        <w:rPr>
          <w:rFonts w:ascii="Arial" w:hAnsi="Arial" w:cs="Arial"/>
        </w:rPr>
        <w:t xml:space="preserve"> and </w:t>
      </w:r>
      <w:r>
        <w:rPr>
          <w:rStyle w:val="Strong"/>
          <w:rFonts w:ascii="Arial" w:hAnsi="Arial" w:cs="Arial"/>
          <w:b w:val="0"/>
          <w:bCs w:val="0"/>
        </w:rPr>
        <w:t>7 were females</w:t>
      </w:r>
      <w:r>
        <w:rPr>
          <w:rFonts w:ascii="Arial" w:hAnsi="Arial" w:cs="Arial"/>
        </w:rPr>
        <w:t xml:space="preserve">. Based on age, </w:t>
      </w:r>
      <w:r>
        <w:rPr>
          <w:rStyle w:val="Strong"/>
          <w:rFonts w:ascii="Arial" w:hAnsi="Arial" w:cs="Arial"/>
          <w:b w:val="0"/>
          <w:bCs w:val="0"/>
        </w:rPr>
        <w:t>12 goats were below 6 months</w:t>
      </w:r>
      <w:r>
        <w:rPr>
          <w:rFonts w:ascii="Arial" w:hAnsi="Arial" w:cs="Arial"/>
        </w:rPr>
        <w:t xml:space="preserve"> of age, while </w:t>
      </w:r>
      <w:r>
        <w:rPr>
          <w:rStyle w:val="Strong"/>
          <w:rFonts w:ascii="Arial" w:hAnsi="Arial" w:cs="Arial"/>
          <w:b w:val="0"/>
          <w:bCs w:val="0"/>
        </w:rPr>
        <w:t>6 goats were above 6 months</w:t>
      </w:r>
      <w:r>
        <w:rPr>
          <w:rFonts w:ascii="Arial" w:hAnsi="Arial" w:cs="Arial"/>
        </w:rPr>
        <w:t xml:space="preserve">. Breed-wise distribution of affected goats revealed the following: </w:t>
      </w:r>
      <w:r>
        <w:rPr>
          <w:rStyle w:val="Strong"/>
          <w:rFonts w:ascii="Arial" w:hAnsi="Arial" w:cs="Arial"/>
          <w:b w:val="0"/>
          <w:bCs w:val="0"/>
        </w:rPr>
        <w:t>Malabari (7/18; 38.89%)</w:t>
      </w:r>
      <w:r>
        <w:rPr>
          <w:rFonts w:ascii="Arial" w:hAnsi="Arial" w:cs="Arial"/>
        </w:rPr>
        <w:t xml:space="preserve">, </w:t>
      </w:r>
      <w:proofErr w:type="spellStart"/>
      <w:r>
        <w:rPr>
          <w:rStyle w:val="Strong"/>
          <w:rFonts w:ascii="Arial" w:hAnsi="Arial" w:cs="Arial"/>
          <w:b w:val="0"/>
          <w:bCs w:val="0"/>
        </w:rPr>
        <w:t>Jamunapari</w:t>
      </w:r>
      <w:proofErr w:type="spellEnd"/>
      <w:r>
        <w:rPr>
          <w:rStyle w:val="Strong"/>
          <w:rFonts w:ascii="Arial" w:hAnsi="Arial" w:cs="Arial"/>
          <w:b w:val="0"/>
          <w:bCs w:val="0"/>
        </w:rPr>
        <w:t xml:space="preserve"> (5/18; 27.78%)</w:t>
      </w:r>
      <w:r>
        <w:rPr>
          <w:rFonts w:ascii="Arial" w:hAnsi="Arial" w:cs="Arial"/>
        </w:rPr>
        <w:t xml:space="preserve">, </w:t>
      </w:r>
      <w:proofErr w:type="spellStart"/>
      <w:r>
        <w:rPr>
          <w:rStyle w:val="Strong"/>
          <w:rFonts w:ascii="Arial" w:hAnsi="Arial" w:cs="Arial"/>
          <w:b w:val="0"/>
          <w:bCs w:val="0"/>
        </w:rPr>
        <w:t>Barbari</w:t>
      </w:r>
      <w:proofErr w:type="spellEnd"/>
      <w:r>
        <w:rPr>
          <w:rStyle w:val="Strong"/>
          <w:rFonts w:ascii="Arial" w:hAnsi="Arial" w:cs="Arial"/>
          <w:b w:val="0"/>
          <w:bCs w:val="0"/>
        </w:rPr>
        <w:t xml:space="preserve"> (3/18; 16.67%)</w:t>
      </w:r>
      <w:r>
        <w:rPr>
          <w:rFonts w:ascii="Arial" w:hAnsi="Arial" w:cs="Arial"/>
        </w:rPr>
        <w:t xml:space="preserve">, </w:t>
      </w:r>
      <w:proofErr w:type="spellStart"/>
      <w:r>
        <w:rPr>
          <w:rStyle w:val="Strong"/>
          <w:rFonts w:ascii="Arial" w:hAnsi="Arial" w:cs="Arial"/>
          <w:b w:val="0"/>
          <w:bCs w:val="0"/>
        </w:rPr>
        <w:t>Osmanabadi</w:t>
      </w:r>
      <w:proofErr w:type="spellEnd"/>
      <w:r>
        <w:rPr>
          <w:rStyle w:val="Strong"/>
          <w:rFonts w:ascii="Arial" w:hAnsi="Arial" w:cs="Arial"/>
          <w:b w:val="0"/>
          <w:bCs w:val="0"/>
        </w:rPr>
        <w:t xml:space="preserve"> (2/18; 11.11%)</w:t>
      </w:r>
      <w:r>
        <w:rPr>
          <w:rFonts w:ascii="Arial" w:hAnsi="Arial" w:cs="Arial"/>
        </w:rPr>
        <w:t xml:space="preserve">, and </w:t>
      </w:r>
      <w:r>
        <w:rPr>
          <w:rStyle w:val="Strong"/>
          <w:rFonts w:ascii="Arial" w:hAnsi="Arial" w:cs="Arial"/>
          <w:b w:val="0"/>
          <w:bCs w:val="0"/>
        </w:rPr>
        <w:t>non-descript goats (1/18; 5.55%)</w:t>
      </w:r>
      <w:r>
        <w:rPr>
          <w:rFonts w:ascii="Arial" w:hAnsi="Arial" w:cs="Arial"/>
        </w:rPr>
        <w:t>.</w:t>
      </w:r>
    </w:p>
    <w:p w:rsidR="00B42E03" w:rsidRDefault="006D1C76">
      <w:pPr>
        <w:pStyle w:val="NormalWeb"/>
        <w:ind w:firstLine="720"/>
        <w:jc w:val="both"/>
      </w:pPr>
      <w:r>
        <w:rPr>
          <w:rFonts w:ascii="Arial" w:hAnsi="Arial" w:cs="Arial"/>
          <w:sz w:val="20"/>
          <w:szCs w:val="20"/>
        </w:rPr>
        <w:t xml:space="preserve">On physical examination, </w:t>
      </w:r>
      <w:r>
        <w:rPr>
          <w:rStyle w:val="Strong"/>
          <w:rFonts w:ascii="Arial" w:hAnsi="Arial" w:cs="Arial"/>
          <w:b w:val="0"/>
          <w:bCs w:val="0"/>
          <w:sz w:val="20"/>
          <w:szCs w:val="20"/>
        </w:rPr>
        <w:t>the swellings were non-painful on palpation</w:t>
      </w:r>
      <w:r>
        <w:rPr>
          <w:rFonts w:ascii="Arial" w:hAnsi="Arial" w:cs="Arial"/>
          <w:sz w:val="20"/>
          <w:szCs w:val="20"/>
        </w:rPr>
        <w:t xml:space="preserve">, and </w:t>
      </w:r>
      <w:r>
        <w:rPr>
          <w:rStyle w:val="Strong"/>
          <w:rFonts w:ascii="Arial" w:hAnsi="Arial" w:cs="Arial"/>
          <w:b w:val="0"/>
          <w:bCs w:val="0"/>
          <w:sz w:val="20"/>
          <w:szCs w:val="20"/>
        </w:rPr>
        <w:t>vital parameters remained within normal physiological limits</w:t>
      </w:r>
      <w:r>
        <w:rPr>
          <w:rFonts w:ascii="Arial" w:hAnsi="Arial" w:cs="Arial"/>
          <w:sz w:val="20"/>
          <w:szCs w:val="20"/>
        </w:rPr>
        <w:t xml:space="preserve">. Fine needle aspiration of the thyroid swelling revealed </w:t>
      </w:r>
      <w:r>
        <w:rPr>
          <w:rStyle w:val="Strong"/>
          <w:rFonts w:ascii="Arial" w:hAnsi="Arial" w:cs="Arial"/>
          <w:b w:val="0"/>
          <w:bCs w:val="0"/>
          <w:sz w:val="20"/>
          <w:szCs w:val="20"/>
        </w:rPr>
        <w:t>no evidence of pus or fluid accumulation</w:t>
      </w:r>
      <w:r>
        <w:rPr>
          <w:rFonts w:ascii="Arial" w:hAnsi="Arial" w:cs="Arial"/>
          <w:sz w:val="20"/>
          <w:szCs w:val="20"/>
        </w:rPr>
        <w:t xml:space="preserve">, ruling out abscess or cystic </w:t>
      </w:r>
      <w:proofErr w:type="spellStart"/>
      <w:proofErr w:type="gramStart"/>
      <w:r>
        <w:rPr>
          <w:rFonts w:ascii="Arial" w:hAnsi="Arial" w:cs="Arial"/>
          <w:sz w:val="20"/>
          <w:szCs w:val="20"/>
        </w:rPr>
        <w:t>lesions.The</w:t>
      </w:r>
      <w:proofErr w:type="spellEnd"/>
      <w:proofErr w:type="gramEnd"/>
      <w:r>
        <w:rPr>
          <w:rFonts w:ascii="Arial" w:hAnsi="Arial" w:cs="Arial"/>
          <w:sz w:val="20"/>
          <w:szCs w:val="20"/>
        </w:rPr>
        <w:t xml:space="preserve"> predominant clinical sign observed was </w:t>
      </w:r>
      <w:r>
        <w:rPr>
          <w:rStyle w:val="Strong"/>
          <w:rFonts w:ascii="Arial" w:hAnsi="Arial" w:cs="Arial"/>
          <w:b w:val="0"/>
          <w:bCs w:val="0"/>
          <w:sz w:val="20"/>
          <w:szCs w:val="20"/>
        </w:rPr>
        <w:t>bilaterally enlarged thyroid gland</w:t>
      </w:r>
      <w:r>
        <w:rPr>
          <w:rFonts w:ascii="Arial" w:hAnsi="Arial" w:cs="Arial"/>
          <w:sz w:val="20"/>
          <w:szCs w:val="20"/>
        </w:rPr>
        <w:t xml:space="preserve"> presenting as a palpable swelling in the </w:t>
      </w:r>
      <w:r>
        <w:rPr>
          <w:rStyle w:val="Strong"/>
          <w:rFonts w:ascii="Arial" w:hAnsi="Arial" w:cs="Arial"/>
          <w:b w:val="0"/>
          <w:bCs w:val="0"/>
          <w:sz w:val="20"/>
          <w:szCs w:val="20"/>
        </w:rPr>
        <w:t>ventral neck region</w:t>
      </w:r>
      <w:r>
        <w:rPr>
          <w:rFonts w:ascii="Arial" w:hAnsi="Arial" w:cs="Arial"/>
          <w:sz w:val="20"/>
          <w:szCs w:val="20"/>
        </w:rPr>
        <w:t xml:space="preserve"> in all affected goats (</w:t>
      </w:r>
      <w:r>
        <w:rPr>
          <w:rStyle w:val="Strong"/>
          <w:rFonts w:ascii="Arial" w:hAnsi="Arial" w:cs="Arial"/>
          <w:b w:val="0"/>
          <w:bCs w:val="0"/>
          <w:sz w:val="20"/>
          <w:szCs w:val="20"/>
        </w:rPr>
        <w:t>18/18; 100%</w:t>
      </w:r>
      <w:r>
        <w:rPr>
          <w:rFonts w:ascii="Arial" w:hAnsi="Arial" w:cs="Arial"/>
          <w:sz w:val="20"/>
          <w:szCs w:val="20"/>
        </w:rPr>
        <w:t xml:space="preserve">). Other clinical manifestations included </w:t>
      </w:r>
      <w:r>
        <w:rPr>
          <w:rStyle w:val="Strong"/>
          <w:rFonts w:ascii="Arial" w:hAnsi="Arial" w:cs="Arial"/>
          <w:b w:val="0"/>
          <w:bCs w:val="0"/>
          <w:sz w:val="20"/>
          <w:szCs w:val="20"/>
        </w:rPr>
        <w:t>failure to thrive (11/18; 61.11%)</w:t>
      </w:r>
      <w:r>
        <w:rPr>
          <w:rFonts w:ascii="Arial" w:hAnsi="Arial" w:cs="Arial"/>
          <w:sz w:val="20"/>
          <w:szCs w:val="20"/>
        </w:rPr>
        <w:t xml:space="preserve">, </w:t>
      </w:r>
      <w:r>
        <w:rPr>
          <w:rStyle w:val="Strong"/>
          <w:rFonts w:ascii="Arial" w:hAnsi="Arial" w:cs="Arial"/>
          <w:b w:val="0"/>
          <w:bCs w:val="0"/>
          <w:sz w:val="20"/>
          <w:szCs w:val="20"/>
        </w:rPr>
        <w:t>dyspnea (9/</w:t>
      </w:r>
      <w:proofErr w:type="gramStart"/>
      <w:r>
        <w:rPr>
          <w:rStyle w:val="Strong"/>
          <w:rFonts w:ascii="Arial" w:hAnsi="Arial" w:cs="Arial"/>
          <w:b w:val="0"/>
          <w:bCs w:val="0"/>
          <w:sz w:val="20"/>
          <w:szCs w:val="20"/>
        </w:rPr>
        <w:t xml:space="preserve">18; </w:t>
      </w:r>
      <w:r>
        <w:rPr>
          <w:rStyle w:val="Strong"/>
          <w:rFonts w:ascii="Arial" w:hAnsi="Arial" w:cs="Arial"/>
          <w:sz w:val="22"/>
          <w:szCs w:val="22"/>
        </w:rPr>
        <w:t xml:space="preserve"> </w:t>
      </w:r>
      <w:r>
        <w:rPr>
          <w:rStyle w:val="Strong"/>
          <w:rFonts w:ascii="Arial" w:hAnsi="Arial" w:cs="Arial"/>
          <w:b w:val="0"/>
          <w:bCs w:val="0"/>
          <w:sz w:val="20"/>
          <w:szCs w:val="20"/>
        </w:rPr>
        <w:t>50</w:t>
      </w:r>
      <w:proofErr w:type="gramEnd"/>
      <w:r>
        <w:rPr>
          <w:rStyle w:val="Strong"/>
          <w:rFonts w:ascii="Arial" w:hAnsi="Arial" w:cs="Arial"/>
          <w:b w:val="0"/>
          <w:bCs w:val="0"/>
          <w:sz w:val="20"/>
          <w:szCs w:val="20"/>
        </w:rPr>
        <w:t>%)</w:t>
      </w:r>
      <w:r>
        <w:rPr>
          <w:rFonts w:ascii="Arial" w:hAnsi="Arial" w:cs="Arial"/>
          <w:sz w:val="20"/>
          <w:szCs w:val="20"/>
        </w:rPr>
        <w:t xml:space="preserve">, </w:t>
      </w:r>
      <w:r>
        <w:rPr>
          <w:rStyle w:val="Strong"/>
          <w:rFonts w:ascii="Arial" w:hAnsi="Arial" w:cs="Arial"/>
          <w:b w:val="0"/>
          <w:bCs w:val="0"/>
          <w:sz w:val="20"/>
          <w:szCs w:val="20"/>
        </w:rPr>
        <w:t>weakness (7/18; 38.89%)</w:t>
      </w:r>
      <w:r>
        <w:rPr>
          <w:rFonts w:ascii="Arial" w:hAnsi="Arial" w:cs="Arial"/>
          <w:sz w:val="20"/>
          <w:szCs w:val="20"/>
        </w:rPr>
        <w:t xml:space="preserve">, </w:t>
      </w:r>
      <w:r>
        <w:rPr>
          <w:rStyle w:val="Strong"/>
          <w:rFonts w:ascii="Arial" w:hAnsi="Arial" w:cs="Arial"/>
          <w:b w:val="0"/>
          <w:bCs w:val="0"/>
          <w:sz w:val="20"/>
          <w:szCs w:val="20"/>
        </w:rPr>
        <w:t>sparse hair coat (6/18; 33.33%)</w:t>
      </w:r>
      <w:r>
        <w:rPr>
          <w:rFonts w:ascii="Arial" w:hAnsi="Arial" w:cs="Arial"/>
          <w:sz w:val="20"/>
          <w:szCs w:val="20"/>
        </w:rPr>
        <w:t xml:space="preserve">, </w:t>
      </w:r>
      <w:r>
        <w:rPr>
          <w:rStyle w:val="Strong"/>
          <w:rFonts w:ascii="Arial" w:hAnsi="Arial" w:cs="Arial"/>
          <w:b w:val="0"/>
          <w:bCs w:val="0"/>
          <w:sz w:val="20"/>
          <w:szCs w:val="20"/>
        </w:rPr>
        <w:t>alopecia (5/18; 27.78%)</w:t>
      </w:r>
      <w:r>
        <w:rPr>
          <w:rFonts w:ascii="Arial" w:hAnsi="Arial" w:cs="Arial"/>
          <w:sz w:val="20"/>
          <w:szCs w:val="20"/>
        </w:rPr>
        <w:t xml:space="preserve">, and </w:t>
      </w:r>
      <w:r>
        <w:rPr>
          <w:rStyle w:val="Strong"/>
          <w:rFonts w:ascii="Arial" w:hAnsi="Arial" w:cs="Arial"/>
          <w:b w:val="0"/>
          <w:bCs w:val="0"/>
          <w:sz w:val="20"/>
          <w:szCs w:val="20"/>
        </w:rPr>
        <w:t>myxedema (1/18; 5.55%) (</w:t>
      </w:r>
      <w:r>
        <w:rPr>
          <w:rStyle w:val="Strong"/>
          <w:rFonts w:ascii="Arial" w:hAnsi="Arial" w:cs="Arial"/>
          <w:sz w:val="20"/>
          <w:szCs w:val="20"/>
        </w:rPr>
        <w:t>Figure 3</w:t>
      </w:r>
      <w:r>
        <w:rPr>
          <w:rStyle w:val="Strong"/>
          <w:rFonts w:ascii="Arial" w:hAnsi="Arial" w:cs="Arial"/>
          <w:b w:val="0"/>
          <w:bCs w:val="0"/>
          <w:sz w:val="20"/>
          <w:szCs w:val="20"/>
        </w:rPr>
        <w:t>)</w:t>
      </w:r>
      <w:r>
        <w:rPr>
          <w:rFonts w:ascii="Arial" w:hAnsi="Arial" w:cs="Arial"/>
          <w:sz w:val="20"/>
          <w:szCs w:val="20"/>
        </w:rPr>
        <w:t>.</w:t>
      </w:r>
    </w:p>
    <w:p w:rsidR="00B42E03" w:rsidRDefault="006D1C76">
      <w:pPr>
        <w:pStyle w:val="NormalWeb"/>
        <w:ind w:firstLine="720"/>
        <w:jc w:val="both"/>
        <w:rPr>
          <w:rFonts w:ascii="Arial" w:hAnsi="Arial" w:cs="Arial"/>
          <w:sz w:val="20"/>
          <w:szCs w:val="20"/>
        </w:rPr>
      </w:pPr>
      <w:proofErr w:type="spellStart"/>
      <w:r>
        <w:rPr>
          <w:rFonts w:ascii="Arial" w:hAnsi="Arial" w:cs="Arial"/>
          <w:sz w:val="20"/>
          <w:szCs w:val="20"/>
        </w:rPr>
        <w:t>Haematological</w:t>
      </w:r>
      <w:proofErr w:type="spellEnd"/>
      <w:r>
        <w:rPr>
          <w:rFonts w:ascii="Arial" w:hAnsi="Arial" w:cs="Arial"/>
          <w:sz w:val="20"/>
          <w:szCs w:val="20"/>
        </w:rPr>
        <w:t xml:space="preserve"> analysis revealed a </w:t>
      </w:r>
      <w:r>
        <w:rPr>
          <w:rStyle w:val="Strong"/>
          <w:rFonts w:ascii="Arial" w:hAnsi="Arial" w:cs="Arial"/>
          <w:b w:val="0"/>
          <w:bCs w:val="0"/>
          <w:sz w:val="20"/>
          <w:szCs w:val="20"/>
        </w:rPr>
        <w:t xml:space="preserve">significant (p &lt; 0.05) decrease in </w:t>
      </w:r>
      <w:proofErr w:type="spellStart"/>
      <w:r>
        <w:rPr>
          <w:rStyle w:val="Strong"/>
          <w:rFonts w:ascii="Arial" w:hAnsi="Arial" w:cs="Arial"/>
          <w:b w:val="0"/>
          <w:bCs w:val="0"/>
          <w:sz w:val="20"/>
          <w:szCs w:val="20"/>
        </w:rPr>
        <w:t>haemoglobin</w:t>
      </w:r>
      <w:proofErr w:type="spellEnd"/>
      <w:r>
        <w:rPr>
          <w:rStyle w:val="Strong"/>
          <w:rFonts w:ascii="Arial" w:hAnsi="Arial" w:cs="Arial"/>
          <w:b w:val="0"/>
          <w:bCs w:val="0"/>
          <w:sz w:val="20"/>
          <w:szCs w:val="20"/>
        </w:rPr>
        <w:t xml:space="preserve"> concentration and total erythrocyte count (RBC)</w:t>
      </w:r>
      <w:r>
        <w:rPr>
          <w:rFonts w:ascii="Arial" w:hAnsi="Arial" w:cs="Arial"/>
          <w:sz w:val="20"/>
          <w:szCs w:val="20"/>
        </w:rPr>
        <w:t xml:space="preserve"> in goats affected with congenital </w:t>
      </w:r>
      <w:proofErr w:type="spellStart"/>
      <w:r>
        <w:rPr>
          <w:rFonts w:ascii="Arial" w:hAnsi="Arial" w:cs="Arial"/>
          <w:sz w:val="20"/>
          <w:szCs w:val="20"/>
        </w:rPr>
        <w:t>goitre</w:t>
      </w:r>
      <w:proofErr w:type="spellEnd"/>
      <w:r>
        <w:rPr>
          <w:rFonts w:ascii="Arial" w:hAnsi="Arial" w:cs="Arial"/>
          <w:sz w:val="20"/>
          <w:szCs w:val="20"/>
        </w:rPr>
        <w:t xml:space="preserve"> when compared to healthy controls (Table 1).Serum biochemical analysis showed a </w:t>
      </w:r>
      <w:r>
        <w:rPr>
          <w:rStyle w:val="Strong"/>
          <w:rFonts w:ascii="Arial" w:hAnsi="Arial" w:cs="Arial"/>
          <w:b w:val="0"/>
          <w:bCs w:val="0"/>
          <w:sz w:val="20"/>
          <w:szCs w:val="20"/>
        </w:rPr>
        <w:t>significant (p &lt; 0.05) increase in cholesterol levels</w:t>
      </w:r>
      <w:r>
        <w:rPr>
          <w:rFonts w:ascii="Arial" w:hAnsi="Arial" w:cs="Arial"/>
          <w:sz w:val="20"/>
          <w:szCs w:val="20"/>
        </w:rPr>
        <w:t xml:space="preserve">, while the differences observed in other biochemical parameters were </w:t>
      </w:r>
      <w:r>
        <w:rPr>
          <w:rStyle w:val="Strong"/>
          <w:rFonts w:ascii="Arial" w:hAnsi="Arial" w:cs="Arial"/>
          <w:b w:val="0"/>
          <w:bCs w:val="0"/>
          <w:sz w:val="20"/>
          <w:szCs w:val="20"/>
        </w:rPr>
        <w:t>non-significant (p &gt; 0.05)</w:t>
      </w:r>
      <w:r>
        <w:rPr>
          <w:rFonts w:ascii="Arial" w:hAnsi="Arial" w:cs="Arial"/>
          <w:sz w:val="20"/>
          <w:szCs w:val="20"/>
        </w:rPr>
        <w:t xml:space="preserve"> between affected and healthy animals (Table 2).Thyroid function testing demonstrated a </w:t>
      </w:r>
      <w:r>
        <w:rPr>
          <w:rStyle w:val="Strong"/>
          <w:rFonts w:ascii="Arial" w:hAnsi="Arial" w:cs="Arial"/>
          <w:b w:val="0"/>
          <w:bCs w:val="0"/>
          <w:sz w:val="20"/>
          <w:szCs w:val="20"/>
        </w:rPr>
        <w:t>significant (p &lt; 0.05) decrease in serum thyroxine (T</w:t>
      </w:r>
      <w:r>
        <w:rPr>
          <w:rStyle w:val="Strong"/>
          <w:rFonts w:ascii="Cambria Math" w:hAnsi="Cambria Math" w:cs="Cambria Math"/>
          <w:b w:val="0"/>
          <w:bCs w:val="0"/>
          <w:sz w:val="20"/>
          <w:szCs w:val="20"/>
        </w:rPr>
        <w:t>₄</w:t>
      </w:r>
      <w:r>
        <w:rPr>
          <w:rStyle w:val="Strong"/>
          <w:rFonts w:ascii="Arial" w:hAnsi="Arial" w:cs="Arial"/>
          <w:b w:val="0"/>
          <w:bCs w:val="0"/>
          <w:sz w:val="20"/>
          <w:szCs w:val="20"/>
        </w:rPr>
        <w:t>)</w:t>
      </w:r>
      <w:r>
        <w:rPr>
          <w:rFonts w:ascii="Arial" w:hAnsi="Arial" w:cs="Arial"/>
          <w:sz w:val="20"/>
          <w:szCs w:val="20"/>
        </w:rPr>
        <w:t xml:space="preserve"> and </w:t>
      </w:r>
      <w:r>
        <w:rPr>
          <w:rStyle w:val="Strong"/>
          <w:rFonts w:ascii="Arial" w:hAnsi="Arial" w:cs="Arial"/>
          <w:b w:val="0"/>
          <w:bCs w:val="0"/>
          <w:sz w:val="20"/>
          <w:szCs w:val="20"/>
        </w:rPr>
        <w:t>triiodothyronine (T</w:t>
      </w:r>
      <w:r>
        <w:rPr>
          <w:rStyle w:val="Strong"/>
          <w:rFonts w:ascii="Cambria Math" w:hAnsi="Cambria Math" w:cs="Cambria Math"/>
          <w:b w:val="0"/>
          <w:bCs w:val="0"/>
          <w:sz w:val="20"/>
          <w:szCs w:val="20"/>
        </w:rPr>
        <w:t>₃</w:t>
      </w:r>
      <w:r>
        <w:rPr>
          <w:rStyle w:val="Strong"/>
          <w:rFonts w:ascii="Arial" w:hAnsi="Arial" w:cs="Arial"/>
          <w:b w:val="0"/>
          <w:bCs w:val="0"/>
          <w:sz w:val="20"/>
          <w:szCs w:val="20"/>
        </w:rPr>
        <w:t>)</w:t>
      </w:r>
      <w:r>
        <w:rPr>
          <w:rFonts w:ascii="Arial" w:hAnsi="Arial" w:cs="Arial"/>
          <w:sz w:val="20"/>
          <w:szCs w:val="20"/>
        </w:rPr>
        <w:t xml:space="preserve"> concentrations, accompanied by a </w:t>
      </w:r>
      <w:r>
        <w:rPr>
          <w:rStyle w:val="Strong"/>
          <w:rFonts w:ascii="Arial" w:hAnsi="Arial" w:cs="Arial"/>
          <w:b w:val="0"/>
          <w:bCs w:val="0"/>
          <w:sz w:val="20"/>
          <w:szCs w:val="20"/>
        </w:rPr>
        <w:t>significant (p &lt; 0.05) increase in thyroid-stimulating hormone (TSH)</w:t>
      </w:r>
      <w:r>
        <w:rPr>
          <w:rFonts w:ascii="Arial" w:hAnsi="Arial" w:cs="Arial"/>
          <w:sz w:val="20"/>
          <w:szCs w:val="20"/>
        </w:rPr>
        <w:t xml:space="preserve"> levels in goats with </w:t>
      </w:r>
      <w:proofErr w:type="spellStart"/>
      <w:r>
        <w:rPr>
          <w:rFonts w:ascii="Arial" w:hAnsi="Arial" w:cs="Arial"/>
          <w:sz w:val="20"/>
          <w:szCs w:val="20"/>
        </w:rPr>
        <w:t>goitre</w:t>
      </w:r>
      <w:proofErr w:type="spellEnd"/>
      <w:r>
        <w:rPr>
          <w:rFonts w:ascii="Arial" w:hAnsi="Arial" w:cs="Arial"/>
          <w:sz w:val="20"/>
          <w:szCs w:val="20"/>
        </w:rPr>
        <w:t>, indicating hypothyroid status (Table 3).</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Radiographic examination was performed on </w:t>
      </w:r>
      <w:r>
        <w:rPr>
          <w:rStyle w:val="Strong"/>
          <w:rFonts w:ascii="Arial" w:hAnsi="Arial" w:cs="Arial"/>
          <w:b w:val="0"/>
          <w:bCs w:val="0"/>
          <w:sz w:val="20"/>
          <w:szCs w:val="20"/>
        </w:rPr>
        <w:t>seven animals</w:t>
      </w:r>
      <w:r>
        <w:rPr>
          <w:rFonts w:ascii="Arial" w:hAnsi="Arial" w:cs="Arial"/>
          <w:sz w:val="20"/>
          <w:szCs w:val="20"/>
        </w:rPr>
        <w:t xml:space="preserve">, all of which exhibited </w:t>
      </w:r>
      <w:r>
        <w:rPr>
          <w:rStyle w:val="Strong"/>
          <w:rFonts w:ascii="Arial" w:hAnsi="Arial" w:cs="Arial"/>
          <w:b w:val="0"/>
          <w:bCs w:val="0"/>
          <w:sz w:val="20"/>
          <w:szCs w:val="20"/>
        </w:rPr>
        <w:t>increased soft tissue opacity in the ventral neck region</w:t>
      </w:r>
      <w:r>
        <w:rPr>
          <w:rFonts w:ascii="Arial" w:hAnsi="Arial" w:cs="Arial"/>
          <w:sz w:val="20"/>
          <w:szCs w:val="20"/>
        </w:rPr>
        <w:t xml:space="preserve">, consistent with thyroid gland </w:t>
      </w:r>
      <w:proofErr w:type="spellStart"/>
      <w:proofErr w:type="gramStart"/>
      <w:r>
        <w:rPr>
          <w:rFonts w:ascii="Arial" w:hAnsi="Arial" w:cs="Arial"/>
          <w:sz w:val="20"/>
          <w:szCs w:val="20"/>
        </w:rPr>
        <w:t>enlargement.Ultrasonographic</w:t>
      </w:r>
      <w:proofErr w:type="spellEnd"/>
      <w:proofErr w:type="gramEnd"/>
      <w:r>
        <w:rPr>
          <w:rFonts w:ascii="Arial" w:hAnsi="Arial" w:cs="Arial"/>
          <w:sz w:val="20"/>
          <w:szCs w:val="20"/>
        </w:rPr>
        <w:t xml:space="preserve"> examination of the thyroid gland was carried out in </w:t>
      </w:r>
      <w:r>
        <w:rPr>
          <w:rStyle w:val="Strong"/>
          <w:rFonts w:ascii="Arial" w:hAnsi="Arial" w:cs="Arial"/>
          <w:b w:val="0"/>
          <w:bCs w:val="0"/>
          <w:sz w:val="20"/>
          <w:szCs w:val="20"/>
        </w:rPr>
        <w:t>ten animals</w:t>
      </w:r>
      <w:r>
        <w:rPr>
          <w:rFonts w:ascii="Arial" w:hAnsi="Arial" w:cs="Arial"/>
          <w:sz w:val="20"/>
          <w:szCs w:val="20"/>
        </w:rPr>
        <w:t xml:space="preserve">. The major sonographic findings included </w:t>
      </w:r>
      <w:r>
        <w:rPr>
          <w:rStyle w:val="Strong"/>
          <w:rFonts w:ascii="Arial" w:hAnsi="Arial" w:cs="Arial"/>
          <w:b w:val="0"/>
          <w:bCs w:val="0"/>
          <w:sz w:val="20"/>
          <w:szCs w:val="20"/>
        </w:rPr>
        <w:t>marked bilateral enlargement of the thyroid lobes (100%)</w:t>
      </w:r>
      <w:r>
        <w:rPr>
          <w:rFonts w:ascii="Arial" w:hAnsi="Arial" w:cs="Arial"/>
          <w:sz w:val="20"/>
          <w:szCs w:val="20"/>
        </w:rPr>
        <w:t xml:space="preserve">, </w:t>
      </w:r>
      <w:r>
        <w:rPr>
          <w:rStyle w:val="Strong"/>
          <w:rFonts w:ascii="Arial" w:hAnsi="Arial" w:cs="Arial"/>
          <w:b w:val="0"/>
          <w:bCs w:val="0"/>
          <w:sz w:val="20"/>
          <w:szCs w:val="20"/>
        </w:rPr>
        <w:t>heterogeneous echotexture with hypoechoic areas within the gland (80%)</w:t>
      </w:r>
      <w:r>
        <w:rPr>
          <w:rFonts w:ascii="Arial" w:hAnsi="Arial" w:cs="Arial"/>
          <w:sz w:val="20"/>
          <w:szCs w:val="20"/>
        </w:rPr>
        <w:t xml:space="preserve">, </w:t>
      </w:r>
      <w:r>
        <w:rPr>
          <w:rStyle w:val="Strong"/>
          <w:rFonts w:ascii="Arial" w:hAnsi="Arial" w:cs="Arial"/>
          <w:b w:val="0"/>
          <w:bCs w:val="0"/>
          <w:sz w:val="20"/>
          <w:szCs w:val="20"/>
        </w:rPr>
        <w:t>increased echogenicity (20%)</w:t>
      </w:r>
      <w:r>
        <w:rPr>
          <w:rFonts w:ascii="Arial" w:hAnsi="Arial" w:cs="Arial"/>
          <w:sz w:val="20"/>
          <w:szCs w:val="20"/>
        </w:rPr>
        <w:t xml:space="preserve">, and </w:t>
      </w:r>
      <w:r>
        <w:rPr>
          <w:rStyle w:val="Strong"/>
          <w:rFonts w:ascii="Arial" w:hAnsi="Arial" w:cs="Arial"/>
          <w:b w:val="0"/>
          <w:bCs w:val="0"/>
          <w:sz w:val="20"/>
          <w:szCs w:val="20"/>
        </w:rPr>
        <w:t xml:space="preserve">increased vascularity on </w:t>
      </w:r>
      <w:proofErr w:type="spellStart"/>
      <w:r>
        <w:rPr>
          <w:rStyle w:val="Strong"/>
          <w:rFonts w:ascii="Arial" w:hAnsi="Arial" w:cs="Arial"/>
          <w:b w:val="0"/>
          <w:bCs w:val="0"/>
          <w:sz w:val="20"/>
          <w:szCs w:val="20"/>
        </w:rPr>
        <w:t>colour</w:t>
      </w:r>
      <w:proofErr w:type="spellEnd"/>
      <w:r>
        <w:rPr>
          <w:rStyle w:val="Strong"/>
          <w:rFonts w:ascii="Arial" w:hAnsi="Arial" w:cs="Arial"/>
          <w:b w:val="0"/>
          <w:bCs w:val="0"/>
          <w:sz w:val="20"/>
          <w:szCs w:val="20"/>
        </w:rPr>
        <w:t xml:space="preserve"> Doppler imaging (40%) </w:t>
      </w:r>
      <w:r>
        <w:rPr>
          <w:rStyle w:val="Strong"/>
          <w:rFonts w:ascii="Arial" w:hAnsi="Arial" w:cs="Arial"/>
          <w:sz w:val="20"/>
          <w:szCs w:val="20"/>
        </w:rPr>
        <w:t>(Figure 4)</w:t>
      </w:r>
      <w:r>
        <w:rPr>
          <w:rFonts w:ascii="Arial" w:hAnsi="Arial" w:cs="Arial"/>
          <w:b/>
          <w:bCs/>
          <w:sz w:val="20"/>
          <w:szCs w:val="20"/>
        </w:rPr>
        <w:t>.</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Histopathological examination was conducted on thyroid tissues from </w:t>
      </w:r>
      <w:r>
        <w:rPr>
          <w:rStyle w:val="Strong"/>
          <w:rFonts w:ascii="Arial" w:hAnsi="Arial" w:cs="Arial"/>
          <w:b w:val="0"/>
          <w:bCs w:val="0"/>
          <w:sz w:val="20"/>
          <w:szCs w:val="20"/>
        </w:rPr>
        <w:t>six animals</w:t>
      </w:r>
      <w:r>
        <w:rPr>
          <w:rFonts w:ascii="Arial" w:hAnsi="Arial" w:cs="Arial"/>
          <w:sz w:val="20"/>
          <w:szCs w:val="20"/>
        </w:rPr>
        <w:t xml:space="preserve"> to confirm the diagnosis and evaluate microscopic </w:t>
      </w:r>
      <w:proofErr w:type="spellStart"/>
      <w:proofErr w:type="gramStart"/>
      <w:r>
        <w:rPr>
          <w:rFonts w:ascii="Arial" w:hAnsi="Arial" w:cs="Arial"/>
          <w:sz w:val="20"/>
          <w:szCs w:val="20"/>
        </w:rPr>
        <w:t>alterations.Histopathological</w:t>
      </w:r>
      <w:proofErr w:type="spellEnd"/>
      <w:proofErr w:type="gramEnd"/>
      <w:r>
        <w:rPr>
          <w:rFonts w:ascii="Arial" w:hAnsi="Arial" w:cs="Arial"/>
          <w:sz w:val="20"/>
          <w:szCs w:val="20"/>
        </w:rPr>
        <w:t xml:space="preserve"> examination of thyroid tissues revealed </w:t>
      </w:r>
      <w:r>
        <w:rPr>
          <w:rStyle w:val="Strong"/>
          <w:rFonts w:ascii="Arial" w:hAnsi="Arial" w:cs="Arial"/>
          <w:b w:val="0"/>
          <w:bCs w:val="0"/>
          <w:sz w:val="20"/>
          <w:szCs w:val="20"/>
        </w:rPr>
        <w:t>marked variation in the size of thyroid follicles</w:t>
      </w:r>
      <w:r>
        <w:rPr>
          <w:rFonts w:ascii="Arial" w:hAnsi="Arial" w:cs="Arial"/>
          <w:sz w:val="20"/>
          <w:szCs w:val="20"/>
        </w:rPr>
        <w:t xml:space="preserve"> accompanied by </w:t>
      </w:r>
      <w:r>
        <w:rPr>
          <w:rStyle w:val="Strong"/>
          <w:rFonts w:ascii="Arial" w:hAnsi="Arial" w:cs="Arial"/>
          <w:b w:val="0"/>
          <w:bCs w:val="0"/>
          <w:sz w:val="20"/>
          <w:szCs w:val="20"/>
        </w:rPr>
        <w:t>pronounced hyperplastic changes</w:t>
      </w:r>
      <w:r>
        <w:rPr>
          <w:rFonts w:ascii="Arial" w:hAnsi="Arial" w:cs="Arial"/>
          <w:sz w:val="20"/>
          <w:szCs w:val="20"/>
        </w:rPr>
        <w:t xml:space="preserve"> in all examined samples (</w:t>
      </w:r>
      <w:r>
        <w:rPr>
          <w:rStyle w:val="Strong"/>
          <w:rFonts w:ascii="Arial" w:hAnsi="Arial" w:cs="Arial"/>
          <w:b w:val="0"/>
          <w:bCs w:val="0"/>
          <w:sz w:val="20"/>
          <w:szCs w:val="20"/>
        </w:rPr>
        <w:t>6/6; 100%</w:t>
      </w:r>
      <w:r>
        <w:rPr>
          <w:rFonts w:ascii="Arial" w:hAnsi="Arial" w:cs="Arial"/>
          <w:sz w:val="20"/>
          <w:szCs w:val="20"/>
        </w:rPr>
        <w:t xml:space="preserve">). In several sections, the follicles were lined by </w:t>
      </w:r>
      <w:r>
        <w:rPr>
          <w:rStyle w:val="Strong"/>
          <w:rFonts w:ascii="Arial" w:hAnsi="Arial" w:cs="Arial"/>
          <w:b w:val="0"/>
          <w:bCs w:val="0"/>
          <w:sz w:val="20"/>
          <w:szCs w:val="20"/>
        </w:rPr>
        <w:t>multiple layers of follicular epithelial cells forming papillary projections into the follicular lumen</w:t>
      </w:r>
      <w:r>
        <w:rPr>
          <w:rFonts w:ascii="Arial" w:hAnsi="Arial" w:cs="Arial"/>
          <w:sz w:val="20"/>
          <w:szCs w:val="20"/>
        </w:rPr>
        <w:t xml:space="preserve"> (</w:t>
      </w:r>
      <w:r>
        <w:rPr>
          <w:rStyle w:val="Strong"/>
          <w:rFonts w:ascii="Arial" w:hAnsi="Arial" w:cs="Arial"/>
          <w:b w:val="0"/>
          <w:bCs w:val="0"/>
          <w:sz w:val="20"/>
          <w:szCs w:val="20"/>
        </w:rPr>
        <w:t>4/6; 66.67%</w:t>
      </w:r>
      <w:r>
        <w:rPr>
          <w:rFonts w:ascii="Arial" w:hAnsi="Arial" w:cs="Arial"/>
          <w:sz w:val="20"/>
          <w:szCs w:val="20"/>
        </w:rPr>
        <w:t xml:space="preserve">). </w:t>
      </w:r>
      <w:r>
        <w:rPr>
          <w:rStyle w:val="Strong"/>
          <w:rFonts w:ascii="Arial" w:hAnsi="Arial" w:cs="Arial"/>
          <w:b w:val="0"/>
          <w:bCs w:val="0"/>
          <w:sz w:val="20"/>
          <w:szCs w:val="20"/>
        </w:rPr>
        <w:t>Disruption of normal follicular architecture</w:t>
      </w:r>
      <w:r>
        <w:rPr>
          <w:rFonts w:ascii="Arial" w:hAnsi="Arial" w:cs="Arial"/>
          <w:sz w:val="20"/>
          <w:szCs w:val="20"/>
        </w:rPr>
        <w:t xml:space="preserve"> was observed in </w:t>
      </w:r>
      <w:r>
        <w:rPr>
          <w:rStyle w:val="Strong"/>
          <w:rFonts w:ascii="Arial" w:hAnsi="Arial" w:cs="Arial"/>
          <w:b w:val="0"/>
          <w:bCs w:val="0"/>
          <w:sz w:val="20"/>
          <w:szCs w:val="20"/>
        </w:rPr>
        <w:t>three cases (3/6; 50%)</w:t>
      </w:r>
      <w:r>
        <w:rPr>
          <w:rFonts w:ascii="Arial" w:hAnsi="Arial" w:cs="Arial"/>
          <w:sz w:val="20"/>
          <w:szCs w:val="20"/>
        </w:rPr>
        <w:t xml:space="preserve">, along with </w:t>
      </w:r>
      <w:r>
        <w:rPr>
          <w:rStyle w:val="Strong"/>
          <w:rFonts w:ascii="Arial" w:hAnsi="Arial" w:cs="Arial"/>
          <w:b w:val="0"/>
          <w:bCs w:val="0"/>
          <w:sz w:val="20"/>
          <w:szCs w:val="20"/>
        </w:rPr>
        <w:t>depletion of colloid material within the follicles</w:t>
      </w:r>
      <w:r>
        <w:rPr>
          <w:rFonts w:ascii="Arial" w:hAnsi="Arial" w:cs="Arial"/>
          <w:sz w:val="20"/>
          <w:szCs w:val="20"/>
        </w:rPr>
        <w:t xml:space="preserve"> (</w:t>
      </w:r>
      <w:r>
        <w:rPr>
          <w:rStyle w:val="Strong"/>
          <w:rFonts w:ascii="Arial" w:hAnsi="Arial" w:cs="Arial"/>
          <w:b w:val="0"/>
          <w:bCs w:val="0"/>
          <w:sz w:val="20"/>
          <w:szCs w:val="20"/>
        </w:rPr>
        <w:t>3/6; 50%</w:t>
      </w:r>
      <w:r>
        <w:rPr>
          <w:rFonts w:ascii="Arial" w:hAnsi="Arial" w:cs="Arial"/>
          <w:sz w:val="20"/>
          <w:szCs w:val="20"/>
        </w:rPr>
        <w:t xml:space="preserve">). In </w:t>
      </w:r>
      <w:r>
        <w:rPr>
          <w:rStyle w:val="Strong"/>
          <w:rFonts w:ascii="Arial" w:hAnsi="Arial" w:cs="Arial"/>
          <w:b w:val="0"/>
          <w:bCs w:val="0"/>
          <w:sz w:val="20"/>
          <w:szCs w:val="20"/>
        </w:rPr>
        <w:t>two samples (2/6; 33.33%)</w:t>
      </w:r>
      <w:r>
        <w:rPr>
          <w:rFonts w:ascii="Arial" w:hAnsi="Arial" w:cs="Arial"/>
          <w:sz w:val="20"/>
          <w:szCs w:val="20"/>
        </w:rPr>
        <w:t xml:space="preserve">, the follicular epithelium exhibited </w:t>
      </w:r>
      <w:r>
        <w:rPr>
          <w:rStyle w:val="Strong"/>
          <w:rFonts w:ascii="Arial" w:hAnsi="Arial" w:cs="Arial"/>
          <w:b w:val="0"/>
          <w:bCs w:val="0"/>
          <w:sz w:val="20"/>
          <w:szCs w:val="20"/>
        </w:rPr>
        <w:t>columnar cell with hyperchromatic nuclei</w:t>
      </w:r>
      <w:r>
        <w:rPr>
          <w:rFonts w:ascii="Arial" w:hAnsi="Arial" w:cs="Arial"/>
          <w:sz w:val="20"/>
          <w:szCs w:val="20"/>
        </w:rPr>
        <w:t xml:space="preserve">, indicative of increased cellular activity and hyperplasia </w:t>
      </w:r>
      <w:r>
        <w:rPr>
          <w:rFonts w:ascii="Arial" w:hAnsi="Arial" w:cs="Arial"/>
          <w:b/>
          <w:bCs/>
          <w:sz w:val="20"/>
          <w:szCs w:val="20"/>
        </w:rPr>
        <w:t>(Figure 5).</w:t>
      </w:r>
    </w:p>
    <w:p w:rsidR="00B42E03" w:rsidRDefault="006D1C76">
      <w:pPr>
        <w:pStyle w:val="NormalWeb"/>
        <w:ind w:firstLine="720"/>
        <w:jc w:val="both"/>
        <w:rPr>
          <w:rFonts w:ascii="Arial" w:hAnsi="Arial" w:cs="Arial"/>
          <w:sz w:val="20"/>
          <w:szCs w:val="20"/>
        </w:rPr>
      </w:pPr>
      <w:proofErr w:type="spellStart"/>
      <w:r>
        <w:rPr>
          <w:rFonts w:ascii="Arial" w:hAnsi="Arial" w:cs="Arial"/>
          <w:sz w:val="20"/>
          <w:szCs w:val="20"/>
        </w:rPr>
        <w:t>Goitrous</w:t>
      </w:r>
      <w:proofErr w:type="spellEnd"/>
      <w:r>
        <w:rPr>
          <w:rFonts w:ascii="Arial" w:hAnsi="Arial" w:cs="Arial"/>
          <w:sz w:val="20"/>
          <w:szCs w:val="20"/>
        </w:rPr>
        <w:t xml:space="preserve"> goat kids were treated with </w:t>
      </w:r>
      <w:r>
        <w:rPr>
          <w:rStyle w:val="Strong"/>
          <w:rFonts w:ascii="Arial" w:hAnsi="Arial" w:cs="Arial"/>
          <w:b w:val="0"/>
          <w:bCs w:val="0"/>
          <w:sz w:val="20"/>
          <w:szCs w:val="20"/>
        </w:rPr>
        <w:t>sodium levothyroxine at a dose rate of 20 µg/kg body weight once daily</w:t>
      </w:r>
      <w:r>
        <w:rPr>
          <w:rFonts w:ascii="Arial" w:hAnsi="Arial" w:cs="Arial"/>
          <w:sz w:val="20"/>
          <w:szCs w:val="20"/>
        </w:rPr>
        <w:t xml:space="preserve">, along with </w:t>
      </w:r>
      <w:r>
        <w:rPr>
          <w:rStyle w:val="Strong"/>
          <w:rFonts w:ascii="Arial" w:hAnsi="Arial" w:cs="Arial"/>
          <w:b w:val="0"/>
          <w:bCs w:val="0"/>
          <w:sz w:val="20"/>
          <w:szCs w:val="20"/>
        </w:rPr>
        <w:t>oral supplementation of potassium iodide (KI) at 0.2 mg/kg body weight daily for 10 days</w:t>
      </w:r>
      <w:r>
        <w:rPr>
          <w:rFonts w:ascii="Arial" w:hAnsi="Arial" w:cs="Arial"/>
          <w:sz w:val="20"/>
          <w:szCs w:val="20"/>
        </w:rPr>
        <w:t xml:space="preserve">. Following therapy, </w:t>
      </w:r>
      <w:r>
        <w:rPr>
          <w:rStyle w:val="Strong"/>
          <w:rFonts w:ascii="Arial" w:hAnsi="Arial" w:cs="Arial"/>
          <w:b w:val="0"/>
          <w:bCs w:val="0"/>
          <w:sz w:val="20"/>
          <w:szCs w:val="20"/>
        </w:rPr>
        <w:t>marked clinical improvement</w:t>
      </w:r>
      <w:r>
        <w:rPr>
          <w:rFonts w:ascii="Arial" w:hAnsi="Arial" w:cs="Arial"/>
          <w:sz w:val="20"/>
          <w:szCs w:val="20"/>
        </w:rPr>
        <w:t xml:space="preserve"> was observed in </w:t>
      </w:r>
      <w:r>
        <w:rPr>
          <w:rStyle w:val="Strong"/>
          <w:rFonts w:ascii="Arial" w:hAnsi="Arial" w:cs="Arial"/>
          <w:b w:val="0"/>
          <w:bCs w:val="0"/>
          <w:sz w:val="20"/>
          <w:szCs w:val="20"/>
        </w:rPr>
        <w:t>16 animals</w:t>
      </w:r>
      <w:r>
        <w:rPr>
          <w:rFonts w:ascii="Arial" w:hAnsi="Arial" w:cs="Arial"/>
          <w:sz w:val="20"/>
          <w:szCs w:val="20"/>
        </w:rPr>
        <w:t xml:space="preserve">, characterized by a </w:t>
      </w:r>
      <w:r>
        <w:rPr>
          <w:rStyle w:val="Strong"/>
          <w:rFonts w:ascii="Arial" w:hAnsi="Arial" w:cs="Arial"/>
          <w:b w:val="0"/>
          <w:bCs w:val="0"/>
          <w:sz w:val="20"/>
          <w:szCs w:val="20"/>
        </w:rPr>
        <w:t>reduction in thyroid gland size</w:t>
      </w:r>
      <w:r>
        <w:rPr>
          <w:rFonts w:ascii="Arial" w:hAnsi="Arial" w:cs="Arial"/>
          <w:sz w:val="20"/>
          <w:szCs w:val="20"/>
        </w:rPr>
        <w:t xml:space="preserve">, </w:t>
      </w:r>
      <w:r>
        <w:rPr>
          <w:rStyle w:val="Strong"/>
          <w:rFonts w:ascii="Arial" w:hAnsi="Arial" w:cs="Arial"/>
          <w:b w:val="0"/>
          <w:bCs w:val="0"/>
          <w:sz w:val="20"/>
          <w:szCs w:val="20"/>
        </w:rPr>
        <w:t>alleviation of clinical signs</w:t>
      </w:r>
      <w:r>
        <w:rPr>
          <w:rFonts w:ascii="Arial" w:hAnsi="Arial" w:cs="Arial"/>
          <w:sz w:val="20"/>
          <w:szCs w:val="20"/>
        </w:rPr>
        <w:t xml:space="preserve">, and </w:t>
      </w:r>
      <w:r>
        <w:rPr>
          <w:rStyle w:val="Strong"/>
          <w:rFonts w:ascii="Arial" w:hAnsi="Arial" w:cs="Arial"/>
          <w:b w:val="0"/>
          <w:bCs w:val="0"/>
          <w:sz w:val="20"/>
          <w:szCs w:val="20"/>
        </w:rPr>
        <w:t>normalization of serum thyroid hormone levels</w:t>
      </w:r>
      <w:r>
        <w:rPr>
          <w:rFonts w:ascii="Arial" w:hAnsi="Arial" w:cs="Arial"/>
          <w:sz w:val="20"/>
          <w:szCs w:val="20"/>
        </w:rPr>
        <w:t xml:space="preserve">. However, </w:t>
      </w:r>
      <w:r>
        <w:rPr>
          <w:rStyle w:val="Strong"/>
          <w:rFonts w:ascii="Arial" w:hAnsi="Arial" w:cs="Arial"/>
          <w:b w:val="0"/>
          <w:bCs w:val="0"/>
          <w:sz w:val="20"/>
          <w:szCs w:val="20"/>
        </w:rPr>
        <w:t>two animals succumbed during the course of treatment despite of therapy</w:t>
      </w:r>
      <w:r>
        <w:rPr>
          <w:rFonts w:ascii="Arial" w:hAnsi="Arial" w:cs="Arial"/>
          <w:sz w:val="20"/>
          <w:szCs w:val="20"/>
        </w:rPr>
        <w:t>.</w:t>
      </w:r>
    </w:p>
    <w:p w:rsidR="00B42E03" w:rsidRDefault="00B42E03">
      <w:pPr>
        <w:pStyle w:val="NormalWeb"/>
        <w:ind w:firstLine="720"/>
        <w:jc w:val="both"/>
        <w:rPr>
          <w:rFonts w:ascii="Arial" w:hAnsi="Arial" w:cs="Arial"/>
          <w:sz w:val="20"/>
          <w:szCs w:val="20"/>
        </w:rPr>
        <w:sectPr w:rsidR="00B42E03">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720" w:footer="720" w:gutter="0"/>
          <w:cols w:space="720"/>
          <w:docGrid w:linePitch="360"/>
        </w:sectPr>
      </w:pPr>
    </w:p>
    <w:p w:rsidR="00B42E03" w:rsidRDefault="00B42E03">
      <w:pPr>
        <w:pStyle w:val="NormalWeb"/>
        <w:jc w:val="both"/>
        <w:rPr>
          <w:rFonts w:ascii="Arial" w:hAnsi="Arial" w:cs="Arial"/>
          <w:sz w:val="20"/>
          <w:szCs w:val="20"/>
        </w:rPr>
      </w:pPr>
    </w:p>
    <w:p w:rsidR="00B42E03" w:rsidRDefault="006D1C76">
      <w:pPr>
        <w:pStyle w:val="NormalWeb"/>
        <w:jc w:val="both"/>
        <w:rPr>
          <w:rFonts w:ascii="Arial" w:hAnsi="Arial" w:cs="Arial"/>
          <w:b/>
          <w:bCs/>
          <w:sz w:val="22"/>
          <w:szCs w:val="22"/>
        </w:rPr>
      </w:pPr>
      <w:r>
        <w:rPr>
          <w:rFonts w:ascii="Arial" w:hAnsi="Arial" w:cs="Arial"/>
          <w:b/>
          <w:bCs/>
          <w:sz w:val="22"/>
          <w:szCs w:val="22"/>
        </w:rPr>
        <w:t xml:space="preserve">         Figure 1: Collection of tissue sample though percutaneous biopsy </w:t>
      </w:r>
    </w:p>
    <w:tbl>
      <w:tblPr>
        <w:tblStyle w:val="TableGrid"/>
        <w:tblpPr w:leftFromText="180" w:rightFromText="180" w:vertAnchor="page" w:horzAnchor="margin" w:tblpXSpec="center" w:tblpY="27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8"/>
      </w:tblGrid>
      <w:tr w:rsidR="00B42E03">
        <w:tc>
          <w:tcPr>
            <w:tcW w:w="7258" w:type="dxa"/>
          </w:tcPr>
          <w:p w:rsidR="00B42E03" w:rsidRDefault="006D1C76">
            <w:pPr>
              <w:pStyle w:val="NormalWeb"/>
              <w:rPr>
                <w:rFonts w:ascii="Arial" w:hAnsi="Arial" w:cs="Arial"/>
                <w:sz w:val="20"/>
                <w:szCs w:val="20"/>
              </w:rPr>
            </w:pPr>
            <w:r>
              <w:rPr>
                <w:noProof/>
                <w:sz w:val="36"/>
                <w:szCs w:val="36"/>
                <w:lang w:val="en-IN"/>
              </w:rPr>
              <w:drawing>
                <wp:inline distT="0" distB="0" distL="114300" distR="114300">
                  <wp:extent cx="2677160" cy="3569335"/>
                  <wp:effectExtent l="68262" t="84138" r="134303" b="134302"/>
                  <wp:docPr id="72055075" name="Picture 72055075" descr="WhatsApp Image 2025-11-05 at 11.21.0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5075" name="Picture 72055075" descr="WhatsApp Image 2025-11-05 at 11.21.05 AM"/>
                          <pic:cNvPicPr>
                            <a:picLocks noChangeAspect="1"/>
                          </pic:cNvPicPr>
                        </pic:nvPicPr>
                        <pic:blipFill>
                          <a:blip r:embed="rId13"/>
                          <a:stretch>
                            <a:fillRect/>
                          </a:stretch>
                        </pic:blipFill>
                        <pic:spPr>
                          <a:xfrm rot="16200000">
                            <a:off x="0" y="0"/>
                            <a:ext cx="2703173" cy="360441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B42E03">
        <w:tc>
          <w:tcPr>
            <w:tcW w:w="7258" w:type="dxa"/>
          </w:tcPr>
          <w:p w:rsidR="00B42E03" w:rsidRDefault="00B42E03">
            <w:pPr>
              <w:pStyle w:val="NormalWeb"/>
              <w:rPr>
                <w:rFonts w:ascii="Arial" w:hAnsi="Arial" w:cs="Arial"/>
                <w:b/>
                <w:bCs/>
                <w:color w:val="231F20"/>
                <w:sz w:val="22"/>
                <w:szCs w:val="22"/>
                <w:lang w:bidi="ar"/>
              </w:rPr>
            </w:pPr>
          </w:p>
          <w:p w:rsidR="00B42E03" w:rsidRDefault="00B42E03">
            <w:pPr>
              <w:pStyle w:val="NormalWeb"/>
              <w:rPr>
                <w:rFonts w:ascii="Arial" w:hAnsi="Arial" w:cs="Arial"/>
                <w:b/>
                <w:bCs/>
                <w:color w:val="231F20"/>
                <w:sz w:val="22"/>
                <w:szCs w:val="22"/>
                <w:lang w:bidi="ar"/>
              </w:rPr>
            </w:pPr>
          </w:p>
          <w:p w:rsidR="00B42E03" w:rsidRDefault="00B42E03">
            <w:pPr>
              <w:pStyle w:val="NormalWeb"/>
              <w:rPr>
                <w:rFonts w:ascii="Arial" w:hAnsi="Arial" w:cs="Arial"/>
                <w:b/>
                <w:bCs/>
                <w:color w:val="231F20"/>
                <w:sz w:val="22"/>
                <w:szCs w:val="22"/>
                <w:lang w:bidi="ar"/>
              </w:rPr>
            </w:pPr>
          </w:p>
          <w:p w:rsidR="00B42E03" w:rsidRDefault="006D1C76">
            <w:pPr>
              <w:pStyle w:val="NormalWeb"/>
              <w:rPr>
                <w:rFonts w:ascii="Arial" w:hAnsi="Arial" w:cs="Arial"/>
                <w:b/>
                <w:bCs/>
                <w:color w:val="231F20"/>
                <w:sz w:val="22"/>
                <w:szCs w:val="22"/>
                <w:lang w:bidi="ar"/>
              </w:rPr>
            </w:pPr>
            <w:r>
              <w:rPr>
                <w:rFonts w:ascii="Arial" w:hAnsi="Arial" w:cs="Arial"/>
                <w:b/>
                <w:bCs/>
                <w:color w:val="231F20"/>
                <w:sz w:val="22"/>
                <w:szCs w:val="22"/>
                <w:lang w:bidi="ar"/>
              </w:rPr>
              <w:t xml:space="preserve">Figure 2: Thyroid gland from a </w:t>
            </w:r>
            <w:proofErr w:type="spellStart"/>
            <w:r>
              <w:rPr>
                <w:rFonts w:ascii="Arial" w:hAnsi="Arial" w:cs="Arial"/>
                <w:b/>
                <w:bCs/>
                <w:color w:val="231F20"/>
                <w:sz w:val="22"/>
                <w:szCs w:val="22"/>
                <w:lang w:bidi="ar"/>
              </w:rPr>
              <w:t>goitre</w:t>
            </w:r>
            <w:proofErr w:type="spellEnd"/>
            <w:r>
              <w:rPr>
                <w:rFonts w:ascii="Arial" w:hAnsi="Arial" w:cs="Arial"/>
                <w:b/>
                <w:bCs/>
                <w:color w:val="231F20"/>
                <w:sz w:val="22"/>
                <w:szCs w:val="22"/>
                <w:lang w:bidi="ar"/>
              </w:rPr>
              <w:t>-affected deceased kid showing the right and left lobes.</w:t>
            </w:r>
          </w:p>
          <w:tbl>
            <w:tblPr>
              <w:tblStyle w:val="TableGrid"/>
              <w:tblW w:w="0" w:type="auto"/>
              <w:tblLook w:val="04A0" w:firstRow="1" w:lastRow="0" w:firstColumn="1" w:lastColumn="0" w:noHBand="0" w:noVBand="1"/>
            </w:tblPr>
            <w:tblGrid>
              <w:gridCol w:w="3546"/>
              <w:gridCol w:w="3486"/>
            </w:tblGrid>
            <w:tr w:rsidR="00B42E03">
              <w:tc>
                <w:tcPr>
                  <w:tcW w:w="3546" w:type="dxa"/>
                </w:tcPr>
                <w:p w:rsidR="00B42E03" w:rsidRDefault="006D1C76" w:rsidP="0076191C">
                  <w:pPr>
                    <w:framePr w:hSpace="180" w:wrap="around" w:vAnchor="page" w:hAnchor="margin" w:xAlign="center" w:y="2730"/>
                    <w:rPr>
                      <w:rFonts w:ascii="Arial" w:eastAsia="SimSun" w:hAnsi="Arial" w:cs="Arial"/>
                      <w:color w:val="231F20"/>
                      <w:sz w:val="18"/>
                      <w:szCs w:val="18"/>
                      <w:lang w:val="en-IN" w:bidi="ar"/>
                    </w:rPr>
                  </w:pPr>
                  <w:r>
                    <w:rPr>
                      <w:noProof/>
                    </w:rPr>
                    <w:drawing>
                      <wp:inline distT="0" distB="0" distL="0" distR="0">
                        <wp:extent cx="1897380" cy="1688465"/>
                        <wp:effectExtent l="76200" t="76200" r="140970" b="140335"/>
                        <wp:docPr id="165750451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57504516" name="Content Placeholder 4"/>
                                <pic:cNvPicPr>
                                  <a:picLocks noGrp="1" noChangeAspect="1"/>
                                </pic:cNvPicPr>
                              </pic:nvPicPr>
                              <pic:blipFill>
                                <a:blip r:embed="rId14">
                                  <a:extLst>
                                    <a:ext uri="{28A0092B-C50C-407E-A947-70E740481C1C}">
                                      <a14:useLocalDpi xmlns:a14="http://schemas.microsoft.com/office/drawing/2010/main" val="0"/>
                                    </a:ext>
                                  </a:extLst>
                                </a:blip>
                                <a:srcRect l="34497" t="26103" r="29396" b="50719"/>
                                <a:stretch>
                                  <a:fillRect/>
                                </a:stretch>
                              </pic:blipFill>
                              <pic:spPr>
                                <a:xfrm>
                                  <a:off x="0" y="0"/>
                                  <a:ext cx="1956541" cy="174088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3486" w:type="dxa"/>
                </w:tcPr>
                <w:p w:rsidR="00B42E03" w:rsidRDefault="006D1C76" w:rsidP="0076191C">
                  <w:pPr>
                    <w:framePr w:hSpace="180" w:wrap="around" w:vAnchor="page" w:hAnchor="margin" w:xAlign="center" w:y="2730"/>
                    <w:rPr>
                      <w:rFonts w:ascii="Arial" w:eastAsia="SimSun" w:hAnsi="Arial" w:cs="Arial"/>
                      <w:color w:val="231F20"/>
                      <w:sz w:val="18"/>
                      <w:szCs w:val="18"/>
                      <w:lang w:val="en-IN" w:bidi="ar"/>
                    </w:rPr>
                  </w:pPr>
                  <w:r>
                    <w:rPr>
                      <w:noProof/>
                    </w:rPr>
                    <w:drawing>
                      <wp:inline distT="0" distB="0" distL="0" distR="0">
                        <wp:extent cx="1868805" cy="1688465"/>
                        <wp:effectExtent l="76200" t="76200" r="131445" b="140335"/>
                        <wp:docPr id="2082896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9644" name="Picture 6"/>
                                <pic:cNvPicPr>
                                  <a:picLocks noChangeAspect="1"/>
                                </pic:cNvPicPr>
                              </pic:nvPicPr>
                              <pic:blipFill>
                                <a:blip r:embed="rId15">
                                  <a:extLst>
                                    <a:ext uri="{28A0092B-C50C-407E-A947-70E740481C1C}">
                                      <a14:useLocalDpi xmlns:a14="http://schemas.microsoft.com/office/drawing/2010/main" val="0"/>
                                    </a:ext>
                                  </a:extLst>
                                </a:blip>
                                <a:srcRect l="28251" t="15532" r="36377" b="51377"/>
                                <a:stretch>
                                  <a:fillRect/>
                                </a:stretch>
                              </pic:blipFill>
                              <pic:spPr>
                                <a:xfrm>
                                  <a:off x="0" y="0"/>
                                  <a:ext cx="1888279" cy="170640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tr w:rsidR="00B42E03">
              <w:tc>
                <w:tcPr>
                  <w:tcW w:w="3546" w:type="dxa"/>
                </w:tcPr>
                <w:p w:rsidR="00B42E03" w:rsidRDefault="006D1C76" w:rsidP="0076191C">
                  <w:pPr>
                    <w:framePr w:hSpace="180" w:wrap="around" w:vAnchor="page" w:hAnchor="margin" w:xAlign="center" w:y="2730"/>
                    <w:rPr>
                      <w:b/>
                      <w:bCs/>
                    </w:rPr>
                  </w:pPr>
                  <w:r>
                    <w:t xml:space="preserve">                      </w:t>
                  </w:r>
                  <w:r>
                    <w:rPr>
                      <w:b/>
                      <w:bCs/>
                    </w:rPr>
                    <w:t xml:space="preserve">Right lobe </w:t>
                  </w:r>
                </w:p>
              </w:tc>
              <w:tc>
                <w:tcPr>
                  <w:tcW w:w="3486" w:type="dxa"/>
                </w:tcPr>
                <w:p w:rsidR="00B42E03" w:rsidRDefault="006D1C76" w:rsidP="0076191C">
                  <w:pPr>
                    <w:framePr w:hSpace="180" w:wrap="around" w:vAnchor="page" w:hAnchor="margin" w:xAlign="center" w:y="2730"/>
                    <w:rPr>
                      <w:b/>
                      <w:bCs/>
                    </w:rPr>
                  </w:pPr>
                  <w:r>
                    <w:t xml:space="preserve">                           </w:t>
                  </w:r>
                  <w:r>
                    <w:rPr>
                      <w:b/>
                      <w:bCs/>
                    </w:rPr>
                    <w:t xml:space="preserve">Left lobe </w:t>
                  </w:r>
                </w:p>
              </w:tc>
            </w:tr>
          </w:tbl>
          <w:p w:rsidR="00B42E03" w:rsidRDefault="00B42E03">
            <w:pPr>
              <w:pStyle w:val="NormalWeb"/>
              <w:rPr>
                <w:sz w:val="36"/>
                <w:szCs w:val="36"/>
                <w:lang w:val="en-IN"/>
              </w:rPr>
            </w:pPr>
          </w:p>
        </w:tc>
      </w:tr>
    </w:tbl>
    <w:p w:rsidR="00B42E03" w:rsidRDefault="00B42E03">
      <w:pPr>
        <w:pStyle w:val="NormalWeb"/>
        <w:jc w:val="both"/>
        <w:rPr>
          <w:rFonts w:ascii="Arial" w:hAnsi="Arial" w:cs="Arial"/>
          <w:sz w:val="20"/>
          <w:szCs w:val="20"/>
        </w:rPr>
      </w:pPr>
    </w:p>
    <w:p w:rsidR="00B42E03" w:rsidRDefault="00B42E03"/>
    <w:p w:rsidR="00B42E03" w:rsidRDefault="00B42E03"/>
    <w:p w:rsidR="00B42E03" w:rsidRDefault="00B42E03"/>
    <w:p w:rsidR="00B42E03" w:rsidRDefault="00B42E03"/>
    <w:p w:rsidR="00B42E03" w:rsidRDefault="006D1C76">
      <w:pPr>
        <w:tabs>
          <w:tab w:val="left" w:pos="3148"/>
        </w:tabs>
      </w:pPr>
      <w:r>
        <w:tab/>
      </w:r>
    </w:p>
    <w:p w:rsidR="00B42E03" w:rsidRDefault="006D1C76">
      <w:r>
        <w:br w:type="page"/>
      </w:r>
    </w:p>
    <w:p w:rsidR="00B42E03" w:rsidRDefault="006D1C76">
      <w:pPr>
        <w:rPr>
          <w:rFonts w:ascii="Arial" w:hAnsi="Arial" w:cs="Arial"/>
          <w:b/>
          <w:bCs/>
          <w:sz w:val="22"/>
          <w:szCs w:val="22"/>
        </w:rPr>
      </w:pPr>
      <w:r>
        <w:rPr>
          <w:rFonts w:ascii="Arial" w:hAnsi="Arial" w:cs="Arial"/>
          <w:b/>
          <w:bCs/>
          <w:sz w:val="22"/>
          <w:szCs w:val="22"/>
        </w:rPr>
        <w:lastRenderedPageBreak/>
        <w:t xml:space="preserve">   Figure 3: Clinical presentation of goats affected with </w:t>
      </w:r>
      <w:proofErr w:type="spellStart"/>
      <w:r>
        <w:rPr>
          <w:rFonts w:ascii="Arial" w:hAnsi="Arial" w:cs="Arial"/>
          <w:b/>
          <w:bCs/>
          <w:sz w:val="22"/>
          <w:szCs w:val="22"/>
        </w:rPr>
        <w:t>goitre</w:t>
      </w:r>
      <w:proofErr w:type="spellEnd"/>
      <w:r>
        <w:rPr>
          <w:rFonts w:ascii="Arial" w:hAnsi="Arial" w:cs="Arial"/>
          <w:b/>
          <w:bCs/>
          <w:sz w:val="22"/>
          <w:szCs w:val="22"/>
        </w:rPr>
        <w:t xml:space="preserve"> showing varying </w:t>
      </w:r>
    </w:p>
    <w:p w:rsidR="00B42E03" w:rsidRDefault="006D1C76">
      <w:pPr>
        <w:rPr>
          <w:b/>
          <w:bCs/>
        </w:rPr>
      </w:pPr>
      <w:r>
        <w:rPr>
          <w:rFonts w:ascii="Arial" w:hAnsi="Arial" w:cs="Arial"/>
          <w:b/>
          <w:bCs/>
          <w:sz w:val="22"/>
          <w:szCs w:val="22"/>
        </w:rPr>
        <w:t xml:space="preserve">                                    degrees of thyroid enlargement </w:t>
      </w:r>
    </w:p>
    <w:tbl>
      <w:tblPr>
        <w:tblStyle w:val="TableGrid"/>
        <w:tblpPr w:leftFromText="180" w:rightFromText="180" w:vertAnchor="text" w:horzAnchor="margin" w:tblpY="53"/>
        <w:tblW w:w="8832" w:type="dxa"/>
        <w:tblLook w:val="04A0" w:firstRow="1" w:lastRow="0" w:firstColumn="1" w:lastColumn="0" w:noHBand="0" w:noVBand="1"/>
      </w:tblPr>
      <w:tblGrid>
        <w:gridCol w:w="4386"/>
        <w:gridCol w:w="4446"/>
      </w:tblGrid>
      <w:tr w:rsidR="00B42E03">
        <w:tc>
          <w:tcPr>
            <w:tcW w:w="4386" w:type="dxa"/>
          </w:tcPr>
          <w:p w:rsidR="00B42E03" w:rsidRDefault="006D1C76">
            <w:pPr>
              <w:pStyle w:val="NormalWeb"/>
              <w:widowControl/>
              <w:rPr>
                <w:rStyle w:val="Strong"/>
                <w:rFonts w:ascii="Arial" w:hAnsi="Arial" w:cs="Arial"/>
                <w:b w:val="0"/>
                <w:bCs w:val="0"/>
                <w:sz w:val="20"/>
                <w:szCs w:val="20"/>
              </w:rPr>
            </w:pPr>
            <w:bookmarkStart w:id="1" w:name="_Hlk213273740"/>
            <w:r>
              <w:rPr>
                <w:rFonts w:ascii="Arial" w:hAnsi="Arial" w:cs="Arial"/>
                <w:noProof/>
                <w:sz w:val="20"/>
                <w:szCs w:val="20"/>
              </w:rPr>
              <w:drawing>
                <wp:inline distT="0" distB="0" distL="114300" distR="114300">
                  <wp:extent cx="2442210" cy="2560320"/>
                  <wp:effectExtent l="76200" t="76200" r="129540" b="125730"/>
                  <wp:docPr id="2" name="Picture 2" descr="WhatsApp Image 2025-11-05 at 8.24.53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5-11-05 at 8.24.53 PM"/>
                          <pic:cNvPicPr>
                            <a:picLocks noChangeAspect="1"/>
                          </pic:cNvPicPr>
                        </pic:nvPicPr>
                        <pic:blipFill>
                          <a:blip r:embed="rId16"/>
                          <a:srcRect l="11130" t="30137"/>
                          <a:stretch>
                            <a:fillRect/>
                          </a:stretch>
                        </pic:blipFill>
                        <pic:spPr>
                          <a:xfrm>
                            <a:off x="0" y="0"/>
                            <a:ext cx="2462834" cy="258181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Style w:val="Strong"/>
                <w:rFonts w:ascii="Arial" w:hAnsi="Arial" w:cs="Arial"/>
                <w:b w:val="0"/>
                <w:bCs w:val="0"/>
                <w:sz w:val="20"/>
                <w:szCs w:val="20"/>
              </w:rPr>
              <w:t xml:space="preserve">  </w:t>
            </w:r>
          </w:p>
        </w:tc>
        <w:tc>
          <w:tcPr>
            <w:tcW w:w="4446" w:type="dxa"/>
          </w:tcPr>
          <w:p w:rsidR="00B42E03" w:rsidRDefault="006D1C76">
            <w:pPr>
              <w:pStyle w:val="NormalWeb"/>
              <w:widowControl/>
              <w:rPr>
                <w:rStyle w:val="Strong"/>
                <w:rFonts w:ascii="Arial" w:hAnsi="Arial" w:cs="Arial"/>
                <w:b w:val="0"/>
                <w:bCs w:val="0"/>
                <w:sz w:val="20"/>
                <w:szCs w:val="20"/>
              </w:rPr>
            </w:pPr>
            <w:r>
              <w:rPr>
                <w:noProof/>
                <w:sz w:val="36"/>
                <w:szCs w:val="36"/>
                <w:lang w:val="en-IN"/>
              </w:rPr>
              <w:drawing>
                <wp:inline distT="0" distB="0" distL="0" distR="0">
                  <wp:extent cx="2400935" cy="2559685"/>
                  <wp:effectExtent l="76200" t="76200" r="132715" b="126365"/>
                  <wp:docPr id="1504179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79248"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54712" cy="2617353"/>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B42E03">
        <w:tc>
          <w:tcPr>
            <w:tcW w:w="4386" w:type="dxa"/>
          </w:tcPr>
          <w:p w:rsidR="00B42E03" w:rsidRDefault="00B42E03">
            <w:pPr>
              <w:pStyle w:val="NormalWeb"/>
              <w:widowControl/>
              <w:rPr>
                <w:rStyle w:val="Strong"/>
                <w:rFonts w:ascii="Arial" w:hAnsi="Arial" w:cs="Arial"/>
                <w:b w:val="0"/>
                <w:bCs w:val="0"/>
                <w:sz w:val="20"/>
                <w:szCs w:val="20"/>
              </w:rPr>
            </w:pPr>
          </w:p>
        </w:tc>
        <w:tc>
          <w:tcPr>
            <w:tcW w:w="4446" w:type="dxa"/>
          </w:tcPr>
          <w:p w:rsidR="00B42E03" w:rsidRDefault="00B42E03">
            <w:pPr>
              <w:pStyle w:val="NormalWeb"/>
              <w:widowControl/>
              <w:rPr>
                <w:rStyle w:val="Strong"/>
                <w:rFonts w:ascii="Arial" w:hAnsi="Arial" w:cs="Arial"/>
                <w:b w:val="0"/>
                <w:bCs w:val="0"/>
                <w:sz w:val="20"/>
                <w:szCs w:val="20"/>
              </w:rPr>
            </w:pPr>
          </w:p>
        </w:tc>
      </w:tr>
      <w:tr w:rsidR="00B42E03">
        <w:tc>
          <w:tcPr>
            <w:tcW w:w="4386" w:type="dxa"/>
          </w:tcPr>
          <w:p w:rsidR="00B42E03" w:rsidRDefault="006D1C76">
            <w:pPr>
              <w:pStyle w:val="NormalWeb"/>
              <w:widowControl/>
              <w:rPr>
                <w:rStyle w:val="Strong"/>
                <w:rFonts w:ascii="Arial" w:hAnsi="Arial" w:cs="Arial"/>
                <w:b w:val="0"/>
                <w:bCs w:val="0"/>
                <w:sz w:val="20"/>
                <w:szCs w:val="20"/>
              </w:rPr>
            </w:pPr>
            <w:r>
              <w:rPr>
                <w:noProof/>
                <w:sz w:val="36"/>
                <w:szCs w:val="36"/>
                <w:lang w:val="en-IN"/>
              </w:rPr>
              <w:drawing>
                <wp:inline distT="0" distB="0" distL="0" distR="0">
                  <wp:extent cx="2442210" cy="2370455"/>
                  <wp:effectExtent l="76200" t="76200" r="129540" b="125095"/>
                  <wp:docPr id="9081447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4478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l="13252" r="20452" b="14203"/>
                          <a:stretch>
                            <a:fillRect/>
                          </a:stretch>
                        </pic:blipFill>
                        <pic:spPr>
                          <a:xfrm>
                            <a:off x="0" y="0"/>
                            <a:ext cx="2447446" cy="237571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c>
          <w:tcPr>
            <w:tcW w:w="4446" w:type="dxa"/>
          </w:tcPr>
          <w:p w:rsidR="00B42E03" w:rsidRDefault="006D1C76">
            <w:pPr>
              <w:pStyle w:val="NormalWeb"/>
              <w:widowControl/>
              <w:rPr>
                <w:rStyle w:val="Strong"/>
                <w:rFonts w:ascii="Arial" w:hAnsi="Arial" w:cs="Arial"/>
                <w:b w:val="0"/>
                <w:bCs w:val="0"/>
                <w:sz w:val="20"/>
                <w:szCs w:val="20"/>
              </w:rPr>
            </w:pPr>
            <w:r>
              <w:rPr>
                <w:noProof/>
                <w:lang w:val="en-IN"/>
              </w:rPr>
              <w:drawing>
                <wp:inline distT="0" distB="0" distL="0" distR="0">
                  <wp:extent cx="2475230" cy="2371090"/>
                  <wp:effectExtent l="76200" t="76200" r="134620" b="124460"/>
                  <wp:docPr id="1219954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464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t="4298" b="15488"/>
                          <a:stretch>
                            <a:fillRect/>
                          </a:stretch>
                        </pic:blipFill>
                        <pic:spPr>
                          <a:xfrm>
                            <a:off x="0" y="0"/>
                            <a:ext cx="2506668" cy="240099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B42E03">
        <w:trPr>
          <w:trHeight w:val="3954"/>
        </w:trPr>
        <w:tc>
          <w:tcPr>
            <w:tcW w:w="4386" w:type="dxa"/>
          </w:tcPr>
          <w:p w:rsidR="00B42E03" w:rsidRDefault="006D1C76">
            <w:pPr>
              <w:pStyle w:val="NormalWeb"/>
              <w:rPr>
                <w:rFonts w:ascii="Arial" w:hAnsi="Arial" w:cs="Arial"/>
                <w:b/>
                <w:bCs/>
                <w:color w:val="231F20"/>
                <w:lang w:val="en-IN"/>
              </w:rPr>
            </w:pPr>
            <w:r>
              <w:rPr>
                <w:rFonts w:ascii="Arial" w:hAnsi="Arial" w:cs="Arial"/>
                <w:b/>
                <w:bCs/>
                <w:noProof/>
                <w:color w:val="231F20"/>
                <w:lang w:val="en-IN"/>
              </w:rPr>
              <w:drawing>
                <wp:inline distT="0" distB="0" distL="0" distR="0">
                  <wp:extent cx="2442210" cy="2241550"/>
                  <wp:effectExtent l="76200" t="76200" r="129540" b="139700"/>
                  <wp:docPr id="1450918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18122"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22447" t="2413" r="13385" b="10371"/>
                          <a:stretch>
                            <a:fillRect/>
                          </a:stretch>
                        </pic:blipFill>
                        <pic:spPr>
                          <a:xfrm>
                            <a:off x="0" y="0"/>
                            <a:ext cx="2474683" cy="227169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c>
          <w:tcPr>
            <w:tcW w:w="4446" w:type="dxa"/>
          </w:tcPr>
          <w:p w:rsidR="00B42E03" w:rsidRDefault="006D1C76">
            <w:pPr>
              <w:pStyle w:val="NormalWeb"/>
              <w:rPr>
                <w:rStyle w:val="Strong"/>
                <w:rFonts w:ascii="Arial" w:hAnsi="Arial" w:cs="Arial"/>
                <w:b w:val="0"/>
                <w:bCs w:val="0"/>
                <w:sz w:val="20"/>
                <w:szCs w:val="20"/>
              </w:rPr>
            </w:pPr>
            <w:r>
              <w:rPr>
                <w:noProof/>
              </w:rPr>
              <w:drawing>
                <wp:inline distT="0" distB="0" distL="0" distR="0">
                  <wp:extent cx="2475230" cy="2241550"/>
                  <wp:effectExtent l="76200" t="76200" r="134620" b="139700"/>
                  <wp:docPr id="757878828"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7878828" name="Picture 1"/>
                          <pic:cNvPicPr>
                            <a:picLocks noGrp="1" noChangeAspect="1"/>
                          </pic:cNvPicPr>
                        </pic:nvPicPr>
                        <pic:blipFill>
                          <a:blip r:embed="rId21"/>
                          <a:srcRect l="15083" t="10151" r="27302" b="25659"/>
                          <a:stretch>
                            <a:fillRect/>
                          </a:stretch>
                        </pic:blipFill>
                        <pic:spPr>
                          <a:xfrm>
                            <a:off x="0" y="0"/>
                            <a:ext cx="2550105" cy="230935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bookmarkEnd w:id="1"/>
    </w:tbl>
    <w:p w:rsidR="00B42E03" w:rsidRDefault="00B42E03"/>
    <w:p w:rsidR="00B42E03" w:rsidRDefault="00B42E03"/>
    <w:p w:rsidR="00B42E03" w:rsidRDefault="006D1C76">
      <w:pPr>
        <w:jc w:val="both"/>
        <w:rPr>
          <w:rFonts w:ascii="Arial" w:eastAsia="SimSun" w:hAnsi="Arial" w:cs="Arial"/>
          <w:color w:val="000000"/>
          <w:lang w:bidi="ar"/>
        </w:rPr>
      </w:pPr>
      <w:r>
        <w:rPr>
          <w:rFonts w:ascii="Arial" w:eastAsia="SimSun" w:hAnsi="Arial" w:cs="Arial"/>
          <w:color w:val="000000"/>
          <w:lang w:val="en-IN" w:bidi="ar"/>
        </w:rPr>
        <w:t xml:space="preserve">                      </w:t>
      </w:r>
      <w:r>
        <w:rPr>
          <w:rFonts w:ascii="Arial" w:eastAsia="SimSun" w:hAnsi="Arial" w:cs="Arial"/>
          <w:color w:val="000000"/>
          <w:lang w:bidi="ar"/>
        </w:rPr>
        <w:t xml:space="preserve"> </w:t>
      </w:r>
    </w:p>
    <w:p w:rsidR="00B42E03" w:rsidRDefault="006D1C76">
      <w:pPr>
        <w:jc w:val="both"/>
        <w:rPr>
          <w:rFonts w:ascii="Arial" w:eastAsia="SimSun" w:hAnsi="Arial" w:cs="Arial"/>
          <w:b/>
          <w:bCs/>
          <w:color w:val="231F20"/>
          <w:lang w:val="en-IN" w:bidi="ar"/>
        </w:rPr>
      </w:pPr>
      <w:r>
        <w:rPr>
          <w:rFonts w:ascii="Arial" w:eastAsia="SimSun" w:hAnsi="Arial" w:cs="Arial"/>
          <w:color w:val="000000"/>
          <w:lang w:bidi="ar"/>
        </w:rPr>
        <w:lastRenderedPageBreak/>
        <w:t xml:space="preserve">                     </w:t>
      </w:r>
      <w:r>
        <w:rPr>
          <w:rFonts w:ascii="Arial" w:eastAsia="SimSun" w:hAnsi="Arial" w:cs="Arial"/>
          <w:color w:val="000000"/>
          <w:lang w:val="en-IN" w:bidi="ar"/>
        </w:rPr>
        <w:t xml:space="preserve">      </w:t>
      </w:r>
      <w:r>
        <w:rPr>
          <w:rFonts w:ascii="Arial" w:eastAsia="SimSun" w:hAnsi="Arial" w:cs="Arial"/>
          <w:color w:val="000000"/>
          <w:lang w:bidi="ar"/>
        </w:rPr>
        <w:t xml:space="preserve"> </w:t>
      </w:r>
      <w:r>
        <w:rPr>
          <w:rFonts w:ascii="Arial" w:eastAsia="SimSun" w:hAnsi="Arial" w:cs="Arial"/>
          <w:b/>
          <w:bCs/>
          <w:color w:val="231F20"/>
          <w:lang w:val="en-IN" w:bidi="ar"/>
        </w:rPr>
        <w:t>Table 1: Haematological findings in Goitre affected kids.</w:t>
      </w:r>
    </w:p>
    <w:p w:rsidR="00B42E03" w:rsidRDefault="00B42E03">
      <w:pPr>
        <w:ind w:firstLine="720"/>
        <w:jc w:val="both"/>
        <w:rPr>
          <w:rFonts w:ascii="Arial" w:eastAsia="SimSun" w:hAnsi="Arial" w:cs="Arial"/>
          <w:color w:val="231F20"/>
          <w:lang w:bidi="ar"/>
        </w:rPr>
      </w:pPr>
    </w:p>
    <w:p w:rsidR="00B42E03" w:rsidRDefault="00B42E03">
      <w:pPr>
        <w:ind w:firstLine="720"/>
        <w:jc w:val="both"/>
        <w:rPr>
          <w:rFonts w:ascii="Arial" w:eastAsia="SimSun" w:hAnsi="Arial" w:cs="Arial"/>
          <w:color w:val="231F20"/>
          <w:lang w:bidi="ar"/>
        </w:rPr>
      </w:pPr>
    </w:p>
    <w:tbl>
      <w:tblPr>
        <w:tblStyle w:val="TableGrid"/>
        <w:tblW w:w="0" w:type="auto"/>
        <w:tblLook w:val="04A0" w:firstRow="1" w:lastRow="0" w:firstColumn="1" w:lastColumn="0" w:noHBand="0" w:noVBand="1"/>
      </w:tblPr>
      <w:tblGrid>
        <w:gridCol w:w="3221"/>
        <w:gridCol w:w="2641"/>
        <w:gridCol w:w="2660"/>
      </w:tblGrid>
      <w:tr w:rsidR="00B42E03">
        <w:tc>
          <w:tcPr>
            <w:tcW w:w="3221" w:type="dxa"/>
          </w:tcPr>
          <w:p w:rsidR="00B42E03" w:rsidRDefault="006D1C76">
            <w:pPr>
              <w:widowControl/>
              <w:ind w:firstLineChars="250" w:firstLine="502"/>
              <w:rPr>
                <w:rFonts w:ascii="Arial" w:eastAsia="SimSun" w:hAnsi="Arial" w:cs="Arial"/>
                <w:b/>
                <w:bCs/>
                <w:color w:val="231F20"/>
                <w:lang w:val="en-IN" w:bidi="ar"/>
              </w:rPr>
            </w:pPr>
            <w:r>
              <w:rPr>
                <w:rFonts w:ascii="Arial" w:eastAsia="SimSun" w:hAnsi="Arial" w:cs="Arial"/>
                <w:b/>
                <w:bCs/>
                <w:color w:val="231F20"/>
                <w:lang w:val="en-IN" w:bidi="ar"/>
              </w:rPr>
              <w:t>Parameter</w:t>
            </w:r>
          </w:p>
        </w:tc>
        <w:tc>
          <w:tcPr>
            <w:tcW w:w="2641" w:type="dxa"/>
          </w:tcPr>
          <w:p w:rsidR="00B42E03" w:rsidRDefault="006D1C76">
            <w:pPr>
              <w:widowControl/>
              <w:rPr>
                <w:rFonts w:ascii="Arial" w:eastAsia="SimSun" w:hAnsi="Arial" w:cs="Arial"/>
                <w:b/>
                <w:bCs/>
                <w:color w:val="231F20"/>
                <w:lang w:val="en-IN"/>
              </w:rPr>
            </w:pPr>
            <w:r>
              <w:rPr>
                <w:rFonts w:ascii="Arial" w:eastAsia="SimSun" w:hAnsi="Arial" w:cs="Arial"/>
                <w:b/>
                <w:bCs/>
                <w:color w:val="231F20"/>
                <w:lang w:val="en-IN" w:bidi="ar"/>
              </w:rPr>
              <w:t xml:space="preserve">       </w:t>
            </w:r>
            <w:r>
              <w:rPr>
                <w:rFonts w:ascii="Arial" w:eastAsia="SimSun" w:hAnsi="Arial" w:cs="Arial"/>
                <w:b/>
                <w:bCs/>
                <w:color w:val="231F20"/>
                <w:lang w:val="en-IN"/>
              </w:rPr>
              <w:t xml:space="preserve">Healthy kids </w:t>
            </w:r>
          </w:p>
          <w:p w:rsidR="00B42E03" w:rsidRDefault="006D1C76">
            <w:pPr>
              <w:widowControl/>
              <w:ind w:firstLineChars="100" w:firstLine="201"/>
              <w:rPr>
                <w:rFonts w:ascii="Arial" w:eastAsia="SimSun" w:hAnsi="Arial" w:cs="Arial"/>
                <w:b/>
                <w:bCs/>
                <w:color w:val="231F20"/>
                <w:lang w:val="en-IN"/>
              </w:rPr>
            </w:pPr>
            <w:r>
              <w:rPr>
                <w:rFonts w:ascii="Arial" w:eastAsia="SimSun" w:hAnsi="Arial" w:cs="Arial"/>
                <w:b/>
                <w:bCs/>
                <w:color w:val="231F20"/>
                <w:lang w:val="en-IN"/>
              </w:rPr>
              <w:t>(Control) (n=6)</w:t>
            </w:r>
          </w:p>
          <w:p w:rsidR="00B42E03" w:rsidRDefault="00B42E03">
            <w:pPr>
              <w:widowControl/>
              <w:rPr>
                <w:rFonts w:ascii="Arial" w:eastAsia="SimSun" w:hAnsi="Arial" w:cs="Arial"/>
                <w:b/>
                <w:bCs/>
                <w:color w:val="231F20"/>
                <w:lang w:val="en-IN" w:bidi="ar"/>
              </w:rPr>
            </w:pPr>
          </w:p>
        </w:tc>
        <w:tc>
          <w:tcPr>
            <w:tcW w:w="2660" w:type="dxa"/>
          </w:tcPr>
          <w:p w:rsidR="00B42E03" w:rsidRDefault="006D1C76">
            <w:pPr>
              <w:widowControl/>
              <w:ind w:firstLineChars="150" w:firstLine="301"/>
              <w:rPr>
                <w:rFonts w:ascii="Arial" w:eastAsia="SimSun" w:hAnsi="Arial" w:cs="Arial"/>
                <w:b/>
                <w:bCs/>
                <w:color w:val="231F20"/>
              </w:rPr>
            </w:pPr>
            <w:r>
              <w:rPr>
                <w:rFonts w:ascii="Arial" w:eastAsia="SimSun" w:hAnsi="Arial" w:cs="Arial"/>
                <w:b/>
                <w:bCs/>
                <w:color w:val="231F20"/>
                <w:lang w:val="en-IN"/>
              </w:rPr>
              <w:t xml:space="preserve">Goitre </w:t>
            </w:r>
            <w:proofErr w:type="gramStart"/>
            <w:r>
              <w:rPr>
                <w:rFonts w:ascii="Arial" w:eastAsia="SimSun" w:hAnsi="Arial" w:cs="Arial"/>
                <w:b/>
                <w:bCs/>
                <w:color w:val="231F20"/>
              </w:rPr>
              <w:t>affected</w:t>
            </w:r>
            <w:r>
              <w:rPr>
                <w:rFonts w:ascii="Arial" w:eastAsia="SimSun" w:hAnsi="Arial" w:cs="Arial"/>
                <w:b/>
                <w:bCs/>
                <w:color w:val="231F20"/>
                <w:lang w:val="en-IN"/>
              </w:rPr>
              <w:t xml:space="preserve">  kids</w:t>
            </w:r>
            <w:proofErr w:type="gramEnd"/>
            <w:r>
              <w:rPr>
                <w:rFonts w:ascii="Arial" w:eastAsia="SimSun" w:hAnsi="Arial" w:cs="Arial"/>
                <w:b/>
                <w:bCs/>
                <w:color w:val="231F20"/>
              </w:rPr>
              <w:t xml:space="preserve"> </w:t>
            </w:r>
          </w:p>
          <w:p w:rsidR="00B42E03" w:rsidRDefault="006D1C76">
            <w:pPr>
              <w:widowControl/>
              <w:ind w:firstLineChars="300" w:firstLine="602"/>
              <w:rPr>
                <w:rFonts w:ascii="Arial" w:eastAsia="SimSun" w:hAnsi="Arial" w:cs="Arial"/>
                <w:b/>
                <w:bCs/>
                <w:color w:val="231F20"/>
                <w:lang w:bidi="ar"/>
              </w:rPr>
            </w:pPr>
            <w:r>
              <w:rPr>
                <w:rFonts w:ascii="Arial" w:eastAsia="SimSun" w:hAnsi="Arial" w:cs="Arial"/>
                <w:b/>
                <w:bCs/>
                <w:color w:val="231F20"/>
                <w:lang w:val="en-IN"/>
              </w:rPr>
              <w:t>(n=18)</w:t>
            </w:r>
          </w:p>
        </w:tc>
      </w:tr>
      <w:tr w:rsidR="00B42E03">
        <w:tc>
          <w:tcPr>
            <w:tcW w:w="3221" w:type="dxa"/>
            <w:vAlign w:val="bottom"/>
          </w:tcPr>
          <w:p w:rsidR="00B42E03" w:rsidRDefault="006D1C76">
            <w:pPr>
              <w:pStyle w:val="NormalWeb"/>
              <w:widowControl/>
              <w:rPr>
                <w:rFonts w:ascii="Arial" w:hAnsi="Arial" w:cs="Arial"/>
                <w:color w:val="231F20"/>
                <w:sz w:val="20"/>
                <w:szCs w:val="20"/>
              </w:rPr>
            </w:pPr>
            <w:r>
              <w:rPr>
                <w:rFonts w:ascii="Arial" w:hAnsi="Arial" w:cs="Arial"/>
                <w:color w:val="000000"/>
                <w:sz w:val="20"/>
                <w:szCs w:val="20"/>
              </w:rPr>
              <w:t>Hb (g/dl) </w:t>
            </w:r>
          </w:p>
        </w:tc>
        <w:tc>
          <w:tcPr>
            <w:tcW w:w="2641"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11.26 ±0.</w:t>
            </w:r>
            <w:r>
              <w:rPr>
                <w:rFonts w:ascii="Arial" w:hAnsi="Arial" w:cs="Arial"/>
                <w:color w:val="000000"/>
                <w:sz w:val="20"/>
                <w:szCs w:val="20"/>
                <w:lang w:val="en-IN"/>
              </w:rPr>
              <w:t>9</w:t>
            </w:r>
            <w:r>
              <w:rPr>
                <w:rFonts w:ascii="Arial" w:hAnsi="Arial" w:cs="Arial"/>
                <w:color w:val="000000"/>
                <w:sz w:val="20"/>
                <w:szCs w:val="20"/>
              </w:rPr>
              <w:t>0</w:t>
            </w:r>
            <w:r>
              <w:rPr>
                <w:rFonts w:ascii="Arial" w:hAnsi="Arial" w:cs="Arial"/>
                <w:color w:val="000000"/>
                <w:sz w:val="20"/>
                <w:szCs w:val="20"/>
                <w:vertAlign w:val="superscript"/>
                <w:lang w:val="en-IN"/>
              </w:rPr>
              <w:t>a</w:t>
            </w:r>
          </w:p>
        </w:tc>
        <w:tc>
          <w:tcPr>
            <w:tcW w:w="2660"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lang w:val="en-IN"/>
              </w:rPr>
              <w:t>7</w:t>
            </w:r>
            <w:r>
              <w:rPr>
                <w:rFonts w:ascii="Arial" w:hAnsi="Arial" w:cs="Arial"/>
                <w:color w:val="000000"/>
                <w:sz w:val="20"/>
                <w:szCs w:val="20"/>
              </w:rPr>
              <w:t>.97 ± 0.68</w:t>
            </w:r>
            <w:r>
              <w:rPr>
                <w:rFonts w:ascii="Arial" w:hAnsi="Arial" w:cs="Arial"/>
                <w:color w:val="000000"/>
                <w:sz w:val="20"/>
                <w:szCs w:val="20"/>
                <w:vertAlign w:val="superscript"/>
                <w:lang w:val="en-IN"/>
              </w:rPr>
              <w:t>b</w:t>
            </w:r>
          </w:p>
        </w:tc>
      </w:tr>
      <w:tr w:rsidR="00B42E03">
        <w:tc>
          <w:tcPr>
            <w:tcW w:w="3221" w:type="dxa"/>
            <w:vAlign w:val="bottom"/>
          </w:tcPr>
          <w:p w:rsidR="00B42E03" w:rsidRDefault="006D1C76">
            <w:pPr>
              <w:pStyle w:val="NormalWeb"/>
              <w:widowControl/>
              <w:rPr>
                <w:rFonts w:ascii="Arial" w:hAnsi="Arial" w:cs="Arial"/>
                <w:color w:val="231F20"/>
                <w:sz w:val="20"/>
                <w:szCs w:val="20"/>
              </w:rPr>
            </w:pPr>
            <w:r>
              <w:rPr>
                <w:rFonts w:ascii="Arial" w:hAnsi="Arial" w:cs="Arial"/>
                <w:color w:val="000000"/>
                <w:sz w:val="20"/>
                <w:szCs w:val="20"/>
              </w:rPr>
              <w:t>RBC (10</w:t>
            </w:r>
            <w:r>
              <w:rPr>
                <w:rFonts w:ascii="Arial" w:hAnsi="Arial" w:cs="Arial"/>
                <w:color w:val="000000"/>
                <w:sz w:val="20"/>
                <w:szCs w:val="20"/>
                <w:vertAlign w:val="superscript"/>
                <w:lang w:val="en-IN"/>
              </w:rPr>
              <w:t>6</w:t>
            </w:r>
            <w:r>
              <w:rPr>
                <w:rFonts w:ascii="Arial" w:hAnsi="Arial" w:cs="Arial"/>
                <w:color w:val="000000"/>
                <w:sz w:val="20"/>
                <w:szCs w:val="20"/>
              </w:rPr>
              <w:t>/</w:t>
            </w:r>
            <w:proofErr w:type="spellStart"/>
            <w:r>
              <w:rPr>
                <w:rFonts w:ascii="Arial" w:hAnsi="Arial" w:cs="Arial"/>
                <w:color w:val="000000"/>
                <w:sz w:val="20"/>
                <w:szCs w:val="20"/>
              </w:rPr>
              <w:t>cmm</w:t>
            </w:r>
            <w:proofErr w:type="spellEnd"/>
            <w:r>
              <w:rPr>
                <w:rFonts w:ascii="Arial" w:hAnsi="Arial" w:cs="Arial"/>
                <w:color w:val="000000"/>
                <w:sz w:val="20"/>
                <w:szCs w:val="20"/>
              </w:rPr>
              <w:t>) </w:t>
            </w:r>
          </w:p>
        </w:tc>
        <w:tc>
          <w:tcPr>
            <w:tcW w:w="2641"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10.36±0.5</w:t>
            </w:r>
            <w:r>
              <w:rPr>
                <w:rFonts w:ascii="Arial" w:hAnsi="Arial" w:cs="Arial"/>
                <w:color w:val="000000"/>
                <w:sz w:val="20"/>
                <w:szCs w:val="20"/>
                <w:lang w:val="en-IN"/>
              </w:rPr>
              <w:t>2</w:t>
            </w:r>
            <w:r>
              <w:rPr>
                <w:rFonts w:ascii="Arial" w:hAnsi="Arial" w:cs="Arial"/>
                <w:color w:val="000000"/>
                <w:sz w:val="20"/>
                <w:szCs w:val="20"/>
                <w:vertAlign w:val="superscript"/>
                <w:lang w:val="en-IN"/>
              </w:rPr>
              <w:t>a</w:t>
            </w:r>
          </w:p>
        </w:tc>
        <w:tc>
          <w:tcPr>
            <w:tcW w:w="2660"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lang w:val="en-IN"/>
              </w:rPr>
              <w:t>4</w:t>
            </w:r>
            <w:r>
              <w:rPr>
                <w:rFonts w:ascii="Arial" w:hAnsi="Arial" w:cs="Arial"/>
                <w:color w:val="000000"/>
                <w:sz w:val="20"/>
                <w:szCs w:val="20"/>
              </w:rPr>
              <w:t>.01± 0.20</w:t>
            </w:r>
            <w:r>
              <w:rPr>
                <w:rFonts w:ascii="Arial" w:hAnsi="Arial" w:cs="Arial"/>
                <w:color w:val="000000"/>
                <w:sz w:val="20"/>
                <w:szCs w:val="20"/>
                <w:vertAlign w:val="superscript"/>
                <w:lang w:val="en-IN"/>
              </w:rPr>
              <w:t>b</w:t>
            </w:r>
          </w:p>
        </w:tc>
      </w:tr>
      <w:tr w:rsidR="00B42E03">
        <w:tc>
          <w:tcPr>
            <w:tcW w:w="3221" w:type="dxa"/>
            <w:vAlign w:val="bottom"/>
          </w:tcPr>
          <w:p w:rsidR="00B42E03" w:rsidRDefault="006D1C76">
            <w:pPr>
              <w:pStyle w:val="NormalWeb"/>
              <w:widowControl/>
              <w:rPr>
                <w:rFonts w:ascii="Arial" w:hAnsi="Arial" w:cs="Arial"/>
                <w:color w:val="231F20"/>
                <w:sz w:val="20"/>
                <w:szCs w:val="20"/>
              </w:rPr>
            </w:pPr>
            <w:proofErr w:type="gramStart"/>
            <w:r>
              <w:rPr>
                <w:rFonts w:ascii="Arial" w:hAnsi="Arial" w:cs="Arial"/>
                <w:color w:val="000000"/>
                <w:sz w:val="20"/>
                <w:szCs w:val="20"/>
              </w:rPr>
              <w:t>PCV  (</w:t>
            </w:r>
            <w:proofErr w:type="gramEnd"/>
            <w:r>
              <w:rPr>
                <w:rFonts w:ascii="Arial" w:hAnsi="Arial" w:cs="Arial"/>
                <w:color w:val="000000"/>
                <w:sz w:val="20"/>
                <w:szCs w:val="20"/>
              </w:rPr>
              <w:t>%)</w:t>
            </w:r>
          </w:p>
        </w:tc>
        <w:tc>
          <w:tcPr>
            <w:tcW w:w="2641"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2</w:t>
            </w:r>
            <w:r>
              <w:rPr>
                <w:rFonts w:ascii="Arial" w:hAnsi="Arial" w:cs="Arial"/>
                <w:color w:val="000000"/>
                <w:sz w:val="20"/>
                <w:szCs w:val="20"/>
                <w:lang w:val="en-IN"/>
              </w:rPr>
              <w:t>9</w:t>
            </w:r>
            <w:r>
              <w:rPr>
                <w:rFonts w:ascii="Arial" w:hAnsi="Arial" w:cs="Arial"/>
                <w:color w:val="000000"/>
                <w:sz w:val="20"/>
                <w:szCs w:val="20"/>
              </w:rPr>
              <w:t>.33±</w:t>
            </w:r>
            <w:r>
              <w:rPr>
                <w:rFonts w:ascii="Arial" w:hAnsi="Arial" w:cs="Arial"/>
                <w:color w:val="000000"/>
                <w:sz w:val="20"/>
                <w:szCs w:val="20"/>
                <w:lang w:val="en-IN"/>
              </w:rPr>
              <w:t>0</w:t>
            </w:r>
            <w:r>
              <w:rPr>
                <w:rFonts w:ascii="Arial" w:hAnsi="Arial" w:cs="Arial"/>
                <w:color w:val="000000"/>
                <w:sz w:val="20"/>
                <w:szCs w:val="20"/>
              </w:rPr>
              <w:t>.</w:t>
            </w:r>
            <w:r>
              <w:rPr>
                <w:rFonts w:ascii="Arial" w:hAnsi="Arial" w:cs="Arial"/>
                <w:color w:val="000000"/>
                <w:sz w:val="20"/>
                <w:szCs w:val="20"/>
                <w:lang w:val="en-IN"/>
              </w:rPr>
              <w:t>89</w:t>
            </w:r>
            <w:r>
              <w:rPr>
                <w:rFonts w:ascii="Arial" w:hAnsi="Arial" w:cs="Arial"/>
                <w:color w:val="000000"/>
                <w:sz w:val="20"/>
                <w:szCs w:val="20"/>
                <w:vertAlign w:val="superscript"/>
                <w:lang w:val="en-IN"/>
              </w:rPr>
              <w:t>a</w:t>
            </w:r>
          </w:p>
        </w:tc>
        <w:tc>
          <w:tcPr>
            <w:tcW w:w="2660"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32.96±</w:t>
            </w:r>
            <w:r>
              <w:rPr>
                <w:rFonts w:ascii="Arial" w:hAnsi="Arial" w:cs="Arial"/>
                <w:color w:val="000000"/>
                <w:sz w:val="20"/>
                <w:szCs w:val="20"/>
                <w:lang w:val="en-IN"/>
              </w:rPr>
              <w:t>0</w:t>
            </w:r>
            <w:r>
              <w:rPr>
                <w:rFonts w:ascii="Arial" w:hAnsi="Arial" w:cs="Arial"/>
                <w:color w:val="000000"/>
                <w:sz w:val="20"/>
                <w:szCs w:val="20"/>
              </w:rPr>
              <w:t>.6</w:t>
            </w:r>
            <w:r>
              <w:rPr>
                <w:rFonts w:ascii="Arial" w:hAnsi="Arial" w:cs="Arial"/>
                <w:color w:val="000000"/>
                <w:sz w:val="20"/>
                <w:szCs w:val="20"/>
                <w:lang w:val="en-IN"/>
              </w:rPr>
              <w:t>2</w:t>
            </w:r>
            <w:r>
              <w:rPr>
                <w:rFonts w:ascii="Arial" w:hAnsi="Arial" w:cs="Arial"/>
                <w:color w:val="000000"/>
                <w:sz w:val="20"/>
                <w:szCs w:val="20"/>
                <w:vertAlign w:val="superscript"/>
                <w:lang w:val="en-IN"/>
              </w:rPr>
              <w:t>a</w:t>
            </w:r>
          </w:p>
        </w:tc>
      </w:tr>
      <w:tr w:rsidR="00B42E03">
        <w:tc>
          <w:tcPr>
            <w:tcW w:w="3221" w:type="dxa"/>
            <w:vAlign w:val="bottom"/>
          </w:tcPr>
          <w:p w:rsidR="00B42E03" w:rsidRDefault="006D1C76">
            <w:pPr>
              <w:pStyle w:val="NormalWeb"/>
              <w:widowControl/>
              <w:rPr>
                <w:rFonts w:ascii="Arial" w:hAnsi="Arial" w:cs="Arial"/>
                <w:color w:val="231F20"/>
                <w:sz w:val="20"/>
                <w:szCs w:val="20"/>
              </w:rPr>
            </w:pPr>
            <w:r>
              <w:rPr>
                <w:rFonts w:ascii="Arial" w:hAnsi="Arial" w:cs="Arial"/>
                <w:color w:val="000000"/>
                <w:sz w:val="20"/>
                <w:szCs w:val="20"/>
              </w:rPr>
              <w:t>WBC (10</w:t>
            </w:r>
            <w:r>
              <w:rPr>
                <w:rFonts w:ascii="Arial" w:hAnsi="Arial" w:cs="Arial"/>
                <w:color w:val="000000"/>
                <w:sz w:val="20"/>
                <w:szCs w:val="20"/>
                <w:vertAlign w:val="superscript"/>
                <w:lang w:val="en-IN"/>
              </w:rPr>
              <w:t>3</w:t>
            </w:r>
            <w:r>
              <w:rPr>
                <w:rFonts w:ascii="Arial" w:hAnsi="Arial" w:cs="Arial"/>
                <w:color w:val="000000"/>
                <w:sz w:val="20"/>
                <w:szCs w:val="20"/>
              </w:rPr>
              <w:t>/</w:t>
            </w:r>
            <w:proofErr w:type="spellStart"/>
            <w:r>
              <w:rPr>
                <w:rFonts w:ascii="Arial" w:hAnsi="Arial" w:cs="Arial"/>
                <w:color w:val="000000"/>
                <w:sz w:val="20"/>
                <w:szCs w:val="20"/>
              </w:rPr>
              <w:t>cmm</w:t>
            </w:r>
            <w:proofErr w:type="spellEnd"/>
            <w:r>
              <w:rPr>
                <w:rFonts w:ascii="Arial" w:hAnsi="Arial" w:cs="Arial"/>
                <w:color w:val="000000"/>
                <w:sz w:val="20"/>
                <w:szCs w:val="20"/>
              </w:rPr>
              <w:t>) </w:t>
            </w:r>
          </w:p>
        </w:tc>
        <w:tc>
          <w:tcPr>
            <w:tcW w:w="2641"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w:t>
            </w:r>
            <w:r>
              <w:rPr>
                <w:rFonts w:ascii="Arial" w:hAnsi="Arial" w:cs="Arial"/>
                <w:color w:val="000000"/>
                <w:sz w:val="20"/>
                <w:szCs w:val="20"/>
                <w:lang w:val="en-IN"/>
              </w:rPr>
              <w:t>2</w:t>
            </w:r>
            <w:r>
              <w:rPr>
                <w:rFonts w:ascii="Arial" w:hAnsi="Arial" w:cs="Arial"/>
                <w:color w:val="000000"/>
                <w:sz w:val="20"/>
                <w:szCs w:val="20"/>
              </w:rPr>
              <w:t>.88±0.16</w:t>
            </w:r>
            <w:r>
              <w:rPr>
                <w:rFonts w:ascii="Arial" w:hAnsi="Arial" w:cs="Arial"/>
                <w:color w:val="000000"/>
                <w:sz w:val="20"/>
                <w:szCs w:val="20"/>
                <w:vertAlign w:val="superscript"/>
                <w:lang w:val="en-IN"/>
              </w:rPr>
              <w:t>a</w:t>
            </w:r>
          </w:p>
        </w:tc>
        <w:tc>
          <w:tcPr>
            <w:tcW w:w="2660"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12.01±</w:t>
            </w:r>
            <w:r>
              <w:rPr>
                <w:rFonts w:ascii="Arial" w:hAnsi="Arial" w:cs="Arial"/>
                <w:color w:val="000000"/>
                <w:sz w:val="20"/>
                <w:szCs w:val="20"/>
                <w:lang w:val="en-IN"/>
              </w:rPr>
              <w:t>0</w:t>
            </w:r>
            <w:r>
              <w:rPr>
                <w:rFonts w:ascii="Arial" w:hAnsi="Arial" w:cs="Arial"/>
                <w:color w:val="000000"/>
                <w:sz w:val="20"/>
                <w:szCs w:val="20"/>
              </w:rPr>
              <w:t>.</w:t>
            </w:r>
            <w:r>
              <w:rPr>
                <w:rFonts w:ascii="Arial" w:hAnsi="Arial" w:cs="Arial"/>
                <w:color w:val="000000"/>
                <w:sz w:val="20"/>
                <w:szCs w:val="20"/>
                <w:lang w:val="en-IN"/>
              </w:rPr>
              <w:t>23</w:t>
            </w:r>
            <w:r>
              <w:rPr>
                <w:rFonts w:ascii="Arial" w:hAnsi="Arial" w:cs="Arial"/>
                <w:color w:val="000000"/>
                <w:sz w:val="20"/>
                <w:szCs w:val="20"/>
                <w:vertAlign w:val="superscript"/>
                <w:lang w:val="en-IN"/>
              </w:rPr>
              <w:t>a</w:t>
            </w:r>
          </w:p>
        </w:tc>
      </w:tr>
      <w:tr w:rsidR="00B42E03">
        <w:tc>
          <w:tcPr>
            <w:tcW w:w="3221" w:type="dxa"/>
            <w:vAlign w:val="bottom"/>
          </w:tcPr>
          <w:p w:rsidR="00B42E03" w:rsidRDefault="006D1C76">
            <w:pPr>
              <w:pStyle w:val="NormalWeb"/>
              <w:widowControl/>
              <w:rPr>
                <w:rFonts w:ascii="Arial" w:hAnsi="Arial" w:cs="Arial"/>
                <w:color w:val="231F20"/>
                <w:sz w:val="20"/>
                <w:szCs w:val="20"/>
              </w:rPr>
            </w:pPr>
            <w:r>
              <w:rPr>
                <w:rFonts w:ascii="Arial" w:hAnsi="Arial" w:cs="Arial"/>
                <w:color w:val="000000"/>
                <w:sz w:val="20"/>
                <w:szCs w:val="20"/>
              </w:rPr>
              <w:t>PLT (x10</w:t>
            </w:r>
            <w:r>
              <w:rPr>
                <w:rFonts w:ascii="Arial" w:hAnsi="Arial" w:cs="Arial"/>
                <w:color w:val="000000"/>
                <w:sz w:val="20"/>
                <w:szCs w:val="20"/>
                <w:vertAlign w:val="superscript"/>
                <w:lang w:val="en-IN"/>
              </w:rPr>
              <w:t>9</w:t>
            </w:r>
            <w:r>
              <w:rPr>
                <w:rFonts w:ascii="Arial" w:hAnsi="Arial" w:cs="Arial"/>
                <w:color w:val="000000"/>
                <w:sz w:val="20"/>
                <w:szCs w:val="20"/>
              </w:rPr>
              <w:t>/</w:t>
            </w:r>
            <w:proofErr w:type="spellStart"/>
            <w:r>
              <w:rPr>
                <w:rFonts w:ascii="Arial" w:hAnsi="Arial" w:cs="Arial"/>
                <w:color w:val="000000"/>
                <w:sz w:val="20"/>
                <w:szCs w:val="20"/>
              </w:rPr>
              <w:t>uL</w:t>
            </w:r>
            <w:proofErr w:type="spellEnd"/>
            <w:r>
              <w:rPr>
                <w:rFonts w:ascii="Arial" w:hAnsi="Arial" w:cs="Arial"/>
                <w:color w:val="000000"/>
                <w:sz w:val="20"/>
                <w:szCs w:val="20"/>
              </w:rPr>
              <w:t>)</w:t>
            </w:r>
          </w:p>
        </w:tc>
        <w:tc>
          <w:tcPr>
            <w:tcW w:w="2641"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20</w:t>
            </w:r>
            <w:r>
              <w:rPr>
                <w:rFonts w:ascii="Arial" w:hAnsi="Arial" w:cs="Arial"/>
                <w:color w:val="000000"/>
                <w:sz w:val="20"/>
                <w:szCs w:val="20"/>
                <w:lang w:val="en-IN"/>
              </w:rPr>
              <w:t>2</w:t>
            </w:r>
            <w:r>
              <w:rPr>
                <w:rFonts w:ascii="Arial" w:hAnsi="Arial" w:cs="Arial"/>
                <w:color w:val="000000"/>
                <w:sz w:val="20"/>
                <w:szCs w:val="20"/>
              </w:rPr>
              <w:t>.13±</w:t>
            </w:r>
            <w:r>
              <w:rPr>
                <w:rFonts w:ascii="Arial" w:hAnsi="Arial" w:cs="Arial"/>
                <w:color w:val="000000"/>
                <w:sz w:val="20"/>
                <w:szCs w:val="20"/>
                <w:lang w:val="en-IN"/>
              </w:rPr>
              <w:t>3</w:t>
            </w:r>
            <w:r>
              <w:rPr>
                <w:rFonts w:ascii="Arial" w:hAnsi="Arial" w:cs="Arial"/>
                <w:color w:val="000000"/>
                <w:sz w:val="20"/>
                <w:szCs w:val="20"/>
              </w:rPr>
              <w:t>.</w:t>
            </w:r>
            <w:r>
              <w:rPr>
                <w:rFonts w:ascii="Arial" w:hAnsi="Arial" w:cs="Arial"/>
                <w:color w:val="000000"/>
                <w:sz w:val="20"/>
                <w:szCs w:val="20"/>
                <w:lang w:val="en-IN"/>
              </w:rPr>
              <w:t>45</w:t>
            </w:r>
            <w:r>
              <w:rPr>
                <w:rFonts w:ascii="Arial" w:hAnsi="Arial" w:cs="Arial"/>
                <w:color w:val="000000"/>
                <w:sz w:val="20"/>
                <w:szCs w:val="20"/>
                <w:vertAlign w:val="superscript"/>
                <w:lang w:val="en-IN"/>
              </w:rPr>
              <w:t>a</w:t>
            </w:r>
          </w:p>
        </w:tc>
        <w:tc>
          <w:tcPr>
            <w:tcW w:w="2660"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20</w:t>
            </w:r>
            <w:r>
              <w:rPr>
                <w:rFonts w:ascii="Arial" w:hAnsi="Arial" w:cs="Arial"/>
                <w:color w:val="000000"/>
                <w:sz w:val="20"/>
                <w:szCs w:val="20"/>
                <w:lang w:val="en-IN"/>
              </w:rPr>
              <w:t>0</w:t>
            </w:r>
            <w:r>
              <w:rPr>
                <w:rFonts w:ascii="Arial" w:hAnsi="Arial" w:cs="Arial"/>
                <w:color w:val="000000"/>
                <w:sz w:val="20"/>
                <w:szCs w:val="20"/>
              </w:rPr>
              <w:t>.38 ±</w:t>
            </w:r>
            <w:r>
              <w:rPr>
                <w:rFonts w:ascii="Arial" w:hAnsi="Arial" w:cs="Arial"/>
                <w:color w:val="000000"/>
                <w:sz w:val="20"/>
                <w:szCs w:val="20"/>
                <w:lang w:val="en-IN"/>
              </w:rPr>
              <w:t>2</w:t>
            </w:r>
            <w:r>
              <w:rPr>
                <w:rFonts w:ascii="Arial" w:hAnsi="Arial" w:cs="Arial"/>
                <w:color w:val="000000"/>
                <w:sz w:val="20"/>
                <w:szCs w:val="20"/>
              </w:rPr>
              <w:t>.</w:t>
            </w:r>
            <w:r>
              <w:rPr>
                <w:rFonts w:ascii="Arial" w:hAnsi="Arial" w:cs="Arial"/>
                <w:color w:val="000000"/>
                <w:sz w:val="20"/>
                <w:szCs w:val="20"/>
                <w:lang w:val="en-IN"/>
              </w:rPr>
              <w:t>45</w:t>
            </w:r>
            <w:r>
              <w:rPr>
                <w:rFonts w:ascii="Arial" w:hAnsi="Arial" w:cs="Arial"/>
                <w:color w:val="000000"/>
                <w:sz w:val="20"/>
                <w:szCs w:val="20"/>
                <w:vertAlign w:val="superscript"/>
                <w:lang w:val="en-IN"/>
              </w:rPr>
              <w:t>a</w:t>
            </w:r>
          </w:p>
        </w:tc>
      </w:tr>
      <w:tr w:rsidR="00B42E03">
        <w:tc>
          <w:tcPr>
            <w:tcW w:w="3221" w:type="dxa"/>
            <w:vAlign w:val="bottom"/>
          </w:tcPr>
          <w:p w:rsidR="00B42E03" w:rsidRDefault="006D1C76">
            <w:pPr>
              <w:pStyle w:val="NormalWeb"/>
              <w:widowControl/>
              <w:rPr>
                <w:rFonts w:ascii="Arial" w:hAnsi="Arial" w:cs="Arial"/>
                <w:color w:val="231F20"/>
                <w:sz w:val="20"/>
                <w:szCs w:val="20"/>
              </w:rPr>
            </w:pPr>
            <w:r>
              <w:rPr>
                <w:rFonts w:ascii="Arial" w:hAnsi="Arial" w:cs="Arial"/>
                <w:color w:val="000000"/>
                <w:sz w:val="20"/>
                <w:szCs w:val="20"/>
              </w:rPr>
              <w:t>NEUTROPHILS (%)-</w:t>
            </w:r>
          </w:p>
        </w:tc>
        <w:tc>
          <w:tcPr>
            <w:tcW w:w="2641"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3</w:t>
            </w:r>
            <w:r>
              <w:rPr>
                <w:rFonts w:ascii="Arial" w:hAnsi="Arial" w:cs="Arial"/>
                <w:color w:val="000000"/>
                <w:sz w:val="20"/>
                <w:szCs w:val="20"/>
                <w:lang w:val="en-IN"/>
              </w:rPr>
              <w:t>9</w:t>
            </w:r>
            <w:r>
              <w:rPr>
                <w:rFonts w:ascii="Arial" w:hAnsi="Arial" w:cs="Arial"/>
                <w:color w:val="000000"/>
                <w:sz w:val="20"/>
                <w:szCs w:val="20"/>
              </w:rPr>
              <w:t>.</w:t>
            </w:r>
            <w:r>
              <w:rPr>
                <w:rFonts w:ascii="Arial" w:hAnsi="Arial" w:cs="Arial"/>
                <w:color w:val="000000"/>
                <w:sz w:val="20"/>
                <w:szCs w:val="20"/>
                <w:lang w:val="en-IN"/>
              </w:rPr>
              <w:t>2</w:t>
            </w:r>
            <w:r>
              <w:rPr>
                <w:rFonts w:ascii="Arial" w:hAnsi="Arial" w:cs="Arial"/>
                <w:color w:val="000000"/>
                <w:sz w:val="20"/>
                <w:szCs w:val="20"/>
              </w:rPr>
              <w:t>3±0.</w:t>
            </w:r>
            <w:r>
              <w:rPr>
                <w:rFonts w:ascii="Arial" w:hAnsi="Arial" w:cs="Arial"/>
                <w:color w:val="000000"/>
                <w:sz w:val="20"/>
                <w:szCs w:val="20"/>
                <w:lang w:val="en-IN"/>
              </w:rPr>
              <w:t>5</w:t>
            </w:r>
            <w:r>
              <w:rPr>
                <w:rFonts w:ascii="Arial" w:hAnsi="Arial" w:cs="Arial"/>
                <w:color w:val="000000"/>
                <w:sz w:val="20"/>
                <w:szCs w:val="20"/>
              </w:rPr>
              <w:t>0</w:t>
            </w:r>
            <w:r>
              <w:rPr>
                <w:rFonts w:ascii="Arial" w:hAnsi="Arial" w:cs="Arial"/>
                <w:color w:val="000000"/>
                <w:sz w:val="20"/>
                <w:szCs w:val="20"/>
                <w:vertAlign w:val="superscript"/>
                <w:lang w:val="en-IN"/>
              </w:rPr>
              <w:t>a</w:t>
            </w:r>
          </w:p>
        </w:tc>
        <w:tc>
          <w:tcPr>
            <w:tcW w:w="2660"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lang w:val="en-IN"/>
              </w:rPr>
              <w:t>37</w:t>
            </w:r>
            <w:r>
              <w:rPr>
                <w:rFonts w:ascii="Arial" w:hAnsi="Arial" w:cs="Arial"/>
                <w:color w:val="000000"/>
                <w:sz w:val="20"/>
                <w:szCs w:val="20"/>
              </w:rPr>
              <w:t>.38 ±1.57</w:t>
            </w:r>
            <w:r>
              <w:rPr>
                <w:rFonts w:ascii="Arial" w:hAnsi="Arial" w:cs="Arial"/>
                <w:color w:val="000000"/>
                <w:sz w:val="20"/>
                <w:szCs w:val="20"/>
                <w:vertAlign w:val="superscript"/>
                <w:lang w:val="en-IN"/>
              </w:rPr>
              <w:t>a</w:t>
            </w:r>
          </w:p>
        </w:tc>
      </w:tr>
      <w:tr w:rsidR="00B42E03">
        <w:tc>
          <w:tcPr>
            <w:tcW w:w="3221" w:type="dxa"/>
            <w:vAlign w:val="bottom"/>
          </w:tcPr>
          <w:p w:rsidR="00B42E03" w:rsidRDefault="006D1C76">
            <w:pPr>
              <w:pStyle w:val="NormalWeb"/>
              <w:widowControl/>
              <w:rPr>
                <w:rFonts w:ascii="Arial" w:hAnsi="Arial" w:cs="Arial"/>
                <w:color w:val="231F20"/>
                <w:sz w:val="20"/>
                <w:szCs w:val="20"/>
              </w:rPr>
            </w:pPr>
            <w:r>
              <w:rPr>
                <w:rFonts w:ascii="Arial" w:hAnsi="Arial" w:cs="Arial"/>
                <w:color w:val="000000"/>
                <w:sz w:val="20"/>
                <w:szCs w:val="20"/>
              </w:rPr>
              <w:t>LYMPHOCYTES (%) </w:t>
            </w:r>
          </w:p>
        </w:tc>
        <w:tc>
          <w:tcPr>
            <w:tcW w:w="2641"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5</w:t>
            </w:r>
            <w:r>
              <w:rPr>
                <w:rFonts w:ascii="Arial" w:hAnsi="Arial" w:cs="Arial"/>
                <w:color w:val="000000"/>
                <w:sz w:val="20"/>
                <w:szCs w:val="20"/>
                <w:lang w:val="en-IN"/>
              </w:rPr>
              <w:t>9</w:t>
            </w:r>
            <w:r>
              <w:rPr>
                <w:rFonts w:ascii="Arial" w:hAnsi="Arial" w:cs="Arial"/>
                <w:color w:val="000000"/>
                <w:sz w:val="20"/>
                <w:szCs w:val="20"/>
              </w:rPr>
              <w:t>.50±0.</w:t>
            </w:r>
            <w:r>
              <w:rPr>
                <w:rFonts w:ascii="Arial" w:hAnsi="Arial" w:cs="Arial"/>
                <w:color w:val="000000"/>
                <w:sz w:val="20"/>
                <w:szCs w:val="20"/>
                <w:lang w:val="en-IN"/>
              </w:rPr>
              <w:t>7</w:t>
            </w:r>
            <w:r>
              <w:rPr>
                <w:rFonts w:ascii="Arial" w:hAnsi="Arial" w:cs="Arial"/>
                <w:color w:val="000000"/>
                <w:sz w:val="20"/>
                <w:szCs w:val="20"/>
              </w:rPr>
              <w:t>5</w:t>
            </w:r>
            <w:r>
              <w:rPr>
                <w:rFonts w:ascii="Arial" w:hAnsi="Arial" w:cs="Arial"/>
                <w:color w:val="000000"/>
                <w:sz w:val="20"/>
                <w:szCs w:val="20"/>
                <w:vertAlign w:val="superscript"/>
                <w:lang w:val="en-IN"/>
              </w:rPr>
              <w:t>a</w:t>
            </w:r>
          </w:p>
        </w:tc>
        <w:tc>
          <w:tcPr>
            <w:tcW w:w="2660"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6</w:t>
            </w:r>
            <w:r>
              <w:rPr>
                <w:rFonts w:ascii="Arial" w:hAnsi="Arial" w:cs="Arial"/>
                <w:color w:val="000000"/>
                <w:sz w:val="20"/>
                <w:szCs w:val="20"/>
                <w:lang w:val="en-IN"/>
              </w:rPr>
              <w:t>2</w:t>
            </w:r>
            <w:r>
              <w:rPr>
                <w:rFonts w:ascii="Arial" w:hAnsi="Arial" w:cs="Arial"/>
                <w:color w:val="000000"/>
                <w:sz w:val="20"/>
                <w:szCs w:val="20"/>
              </w:rPr>
              <w:t>.67±</w:t>
            </w:r>
            <w:r>
              <w:rPr>
                <w:rFonts w:ascii="Arial" w:hAnsi="Arial" w:cs="Arial"/>
                <w:color w:val="000000"/>
                <w:sz w:val="20"/>
                <w:szCs w:val="20"/>
                <w:lang w:val="en-IN"/>
              </w:rPr>
              <w:t>0.89</w:t>
            </w:r>
            <w:r>
              <w:rPr>
                <w:rFonts w:ascii="Arial" w:hAnsi="Arial" w:cs="Arial"/>
                <w:color w:val="000000"/>
                <w:sz w:val="20"/>
                <w:szCs w:val="20"/>
                <w:vertAlign w:val="superscript"/>
                <w:lang w:val="en-IN"/>
              </w:rPr>
              <w:t>a</w:t>
            </w:r>
          </w:p>
        </w:tc>
      </w:tr>
      <w:tr w:rsidR="00B42E03">
        <w:tc>
          <w:tcPr>
            <w:tcW w:w="3221" w:type="dxa"/>
            <w:vAlign w:val="bottom"/>
          </w:tcPr>
          <w:p w:rsidR="00B42E03" w:rsidRDefault="006D1C76">
            <w:pPr>
              <w:pStyle w:val="NormalWeb"/>
              <w:widowControl/>
              <w:rPr>
                <w:rFonts w:ascii="Arial" w:hAnsi="Arial" w:cs="Arial"/>
                <w:color w:val="231F20"/>
                <w:sz w:val="20"/>
                <w:szCs w:val="20"/>
              </w:rPr>
            </w:pPr>
            <w:r>
              <w:rPr>
                <w:rFonts w:ascii="Arial" w:hAnsi="Arial" w:cs="Arial"/>
                <w:color w:val="000000"/>
                <w:sz w:val="20"/>
                <w:szCs w:val="20"/>
              </w:rPr>
              <w:t>MONOCYTES (%)-</w:t>
            </w:r>
          </w:p>
        </w:tc>
        <w:tc>
          <w:tcPr>
            <w:tcW w:w="2641"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2.</w:t>
            </w:r>
            <w:r>
              <w:rPr>
                <w:rFonts w:ascii="Arial" w:hAnsi="Arial" w:cs="Arial"/>
                <w:color w:val="000000"/>
                <w:sz w:val="20"/>
                <w:szCs w:val="20"/>
                <w:lang w:val="en-IN"/>
              </w:rPr>
              <w:t>1</w:t>
            </w:r>
            <w:r>
              <w:rPr>
                <w:rFonts w:ascii="Arial" w:hAnsi="Arial" w:cs="Arial"/>
                <w:color w:val="000000"/>
                <w:sz w:val="20"/>
                <w:szCs w:val="20"/>
              </w:rPr>
              <w:t>0±0.6</w:t>
            </w:r>
            <w:r>
              <w:rPr>
                <w:rFonts w:ascii="Arial" w:hAnsi="Arial" w:cs="Arial"/>
                <w:color w:val="000000"/>
                <w:sz w:val="20"/>
                <w:szCs w:val="20"/>
                <w:lang w:val="en-IN"/>
              </w:rPr>
              <w:t>2</w:t>
            </w:r>
            <w:r>
              <w:rPr>
                <w:rFonts w:ascii="Arial" w:hAnsi="Arial" w:cs="Arial"/>
                <w:color w:val="000000"/>
                <w:sz w:val="20"/>
                <w:szCs w:val="20"/>
                <w:vertAlign w:val="superscript"/>
                <w:lang w:val="en-IN"/>
              </w:rPr>
              <w:t>a</w:t>
            </w:r>
          </w:p>
        </w:tc>
        <w:tc>
          <w:tcPr>
            <w:tcW w:w="2660"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1.</w:t>
            </w:r>
            <w:r>
              <w:rPr>
                <w:rFonts w:ascii="Arial" w:hAnsi="Arial" w:cs="Arial"/>
                <w:color w:val="000000"/>
                <w:sz w:val="20"/>
                <w:szCs w:val="20"/>
                <w:lang w:val="en-IN"/>
              </w:rPr>
              <w:t>9</w:t>
            </w:r>
            <w:r>
              <w:rPr>
                <w:rFonts w:ascii="Arial" w:hAnsi="Arial" w:cs="Arial"/>
                <w:color w:val="000000"/>
                <w:sz w:val="20"/>
                <w:szCs w:val="20"/>
              </w:rPr>
              <w:t>8±0.</w:t>
            </w:r>
            <w:r>
              <w:rPr>
                <w:rFonts w:ascii="Arial" w:hAnsi="Arial" w:cs="Arial"/>
                <w:color w:val="000000"/>
                <w:sz w:val="20"/>
                <w:szCs w:val="20"/>
                <w:lang w:val="en-IN"/>
              </w:rPr>
              <w:t>47</w:t>
            </w:r>
            <w:r>
              <w:rPr>
                <w:rFonts w:ascii="Arial" w:hAnsi="Arial" w:cs="Arial"/>
                <w:color w:val="000000"/>
                <w:sz w:val="20"/>
                <w:szCs w:val="20"/>
                <w:vertAlign w:val="superscript"/>
                <w:lang w:val="en-IN"/>
              </w:rPr>
              <w:t>a</w:t>
            </w:r>
          </w:p>
        </w:tc>
      </w:tr>
      <w:tr w:rsidR="00B42E03">
        <w:tc>
          <w:tcPr>
            <w:tcW w:w="3221" w:type="dxa"/>
            <w:vAlign w:val="bottom"/>
          </w:tcPr>
          <w:p w:rsidR="00B42E03" w:rsidRDefault="006D1C76">
            <w:pPr>
              <w:pStyle w:val="NormalWeb"/>
              <w:widowControl/>
              <w:rPr>
                <w:rFonts w:ascii="Arial" w:hAnsi="Arial" w:cs="Arial"/>
                <w:color w:val="231F20"/>
                <w:sz w:val="20"/>
                <w:szCs w:val="20"/>
              </w:rPr>
            </w:pPr>
            <w:r>
              <w:rPr>
                <w:rFonts w:ascii="Arial" w:hAnsi="Arial" w:cs="Arial"/>
                <w:color w:val="000000"/>
                <w:sz w:val="20"/>
                <w:szCs w:val="20"/>
              </w:rPr>
              <w:t>EOSINOPHILS (%)-</w:t>
            </w:r>
          </w:p>
        </w:tc>
        <w:tc>
          <w:tcPr>
            <w:tcW w:w="2641"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0.</w:t>
            </w:r>
            <w:r>
              <w:rPr>
                <w:rFonts w:ascii="Arial" w:hAnsi="Arial" w:cs="Arial"/>
                <w:color w:val="000000"/>
                <w:sz w:val="20"/>
                <w:szCs w:val="20"/>
                <w:lang w:val="en-IN"/>
              </w:rPr>
              <w:t>6</w:t>
            </w:r>
            <w:r>
              <w:rPr>
                <w:rFonts w:ascii="Arial" w:hAnsi="Arial" w:cs="Arial"/>
                <w:color w:val="000000"/>
                <w:sz w:val="20"/>
                <w:szCs w:val="20"/>
              </w:rPr>
              <w:t>3±0.</w:t>
            </w:r>
            <w:r>
              <w:rPr>
                <w:rFonts w:ascii="Arial" w:hAnsi="Arial" w:cs="Arial"/>
                <w:color w:val="000000"/>
                <w:sz w:val="20"/>
                <w:szCs w:val="20"/>
                <w:lang w:val="en-IN"/>
              </w:rPr>
              <w:t>11</w:t>
            </w:r>
            <w:r>
              <w:rPr>
                <w:rFonts w:ascii="Arial" w:hAnsi="Arial" w:cs="Arial"/>
                <w:color w:val="000000"/>
                <w:sz w:val="20"/>
                <w:szCs w:val="20"/>
                <w:vertAlign w:val="superscript"/>
                <w:lang w:val="en-IN"/>
              </w:rPr>
              <w:t>a</w:t>
            </w:r>
          </w:p>
        </w:tc>
        <w:tc>
          <w:tcPr>
            <w:tcW w:w="2660" w:type="dxa"/>
            <w:vAlign w:val="bottom"/>
          </w:tcPr>
          <w:p w:rsidR="00B42E03" w:rsidRDefault="006D1C76">
            <w:pPr>
              <w:pStyle w:val="NormalWeb"/>
              <w:widowControl/>
              <w:jc w:val="center"/>
              <w:rPr>
                <w:rFonts w:ascii="Arial" w:hAnsi="Arial" w:cs="Arial"/>
                <w:color w:val="231F20"/>
                <w:sz w:val="20"/>
                <w:szCs w:val="20"/>
                <w:vertAlign w:val="superscript"/>
                <w:lang w:val="en-IN"/>
              </w:rPr>
            </w:pPr>
            <w:r>
              <w:rPr>
                <w:rFonts w:ascii="Arial" w:hAnsi="Arial" w:cs="Arial"/>
                <w:color w:val="000000"/>
                <w:sz w:val="20"/>
                <w:szCs w:val="20"/>
              </w:rPr>
              <w:t>0.</w:t>
            </w:r>
            <w:r>
              <w:rPr>
                <w:rFonts w:ascii="Arial" w:hAnsi="Arial" w:cs="Arial"/>
                <w:color w:val="000000"/>
                <w:sz w:val="20"/>
                <w:szCs w:val="20"/>
                <w:lang w:val="en-IN"/>
              </w:rPr>
              <w:t>59</w:t>
            </w:r>
            <w:r>
              <w:rPr>
                <w:rFonts w:ascii="Arial" w:hAnsi="Arial" w:cs="Arial"/>
                <w:color w:val="000000"/>
                <w:sz w:val="20"/>
                <w:szCs w:val="20"/>
              </w:rPr>
              <w:t>±0.</w:t>
            </w:r>
            <w:r>
              <w:rPr>
                <w:rFonts w:ascii="Arial" w:hAnsi="Arial" w:cs="Arial"/>
                <w:color w:val="000000"/>
                <w:sz w:val="20"/>
                <w:szCs w:val="20"/>
                <w:lang w:val="en-IN"/>
              </w:rPr>
              <w:t>15</w:t>
            </w:r>
            <w:r>
              <w:rPr>
                <w:rFonts w:ascii="Arial" w:hAnsi="Arial" w:cs="Arial"/>
                <w:color w:val="000000"/>
                <w:sz w:val="20"/>
                <w:szCs w:val="20"/>
                <w:vertAlign w:val="superscript"/>
                <w:lang w:val="en-IN"/>
              </w:rPr>
              <w:t>a</w:t>
            </w:r>
          </w:p>
        </w:tc>
      </w:tr>
    </w:tbl>
    <w:p w:rsidR="00B42E03" w:rsidRDefault="00B42E03">
      <w:pPr>
        <w:ind w:firstLine="720"/>
        <w:jc w:val="both"/>
        <w:rPr>
          <w:rFonts w:ascii="Arial" w:eastAsia="SimSun" w:hAnsi="Arial" w:cs="Arial"/>
          <w:color w:val="231F20"/>
          <w:lang w:bidi="ar"/>
        </w:rPr>
      </w:pPr>
    </w:p>
    <w:p w:rsidR="00B42E03" w:rsidRDefault="006D1C76">
      <w:pPr>
        <w:ind w:firstLineChars="500" w:firstLine="900"/>
        <w:rPr>
          <w:rFonts w:ascii="Arial" w:hAnsi="Arial" w:cs="Arial"/>
          <w:b/>
          <w:bCs/>
          <w:sz w:val="18"/>
          <w:szCs w:val="18"/>
        </w:rPr>
      </w:pPr>
      <w:r>
        <w:rPr>
          <w:rFonts w:ascii="Arial" w:hAnsi="Arial" w:cs="Arial"/>
          <w:b/>
          <w:bCs/>
          <w:sz w:val="18"/>
          <w:szCs w:val="18"/>
        </w:rPr>
        <w:t xml:space="preserve">Values bearing different superscripts in a row differ significantly (P&lt; 0.05) </w:t>
      </w:r>
    </w:p>
    <w:p w:rsidR="00B42E03" w:rsidRDefault="006D1C76">
      <w:pPr>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lang w:val="en-IN"/>
        </w:rPr>
        <w:t xml:space="preserve">  </w:t>
      </w:r>
      <w:r>
        <w:rPr>
          <w:rFonts w:ascii="Arial" w:hAnsi="Arial" w:cs="Arial"/>
          <w:b/>
          <w:bCs/>
          <w:sz w:val="18"/>
          <w:szCs w:val="18"/>
        </w:rPr>
        <w:t>Values bearing similar superscripts in a row did not differ significantly (P &gt;0.05)</w:t>
      </w:r>
    </w:p>
    <w:p w:rsidR="00B42E03" w:rsidRDefault="006D1C76">
      <w:pPr>
        <w:rPr>
          <w:rFonts w:ascii="Arial" w:eastAsia="SimSun" w:hAnsi="Arial" w:cs="Arial"/>
          <w:color w:val="231F20"/>
          <w:lang w:bidi="ar"/>
        </w:rPr>
      </w:pPr>
      <w:r>
        <w:rPr>
          <w:rFonts w:ascii="Arial" w:eastAsia="SimSun" w:hAnsi="Arial" w:cs="Arial"/>
          <w:color w:val="231F20"/>
          <w:lang w:bidi="ar"/>
        </w:rPr>
        <w:t xml:space="preserve">             </w:t>
      </w:r>
    </w:p>
    <w:p w:rsidR="00B42E03" w:rsidRDefault="00B42E03">
      <w:pPr>
        <w:rPr>
          <w:rFonts w:ascii="Arial" w:eastAsia="SimSun" w:hAnsi="Arial" w:cs="Arial"/>
          <w:b/>
          <w:bCs/>
          <w:color w:val="231F20"/>
          <w:lang w:bidi="ar"/>
        </w:rPr>
      </w:pPr>
    </w:p>
    <w:p w:rsidR="00B42E03" w:rsidRDefault="006D1C76">
      <w:pPr>
        <w:rPr>
          <w:rFonts w:ascii="Arial" w:eastAsia="SimSun" w:hAnsi="Arial" w:cs="Arial"/>
          <w:b/>
          <w:bCs/>
          <w:color w:val="231F20"/>
          <w:lang w:bidi="ar"/>
        </w:rPr>
      </w:pPr>
      <w:r>
        <w:rPr>
          <w:rFonts w:ascii="Arial" w:eastAsia="SimSun" w:hAnsi="Arial" w:cs="Arial"/>
          <w:b/>
          <w:bCs/>
          <w:color w:val="231F20"/>
          <w:lang w:bidi="ar"/>
        </w:rPr>
        <w:t xml:space="preserve">              </w:t>
      </w:r>
    </w:p>
    <w:p w:rsidR="00B42E03" w:rsidRDefault="006D1C76">
      <w:pPr>
        <w:rPr>
          <w:rFonts w:ascii="Arial" w:eastAsia="SimSun" w:hAnsi="Arial" w:cs="Arial"/>
          <w:b/>
          <w:bCs/>
          <w:color w:val="231F20"/>
          <w:lang w:bidi="ar"/>
        </w:rPr>
      </w:pPr>
      <w:r>
        <w:rPr>
          <w:rFonts w:ascii="Arial" w:eastAsia="SimSun" w:hAnsi="Arial" w:cs="Arial"/>
          <w:b/>
          <w:bCs/>
          <w:color w:val="231F20"/>
          <w:lang w:bidi="ar"/>
        </w:rPr>
        <w:t xml:space="preserve">            </w:t>
      </w:r>
    </w:p>
    <w:p w:rsidR="00B42E03" w:rsidRDefault="00B42E03">
      <w:pPr>
        <w:rPr>
          <w:rFonts w:ascii="Arial" w:eastAsia="SimSun" w:hAnsi="Arial" w:cs="Arial"/>
          <w:b/>
          <w:bCs/>
          <w:color w:val="231F20"/>
          <w:lang w:bidi="ar"/>
        </w:rPr>
      </w:pPr>
    </w:p>
    <w:p w:rsidR="00B42E03" w:rsidRDefault="006D1C76">
      <w:pPr>
        <w:rPr>
          <w:rFonts w:ascii="Arial" w:eastAsia="SimSun" w:hAnsi="Arial" w:cs="Arial"/>
          <w:b/>
          <w:bCs/>
          <w:color w:val="231F20"/>
          <w:lang w:val="en-IN" w:bidi="ar"/>
        </w:rPr>
      </w:pPr>
      <w:r>
        <w:rPr>
          <w:rFonts w:ascii="Arial" w:eastAsia="SimSun" w:hAnsi="Arial" w:cs="Arial"/>
          <w:b/>
          <w:bCs/>
          <w:color w:val="231F20"/>
          <w:lang w:val="en-IN" w:bidi="ar"/>
        </w:rPr>
        <w:t xml:space="preserve">            Table 2: Serum biochemical findings in Goitre affected kids.</w:t>
      </w:r>
    </w:p>
    <w:p w:rsidR="00B42E03" w:rsidRDefault="00B42E03">
      <w:pPr>
        <w:rPr>
          <w:rFonts w:ascii="Arial" w:eastAsia="SimSun" w:hAnsi="Arial" w:cs="Arial"/>
          <w:b/>
          <w:bCs/>
          <w:color w:val="231F20"/>
          <w:lang w:val="en-IN" w:bidi="ar"/>
        </w:rPr>
      </w:pPr>
    </w:p>
    <w:tbl>
      <w:tblPr>
        <w:tblStyle w:val="TableGrid"/>
        <w:tblW w:w="0" w:type="auto"/>
        <w:tblLook w:val="04A0" w:firstRow="1" w:lastRow="0" w:firstColumn="1" w:lastColumn="0" w:noHBand="0" w:noVBand="1"/>
      </w:tblPr>
      <w:tblGrid>
        <w:gridCol w:w="2426"/>
        <w:gridCol w:w="2407"/>
        <w:gridCol w:w="2698"/>
      </w:tblGrid>
      <w:tr w:rsidR="00B42E03">
        <w:tc>
          <w:tcPr>
            <w:tcW w:w="2426" w:type="dxa"/>
          </w:tcPr>
          <w:p w:rsidR="00B42E03" w:rsidRDefault="006D1C76">
            <w:pPr>
              <w:widowControl/>
              <w:ind w:firstLineChars="250" w:firstLine="502"/>
              <w:rPr>
                <w:rFonts w:ascii="Arial" w:eastAsia="SimSun" w:hAnsi="Arial" w:cs="Arial"/>
                <w:b/>
                <w:bCs/>
                <w:color w:val="231F20"/>
                <w:lang w:val="en-IN" w:bidi="ar"/>
              </w:rPr>
            </w:pPr>
            <w:r>
              <w:rPr>
                <w:rFonts w:ascii="Arial" w:eastAsia="SimSun" w:hAnsi="Arial" w:cs="Arial"/>
                <w:b/>
                <w:bCs/>
                <w:color w:val="231F20"/>
                <w:lang w:val="en-IN" w:bidi="ar"/>
              </w:rPr>
              <w:t>Parameter</w:t>
            </w:r>
          </w:p>
        </w:tc>
        <w:tc>
          <w:tcPr>
            <w:tcW w:w="2407" w:type="dxa"/>
          </w:tcPr>
          <w:p w:rsidR="00B42E03" w:rsidRDefault="006D1C76">
            <w:pPr>
              <w:widowControl/>
              <w:rPr>
                <w:rFonts w:ascii="Arial" w:eastAsia="SimSun" w:hAnsi="Arial" w:cs="Arial"/>
                <w:b/>
                <w:bCs/>
                <w:color w:val="231F20"/>
                <w:lang w:val="en-IN"/>
              </w:rPr>
            </w:pPr>
            <w:r>
              <w:rPr>
                <w:rFonts w:ascii="Arial" w:eastAsia="SimSun" w:hAnsi="Arial" w:cs="Arial"/>
                <w:b/>
                <w:bCs/>
                <w:color w:val="231F20"/>
                <w:lang w:val="en-IN" w:bidi="ar"/>
              </w:rPr>
              <w:t xml:space="preserve">       </w:t>
            </w:r>
            <w:r>
              <w:rPr>
                <w:rFonts w:ascii="Arial" w:eastAsia="SimSun" w:hAnsi="Arial" w:cs="Arial"/>
                <w:b/>
                <w:bCs/>
                <w:color w:val="231F20"/>
                <w:lang w:val="en-IN"/>
              </w:rPr>
              <w:t xml:space="preserve">Healthy kids </w:t>
            </w:r>
          </w:p>
          <w:p w:rsidR="00B42E03" w:rsidRDefault="006D1C76">
            <w:pPr>
              <w:widowControl/>
              <w:ind w:firstLineChars="100" w:firstLine="201"/>
              <w:rPr>
                <w:rFonts w:ascii="Arial" w:eastAsia="SimSun" w:hAnsi="Arial" w:cs="Arial"/>
                <w:b/>
                <w:bCs/>
                <w:color w:val="231F20"/>
                <w:lang w:val="en-IN"/>
              </w:rPr>
            </w:pPr>
            <w:r>
              <w:rPr>
                <w:rFonts w:ascii="Arial" w:eastAsia="SimSun" w:hAnsi="Arial" w:cs="Arial"/>
                <w:b/>
                <w:bCs/>
                <w:color w:val="231F20"/>
                <w:lang w:val="en-IN"/>
              </w:rPr>
              <w:t>(Control) (n=6)</w:t>
            </w:r>
          </w:p>
          <w:p w:rsidR="00B42E03" w:rsidRDefault="00B42E03">
            <w:pPr>
              <w:widowControl/>
              <w:rPr>
                <w:rFonts w:ascii="Arial" w:eastAsia="SimSun" w:hAnsi="Arial" w:cs="Arial"/>
                <w:b/>
                <w:bCs/>
                <w:color w:val="231F20"/>
                <w:lang w:val="en-IN" w:bidi="ar"/>
              </w:rPr>
            </w:pPr>
          </w:p>
        </w:tc>
        <w:tc>
          <w:tcPr>
            <w:tcW w:w="2698" w:type="dxa"/>
          </w:tcPr>
          <w:p w:rsidR="00B42E03" w:rsidRDefault="006D1C76">
            <w:pPr>
              <w:widowControl/>
              <w:ind w:firstLineChars="150" w:firstLine="301"/>
              <w:rPr>
                <w:rFonts w:ascii="Arial" w:eastAsia="SimSun" w:hAnsi="Arial" w:cs="Arial"/>
                <w:b/>
                <w:bCs/>
                <w:color w:val="231F20"/>
              </w:rPr>
            </w:pPr>
            <w:r>
              <w:rPr>
                <w:rFonts w:ascii="Arial" w:eastAsia="SimSun" w:hAnsi="Arial" w:cs="Arial"/>
                <w:b/>
                <w:bCs/>
                <w:color w:val="231F20"/>
                <w:lang w:val="en-IN"/>
              </w:rPr>
              <w:t xml:space="preserve">Goitre </w:t>
            </w:r>
            <w:proofErr w:type="gramStart"/>
            <w:r>
              <w:rPr>
                <w:rFonts w:ascii="Arial" w:eastAsia="SimSun" w:hAnsi="Arial" w:cs="Arial"/>
                <w:b/>
                <w:bCs/>
                <w:color w:val="231F20"/>
              </w:rPr>
              <w:t>affected</w:t>
            </w:r>
            <w:r>
              <w:rPr>
                <w:rFonts w:ascii="Arial" w:eastAsia="SimSun" w:hAnsi="Arial" w:cs="Arial"/>
                <w:b/>
                <w:bCs/>
                <w:color w:val="231F20"/>
                <w:lang w:val="en-IN"/>
              </w:rPr>
              <w:t xml:space="preserve">  kids</w:t>
            </w:r>
            <w:proofErr w:type="gramEnd"/>
            <w:r>
              <w:rPr>
                <w:rFonts w:ascii="Arial" w:eastAsia="SimSun" w:hAnsi="Arial" w:cs="Arial"/>
                <w:b/>
                <w:bCs/>
                <w:color w:val="231F20"/>
              </w:rPr>
              <w:t xml:space="preserve"> </w:t>
            </w:r>
          </w:p>
          <w:p w:rsidR="00B42E03" w:rsidRDefault="006D1C76">
            <w:pPr>
              <w:widowControl/>
              <w:ind w:firstLineChars="300" w:firstLine="602"/>
              <w:rPr>
                <w:rFonts w:ascii="Arial" w:eastAsia="SimSun" w:hAnsi="Arial" w:cs="Arial"/>
                <w:b/>
                <w:bCs/>
                <w:color w:val="231F20"/>
                <w:lang w:val="en-IN" w:bidi="ar"/>
              </w:rPr>
            </w:pPr>
            <w:r>
              <w:rPr>
                <w:rFonts w:ascii="Arial" w:eastAsia="SimSun" w:hAnsi="Arial" w:cs="Arial"/>
                <w:b/>
                <w:bCs/>
                <w:color w:val="231F20"/>
                <w:lang w:val="en-IN"/>
              </w:rPr>
              <w:t>(n=18)</w:t>
            </w:r>
          </w:p>
        </w:tc>
      </w:tr>
      <w:tr w:rsidR="00B42E03">
        <w:tc>
          <w:tcPr>
            <w:tcW w:w="2426" w:type="dxa"/>
            <w:vAlign w:val="center"/>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ALT (U/L)</w:t>
            </w:r>
          </w:p>
        </w:tc>
        <w:tc>
          <w:tcPr>
            <w:tcW w:w="2407"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8</w:t>
            </w:r>
            <w:r>
              <w:rPr>
                <w:rFonts w:ascii="Arial" w:hAnsi="Arial" w:cs="Arial"/>
                <w:color w:val="000000" w:themeColor="dark1"/>
                <w:sz w:val="20"/>
                <w:szCs w:val="20"/>
              </w:rPr>
              <w:t>.19±7.04</w:t>
            </w:r>
            <w:r>
              <w:rPr>
                <w:rFonts w:ascii="Arial" w:hAnsi="Arial" w:cs="Arial"/>
                <w:color w:val="000000" w:themeColor="dark1"/>
                <w:position w:val="10"/>
                <w:sz w:val="20"/>
                <w:szCs w:val="20"/>
                <w:vertAlign w:val="superscript"/>
              </w:rPr>
              <w:t>a</w:t>
            </w:r>
          </w:p>
        </w:tc>
        <w:tc>
          <w:tcPr>
            <w:tcW w:w="2698"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14.19±7.04</w:t>
            </w:r>
            <w:r>
              <w:rPr>
                <w:rFonts w:ascii="Arial" w:hAnsi="Arial" w:cs="Arial"/>
                <w:color w:val="000000" w:themeColor="dark1"/>
                <w:position w:val="10"/>
                <w:sz w:val="20"/>
                <w:szCs w:val="20"/>
                <w:vertAlign w:val="superscript"/>
              </w:rPr>
              <w:t>a</w:t>
            </w:r>
          </w:p>
        </w:tc>
      </w:tr>
      <w:tr w:rsidR="00B42E03">
        <w:tc>
          <w:tcPr>
            <w:tcW w:w="2426" w:type="dxa"/>
            <w:vAlign w:val="center"/>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AST (U/L)</w:t>
            </w:r>
          </w:p>
        </w:tc>
        <w:tc>
          <w:tcPr>
            <w:tcW w:w="2407"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7</w:t>
            </w:r>
            <w:r>
              <w:rPr>
                <w:rFonts w:ascii="Arial" w:hAnsi="Arial" w:cs="Arial"/>
                <w:color w:val="000000" w:themeColor="dark1"/>
                <w:sz w:val="20"/>
                <w:szCs w:val="20"/>
              </w:rPr>
              <w:t>4.87±</w:t>
            </w:r>
            <w:r>
              <w:rPr>
                <w:rFonts w:ascii="Arial" w:hAnsi="Arial" w:cs="Arial"/>
                <w:color w:val="000000" w:themeColor="dark1"/>
                <w:sz w:val="20"/>
                <w:szCs w:val="20"/>
                <w:lang w:val="en-IN"/>
              </w:rPr>
              <w:t>3</w:t>
            </w:r>
            <w:r>
              <w:rPr>
                <w:rFonts w:ascii="Arial" w:hAnsi="Arial" w:cs="Arial"/>
                <w:color w:val="000000" w:themeColor="dark1"/>
                <w:sz w:val="20"/>
                <w:szCs w:val="20"/>
              </w:rPr>
              <w:t>.2</w:t>
            </w:r>
            <w:r>
              <w:rPr>
                <w:rFonts w:ascii="Arial" w:hAnsi="Arial" w:cs="Arial"/>
                <w:color w:val="000000" w:themeColor="dark1"/>
                <w:sz w:val="20"/>
                <w:szCs w:val="20"/>
                <w:lang w:val="en-IN"/>
              </w:rPr>
              <w:t>1</w:t>
            </w:r>
            <w:r>
              <w:rPr>
                <w:rFonts w:ascii="Arial" w:hAnsi="Arial" w:cs="Arial"/>
                <w:color w:val="000000" w:themeColor="dark1"/>
                <w:position w:val="10"/>
                <w:sz w:val="20"/>
                <w:szCs w:val="20"/>
                <w:vertAlign w:val="superscript"/>
              </w:rPr>
              <w:t>a</w:t>
            </w:r>
          </w:p>
        </w:tc>
        <w:tc>
          <w:tcPr>
            <w:tcW w:w="2698"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79</w:t>
            </w:r>
            <w:r>
              <w:rPr>
                <w:rFonts w:ascii="Arial" w:hAnsi="Arial" w:cs="Arial"/>
                <w:color w:val="000000" w:themeColor="dark1"/>
                <w:sz w:val="20"/>
                <w:szCs w:val="20"/>
              </w:rPr>
              <w:t>.20±</w:t>
            </w:r>
            <w:r>
              <w:rPr>
                <w:rFonts w:ascii="Arial" w:hAnsi="Arial" w:cs="Arial"/>
                <w:color w:val="000000" w:themeColor="dark1"/>
                <w:sz w:val="20"/>
                <w:szCs w:val="20"/>
                <w:lang w:val="en-IN"/>
              </w:rPr>
              <w:t>3</w:t>
            </w:r>
            <w:r>
              <w:rPr>
                <w:rFonts w:ascii="Arial" w:hAnsi="Arial" w:cs="Arial"/>
                <w:color w:val="000000" w:themeColor="dark1"/>
                <w:sz w:val="20"/>
                <w:szCs w:val="20"/>
              </w:rPr>
              <w:t>.</w:t>
            </w:r>
            <w:r>
              <w:rPr>
                <w:rFonts w:ascii="Arial" w:hAnsi="Arial" w:cs="Arial"/>
                <w:color w:val="000000" w:themeColor="dark1"/>
                <w:sz w:val="20"/>
                <w:szCs w:val="20"/>
                <w:lang w:val="en-IN"/>
              </w:rPr>
              <w:t>92</w:t>
            </w:r>
            <w:r>
              <w:rPr>
                <w:rFonts w:ascii="Arial" w:hAnsi="Arial" w:cs="Arial"/>
                <w:color w:val="000000" w:themeColor="dark1"/>
                <w:position w:val="10"/>
                <w:sz w:val="20"/>
                <w:szCs w:val="20"/>
                <w:vertAlign w:val="superscript"/>
              </w:rPr>
              <w:t>a</w:t>
            </w:r>
          </w:p>
        </w:tc>
      </w:tr>
      <w:tr w:rsidR="00B42E03">
        <w:tc>
          <w:tcPr>
            <w:tcW w:w="2426" w:type="dxa"/>
            <w:vAlign w:val="center"/>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ALP (U/L)</w:t>
            </w:r>
          </w:p>
        </w:tc>
        <w:tc>
          <w:tcPr>
            <w:tcW w:w="2407" w:type="dxa"/>
          </w:tcPr>
          <w:p w:rsidR="00B42E03" w:rsidRDefault="006D1C76">
            <w:pPr>
              <w:pStyle w:val="ListParagraph"/>
              <w:ind w:left="0"/>
              <w:jc w:val="center"/>
              <w:rPr>
                <w:rFonts w:ascii="Arial" w:eastAsia="SimSun" w:hAnsi="Arial" w:cs="Arial"/>
                <w:color w:val="231F20"/>
                <w:sz w:val="20"/>
                <w:szCs w:val="20"/>
                <w:lang w:val="en-IN" w:eastAsia="zh-CN" w:bidi="ar"/>
              </w:rPr>
            </w:pPr>
            <w:r>
              <w:rPr>
                <w:rFonts w:ascii="Arial" w:hAnsi="Arial" w:cs="Arial"/>
                <w:color w:val="000000" w:themeColor="text1"/>
                <w:sz w:val="20"/>
                <w:szCs w:val="20"/>
              </w:rPr>
              <w:t>19</w:t>
            </w:r>
            <w:r>
              <w:rPr>
                <w:rFonts w:ascii="Arial" w:hAnsi="Arial" w:cs="Arial"/>
                <w:color w:val="000000" w:themeColor="text1"/>
                <w:sz w:val="20"/>
                <w:szCs w:val="20"/>
                <w:lang w:val="en-IN"/>
              </w:rPr>
              <w:t>1</w:t>
            </w:r>
            <w:r>
              <w:rPr>
                <w:rFonts w:ascii="Arial" w:hAnsi="Arial" w:cs="Arial"/>
                <w:color w:val="000000" w:themeColor="text1"/>
                <w:sz w:val="20"/>
                <w:szCs w:val="20"/>
              </w:rPr>
              <w:t>.1</w:t>
            </w:r>
            <w:r>
              <w:rPr>
                <w:rFonts w:ascii="Arial" w:hAnsi="Arial" w:cs="Arial"/>
                <w:color w:val="000000" w:themeColor="text1"/>
                <w:sz w:val="20"/>
                <w:szCs w:val="20"/>
                <w:lang w:val="en-IN"/>
              </w:rPr>
              <w:t>1</w:t>
            </w:r>
            <w:r>
              <w:rPr>
                <w:rFonts w:ascii="Arial" w:hAnsi="Arial" w:cs="Arial"/>
                <w:color w:val="000000" w:themeColor="text1"/>
                <w:sz w:val="20"/>
                <w:szCs w:val="20"/>
              </w:rPr>
              <w:t>±</w:t>
            </w:r>
            <w:r>
              <w:rPr>
                <w:rFonts w:ascii="Arial" w:hAnsi="Arial" w:cs="Arial"/>
                <w:color w:val="000000" w:themeColor="text1"/>
                <w:sz w:val="20"/>
                <w:szCs w:val="20"/>
                <w:lang w:val="en-IN"/>
              </w:rPr>
              <w:t>7</w:t>
            </w:r>
            <w:r>
              <w:rPr>
                <w:rFonts w:ascii="Arial" w:hAnsi="Arial" w:cs="Arial"/>
                <w:color w:val="000000" w:themeColor="text1"/>
                <w:sz w:val="20"/>
                <w:szCs w:val="20"/>
              </w:rPr>
              <w:t>.</w:t>
            </w:r>
            <w:r>
              <w:rPr>
                <w:rFonts w:ascii="Arial" w:hAnsi="Arial" w:cs="Arial"/>
                <w:color w:val="000000" w:themeColor="text1"/>
                <w:sz w:val="20"/>
                <w:szCs w:val="20"/>
                <w:lang w:val="en-IN"/>
              </w:rPr>
              <w:t>1</w:t>
            </w:r>
            <w:r>
              <w:rPr>
                <w:rFonts w:ascii="Arial" w:hAnsi="Arial" w:cs="Arial"/>
                <w:color w:val="000000" w:themeColor="text1"/>
                <w:sz w:val="20"/>
                <w:szCs w:val="20"/>
              </w:rPr>
              <w:t>5</w:t>
            </w:r>
            <w:r>
              <w:rPr>
                <w:rFonts w:ascii="Arial" w:hAnsi="Arial" w:cs="Arial"/>
                <w:color w:val="000000" w:themeColor="text1"/>
                <w:position w:val="10"/>
                <w:sz w:val="20"/>
                <w:szCs w:val="20"/>
                <w:vertAlign w:val="superscript"/>
              </w:rPr>
              <w:t>a</w:t>
            </w:r>
          </w:p>
        </w:tc>
        <w:tc>
          <w:tcPr>
            <w:tcW w:w="2698" w:type="dxa"/>
          </w:tcPr>
          <w:p w:rsidR="00B42E03" w:rsidRDefault="006D1C76">
            <w:pPr>
              <w:pStyle w:val="ListParagraph"/>
              <w:ind w:left="0"/>
              <w:jc w:val="center"/>
              <w:rPr>
                <w:rFonts w:ascii="Arial" w:eastAsia="SimSun" w:hAnsi="Arial" w:cs="Arial"/>
                <w:b/>
                <w:bCs/>
                <w:color w:val="231F20"/>
                <w:sz w:val="20"/>
                <w:szCs w:val="20"/>
                <w:vertAlign w:val="superscript"/>
                <w:lang w:val="en-IN" w:eastAsia="zh-CN" w:bidi="ar"/>
              </w:rPr>
            </w:pPr>
            <w:r>
              <w:rPr>
                <w:rFonts w:ascii="Arial" w:hAnsi="Arial" w:cs="Arial"/>
                <w:color w:val="000000" w:themeColor="text1"/>
                <w:sz w:val="20"/>
                <w:szCs w:val="20"/>
                <w:lang w:val="en-IN"/>
              </w:rPr>
              <w:t>1</w:t>
            </w:r>
            <w:r>
              <w:rPr>
                <w:rFonts w:ascii="Arial" w:hAnsi="Arial" w:cs="Arial"/>
                <w:color w:val="000000" w:themeColor="text1"/>
                <w:sz w:val="20"/>
                <w:szCs w:val="20"/>
              </w:rPr>
              <w:t>93.78±</w:t>
            </w:r>
            <w:r>
              <w:rPr>
                <w:rFonts w:ascii="Arial" w:hAnsi="Arial" w:cs="Arial"/>
                <w:color w:val="000000" w:themeColor="text1"/>
                <w:sz w:val="20"/>
                <w:szCs w:val="20"/>
                <w:lang w:val="en-IN"/>
              </w:rPr>
              <w:t xml:space="preserve"> 5.</w:t>
            </w:r>
            <w:r>
              <w:rPr>
                <w:rFonts w:ascii="Arial" w:hAnsi="Arial" w:cs="Arial"/>
                <w:color w:val="000000" w:themeColor="text1"/>
                <w:sz w:val="20"/>
                <w:szCs w:val="20"/>
              </w:rPr>
              <w:t>7</w:t>
            </w:r>
            <w:r>
              <w:rPr>
                <w:rFonts w:ascii="Arial" w:hAnsi="Arial" w:cs="Arial"/>
                <w:color w:val="000000" w:themeColor="text1"/>
                <w:sz w:val="20"/>
                <w:szCs w:val="20"/>
                <w:lang w:val="en-IN"/>
              </w:rPr>
              <w:t>2</w:t>
            </w:r>
            <w:r>
              <w:rPr>
                <w:rFonts w:ascii="Arial" w:hAnsi="Arial" w:cs="Arial"/>
                <w:color w:val="000000" w:themeColor="text1"/>
                <w:sz w:val="20"/>
                <w:szCs w:val="20"/>
                <w:vertAlign w:val="superscript"/>
                <w:lang w:val="en-IN"/>
              </w:rPr>
              <w:t>a</w:t>
            </w:r>
          </w:p>
        </w:tc>
      </w:tr>
      <w:tr w:rsidR="00B42E03">
        <w:tc>
          <w:tcPr>
            <w:tcW w:w="2426" w:type="dxa"/>
            <w:vAlign w:val="center"/>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Total bilirubin (mg/dL)</w:t>
            </w:r>
          </w:p>
        </w:tc>
        <w:tc>
          <w:tcPr>
            <w:tcW w:w="2407"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0.07±0.0</w:t>
            </w:r>
            <w:r>
              <w:rPr>
                <w:rFonts w:ascii="Arial" w:hAnsi="Arial" w:cs="Arial"/>
                <w:color w:val="000000" w:themeColor="dark1"/>
                <w:sz w:val="20"/>
                <w:szCs w:val="20"/>
                <w:lang w:val="en-IN"/>
              </w:rPr>
              <w:t>3</w:t>
            </w:r>
            <w:r>
              <w:rPr>
                <w:rFonts w:ascii="Arial" w:hAnsi="Arial" w:cs="Arial"/>
                <w:color w:val="000000" w:themeColor="dark1"/>
                <w:position w:val="10"/>
                <w:sz w:val="20"/>
                <w:szCs w:val="20"/>
                <w:vertAlign w:val="superscript"/>
              </w:rPr>
              <w:t>a</w:t>
            </w:r>
          </w:p>
        </w:tc>
        <w:tc>
          <w:tcPr>
            <w:tcW w:w="2698"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0.</w:t>
            </w:r>
            <w:r>
              <w:rPr>
                <w:rFonts w:ascii="Arial" w:hAnsi="Arial" w:cs="Arial"/>
                <w:color w:val="000000" w:themeColor="dark1"/>
                <w:sz w:val="20"/>
                <w:szCs w:val="20"/>
                <w:lang w:val="en-IN"/>
              </w:rPr>
              <w:t>06</w:t>
            </w:r>
            <w:r>
              <w:rPr>
                <w:rFonts w:ascii="Arial" w:hAnsi="Arial" w:cs="Arial"/>
                <w:color w:val="000000" w:themeColor="dark1"/>
                <w:sz w:val="20"/>
                <w:szCs w:val="20"/>
              </w:rPr>
              <w:t>±0.</w:t>
            </w:r>
            <w:r>
              <w:rPr>
                <w:rFonts w:ascii="Arial" w:hAnsi="Arial" w:cs="Arial"/>
                <w:color w:val="000000" w:themeColor="dark1"/>
                <w:sz w:val="20"/>
                <w:szCs w:val="20"/>
                <w:lang w:val="en-IN"/>
              </w:rPr>
              <w:t>01</w:t>
            </w:r>
            <w:r>
              <w:rPr>
                <w:rFonts w:ascii="Arial" w:hAnsi="Arial" w:cs="Arial"/>
                <w:color w:val="000000" w:themeColor="dark1"/>
                <w:position w:val="10"/>
                <w:sz w:val="20"/>
                <w:szCs w:val="20"/>
                <w:vertAlign w:val="superscript"/>
              </w:rPr>
              <w:t>a</w:t>
            </w:r>
          </w:p>
        </w:tc>
      </w:tr>
      <w:tr w:rsidR="00B42E03">
        <w:tc>
          <w:tcPr>
            <w:tcW w:w="2426" w:type="dxa"/>
            <w:vAlign w:val="center"/>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Total protein (g/dL)</w:t>
            </w:r>
          </w:p>
        </w:tc>
        <w:tc>
          <w:tcPr>
            <w:tcW w:w="2407"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6.</w:t>
            </w:r>
            <w:r>
              <w:rPr>
                <w:rFonts w:ascii="Arial" w:hAnsi="Arial" w:cs="Arial"/>
                <w:color w:val="000000" w:themeColor="dark1"/>
                <w:sz w:val="20"/>
                <w:szCs w:val="20"/>
                <w:lang w:val="en-IN"/>
              </w:rPr>
              <w:t>97</w:t>
            </w:r>
            <w:r>
              <w:rPr>
                <w:rFonts w:ascii="Arial" w:hAnsi="Arial" w:cs="Arial"/>
                <w:color w:val="000000" w:themeColor="dark1"/>
                <w:sz w:val="20"/>
                <w:szCs w:val="20"/>
              </w:rPr>
              <w:t>±0.</w:t>
            </w:r>
            <w:r>
              <w:rPr>
                <w:rFonts w:ascii="Arial" w:hAnsi="Arial" w:cs="Arial"/>
                <w:color w:val="000000" w:themeColor="dark1"/>
                <w:sz w:val="20"/>
                <w:szCs w:val="20"/>
                <w:lang w:val="en-IN"/>
              </w:rPr>
              <w:t>4</w:t>
            </w:r>
            <w:r>
              <w:rPr>
                <w:rFonts w:ascii="Arial" w:hAnsi="Arial" w:cs="Arial"/>
                <w:color w:val="000000" w:themeColor="dark1"/>
                <w:sz w:val="20"/>
                <w:szCs w:val="20"/>
              </w:rPr>
              <w:t>5</w:t>
            </w:r>
            <w:r>
              <w:rPr>
                <w:rFonts w:ascii="Arial" w:hAnsi="Arial" w:cs="Arial"/>
                <w:color w:val="000000" w:themeColor="dark1"/>
                <w:position w:val="10"/>
                <w:sz w:val="20"/>
                <w:szCs w:val="20"/>
                <w:vertAlign w:val="superscript"/>
              </w:rPr>
              <w:t>a</w:t>
            </w:r>
          </w:p>
        </w:tc>
        <w:tc>
          <w:tcPr>
            <w:tcW w:w="2698"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6.</w:t>
            </w:r>
            <w:r>
              <w:rPr>
                <w:rFonts w:ascii="Arial" w:hAnsi="Arial" w:cs="Arial"/>
                <w:color w:val="000000" w:themeColor="dark1"/>
                <w:sz w:val="20"/>
                <w:szCs w:val="20"/>
                <w:lang w:val="en-IN"/>
              </w:rPr>
              <w:t>2</w:t>
            </w:r>
            <w:r>
              <w:rPr>
                <w:rFonts w:ascii="Arial" w:hAnsi="Arial" w:cs="Arial"/>
                <w:color w:val="000000" w:themeColor="dark1"/>
                <w:sz w:val="20"/>
                <w:szCs w:val="20"/>
              </w:rPr>
              <w:t>7±0.</w:t>
            </w:r>
            <w:r>
              <w:rPr>
                <w:rFonts w:ascii="Arial" w:hAnsi="Arial" w:cs="Arial"/>
                <w:color w:val="000000" w:themeColor="dark1"/>
                <w:sz w:val="20"/>
                <w:szCs w:val="20"/>
                <w:lang w:val="en-IN"/>
              </w:rPr>
              <w:t>31</w:t>
            </w:r>
            <w:r>
              <w:rPr>
                <w:rFonts w:ascii="Arial" w:hAnsi="Arial" w:cs="Arial"/>
                <w:color w:val="000000" w:themeColor="dark1"/>
                <w:position w:val="10"/>
                <w:sz w:val="20"/>
                <w:szCs w:val="20"/>
                <w:vertAlign w:val="superscript"/>
              </w:rPr>
              <w:t>a</w:t>
            </w:r>
          </w:p>
        </w:tc>
      </w:tr>
      <w:tr w:rsidR="00B42E03">
        <w:tc>
          <w:tcPr>
            <w:tcW w:w="2426" w:type="dxa"/>
            <w:vAlign w:val="center"/>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Creatinine (mg/dL)</w:t>
            </w:r>
          </w:p>
        </w:tc>
        <w:tc>
          <w:tcPr>
            <w:tcW w:w="2407"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1.0</w:t>
            </w:r>
            <w:r>
              <w:rPr>
                <w:rFonts w:ascii="Arial" w:hAnsi="Arial" w:cs="Arial"/>
                <w:color w:val="000000" w:themeColor="dark1"/>
                <w:sz w:val="20"/>
                <w:szCs w:val="20"/>
                <w:lang w:val="en-IN"/>
              </w:rPr>
              <w:t>5</w:t>
            </w:r>
            <w:r>
              <w:rPr>
                <w:rFonts w:ascii="Arial" w:hAnsi="Arial" w:cs="Arial"/>
                <w:color w:val="000000" w:themeColor="dark1"/>
                <w:sz w:val="20"/>
                <w:szCs w:val="20"/>
              </w:rPr>
              <w:t>±0.0</w:t>
            </w:r>
            <w:r>
              <w:rPr>
                <w:rFonts w:ascii="Arial" w:hAnsi="Arial" w:cs="Arial"/>
                <w:color w:val="000000" w:themeColor="dark1"/>
                <w:sz w:val="20"/>
                <w:szCs w:val="20"/>
                <w:lang w:val="en-IN"/>
              </w:rPr>
              <w:t>4</w:t>
            </w:r>
            <w:r>
              <w:rPr>
                <w:rFonts w:ascii="Arial" w:hAnsi="Arial" w:cs="Arial"/>
                <w:color w:val="000000" w:themeColor="dark1"/>
                <w:position w:val="10"/>
                <w:sz w:val="20"/>
                <w:szCs w:val="20"/>
                <w:vertAlign w:val="superscript"/>
              </w:rPr>
              <w:t>a</w:t>
            </w:r>
          </w:p>
        </w:tc>
        <w:tc>
          <w:tcPr>
            <w:tcW w:w="2698"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1.0</w:t>
            </w:r>
            <w:r>
              <w:rPr>
                <w:rFonts w:ascii="Arial" w:hAnsi="Arial" w:cs="Arial"/>
                <w:color w:val="000000" w:themeColor="dark1"/>
                <w:sz w:val="20"/>
                <w:szCs w:val="20"/>
                <w:lang w:val="en-IN"/>
              </w:rPr>
              <w:t>6</w:t>
            </w:r>
            <w:r>
              <w:rPr>
                <w:rFonts w:ascii="Arial" w:hAnsi="Arial" w:cs="Arial"/>
                <w:color w:val="000000" w:themeColor="dark1"/>
                <w:sz w:val="20"/>
                <w:szCs w:val="20"/>
              </w:rPr>
              <w:t>±0.0</w:t>
            </w:r>
            <w:r>
              <w:rPr>
                <w:rFonts w:ascii="Arial" w:hAnsi="Arial" w:cs="Arial"/>
                <w:color w:val="000000" w:themeColor="dark1"/>
                <w:sz w:val="20"/>
                <w:szCs w:val="20"/>
                <w:lang w:val="en-IN"/>
              </w:rPr>
              <w:t>5</w:t>
            </w:r>
            <w:r>
              <w:rPr>
                <w:rFonts w:ascii="Arial" w:hAnsi="Arial" w:cs="Arial"/>
                <w:color w:val="000000" w:themeColor="dark1"/>
                <w:position w:val="10"/>
                <w:sz w:val="20"/>
                <w:szCs w:val="20"/>
                <w:vertAlign w:val="superscript"/>
              </w:rPr>
              <w:t>a</w:t>
            </w:r>
          </w:p>
        </w:tc>
      </w:tr>
      <w:tr w:rsidR="00B42E03">
        <w:tc>
          <w:tcPr>
            <w:tcW w:w="2426" w:type="dxa"/>
            <w:vAlign w:val="center"/>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BUN (mg/dL)</w:t>
            </w:r>
          </w:p>
        </w:tc>
        <w:tc>
          <w:tcPr>
            <w:tcW w:w="2407"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9</w:t>
            </w:r>
            <w:r>
              <w:rPr>
                <w:rFonts w:ascii="Arial" w:hAnsi="Arial" w:cs="Arial"/>
                <w:color w:val="000000" w:themeColor="dark1"/>
                <w:sz w:val="20"/>
                <w:szCs w:val="20"/>
              </w:rPr>
              <w:t>.8</w:t>
            </w:r>
            <w:r>
              <w:rPr>
                <w:rFonts w:ascii="Arial" w:hAnsi="Arial" w:cs="Arial"/>
                <w:color w:val="000000" w:themeColor="dark1"/>
                <w:sz w:val="20"/>
                <w:szCs w:val="20"/>
                <w:lang w:val="en-IN"/>
              </w:rPr>
              <w:t>1</w:t>
            </w:r>
            <w:r>
              <w:rPr>
                <w:rFonts w:ascii="Arial" w:hAnsi="Arial" w:cs="Arial"/>
                <w:color w:val="000000" w:themeColor="dark1"/>
                <w:sz w:val="20"/>
                <w:szCs w:val="20"/>
              </w:rPr>
              <w:t>±</w:t>
            </w:r>
            <w:r>
              <w:rPr>
                <w:rFonts w:ascii="Arial" w:hAnsi="Arial" w:cs="Arial"/>
                <w:color w:val="000000" w:themeColor="dark1"/>
                <w:sz w:val="20"/>
                <w:szCs w:val="20"/>
                <w:lang w:val="en-IN"/>
              </w:rPr>
              <w:t>1</w:t>
            </w:r>
            <w:r>
              <w:rPr>
                <w:rFonts w:ascii="Arial" w:hAnsi="Arial" w:cs="Arial"/>
                <w:color w:val="000000" w:themeColor="dark1"/>
                <w:sz w:val="20"/>
                <w:szCs w:val="20"/>
              </w:rPr>
              <w:t>.</w:t>
            </w:r>
            <w:r>
              <w:rPr>
                <w:rFonts w:ascii="Arial" w:hAnsi="Arial" w:cs="Arial"/>
                <w:color w:val="000000" w:themeColor="dark1"/>
                <w:sz w:val="20"/>
                <w:szCs w:val="20"/>
                <w:lang w:val="en-IN"/>
              </w:rPr>
              <w:t>1</w:t>
            </w:r>
            <w:r>
              <w:rPr>
                <w:rFonts w:ascii="Arial" w:hAnsi="Arial" w:cs="Arial"/>
                <w:color w:val="000000" w:themeColor="dark1"/>
                <w:sz w:val="20"/>
                <w:szCs w:val="20"/>
              </w:rPr>
              <w:t>2</w:t>
            </w:r>
            <w:r>
              <w:rPr>
                <w:rFonts w:ascii="Arial" w:hAnsi="Arial" w:cs="Arial"/>
                <w:color w:val="000000" w:themeColor="dark1"/>
                <w:position w:val="10"/>
                <w:sz w:val="20"/>
                <w:szCs w:val="20"/>
                <w:vertAlign w:val="superscript"/>
              </w:rPr>
              <w:t>a</w:t>
            </w:r>
          </w:p>
        </w:tc>
        <w:tc>
          <w:tcPr>
            <w:tcW w:w="2698" w:type="dxa"/>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hAnsi="Arial" w:cs="Arial"/>
                <w:color w:val="000000" w:themeColor="dark1"/>
                <w:sz w:val="20"/>
                <w:szCs w:val="20"/>
              </w:rPr>
              <w:t>1</w:t>
            </w:r>
            <w:r>
              <w:rPr>
                <w:rFonts w:ascii="Arial" w:hAnsi="Arial" w:cs="Arial"/>
                <w:color w:val="000000" w:themeColor="dark1"/>
                <w:sz w:val="20"/>
                <w:szCs w:val="20"/>
                <w:lang w:val="en-IN"/>
              </w:rPr>
              <w:t>7</w:t>
            </w:r>
            <w:r>
              <w:rPr>
                <w:rFonts w:ascii="Arial" w:hAnsi="Arial" w:cs="Arial"/>
                <w:color w:val="000000" w:themeColor="dark1"/>
                <w:sz w:val="20"/>
                <w:szCs w:val="20"/>
              </w:rPr>
              <w:t>.20±</w:t>
            </w:r>
            <w:r>
              <w:rPr>
                <w:rFonts w:ascii="Arial" w:hAnsi="Arial" w:cs="Arial"/>
                <w:color w:val="000000" w:themeColor="dark1"/>
                <w:sz w:val="20"/>
                <w:szCs w:val="20"/>
                <w:lang w:val="en-IN"/>
              </w:rPr>
              <w:t>1</w:t>
            </w:r>
            <w:r>
              <w:rPr>
                <w:rFonts w:ascii="Arial" w:hAnsi="Arial" w:cs="Arial"/>
                <w:color w:val="000000" w:themeColor="dark1"/>
                <w:sz w:val="20"/>
                <w:szCs w:val="20"/>
              </w:rPr>
              <w:t>.</w:t>
            </w:r>
            <w:r>
              <w:rPr>
                <w:rFonts w:ascii="Arial" w:hAnsi="Arial" w:cs="Arial"/>
                <w:color w:val="000000" w:themeColor="dark1"/>
                <w:sz w:val="20"/>
                <w:szCs w:val="20"/>
                <w:lang w:val="en-IN"/>
              </w:rPr>
              <w:t>1</w:t>
            </w:r>
            <w:r>
              <w:rPr>
                <w:rFonts w:ascii="Arial" w:hAnsi="Arial" w:cs="Arial"/>
                <w:color w:val="000000" w:themeColor="dark1"/>
                <w:sz w:val="20"/>
                <w:szCs w:val="20"/>
              </w:rPr>
              <w:t>1</w:t>
            </w:r>
            <w:r>
              <w:rPr>
                <w:rFonts w:ascii="Arial" w:hAnsi="Arial" w:cs="Arial"/>
                <w:color w:val="000000" w:themeColor="dark1"/>
                <w:position w:val="10"/>
                <w:sz w:val="20"/>
                <w:szCs w:val="20"/>
                <w:vertAlign w:val="superscript"/>
              </w:rPr>
              <w:t>a</w:t>
            </w:r>
          </w:p>
        </w:tc>
      </w:tr>
      <w:tr w:rsidR="00B42E03">
        <w:tc>
          <w:tcPr>
            <w:tcW w:w="2426" w:type="dxa"/>
            <w:vAlign w:val="center"/>
          </w:tcPr>
          <w:p w:rsidR="00B42E03" w:rsidRDefault="006D1C76">
            <w:pPr>
              <w:pStyle w:val="ListParagraph"/>
              <w:ind w:left="0"/>
              <w:jc w:val="center"/>
              <w:rPr>
                <w:rFonts w:ascii="Arial" w:eastAsia="SimSun" w:hAnsi="Arial" w:cs="Arial"/>
                <w:b/>
                <w:bCs/>
                <w:color w:val="231F20"/>
                <w:sz w:val="20"/>
                <w:szCs w:val="20"/>
                <w:lang w:val="en-IN" w:eastAsia="zh-CN" w:bidi="ar"/>
              </w:rPr>
            </w:pPr>
            <w:r>
              <w:rPr>
                <w:rFonts w:ascii="Arial" w:eastAsia="SimSun" w:hAnsi="Arial" w:cs="Arial"/>
                <w:color w:val="231F20"/>
                <w:sz w:val="20"/>
                <w:szCs w:val="20"/>
                <w:lang w:val="en-IN" w:eastAsia="zh-CN" w:bidi="ar"/>
              </w:rPr>
              <w:t>Cholesterol (mg/dL)</w:t>
            </w:r>
          </w:p>
        </w:tc>
        <w:tc>
          <w:tcPr>
            <w:tcW w:w="2407" w:type="dxa"/>
          </w:tcPr>
          <w:p w:rsidR="00B42E03" w:rsidRDefault="006D1C76">
            <w:pPr>
              <w:pStyle w:val="ListParagraph"/>
              <w:ind w:left="0"/>
              <w:jc w:val="center"/>
              <w:rPr>
                <w:rFonts w:ascii="Arial" w:eastAsia="SimSun" w:hAnsi="Arial" w:cs="Arial"/>
                <w:b/>
                <w:bCs/>
                <w:color w:val="231F20"/>
                <w:sz w:val="20"/>
                <w:szCs w:val="20"/>
                <w:vertAlign w:val="superscript"/>
                <w:lang w:val="en-IN" w:eastAsia="zh-CN" w:bidi="ar"/>
              </w:rPr>
            </w:pPr>
            <w:r>
              <w:rPr>
                <w:rFonts w:ascii="Arial" w:hAnsi="Arial" w:cs="Arial"/>
                <w:color w:val="000000" w:themeColor="dark1"/>
                <w:sz w:val="20"/>
                <w:szCs w:val="20"/>
                <w:lang w:val="en-IN"/>
              </w:rPr>
              <w:t>6</w:t>
            </w:r>
            <w:r>
              <w:rPr>
                <w:rFonts w:ascii="Arial" w:hAnsi="Arial" w:cs="Arial"/>
                <w:color w:val="000000" w:themeColor="dark1"/>
                <w:sz w:val="20"/>
                <w:szCs w:val="20"/>
              </w:rPr>
              <w:t>4.87±</w:t>
            </w:r>
            <w:r>
              <w:rPr>
                <w:rFonts w:ascii="Arial" w:hAnsi="Arial" w:cs="Arial"/>
                <w:color w:val="000000" w:themeColor="dark1"/>
                <w:sz w:val="20"/>
                <w:szCs w:val="20"/>
                <w:lang w:val="en-IN"/>
              </w:rPr>
              <w:t>1</w:t>
            </w:r>
            <w:r>
              <w:rPr>
                <w:rFonts w:ascii="Arial" w:hAnsi="Arial" w:cs="Arial"/>
                <w:color w:val="000000" w:themeColor="dark1"/>
                <w:sz w:val="20"/>
                <w:szCs w:val="20"/>
              </w:rPr>
              <w:t>.</w:t>
            </w:r>
            <w:r>
              <w:rPr>
                <w:rFonts w:ascii="Arial" w:hAnsi="Arial" w:cs="Arial"/>
                <w:color w:val="000000" w:themeColor="dark1"/>
                <w:sz w:val="20"/>
                <w:szCs w:val="20"/>
                <w:lang w:val="en-IN"/>
              </w:rPr>
              <w:t>9</w:t>
            </w:r>
            <w:r>
              <w:rPr>
                <w:rFonts w:ascii="Arial" w:hAnsi="Arial" w:cs="Arial"/>
                <w:color w:val="000000" w:themeColor="dark1"/>
                <w:sz w:val="20"/>
                <w:szCs w:val="20"/>
              </w:rPr>
              <w:t>2</w:t>
            </w:r>
            <w:r>
              <w:rPr>
                <w:rFonts w:ascii="Arial" w:hAnsi="Arial" w:cs="Arial"/>
                <w:color w:val="000000" w:themeColor="dark1"/>
                <w:sz w:val="20"/>
                <w:szCs w:val="20"/>
                <w:vertAlign w:val="superscript"/>
                <w:lang w:val="en-IN"/>
              </w:rPr>
              <w:t>b</w:t>
            </w:r>
          </w:p>
        </w:tc>
        <w:tc>
          <w:tcPr>
            <w:tcW w:w="2698" w:type="dxa"/>
          </w:tcPr>
          <w:p w:rsidR="00B42E03" w:rsidRDefault="006D1C76">
            <w:pPr>
              <w:pStyle w:val="ListParagraph"/>
              <w:ind w:left="0"/>
              <w:jc w:val="center"/>
              <w:rPr>
                <w:rFonts w:ascii="Arial" w:eastAsia="SimSun" w:hAnsi="Arial" w:cs="Arial"/>
                <w:b/>
                <w:bCs/>
                <w:color w:val="231F20"/>
                <w:sz w:val="20"/>
                <w:szCs w:val="20"/>
                <w:vertAlign w:val="superscript"/>
                <w:lang w:val="en-IN" w:eastAsia="zh-CN" w:bidi="ar"/>
              </w:rPr>
            </w:pPr>
            <w:r>
              <w:rPr>
                <w:rFonts w:ascii="Arial" w:hAnsi="Arial" w:cs="Arial"/>
                <w:color w:val="000000" w:themeColor="dark1"/>
                <w:sz w:val="20"/>
                <w:szCs w:val="20"/>
                <w:lang w:val="en-IN"/>
              </w:rPr>
              <w:t>112</w:t>
            </w:r>
            <w:r>
              <w:rPr>
                <w:rFonts w:ascii="Arial" w:hAnsi="Arial" w:cs="Arial"/>
                <w:color w:val="000000" w:themeColor="dark1"/>
                <w:sz w:val="20"/>
                <w:szCs w:val="20"/>
              </w:rPr>
              <w:t>.</w:t>
            </w:r>
            <w:r>
              <w:rPr>
                <w:rFonts w:ascii="Arial" w:hAnsi="Arial" w:cs="Arial"/>
                <w:color w:val="000000" w:themeColor="dark1"/>
                <w:sz w:val="20"/>
                <w:szCs w:val="20"/>
                <w:lang w:val="en-IN"/>
              </w:rPr>
              <w:t>23</w:t>
            </w:r>
            <w:r>
              <w:rPr>
                <w:rFonts w:ascii="Arial" w:hAnsi="Arial" w:cs="Arial"/>
                <w:color w:val="000000" w:themeColor="dark1"/>
                <w:sz w:val="20"/>
                <w:szCs w:val="20"/>
              </w:rPr>
              <w:t>±</w:t>
            </w:r>
            <w:r>
              <w:rPr>
                <w:rFonts w:ascii="Arial" w:hAnsi="Arial" w:cs="Arial"/>
                <w:color w:val="000000" w:themeColor="dark1"/>
                <w:sz w:val="20"/>
                <w:szCs w:val="20"/>
                <w:lang w:val="en-IN"/>
              </w:rPr>
              <w:t>2.01</w:t>
            </w:r>
            <w:r>
              <w:rPr>
                <w:rFonts w:ascii="Arial" w:hAnsi="Arial" w:cs="Arial"/>
                <w:color w:val="000000" w:themeColor="dark1"/>
                <w:sz w:val="20"/>
                <w:szCs w:val="20"/>
                <w:vertAlign w:val="superscript"/>
                <w:lang w:val="en-IN"/>
              </w:rPr>
              <w:t>a</w:t>
            </w:r>
          </w:p>
        </w:tc>
      </w:tr>
    </w:tbl>
    <w:p w:rsidR="00B42E03" w:rsidRDefault="00B42E03">
      <w:pPr>
        <w:jc w:val="both"/>
        <w:rPr>
          <w:rFonts w:ascii="Arial" w:hAnsi="Arial" w:cs="Arial"/>
          <w:b/>
          <w:bCs/>
        </w:rPr>
      </w:pPr>
    </w:p>
    <w:p w:rsidR="00B42E03" w:rsidRDefault="006D1C76">
      <w:pPr>
        <w:ind w:firstLineChars="250" w:firstLine="450"/>
        <w:jc w:val="both"/>
        <w:rPr>
          <w:rFonts w:ascii="Arial" w:hAnsi="Arial" w:cs="Arial"/>
          <w:b/>
          <w:bCs/>
          <w:sz w:val="18"/>
          <w:szCs w:val="18"/>
        </w:rPr>
      </w:pPr>
      <w:r>
        <w:rPr>
          <w:rFonts w:ascii="Arial" w:hAnsi="Arial" w:cs="Arial"/>
          <w:b/>
          <w:bCs/>
          <w:sz w:val="18"/>
          <w:szCs w:val="18"/>
        </w:rPr>
        <w:t xml:space="preserve">Values bearing different superscripts in a row differ significantly (P&lt; 0.05) </w:t>
      </w:r>
    </w:p>
    <w:p w:rsidR="00B42E03" w:rsidRDefault="006D1C76">
      <w:pPr>
        <w:jc w:val="both"/>
        <w:rPr>
          <w:rFonts w:ascii="Arial" w:hAnsi="Arial" w:cs="Arial"/>
          <w:b/>
          <w:bCs/>
          <w:sz w:val="18"/>
          <w:szCs w:val="18"/>
        </w:rPr>
      </w:pPr>
      <w:r>
        <w:rPr>
          <w:rFonts w:ascii="Arial" w:hAnsi="Arial" w:cs="Arial"/>
          <w:b/>
          <w:bCs/>
          <w:sz w:val="18"/>
          <w:szCs w:val="18"/>
        </w:rPr>
        <w:t xml:space="preserve"> </w:t>
      </w:r>
      <w:r>
        <w:rPr>
          <w:rFonts w:ascii="Arial" w:hAnsi="Arial" w:cs="Arial"/>
          <w:b/>
          <w:bCs/>
          <w:sz w:val="18"/>
          <w:szCs w:val="18"/>
          <w:lang w:val="en-IN"/>
        </w:rPr>
        <w:t xml:space="preserve">        </w:t>
      </w:r>
      <w:r>
        <w:rPr>
          <w:rFonts w:ascii="Arial" w:hAnsi="Arial" w:cs="Arial"/>
          <w:b/>
          <w:bCs/>
          <w:sz w:val="18"/>
          <w:szCs w:val="18"/>
        </w:rPr>
        <w:t>Values bearing similar superscripts in a row did not differ significantly (P &gt;0.05)</w:t>
      </w:r>
    </w:p>
    <w:p w:rsidR="00B42E03" w:rsidRDefault="00B42E03">
      <w:pPr>
        <w:ind w:firstLineChars="850" w:firstLine="1700"/>
        <w:rPr>
          <w:rFonts w:ascii="Arial" w:eastAsia="Lato" w:hAnsi="Arial" w:cs="Arial"/>
          <w:color w:val="231F20"/>
          <w:lang w:val="en-IN" w:bidi="ar"/>
        </w:rPr>
      </w:pPr>
    </w:p>
    <w:p w:rsidR="00B42E03" w:rsidRDefault="00B42E03">
      <w:pPr>
        <w:ind w:firstLineChars="850" w:firstLine="1700"/>
        <w:rPr>
          <w:rFonts w:ascii="Arial" w:eastAsia="Lato" w:hAnsi="Arial" w:cs="Arial"/>
          <w:color w:val="231F20"/>
          <w:lang w:val="en-IN" w:bidi="ar"/>
        </w:rPr>
      </w:pPr>
    </w:p>
    <w:p w:rsidR="00B42E03" w:rsidRDefault="00B42E03">
      <w:pPr>
        <w:ind w:firstLineChars="850" w:firstLine="1700"/>
        <w:rPr>
          <w:rFonts w:ascii="Arial" w:eastAsia="Lato" w:hAnsi="Arial" w:cs="Arial"/>
          <w:color w:val="231F20"/>
          <w:lang w:val="en-IN" w:bidi="ar"/>
        </w:rPr>
      </w:pPr>
    </w:p>
    <w:p w:rsidR="00B42E03" w:rsidRDefault="00B42E03">
      <w:pPr>
        <w:ind w:firstLineChars="450" w:firstLine="904"/>
        <w:rPr>
          <w:rFonts w:ascii="Arial" w:eastAsia="Lato" w:hAnsi="Arial" w:cs="Arial"/>
          <w:b/>
          <w:bCs/>
          <w:color w:val="231F20"/>
          <w:lang w:val="en-IN" w:bidi="ar"/>
        </w:rPr>
      </w:pPr>
    </w:p>
    <w:p w:rsidR="00B42E03" w:rsidRDefault="006D1C76">
      <w:pPr>
        <w:rPr>
          <w:rFonts w:ascii="Arial" w:eastAsia="Lato" w:hAnsi="Arial" w:cs="Arial"/>
          <w:b/>
          <w:bCs/>
          <w:color w:val="231F20"/>
          <w:lang w:bidi="ar"/>
        </w:rPr>
      </w:pPr>
      <w:r>
        <w:rPr>
          <w:rFonts w:ascii="Arial" w:eastAsia="Lato" w:hAnsi="Arial" w:cs="Arial"/>
          <w:b/>
          <w:bCs/>
          <w:color w:val="231F20"/>
          <w:lang w:val="en-IN" w:bidi="ar"/>
        </w:rPr>
        <w:t xml:space="preserve">                    Table 3. </w:t>
      </w:r>
      <w:r>
        <w:rPr>
          <w:rFonts w:ascii="Arial" w:eastAsia="Lato" w:hAnsi="Arial" w:cs="Arial"/>
          <w:b/>
          <w:bCs/>
          <w:color w:val="231F20"/>
          <w:lang w:bidi="ar"/>
        </w:rPr>
        <w:t>Serum T</w:t>
      </w:r>
      <w:r>
        <w:rPr>
          <w:rFonts w:ascii="Cambria Math" w:eastAsia="Lato" w:hAnsi="Cambria Math" w:cs="Cambria Math"/>
          <w:b/>
          <w:bCs/>
          <w:color w:val="231F20"/>
          <w:lang w:bidi="ar"/>
        </w:rPr>
        <w:t>₃</w:t>
      </w:r>
      <w:r>
        <w:rPr>
          <w:rFonts w:ascii="Arial" w:eastAsia="Lato" w:hAnsi="Arial" w:cs="Arial"/>
          <w:b/>
          <w:bCs/>
          <w:color w:val="231F20"/>
          <w:lang w:bidi="ar"/>
        </w:rPr>
        <w:t>, T</w:t>
      </w:r>
      <w:r>
        <w:rPr>
          <w:rFonts w:ascii="Cambria Math" w:eastAsia="Lato" w:hAnsi="Cambria Math" w:cs="Cambria Math"/>
          <w:b/>
          <w:bCs/>
          <w:color w:val="231F20"/>
          <w:lang w:bidi="ar"/>
        </w:rPr>
        <w:t>₄</w:t>
      </w:r>
      <w:r>
        <w:rPr>
          <w:rFonts w:ascii="Arial" w:eastAsia="Lato" w:hAnsi="Arial" w:cs="Arial"/>
          <w:b/>
          <w:bCs/>
          <w:color w:val="231F20"/>
          <w:lang w:bidi="ar"/>
        </w:rPr>
        <w:t xml:space="preserve">, and TSH levels in </w:t>
      </w:r>
      <w:proofErr w:type="spellStart"/>
      <w:r>
        <w:rPr>
          <w:rFonts w:ascii="Arial" w:eastAsia="Lato" w:hAnsi="Arial" w:cs="Arial"/>
          <w:b/>
          <w:bCs/>
          <w:color w:val="231F20"/>
          <w:lang w:bidi="ar"/>
        </w:rPr>
        <w:t>goitre</w:t>
      </w:r>
      <w:proofErr w:type="spellEnd"/>
      <w:r>
        <w:rPr>
          <w:rFonts w:ascii="Arial" w:eastAsia="Lato" w:hAnsi="Arial" w:cs="Arial"/>
          <w:b/>
          <w:bCs/>
          <w:color w:val="231F20"/>
          <w:lang w:bidi="ar"/>
        </w:rPr>
        <w:t>-affected goat kids.</w:t>
      </w:r>
    </w:p>
    <w:p w:rsidR="00B42E03" w:rsidRDefault="00B42E03">
      <w:pPr>
        <w:ind w:firstLineChars="450" w:firstLine="900"/>
        <w:rPr>
          <w:rFonts w:ascii="Arial" w:eastAsia="SimSun" w:hAnsi="Arial" w:cs="Arial"/>
          <w:color w:val="231F20"/>
          <w:lang w:bidi="ar"/>
        </w:rPr>
      </w:pPr>
    </w:p>
    <w:tbl>
      <w:tblPr>
        <w:tblStyle w:val="TableGrid"/>
        <w:tblW w:w="0" w:type="auto"/>
        <w:tblLook w:val="04A0" w:firstRow="1" w:lastRow="0" w:firstColumn="1" w:lastColumn="0" w:noHBand="0" w:noVBand="1"/>
      </w:tblPr>
      <w:tblGrid>
        <w:gridCol w:w="2130"/>
        <w:gridCol w:w="2130"/>
        <w:gridCol w:w="1848"/>
        <w:gridCol w:w="2414"/>
      </w:tblGrid>
      <w:tr w:rsidR="00B42E03">
        <w:tc>
          <w:tcPr>
            <w:tcW w:w="2130" w:type="dxa"/>
          </w:tcPr>
          <w:p w:rsidR="00B42E03" w:rsidRDefault="006D1C76">
            <w:pPr>
              <w:widowControl/>
              <w:jc w:val="left"/>
              <w:rPr>
                <w:rFonts w:ascii="Arial" w:hAnsi="Arial" w:cs="Arial"/>
              </w:rPr>
            </w:pPr>
            <w:r>
              <w:rPr>
                <w:rFonts w:ascii="Arial" w:eastAsia="Lato-Bold" w:hAnsi="Arial" w:cs="Arial"/>
                <w:b/>
                <w:bCs/>
                <w:color w:val="231F20"/>
                <w:lang w:bidi="ar"/>
              </w:rPr>
              <w:t>Parameter</w:t>
            </w:r>
          </w:p>
          <w:p w:rsidR="00B42E03" w:rsidRDefault="00B42E03">
            <w:pPr>
              <w:widowControl/>
              <w:rPr>
                <w:rFonts w:ascii="Arial" w:eastAsia="SimSun" w:hAnsi="Arial" w:cs="Arial"/>
                <w:color w:val="231F20"/>
                <w:lang w:bidi="ar"/>
              </w:rPr>
            </w:pPr>
          </w:p>
        </w:tc>
        <w:tc>
          <w:tcPr>
            <w:tcW w:w="2130" w:type="dxa"/>
          </w:tcPr>
          <w:p w:rsidR="00B42E03" w:rsidRDefault="006D1C76">
            <w:pPr>
              <w:widowControl/>
              <w:ind w:left="402" w:hangingChars="200" w:hanging="402"/>
              <w:jc w:val="left"/>
              <w:rPr>
                <w:rFonts w:ascii="Arial" w:hAnsi="Arial" w:cs="Arial"/>
              </w:rPr>
            </w:pPr>
            <w:r>
              <w:rPr>
                <w:rFonts w:ascii="Arial" w:eastAsia="Lato-Bold" w:hAnsi="Arial" w:cs="Arial"/>
                <w:b/>
                <w:bCs/>
                <w:color w:val="231F20"/>
                <w:lang w:bidi="ar"/>
              </w:rPr>
              <w:t>Before treatment (</w:t>
            </w:r>
            <w:r>
              <w:rPr>
                <w:rFonts w:ascii="Arial" w:eastAsia="Lato-BoldItalic" w:hAnsi="Arial" w:cs="Arial"/>
                <w:b/>
                <w:bCs/>
                <w:i/>
                <w:iCs/>
                <w:color w:val="231F20"/>
                <w:lang w:bidi="ar"/>
              </w:rPr>
              <w:t>n</w:t>
            </w:r>
            <w:r>
              <w:rPr>
                <w:rFonts w:ascii="Arial" w:eastAsia="STIXTwoMath" w:hAnsi="Arial" w:cs="Arial"/>
                <w:color w:val="231F20"/>
                <w:lang w:bidi="ar"/>
              </w:rPr>
              <w:t xml:space="preserve">= </w:t>
            </w:r>
            <w:r>
              <w:rPr>
                <w:rFonts w:ascii="Arial" w:eastAsia="STIXTwoMath" w:hAnsi="Arial" w:cs="Arial"/>
                <w:color w:val="231F20"/>
                <w:lang w:val="en-IN" w:bidi="ar"/>
              </w:rPr>
              <w:t>18</w:t>
            </w:r>
            <w:r>
              <w:rPr>
                <w:rFonts w:ascii="Arial" w:eastAsia="Lato-Bold" w:hAnsi="Arial" w:cs="Arial"/>
                <w:b/>
                <w:bCs/>
                <w:color w:val="231F20"/>
                <w:lang w:bidi="ar"/>
              </w:rPr>
              <w:t>)</w:t>
            </w:r>
          </w:p>
          <w:p w:rsidR="00B42E03" w:rsidRDefault="00B42E03">
            <w:pPr>
              <w:widowControl/>
              <w:rPr>
                <w:rFonts w:ascii="Arial" w:eastAsia="SimSun" w:hAnsi="Arial" w:cs="Arial"/>
                <w:color w:val="231F20"/>
                <w:lang w:bidi="ar"/>
              </w:rPr>
            </w:pPr>
          </w:p>
        </w:tc>
        <w:tc>
          <w:tcPr>
            <w:tcW w:w="1848" w:type="dxa"/>
          </w:tcPr>
          <w:p w:rsidR="00B42E03" w:rsidRDefault="006D1C76">
            <w:pPr>
              <w:widowControl/>
              <w:jc w:val="left"/>
              <w:rPr>
                <w:rFonts w:ascii="Arial" w:eastAsia="Lato-Bold" w:hAnsi="Arial" w:cs="Arial"/>
                <w:b/>
                <w:bCs/>
                <w:color w:val="231F20"/>
                <w:lang w:bidi="ar"/>
              </w:rPr>
            </w:pPr>
            <w:r>
              <w:rPr>
                <w:rFonts w:ascii="Arial" w:eastAsia="Lato-Bold" w:hAnsi="Arial" w:cs="Arial"/>
                <w:b/>
                <w:bCs/>
                <w:color w:val="231F20"/>
                <w:lang w:bidi="ar"/>
              </w:rPr>
              <w:t xml:space="preserve">After treatment </w:t>
            </w:r>
          </w:p>
          <w:p w:rsidR="00B42E03" w:rsidRDefault="006D1C76">
            <w:pPr>
              <w:widowControl/>
              <w:ind w:firstLineChars="150" w:firstLine="301"/>
              <w:jc w:val="left"/>
              <w:rPr>
                <w:rFonts w:ascii="Arial" w:hAnsi="Arial" w:cs="Arial"/>
              </w:rPr>
            </w:pPr>
            <w:r>
              <w:rPr>
                <w:rFonts w:ascii="Arial" w:eastAsia="Lato-Bold" w:hAnsi="Arial" w:cs="Arial"/>
                <w:b/>
                <w:bCs/>
                <w:color w:val="231F20"/>
                <w:lang w:bidi="ar"/>
              </w:rPr>
              <w:t>(</w:t>
            </w:r>
            <w:r>
              <w:rPr>
                <w:rFonts w:ascii="Arial" w:eastAsia="Lato-BoldItalic" w:hAnsi="Arial" w:cs="Arial"/>
                <w:b/>
                <w:bCs/>
                <w:i/>
                <w:iCs/>
                <w:color w:val="231F20"/>
                <w:lang w:bidi="ar"/>
              </w:rPr>
              <w:t xml:space="preserve">n </w:t>
            </w:r>
            <w:r>
              <w:rPr>
                <w:rFonts w:ascii="Arial" w:eastAsia="STIXTwoMath" w:hAnsi="Arial" w:cs="Arial"/>
                <w:color w:val="231F20"/>
                <w:lang w:bidi="ar"/>
              </w:rPr>
              <w:t>=</w:t>
            </w:r>
            <w:r>
              <w:rPr>
                <w:rFonts w:ascii="Arial" w:eastAsia="STIXTwoMath" w:hAnsi="Arial" w:cs="Arial"/>
                <w:color w:val="231F20"/>
                <w:lang w:val="en-IN" w:bidi="ar"/>
              </w:rPr>
              <w:t>18</w:t>
            </w:r>
            <w:r>
              <w:rPr>
                <w:rFonts w:ascii="Arial" w:eastAsia="Lato-Bold" w:hAnsi="Arial" w:cs="Arial"/>
                <w:b/>
                <w:bCs/>
                <w:color w:val="231F20"/>
                <w:lang w:bidi="ar"/>
              </w:rPr>
              <w:t>)</w:t>
            </w:r>
          </w:p>
          <w:p w:rsidR="00B42E03" w:rsidRDefault="00B42E03">
            <w:pPr>
              <w:widowControl/>
              <w:rPr>
                <w:rFonts w:ascii="Arial" w:eastAsia="SimSun" w:hAnsi="Arial" w:cs="Arial"/>
                <w:color w:val="231F20"/>
                <w:lang w:bidi="ar"/>
              </w:rPr>
            </w:pPr>
          </w:p>
        </w:tc>
        <w:tc>
          <w:tcPr>
            <w:tcW w:w="2414" w:type="dxa"/>
          </w:tcPr>
          <w:p w:rsidR="00B42E03" w:rsidRDefault="006D1C76">
            <w:pPr>
              <w:widowControl/>
              <w:jc w:val="left"/>
              <w:rPr>
                <w:rFonts w:ascii="Arial" w:hAnsi="Arial" w:cs="Arial"/>
                <w:vertAlign w:val="superscript"/>
                <w:lang w:val="en-IN"/>
              </w:rPr>
            </w:pPr>
            <w:r>
              <w:rPr>
                <w:rFonts w:ascii="Arial" w:eastAsia="Lato-Bold" w:hAnsi="Arial" w:cs="Arial"/>
                <w:b/>
                <w:bCs/>
                <w:color w:val="231F20"/>
                <w:lang w:bidi="ar"/>
              </w:rPr>
              <w:t>Reference intervals</w:t>
            </w:r>
            <w:r>
              <w:rPr>
                <w:rFonts w:ascii="Arial" w:eastAsia="Lato-Bold" w:hAnsi="Arial" w:cs="Arial"/>
                <w:b/>
                <w:bCs/>
                <w:color w:val="231F20"/>
                <w:vertAlign w:val="superscript"/>
                <w:lang w:val="en-IN" w:bidi="ar"/>
              </w:rPr>
              <w:t>*</w:t>
            </w:r>
          </w:p>
          <w:p w:rsidR="00B42E03" w:rsidRDefault="00B42E03">
            <w:pPr>
              <w:widowControl/>
              <w:rPr>
                <w:rFonts w:ascii="Arial" w:eastAsia="SimSun" w:hAnsi="Arial" w:cs="Arial"/>
                <w:color w:val="231F20"/>
                <w:lang w:bidi="ar"/>
              </w:rPr>
            </w:pPr>
          </w:p>
        </w:tc>
      </w:tr>
      <w:tr w:rsidR="00B42E03">
        <w:tc>
          <w:tcPr>
            <w:tcW w:w="2130" w:type="dxa"/>
          </w:tcPr>
          <w:p w:rsidR="00B42E03" w:rsidRDefault="006D1C76">
            <w:pPr>
              <w:widowControl/>
              <w:jc w:val="left"/>
              <w:rPr>
                <w:rFonts w:ascii="Arial" w:hAnsi="Arial" w:cs="Arial"/>
              </w:rPr>
            </w:pPr>
            <w:r>
              <w:rPr>
                <w:rFonts w:ascii="Arial" w:eastAsia="Lato" w:hAnsi="Arial" w:cs="Arial"/>
                <w:color w:val="231F20"/>
                <w:lang w:bidi="ar"/>
              </w:rPr>
              <w:t>T3 (ng/dl)</w:t>
            </w:r>
          </w:p>
          <w:p w:rsidR="00B42E03" w:rsidRDefault="00B42E03">
            <w:pPr>
              <w:widowControl/>
              <w:rPr>
                <w:rFonts w:ascii="Arial" w:eastAsia="SimSun" w:hAnsi="Arial" w:cs="Arial"/>
                <w:color w:val="231F20"/>
                <w:lang w:bidi="ar"/>
              </w:rPr>
            </w:pPr>
          </w:p>
        </w:tc>
        <w:tc>
          <w:tcPr>
            <w:tcW w:w="2130" w:type="dxa"/>
          </w:tcPr>
          <w:p w:rsidR="00B42E03" w:rsidRDefault="006D1C76">
            <w:pPr>
              <w:widowControl/>
              <w:jc w:val="left"/>
              <w:rPr>
                <w:rFonts w:ascii="Arial" w:hAnsi="Arial" w:cs="Arial"/>
                <w:vertAlign w:val="superscript"/>
                <w:lang w:val="en-IN"/>
              </w:rPr>
            </w:pPr>
            <w:r>
              <w:rPr>
                <w:rFonts w:ascii="Arial" w:eastAsia="Lato" w:hAnsi="Arial" w:cs="Arial"/>
                <w:color w:val="231F20"/>
                <w:lang w:bidi="ar"/>
              </w:rPr>
              <w:t>1</w:t>
            </w:r>
            <w:r>
              <w:rPr>
                <w:rFonts w:ascii="Arial" w:eastAsia="Lato" w:hAnsi="Arial" w:cs="Arial"/>
                <w:color w:val="231F20"/>
                <w:lang w:val="en-IN" w:bidi="ar"/>
              </w:rPr>
              <w:t>18</w:t>
            </w:r>
            <w:r>
              <w:rPr>
                <w:rFonts w:ascii="Arial" w:eastAsia="Lato" w:hAnsi="Arial" w:cs="Arial"/>
                <w:color w:val="231F20"/>
                <w:lang w:bidi="ar"/>
              </w:rPr>
              <w:t>.</w:t>
            </w:r>
            <w:r>
              <w:rPr>
                <w:rFonts w:ascii="Arial" w:eastAsia="Lato" w:hAnsi="Arial" w:cs="Arial"/>
                <w:color w:val="231F20"/>
                <w:lang w:val="en-IN" w:bidi="ar"/>
              </w:rPr>
              <w:t>3</w:t>
            </w:r>
            <w:r>
              <w:rPr>
                <w:rFonts w:ascii="Arial" w:eastAsia="Lato" w:hAnsi="Arial" w:cs="Arial"/>
                <w:color w:val="231F20"/>
                <w:lang w:bidi="ar"/>
              </w:rPr>
              <w:t>1</w:t>
            </w:r>
            <w:r>
              <w:rPr>
                <w:rFonts w:ascii="Arial" w:eastAsia="STIXTwoMath" w:hAnsi="Arial" w:cs="Arial"/>
                <w:color w:val="231F20"/>
                <w:lang w:bidi="ar"/>
              </w:rPr>
              <w:t xml:space="preserve">± </w:t>
            </w:r>
            <w:r>
              <w:rPr>
                <w:rFonts w:ascii="Arial" w:eastAsia="STIXTwoMath" w:hAnsi="Arial" w:cs="Arial"/>
                <w:color w:val="231F20"/>
                <w:lang w:val="en-IN" w:bidi="ar"/>
              </w:rPr>
              <w:t>9</w:t>
            </w:r>
            <w:r>
              <w:rPr>
                <w:rFonts w:ascii="Arial" w:eastAsia="Lato" w:hAnsi="Arial" w:cs="Arial"/>
                <w:color w:val="231F20"/>
                <w:lang w:bidi="ar"/>
              </w:rPr>
              <w:t>.7</w:t>
            </w:r>
            <w:r>
              <w:rPr>
                <w:rFonts w:ascii="Arial" w:eastAsia="Lato" w:hAnsi="Arial" w:cs="Arial"/>
                <w:color w:val="231F20"/>
                <w:lang w:val="en-IN" w:bidi="ar"/>
              </w:rPr>
              <w:t>9</w:t>
            </w:r>
            <w:r>
              <w:rPr>
                <w:rFonts w:ascii="Arial" w:eastAsia="Lato" w:hAnsi="Arial" w:cs="Arial"/>
                <w:color w:val="231F20"/>
                <w:vertAlign w:val="superscript"/>
                <w:lang w:val="en-IN" w:bidi="ar"/>
              </w:rPr>
              <w:t>b</w:t>
            </w:r>
          </w:p>
          <w:p w:rsidR="00B42E03" w:rsidRDefault="00B42E03">
            <w:pPr>
              <w:widowControl/>
              <w:rPr>
                <w:rFonts w:ascii="Arial" w:eastAsia="SimSun" w:hAnsi="Arial" w:cs="Arial"/>
                <w:color w:val="231F20"/>
                <w:lang w:bidi="ar"/>
              </w:rPr>
            </w:pPr>
          </w:p>
        </w:tc>
        <w:tc>
          <w:tcPr>
            <w:tcW w:w="1848" w:type="dxa"/>
          </w:tcPr>
          <w:p w:rsidR="00B42E03" w:rsidRDefault="006D1C76">
            <w:pPr>
              <w:widowControl/>
              <w:jc w:val="left"/>
              <w:rPr>
                <w:rFonts w:ascii="Arial" w:hAnsi="Arial" w:cs="Arial"/>
                <w:vertAlign w:val="superscript"/>
                <w:lang w:val="en-IN"/>
              </w:rPr>
            </w:pPr>
            <w:r>
              <w:rPr>
                <w:rFonts w:ascii="Arial" w:eastAsia="Lato" w:hAnsi="Arial" w:cs="Arial"/>
                <w:color w:val="231F20"/>
                <w:lang w:bidi="ar"/>
              </w:rPr>
              <w:t>2</w:t>
            </w:r>
            <w:r>
              <w:rPr>
                <w:rFonts w:ascii="Arial" w:eastAsia="Lato" w:hAnsi="Arial" w:cs="Arial"/>
                <w:color w:val="231F20"/>
                <w:lang w:val="en-IN" w:bidi="ar"/>
              </w:rPr>
              <w:t>63</w:t>
            </w:r>
            <w:r>
              <w:rPr>
                <w:rFonts w:ascii="Arial" w:eastAsia="Lato" w:hAnsi="Arial" w:cs="Arial"/>
                <w:color w:val="231F20"/>
                <w:lang w:bidi="ar"/>
              </w:rPr>
              <w:t>.81</w:t>
            </w:r>
            <w:r>
              <w:rPr>
                <w:rFonts w:ascii="Arial" w:eastAsia="STIXTwoMath" w:hAnsi="Arial" w:cs="Arial"/>
                <w:color w:val="231F20"/>
                <w:lang w:bidi="ar"/>
              </w:rPr>
              <w:t xml:space="preserve">± </w:t>
            </w:r>
            <w:r>
              <w:rPr>
                <w:rFonts w:ascii="Arial" w:eastAsia="STIXTwoMath" w:hAnsi="Arial" w:cs="Arial"/>
                <w:color w:val="231F20"/>
                <w:lang w:val="en-IN" w:bidi="ar"/>
              </w:rPr>
              <w:t>6</w:t>
            </w:r>
            <w:r>
              <w:rPr>
                <w:rFonts w:ascii="Arial" w:eastAsia="Lato" w:hAnsi="Arial" w:cs="Arial"/>
                <w:color w:val="231F20"/>
                <w:lang w:bidi="ar"/>
              </w:rPr>
              <w:t>.7</w:t>
            </w:r>
            <w:r>
              <w:rPr>
                <w:rFonts w:ascii="Arial" w:eastAsia="Lato" w:hAnsi="Arial" w:cs="Arial"/>
                <w:color w:val="231F20"/>
                <w:lang w:val="en-IN" w:bidi="ar"/>
              </w:rPr>
              <w:t>9</w:t>
            </w:r>
            <w:r>
              <w:rPr>
                <w:rFonts w:ascii="Arial" w:eastAsia="Lato" w:hAnsi="Arial" w:cs="Arial"/>
                <w:color w:val="231F20"/>
                <w:vertAlign w:val="superscript"/>
                <w:lang w:val="en-IN" w:bidi="ar"/>
              </w:rPr>
              <w:t>a</w:t>
            </w:r>
          </w:p>
          <w:p w:rsidR="00B42E03" w:rsidRDefault="00B42E03">
            <w:pPr>
              <w:widowControl/>
              <w:rPr>
                <w:rFonts w:ascii="Arial" w:eastAsia="SimSun" w:hAnsi="Arial" w:cs="Arial"/>
                <w:color w:val="231F20"/>
                <w:lang w:bidi="ar"/>
              </w:rPr>
            </w:pPr>
          </w:p>
        </w:tc>
        <w:tc>
          <w:tcPr>
            <w:tcW w:w="2414" w:type="dxa"/>
          </w:tcPr>
          <w:p w:rsidR="00B42E03" w:rsidRDefault="006D1C76">
            <w:pPr>
              <w:widowControl/>
              <w:jc w:val="left"/>
              <w:rPr>
                <w:rFonts w:ascii="Arial" w:hAnsi="Arial" w:cs="Arial"/>
              </w:rPr>
            </w:pPr>
            <w:r>
              <w:rPr>
                <w:rFonts w:ascii="Arial" w:eastAsia="Lato" w:hAnsi="Arial" w:cs="Arial"/>
                <w:color w:val="231F20"/>
                <w:lang w:bidi="ar"/>
              </w:rPr>
              <w:t xml:space="preserve">282 </w:t>
            </w:r>
            <w:r>
              <w:rPr>
                <w:rFonts w:ascii="Arial" w:eastAsia="STIXTwoMath" w:hAnsi="Arial" w:cs="Arial"/>
                <w:color w:val="231F20"/>
                <w:lang w:bidi="ar"/>
              </w:rPr>
              <w:t xml:space="preserve">± </w:t>
            </w:r>
            <w:r>
              <w:rPr>
                <w:rFonts w:ascii="Arial" w:eastAsia="Lato" w:hAnsi="Arial" w:cs="Arial"/>
                <w:color w:val="231F20"/>
                <w:lang w:bidi="ar"/>
              </w:rPr>
              <w:t>1.01</w:t>
            </w:r>
          </w:p>
          <w:p w:rsidR="00B42E03" w:rsidRDefault="00B42E03">
            <w:pPr>
              <w:widowControl/>
              <w:rPr>
                <w:rFonts w:ascii="Arial" w:eastAsia="SimSun" w:hAnsi="Arial" w:cs="Arial"/>
                <w:color w:val="231F20"/>
                <w:lang w:bidi="ar"/>
              </w:rPr>
            </w:pPr>
          </w:p>
        </w:tc>
      </w:tr>
      <w:tr w:rsidR="00B42E03">
        <w:tc>
          <w:tcPr>
            <w:tcW w:w="2130" w:type="dxa"/>
          </w:tcPr>
          <w:p w:rsidR="00B42E03" w:rsidRDefault="006D1C76">
            <w:pPr>
              <w:widowControl/>
              <w:jc w:val="left"/>
              <w:rPr>
                <w:rFonts w:ascii="Arial" w:hAnsi="Arial" w:cs="Arial"/>
              </w:rPr>
            </w:pPr>
            <w:r>
              <w:rPr>
                <w:rFonts w:ascii="Arial" w:eastAsia="Lato" w:hAnsi="Arial" w:cs="Arial"/>
                <w:color w:val="231F20"/>
                <w:lang w:bidi="ar"/>
              </w:rPr>
              <w:t>T4 (</w:t>
            </w:r>
            <w:r>
              <w:rPr>
                <w:rFonts w:ascii="Arial" w:eastAsia="STIXTwoText-Italic" w:hAnsi="Arial" w:cs="Arial"/>
                <w:i/>
                <w:iCs/>
                <w:color w:val="231F20"/>
                <w:lang w:bidi="ar"/>
              </w:rPr>
              <w:t>µ</w:t>
            </w:r>
            <w:r>
              <w:rPr>
                <w:rFonts w:ascii="Arial" w:eastAsia="Lato" w:hAnsi="Arial" w:cs="Arial"/>
                <w:color w:val="231F20"/>
                <w:lang w:bidi="ar"/>
              </w:rPr>
              <w:t>g/dl)</w:t>
            </w:r>
          </w:p>
          <w:p w:rsidR="00B42E03" w:rsidRDefault="00B42E03">
            <w:pPr>
              <w:widowControl/>
              <w:rPr>
                <w:rFonts w:ascii="Arial" w:eastAsia="SimSun" w:hAnsi="Arial" w:cs="Arial"/>
                <w:color w:val="231F20"/>
                <w:lang w:bidi="ar"/>
              </w:rPr>
            </w:pPr>
          </w:p>
        </w:tc>
        <w:tc>
          <w:tcPr>
            <w:tcW w:w="2130" w:type="dxa"/>
          </w:tcPr>
          <w:p w:rsidR="00B42E03" w:rsidRDefault="006D1C76">
            <w:pPr>
              <w:widowControl/>
              <w:jc w:val="left"/>
              <w:rPr>
                <w:rFonts w:ascii="Arial" w:hAnsi="Arial" w:cs="Arial"/>
                <w:vertAlign w:val="superscript"/>
                <w:lang w:val="en-IN"/>
              </w:rPr>
            </w:pPr>
            <w:r>
              <w:rPr>
                <w:rFonts w:ascii="Arial" w:eastAsia="Lato" w:hAnsi="Arial" w:cs="Arial"/>
                <w:color w:val="231F20"/>
                <w:lang w:val="en-IN" w:bidi="ar"/>
              </w:rPr>
              <w:t>4</w:t>
            </w:r>
            <w:r>
              <w:rPr>
                <w:rFonts w:ascii="Arial" w:eastAsia="Lato" w:hAnsi="Arial" w:cs="Arial"/>
                <w:color w:val="231F20"/>
                <w:lang w:bidi="ar"/>
              </w:rPr>
              <w:t xml:space="preserve">.49 </w:t>
            </w:r>
            <w:r>
              <w:rPr>
                <w:rFonts w:ascii="Arial" w:eastAsia="STIXTwoMath" w:hAnsi="Arial" w:cs="Arial"/>
                <w:color w:val="231F20"/>
                <w:lang w:bidi="ar"/>
              </w:rPr>
              <w:t xml:space="preserve">± </w:t>
            </w:r>
            <w:r>
              <w:rPr>
                <w:rFonts w:ascii="Arial" w:eastAsia="Lato" w:hAnsi="Arial" w:cs="Arial"/>
                <w:color w:val="231F20"/>
                <w:lang w:bidi="ar"/>
              </w:rPr>
              <w:t>0.</w:t>
            </w:r>
            <w:r>
              <w:rPr>
                <w:rFonts w:ascii="Arial" w:eastAsia="Lato" w:hAnsi="Arial" w:cs="Arial"/>
                <w:color w:val="231F20"/>
                <w:lang w:val="en-IN" w:bidi="ar"/>
              </w:rPr>
              <w:t>4</w:t>
            </w:r>
            <w:r>
              <w:rPr>
                <w:rFonts w:ascii="Arial" w:eastAsia="Lato" w:hAnsi="Arial" w:cs="Arial"/>
                <w:color w:val="231F20"/>
                <w:lang w:bidi="ar"/>
              </w:rPr>
              <w:t>7</w:t>
            </w:r>
            <w:r>
              <w:rPr>
                <w:rFonts w:ascii="Arial" w:eastAsia="Lato" w:hAnsi="Arial" w:cs="Arial"/>
                <w:color w:val="231F20"/>
                <w:vertAlign w:val="superscript"/>
                <w:lang w:val="en-IN" w:bidi="ar"/>
              </w:rPr>
              <w:t>b</w:t>
            </w:r>
          </w:p>
          <w:p w:rsidR="00B42E03" w:rsidRDefault="00B42E03">
            <w:pPr>
              <w:widowControl/>
              <w:rPr>
                <w:rFonts w:ascii="Arial" w:eastAsia="SimSun" w:hAnsi="Arial" w:cs="Arial"/>
                <w:color w:val="231F20"/>
                <w:lang w:bidi="ar"/>
              </w:rPr>
            </w:pPr>
          </w:p>
        </w:tc>
        <w:tc>
          <w:tcPr>
            <w:tcW w:w="1848" w:type="dxa"/>
          </w:tcPr>
          <w:p w:rsidR="00B42E03" w:rsidRDefault="006D1C76">
            <w:pPr>
              <w:widowControl/>
              <w:jc w:val="left"/>
              <w:rPr>
                <w:rFonts w:ascii="Arial" w:hAnsi="Arial" w:cs="Arial"/>
                <w:vertAlign w:val="superscript"/>
                <w:lang w:val="en-IN"/>
              </w:rPr>
            </w:pPr>
            <w:r>
              <w:rPr>
                <w:rFonts w:ascii="Arial" w:eastAsia="Lato" w:hAnsi="Arial" w:cs="Arial"/>
                <w:color w:val="231F20"/>
                <w:lang w:val="en-IN" w:bidi="ar"/>
              </w:rPr>
              <w:t>8</w:t>
            </w:r>
            <w:r>
              <w:rPr>
                <w:rFonts w:ascii="Arial" w:eastAsia="Lato" w:hAnsi="Arial" w:cs="Arial"/>
                <w:color w:val="231F20"/>
                <w:lang w:bidi="ar"/>
              </w:rPr>
              <w:t>.</w:t>
            </w:r>
            <w:r>
              <w:rPr>
                <w:rFonts w:ascii="Arial" w:eastAsia="Lato" w:hAnsi="Arial" w:cs="Arial"/>
                <w:color w:val="231F20"/>
                <w:lang w:val="en-IN" w:bidi="ar"/>
              </w:rPr>
              <w:t>1</w:t>
            </w:r>
            <w:r>
              <w:rPr>
                <w:rFonts w:ascii="Arial" w:eastAsia="Lato" w:hAnsi="Arial" w:cs="Arial"/>
                <w:color w:val="231F20"/>
                <w:lang w:bidi="ar"/>
              </w:rPr>
              <w:t xml:space="preserve">9 </w:t>
            </w:r>
            <w:r>
              <w:rPr>
                <w:rFonts w:ascii="Arial" w:eastAsia="STIXTwoMath" w:hAnsi="Arial" w:cs="Arial"/>
                <w:color w:val="231F20"/>
                <w:lang w:bidi="ar"/>
              </w:rPr>
              <w:t xml:space="preserve">± </w:t>
            </w:r>
            <w:r>
              <w:rPr>
                <w:rFonts w:ascii="Arial" w:eastAsia="Lato" w:hAnsi="Arial" w:cs="Arial"/>
                <w:color w:val="231F20"/>
                <w:lang w:bidi="ar"/>
              </w:rPr>
              <w:t>0.</w:t>
            </w:r>
            <w:r>
              <w:rPr>
                <w:rFonts w:ascii="Arial" w:eastAsia="Lato" w:hAnsi="Arial" w:cs="Arial"/>
                <w:color w:val="231F20"/>
                <w:lang w:val="en-IN" w:bidi="ar"/>
              </w:rPr>
              <w:t>78</w:t>
            </w:r>
            <w:r>
              <w:rPr>
                <w:rFonts w:ascii="Arial" w:eastAsia="Lato" w:hAnsi="Arial" w:cs="Arial"/>
                <w:color w:val="231F20"/>
                <w:vertAlign w:val="superscript"/>
                <w:lang w:val="en-IN" w:bidi="ar"/>
              </w:rPr>
              <w:t>a</w:t>
            </w:r>
          </w:p>
          <w:p w:rsidR="00B42E03" w:rsidRDefault="00B42E03">
            <w:pPr>
              <w:widowControl/>
              <w:rPr>
                <w:rFonts w:ascii="Arial" w:eastAsia="SimSun" w:hAnsi="Arial" w:cs="Arial"/>
                <w:color w:val="231F20"/>
                <w:lang w:bidi="ar"/>
              </w:rPr>
            </w:pPr>
          </w:p>
        </w:tc>
        <w:tc>
          <w:tcPr>
            <w:tcW w:w="2414" w:type="dxa"/>
          </w:tcPr>
          <w:p w:rsidR="00B42E03" w:rsidRDefault="006D1C76">
            <w:pPr>
              <w:widowControl/>
              <w:jc w:val="left"/>
              <w:rPr>
                <w:rFonts w:ascii="Arial" w:hAnsi="Arial" w:cs="Arial"/>
              </w:rPr>
            </w:pPr>
            <w:r>
              <w:rPr>
                <w:rFonts w:ascii="Arial" w:eastAsia="Lato" w:hAnsi="Arial" w:cs="Arial"/>
                <w:color w:val="231F20"/>
                <w:lang w:bidi="ar"/>
              </w:rPr>
              <w:t xml:space="preserve">8.65 </w:t>
            </w:r>
            <w:r>
              <w:rPr>
                <w:rFonts w:ascii="Arial" w:eastAsia="STIXTwoMath" w:hAnsi="Arial" w:cs="Arial"/>
                <w:color w:val="231F20"/>
                <w:lang w:bidi="ar"/>
              </w:rPr>
              <w:t xml:space="preserve">± </w:t>
            </w:r>
            <w:r>
              <w:rPr>
                <w:rFonts w:ascii="Arial" w:eastAsia="Lato" w:hAnsi="Arial" w:cs="Arial"/>
                <w:color w:val="231F20"/>
                <w:lang w:bidi="ar"/>
              </w:rPr>
              <w:t>1.86</w:t>
            </w:r>
          </w:p>
          <w:p w:rsidR="00B42E03" w:rsidRDefault="00B42E03">
            <w:pPr>
              <w:widowControl/>
              <w:rPr>
                <w:rFonts w:ascii="Arial" w:eastAsia="SimSun" w:hAnsi="Arial" w:cs="Arial"/>
                <w:color w:val="231F20"/>
                <w:lang w:bidi="ar"/>
              </w:rPr>
            </w:pPr>
          </w:p>
        </w:tc>
      </w:tr>
      <w:tr w:rsidR="00B42E03">
        <w:tc>
          <w:tcPr>
            <w:tcW w:w="2130" w:type="dxa"/>
          </w:tcPr>
          <w:p w:rsidR="00B42E03" w:rsidRDefault="006D1C76">
            <w:pPr>
              <w:widowControl/>
              <w:jc w:val="left"/>
              <w:rPr>
                <w:rFonts w:ascii="Arial" w:hAnsi="Arial" w:cs="Arial"/>
              </w:rPr>
            </w:pPr>
            <w:r>
              <w:rPr>
                <w:rFonts w:ascii="Arial" w:eastAsia="Lato" w:hAnsi="Arial" w:cs="Arial"/>
                <w:color w:val="231F20"/>
                <w:lang w:bidi="ar"/>
              </w:rPr>
              <w:t>TSH (</w:t>
            </w:r>
            <w:r>
              <w:rPr>
                <w:rFonts w:ascii="Arial" w:eastAsia="STIXTwoText-Italic" w:hAnsi="Arial" w:cs="Arial"/>
                <w:i/>
                <w:iCs/>
                <w:color w:val="231F20"/>
                <w:lang w:bidi="ar"/>
              </w:rPr>
              <w:t>µ</w:t>
            </w:r>
            <w:r>
              <w:rPr>
                <w:rFonts w:ascii="Arial" w:eastAsia="Lato" w:hAnsi="Arial" w:cs="Arial"/>
                <w:color w:val="231F20"/>
                <w:lang w:bidi="ar"/>
              </w:rPr>
              <w:t>IU/ml)</w:t>
            </w:r>
          </w:p>
          <w:p w:rsidR="00B42E03" w:rsidRDefault="00B42E03">
            <w:pPr>
              <w:widowControl/>
              <w:rPr>
                <w:rFonts w:ascii="Arial" w:eastAsia="SimSun" w:hAnsi="Arial" w:cs="Arial"/>
                <w:color w:val="231F20"/>
                <w:lang w:bidi="ar"/>
              </w:rPr>
            </w:pPr>
          </w:p>
        </w:tc>
        <w:tc>
          <w:tcPr>
            <w:tcW w:w="2130" w:type="dxa"/>
          </w:tcPr>
          <w:p w:rsidR="00B42E03" w:rsidRDefault="006D1C76">
            <w:pPr>
              <w:widowControl/>
              <w:jc w:val="left"/>
              <w:rPr>
                <w:rFonts w:ascii="Arial" w:hAnsi="Arial" w:cs="Arial"/>
                <w:vertAlign w:val="superscript"/>
                <w:lang w:val="en-IN"/>
              </w:rPr>
            </w:pPr>
            <w:r>
              <w:rPr>
                <w:rFonts w:ascii="Arial" w:eastAsia="Lato" w:hAnsi="Arial" w:cs="Arial"/>
                <w:color w:val="231F20"/>
                <w:lang w:bidi="ar"/>
              </w:rPr>
              <w:t>0.0</w:t>
            </w:r>
            <w:r>
              <w:rPr>
                <w:rFonts w:ascii="Arial" w:eastAsia="Lato" w:hAnsi="Arial" w:cs="Arial"/>
                <w:color w:val="231F20"/>
                <w:lang w:val="en-IN" w:bidi="ar"/>
              </w:rPr>
              <w:t>23</w:t>
            </w:r>
            <w:r>
              <w:rPr>
                <w:rFonts w:ascii="Arial" w:eastAsia="STIXTwoMath" w:hAnsi="Arial" w:cs="Arial"/>
                <w:color w:val="231F20"/>
                <w:lang w:bidi="ar"/>
              </w:rPr>
              <w:t xml:space="preserve">± </w:t>
            </w:r>
            <w:r>
              <w:rPr>
                <w:rFonts w:ascii="Arial" w:eastAsia="Lato" w:hAnsi="Arial" w:cs="Arial"/>
                <w:color w:val="231F20"/>
                <w:lang w:bidi="ar"/>
              </w:rPr>
              <w:t>0.</w:t>
            </w:r>
            <w:r>
              <w:rPr>
                <w:rFonts w:ascii="Arial" w:eastAsia="Lato" w:hAnsi="Arial" w:cs="Arial"/>
                <w:color w:val="231F20"/>
                <w:lang w:val="en-IN" w:bidi="ar"/>
              </w:rPr>
              <w:t>23</w:t>
            </w:r>
            <w:r>
              <w:rPr>
                <w:rFonts w:ascii="Arial" w:eastAsia="Lato" w:hAnsi="Arial" w:cs="Arial"/>
                <w:color w:val="231F20"/>
                <w:vertAlign w:val="superscript"/>
                <w:lang w:val="en-IN" w:bidi="ar"/>
              </w:rPr>
              <w:t>a</w:t>
            </w:r>
          </w:p>
          <w:p w:rsidR="00B42E03" w:rsidRDefault="00B42E03">
            <w:pPr>
              <w:widowControl/>
              <w:rPr>
                <w:rFonts w:ascii="Arial" w:eastAsia="SimSun" w:hAnsi="Arial" w:cs="Arial"/>
                <w:color w:val="231F20"/>
                <w:lang w:bidi="ar"/>
              </w:rPr>
            </w:pPr>
          </w:p>
        </w:tc>
        <w:tc>
          <w:tcPr>
            <w:tcW w:w="1848" w:type="dxa"/>
          </w:tcPr>
          <w:p w:rsidR="00B42E03" w:rsidRDefault="006D1C76">
            <w:pPr>
              <w:widowControl/>
              <w:jc w:val="left"/>
              <w:rPr>
                <w:rFonts w:ascii="Arial" w:hAnsi="Arial" w:cs="Arial"/>
                <w:vertAlign w:val="superscript"/>
                <w:lang w:val="en-IN"/>
              </w:rPr>
            </w:pPr>
            <w:r>
              <w:rPr>
                <w:rFonts w:ascii="Arial" w:eastAsia="Lato" w:hAnsi="Arial" w:cs="Arial"/>
                <w:color w:val="231F20"/>
                <w:lang w:bidi="ar"/>
              </w:rPr>
              <w:t>0.01</w:t>
            </w:r>
            <w:r>
              <w:rPr>
                <w:rFonts w:ascii="Arial" w:eastAsia="Lato" w:hAnsi="Arial" w:cs="Arial"/>
                <w:color w:val="231F20"/>
                <w:lang w:val="en-IN" w:bidi="ar"/>
              </w:rPr>
              <w:t>4</w:t>
            </w:r>
            <w:r>
              <w:rPr>
                <w:rFonts w:ascii="Arial" w:eastAsia="STIXTwoMath" w:hAnsi="Arial" w:cs="Arial"/>
                <w:color w:val="231F20"/>
                <w:lang w:bidi="ar"/>
              </w:rPr>
              <w:t xml:space="preserve">± </w:t>
            </w:r>
            <w:r>
              <w:rPr>
                <w:rFonts w:ascii="Arial" w:eastAsia="Lato" w:hAnsi="Arial" w:cs="Arial"/>
                <w:color w:val="231F20"/>
                <w:lang w:bidi="ar"/>
              </w:rPr>
              <w:t>0.</w:t>
            </w:r>
            <w:r>
              <w:rPr>
                <w:rFonts w:ascii="Arial" w:eastAsia="Lato" w:hAnsi="Arial" w:cs="Arial"/>
                <w:color w:val="231F20"/>
                <w:lang w:val="en-IN" w:bidi="ar"/>
              </w:rPr>
              <w:t>11</w:t>
            </w:r>
            <w:r>
              <w:rPr>
                <w:rFonts w:ascii="Arial" w:eastAsia="Lato" w:hAnsi="Arial" w:cs="Arial"/>
                <w:color w:val="231F20"/>
                <w:vertAlign w:val="superscript"/>
                <w:lang w:val="en-IN" w:bidi="ar"/>
              </w:rPr>
              <w:t>b</w:t>
            </w:r>
          </w:p>
          <w:p w:rsidR="00B42E03" w:rsidRDefault="00B42E03">
            <w:pPr>
              <w:widowControl/>
              <w:rPr>
                <w:rFonts w:ascii="Arial" w:eastAsia="SimSun" w:hAnsi="Arial" w:cs="Arial"/>
                <w:color w:val="231F20"/>
                <w:lang w:bidi="ar"/>
              </w:rPr>
            </w:pPr>
          </w:p>
        </w:tc>
        <w:tc>
          <w:tcPr>
            <w:tcW w:w="2414" w:type="dxa"/>
          </w:tcPr>
          <w:p w:rsidR="00B42E03" w:rsidRDefault="006D1C76">
            <w:pPr>
              <w:widowControl/>
              <w:jc w:val="left"/>
              <w:rPr>
                <w:rFonts w:ascii="Arial" w:hAnsi="Arial" w:cs="Arial"/>
              </w:rPr>
            </w:pPr>
            <w:r>
              <w:rPr>
                <w:rFonts w:ascii="Arial" w:eastAsia="Lato" w:hAnsi="Arial" w:cs="Arial"/>
                <w:color w:val="231F20"/>
                <w:lang w:bidi="ar"/>
              </w:rPr>
              <w:t>0.01–0.10</w:t>
            </w:r>
          </w:p>
          <w:p w:rsidR="00B42E03" w:rsidRDefault="00B42E03">
            <w:pPr>
              <w:widowControl/>
              <w:rPr>
                <w:rFonts w:ascii="Arial" w:eastAsia="SimSun" w:hAnsi="Arial" w:cs="Arial"/>
                <w:color w:val="231F20"/>
                <w:lang w:bidi="ar"/>
              </w:rPr>
            </w:pPr>
          </w:p>
        </w:tc>
      </w:tr>
    </w:tbl>
    <w:p w:rsidR="00B42E03" w:rsidRDefault="00B42E03">
      <w:pPr>
        <w:ind w:firstLine="720"/>
        <w:jc w:val="both"/>
        <w:rPr>
          <w:rFonts w:ascii="Arial" w:eastAsia="SimSun" w:hAnsi="Arial" w:cs="Arial"/>
          <w:color w:val="231F20"/>
          <w:lang w:bidi="ar"/>
        </w:rPr>
      </w:pPr>
    </w:p>
    <w:p w:rsidR="00B42E03" w:rsidRDefault="006D1C76">
      <w:pPr>
        <w:rPr>
          <w:rFonts w:ascii="Arial" w:eastAsia="Lato-Bold" w:hAnsi="Arial" w:cs="Arial"/>
          <w:color w:val="000000" w:themeColor="text1"/>
          <w:lang w:bidi="ar"/>
        </w:rPr>
      </w:pPr>
      <w:r>
        <w:rPr>
          <w:rFonts w:ascii="Arial" w:eastAsia="SimSun" w:hAnsi="Arial" w:cs="Arial"/>
          <w:color w:val="231F20"/>
          <w:sz w:val="22"/>
          <w:szCs w:val="22"/>
          <w:lang w:val="en-IN" w:bidi="ar"/>
        </w:rPr>
        <w:t xml:space="preserve">                         </w:t>
      </w:r>
      <w:r>
        <w:rPr>
          <w:rFonts w:ascii="Arial" w:eastAsia="SimSun" w:hAnsi="Arial" w:cs="Arial"/>
          <w:color w:val="231F20"/>
          <w:lang w:val="en-IN" w:bidi="ar"/>
        </w:rPr>
        <w:t>(*</w:t>
      </w:r>
      <w:proofErr w:type="spellStart"/>
      <w:r>
        <w:rPr>
          <w:rFonts w:ascii="Arial" w:eastAsia="SimSun" w:hAnsi="Arial" w:cs="Arial"/>
          <w:color w:val="231F20"/>
          <w:lang w:val="en-IN" w:bidi="ar"/>
        </w:rPr>
        <w:t>Refrence</w:t>
      </w:r>
      <w:proofErr w:type="spellEnd"/>
      <w:r>
        <w:rPr>
          <w:rFonts w:ascii="Arial" w:eastAsia="SimSun" w:hAnsi="Arial" w:cs="Arial"/>
          <w:color w:val="231F20"/>
          <w:lang w:val="en-IN" w:bidi="ar"/>
        </w:rPr>
        <w:t xml:space="preserve"> intervals taken from </w:t>
      </w:r>
      <w:proofErr w:type="spellStart"/>
      <w:r>
        <w:rPr>
          <w:rFonts w:ascii="Arial" w:eastAsia="Lato-Bold" w:hAnsi="Arial" w:cs="Arial"/>
          <w:color w:val="231F20"/>
          <w:lang w:bidi="ar"/>
        </w:rPr>
        <w:t>Paulíkova</w:t>
      </w:r>
      <w:proofErr w:type="spellEnd"/>
      <w:r>
        <w:rPr>
          <w:rFonts w:ascii="Arial" w:eastAsia="Lato-Bold" w:hAnsi="Arial" w:cs="Arial"/>
          <w:color w:val="231F20"/>
          <w:lang w:bidi="ar"/>
        </w:rPr>
        <w:t xml:space="preserve"> </w:t>
      </w:r>
      <w:r>
        <w:rPr>
          <w:rFonts w:ascii="Arial" w:eastAsia="Lato-Bold" w:hAnsi="Arial" w:cs="Arial"/>
          <w:i/>
          <w:iCs/>
          <w:color w:val="231F20"/>
          <w:lang w:bidi="ar"/>
        </w:rPr>
        <w:t>et al.,</w:t>
      </w:r>
      <w:r>
        <w:rPr>
          <w:rFonts w:ascii="Arial" w:eastAsia="Lato-Bold" w:hAnsi="Arial" w:cs="Arial"/>
          <w:color w:val="231F20"/>
          <w:lang w:bidi="ar"/>
        </w:rPr>
        <w:t xml:space="preserve"> </w:t>
      </w:r>
      <w:r>
        <w:rPr>
          <w:rFonts w:ascii="Arial" w:eastAsia="Lato-Bold" w:hAnsi="Arial" w:cs="Arial"/>
          <w:color w:val="000000" w:themeColor="text1"/>
          <w:lang w:bidi="ar"/>
        </w:rPr>
        <w:t>2011)</w:t>
      </w:r>
    </w:p>
    <w:p w:rsidR="00B42E03" w:rsidRDefault="006D1C76">
      <w:pPr>
        <w:rPr>
          <w:rFonts w:ascii="Arial" w:eastAsia="Lato-Bold" w:hAnsi="Arial" w:cs="Arial"/>
          <w:b/>
          <w:bCs/>
          <w:color w:val="000000" w:themeColor="text1"/>
          <w:sz w:val="22"/>
          <w:szCs w:val="22"/>
          <w:lang w:bidi="ar"/>
        </w:rPr>
      </w:pPr>
      <w:r>
        <w:rPr>
          <w:rFonts w:ascii="Arial" w:eastAsia="Lato-Bold" w:hAnsi="Arial" w:cs="Arial"/>
          <w:b/>
          <w:bCs/>
          <w:color w:val="000000" w:themeColor="text1"/>
          <w:sz w:val="22"/>
          <w:szCs w:val="22"/>
          <w:lang w:bidi="ar"/>
        </w:rPr>
        <w:lastRenderedPageBreak/>
        <w:t xml:space="preserve">                           Figure 4: Imaging findings in </w:t>
      </w:r>
      <w:proofErr w:type="spellStart"/>
      <w:r>
        <w:rPr>
          <w:rFonts w:ascii="Arial" w:eastAsia="Lato-Bold" w:hAnsi="Arial" w:cs="Arial"/>
          <w:b/>
          <w:bCs/>
          <w:color w:val="000000" w:themeColor="text1"/>
          <w:sz w:val="22"/>
          <w:szCs w:val="22"/>
          <w:lang w:bidi="ar"/>
        </w:rPr>
        <w:t>goitre</w:t>
      </w:r>
      <w:proofErr w:type="spellEnd"/>
      <w:r>
        <w:rPr>
          <w:rFonts w:ascii="Arial" w:eastAsia="Lato-Bold" w:hAnsi="Arial" w:cs="Arial"/>
          <w:b/>
          <w:bCs/>
          <w:color w:val="000000" w:themeColor="text1"/>
          <w:sz w:val="22"/>
          <w:szCs w:val="22"/>
          <w:lang w:bidi="ar"/>
        </w:rPr>
        <w:t xml:space="preserve"> affected goats </w:t>
      </w:r>
    </w:p>
    <w:p w:rsidR="00B42E03" w:rsidRDefault="00B42E03">
      <w:pPr>
        <w:rPr>
          <w:rFonts w:ascii="Arial" w:eastAsia="Lato-Bold" w:hAnsi="Arial" w:cs="Arial"/>
          <w:b/>
          <w:bCs/>
          <w:color w:val="000000" w:themeColor="text1"/>
          <w:sz w:val="22"/>
          <w:szCs w:val="22"/>
          <w:lang w:bidi="ar"/>
        </w:rPr>
      </w:pPr>
    </w:p>
    <w:tbl>
      <w:tblPr>
        <w:tblStyle w:val="TableGrid"/>
        <w:tblW w:w="10207" w:type="dxa"/>
        <w:tblInd w:w="-743" w:type="dxa"/>
        <w:tblLook w:val="04A0" w:firstRow="1" w:lastRow="0" w:firstColumn="1" w:lastColumn="0" w:noHBand="0" w:noVBand="1"/>
      </w:tblPr>
      <w:tblGrid>
        <w:gridCol w:w="5387"/>
        <w:gridCol w:w="4820"/>
      </w:tblGrid>
      <w:tr w:rsidR="00B42E03">
        <w:tc>
          <w:tcPr>
            <w:tcW w:w="5387" w:type="dxa"/>
          </w:tcPr>
          <w:p w:rsidR="00B42E03" w:rsidRDefault="006D1C76">
            <w:pPr>
              <w:rPr>
                <w:rFonts w:ascii="Arial" w:hAnsi="Arial" w:cs="Arial"/>
                <w:b/>
                <w:bCs/>
                <w:color w:val="000000" w:themeColor="text1"/>
                <w:sz w:val="22"/>
                <w:szCs w:val="22"/>
              </w:rPr>
            </w:pPr>
            <w:r>
              <w:rPr>
                <w:noProof/>
                <w:sz w:val="36"/>
                <w:szCs w:val="36"/>
                <w:lang w:val="en-IN"/>
              </w:rPr>
              <w:drawing>
                <wp:inline distT="0" distB="0" distL="0" distR="0">
                  <wp:extent cx="2880360" cy="2113915"/>
                  <wp:effectExtent l="76200" t="76200" r="129540" b="133985"/>
                  <wp:docPr id="1351615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15312"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16322" t="18952" r="14463"/>
                          <a:stretch>
                            <a:fillRect/>
                          </a:stretch>
                        </pic:blipFill>
                        <pic:spPr>
                          <a:xfrm>
                            <a:off x="0" y="0"/>
                            <a:ext cx="2910408" cy="213610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4820" w:type="dxa"/>
          </w:tcPr>
          <w:p w:rsidR="00B42E03" w:rsidRDefault="006D1C76">
            <w:pPr>
              <w:rPr>
                <w:rFonts w:ascii="Arial" w:hAnsi="Arial" w:cs="Arial"/>
                <w:b/>
                <w:bCs/>
                <w:color w:val="000000" w:themeColor="text1"/>
                <w:sz w:val="22"/>
                <w:szCs w:val="22"/>
              </w:rPr>
            </w:pPr>
            <w:r>
              <w:rPr>
                <w:rFonts w:ascii="Arial" w:eastAsia="SimSun" w:hAnsi="Arial" w:cs="Arial"/>
                <w:i/>
                <w:iCs/>
                <w:noProof/>
                <w:color w:val="231F20"/>
                <w:sz w:val="18"/>
                <w:szCs w:val="18"/>
                <w:lang w:val="en-IN" w:bidi="ar"/>
              </w:rPr>
              <w:drawing>
                <wp:inline distT="0" distB="0" distL="0" distR="0">
                  <wp:extent cx="2443480" cy="2113915"/>
                  <wp:effectExtent l="76200" t="76200" r="128270" b="133985"/>
                  <wp:docPr id="10230720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72067"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l="25003" t="16672" r="23987" b="24473"/>
                          <a:stretch>
                            <a:fillRect/>
                          </a:stretch>
                        </pic:blipFill>
                        <pic:spPr>
                          <a:xfrm>
                            <a:off x="0" y="0"/>
                            <a:ext cx="2448068" cy="211788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r>
      <w:tr w:rsidR="00B42E03">
        <w:tc>
          <w:tcPr>
            <w:tcW w:w="5387" w:type="dxa"/>
          </w:tcPr>
          <w:p w:rsidR="00B42E03" w:rsidRDefault="006D1C76">
            <w:pPr>
              <w:rPr>
                <w:rFonts w:ascii="Arial" w:hAnsi="Arial" w:cs="Arial"/>
                <w:color w:val="000000" w:themeColor="text1"/>
              </w:rPr>
            </w:pPr>
            <w:proofErr w:type="spellStart"/>
            <w:r>
              <w:rPr>
                <w:rFonts w:ascii="Arial" w:hAnsi="Arial" w:cs="Arial"/>
                <w:color w:val="000000" w:themeColor="text1"/>
              </w:rPr>
              <w:t>Skiagram</w:t>
            </w:r>
            <w:proofErr w:type="spellEnd"/>
            <w:r>
              <w:rPr>
                <w:rFonts w:ascii="Arial" w:hAnsi="Arial" w:cs="Arial"/>
                <w:color w:val="000000" w:themeColor="text1"/>
              </w:rPr>
              <w:t xml:space="preserve"> showing increased soft tissue opacity at ventral neck region </w:t>
            </w:r>
          </w:p>
        </w:tc>
        <w:tc>
          <w:tcPr>
            <w:tcW w:w="4820" w:type="dxa"/>
          </w:tcPr>
          <w:p w:rsidR="00B42E03" w:rsidRDefault="006D1C76">
            <w:pPr>
              <w:rPr>
                <w:rFonts w:ascii="Arial" w:hAnsi="Arial" w:cs="Arial"/>
                <w:color w:val="000000" w:themeColor="text1"/>
              </w:rPr>
            </w:pPr>
            <w:r>
              <w:rPr>
                <w:rFonts w:ascii="Arial" w:hAnsi="Arial" w:cs="Arial"/>
                <w:color w:val="000000" w:themeColor="text1"/>
              </w:rPr>
              <w:t>Sonogram showing a hyperechoic appearance of the thyroid gland.</w:t>
            </w:r>
          </w:p>
        </w:tc>
      </w:tr>
    </w:tbl>
    <w:p w:rsidR="00B42E03" w:rsidRDefault="00B42E03">
      <w:pPr>
        <w:rPr>
          <w:rFonts w:ascii="Arial" w:hAnsi="Arial" w:cs="Arial"/>
          <w:b/>
          <w:bCs/>
          <w:color w:val="000000" w:themeColor="text1"/>
          <w:sz w:val="22"/>
          <w:szCs w:val="22"/>
        </w:rPr>
      </w:pPr>
    </w:p>
    <w:tbl>
      <w:tblPr>
        <w:tblStyle w:val="TableGrid"/>
        <w:tblW w:w="10542" w:type="dxa"/>
        <w:tblInd w:w="-743" w:type="dxa"/>
        <w:tblLook w:val="04A0" w:firstRow="1" w:lastRow="0" w:firstColumn="1" w:lastColumn="0" w:noHBand="0" w:noVBand="1"/>
      </w:tblPr>
      <w:tblGrid>
        <w:gridCol w:w="5316"/>
        <w:gridCol w:w="5226"/>
      </w:tblGrid>
      <w:tr w:rsidR="00B42E03">
        <w:trPr>
          <w:trHeight w:val="3282"/>
        </w:trPr>
        <w:tc>
          <w:tcPr>
            <w:tcW w:w="5346" w:type="dxa"/>
          </w:tcPr>
          <w:p w:rsidR="00B42E03" w:rsidRDefault="006D1C76">
            <w:pPr>
              <w:rPr>
                <w:rFonts w:ascii="Arial" w:hAnsi="Arial" w:cs="Arial"/>
                <w:b/>
                <w:bCs/>
                <w:color w:val="000000" w:themeColor="text1"/>
                <w:sz w:val="22"/>
                <w:szCs w:val="22"/>
              </w:rPr>
            </w:pPr>
            <w:r>
              <w:rPr>
                <w:rFonts w:ascii="Arial" w:eastAsia="SimSun" w:hAnsi="Arial" w:cs="Arial"/>
                <w:noProof/>
              </w:rPr>
              <w:drawing>
                <wp:inline distT="0" distB="0" distL="0" distR="0">
                  <wp:extent cx="2916555" cy="1922145"/>
                  <wp:effectExtent l="76200" t="76200" r="131445" b="135255"/>
                  <wp:docPr id="496541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41495"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l="15212" t="12863" r="6581" b="7106"/>
                          <a:stretch>
                            <a:fillRect/>
                          </a:stretch>
                        </pic:blipFill>
                        <pic:spPr>
                          <a:xfrm>
                            <a:off x="0" y="0"/>
                            <a:ext cx="2944777" cy="194033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5196" w:type="dxa"/>
          </w:tcPr>
          <w:p w:rsidR="00B42E03" w:rsidRDefault="006D1C76">
            <w:r>
              <w:rPr>
                <w:noProof/>
              </w:rPr>
              <w:drawing>
                <wp:inline distT="0" distB="0" distL="0" distR="0">
                  <wp:extent cx="2980055" cy="1931035"/>
                  <wp:effectExtent l="76200" t="76200" r="125095" b="126365"/>
                  <wp:docPr id="1283576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76103" name="Picture 8"/>
                          <pic:cNvPicPr>
                            <a:picLocks noChangeAspect="1"/>
                          </pic:cNvPicPr>
                        </pic:nvPicPr>
                        <pic:blipFill>
                          <a:blip r:embed="rId25" cstate="print">
                            <a:extLst>
                              <a:ext uri="{28A0092B-C50C-407E-A947-70E740481C1C}">
                                <a14:useLocalDpi xmlns:a14="http://schemas.microsoft.com/office/drawing/2010/main" val="0"/>
                              </a:ext>
                            </a:extLst>
                          </a:blip>
                          <a:srcRect t="29524" r="5477" b="36047"/>
                          <a:stretch>
                            <a:fillRect/>
                          </a:stretch>
                        </pic:blipFill>
                        <pic:spPr>
                          <a:xfrm>
                            <a:off x="0" y="0"/>
                            <a:ext cx="3018746" cy="195610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B42E03">
        <w:trPr>
          <w:trHeight w:val="1012"/>
        </w:trPr>
        <w:tc>
          <w:tcPr>
            <w:tcW w:w="5346" w:type="dxa"/>
          </w:tcPr>
          <w:p w:rsidR="00B42E03" w:rsidRDefault="006D1C76">
            <w:pPr>
              <w:rPr>
                <w:rFonts w:ascii="Arial" w:hAnsi="Arial" w:cs="Arial"/>
                <w:color w:val="000000" w:themeColor="text1"/>
              </w:rPr>
            </w:pPr>
            <w:r>
              <w:rPr>
                <w:rFonts w:ascii="Arial" w:hAnsi="Arial" w:cs="Arial"/>
                <w:b/>
                <w:bCs/>
                <w:color w:val="000000" w:themeColor="text1"/>
                <w:sz w:val="22"/>
                <w:szCs w:val="22"/>
              </w:rPr>
              <w:t xml:space="preserve"> </w:t>
            </w:r>
            <w:r>
              <w:rPr>
                <w:rFonts w:ascii="Arial" w:hAnsi="Arial" w:cs="Arial"/>
                <w:color w:val="000000" w:themeColor="text1"/>
              </w:rPr>
              <w:t>Sonogram showing an enlarged left lobe of the thyroid gland measuring 3.59 cm in length and 2.36 cm in width, suggestive of thyroid gland hypertrophy.</w:t>
            </w:r>
          </w:p>
        </w:tc>
        <w:tc>
          <w:tcPr>
            <w:tcW w:w="5196" w:type="dxa"/>
          </w:tcPr>
          <w:p w:rsidR="00B42E03" w:rsidRDefault="006D1C76">
            <w:pPr>
              <w:rPr>
                <w:rFonts w:ascii="Arial" w:hAnsi="Arial" w:cs="Arial"/>
                <w:color w:val="000000" w:themeColor="text1"/>
              </w:rPr>
            </w:pPr>
            <w:r>
              <w:rPr>
                <w:rFonts w:ascii="Arial" w:hAnsi="Arial" w:cs="Arial"/>
                <w:color w:val="000000" w:themeColor="text1"/>
                <w:sz w:val="22"/>
                <w:szCs w:val="22"/>
              </w:rPr>
              <w:t xml:space="preserve"> </w:t>
            </w:r>
            <w:r>
              <w:rPr>
                <w:rFonts w:ascii="Arial" w:hAnsi="Arial" w:cs="Arial"/>
                <w:color w:val="000000" w:themeColor="text1"/>
              </w:rPr>
              <w:t>Sonogram showing enlargement of the right lobe of the thyroid gland measuring 3.37 cm in length and 1.86 cm in width, suggestive of thyroid gland hypertrophy.</w:t>
            </w:r>
          </w:p>
        </w:tc>
      </w:tr>
      <w:tr w:rsidR="00B42E03">
        <w:trPr>
          <w:trHeight w:val="3654"/>
        </w:trPr>
        <w:tc>
          <w:tcPr>
            <w:tcW w:w="5346" w:type="dxa"/>
          </w:tcPr>
          <w:p w:rsidR="00B42E03" w:rsidRDefault="006D1C76">
            <w:pPr>
              <w:rPr>
                <w:rFonts w:ascii="Arial" w:hAnsi="Arial" w:cs="Arial"/>
                <w:b/>
                <w:bCs/>
                <w:color w:val="000000" w:themeColor="text1"/>
                <w:sz w:val="22"/>
                <w:szCs w:val="22"/>
              </w:rPr>
            </w:pPr>
            <w:r>
              <w:rPr>
                <w:noProof/>
                <w:lang w:val="en-IN"/>
              </w:rPr>
              <w:drawing>
                <wp:inline distT="0" distB="0" distL="0" distR="0">
                  <wp:extent cx="2916555" cy="2205355"/>
                  <wp:effectExtent l="76200" t="76200" r="131445" b="137795"/>
                  <wp:docPr id="778513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1346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l="19627" t="28998" r="17429" b="7540"/>
                          <a:stretch>
                            <a:fillRect/>
                          </a:stretch>
                        </pic:blipFill>
                        <pic:spPr>
                          <a:xfrm>
                            <a:off x="0" y="0"/>
                            <a:ext cx="2931961" cy="221759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tc>
        <w:tc>
          <w:tcPr>
            <w:tcW w:w="5196" w:type="dxa"/>
          </w:tcPr>
          <w:p w:rsidR="00B42E03" w:rsidRDefault="006D1C76">
            <w:pPr>
              <w:rPr>
                <w:sz w:val="36"/>
                <w:szCs w:val="36"/>
                <w:lang w:val="en-IN"/>
              </w:rPr>
            </w:pPr>
            <w:r>
              <w:rPr>
                <w:rFonts w:ascii="Arial" w:eastAsia="SimSun" w:hAnsi="Arial" w:cs="Arial"/>
                <w:noProof/>
                <w:color w:val="231F20"/>
                <w:lang w:val="en-IN" w:bidi="ar"/>
              </w:rPr>
              <w:drawing>
                <wp:inline distT="0" distB="0" distL="0" distR="0">
                  <wp:extent cx="2907030" cy="2205355"/>
                  <wp:effectExtent l="76200" t="76200" r="140970" b="137795"/>
                  <wp:docPr id="10287873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87388"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l="28714" t="20948" r="7717" b="14768"/>
                          <a:stretch>
                            <a:fillRect/>
                          </a:stretch>
                        </pic:blipFill>
                        <pic:spPr>
                          <a:xfrm>
                            <a:off x="0" y="0"/>
                            <a:ext cx="2915730" cy="221164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r>
      <w:tr w:rsidR="00B42E03">
        <w:trPr>
          <w:trHeight w:val="452"/>
        </w:trPr>
        <w:tc>
          <w:tcPr>
            <w:tcW w:w="5346" w:type="dxa"/>
          </w:tcPr>
          <w:p w:rsidR="00B42E03" w:rsidRDefault="006D1C76">
            <w:pPr>
              <w:rPr>
                <w:rFonts w:ascii="Arial" w:hAnsi="Arial" w:cs="Arial"/>
                <w:color w:val="000000" w:themeColor="text1"/>
              </w:rPr>
            </w:pPr>
            <w:r>
              <w:rPr>
                <w:rFonts w:ascii="Arial" w:hAnsi="Arial" w:cs="Arial"/>
                <w:color w:val="000000" w:themeColor="text1"/>
              </w:rPr>
              <w:t xml:space="preserve">Sonogram showing </w:t>
            </w:r>
            <w:r>
              <w:rPr>
                <w:rStyle w:val="Strong"/>
                <w:rFonts w:ascii="Arial" w:hAnsi="Arial" w:cs="Arial"/>
                <w:b w:val="0"/>
                <w:bCs w:val="0"/>
              </w:rPr>
              <w:t>heterogeneous echotexture with hypoechoic areas within the thyroid</w:t>
            </w:r>
            <w:r>
              <w:rPr>
                <w:rStyle w:val="Strong"/>
                <w:b w:val="0"/>
                <w:bCs w:val="0"/>
              </w:rPr>
              <w:t xml:space="preserve"> </w:t>
            </w:r>
            <w:r>
              <w:rPr>
                <w:rStyle w:val="Strong"/>
                <w:rFonts w:ascii="Arial" w:hAnsi="Arial" w:cs="Arial"/>
                <w:b w:val="0"/>
                <w:bCs w:val="0"/>
              </w:rPr>
              <w:t>gland</w:t>
            </w:r>
          </w:p>
        </w:tc>
        <w:tc>
          <w:tcPr>
            <w:tcW w:w="5196" w:type="dxa"/>
          </w:tcPr>
          <w:p w:rsidR="00B42E03" w:rsidRDefault="006D1C76">
            <w:pPr>
              <w:rPr>
                <w:rFonts w:ascii="Arial" w:hAnsi="Arial" w:cs="Arial"/>
                <w:color w:val="000000" w:themeColor="text1"/>
              </w:rPr>
            </w:pPr>
            <w:r>
              <w:rPr>
                <w:rFonts w:ascii="Arial" w:hAnsi="Arial" w:cs="Arial"/>
                <w:color w:val="000000" w:themeColor="text1"/>
              </w:rPr>
              <w:t xml:space="preserve">Sonogram showing a heterogeneous echotexture of the thyroid gland with increased </w:t>
            </w:r>
            <w:proofErr w:type="gramStart"/>
            <w:r>
              <w:rPr>
                <w:rFonts w:ascii="Arial" w:hAnsi="Arial" w:cs="Arial"/>
                <w:color w:val="000000" w:themeColor="text1"/>
              </w:rPr>
              <w:t>vascularity.</w:t>
            </w:r>
            <w:r>
              <w:rPr>
                <w:rStyle w:val="Strong"/>
                <w:rFonts w:ascii="Arial" w:hAnsi="Arial" w:cs="Arial"/>
                <w:b w:val="0"/>
                <w:bCs w:val="0"/>
              </w:rPr>
              <w:t>.</w:t>
            </w:r>
            <w:proofErr w:type="gramEnd"/>
          </w:p>
        </w:tc>
      </w:tr>
    </w:tbl>
    <w:p w:rsidR="00B42E03" w:rsidRDefault="00B42E03">
      <w:pPr>
        <w:rPr>
          <w:rFonts w:ascii="Arial" w:eastAsia="SimSun" w:hAnsi="Arial" w:cs="Arial"/>
          <w:b/>
          <w:bCs/>
          <w:color w:val="231F20"/>
          <w:sz w:val="18"/>
          <w:szCs w:val="18"/>
          <w:lang w:val="en-IN" w:bidi="ar"/>
        </w:rPr>
        <w:sectPr w:rsidR="00B42E03">
          <w:pgSz w:w="11906" w:h="16838"/>
          <w:pgMar w:top="1440" w:right="1800" w:bottom="1440" w:left="1800" w:header="720" w:footer="720" w:gutter="0"/>
          <w:cols w:space="720"/>
          <w:docGrid w:linePitch="360"/>
        </w:sectPr>
      </w:pPr>
    </w:p>
    <w:p w:rsidR="00B42E03" w:rsidRDefault="006D1C76">
      <w:pPr>
        <w:rPr>
          <w:rFonts w:ascii="Arial" w:eastAsia="SimSun" w:hAnsi="Arial" w:cs="Arial"/>
          <w:b/>
          <w:bCs/>
          <w:color w:val="231F20"/>
          <w:sz w:val="22"/>
          <w:szCs w:val="22"/>
          <w:lang w:val="en-IN" w:bidi="ar"/>
        </w:rPr>
      </w:pPr>
      <w:r>
        <w:rPr>
          <w:rFonts w:ascii="Arial" w:eastAsia="SimSun" w:hAnsi="Arial" w:cs="Arial"/>
          <w:b/>
          <w:bCs/>
          <w:color w:val="231F20"/>
          <w:lang w:val="en-IN" w:bidi="ar"/>
        </w:rPr>
        <w:lastRenderedPageBreak/>
        <w:t xml:space="preserve">                             </w:t>
      </w:r>
      <w:r>
        <w:rPr>
          <w:rFonts w:ascii="Arial" w:eastAsia="SimSun" w:hAnsi="Arial" w:cs="Arial"/>
          <w:b/>
          <w:bCs/>
          <w:color w:val="231F20"/>
          <w:sz w:val="22"/>
          <w:szCs w:val="22"/>
          <w:lang w:val="en-IN" w:bidi="ar"/>
        </w:rPr>
        <w:t xml:space="preserve">Figure :5 Histopathological findings in goitre affected goats </w:t>
      </w:r>
    </w:p>
    <w:p w:rsidR="00B42E03" w:rsidRDefault="00B42E03">
      <w:pPr>
        <w:rPr>
          <w:rFonts w:ascii="Arial" w:eastAsia="SimSun" w:hAnsi="Arial" w:cs="Arial"/>
          <w:color w:val="231F20"/>
          <w:sz w:val="18"/>
          <w:szCs w:val="18"/>
          <w:lang w:val="en-IN" w:bidi="ar"/>
        </w:rPr>
      </w:pPr>
    </w:p>
    <w:tbl>
      <w:tblPr>
        <w:tblStyle w:val="TableGrid"/>
        <w:tblW w:w="10632" w:type="dxa"/>
        <w:tblInd w:w="-1026" w:type="dxa"/>
        <w:tblLook w:val="04A0" w:firstRow="1" w:lastRow="0" w:firstColumn="1" w:lastColumn="0" w:noHBand="0" w:noVBand="1"/>
      </w:tblPr>
      <w:tblGrid>
        <w:gridCol w:w="5529"/>
        <w:gridCol w:w="5103"/>
      </w:tblGrid>
      <w:tr w:rsidR="00B42E03">
        <w:tc>
          <w:tcPr>
            <w:tcW w:w="5529" w:type="dxa"/>
          </w:tcPr>
          <w:p w:rsidR="00B42E03" w:rsidRDefault="006D1C76">
            <w:pPr>
              <w:rPr>
                <w:rFonts w:ascii="Arial" w:eastAsia="SimSun" w:hAnsi="Arial" w:cs="Arial"/>
                <w:color w:val="231F20"/>
                <w:sz w:val="18"/>
                <w:szCs w:val="18"/>
                <w:lang w:val="en-IN" w:bidi="ar"/>
              </w:rPr>
            </w:pPr>
            <w:r>
              <w:rPr>
                <w:noProof/>
                <w:lang w:val="en-IN"/>
              </w:rPr>
              <w:drawing>
                <wp:inline distT="0" distB="0" distL="0" distR="0">
                  <wp:extent cx="3115945" cy="2496820"/>
                  <wp:effectExtent l="76200" t="76200" r="141605" b="132080"/>
                  <wp:docPr id="1976636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36648"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160013" cy="2531891"/>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5103" w:type="dxa"/>
          </w:tcPr>
          <w:p w:rsidR="00B42E03" w:rsidRDefault="00B42E03">
            <w:pPr>
              <w:rPr>
                <w:rFonts w:ascii="Arial" w:eastAsia="SimSun" w:hAnsi="Arial" w:cs="Arial"/>
                <w:color w:val="231F20"/>
                <w:sz w:val="18"/>
                <w:szCs w:val="18"/>
                <w:lang w:val="en-IN" w:bidi="ar"/>
              </w:rPr>
            </w:pPr>
          </w:p>
          <w:p w:rsidR="00B42E03" w:rsidRDefault="006D1C76">
            <w:pPr>
              <w:rPr>
                <w:rFonts w:ascii="Arial" w:eastAsia="SimSun" w:hAnsi="Arial" w:cs="Arial"/>
                <w:color w:val="231F20"/>
                <w:sz w:val="18"/>
                <w:szCs w:val="18"/>
                <w:lang w:val="en-IN" w:bidi="ar"/>
              </w:rPr>
            </w:pPr>
            <w:r>
              <w:rPr>
                <w:rFonts w:ascii="Arial" w:eastAsia="SimSun" w:hAnsi="Arial" w:cs="Arial"/>
                <w:color w:val="231F20"/>
                <w:sz w:val="18"/>
                <w:szCs w:val="18"/>
                <w:lang w:val="en-IN" w:bidi="ar"/>
              </w:rPr>
              <w:t>Histopathological section of the thyroid gland showing follicles lined by single to multiple layers of hyperplastic follicular epithelial cells, with some follicles exhibiting papillary projections into the lumen. The lining epithelial cells are columnar with hyperchromatic nuclei, and areas of follicular atrophy and separation are evident. (Haematoxylin and Eosin, ×100)</w:t>
            </w:r>
          </w:p>
          <w:p w:rsidR="00B42E03" w:rsidRDefault="00B42E03">
            <w:pPr>
              <w:rPr>
                <w:rFonts w:ascii="Arial" w:eastAsia="SimSun" w:hAnsi="Arial" w:cs="Arial"/>
                <w:color w:val="231F20"/>
                <w:sz w:val="18"/>
                <w:szCs w:val="18"/>
                <w:lang w:val="en-IN" w:bidi="ar"/>
              </w:rPr>
            </w:pPr>
          </w:p>
        </w:tc>
      </w:tr>
      <w:tr w:rsidR="00B42E03">
        <w:tc>
          <w:tcPr>
            <w:tcW w:w="5529" w:type="dxa"/>
          </w:tcPr>
          <w:p w:rsidR="00B42E03" w:rsidRDefault="006D1C76">
            <w:pPr>
              <w:rPr>
                <w:rFonts w:ascii="Arial" w:eastAsia="SimSun" w:hAnsi="Arial" w:cs="Arial"/>
                <w:color w:val="231F20"/>
                <w:sz w:val="18"/>
                <w:szCs w:val="18"/>
                <w:lang w:val="en-IN" w:bidi="ar"/>
              </w:rPr>
            </w:pPr>
            <w:r>
              <w:rPr>
                <w:noProof/>
                <w:lang w:val="en-IN"/>
              </w:rPr>
              <w:drawing>
                <wp:inline distT="0" distB="0" distL="0" distR="0">
                  <wp:extent cx="3115945" cy="2380615"/>
                  <wp:effectExtent l="76200" t="76200" r="141605" b="133985"/>
                  <wp:docPr id="1163070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70604"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62061" cy="2415848"/>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5103" w:type="dxa"/>
          </w:tcPr>
          <w:p w:rsidR="00B42E03" w:rsidRDefault="00B42E03">
            <w:pPr>
              <w:rPr>
                <w:rFonts w:ascii="Arial" w:eastAsia="SimSun" w:hAnsi="Arial" w:cs="Arial"/>
                <w:color w:val="231F20"/>
                <w:sz w:val="18"/>
                <w:szCs w:val="18"/>
                <w:lang w:bidi="ar"/>
              </w:rPr>
            </w:pPr>
          </w:p>
          <w:p w:rsidR="00B42E03" w:rsidRDefault="006D1C76">
            <w:pPr>
              <w:rPr>
                <w:rFonts w:ascii="Arial" w:eastAsia="SimSun" w:hAnsi="Arial" w:cs="Arial"/>
                <w:color w:val="231F20"/>
                <w:sz w:val="18"/>
                <w:szCs w:val="18"/>
                <w:lang w:val="en-IN" w:bidi="ar"/>
              </w:rPr>
            </w:pPr>
            <w:r>
              <w:rPr>
                <w:rFonts w:ascii="Arial" w:eastAsia="SimSun" w:hAnsi="Arial" w:cs="Arial"/>
                <w:color w:val="231F20"/>
                <w:sz w:val="18"/>
                <w:szCs w:val="18"/>
                <w:lang w:bidi="ar"/>
              </w:rPr>
              <w:t>Histopathological section of the thyroid gland showing follicles lined by single to multiple layers of hyperplastic follicular epithelial cells. Many follicles appear partially collapsed with colloid depletion and disruption of the normal follicular architecture. (</w:t>
            </w:r>
            <w:proofErr w:type="spellStart"/>
            <w:r>
              <w:rPr>
                <w:rFonts w:ascii="Arial" w:eastAsia="SimSun" w:hAnsi="Arial" w:cs="Arial"/>
                <w:color w:val="231F20"/>
                <w:sz w:val="18"/>
                <w:szCs w:val="18"/>
                <w:lang w:bidi="ar"/>
              </w:rPr>
              <w:t>Haematoxylin</w:t>
            </w:r>
            <w:proofErr w:type="spellEnd"/>
            <w:r>
              <w:rPr>
                <w:rFonts w:ascii="Arial" w:eastAsia="SimSun" w:hAnsi="Arial" w:cs="Arial"/>
                <w:color w:val="231F20"/>
                <w:sz w:val="18"/>
                <w:szCs w:val="18"/>
                <w:lang w:bidi="ar"/>
              </w:rPr>
              <w:t xml:space="preserve"> and Eosin, ×10)</w:t>
            </w:r>
          </w:p>
        </w:tc>
      </w:tr>
      <w:tr w:rsidR="00B42E03">
        <w:tc>
          <w:tcPr>
            <w:tcW w:w="5529" w:type="dxa"/>
          </w:tcPr>
          <w:p w:rsidR="00B42E03" w:rsidRDefault="006D1C76">
            <w:pPr>
              <w:rPr>
                <w:rFonts w:ascii="Arial" w:eastAsia="SimSun" w:hAnsi="Arial" w:cs="Arial"/>
                <w:color w:val="231F20"/>
                <w:sz w:val="18"/>
                <w:szCs w:val="18"/>
                <w:lang w:val="en-IN" w:bidi="ar"/>
              </w:rPr>
            </w:pPr>
            <w:r>
              <w:rPr>
                <w:noProof/>
              </w:rPr>
              <w:drawing>
                <wp:inline distT="0" distB="0" distL="0" distR="0">
                  <wp:extent cx="3115945" cy="2603500"/>
                  <wp:effectExtent l="76200" t="76200" r="141605" b="139700"/>
                  <wp:docPr id="96534840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65348405" name="Content Placeholder 4"/>
                          <pic:cNvPicPr>
                            <a:picLocks noGrp="1" noChangeAspect="1"/>
                          </pic:cNvPicPr>
                        </pic:nvPicPr>
                        <pic:blipFill>
                          <a:blip r:embed="rId30" cstate="print">
                            <a:extLst>
                              <a:ext uri="{28A0092B-C50C-407E-A947-70E740481C1C}">
                                <a14:useLocalDpi xmlns:a14="http://schemas.microsoft.com/office/drawing/2010/main" val="0"/>
                              </a:ext>
                            </a:extLst>
                          </a:blip>
                          <a:srcRect l="29463" t="16785" r="23196" b="39916"/>
                          <a:stretch>
                            <a:fillRect/>
                          </a:stretch>
                        </pic:blipFill>
                        <pic:spPr>
                          <a:xfrm>
                            <a:off x="0" y="0"/>
                            <a:ext cx="3128727" cy="261470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tc>
        <w:tc>
          <w:tcPr>
            <w:tcW w:w="5103" w:type="dxa"/>
          </w:tcPr>
          <w:p w:rsidR="00B42E03" w:rsidRDefault="006D1C76">
            <w:pPr>
              <w:rPr>
                <w:rFonts w:ascii="Arial" w:eastAsia="SimSun" w:hAnsi="Arial" w:cs="Arial"/>
                <w:color w:val="231F20"/>
                <w:sz w:val="18"/>
                <w:szCs w:val="18"/>
                <w:lang w:val="en-IN" w:bidi="ar"/>
              </w:rPr>
            </w:pPr>
            <w:r>
              <w:rPr>
                <w:rFonts w:ascii="Arial" w:eastAsia="SimSun" w:hAnsi="Arial" w:cs="Arial"/>
                <w:color w:val="231F20"/>
                <w:sz w:val="18"/>
                <w:szCs w:val="18"/>
                <w:lang w:bidi="ar"/>
              </w:rPr>
              <w:t>Histopathological section of the thyroid gland showing columnar epithelial cells exhibiting hyperplastic changes with hyperchromatic nuclei, indicative of increased cellular activity. (</w:t>
            </w:r>
            <w:proofErr w:type="spellStart"/>
            <w:r>
              <w:rPr>
                <w:rFonts w:ascii="Arial" w:eastAsia="SimSun" w:hAnsi="Arial" w:cs="Arial"/>
                <w:color w:val="231F20"/>
                <w:sz w:val="18"/>
                <w:szCs w:val="18"/>
                <w:lang w:bidi="ar"/>
              </w:rPr>
              <w:t>Haematoxylin</w:t>
            </w:r>
            <w:proofErr w:type="spellEnd"/>
            <w:r>
              <w:rPr>
                <w:rFonts w:ascii="Arial" w:eastAsia="SimSun" w:hAnsi="Arial" w:cs="Arial"/>
                <w:color w:val="231F20"/>
                <w:sz w:val="18"/>
                <w:szCs w:val="18"/>
                <w:lang w:bidi="ar"/>
              </w:rPr>
              <w:t xml:space="preserve"> and Eosin, ×100)</w:t>
            </w:r>
          </w:p>
        </w:tc>
      </w:tr>
    </w:tbl>
    <w:p w:rsidR="00B42E03" w:rsidRDefault="00B42E03">
      <w:pPr>
        <w:rPr>
          <w:rFonts w:ascii="Arial" w:eastAsia="SimSun" w:hAnsi="Arial" w:cs="Arial"/>
          <w:color w:val="231F20"/>
          <w:sz w:val="18"/>
          <w:szCs w:val="18"/>
          <w:lang w:val="en-IN" w:bidi="ar"/>
        </w:rPr>
      </w:pPr>
    </w:p>
    <w:p w:rsidR="00B42E03" w:rsidRDefault="00B42E03">
      <w:pPr>
        <w:rPr>
          <w:rFonts w:ascii="Arial" w:eastAsia="SimSun" w:hAnsi="Arial" w:cs="Arial"/>
          <w:i/>
          <w:iCs/>
          <w:color w:val="231F20"/>
          <w:sz w:val="18"/>
          <w:szCs w:val="18"/>
          <w:lang w:val="en-IN" w:bidi="ar"/>
        </w:rPr>
      </w:pPr>
    </w:p>
    <w:p w:rsidR="00B42E03" w:rsidRDefault="00B42E03">
      <w:pPr>
        <w:rPr>
          <w:rFonts w:ascii="Arial" w:eastAsia="SimSun" w:hAnsi="Arial" w:cs="Arial"/>
          <w:i/>
          <w:iCs/>
          <w:color w:val="231F20"/>
          <w:sz w:val="18"/>
          <w:szCs w:val="18"/>
          <w:lang w:val="en-IN" w:bidi="ar"/>
        </w:rPr>
      </w:pPr>
    </w:p>
    <w:p w:rsidR="00B42E03" w:rsidRDefault="00B42E03">
      <w:pPr>
        <w:rPr>
          <w:rFonts w:ascii="Arial" w:eastAsia="SimSun" w:hAnsi="Arial" w:cs="Arial"/>
          <w:i/>
          <w:iCs/>
          <w:color w:val="231F20"/>
          <w:sz w:val="18"/>
          <w:szCs w:val="18"/>
          <w:lang w:val="en-IN" w:bidi="ar"/>
        </w:rPr>
        <w:sectPr w:rsidR="00B42E03">
          <w:pgSz w:w="11906" w:h="16838"/>
          <w:pgMar w:top="1440" w:right="1800" w:bottom="1440" w:left="1800" w:header="720" w:footer="720" w:gutter="0"/>
          <w:cols w:space="720"/>
          <w:docGrid w:linePitch="360"/>
        </w:sectPr>
      </w:pPr>
    </w:p>
    <w:p w:rsidR="00B42E03" w:rsidRDefault="006D1C76">
      <w:pPr>
        <w:jc w:val="both"/>
        <w:rPr>
          <w:rFonts w:ascii="Arial" w:eastAsia="SimSun" w:hAnsi="Arial" w:cs="Arial"/>
          <w:b/>
          <w:bCs/>
          <w:color w:val="231F20"/>
          <w:sz w:val="22"/>
          <w:szCs w:val="22"/>
          <w:lang w:val="en-IN" w:bidi="ar"/>
        </w:rPr>
      </w:pPr>
      <w:r>
        <w:rPr>
          <w:rFonts w:ascii="Arial" w:eastAsia="SimSun" w:hAnsi="Arial" w:cs="Arial"/>
          <w:b/>
          <w:bCs/>
          <w:color w:val="231F20"/>
          <w:sz w:val="22"/>
          <w:szCs w:val="22"/>
          <w:lang w:val="en-IN" w:bidi="ar"/>
        </w:rPr>
        <w:lastRenderedPageBreak/>
        <w:t>DISCUSSION</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In the present study, the incidence of congenital </w:t>
      </w:r>
      <w:proofErr w:type="spellStart"/>
      <w:r>
        <w:rPr>
          <w:rFonts w:ascii="Arial" w:hAnsi="Arial" w:cs="Arial"/>
          <w:sz w:val="20"/>
          <w:szCs w:val="20"/>
        </w:rPr>
        <w:t>goitre</w:t>
      </w:r>
      <w:proofErr w:type="spellEnd"/>
      <w:r>
        <w:rPr>
          <w:rFonts w:ascii="Arial" w:hAnsi="Arial" w:cs="Arial"/>
          <w:sz w:val="20"/>
          <w:szCs w:val="20"/>
        </w:rPr>
        <w:t xml:space="preserve"> in and around Hyderabad was found to be </w:t>
      </w:r>
      <w:r>
        <w:rPr>
          <w:rStyle w:val="Strong"/>
          <w:rFonts w:ascii="Arial" w:hAnsi="Arial" w:cs="Arial"/>
          <w:b w:val="0"/>
          <w:bCs w:val="0"/>
          <w:sz w:val="20"/>
          <w:szCs w:val="20"/>
        </w:rPr>
        <w:t>1.02%</w:t>
      </w:r>
      <w:r>
        <w:rPr>
          <w:rFonts w:ascii="Arial" w:hAnsi="Arial" w:cs="Arial"/>
          <w:sz w:val="20"/>
          <w:szCs w:val="20"/>
        </w:rPr>
        <w:t xml:space="preserve">. This relatively low but notable incidence may be attributed to </w:t>
      </w:r>
      <w:r>
        <w:rPr>
          <w:rStyle w:val="Strong"/>
          <w:rFonts w:ascii="Arial" w:hAnsi="Arial" w:cs="Arial"/>
          <w:b w:val="0"/>
          <w:bCs w:val="0"/>
          <w:sz w:val="20"/>
          <w:szCs w:val="20"/>
        </w:rPr>
        <w:t>geographical and environmental factors</w:t>
      </w:r>
      <w:r>
        <w:rPr>
          <w:rFonts w:ascii="Arial" w:hAnsi="Arial" w:cs="Arial"/>
          <w:sz w:val="20"/>
          <w:szCs w:val="20"/>
        </w:rPr>
        <w:t xml:space="preserve">. </w:t>
      </w:r>
      <w:proofErr w:type="spellStart"/>
      <w:r>
        <w:rPr>
          <w:rFonts w:ascii="Arial" w:hAnsi="Arial" w:cs="Arial"/>
          <w:sz w:val="20"/>
          <w:szCs w:val="20"/>
        </w:rPr>
        <w:t>Rajendranagar</w:t>
      </w:r>
      <w:proofErr w:type="spellEnd"/>
      <w:r>
        <w:rPr>
          <w:rFonts w:ascii="Arial" w:hAnsi="Arial" w:cs="Arial"/>
          <w:sz w:val="20"/>
          <w:szCs w:val="20"/>
        </w:rPr>
        <w:t xml:space="preserve"> is situated on the </w:t>
      </w:r>
      <w:r>
        <w:rPr>
          <w:rStyle w:val="Strong"/>
          <w:rFonts w:ascii="Arial" w:hAnsi="Arial" w:cs="Arial"/>
          <w:b w:val="0"/>
          <w:bCs w:val="0"/>
          <w:sz w:val="20"/>
          <w:szCs w:val="20"/>
        </w:rPr>
        <w:t>Deccan Plateau</w:t>
      </w:r>
      <w:r>
        <w:rPr>
          <w:rFonts w:ascii="Arial" w:hAnsi="Arial" w:cs="Arial"/>
          <w:sz w:val="20"/>
          <w:szCs w:val="20"/>
        </w:rPr>
        <w:t xml:space="preserve">, characterized by </w:t>
      </w:r>
      <w:r>
        <w:rPr>
          <w:rStyle w:val="Strong"/>
          <w:rFonts w:ascii="Arial" w:hAnsi="Arial" w:cs="Arial"/>
          <w:b w:val="0"/>
          <w:bCs w:val="0"/>
          <w:sz w:val="20"/>
          <w:szCs w:val="20"/>
        </w:rPr>
        <w:t>undulating terrain, rocky or lateritic soils, and seasonal monsoon rainfall</w:t>
      </w:r>
      <w:r>
        <w:rPr>
          <w:rFonts w:ascii="Arial" w:hAnsi="Arial" w:cs="Arial"/>
          <w:sz w:val="20"/>
          <w:szCs w:val="20"/>
        </w:rPr>
        <w:t xml:space="preserve">. Although the region is not mountainous, these </w:t>
      </w:r>
      <w:r>
        <w:rPr>
          <w:rStyle w:val="Strong"/>
          <w:rFonts w:ascii="Arial" w:hAnsi="Arial" w:cs="Arial"/>
          <w:b w:val="0"/>
          <w:bCs w:val="0"/>
          <w:sz w:val="20"/>
          <w:szCs w:val="20"/>
        </w:rPr>
        <w:t>soil and rainfall characteristics reduce iodine retention capacity</w:t>
      </w:r>
      <w:r>
        <w:rPr>
          <w:rFonts w:ascii="Arial" w:hAnsi="Arial" w:cs="Arial"/>
          <w:sz w:val="20"/>
          <w:szCs w:val="20"/>
        </w:rPr>
        <w:t xml:space="preserve">, increasing the likelihood of iodine-deficient forage and water sources. Consequently, in the absence of dietary iodine supplementation, livestock in such regions are predisposed to iodine deficiency disorders. </w:t>
      </w:r>
      <w:r>
        <w:rPr>
          <w:rStyle w:val="Strong"/>
          <w:rFonts w:ascii="Arial" w:hAnsi="Arial" w:cs="Arial"/>
          <w:b w:val="0"/>
          <w:bCs w:val="0"/>
          <w:sz w:val="20"/>
          <w:szCs w:val="20"/>
        </w:rPr>
        <w:t>Rainfall-induced leaching of soil iodine</w:t>
      </w:r>
      <w:r>
        <w:rPr>
          <w:rFonts w:ascii="Arial" w:hAnsi="Arial" w:cs="Arial"/>
          <w:sz w:val="20"/>
          <w:szCs w:val="20"/>
        </w:rPr>
        <w:t xml:space="preserve"> further exacerbates this condition (</w:t>
      </w:r>
      <w:proofErr w:type="spellStart"/>
      <w:r>
        <w:rPr>
          <w:rFonts w:ascii="Arial" w:hAnsi="Arial" w:cs="Arial"/>
          <w:sz w:val="20"/>
          <w:szCs w:val="20"/>
        </w:rPr>
        <w:t>Zicker</w:t>
      </w:r>
      <w:proofErr w:type="spellEnd"/>
      <w:r>
        <w:rPr>
          <w:rFonts w:ascii="Arial" w:hAnsi="Arial" w:cs="Arial"/>
          <w:sz w:val="20"/>
          <w:szCs w:val="20"/>
        </w:rPr>
        <w:t xml:space="preserve"> &amp; Schoenherr, 2012).</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Similar reports of thyroid hypertrophy in lambs and kids affected by congenital </w:t>
      </w:r>
      <w:proofErr w:type="spellStart"/>
      <w:r>
        <w:rPr>
          <w:rFonts w:ascii="Arial" w:hAnsi="Arial" w:cs="Arial"/>
          <w:sz w:val="20"/>
          <w:szCs w:val="20"/>
        </w:rPr>
        <w:t>goitre</w:t>
      </w:r>
      <w:proofErr w:type="spellEnd"/>
      <w:r>
        <w:rPr>
          <w:rFonts w:ascii="Arial" w:hAnsi="Arial" w:cs="Arial"/>
          <w:sz w:val="20"/>
          <w:szCs w:val="20"/>
        </w:rPr>
        <w:t xml:space="preserve"> have been documented in earlier studies (</w:t>
      </w:r>
      <w:proofErr w:type="spellStart"/>
      <w:r>
        <w:rPr>
          <w:rFonts w:ascii="Arial" w:hAnsi="Arial" w:cs="Arial"/>
          <w:sz w:val="20"/>
          <w:szCs w:val="20"/>
        </w:rPr>
        <w:t>Sahan</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2025; Bhardwaj &amp; </w:t>
      </w:r>
      <w:proofErr w:type="spellStart"/>
      <w:r>
        <w:rPr>
          <w:rFonts w:ascii="Arial" w:hAnsi="Arial" w:cs="Arial"/>
          <w:sz w:val="20"/>
          <w:szCs w:val="20"/>
        </w:rPr>
        <w:t>Kukovics</w:t>
      </w:r>
      <w:proofErr w:type="spellEnd"/>
      <w:r>
        <w:rPr>
          <w:rFonts w:ascii="Arial" w:hAnsi="Arial" w:cs="Arial"/>
          <w:sz w:val="20"/>
          <w:szCs w:val="20"/>
        </w:rPr>
        <w:t xml:space="preserve">, 2018; Singh </w:t>
      </w:r>
      <w:r>
        <w:rPr>
          <w:rFonts w:ascii="Arial" w:hAnsi="Arial" w:cs="Arial"/>
          <w:i/>
          <w:iCs/>
          <w:sz w:val="20"/>
          <w:szCs w:val="20"/>
        </w:rPr>
        <w:t>et al.</w:t>
      </w:r>
      <w:r>
        <w:rPr>
          <w:rFonts w:ascii="Arial" w:hAnsi="Arial" w:cs="Arial"/>
          <w:sz w:val="20"/>
          <w:szCs w:val="20"/>
        </w:rPr>
        <w:t xml:space="preserve">, 2002). Goats are considered particularly </w:t>
      </w:r>
      <w:r>
        <w:rPr>
          <w:rStyle w:val="Strong"/>
          <w:rFonts w:ascii="Arial" w:hAnsi="Arial" w:cs="Arial"/>
          <w:b w:val="0"/>
          <w:bCs w:val="0"/>
          <w:sz w:val="20"/>
          <w:szCs w:val="20"/>
        </w:rPr>
        <w:t>susceptible to iodine deficiency</w:t>
      </w:r>
      <w:r>
        <w:rPr>
          <w:rFonts w:ascii="Arial" w:hAnsi="Arial" w:cs="Arial"/>
          <w:sz w:val="20"/>
          <w:szCs w:val="20"/>
        </w:rPr>
        <w:t xml:space="preserve">, as they are </w:t>
      </w:r>
      <w:r>
        <w:rPr>
          <w:rStyle w:val="Strong"/>
          <w:rFonts w:ascii="Arial" w:hAnsi="Arial" w:cs="Arial"/>
          <w:b w:val="0"/>
          <w:bCs w:val="0"/>
          <w:sz w:val="20"/>
          <w:szCs w:val="20"/>
        </w:rPr>
        <w:t>browsers</w:t>
      </w:r>
      <w:r>
        <w:rPr>
          <w:rFonts w:ascii="Arial" w:hAnsi="Arial" w:cs="Arial"/>
          <w:sz w:val="20"/>
          <w:szCs w:val="20"/>
        </w:rPr>
        <w:t xml:space="preserve"> rather than grazers—feeding primarily on leaves and branches, and ingesting less soil compared to other ruminants. This feeding behavior limits their exposure to soil-derived iodine (</w:t>
      </w:r>
      <w:proofErr w:type="spellStart"/>
      <w:r>
        <w:rPr>
          <w:rFonts w:ascii="Arial" w:hAnsi="Arial" w:cs="Arial"/>
          <w:sz w:val="20"/>
          <w:szCs w:val="20"/>
        </w:rPr>
        <w:t>Nourani</w:t>
      </w:r>
      <w:proofErr w:type="spellEnd"/>
      <w:r>
        <w:rPr>
          <w:rFonts w:ascii="Arial" w:hAnsi="Arial" w:cs="Arial"/>
          <w:sz w:val="20"/>
          <w:szCs w:val="20"/>
        </w:rPr>
        <w:t xml:space="preserve"> &amp; Sadr, 2023).</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In the current investigation, </w:t>
      </w:r>
      <w:r>
        <w:rPr>
          <w:rStyle w:val="Strong"/>
          <w:rFonts w:ascii="Arial" w:hAnsi="Arial" w:cs="Arial"/>
          <w:b w:val="0"/>
          <w:bCs w:val="0"/>
          <w:sz w:val="20"/>
          <w:szCs w:val="20"/>
        </w:rPr>
        <w:t>Malabari goats (38.89%)</w:t>
      </w:r>
      <w:r>
        <w:rPr>
          <w:rFonts w:ascii="Arial" w:hAnsi="Arial" w:cs="Arial"/>
          <w:sz w:val="20"/>
          <w:szCs w:val="20"/>
        </w:rPr>
        <w:t xml:space="preserve"> were most frequently affected, followed by </w:t>
      </w:r>
      <w:proofErr w:type="spellStart"/>
      <w:r>
        <w:rPr>
          <w:rStyle w:val="Strong"/>
          <w:rFonts w:ascii="Arial" w:hAnsi="Arial" w:cs="Arial"/>
          <w:b w:val="0"/>
          <w:bCs w:val="0"/>
          <w:sz w:val="20"/>
          <w:szCs w:val="20"/>
        </w:rPr>
        <w:t>Jamunapari</w:t>
      </w:r>
      <w:proofErr w:type="spellEnd"/>
      <w:r>
        <w:rPr>
          <w:rStyle w:val="Strong"/>
          <w:rFonts w:ascii="Arial" w:hAnsi="Arial" w:cs="Arial"/>
          <w:b w:val="0"/>
          <w:bCs w:val="0"/>
          <w:sz w:val="20"/>
          <w:szCs w:val="20"/>
        </w:rPr>
        <w:t xml:space="preserve"> (27.78%)</w:t>
      </w:r>
      <w:r>
        <w:rPr>
          <w:rFonts w:ascii="Arial" w:hAnsi="Arial" w:cs="Arial"/>
          <w:sz w:val="20"/>
          <w:szCs w:val="20"/>
        </w:rPr>
        <w:t xml:space="preserve"> and </w:t>
      </w:r>
      <w:proofErr w:type="spellStart"/>
      <w:r>
        <w:rPr>
          <w:rStyle w:val="Strong"/>
          <w:rFonts w:ascii="Arial" w:hAnsi="Arial" w:cs="Arial"/>
          <w:b w:val="0"/>
          <w:bCs w:val="0"/>
          <w:sz w:val="20"/>
          <w:szCs w:val="20"/>
        </w:rPr>
        <w:t>Barbari</w:t>
      </w:r>
      <w:proofErr w:type="spellEnd"/>
      <w:r>
        <w:rPr>
          <w:rStyle w:val="Strong"/>
          <w:rFonts w:ascii="Arial" w:hAnsi="Arial" w:cs="Arial"/>
          <w:b w:val="0"/>
          <w:bCs w:val="0"/>
          <w:sz w:val="20"/>
          <w:szCs w:val="20"/>
        </w:rPr>
        <w:t xml:space="preserve"> (16.67%)</w:t>
      </w:r>
      <w:r>
        <w:rPr>
          <w:rFonts w:ascii="Arial" w:hAnsi="Arial" w:cs="Arial"/>
          <w:sz w:val="20"/>
          <w:szCs w:val="20"/>
        </w:rPr>
        <w:t xml:space="preserve"> breeds. The predominant clinical manifestation was </w:t>
      </w:r>
      <w:r>
        <w:rPr>
          <w:rStyle w:val="Strong"/>
          <w:rFonts w:ascii="Arial" w:hAnsi="Arial" w:cs="Arial"/>
          <w:b w:val="0"/>
          <w:bCs w:val="0"/>
          <w:sz w:val="20"/>
          <w:szCs w:val="20"/>
        </w:rPr>
        <w:t>bilateral enlargement of the thyroid gland</w:t>
      </w:r>
      <w:r>
        <w:rPr>
          <w:rFonts w:ascii="Arial" w:hAnsi="Arial" w:cs="Arial"/>
          <w:sz w:val="20"/>
          <w:szCs w:val="20"/>
        </w:rPr>
        <w:t xml:space="preserve"> in the </w:t>
      </w:r>
      <w:r>
        <w:rPr>
          <w:rStyle w:val="Strong"/>
          <w:rFonts w:ascii="Arial" w:hAnsi="Arial" w:cs="Arial"/>
          <w:b w:val="0"/>
          <w:bCs w:val="0"/>
          <w:sz w:val="20"/>
          <w:szCs w:val="20"/>
        </w:rPr>
        <w:t>ventral neck region (100%)</w:t>
      </w:r>
      <w:r>
        <w:rPr>
          <w:rFonts w:ascii="Arial" w:hAnsi="Arial" w:cs="Arial"/>
          <w:sz w:val="20"/>
          <w:szCs w:val="20"/>
        </w:rPr>
        <w:t>, consistent with the classical hallmark of iodine deficiency in goats, where the thyroid lobes are enlarged at least twofold compared to normal size (Smith &amp; Sherman, 2023).</w:t>
      </w:r>
    </w:p>
    <w:p w:rsidR="00B42E03" w:rsidRDefault="006D1C76">
      <w:pPr>
        <w:pStyle w:val="NormalWeb"/>
        <w:ind w:firstLine="720"/>
        <w:jc w:val="both"/>
        <w:rPr>
          <w:rFonts w:ascii="Arial" w:eastAsia="Calibri Light" w:hAnsi="Arial" w:cs="Arial"/>
          <w:color w:val="231F20"/>
          <w:sz w:val="20"/>
          <w:szCs w:val="20"/>
          <w:lang w:val="en-IN" w:bidi="ar"/>
        </w:rPr>
      </w:pPr>
      <w:r>
        <w:rPr>
          <w:rFonts w:ascii="Arial" w:hAnsi="Arial" w:cs="Arial"/>
          <w:sz w:val="20"/>
          <w:szCs w:val="20"/>
        </w:rPr>
        <w:t xml:space="preserve">Other clinical signs observed included </w:t>
      </w:r>
      <w:r>
        <w:rPr>
          <w:rStyle w:val="Strong"/>
          <w:rFonts w:ascii="Arial" w:hAnsi="Arial" w:cs="Arial"/>
          <w:b w:val="0"/>
          <w:bCs w:val="0"/>
          <w:sz w:val="20"/>
          <w:szCs w:val="20"/>
        </w:rPr>
        <w:t>failure to thrive (61.11%)</w:t>
      </w:r>
      <w:r>
        <w:rPr>
          <w:rFonts w:ascii="Arial" w:hAnsi="Arial" w:cs="Arial"/>
          <w:sz w:val="20"/>
          <w:szCs w:val="20"/>
        </w:rPr>
        <w:t xml:space="preserve">, </w:t>
      </w:r>
      <w:r>
        <w:rPr>
          <w:rStyle w:val="Strong"/>
          <w:rFonts w:ascii="Arial" w:hAnsi="Arial" w:cs="Arial"/>
          <w:b w:val="0"/>
          <w:bCs w:val="0"/>
          <w:sz w:val="20"/>
          <w:szCs w:val="20"/>
        </w:rPr>
        <w:t>dyspnea (50%)</w:t>
      </w:r>
      <w:r>
        <w:rPr>
          <w:rFonts w:ascii="Arial" w:hAnsi="Arial" w:cs="Arial"/>
          <w:sz w:val="20"/>
          <w:szCs w:val="20"/>
        </w:rPr>
        <w:t xml:space="preserve">, </w:t>
      </w:r>
      <w:r>
        <w:rPr>
          <w:rStyle w:val="Strong"/>
          <w:rFonts w:ascii="Arial" w:hAnsi="Arial" w:cs="Arial"/>
          <w:b w:val="0"/>
          <w:bCs w:val="0"/>
          <w:sz w:val="20"/>
          <w:szCs w:val="20"/>
        </w:rPr>
        <w:t>lethargy (38.89%)</w:t>
      </w:r>
      <w:r>
        <w:rPr>
          <w:rFonts w:ascii="Arial" w:hAnsi="Arial" w:cs="Arial"/>
          <w:sz w:val="20"/>
          <w:szCs w:val="20"/>
        </w:rPr>
        <w:t xml:space="preserve">, </w:t>
      </w:r>
      <w:r>
        <w:rPr>
          <w:rStyle w:val="Strong"/>
          <w:rFonts w:ascii="Arial" w:hAnsi="Arial" w:cs="Arial"/>
          <w:b w:val="0"/>
          <w:bCs w:val="0"/>
          <w:sz w:val="20"/>
          <w:szCs w:val="20"/>
        </w:rPr>
        <w:t>sparse hair coat (33.33%)</w:t>
      </w:r>
      <w:r>
        <w:rPr>
          <w:rFonts w:ascii="Arial" w:hAnsi="Arial" w:cs="Arial"/>
          <w:sz w:val="20"/>
          <w:szCs w:val="20"/>
        </w:rPr>
        <w:t xml:space="preserve">, and </w:t>
      </w:r>
      <w:r>
        <w:rPr>
          <w:rStyle w:val="Strong"/>
          <w:rFonts w:ascii="Arial" w:hAnsi="Arial" w:cs="Arial"/>
          <w:b w:val="0"/>
          <w:bCs w:val="0"/>
          <w:sz w:val="20"/>
          <w:szCs w:val="20"/>
        </w:rPr>
        <w:t>alopecia (27.78%)</w:t>
      </w:r>
      <w:r>
        <w:rPr>
          <w:rFonts w:ascii="Arial" w:hAnsi="Arial" w:cs="Arial"/>
          <w:sz w:val="20"/>
          <w:szCs w:val="20"/>
        </w:rPr>
        <w:t xml:space="preserve">. Comparable findings have been reported by </w:t>
      </w:r>
      <w:proofErr w:type="spellStart"/>
      <w:r>
        <w:rPr>
          <w:rFonts w:ascii="Arial" w:hAnsi="Arial" w:cs="Arial"/>
          <w:sz w:val="20"/>
          <w:szCs w:val="20"/>
        </w:rPr>
        <w:t>Sahan</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(2025), </w:t>
      </w:r>
      <w:proofErr w:type="spellStart"/>
      <w:r>
        <w:rPr>
          <w:rFonts w:ascii="Arial" w:hAnsi="Arial" w:cs="Arial"/>
          <w:sz w:val="20"/>
          <w:szCs w:val="20"/>
        </w:rPr>
        <w:t>Davoodi</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(2022), and </w:t>
      </w:r>
      <w:proofErr w:type="spellStart"/>
      <w:r>
        <w:rPr>
          <w:rFonts w:ascii="Arial" w:hAnsi="Arial" w:cs="Arial"/>
          <w:sz w:val="20"/>
          <w:szCs w:val="20"/>
        </w:rPr>
        <w:t>Tufani</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(2018). The </w:t>
      </w:r>
      <w:r>
        <w:rPr>
          <w:rStyle w:val="Strong"/>
          <w:rFonts w:ascii="Arial" w:hAnsi="Arial" w:cs="Arial"/>
          <w:b w:val="0"/>
          <w:bCs w:val="0"/>
          <w:sz w:val="20"/>
          <w:szCs w:val="20"/>
        </w:rPr>
        <w:t>failure to thrive</w:t>
      </w:r>
      <w:r>
        <w:rPr>
          <w:rFonts w:ascii="Arial" w:hAnsi="Arial" w:cs="Arial"/>
          <w:sz w:val="20"/>
          <w:szCs w:val="20"/>
        </w:rPr>
        <w:t xml:space="preserve"> may be attributed to a </w:t>
      </w:r>
      <w:r>
        <w:rPr>
          <w:rStyle w:val="Strong"/>
          <w:rFonts w:ascii="Arial" w:hAnsi="Arial" w:cs="Arial"/>
          <w:b w:val="0"/>
          <w:bCs w:val="0"/>
          <w:sz w:val="20"/>
          <w:szCs w:val="20"/>
        </w:rPr>
        <w:t>reduction in basal metabolic rate (BMR)</w:t>
      </w:r>
      <w:r>
        <w:rPr>
          <w:rFonts w:ascii="Arial" w:hAnsi="Arial" w:cs="Arial"/>
          <w:sz w:val="20"/>
          <w:szCs w:val="20"/>
        </w:rPr>
        <w:t xml:space="preserve"> resulting from decreased thyroid hormone levels. </w:t>
      </w:r>
      <w:r>
        <w:rPr>
          <w:rStyle w:val="Strong"/>
          <w:rFonts w:ascii="Arial" w:hAnsi="Arial" w:cs="Arial"/>
          <w:b w:val="0"/>
          <w:bCs w:val="0"/>
          <w:sz w:val="20"/>
          <w:szCs w:val="20"/>
        </w:rPr>
        <w:t>Severe thyroid enlargement</w:t>
      </w:r>
      <w:r>
        <w:rPr>
          <w:rFonts w:ascii="Arial" w:hAnsi="Arial" w:cs="Arial"/>
          <w:sz w:val="20"/>
          <w:szCs w:val="20"/>
        </w:rPr>
        <w:t xml:space="preserve"> can also exert </w:t>
      </w:r>
      <w:r>
        <w:rPr>
          <w:rStyle w:val="Strong"/>
          <w:rFonts w:ascii="Arial" w:hAnsi="Arial" w:cs="Arial"/>
          <w:b w:val="0"/>
          <w:bCs w:val="0"/>
          <w:sz w:val="20"/>
          <w:szCs w:val="20"/>
        </w:rPr>
        <w:t>mechanical pressure on the trachea and larynx</w:t>
      </w:r>
      <w:r>
        <w:rPr>
          <w:rFonts w:ascii="Arial" w:hAnsi="Arial" w:cs="Arial"/>
          <w:sz w:val="20"/>
          <w:szCs w:val="20"/>
        </w:rPr>
        <w:t xml:space="preserve">, leading to </w:t>
      </w:r>
      <w:r>
        <w:rPr>
          <w:rStyle w:val="Strong"/>
          <w:rFonts w:ascii="Arial" w:hAnsi="Arial" w:cs="Arial"/>
          <w:b w:val="0"/>
          <w:bCs w:val="0"/>
          <w:sz w:val="20"/>
          <w:szCs w:val="20"/>
        </w:rPr>
        <w:t>airway obstruction and dyspnea</w:t>
      </w:r>
      <w:r>
        <w:rPr>
          <w:rFonts w:ascii="Arial" w:hAnsi="Arial" w:cs="Arial"/>
          <w:sz w:val="20"/>
          <w:szCs w:val="20"/>
        </w:rPr>
        <w:t xml:space="preserve"> (Ankita </w:t>
      </w:r>
      <w:r>
        <w:rPr>
          <w:rFonts w:ascii="Arial" w:hAnsi="Arial" w:cs="Arial"/>
          <w:i/>
          <w:iCs/>
          <w:sz w:val="20"/>
          <w:szCs w:val="20"/>
        </w:rPr>
        <w:t>et al</w:t>
      </w:r>
      <w:r>
        <w:rPr>
          <w:rFonts w:ascii="Arial" w:hAnsi="Arial" w:cs="Arial"/>
          <w:sz w:val="20"/>
          <w:szCs w:val="20"/>
        </w:rPr>
        <w:t xml:space="preserve">., 2023). Furthermore, thyroid hormones play an essential role in </w:t>
      </w:r>
      <w:r>
        <w:rPr>
          <w:rStyle w:val="Strong"/>
          <w:rFonts w:ascii="Arial" w:hAnsi="Arial" w:cs="Arial"/>
          <w:b w:val="0"/>
          <w:bCs w:val="0"/>
          <w:sz w:val="20"/>
          <w:szCs w:val="20"/>
        </w:rPr>
        <w:t>hair follicle cycling and keratin synthesis</w:t>
      </w:r>
      <w:r>
        <w:rPr>
          <w:rFonts w:ascii="Arial" w:hAnsi="Arial" w:cs="Arial"/>
          <w:sz w:val="20"/>
          <w:szCs w:val="20"/>
        </w:rPr>
        <w:t xml:space="preserve">; thus, </w:t>
      </w:r>
      <w:r>
        <w:rPr>
          <w:rStyle w:val="Strong"/>
          <w:rFonts w:ascii="Arial" w:hAnsi="Arial" w:cs="Arial"/>
          <w:b w:val="0"/>
          <w:bCs w:val="0"/>
          <w:sz w:val="20"/>
          <w:szCs w:val="20"/>
        </w:rPr>
        <w:t>hypothyroidism</w:t>
      </w:r>
      <w:r>
        <w:rPr>
          <w:rFonts w:ascii="Arial" w:hAnsi="Arial" w:cs="Arial"/>
          <w:sz w:val="20"/>
          <w:szCs w:val="20"/>
        </w:rPr>
        <w:t xml:space="preserve"> leads to </w:t>
      </w:r>
      <w:r>
        <w:rPr>
          <w:rStyle w:val="Strong"/>
          <w:rFonts w:ascii="Arial" w:hAnsi="Arial" w:cs="Arial"/>
          <w:b w:val="0"/>
          <w:bCs w:val="0"/>
          <w:sz w:val="20"/>
          <w:szCs w:val="20"/>
        </w:rPr>
        <w:t xml:space="preserve">sparse hair coat and </w:t>
      </w:r>
      <w:proofErr w:type="gramStart"/>
      <w:r>
        <w:rPr>
          <w:rStyle w:val="Strong"/>
          <w:rFonts w:ascii="Arial" w:hAnsi="Arial" w:cs="Arial"/>
          <w:b w:val="0"/>
          <w:bCs w:val="0"/>
          <w:sz w:val="20"/>
          <w:szCs w:val="20"/>
        </w:rPr>
        <w:t>alopecia(</w:t>
      </w:r>
      <w:r>
        <w:rPr>
          <w:rFonts w:ascii="Arial" w:hAnsi="Arial" w:cs="Arial"/>
          <w:sz w:val="20"/>
          <w:szCs w:val="20"/>
        </w:rPr>
        <w:t xml:space="preserve"> Constable</w:t>
      </w:r>
      <w:proofErr w:type="gram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2016).</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In the present study, a </w:t>
      </w:r>
      <w:r>
        <w:rPr>
          <w:rStyle w:val="Strong"/>
          <w:rFonts w:ascii="Arial" w:hAnsi="Arial" w:cs="Arial"/>
          <w:b w:val="0"/>
          <w:bCs w:val="0"/>
          <w:sz w:val="20"/>
          <w:szCs w:val="20"/>
        </w:rPr>
        <w:t>significant decrease in serum triiodothyronine (T₃) and thyroxine (T₄) levels</w:t>
      </w:r>
      <w:r>
        <w:rPr>
          <w:rFonts w:ascii="Arial" w:hAnsi="Arial" w:cs="Arial"/>
          <w:sz w:val="20"/>
          <w:szCs w:val="20"/>
        </w:rPr>
        <w:t xml:space="preserve">, along with a </w:t>
      </w:r>
      <w:r>
        <w:rPr>
          <w:rStyle w:val="Strong"/>
          <w:rFonts w:ascii="Arial" w:hAnsi="Arial" w:cs="Arial"/>
          <w:b w:val="0"/>
          <w:bCs w:val="0"/>
          <w:sz w:val="20"/>
          <w:szCs w:val="20"/>
        </w:rPr>
        <w:t>significant increase in cholesterol and thyroid-stimulating hormone (TSH) concentrations</w:t>
      </w:r>
      <w:r>
        <w:rPr>
          <w:rFonts w:ascii="Arial" w:hAnsi="Arial" w:cs="Arial"/>
          <w:sz w:val="20"/>
          <w:szCs w:val="20"/>
        </w:rPr>
        <w:t xml:space="preserve">, was observed in </w:t>
      </w:r>
      <w:proofErr w:type="spellStart"/>
      <w:r>
        <w:rPr>
          <w:rFonts w:ascii="Arial" w:hAnsi="Arial" w:cs="Arial"/>
          <w:sz w:val="20"/>
          <w:szCs w:val="20"/>
        </w:rPr>
        <w:t>goitrous</w:t>
      </w:r>
      <w:proofErr w:type="spellEnd"/>
      <w:r>
        <w:rPr>
          <w:rFonts w:ascii="Arial" w:hAnsi="Arial" w:cs="Arial"/>
          <w:sz w:val="20"/>
          <w:szCs w:val="20"/>
        </w:rPr>
        <w:t xml:space="preserve"> goats compared to healthy controls. These findings </w:t>
      </w:r>
      <w:proofErr w:type="gramStart"/>
      <w:r>
        <w:rPr>
          <w:rFonts w:ascii="Arial" w:hAnsi="Arial" w:cs="Arial"/>
          <w:sz w:val="20"/>
          <w:szCs w:val="20"/>
        </w:rPr>
        <w:t>are in agreement</w:t>
      </w:r>
      <w:proofErr w:type="gramEnd"/>
      <w:r>
        <w:rPr>
          <w:rFonts w:ascii="Arial" w:hAnsi="Arial" w:cs="Arial"/>
          <w:sz w:val="20"/>
          <w:szCs w:val="20"/>
        </w:rPr>
        <w:t xml:space="preserve"> with the observations of </w:t>
      </w:r>
      <w:proofErr w:type="spellStart"/>
      <w:r>
        <w:rPr>
          <w:rStyle w:val="Strong"/>
          <w:rFonts w:ascii="Arial" w:hAnsi="Arial" w:cs="Arial"/>
          <w:b w:val="0"/>
          <w:bCs w:val="0"/>
          <w:sz w:val="20"/>
          <w:szCs w:val="20"/>
        </w:rPr>
        <w:t>Jarad</w:t>
      </w:r>
      <w:proofErr w:type="spellEnd"/>
      <w:r>
        <w:rPr>
          <w:rStyle w:val="Strong"/>
          <w:rFonts w:ascii="Arial" w:hAnsi="Arial" w:cs="Arial"/>
          <w:b w:val="0"/>
          <w:bCs w:val="0"/>
          <w:sz w:val="20"/>
          <w:szCs w:val="20"/>
        </w:rPr>
        <w:t xml:space="preserve"> </w:t>
      </w:r>
      <w:r>
        <w:rPr>
          <w:rStyle w:val="Strong"/>
          <w:rFonts w:ascii="Arial" w:hAnsi="Arial" w:cs="Arial"/>
          <w:b w:val="0"/>
          <w:bCs w:val="0"/>
          <w:i/>
          <w:iCs/>
          <w:sz w:val="20"/>
          <w:szCs w:val="20"/>
        </w:rPr>
        <w:t>et al</w:t>
      </w:r>
      <w:r>
        <w:rPr>
          <w:rStyle w:val="Strong"/>
          <w:rFonts w:ascii="Arial" w:hAnsi="Arial" w:cs="Arial"/>
          <w:b w:val="0"/>
          <w:bCs w:val="0"/>
          <w:sz w:val="20"/>
          <w:szCs w:val="20"/>
        </w:rPr>
        <w:t>. (2023)</w:t>
      </w:r>
      <w:r>
        <w:rPr>
          <w:rFonts w:ascii="Arial" w:hAnsi="Arial" w:cs="Arial"/>
          <w:sz w:val="20"/>
          <w:szCs w:val="20"/>
        </w:rPr>
        <w:t xml:space="preserve">, who reported a similar hormonal pattern characterized by </w:t>
      </w:r>
      <w:r>
        <w:rPr>
          <w:rStyle w:val="Strong"/>
          <w:rFonts w:ascii="Arial" w:hAnsi="Arial" w:cs="Arial"/>
          <w:b w:val="0"/>
          <w:bCs w:val="0"/>
          <w:sz w:val="20"/>
          <w:szCs w:val="20"/>
        </w:rPr>
        <w:t>elevated TSH and cholesterol levels</w:t>
      </w:r>
      <w:r>
        <w:rPr>
          <w:rFonts w:ascii="Arial" w:hAnsi="Arial" w:cs="Arial"/>
          <w:sz w:val="20"/>
          <w:szCs w:val="20"/>
        </w:rPr>
        <w:t xml:space="preserve"> and </w:t>
      </w:r>
      <w:r>
        <w:rPr>
          <w:rStyle w:val="Strong"/>
          <w:rFonts w:ascii="Arial" w:hAnsi="Arial" w:cs="Arial"/>
          <w:b w:val="0"/>
          <w:bCs w:val="0"/>
          <w:sz w:val="20"/>
          <w:szCs w:val="20"/>
        </w:rPr>
        <w:t>reduced T₃, T₄, and FT₄ concentrations</w:t>
      </w:r>
      <w:r>
        <w:rPr>
          <w:rFonts w:ascii="Arial" w:hAnsi="Arial" w:cs="Arial"/>
          <w:sz w:val="20"/>
          <w:szCs w:val="20"/>
        </w:rPr>
        <w:t xml:space="preserve"> in </w:t>
      </w:r>
      <w:proofErr w:type="spellStart"/>
      <w:r>
        <w:rPr>
          <w:rFonts w:ascii="Arial" w:hAnsi="Arial" w:cs="Arial"/>
          <w:sz w:val="20"/>
          <w:szCs w:val="20"/>
        </w:rPr>
        <w:t>goitrous</w:t>
      </w:r>
      <w:proofErr w:type="spellEnd"/>
      <w:r>
        <w:rPr>
          <w:rFonts w:ascii="Arial" w:hAnsi="Arial" w:cs="Arial"/>
          <w:sz w:val="20"/>
          <w:szCs w:val="20"/>
        </w:rPr>
        <w:t xml:space="preserve"> kids. The </w:t>
      </w:r>
      <w:r>
        <w:rPr>
          <w:rStyle w:val="Strong"/>
          <w:rFonts w:ascii="Arial" w:hAnsi="Arial" w:cs="Arial"/>
          <w:b w:val="0"/>
          <w:bCs w:val="0"/>
          <w:sz w:val="20"/>
          <w:szCs w:val="20"/>
        </w:rPr>
        <w:t>increased TSH</w:t>
      </w:r>
      <w:r>
        <w:rPr>
          <w:rFonts w:ascii="Arial" w:hAnsi="Arial" w:cs="Arial"/>
          <w:sz w:val="20"/>
          <w:szCs w:val="20"/>
        </w:rPr>
        <w:t xml:space="preserve"> secretion is a compensatory response to </w:t>
      </w:r>
      <w:r>
        <w:rPr>
          <w:rStyle w:val="Strong"/>
          <w:rFonts w:ascii="Arial" w:hAnsi="Arial" w:cs="Arial"/>
          <w:b w:val="0"/>
          <w:bCs w:val="0"/>
          <w:sz w:val="20"/>
          <w:szCs w:val="20"/>
        </w:rPr>
        <w:t>iodine deficiency</w:t>
      </w:r>
      <w:r>
        <w:rPr>
          <w:rFonts w:ascii="Arial" w:hAnsi="Arial" w:cs="Arial"/>
          <w:sz w:val="20"/>
          <w:szCs w:val="20"/>
        </w:rPr>
        <w:t xml:space="preserve">, wherein the </w:t>
      </w:r>
      <w:r>
        <w:rPr>
          <w:rStyle w:val="Strong"/>
          <w:rFonts w:ascii="Arial" w:hAnsi="Arial" w:cs="Arial"/>
          <w:b w:val="0"/>
          <w:bCs w:val="0"/>
          <w:sz w:val="20"/>
          <w:szCs w:val="20"/>
        </w:rPr>
        <w:t>pituitary gland</w:t>
      </w:r>
      <w:r>
        <w:rPr>
          <w:rFonts w:ascii="Arial" w:hAnsi="Arial" w:cs="Arial"/>
          <w:sz w:val="20"/>
          <w:szCs w:val="20"/>
        </w:rPr>
        <w:t xml:space="preserve"> stimulates the thyroid to enhance hormone synthesis. However, due to inadequate iodine availability, this stimulation results in </w:t>
      </w:r>
      <w:r>
        <w:rPr>
          <w:rStyle w:val="Strong"/>
          <w:rFonts w:ascii="Arial" w:hAnsi="Arial" w:cs="Arial"/>
          <w:b w:val="0"/>
          <w:bCs w:val="0"/>
          <w:sz w:val="20"/>
          <w:szCs w:val="20"/>
        </w:rPr>
        <w:t>thyroid follicular cell hypertrophy and hyperplasia</w:t>
      </w:r>
      <w:r>
        <w:rPr>
          <w:rFonts w:ascii="Arial" w:hAnsi="Arial" w:cs="Arial"/>
          <w:sz w:val="20"/>
          <w:szCs w:val="20"/>
        </w:rPr>
        <w:t xml:space="preserve">, leading to </w:t>
      </w:r>
      <w:r>
        <w:rPr>
          <w:rStyle w:val="Strong"/>
          <w:rFonts w:ascii="Arial" w:hAnsi="Arial" w:cs="Arial"/>
          <w:b w:val="0"/>
          <w:bCs w:val="0"/>
          <w:sz w:val="20"/>
          <w:szCs w:val="20"/>
        </w:rPr>
        <w:t>glandular enlargement</w:t>
      </w:r>
      <w:r>
        <w:rPr>
          <w:rFonts w:ascii="Arial" w:hAnsi="Arial" w:cs="Arial"/>
          <w:sz w:val="20"/>
          <w:szCs w:val="20"/>
        </w:rPr>
        <w:t xml:space="preserve"> (</w:t>
      </w:r>
      <w:proofErr w:type="spellStart"/>
      <w:r>
        <w:rPr>
          <w:rFonts w:ascii="Arial" w:hAnsi="Arial" w:cs="Arial"/>
          <w:sz w:val="20"/>
          <w:szCs w:val="20"/>
        </w:rPr>
        <w:t>Davoodi</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2022).</w:t>
      </w:r>
    </w:p>
    <w:p w:rsidR="00B42E03" w:rsidRDefault="006D1C76">
      <w:pPr>
        <w:pStyle w:val="NormalWeb"/>
        <w:ind w:firstLine="720"/>
        <w:jc w:val="both"/>
      </w:pPr>
      <w:r>
        <w:rPr>
          <w:rFonts w:ascii="Arial" w:hAnsi="Arial" w:cs="Arial"/>
          <w:sz w:val="20"/>
          <w:szCs w:val="20"/>
        </w:rPr>
        <w:t xml:space="preserve">Radiographic examination in the current study revealed </w:t>
      </w:r>
      <w:r>
        <w:rPr>
          <w:rStyle w:val="Strong"/>
          <w:rFonts w:ascii="Arial" w:hAnsi="Arial" w:cs="Arial"/>
          <w:b w:val="0"/>
          <w:bCs w:val="0"/>
          <w:sz w:val="20"/>
          <w:szCs w:val="20"/>
        </w:rPr>
        <w:t>increased soft tissue opacity in the ventral neck region</w:t>
      </w:r>
      <w:r>
        <w:rPr>
          <w:rFonts w:ascii="Arial" w:hAnsi="Arial" w:cs="Arial"/>
          <w:sz w:val="20"/>
          <w:szCs w:val="20"/>
        </w:rPr>
        <w:t xml:space="preserve">, consistent with thyroid enlargement. Similar radiographic features were also described by </w:t>
      </w:r>
      <w:proofErr w:type="spellStart"/>
      <w:r>
        <w:rPr>
          <w:rStyle w:val="Strong"/>
          <w:rFonts w:ascii="Arial" w:hAnsi="Arial" w:cs="Arial"/>
          <w:b w:val="0"/>
          <w:bCs w:val="0"/>
          <w:sz w:val="20"/>
          <w:szCs w:val="20"/>
        </w:rPr>
        <w:t>Davoodi</w:t>
      </w:r>
      <w:proofErr w:type="spellEnd"/>
      <w:r>
        <w:rPr>
          <w:rStyle w:val="Strong"/>
          <w:rFonts w:ascii="Arial" w:hAnsi="Arial" w:cs="Arial"/>
          <w:b w:val="0"/>
          <w:bCs w:val="0"/>
          <w:sz w:val="20"/>
          <w:szCs w:val="20"/>
        </w:rPr>
        <w:t xml:space="preserve"> </w:t>
      </w:r>
      <w:r>
        <w:rPr>
          <w:rStyle w:val="Strong"/>
          <w:rFonts w:ascii="Arial" w:hAnsi="Arial" w:cs="Arial"/>
          <w:b w:val="0"/>
          <w:bCs w:val="0"/>
          <w:i/>
          <w:iCs/>
          <w:sz w:val="20"/>
          <w:szCs w:val="20"/>
        </w:rPr>
        <w:t>et al</w:t>
      </w:r>
      <w:r>
        <w:rPr>
          <w:rStyle w:val="Strong"/>
          <w:rFonts w:ascii="Arial" w:hAnsi="Arial" w:cs="Arial"/>
          <w:b w:val="0"/>
          <w:bCs w:val="0"/>
          <w:sz w:val="20"/>
          <w:szCs w:val="20"/>
        </w:rPr>
        <w:t>. (2022)</w:t>
      </w:r>
      <w:r>
        <w:rPr>
          <w:rFonts w:ascii="Arial" w:hAnsi="Arial" w:cs="Arial"/>
          <w:sz w:val="20"/>
          <w:szCs w:val="20"/>
        </w:rPr>
        <w:t xml:space="preserve">, who reported </w:t>
      </w:r>
      <w:r>
        <w:rPr>
          <w:rStyle w:val="Strong"/>
          <w:rFonts w:ascii="Arial" w:hAnsi="Arial" w:cs="Arial"/>
          <w:b w:val="0"/>
          <w:bCs w:val="0"/>
          <w:sz w:val="20"/>
          <w:szCs w:val="20"/>
        </w:rPr>
        <w:t>soft tissue opacities anterior to the trachea</w:t>
      </w:r>
      <w:r>
        <w:rPr>
          <w:rFonts w:ascii="Arial" w:hAnsi="Arial" w:cs="Arial"/>
          <w:sz w:val="20"/>
          <w:szCs w:val="20"/>
        </w:rPr>
        <w:t xml:space="preserve"> in </w:t>
      </w:r>
      <w:proofErr w:type="spellStart"/>
      <w:r>
        <w:rPr>
          <w:rFonts w:ascii="Arial" w:hAnsi="Arial" w:cs="Arial"/>
          <w:sz w:val="20"/>
          <w:szCs w:val="20"/>
        </w:rPr>
        <w:t>goitrous</w:t>
      </w:r>
      <w:proofErr w:type="spellEnd"/>
      <w:r>
        <w:rPr>
          <w:rFonts w:ascii="Arial" w:hAnsi="Arial" w:cs="Arial"/>
          <w:sz w:val="20"/>
          <w:szCs w:val="20"/>
        </w:rPr>
        <w:t xml:space="preserve"> kids, corroborating the present </w:t>
      </w:r>
      <w:proofErr w:type="spellStart"/>
      <w:proofErr w:type="gramStart"/>
      <w:r>
        <w:rPr>
          <w:rFonts w:ascii="Arial" w:hAnsi="Arial" w:cs="Arial"/>
          <w:sz w:val="20"/>
          <w:szCs w:val="20"/>
        </w:rPr>
        <w:t>findings.Ultrasonographic</w:t>
      </w:r>
      <w:proofErr w:type="spellEnd"/>
      <w:proofErr w:type="gramEnd"/>
      <w:r>
        <w:rPr>
          <w:rFonts w:ascii="Arial" w:hAnsi="Arial" w:cs="Arial"/>
          <w:sz w:val="20"/>
          <w:szCs w:val="20"/>
        </w:rPr>
        <w:t xml:space="preserve"> evaluation demonstrated </w:t>
      </w:r>
      <w:r>
        <w:rPr>
          <w:rStyle w:val="Strong"/>
          <w:rFonts w:ascii="Arial" w:hAnsi="Arial" w:cs="Arial"/>
          <w:b w:val="0"/>
          <w:bCs w:val="0"/>
          <w:sz w:val="20"/>
          <w:szCs w:val="20"/>
        </w:rPr>
        <w:t>enlargement of the thyroid gland</w:t>
      </w:r>
      <w:r>
        <w:rPr>
          <w:rFonts w:ascii="Arial" w:hAnsi="Arial" w:cs="Arial"/>
          <w:sz w:val="20"/>
          <w:szCs w:val="20"/>
        </w:rPr>
        <w:t xml:space="preserve"> with </w:t>
      </w:r>
      <w:r>
        <w:rPr>
          <w:rStyle w:val="Strong"/>
          <w:rFonts w:ascii="Arial" w:hAnsi="Arial" w:cs="Arial"/>
          <w:b w:val="0"/>
          <w:bCs w:val="0"/>
          <w:sz w:val="20"/>
          <w:szCs w:val="20"/>
        </w:rPr>
        <w:t>heterogeneous echotexture</w:t>
      </w:r>
      <w:r>
        <w:rPr>
          <w:rFonts w:ascii="Arial" w:hAnsi="Arial" w:cs="Arial"/>
          <w:sz w:val="20"/>
          <w:szCs w:val="20"/>
        </w:rPr>
        <w:t xml:space="preserve">, suggestive of </w:t>
      </w:r>
      <w:r>
        <w:rPr>
          <w:rStyle w:val="Strong"/>
          <w:rFonts w:ascii="Arial" w:hAnsi="Arial" w:cs="Arial"/>
          <w:b w:val="0"/>
          <w:bCs w:val="0"/>
          <w:sz w:val="20"/>
          <w:szCs w:val="20"/>
        </w:rPr>
        <w:t>thyroid hyperplasia</w:t>
      </w:r>
      <w:r>
        <w:rPr>
          <w:rFonts w:ascii="Arial" w:hAnsi="Arial" w:cs="Arial"/>
          <w:sz w:val="20"/>
          <w:szCs w:val="20"/>
        </w:rPr>
        <w:t xml:space="preserve">. Comparable sonographic findings have been reported in iodine deficiency–related </w:t>
      </w:r>
      <w:proofErr w:type="spellStart"/>
      <w:r>
        <w:rPr>
          <w:rFonts w:ascii="Arial" w:hAnsi="Arial" w:cs="Arial"/>
          <w:sz w:val="20"/>
          <w:szCs w:val="20"/>
        </w:rPr>
        <w:t>goitre</w:t>
      </w:r>
      <w:proofErr w:type="spellEnd"/>
      <w:r>
        <w:rPr>
          <w:rFonts w:ascii="Arial" w:hAnsi="Arial" w:cs="Arial"/>
          <w:sz w:val="20"/>
          <w:szCs w:val="20"/>
        </w:rPr>
        <w:t xml:space="preserve"> by </w:t>
      </w:r>
      <w:r>
        <w:rPr>
          <w:rStyle w:val="Strong"/>
          <w:rFonts w:ascii="Arial" w:hAnsi="Arial" w:cs="Arial"/>
          <w:b w:val="0"/>
          <w:bCs w:val="0"/>
          <w:sz w:val="20"/>
          <w:szCs w:val="20"/>
        </w:rPr>
        <w:t xml:space="preserve">Agrawal </w:t>
      </w:r>
      <w:r>
        <w:rPr>
          <w:rStyle w:val="Strong"/>
          <w:rFonts w:ascii="Arial" w:hAnsi="Arial" w:cs="Arial"/>
          <w:b w:val="0"/>
          <w:bCs w:val="0"/>
          <w:i/>
          <w:iCs/>
          <w:sz w:val="20"/>
          <w:szCs w:val="20"/>
        </w:rPr>
        <w:t>et al.</w:t>
      </w:r>
      <w:r>
        <w:rPr>
          <w:rStyle w:val="Strong"/>
          <w:rFonts w:ascii="Arial" w:hAnsi="Arial" w:cs="Arial"/>
          <w:b w:val="0"/>
          <w:bCs w:val="0"/>
          <w:sz w:val="20"/>
          <w:szCs w:val="20"/>
        </w:rPr>
        <w:t xml:space="preserve"> (2016)</w:t>
      </w:r>
      <w:r>
        <w:rPr>
          <w:rFonts w:ascii="Arial" w:hAnsi="Arial" w:cs="Arial"/>
          <w:sz w:val="20"/>
          <w:szCs w:val="20"/>
        </w:rPr>
        <w:t xml:space="preserve">. </w:t>
      </w:r>
    </w:p>
    <w:p w:rsidR="00B42E03" w:rsidRDefault="006D1C76">
      <w:pPr>
        <w:pStyle w:val="NormalWeb"/>
        <w:jc w:val="both"/>
        <w:rPr>
          <w:rFonts w:ascii="Arial" w:hAnsi="Arial" w:cs="Arial"/>
          <w:sz w:val="20"/>
          <w:szCs w:val="20"/>
        </w:rPr>
      </w:pPr>
      <w:r>
        <w:rPr>
          <w:rFonts w:ascii="Arial" w:eastAsia="Lato" w:hAnsi="Arial" w:cs="Arial"/>
          <w:color w:val="231F20"/>
          <w:sz w:val="20"/>
          <w:szCs w:val="20"/>
          <w:lang w:val="en-IN" w:bidi="ar"/>
        </w:rPr>
        <w:t xml:space="preserve"> </w:t>
      </w:r>
      <w:r>
        <w:rPr>
          <w:rFonts w:ascii="Arial" w:eastAsia="Lato" w:hAnsi="Arial" w:cs="Arial"/>
          <w:color w:val="231F20"/>
          <w:sz w:val="20"/>
          <w:szCs w:val="20"/>
          <w:lang w:val="en-IN" w:bidi="ar"/>
        </w:rPr>
        <w:tab/>
      </w:r>
      <w:r>
        <w:rPr>
          <w:rFonts w:ascii="Arial" w:hAnsi="Arial" w:cs="Arial"/>
          <w:color w:val="231F20"/>
          <w:sz w:val="20"/>
          <w:szCs w:val="20"/>
          <w:lang w:val="en-IN" w:bidi="ar"/>
        </w:rPr>
        <w:t xml:space="preserve"> </w:t>
      </w:r>
      <w:r>
        <w:rPr>
          <w:rFonts w:ascii="Arial" w:hAnsi="Arial" w:cs="Arial"/>
          <w:sz w:val="20"/>
          <w:szCs w:val="20"/>
        </w:rPr>
        <w:t xml:space="preserve">According to the literature, the most frequently reported form of </w:t>
      </w:r>
      <w:r>
        <w:rPr>
          <w:rStyle w:val="Strong"/>
          <w:rFonts w:ascii="Arial" w:hAnsi="Arial" w:cs="Arial"/>
          <w:b w:val="0"/>
          <w:bCs w:val="0"/>
          <w:sz w:val="20"/>
          <w:szCs w:val="20"/>
        </w:rPr>
        <w:t xml:space="preserve">congenital </w:t>
      </w:r>
      <w:proofErr w:type="spellStart"/>
      <w:r>
        <w:rPr>
          <w:rStyle w:val="Strong"/>
          <w:rFonts w:ascii="Arial" w:hAnsi="Arial" w:cs="Arial"/>
          <w:b w:val="0"/>
          <w:bCs w:val="0"/>
          <w:sz w:val="20"/>
          <w:szCs w:val="20"/>
        </w:rPr>
        <w:t>goitre</w:t>
      </w:r>
      <w:proofErr w:type="spellEnd"/>
      <w:r>
        <w:rPr>
          <w:rFonts w:ascii="Arial" w:hAnsi="Arial" w:cs="Arial"/>
          <w:sz w:val="20"/>
          <w:szCs w:val="20"/>
        </w:rPr>
        <w:t xml:space="preserve"> is the </w:t>
      </w:r>
      <w:r>
        <w:rPr>
          <w:rStyle w:val="Strong"/>
          <w:rFonts w:ascii="Arial" w:hAnsi="Arial" w:cs="Arial"/>
          <w:b w:val="0"/>
          <w:bCs w:val="0"/>
          <w:sz w:val="20"/>
          <w:szCs w:val="20"/>
        </w:rPr>
        <w:t>hyperplastic type</w:t>
      </w:r>
      <w:r>
        <w:rPr>
          <w:rFonts w:ascii="Arial" w:hAnsi="Arial" w:cs="Arial"/>
          <w:sz w:val="20"/>
          <w:szCs w:val="20"/>
        </w:rPr>
        <w:t xml:space="preserve">, characterized by </w:t>
      </w:r>
      <w:r>
        <w:rPr>
          <w:rStyle w:val="Strong"/>
          <w:rFonts w:ascii="Arial" w:hAnsi="Arial" w:cs="Arial"/>
          <w:b w:val="0"/>
          <w:bCs w:val="0"/>
          <w:sz w:val="20"/>
          <w:szCs w:val="20"/>
        </w:rPr>
        <w:t>excessive proliferation of thyroid follicular epithelial cells</w:t>
      </w:r>
      <w:r>
        <w:rPr>
          <w:rFonts w:ascii="Arial" w:hAnsi="Arial" w:cs="Arial"/>
          <w:sz w:val="20"/>
          <w:szCs w:val="20"/>
        </w:rPr>
        <w:t xml:space="preserve">, leading to the formation of </w:t>
      </w:r>
      <w:r>
        <w:rPr>
          <w:rStyle w:val="Strong"/>
          <w:rFonts w:ascii="Arial" w:hAnsi="Arial" w:cs="Arial"/>
          <w:b w:val="0"/>
          <w:bCs w:val="0"/>
          <w:sz w:val="20"/>
          <w:szCs w:val="20"/>
        </w:rPr>
        <w:t>solid cellular clusters and slit-like follicles</w:t>
      </w:r>
      <w:r>
        <w:rPr>
          <w:rFonts w:ascii="Arial" w:hAnsi="Arial" w:cs="Arial"/>
          <w:sz w:val="20"/>
          <w:szCs w:val="20"/>
        </w:rPr>
        <w:t xml:space="preserve">. These follicles often exhibit </w:t>
      </w:r>
      <w:r>
        <w:rPr>
          <w:rStyle w:val="Strong"/>
          <w:rFonts w:ascii="Arial" w:hAnsi="Arial" w:cs="Arial"/>
          <w:b w:val="0"/>
          <w:bCs w:val="0"/>
          <w:sz w:val="20"/>
          <w:szCs w:val="20"/>
        </w:rPr>
        <w:t>papillary projections or villous infoldings into the follicular lumen</w:t>
      </w:r>
      <w:r>
        <w:rPr>
          <w:rFonts w:ascii="Arial" w:hAnsi="Arial" w:cs="Arial"/>
          <w:sz w:val="20"/>
          <w:szCs w:val="20"/>
        </w:rPr>
        <w:t xml:space="preserve"> (</w:t>
      </w:r>
      <w:proofErr w:type="spellStart"/>
      <w:r>
        <w:rPr>
          <w:rFonts w:ascii="Arial" w:hAnsi="Arial" w:cs="Arial"/>
          <w:sz w:val="20"/>
          <w:szCs w:val="20"/>
        </w:rPr>
        <w:t>Bires</w:t>
      </w:r>
      <w:proofErr w:type="spellEnd"/>
      <w:r>
        <w:rPr>
          <w:rFonts w:ascii="Arial" w:hAnsi="Arial" w:cs="Arial"/>
          <w:sz w:val="20"/>
          <w:szCs w:val="20"/>
        </w:rPr>
        <w:t xml:space="preserve"> et al., 1996). The </w:t>
      </w:r>
      <w:r>
        <w:rPr>
          <w:rStyle w:val="Strong"/>
          <w:rFonts w:ascii="Arial" w:hAnsi="Arial" w:cs="Arial"/>
          <w:b w:val="0"/>
          <w:bCs w:val="0"/>
          <w:sz w:val="20"/>
          <w:szCs w:val="20"/>
        </w:rPr>
        <w:t>epithelial cells</w:t>
      </w:r>
      <w:r>
        <w:rPr>
          <w:rFonts w:ascii="Arial" w:hAnsi="Arial" w:cs="Arial"/>
          <w:sz w:val="20"/>
          <w:szCs w:val="20"/>
        </w:rPr>
        <w:t xml:space="preserve"> in such cases are typically </w:t>
      </w:r>
      <w:r>
        <w:rPr>
          <w:rStyle w:val="Strong"/>
          <w:rFonts w:ascii="Arial" w:hAnsi="Arial" w:cs="Arial"/>
          <w:b w:val="0"/>
          <w:bCs w:val="0"/>
          <w:sz w:val="20"/>
          <w:szCs w:val="20"/>
        </w:rPr>
        <w:t>columnar in shape</w:t>
      </w:r>
      <w:r>
        <w:rPr>
          <w:rFonts w:ascii="Arial" w:hAnsi="Arial" w:cs="Arial"/>
          <w:sz w:val="20"/>
          <w:szCs w:val="20"/>
        </w:rPr>
        <w:t xml:space="preserve">, and the </w:t>
      </w:r>
      <w:r>
        <w:rPr>
          <w:rStyle w:val="Strong"/>
          <w:rFonts w:ascii="Arial" w:hAnsi="Arial" w:cs="Arial"/>
          <w:b w:val="0"/>
          <w:bCs w:val="0"/>
          <w:sz w:val="20"/>
          <w:szCs w:val="20"/>
        </w:rPr>
        <w:t xml:space="preserve">colloid </w:t>
      </w:r>
      <w:r>
        <w:rPr>
          <w:rStyle w:val="Strong"/>
          <w:rFonts w:ascii="Arial" w:hAnsi="Arial" w:cs="Arial"/>
          <w:b w:val="0"/>
          <w:bCs w:val="0"/>
          <w:sz w:val="20"/>
          <w:szCs w:val="20"/>
        </w:rPr>
        <w:lastRenderedPageBreak/>
        <w:t>content within the follicles is minimal</w:t>
      </w:r>
      <w:r>
        <w:rPr>
          <w:rFonts w:ascii="Arial" w:hAnsi="Arial" w:cs="Arial"/>
          <w:sz w:val="20"/>
          <w:szCs w:val="20"/>
        </w:rPr>
        <w:t xml:space="preserve"> (Maxi, 2007; Bhardwaj &amp; </w:t>
      </w:r>
      <w:proofErr w:type="spellStart"/>
      <w:r>
        <w:rPr>
          <w:rFonts w:ascii="Arial" w:hAnsi="Arial" w:cs="Arial"/>
          <w:sz w:val="20"/>
          <w:szCs w:val="20"/>
        </w:rPr>
        <w:t>Kukovics</w:t>
      </w:r>
      <w:proofErr w:type="spellEnd"/>
      <w:r>
        <w:rPr>
          <w:rFonts w:ascii="Arial" w:hAnsi="Arial" w:cs="Arial"/>
          <w:sz w:val="20"/>
          <w:szCs w:val="20"/>
        </w:rPr>
        <w:t xml:space="preserve">, 2018).Similarly, </w:t>
      </w:r>
      <w:r>
        <w:rPr>
          <w:rStyle w:val="Strong"/>
          <w:rFonts w:ascii="Arial" w:hAnsi="Arial" w:cs="Arial"/>
          <w:b w:val="0"/>
          <w:bCs w:val="0"/>
          <w:sz w:val="20"/>
          <w:szCs w:val="20"/>
        </w:rPr>
        <w:t xml:space="preserve">Ong </w:t>
      </w:r>
      <w:r>
        <w:rPr>
          <w:rStyle w:val="Strong"/>
          <w:rFonts w:ascii="Arial" w:hAnsi="Arial" w:cs="Arial"/>
          <w:b w:val="0"/>
          <w:bCs w:val="0"/>
          <w:i/>
          <w:iCs/>
          <w:sz w:val="20"/>
          <w:szCs w:val="20"/>
        </w:rPr>
        <w:t>et al</w:t>
      </w:r>
      <w:r>
        <w:rPr>
          <w:rStyle w:val="Strong"/>
          <w:rFonts w:ascii="Arial" w:hAnsi="Arial" w:cs="Arial"/>
          <w:b w:val="0"/>
          <w:bCs w:val="0"/>
          <w:sz w:val="20"/>
          <w:szCs w:val="20"/>
        </w:rPr>
        <w:t>. (2014)</w:t>
      </w:r>
      <w:r>
        <w:rPr>
          <w:rFonts w:ascii="Arial" w:hAnsi="Arial" w:cs="Arial"/>
          <w:sz w:val="20"/>
          <w:szCs w:val="20"/>
        </w:rPr>
        <w:t xml:space="preserve">, in their study on hyperplastic </w:t>
      </w:r>
      <w:proofErr w:type="spellStart"/>
      <w:r>
        <w:rPr>
          <w:rFonts w:ascii="Arial" w:hAnsi="Arial" w:cs="Arial"/>
          <w:sz w:val="20"/>
          <w:szCs w:val="20"/>
        </w:rPr>
        <w:t>goitre</w:t>
      </w:r>
      <w:proofErr w:type="spellEnd"/>
      <w:r>
        <w:rPr>
          <w:rFonts w:ascii="Arial" w:hAnsi="Arial" w:cs="Arial"/>
          <w:sz w:val="20"/>
          <w:szCs w:val="20"/>
        </w:rPr>
        <w:t xml:space="preserve"> in two adult dairy cows, reported </w:t>
      </w:r>
      <w:r>
        <w:rPr>
          <w:rStyle w:val="Strong"/>
          <w:rFonts w:ascii="Arial" w:hAnsi="Arial" w:cs="Arial"/>
          <w:b w:val="0"/>
          <w:bCs w:val="0"/>
          <w:sz w:val="20"/>
          <w:szCs w:val="20"/>
        </w:rPr>
        <w:t>disruption and atrophy of thyroid follicles</w:t>
      </w:r>
      <w:r>
        <w:rPr>
          <w:rFonts w:ascii="Arial" w:hAnsi="Arial" w:cs="Arial"/>
          <w:sz w:val="20"/>
          <w:szCs w:val="20"/>
        </w:rPr>
        <w:t xml:space="preserve">, </w:t>
      </w:r>
      <w:r>
        <w:rPr>
          <w:rStyle w:val="Strong"/>
          <w:rFonts w:ascii="Arial" w:hAnsi="Arial" w:cs="Arial"/>
          <w:b w:val="0"/>
          <w:bCs w:val="0"/>
          <w:sz w:val="20"/>
          <w:szCs w:val="20"/>
        </w:rPr>
        <w:t>separation of follicular structures</w:t>
      </w:r>
      <w:r>
        <w:rPr>
          <w:rFonts w:ascii="Arial" w:hAnsi="Arial" w:cs="Arial"/>
          <w:sz w:val="20"/>
          <w:szCs w:val="20"/>
        </w:rPr>
        <w:t xml:space="preserve">, and </w:t>
      </w:r>
      <w:r>
        <w:rPr>
          <w:rStyle w:val="Strong"/>
          <w:rFonts w:ascii="Arial" w:hAnsi="Arial" w:cs="Arial"/>
          <w:b w:val="0"/>
          <w:bCs w:val="0"/>
          <w:sz w:val="20"/>
          <w:szCs w:val="20"/>
        </w:rPr>
        <w:t xml:space="preserve">morphological alterations in the follicular epithelial </w:t>
      </w:r>
      <w:proofErr w:type="spellStart"/>
      <w:r>
        <w:rPr>
          <w:rStyle w:val="Strong"/>
          <w:rFonts w:ascii="Arial" w:hAnsi="Arial" w:cs="Arial"/>
          <w:b w:val="0"/>
          <w:bCs w:val="0"/>
          <w:sz w:val="20"/>
          <w:szCs w:val="20"/>
        </w:rPr>
        <w:t>cells</w:t>
      </w:r>
      <w:r>
        <w:rPr>
          <w:rFonts w:ascii="Arial" w:hAnsi="Arial" w:cs="Arial"/>
          <w:sz w:val="20"/>
          <w:szCs w:val="20"/>
        </w:rPr>
        <w:t>.In</w:t>
      </w:r>
      <w:proofErr w:type="spellEnd"/>
      <w:r>
        <w:rPr>
          <w:rFonts w:ascii="Arial" w:hAnsi="Arial" w:cs="Arial"/>
          <w:sz w:val="20"/>
          <w:szCs w:val="20"/>
        </w:rPr>
        <w:t xml:space="preserve"> agreement with these previous reports, the </w:t>
      </w:r>
      <w:r>
        <w:rPr>
          <w:rStyle w:val="Strong"/>
          <w:rFonts w:ascii="Arial" w:hAnsi="Arial" w:cs="Arial"/>
          <w:b w:val="0"/>
          <w:bCs w:val="0"/>
          <w:sz w:val="20"/>
          <w:szCs w:val="20"/>
        </w:rPr>
        <w:t>histopathological findings</w:t>
      </w:r>
      <w:r>
        <w:rPr>
          <w:rFonts w:ascii="Arial" w:hAnsi="Arial" w:cs="Arial"/>
          <w:sz w:val="20"/>
          <w:szCs w:val="20"/>
        </w:rPr>
        <w:t xml:space="preserve"> in the current study revealed </w:t>
      </w:r>
      <w:r>
        <w:rPr>
          <w:rStyle w:val="Strong"/>
          <w:rFonts w:ascii="Arial" w:hAnsi="Arial" w:cs="Arial"/>
          <w:b w:val="0"/>
          <w:bCs w:val="0"/>
          <w:sz w:val="20"/>
          <w:szCs w:val="20"/>
        </w:rPr>
        <w:t>marked variation in follicular size</w:t>
      </w:r>
      <w:r>
        <w:rPr>
          <w:rFonts w:ascii="Arial" w:hAnsi="Arial" w:cs="Arial"/>
          <w:sz w:val="20"/>
          <w:szCs w:val="20"/>
        </w:rPr>
        <w:t xml:space="preserve"> accompanied by </w:t>
      </w:r>
      <w:r>
        <w:rPr>
          <w:rStyle w:val="Strong"/>
          <w:rFonts w:ascii="Arial" w:hAnsi="Arial" w:cs="Arial"/>
          <w:b w:val="0"/>
          <w:bCs w:val="0"/>
          <w:sz w:val="20"/>
          <w:szCs w:val="20"/>
        </w:rPr>
        <w:t>pronounced hyperplastic changes (100%)</w:t>
      </w:r>
      <w:r>
        <w:rPr>
          <w:rFonts w:ascii="Arial" w:hAnsi="Arial" w:cs="Arial"/>
          <w:sz w:val="20"/>
          <w:szCs w:val="20"/>
        </w:rPr>
        <w:t xml:space="preserve">. The follicles were </w:t>
      </w:r>
      <w:r>
        <w:rPr>
          <w:rStyle w:val="Strong"/>
          <w:rFonts w:ascii="Arial" w:hAnsi="Arial" w:cs="Arial"/>
          <w:b w:val="0"/>
          <w:bCs w:val="0"/>
          <w:sz w:val="20"/>
          <w:szCs w:val="20"/>
        </w:rPr>
        <w:t>lined by multiple layers of follicular epithelial cells forming papillary projections into the lumen (66.67%)</w:t>
      </w:r>
      <w:r>
        <w:rPr>
          <w:rFonts w:ascii="Arial" w:hAnsi="Arial" w:cs="Arial"/>
          <w:sz w:val="20"/>
          <w:szCs w:val="20"/>
        </w:rPr>
        <w:t xml:space="preserve">, along with </w:t>
      </w:r>
      <w:r>
        <w:rPr>
          <w:rStyle w:val="Strong"/>
          <w:rFonts w:ascii="Arial" w:hAnsi="Arial" w:cs="Arial"/>
          <w:b w:val="0"/>
          <w:bCs w:val="0"/>
          <w:sz w:val="20"/>
          <w:szCs w:val="20"/>
        </w:rPr>
        <w:t>disruption of follicular architecture (50%)</w:t>
      </w:r>
      <w:r>
        <w:rPr>
          <w:rFonts w:ascii="Arial" w:hAnsi="Arial" w:cs="Arial"/>
          <w:sz w:val="20"/>
          <w:szCs w:val="20"/>
        </w:rPr>
        <w:t xml:space="preserve"> and </w:t>
      </w:r>
      <w:r>
        <w:rPr>
          <w:rStyle w:val="Strong"/>
          <w:rFonts w:ascii="Arial" w:hAnsi="Arial" w:cs="Arial"/>
          <w:b w:val="0"/>
          <w:bCs w:val="0"/>
          <w:sz w:val="20"/>
          <w:szCs w:val="20"/>
        </w:rPr>
        <w:t>colloid depletion (50%)</w:t>
      </w:r>
      <w:r>
        <w:rPr>
          <w:rFonts w:ascii="Arial" w:hAnsi="Arial" w:cs="Arial"/>
          <w:sz w:val="20"/>
          <w:szCs w:val="20"/>
        </w:rPr>
        <w:t xml:space="preserve">. In some cases, </w:t>
      </w:r>
      <w:r>
        <w:rPr>
          <w:rStyle w:val="Strong"/>
          <w:rFonts w:ascii="Arial" w:hAnsi="Arial" w:cs="Arial"/>
          <w:b w:val="0"/>
          <w:bCs w:val="0"/>
          <w:sz w:val="20"/>
          <w:szCs w:val="20"/>
        </w:rPr>
        <w:t>columnar follicular epithelial cells with hyperchromatic nuclei (33.33%)</w:t>
      </w:r>
      <w:r>
        <w:rPr>
          <w:rFonts w:ascii="Arial" w:hAnsi="Arial" w:cs="Arial"/>
          <w:sz w:val="20"/>
          <w:szCs w:val="20"/>
        </w:rPr>
        <w:t xml:space="preserve"> were also observed. These microscopic alterations confirm the </w:t>
      </w:r>
      <w:r>
        <w:rPr>
          <w:rStyle w:val="Strong"/>
          <w:rFonts w:ascii="Arial" w:hAnsi="Arial" w:cs="Arial"/>
          <w:b w:val="0"/>
          <w:bCs w:val="0"/>
          <w:sz w:val="20"/>
          <w:szCs w:val="20"/>
        </w:rPr>
        <w:t xml:space="preserve">hyperplastic nature of congenital </w:t>
      </w:r>
      <w:proofErr w:type="spellStart"/>
      <w:r>
        <w:rPr>
          <w:rStyle w:val="Strong"/>
          <w:rFonts w:ascii="Arial" w:hAnsi="Arial" w:cs="Arial"/>
          <w:b w:val="0"/>
          <w:bCs w:val="0"/>
          <w:sz w:val="20"/>
          <w:szCs w:val="20"/>
        </w:rPr>
        <w:t>goitre</w:t>
      </w:r>
      <w:proofErr w:type="spellEnd"/>
      <w:r>
        <w:rPr>
          <w:rFonts w:ascii="Arial" w:hAnsi="Arial" w:cs="Arial"/>
          <w:sz w:val="20"/>
          <w:szCs w:val="20"/>
        </w:rPr>
        <w:t xml:space="preserve"> observed in the affected goats.</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In the present study, all </w:t>
      </w:r>
      <w:proofErr w:type="spellStart"/>
      <w:r>
        <w:rPr>
          <w:rFonts w:ascii="Arial" w:hAnsi="Arial" w:cs="Arial"/>
          <w:sz w:val="20"/>
          <w:szCs w:val="20"/>
        </w:rPr>
        <w:t>goitrous</w:t>
      </w:r>
      <w:proofErr w:type="spellEnd"/>
      <w:r>
        <w:rPr>
          <w:rFonts w:ascii="Arial" w:hAnsi="Arial" w:cs="Arial"/>
          <w:sz w:val="20"/>
          <w:szCs w:val="20"/>
        </w:rPr>
        <w:t xml:space="preserve"> goat kids were treated with a combination of </w:t>
      </w:r>
      <w:r>
        <w:rPr>
          <w:rStyle w:val="Strong"/>
          <w:rFonts w:ascii="Arial" w:hAnsi="Arial" w:cs="Arial"/>
          <w:b w:val="0"/>
          <w:bCs w:val="0"/>
          <w:sz w:val="20"/>
          <w:szCs w:val="20"/>
        </w:rPr>
        <w:t>levothyroxine sodium</w:t>
      </w:r>
      <w:r>
        <w:rPr>
          <w:rFonts w:ascii="Arial" w:hAnsi="Arial" w:cs="Arial"/>
          <w:sz w:val="20"/>
          <w:szCs w:val="20"/>
        </w:rPr>
        <w:t xml:space="preserve"> and </w:t>
      </w:r>
      <w:r>
        <w:rPr>
          <w:rStyle w:val="Strong"/>
          <w:rFonts w:ascii="Arial" w:hAnsi="Arial" w:cs="Arial"/>
          <w:b w:val="0"/>
          <w:bCs w:val="0"/>
          <w:sz w:val="20"/>
          <w:szCs w:val="20"/>
        </w:rPr>
        <w:t>potassium iodide</w:t>
      </w:r>
      <w:r>
        <w:rPr>
          <w:rFonts w:ascii="Arial" w:hAnsi="Arial" w:cs="Arial"/>
          <w:sz w:val="20"/>
          <w:szCs w:val="20"/>
        </w:rPr>
        <w:t xml:space="preserve"> administered orally, resulting in </w:t>
      </w:r>
      <w:r>
        <w:rPr>
          <w:rStyle w:val="Strong"/>
          <w:rFonts w:ascii="Arial" w:hAnsi="Arial" w:cs="Arial"/>
          <w:b w:val="0"/>
          <w:bCs w:val="0"/>
          <w:sz w:val="20"/>
          <w:szCs w:val="20"/>
        </w:rPr>
        <w:t>marked clinical recovery</w:t>
      </w:r>
      <w:r>
        <w:rPr>
          <w:rFonts w:ascii="Arial" w:hAnsi="Arial" w:cs="Arial"/>
          <w:sz w:val="20"/>
          <w:szCs w:val="20"/>
        </w:rPr>
        <w:t xml:space="preserve">. As congenital </w:t>
      </w:r>
      <w:proofErr w:type="spellStart"/>
      <w:r>
        <w:rPr>
          <w:rFonts w:ascii="Arial" w:hAnsi="Arial" w:cs="Arial"/>
          <w:sz w:val="20"/>
          <w:szCs w:val="20"/>
        </w:rPr>
        <w:t>goitre</w:t>
      </w:r>
      <w:proofErr w:type="spellEnd"/>
      <w:r>
        <w:rPr>
          <w:rFonts w:ascii="Arial" w:hAnsi="Arial" w:cs="Arial"/>
          <w:sz w:val="20"/>
          <w:szCs w:val="20"/>
        </w:rPr>
        <w:t xml:space="preserve"> in kids primarily arises due to </w:t>
      </w:r>
      <w:r>
        <w:rPr>
          <w:rStyle w:val="Strong"/>
          <w:rFonts w:ascii="Arial" w:hAnsi="Arial" w:cs="Arial"/>
          <w:b w:val="0"/>
          <w:bCs w:val="0"/>
          <w:sz w:val="20"/>
          <w:szCs w:val="20"/>
        </w:rPr>
        <w:t>iodine deficiency</w:t>
      </w:r>
      <w:r>
        <w:rPr>
          <w:rFonts w:ascii="Arial" w:hAnsi="Arial" w:cs="Arial"/>
          <w:sz w:val="20"/>
          <w:szCs w:val="20"/>
        </w:rPr>
        <w:t xml:space="preserve">, which leads to </w:t>
      </w:r>
      <w:r>
        <w:rPr>
          <w:rStyle w:val="Strong"/>
          <w:rFonts w:ascii="Arial" w:hAnsi="Arial" w:cs="Arial"/>
          <w:b w:val="0"/>
          <w:bCs w:val="0"/>
          <w:sz w:val="20"/>
          <w:szCs w:val="20"/>
        </w:rPr>
        <w:t>reduced synthesis of thyroid hormones</w:t>
      </w:r>
      <w:r>
        <w:rPr>
          <w:rFonts w:ascii="Arial" w:hAnsi="Arial" w:cs="Arial"/>
          <w:sz w:val="20"/>
          <w:szCs w:val="20"/>
        </w:rPr>
        <w:t xml:space="preserve">, combination therapy was initiated to correct both </w:t>
      </w:r>
      <w:r>
        <w:rPr>
          <w:rStyle w:val="Strong"/>
          <w:rFonts w:ascii="Arial" w:hAnsi="Arial" w:cs="Arial"/>
          <w:b w:val="0"/>
          <w:bCs w:val="0"/>
          <w:sz w:val="20"/>
          <w:szCs w:val="20"/>
        </w:rPr>
        <w:t>hormonal insufficiency</w:t>
      </w:r>
      <w:r>
        <w:rPr>
          <w:rFonts w:ascii="Arial" w:hAnsi="Arial" w:cs="Arial"/>
          <w:sz w:val="20"/>
          <w:szCs w:val="20"/>
        </w:rPr>
        <w:t xml:space="preserve"> and </w:t>
      </w:r>
      <w:r>
        <w:rPr>
          <w:rStyle w:val="Strong"/>
          <w:rFonts w:ascii="Arial" w:hAnsi="Arial" w:cs="Arial"/>
          <w:b w:val="0"/>
          <w:bCs w:val="0"/>
          <w:sz w:val="20"/>
          <w:szCs w:val="20"/>
        </w:rPr>
        <w:t>iodine deficiency</w:t>
      </w:r>
      <w:r>
        <w:rPr>
          <w:rFonts w:ascii="Arial" w:hAnsi="Arial" w:cs="Arial"/>
          <w:sz w:val="20"/>
          <w:szCs w:val="20"/>
        </w:rPr>
        <w:t xml:space="preserve">. Following treatment, </w:t>
      </w:r>
      <w:r>
        <w:rPr>
          <w:rStyle w:val="Strong"/>
          <w:rFonts w:ascii="Arial" w:hAnsi="Arial" w:cs="Arial"/>
          <w:b w:val="0"/>
          <w:bCs w:val="0"/>
          <w:sz w:val="20"/>
          <w:szCs w:val="20"/>
        </w:rPr>
        <w:t>significant (p &lt; 0.05) increases in serum thyroid hormone (T₃ and T₄) levels</w:t>
      </w:r>
      <w:r>
        <w:rPr>
          <w:rFonts w:ascii="Arial" w:hAnsi="Arial" w:cs="Arial"/>
          <w:sz w:val="20"/>
          <w:szCs w:val="20"/>
        </w:rPr>
        <w:t xml:space="preserve"> were observed in all treated animals, and </w:t>
      </w:r>
      <w:r>
        <w:rPr>
          <w:rStyle w:val="Strong"/>
          <w:rFonts w:ascii="Arial" w:hAnsi="Arial" w:cs="Arial"/>
          <w:b w:val="0"/>
          <w:bCs w:val="0"/>
          <w:sz w:val="20"/>
          <w:szCs w:val="20"/>
        </w:rPr>
        <w:t>88.89%</w:t>
      </w:r>
      <w:r>
        <w:rPr>
          <w:rFonts w:ascii="Arial" w:hAnsi="Arial" w:cs="Arial"/>
          <w:sz w:val="20"/>
          <w:szCs w:val="20"/>
        </w:rPr>
        <w:t xml:space="preserve"> of the affected goats exhibited </w:t>
      </w:r>
      <w:r>
        <w:rPr>
          <w:rStyle w:val="Strong"/>
          <w:rFonts w:ascii="Arial" w:hAnsi="Arial" w:cs="Arial"/>
          <w:b w:val="0"/>
          <w:bCs w:val="0"/>
          <w:sz w:val="20"/>
          <w:szCs w:val="20"/>
        </w:rPr>
        <w:t>complete clinical recovery</w:t>
      </w:r>
      <w:r>
        <w:rPr>
          <w:rFonts w:ascii="Arial" w:hAnsi="Arial" w:cs="Arial"/>
          <w:sz w:val="20"/>
          <w:szCs w:val="20"/>
        </w:rPr>
        <w:t>, evidenced by regression of thyroid enlargement and normalization of clinical parameters.</w:t>
      </w:r>
    </w:p>
    <w:p w:rsidR="00B42E03" w:rsidRDefault="006D1C76">
      <w:pPr>
        <w:pStyle w:val="NormalWeb"/>
        <w:ind w:firstLine="720"/>
        <w:jc w:val="both"/>
        <w:rPr>
          <w:rFonts w:ascii="Arial" w:hAnsi="Arial" w:cs="Arial"/>
          <w:sz w:val="20"/>
          <w:szCs w:val="20"/>
        </w:rPr>
      </w:pPr>
      <w:r>
        <w:rPr>
          <w:rStyle w:val="Strong"/>
          <w:rFonts w:ascii="Arial" w:hAnsi="Arial" w:cs="Arial"/>
          <w:b w:val="0"/>
          <w:bCs w:val="0"/>
          <w:sz w:val="20"/>
          <w:szCs w:val="20"/>
        </w:rPr>
        <w:t>Levothyroxine sodium</w:t>
      </w:r>
      <w:r>
        <w:rPr>
          <w:rFonts w:ascii="Arial" w:hAnsi="Arial" w:cs="Arial"/>
          <w:sz w:val="20"/>
          <w:szCs w:val="20"/>
        </w:rPr>
        <w:t xml:space="preserve">, widely used in humans, has also been found effective in veterinary species including </w:t>
      </w:r>
      <w:r>
        <w:rPr>
          <w:rStyle w:val="Strong"/>
          <w:rFonts w:ascii="Arial" w:hAnsi="Arial" w:cs="Arial"/>
          <w:b w:val="0"/>
          <w:bCs w:val="0"/>
          <w:sz w:val="20"/>
          <w:szCs w:val="20"/>
        </w:rPr>
        <w:t>dogs and kids</w:t>
      </w:r>
      <w:r>
        <w:rPr>
          <w:rFonts w:ascii="Arial" w:hAnsi="Arial" w:cs="Arial"/>
          <w:sz w:val="20"/>
          <w:szCs w:val="20"/>
        </w:rPr>
        <w:t xml:space="preserve"> (</w:t>
      </w:r>
      <w:proofErr w:type="spellStart"/>
      <w:r>
        <w:rPr>
          <w:rFonts w:ascii="Arial" w:hAnsi="Arial" w:cs="Arial"/>
          <w:sz w:val="20"/>
          <w:szCs w:val="20"/>
        </w:rPr>
        <w:t>Ommaty</w:t>
      </w:r>
      <w:proofErr w:type="spellEnd"/>
      <w:r>
        <w:rPr>
          <w:rFonts w:ascii="Arial" w:hAnsi="Arial" w:cs="Arial"/>
          <w:sz w:val="20"/>
          <w:szCs w:val="20"/>
        </w:rPr>
        <w:t xml:space="preserve">, 2000; </w:t>
      </w:r>
      <w:proofErr w:type="spellStart"/>
      <w:r>
        <w:rPr>
          <w:rFonts w:ascii="Arial" w:hAnsi="Arial" w:cs="Arial"/>
          <w:sz w:val="20"/>
          <w:szCs w:val="20"/>
        </w:rPr>
        <w:t>Özmen</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2005). </w:t>
      </w:r>
      <w:r>
        <w:rPr>
          <w:rStyle w:val="Strong"/>
          <w:rFonts w:ascii="Arial" w:hAnsi="Arial" w:cs="Arial"/>
          <w:b w:val="0"/>
          <w:bCs w:val="0"/>
          <w:sz w:val="20"/>
          <w:szCs w:val="20"/>
        </w:rPr>
        <w:t>Potassium iodide</w:t>
      </w:r>
      <w:r>
        <w:rPr>
          <w:rFonts w:ascii="Arial" w:hAnsi="Arial" w:cs="Arial"/>
          <w:sz w:val="20"/>
          <w:szCs w:val="20"/>
        </w:rPr>
        <w:t xml:space="preserve"> serves as a </w:t>
      </w:r>
      <w:r>
        <w:rPr>
          <w:rStyle w:val="Strong"/>
          <w:rFonts w:ascii="Arial" w:hAnsi="Arial" w:cs="Arial"/>
          <w:b w:val="0"/>
          <w:bCs w:val="0"/>
          <w:sz w:val="20"/>
          <w:szCs w:val="20"/>
        </w:rPr>
        <w:t>safe, inexpensive, and readily available source of iodine</w:t>
      </w:r>
      <w:r>
        <w:rPr>
          <w:rFonts w:ascii="Arial" w:hAnsi="Arial" w:cs="Arial"/>
          <w:sz w:val="20"/>
          <w:szCs w:val="20"/>
        </w:rPr>
        <w:t xml:space="preserve">, making it a suitable supplement for the prevention and treatment of iodine deficiency disorders. </w:t>
      </w:r>
      <w:proofErr w:type="spellStart"/>
      <w:r>
        <w:rPr>
          <w:rStyle w:val="Strong"/>
          <w:rFonts w:ascii="Arial" w:hAnsi="Arial" w:cs="Arial"/>
          <w:b w:val="0"/>
          <w:bCs w:val="0"/>
          <w:sz w:val="20"/>
          <w:szCs w:val="20"/>
        </w:rPr>
        <w:t>Sahan</w:t>
      </w:r>
      <w:proofErr w:type="spellEnd"/>
      <w:r>
        <w:rPr>
          <w:rStyle w:val="Strong"/>
          <w:rFonts w:ascii="Arial" w:hAnsi="Arial" w:cs="Arial"/>
          <w:b w:val="0"/>
          <w:bCs w:val="0"/>
          <w:sz w:val="20"/>
          <w:szCs w:val="20"/>
        </w:rPr>
        <w:t xml:space="preserve"> </w:t>
      </w:r>
      <w:r>
        <w:rPr>
          <w:rStyle w:val="Strong"/>
          <w:rFonts w:ascii="Arial" w:hAnsi="Arial" w:cs="Arial"/>
          <w:b w:val="0"/>
          <w:bCs w:val="0"/>
          <w:i/>
          <w:iCs/>
          <w:sz w:val="20"/>
          <w:szCs w:val="20"/>
        </w:rPr>
        <w:t>et al.</w:t>
      </w:r>
      <w:r>
        <w:rPr>
          <w:rStyle w:val="Strong"/>
          <w:rFonts w:ascii="Arial" w:hAnsi="Arial" w:cs="Arial"/>
          <w:b w:val="0"/>
          <w:bCs w:val="0"/>
          <w:sz w:val="20"/>
          <w:szCs w:val="20"/>
        </w:rPr>
        <w:t xml:space="preserve"> (2025)</w:t>
      </w:r>
      <w:r>
        <w:rPr>
          <w:rFonts w:ascii="Arial" w:hAnsi="Arial" w:cs="Arial"/>
          <w:sz w:val="20"/>
          <w:szCs w:val="20"/>
        </w:rPr>
        <w:t xml:space="preserve"> similarly reported marked clinical improvement in </w:t>
      </w:r>
      <w:proofErr w:type="spellStart"/>
      <w:r>
        <w:rPr>
          <w:rFonts w:ascii="Arial" w:hAnsi="Arial" w:cs="Arial"/>
          <w:sz w:val="20"/>
          <w:szCs w:val="20"/>
        </w:rPr>
        <w:t>goitrous</w:t>
      </w:r>
      <w:proofErr w:type="spellEnd"/>
      <w:r>
        <w:rPr>
          <w:rFonts w:ascii="Arial" w:hAnsi="Arial" w:cs="Arial"/>
          <w:sz w:val="20"/>
          <w:szCs w:val="20"/>
        </w:rPr>
        <w:t xml:space="preserve"> goat kids following levothyroxine therapy. In addition, </w:t>
      </w:r>
      <w:r>
        <w:rPr>
          <w:rStyle w:val="Strong"/>
          <w:rFonts w:ascii="Arial" w:hAnsi="Arial" w:cs="Arial"/>
          <w:b w:val="0"/>
          <w:bCs w:val="0"/>
          <w:sz w:val="20"/>
          <w:szCs w:val="20"/>
        </w:rPr>
        <w:t xml:space="preserve">Constable </w:t>
      </w:r>
      <w:r>
        <w:rPr>
          <w:rStyle w:val="Strong"/>
          <w:rFonts w:ascii="Arial" w:hAnsi="Arial" w:cs="Arial"/>
          <w:b w:val="0"/>
          <w:bCs w:val="0"/>
          <w:i/>
          <w:iCs/>
          <w:sz w:val="20"/>
          <w:szCs w:val="20"/>
        </w:rPr>
        <w:t>et al.</w:t>
      </w:r>
      <w:r>
        <w:rPr>
          <w:rStyle w:val="Strong"/>
          <w:rFonts w:ascii="Arial" w:hAnsi="Arial" w:cs="Arial"/>
          <w:b w:val="0"/>
          <w:bCs w:val="0"/>
          <w:sz w:val="20"/>
          <w:szCs w:val="20"/>
        </w:rPr>
        <w:t xml:space="preserve"> (2017)</w:t>
      </w:r>
      <w:r>
        <w:rPr>
          <w:rFonts w:ascii="Arial" w:hAnsi="Arial" w:cs="Arial"/>
          <w:sz w:val="20"/>
          <w:szCs w:val="20"/>
        </w:rPr>
        <w:t xml:space="preserve"> documented successful recovery in lambs with </w:t>
      </w:r>
      <w:proofErr w:type="spellStart"/>
      <w:r>
        <w:rPr>
          <w:rFonts w:ascii="Arial" w:hAnsi="Arial" w:cs="Arial"/>
          <w:sz w:val="20"/>
          <w:szCs w:val="20"/>
        </w:rPr>
        <w:t>goitre</w:t>
      </w:r>
      <w:proofErr w:type="spellEnd"/>
      <w:r>
        <w:rPr>
          <w:rFonts w:ascii="Arial" w:hAnsi="Arial" w:cs="Arial"/>
          <w:sz w:val="20"/>
          <w:szCs w:val="20"/>
        </w:rPr>
        <w:t xml:space="preserve"> treated with </w:t>
      </w:r>
      <w:r>
        <w:rPr>
          <w:rStyle w:val="Strong"/>
          <w:rFonts w:ascii="Arial" w:hAnsi="Arial" w:cs="Arial"/>
          <w:b w:val="0"/>
          <w:bCs w:val="0"/>
          <w:sz w:val="20"/>
          <w:szCs w:val="20"/>
        </w:rPr>
        <w:t>20 mg potassium iodide administered orally once</w:t>
      </w:r>
      <w:r>
        <w:rPr>
          <w:rFonts w:ascii="Arial" w:hAnsi="Arial" w:cs="Arial"/>
          <w:sz w:val="20"/>
          <w:szCs w:val="20"/>
        </w:rPr>
        <w:t xml:space="preserve">. </w:t>
      </w:r>
      <w:proofErr w:type="spellStart"/>
      <w:r>
        <w:rPr>
          <w:rStyle w:val="Strong"/>
          <w:rFonts w:ascii="Arial" w:hAnsi="Arial" w:cs="Arial"/>
          <w:b w:val="0"/>
          <w:bCs w:val="0"/>
          <w:sz w:val="20"/>
          <w:szCs w:val="20"/>
        </w:rPr>
        <w:t>Özmen</w:t>
      </w:r>
      <w:proofErr w:type="spellEnd"/>
      <w:r>
        <w:rPr>
          <w:rStyle w:val="Strong"/>
          <w:rFonts w:ascii="Arial" w:hAnsi="Arial" w:cs="Arial"/>
          <w:b w:val="0"/>
          <w:bCs w:val="0"/>
          <w:sz w:val="20"/>
          <w:szCs w:val="20"/>
        </w:rPr>
        <w:t xml:space="preserve"> </w:t>
      </w:r>
      <w:r>
        <w:rPr>
          <w:rStyle w:val="Strong"/>
          <w:rFonts w:ascii="Arial" w:hAnsi="Arial" w:cs="Arial"/>
          <w:b w:val="0"/>
          <w:bCs w:val="0"/>
          <w:i/>
          <w:iCs/>
          <w:sz w:val="20"/>
          <w:szCs w:val="20"/>
        </w:rPr>
        <w:t>et al</w:t>
      </w:r>
      <w:r>
        <w:rPr>
          <w:rStyle w:val="Strong"/>
          <w:rFonts w:ascii="Arial" w:hAnsi="Arial" w:cs="Arial"/>
          <w:b w:val="0"/>
          <w:bCs w:val="0"/>
          <w:sz w:val="20"/>
          <w:szCs w:val="20"/>
        </w:rPr>
        <w:t>. (2005)</w:t>
      </w:r>
      <w:r>
        <w:rPr>
          <w:rFonts w:ascii="Arial" w:hAnsi="Arial" w:cs="Arial"/>
          <w:sz w:val="20"/>
          <w:szCs w:val="20"/>
        </w:rPr>
        <w:t xml:space="preserve"> further recommended dietary supplementation of </w:t>
      </w:r>
      <w:r>
        <w:rPr>
          <w:rStyle w:val="Strong"/>
          <w:rFonts w:ascii="Arial" w:hAnsi="Arial" w:cs="Arial"/>
          <w:b w:val="0"/>
          <w:bCs w:val="0"/>
          <w:sz w:val="20"/>
          <w:szCs w:val="20"/>
        </w:rPr>
        <w:t>potassium iodate</w:t>
      </w:r>
      <w:r>
        <w:rPr>
          <w:rFonts w:ascii="Arial" w:hAnsi="Arial" w:cs="Arial"/>
          <w:sz w:val="20"/>
          <w:szCs w:val="20"/>
        </w:rPr>
        <w:t xml:space="preserve"> in pregnant dams, especially when fed </w:t>
      </w:r>
      <w:r>
        <w:rPr>
          <w:rStyle w:val="Strong"/>
          <w:rFonts w:ascii="Arial" w:hAnsi="Arial" w:cs="Arial"/>
          <w:b w:val="0"/>
          <w:bCs w:val="0"/>
          <w:sz w:val="20"/>
          <w:szCs w:val="20"/>
        </w:rPr>
        <w:t>goitrogenic feeds such as cabbage</w:t>
      </w:r>
      <w:r>
        <w:rPr>
          <w:rFonts w:ascii="Arial" w:hAnsi="Arial" w:cs="Arial"/>
          <w:sz w:val="20"/>
          <w:szCs w:val="20"/>
        </w:rPr>
        <w:t xml:space="preserve">, to prevent congenital </w:t>
      </w:r>
      <w:proofErr w:type="spellStart"/>
      <w:r>
        <w:rPr>
          <w:rFonts w:ascii="Arial" w:hAnsi="Arial" w:cs="Arial"/>
          <w:sz w:val="20"/>
          <w:szCs w:val="20"/>
        </w:rPr>
        <w:t>goitre</w:t>
      </w:r>
      <w:proofErr w:type="spellEnd"/>
      <w:r>
        <w:rPr>
          <w:rFonts w:ascii="Arial" w:hAnsi="Arial" w:cs="Arial"/>
          <w:sz w:val="20"/>
          <w:szCs w:val="20"/>
        </w:rPr>
        <w:t xml:space="preserve"> in offspring.</w:t>
      </w:r>
    </w:p>
    <w:p w:rsidR="00B42E03" w:rsidRDefault="006D1C76">
      <w:pPr>
        <w:pStyle w:val="NormalWeb"/>
        <w:ind w:firstLine="720"/>
        <w:jc w:val="both"/>
        <w:rPr>
          <w:rFonts w:ascii="Arial" w:hAnsi="Arial" w:cs="Arial"/>
          <w:sz w:val="20"/>
          <w:szCs w:val="20"/>
        </w:rPr>
      </w:pPr>
      <w:r>
        <w:rPr>
          <w:rFonts w:ascii="Arial" w:hAnsi="Arial" w:cs="Arial"/>
          <w:sz w:val="20"/>
          <w:szCs w:val="20"/>
        </w:rPr>
        <w:t xml:space="preserve">Despite therapeutic intervention, </w:t>
      </w:r>
      <w:r>
        <w:rPr>
          <w:rStyle w:val="Strong"/>
          <w:rFonts w:ascii="Arial" w:hAnsi="Arial" w:cs="Arial"/>
          <w:b w:val="0"/>
          <w:bCs w:val="0"/>
          <w:sz w:val="20"/>
          <w:szCs w:val="20"/>
        </w:rPr>
        <w:t>two kids (11.11%) died during the treatment period</w:t>
      </w:r>
      <w:r>
        <w:rPr>
          <w:rFonts w:ascii="Arial" w:hAnsi="Arial" w:cs="Arial"/>
          <w:sz w:val="20"/>
          <w:szCs w:val="20"/>
        </w:rPr>
        <w:t xml:space="preserve">. The </w:t>
      </w:r>
      <w:r>
        <w:rPr>
          <w:rStyle w:val="Strong"/>
          <w:rFonts w:ascii="Arial" w:hAnsi="Arial" w:cs="Arial"/>
          <w:b w:val="0"/>
          <w:bCs w:val="0"/>
          <w:sz w:val="20"/>
          <w:szCs w:val="20"/>
        </w:rPr>
        <w:t>poor survival rate</w:t>
      </w:r>
      <w:r>
        <w:rPr>
          <w:rFonts w:ascii="Arial" w:hAnsi="Arial" w:cs="Arial"/>
          <w:sz w:val="20"/>
          <w:szCs w:val="20"/>
        </w:rPr>
        <w:t xml:space="preserve"> in these cases could be attributed to </w:t>
      </w:r>
      <w:r>
        <w:rPr>
          <w:rStyle w:val="Strong"/>
          <w:rFonts w:ascii="Arial" w:hAnsi="Arial" w:cs="Arial"/>
          <w:b w:val="0"/>
          <w:bCs w:val="0"/>
          <w:sz w:val="20"/>
          <w:szCs w:val="20"/>
        </w:rPr>
        <w:t>complications associated with severe hypothyroidism</w:t>
      </w:r>
      <w:r>
        <w:rPr>
          <w:rFonts w:ascii="Arial" w:hAnsi="Arial" w:cs="Arial"/>
          <w:sz w:val="20"/>
          <w:szCs w:val="20"/>
        </w:rPr>
        <w:t xml:space="preserve">, including </w:t>
      </w:r>
      <w:r>
        <w:rPr>
          <w:rStyle w:val="Strong"/>
          <w:rFonts w:ascii="Arial" w:hAnsi="Arial" w:cs="Arial"/>
          <w:b w:val="0"/>
          <w:bCs w:val="0"/>
          <w:sz w:val="20"/>
          <w:szCs w:val="20"/>
        </w:rPr>
        <w:t>reduced cardiac output, arrhythmias, inadequate surfactant production, and impaired thermoregulation</w:t>
      </w:r>
      <w:r>
        <w:rPr>
          <w:rFonts w:ascii="Arial" w:hAnsi="Arial" w:cs="Arial"/>
          <w:sz w:val="20"/>
          <w:szCs w:val="20"/>
        </w:rPr>
        <w:t>, as reported in previous studies (</w:t>
      </w:r>
      <w:proofErr w:type="spellStart"/>
      <w:r>
        <w:rPr>
          <w:rFonts w:ascii="Arial" w:hAnsi="Arial" w:cs="Arial"/>
          <w:color w:val="000000"/>
          <w:sz w:val="20"/>
          <w:szCs w:val="20"/>
          <w:lang w:bidi="ar"/>
        </w:rPr>
        <w:t>Davoodi</w:t>
      </w:r>
      <w:proofErr w:type="spellEnd"/>
      <w:r>
        <w:rPr>
          <w:rFonts w:ascii="Arial" w:hAnsi="Arial" w:cs="Arial"/>
          <w:color w:val="000000"/>
          <w:sz w:val="20"/>
          <w:szCs w:val="20"/>
          <w:lang w:bidi="ar"/>
        </w:rPr>
        <w:t xml:space="preserve"> </w:t>
      </w:r>
      <w:r>
        <w:rPr>
          <w:rFonts w:ascii="Arial" w:hAnsi="Arial" w:cs="Arial"/>
          <w:i/>
          <w:iCs/>
          <w:color w:val="000000"/>
          <w:sz w:val="20"/>
          <w:szCs w:val="20"/>
          <w:lang w:bidi="ar"/>
        </w:rPr>
        <w:t>et.al</w:t>
      </w:r>
      <w:r>
        <w:rPr>
          <w:rFonts w:ascii="Arial" w:hAnsi="Arial" w:cs="Arial"/>
          <w:color w:val="000000"/>
          <w:sz w:val="20"/>
          <w:szCs w:val="20"/>
          <w:lang w:bidi="ar"/>
        </w:rPr>
        <w:t xml:space="preserve"> 2022)</w:t>
      </w:r>
      <w:r>
        <w:rPr>
          <w:rFonts w:ascii="Arial" w:hAnsi="Arial" w:cs="Arial"/>
          <w:sz w:val="20"/>
          <w:szCs w:val="20"/>
        </w:rPr>
        <w:t>.</w:t>
      </w:r>
    </w:p>
    <w:p w:rsidR="00B42E03" w:rsidRDefault="006D1C76">
      <w:pPr>
        <w:pStyle w:val="NormalWeb"/>
        <w:ind w:firstLine="720"/>
        <w:jc w:val="both"/>
        <w:rPr>
          <w:rFonts w:ascii="Arial" w:hAnsi="Arial" w:cs="Arial"/>
          <w:sz w:val="20"/>
          <w:szCs w:val="20"/>
          <w:lang w:val="en-IN"/>
        </w:rPr>
      </w:pPr>
      <w:r>
        <w:rPr>
          <w:rFonts w:ascii="Arial" w:hAnsi="Arial" w:cs="Arial"/>
          <w:sz w:val="20"/>
          <w:szCs w:val="20"/>
        </w:rPr>
        <w:t xml:space="preserve">Although estimation of iodine levels in biological samples or feed is considered a confirmatory diagnostic tool for congenital </w:t>
      </w:r>
      <w:proofErr w:type="spellStart"/>
      <w:r>
        <w:rPr>
          <w:rFonts w:ascii="Arial" w:hAnsi="Arial" w:cs="Arial"/>
          <w:sz w:val="20"/>
          <w:szCs w:val="20"/>
        </w:rPr>
        <w:t>goitre</w:t>
      </w:r>
      <w:proofErr w:type="spellEnd"/>
      <w:r>
        <w:rPr>
          <w:rFonts w:ascii="Arial" w:hAnsi="Arial" w:cs="Arial"/>
          <w:sz w:val="20"/>
          <w:szCs w:val="20"/>
        </w:rPr>
        <w:t xml:space="preserve">, it </w:t>
      </w:r>
      <w:r>
        <w:rPr>
          <w:rFonts w:ascii="Arial" w:hAnsi="Arial" w:cs="Arial"/>
          <w:sz w:val="20"/>
          <w:szCs w:val="20"/>
          <w:lang w:val="en-IN"/>
        </w:rPr>
        <w:t>was not</w:t>
      </w:r>
      <w:r>
        <w:rPr>
          <w:rFonts w:ascii="Arial" w:hAnsi="Arial" w:cs="Arial"/>
          <w:sz w:val="20"/>
          <w:szCs w:val="20"/>
        </w:rPr>
        <w:t xml:space="preserve"> </w:t>
      </w:r>
      <w:r>
        <w:rPr>
          <w:rFonts w:ascii="Arial" w:hAnsi="Arial" w:cs="Arial"/>
          <w:sz w:val="20"/>
          <w:szCs w:val="20"/>
          <w:lang w:val="en-IN"/>
        </w:rPr>
        <w:t>undertaken</w:t>
      </w:r>
      <w:r>
        <w:rPr>
          <w:rFonts w:ascii="Arial" w:hAnsi="Arial" w:cs="Arial"/>
          <w:sz w:val="20"/>
          <w:szCs w:val="20"/>
        </w:rPr>
        <w:t xml:space="preserve"> </w:t>
      </w:r>
      <w:proofErr w:type="gramStart"/>
      <w:r>
        <w:rPr>
          <w:rFonts w:ascii="Arial" w:hAnsi="Arial" w:cs="Arial"/>
          <w:sz w:val="20"/>
          <w:szCs w:val="20"/>
        </w:rPr>
        <w:t xml:space="preserve">in </w:t>
      </w:r>
      <w:r>
        <w:rPr>
          <w:rFonts w:ascii="Arial" w:hAnsi="Arial" w:cs="Arial"/>
          <w:sz w:val="20"/>
          <w:szCs w:val="20"/>
          <w:lang w:val="en-IN"/>
        </w:rPr>
        <w:t xml:space="preserve"> the</w:t>
      </w:r>
      <w:proofErr w:type="gramEnd"/>
      <w:r>
        <w:rPr>
          <w:rFonts w:ascii="Arial" w:hAnsi="Arial" w:cs="Arial"/>
          <w:sz w:val="20"/>
          <w:szCs w:val="20"/>
          <w:lang w:val="en-IN"/>
        </w:rPr>
        <w:t xml:space="preserve"> present study</w:t>
      </w:r>
      <w:r>
        <w:rPr>
          <w:rFonts w:ascii="Arial" w:hAnsi="Arial" w:cs="Arial"/>
          <w:sz w:val="20"/>
          <w:szCs w:val="20"/>
        </w:rPr>
        <w:t xml:space="preserve"> due to financial constraints </w:t>
      </w:r>
      <w:r>
        <w:rPr>
          <w:rFonts w:ascii="Arial" w:hAnsi="Arial" w:cs="Arial"/>
          <w:sz w:val="20"/>
          <w:szCs w:val="20"/>
          <w:lang w:val="en-IN"/>
        </w:rPr>
        <w:t>set</w:t>
      </w:r>
      <w:r>
        <w:rPr>
          <w:rFonts w:ascii="Arial" w:hAnsi="Arial" w:cs="Arial"/>
          <w:sz w:val="20"/>
          <w:szCs w:val="20"/>
        </w:rPr>
        <w:t xml:space="preserve"> by the owner</w:t>
      </w:r>
      <w:r>
        <w:rPr>
          <w:rFonts w:ascii="Arial" w:hAnsi="Arial" w:cs="Arial"/>
          <w:sz w:val="20"/>
          <w:szCs w:val="20"/>
          <w:lang w:val="en-IN"/>
        </w:rPr>
        <w:t>s</w:t>
      </w:r>
      <w:r>
        <w:rPr>
          <w:rFonts w:ascii="Arial" w:hAnsi="Arial" w:cs="Arial"/>
          <w:sz w:val="20"/>
          <w:szCs w:val="20"/>
        </w:rPr>
        <w:t>. However, the diagnosis was supported by the characteristic clinical presentation, thyroid enlargement, and alterations in thyroid hormone profile (low T₃ and T₄ with elevated TSH), which are widely accepted diagnostic indicators in field conditions. Additionally, the response to iodine and levothyroxine therapy further strengthened the clinical diagnosis.</w:t>
      </w:r>
    </w:p>
    <w:p w:rsidR="00B42E03" w:rsidRDefault="006D1C76">
      <w:pPr>
        <w:jc w:val="both"/>
        <w:rPr>
          <w:rFonts w:ascii="Arial" w:eastAsia="AGaramond" w:hAnsi="Arial" w:cs="Arial"/>
          <w:b/>
          <w:bCs/>
          <w:color w:val="231F20"/>
          <w:sz w:val="22"/>
          <w:szCs w:val="22"/>
          <w:lang w:val="en-IN" w:bidi="ar"/>
        </w:rPr>
      </w:pPr>
      <w:r>
        <w:rPr>
          <w:rFonts w:ascii="Arial" w:eastAsia="AGaramond" w:hAnsi="Arial" w:cs="Arial"/>
          <w:b/>
          <w:bCs/>
          <w:color w:val="231F20"/>
          <w:sz w:val="22"/>
          <w:szCs w:val="22"/>
          <w:lang w:val="en-IN" w:bidi="ar"/>
        </w:rPr>
        <w:t xml:space="preserve">CONCLUSION </w:t>
      </w:r>
    </w:p>
    <w:p w:rsidR="00B42E03" w:rsidRDefault="006D1C76">
      <w:pPr>
        <w:shd w:val="clear" w:color="auto" w:fill="FFFFFF"/>
        <w:spacing w:line="22" w:lineRule="atLeast"/>
        <w:ind w:firstLine="720"/>
        <w:jc w:val="both"/>
        <w:rPr>
          <w:rFonts w:ascii="Arial" w:eastAsia="Lato" w:hAnsi="Arial" w:cs="Arial"/>
          <w:color w:val="231F20"/>
          <w:lang w:bidi="ar"/>
        </w:rPr>
      </w:pPr>
      <w:proofErr w:type="spellStart"/>
      <w:r>
        <w:rPr>
          <w:rFonts w:ascii="Arial" w:eastAsia="SimSun" w:hAnsi="Arial" w:cs="Arial"/>
        </w:rPr>
        <w:t>Goitre</w:t>
      </w:r>
      <w:proofErr w:type="spellEnd"/>
      <w:r>
        <w:rPr>
          <w:rFonts w:ascii="Arial" w:eastAsia="SimSun" w:hAnsi="Arial" w:cs="Arial"/>
        </w:rPr>
        <w:t xml:space="preserve"> is an </w:t>
      </w:r>
      <w:r>
        <w:rPr>
          <w:rStyle w:val="Strong"/>
          <w:rFonts w:ascii="Arial" w:eastAsia="SimSun" w:hAnsi="Arial" w:cs="Arial"/>
          <w:b w:val="0"/>
          <w:bCs w:val="0"/>
        </w:rPr>
        <w:t>iodine deficiency disorder</w:t>
      </w:r>
      <w:r>
        <w:rPr>
          <w:rFonts w:ascii="Arial" w:eastAsia="SimSun" w:hAnsi="Arial" w:cs="Arial"/>
        </w:rPr>
        <w:t xml:space="preserve"> characterized by </w:t>
      </w:r>
      <w:r>
        <w:rPr>
          <w:rStyle w:val="Strong"/>
          <w:rFonts w:ascii="Arial" w:eastAsia="SimSun" w:hAnsi="Arial" w:cs="Arial"/>
          <w:b w:val="0"/>
          <w:bCs w:val="0"/>
        </w:rPr>
        <w:t>non-neoplastic hypertrophy and hyperplasia of the thyroid gland</w:t>
      </w:r>
      <w:r>
        <w:rPr>
          <w:rFonts w:ascii="Arial" w:eastAsia="SimSun" w:hAnsi="Arial" w:cs="Arial"/>
        </w:rPr>
        <w:t xml:space="preserve">, commonly affecting </w:t>
      </w:r>
      <w:r>
        <w:rPr>
          <w:rStyle w:val="Strong"/>
          <w:rFonts w:ascii="Arial" w:eastAsia="SimSun" w:hAnsi="Arial" w:cs="Arial"/>
          <w:b w:val="0"/>
          <w:bCs w:val="0"/>
        </w:rPr>
        <w:t>neonatal and juvenile animals</w:t>
      </w:r>
      <w:r>
        <w:rPr>
          <w:rFonts w:ascii="Arial" w:eastAsia="SimSun" w:hAnsi="Arial" w:cs="Arial"/>
        </w:rPr>
        <w:t xml:space="preserve">. In the present study, the </w:t>
      </w:r>
      <w:r>
        <w:rPr>
          <w:rStyle w:val="Strong"/>
          <w:rFonts w:ascii="Arial" w:eastAsia="SimSun" w:hAnsi="Arial" w:cs="Arial"/>
          <w:b w:val="0"/>
          <w:bCs w:val="0"/>
        </w:rPr>
        <w:t xml:space="preserve">overall incidence of congenital </w:t>
      </w:r>
      <w:proofErr w:type="spellStart"/>
      <w:r>
        <w:rPr>
          <w:rStyle w:val="Strong"/>
          <w:rFonts w:ascii="Arial" w:eastAsia="SimSun" w:hAnsi="Arial" w:cs="Arial"/>
          <w:b w:val="0"/>
          <w:bCs w:val="0"/>
        </w:rPr>
        <w:t>goitre</w:t>
      </w:r>
      <w:proofErr w:type="spellEnd"/>
      <w:r>
        <w:rPr>
          <w:rFonts w:ascii="Arial" w:eastAsia="SimSun" w:hAnsi="Arial" w:cs="Arial"/>
        </w:rPr>
        <w:t xml:space="preserve"> in goats was found to be </w:t>
      </w:r>
      <w:r>
        <w:rPr>
          <w:rStyle w:val="Strong"/>
          <w:rFonts w:ascii="Arial" w:eastAsia="SimSun" w:hAnsi="Arial" w:cs="Arial"/>
          <w:b w:val="0"/>
          <w:bCs w:val="0"/>
        </w:rPr>
        <w:t>1.02%</w:t>
      </w:r>
      <w:r>
        <w:rPr>
          <w:rFonts w:ascii="Arial" w:eastAsia="SimSun" w:hAnsi="Arial" w:cs="Arial"/>
        </w:rPr>
        <w:t xml:space="preserve">. Diagnosis can be effectively established through </w:t>
      </w:r>
      <w:r>
        <w:rPr>
          <w:rStyle w:val="Strong"/>
          <w:rFonts w:ascii="Arial" w:eastAsia="SimSun" w:hAnsi="Arial" w:cs="Arial"/>
          <w:b w:val="0"/>
          <w:bCs w:val="0"/>
        </w:rPr>
        <w:t>estimation of serum thyroid hormone concentrations (T₃, T₄, and TSH)</w:t>
      </w:r>
      <w:r>
        <w:rPr>
          <w:rFonts w:ascii="Arial" w:eastAsia="SimSun" w:hAnsi="Arial" w:cs="Arial"/>
        </w:rPr>
        <w:t xml:space="preserve">, supported by clinical and imaging findings. The combination therapy of </w:t>
      </w:r>
      <w:r>
        <w:rPr>
          <w:rStyle w:val="Strong"/>
          <w:rFonts w:ascii="Arial" w:eastAsia="SimSun" w:hAnsi="Arial" w:cs="Arial"/>
          <w:b w:val="0"/>
          <w:bCs w:val="0"/>
        </w:rPr>
        <w:t>levothyroxine sodium and potassium iodide</w:t>
      </w:r>
      <w:r>
        <w:rPr>
          <w:rFonts w:ascii="Arial" w:eastAsia="SimSun" w:hAnsi="Arial" w:cs="Arial"/>
        </w:rPr>
        <w:t xml:space="preserve"> proved effective in the management of affected kids, resulting in </w:t>
      </w:r>
      <w:r>
        <w:rPr>
          <w:rStyle w:val="Strong"/>
          <w:rFonts w:ascii="Arial" w:eastAsia="SimSun" w:hAnsi="Arial" w:cs="Arial"/>
          <w:b w:val="0"/>
          <w:bCs w:val="0"/>
        </w:rPr>
        <w:t>marked clinical improvement</w:t>
      </w:r>
      <w:r>
        <w:rPr>
          <w:rFonts w:ascii="Arial" w:eastAsia="SimSun" w:hAnsi="Arial" w:cs="Arial"/>
        </w:rPr>
        <w:t xml:space="preserve"> and </w:t>
      </w:r>
      <w:r>
        <w:rPr>
          <w:rStyle w:val="Strong"/>
          <w:rFonts w:ascii="Arial" w:eastAsia="SimSun" w:hAnsi="Arial" w:cs="Arial"/>
          <w:b w:val="0"/>
          <w:bCs w:val="0"/>
        </w:rPr>
        <w:t>normalization of thyroid hormone levels</w:t>
      </w:r>
      <w:r>
        <w:rPr>
          <w:rFonts w:ascii="Arial" w:eastAsia="SimSun" w:hAnsi="Arial" w:cs="Arial"/>
        </w:rPr>
        <w:t xml:space="preserve">. </w:t>
      </w:r>
    </w:p>
    <w:p w:rsidR="00B42E03" w:rsidRDefault="00B42E03">
      <w:pPr>
        <w:rPr>
          <w:rFonts w:ascii="Arial" w:hAnsi="Arial" w:cs="Arial"/>
          <w:lang w:val="en-IN"/>
        </w:rPr>
      </w:pPr>
    </w:p>
    <w:p w:rsidR="00B42E03" w:rsidRDefault="006D1C76">
      <w:pPr>
        <w:rPr>
          <w:rFonts w:ascii="Calibri" w:eastAsia="Calibri" w:hAnsi="Calibri" w:cs="Times New Roman"/>
          <w:kern w:val="2"/>
          <w:highlight w:val="yellow"/>
        </w:rPr>
      </w:pPr>
      <w:bookmarkStart w:id="2" w:name="_Hlk204003461"/>
      <w:bookmarkStart w:id="3" w:name="_Hlk213070710"/>
      <w:r>
        <w:rPr>
          <w:rFonts w:ascii="Calibri" w:eastAsia="Calibri" w:hAnsi="Calibri" w:cs="Times New Roman"/>
          <w:kern w:val="2"/>
          <w:highlight w:val="yellow"/>
        </w:rPr>
        <w:t>Disclaimer (Artificial intelligence)</w:t>
      </w:r>
    </w:p>
    <w:p w:rsidR="00B42E03" w:rsidRDefault="006D1C76">
      <w:pPr>
        <w:rPr>
          <w:rFonts w:ascii="Calibri" w:eastAsia="Calibri" w:hAnsi="Calibri" w:cs="Times New Roman"/>
          <w:kern w:val="2"/>
          <w:highlight w:val="yellow"/>
        </w:rPr>
      </w:pPr>
      <w:r>
        <w:rPr>
          <w:rFonts w:ascii="Calibri" w:eastAsia="Calibri" w:hAnsi="Calibri" w:cs="Times New Roman"/>
          <w:kern w:val="2"/>
          <w:highlight w:val="yellow"/>
        </w:rPr>
        <w:lastRenderedPageBreak/>
        <w:t>Author(s) hereby declare that NO generative AI technologies such as Large Language Models (</w:t>
      </w:r>
      <w:proofErr w:type="spellStart"/>
      <w:r>
        <w:rPr>
          <w:rFonts w:ascii="Calibri" w:eastAsia="Calibri" w:hAnsi="Calibri" w:cs="Times New Roman"/>
          <w:kern w:val="2"/>
          <w:highlight w:val="yellow"/>
        </w:rPr>
        <w:t>ChatGPT</w:t>
      </w:r>
      <w:proofErr w:type="spellEnd"/>
      <w:r>
        <w:rPr>
          <w:rFonts w:ascii="Calibri" w:eastAsia="Calibri" w:hAnsi="Calibri" w:cs="Times New Roman"/>
          <w:kern w:val="2"/>
          <w:highlight w:val="yellow"/>
        </w:rPr>
        <w:t xml:space="preserve">, COPILOT, etc.) and text-to-image generators have been used during the writing or editing of this manuscript. </w:t>
      </w:r>
    </w:p>
    <w:bookmarkEnd w:id="2"/>
    <w:bookmarkEnd w:id="3"/>
    <w:p w:rsidR="00B42E03" w:rsidRDefault="00B42E03">
      <w:pPr>
        <w:rPr>
          <w:rFonts w:ascii="Calibri" w:eastAsia="Calibri" w:hAnsi="Calibri" w:cs="Times New Roman"/>
          <w:kern w:val="2"/>
          <w:highlight w:val="yellow"/>
        </w:rPr>
      </w:pPr>
    </w:p>
    <w:p w:rsidR="00B42E03" w:rsidRDefault="00B42E03">
      <w:pPr>
        <w:rPr>
          <w:rFonts w:ascii="Arial" w:eastAsia="AGaramond" w:hAnsi="Arial" w:cs="Arial"/>
          <w:color w:val="231F20"/>
          <w:lang w:bidi="ar"/>
        </w:rPr>
      </w:pPr>
    </w:p>
    <w:p w:rsidR="00B42E03" w:rsidRDefault="00B42E03">
      <w:pPr>
        <w:jc w:val="both"/>
        <w:rPr>
          <w:rFonts w:ascii="Arial" w:eastAsia="SimSun" w:hAnsi="Arial" w:cs="Arial"/>
          <w:color w:val="231F20"/>
          <w:lang w:val="en-IN" w:bidi="ar"/>
        </w:rPr>
      </w:pPr>
    </w:p>
    <w:p w:rsidR="00B42E03" w:rsidRDefault="006D1C76">
      <w:pPr>
        <w:jc w:val="both"/>
        <w:rPr>
          <w:rFonts w:ascii="Arial" w:eastAsia="SimSun" w:hAnsi="Arial" w:cs="Arial"/>
          <w:b/>
          <w:bCs/>
          <w:color w:val="000000"/>
          <w:lang w:val="en-IN" w:bidi="ar"/>
        </w:rPr>
      </w:pPr>
      <w:r>
        <w:rPr>
          <w:rFonts w:ascii="Arial" w:eastAsia="SimSun" w:hAnsi="Arial" w:cs="Arial"/>
          <w:b/>
          <w:bCs/>
          <w:color w:val="000000"/>
          <w:lang w:val="en-IN" w:bidi="ar"/>
        </w:rPr>
        <w:t xml:space="preserve">REFERENCES </w:t>
      </w:r>
    </w:p>
    <w:p w:rsidR="00B42E03" w:rsidRDefault="00B42E03">
      <w:pPr>
        <w:ind w:left="720" w:hanging="720"/>
        <w:jc w:val="both"/>
        <w:rPr>
          <w:rFonts w:ascii="Arial" w:eastAsia="SimSun" w:hAnsi="Arial" w:cs="Arial"/>
          <w:b/>
          <w:bCs/>
          <w:color w:val="000000"/>
          <w:lang w:val="en-IN" w:bidi="ar"/>
        </w:rPr>
      </w:pPr>
    </w:p>
    <w:p w:rsidR="00B42E03" w:rsidRDefault="006D1C76">
      <w:pPr>
        <w:ind w:left="720" w:hanging="720"/>
        <w:jc w:val="both"/>
        <w:rPr>
          <w:rFonts w:ascii="Arial" w:eastAsia="SimSun" w:hAnsi="Arial" w:cs="Arial"/>
          <w:color w:val="000000"/>
          <w:lang w:bidi="ar"/>
        </w:rPr>
      </w:pPr>
      <w:r>
        <w:rPr>
          <w:rFonts w:ascii="Arial" w:eastAsia="SimSun" w:hAnsi="Arial" w:cs="Arial"/>
          <w:color w:val="000000"/>
          <w:lang w:bidi="ar"/>
        </w:rPr>
        <w:t xml:space="preserve">Agrawal, P., Philip, R., Saran, S., </w:t>
      </w:r>
      <w:proofErr w:type="spellStart"/>
      <w:r>
        <w:rPr>
          <w:rFonts w:ascii="Arial" w:eastAsia="SimSun" w:hAnsi="Arial" w:cs="Arial"/>
          <w:color w:val="000000"/>
          <w:lang w:bidi="ar"/>
        </w:rPr>
        <w:t>Gutch</w:t>
      </w:r>
      <w:proofErr w:type="spellEnd"/>
      <w:r>
        <w:rPr>
          <w:rFonts w:ascii="Arial" w:eastAsia="SimSun" w:hAnsi="Arial" w:cs="Arial"/>
          <w:color w:val="000000"/>
          <w:lang w:bidi="ar"/>
        </w:rPr>
        <w:t xml:space="preserve">, M., </w:t>
      </w:r>
      <w:proofErr w:type="spellStart"/>
      <w:r>
        <w:rPr>
          <w:rFonts w:ascii="Arial" w:eastAsia="SimSun" w:hAnsi="Arial" w:cs="Arial"/>
          <w:color w:val="000000"/>
          <w:lang w:bidi="ar"/>
        </w:rPr>
        <w:t>Razi</w:t>
      </w:r>
      <w:proofErr w:type="spellEnd"/>
      <w:r>
        <w:rPr>
          <w:rFonts w:ascii="Arial" w:eastAsia="SimSun" w:hAnsi="Arial" w:cs="Arial"/>
          <w:color w:val="000000"/>
          <w:lang w:bidi="ar"/>
        </w:rPr>
        <w:t xml:space="preserve">, M. S., </w:t>
      </w:r>
      <w:proofErr w:type="spellStart"/>
      <w:r>
        <w:rPr>
          <w:rFonts w:ascii="Arial" w:eastAsia="SimSun" w:hAnsi="Arial" w:cs="Arial"/>
          <w:color w:val="000000"/>
          <w:lang w:bidi="ar"/>
        </w:rPr>
        <w:t>Agroiya</w:t>
      </w:r>
      <w:proofErr w:type="spellEnd"/>
      <w:r>
        <w:rPr>
          <w:rFonts w:ascii="Arial" w:eastAsia="SimSun" w:hAnsi="Arial" w:cs="Arial"/>
          <w:color w:val="000000"/>
          <w:lang w:bidi="ar"/>
        </w:rPr>
        <w:t xml:space="preserve">, P., &amp; Gupta, K. (2015). Congenital hypothyroidism. </w:t>
      </w:r>
      <w:r>
        <w:rPr>
          <w:rFonts w:ascii="Arial" w:eastAsia="SimSun" w:hAnsi="Arial" w:cs="Arial"/>
          <w:i/>
          <w:iCs/>
          <w:color w:val="000000"/>
          <w:lang w:bidi="ar"/>
        </w:rPr>
        <w:t>Indian Journal of Endocrinology and Metabolism</w:t>
      </w:r>
      <w:r>
        <w:rPr>
          <w:rFonts w:ascii="Arial" w:eastAsia="SimSun" w:hAnsi="Arial" w:cs="Arial"/>
          <w:color w:val="000000"/>
          <w:lang w:bidi="ar"/>
        </w:rPr>
        <w:t xml:space="preserve">, </w:t>
      </w:r>
      <w:r>
        <w:rPr>
          <w:rFonts w:ascii="Arial" w:eastAsia="SimSun" w:hAnsi="Arial" w:cs="Arial"/>
          <w:i/>
          <w:iCs/>
          <w:color w:val="000000"/>
          <w:lang w:bidi="ar"/>
        </w:rPr>
        <w:t>19</w:t>
      </w:r>
      <w:r>
        <w:rPr>
          <w:rFonts w:ascii="Arial" w:eastAsia="SimSun" w:hAnsi="Arial" w:cs="Arial"/>
          <w:color w:val="000000"/>
          <w:lang w:bidi="ar"/>
        </w:rPr>
        <w:t>(2), 221–227.</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Ani, A. F. K., </w:t>
      </w:r>
      <w:proofErr w:type="spellStart"/>
      <w:r>
        <w:rPr>
          <w:rFonts w:ascii="Arial" w:eastAsia="SimSun" w:hAnsi="Arial" w:cs="Arial"/>
          <w:color w:val="000000"/>
          <w:lang w:val="en-IN" w:bidi="ar"/>
        </w:rPr>
        <w:t>Khamas</w:t>
      </w:r>
      <w:proofErr w:type="spellEnd"/>
      <w:r>
        <w:rPr>
          <w:rFonts w:ascii="Arial" w:eastAsia="SimSun" w:hAnsi="Arial" w:cs="Arial"/>
          <w:color w:val="000000"/>
          <w:lang w:val="en-IN" w:bidi="ar"/>
        </w:rPr>
        <w:t xml:space="preserve">, W. A., </w:t>
      </w:r>
      <w:proofErr w:type="spellStart"/>
      <w:r>
        <w:rPr>
          <w:rFonts w:ascii="Arial" w:eastAsia="SimSun" w:hAnsi="Arial" w:cs="Arial"/>
          <w:color w:val="000000"/>
          <w:lang w:val="en-IN" w:bidi="ar"/>
        </w:rPr>
        <w:t>Qudah</w:t>
      </w:r>
      <w:proofErr w:type="spellEnd"/>
      <w:r>
        <w:rPr>
          <w:rFonts w:ascii="Arial" w:eastAsia="SimSun" w:hAnsi="Arial" w:cs="Arial"/>
          <w:color w:val="000000"/>
          <w:lang w:val="en-IN" w:bidi="ar"/>
        </w:rPr>
        <w:t xml:space="preserve">, K. M. A., &amp; </w:t>
      </w:r>
      <w:proofErr w:type="spellStart"/>
      <w:r>
        <w:rPr>
          <w:rFonts w:ascii="Arial" w:eastAsia="SimSun" w:hAnsi="Arial" w:cs="Arial"/>
          <w:color w:val="000000"/>
          <w:lang w:val="en-IN" w:bidi="ar"/>
        </w:rPr>
        <w:t>Rawashdah</w:t>
      </w:r>
      <w:proofErr w:type="spellEnd"/>
      <w:r>
        <w:rPr>
          <w:rFonts w:ascii="Arial" w:eastAsia="SimSun" w:hAnsi="Arial" w:cs="Arial"/>
          <w:color w:val="000000"/>
          <w:lang w:val="en-IN" w:bidi="ar"/>
        </w:rPr>
        <w:t xml:space="preserve">, O. A. (1998). Occurrence of congenital anomalies in </w:t>
      </w:r>
      <w:proofErr w:type="spellStart"/>
      <w:r>
        <w:rPr>
          <w:rFonts w:ascii="Arial" w:eastAsia="SimSun" w:hAnsi="Arial" w:cs="Arial"/>
          <w:color w:val="000000"/>
          <w:lang w:val="en-IN" w:bidi="ar"/>
        </w:rPr>
        <w:t>Shami</w:t>
      </w:r>
      <w:proofErr w:type="spellEnd"/>
      <w:r>
        <w:rPr>
          <w:rFonts w:ascii="Arial" w:eastAsia="SimSun" w:hAnsi="Arial" w:cs="Arial"/>
          <w:color w:val="000000"/>
          <w:lang w:val="en-IN" w:bidi="ar"/>
        </w:rPr>
        <w:t xml:space="preserve"> breed of goats. </w:t>
      </w:r>
      <w:r>
        <w:rPr>
          <w:rFonts w:ascii="Arial" w:eastAsia="SimSun" w:hAnsi="Arial" w:cs="Arial"/>
          <w:i/>
          <w:iCs/>
          <w:color w:val="000000"/>
          <w:lang w:val="en-IN" w:bidi="ar"/>
        </w:rPr>
        <w:t>Small Ruminant Research</w:t>
      </w:r>
      <w:r>
        <w:rPr>
          <w:rFonts w:ascii="Arial" w:eastAsia="SimSun" w:hAnsi="Arial" w:cs="Arial"/>
          <w:color w:val="000000"/>
          <w:lang w:val="en-IN" w:bidi="ar"/>
        </w:rPr>
        <w:t xml:space="preserve">, </w:t>
      </w:r>
      <w:r>
        <w:rPr>
          <w:rFonts w:ascii="Arial" w:eastAsia="SimSun" w:hAnsi="Arial" w:cs="Arial"/>
          <w:i/>
          <w:iCs/>
          <w:color w:val="000000"/>
          <w:lang w:val="en-IN" w:bidi="ar"/>
        </w:rPr>
        <w:t>28</w:t>
      </w:r>
      <w:r>
        <w:rPr>
          <w:rFonts w:ascii="Arial" w:eastAsia="SimSun" w:hAnsi="Arial" w:cs="Arial"/>
          <w:color w:val="000000"/>
          <w:lang w:val="en-IN" w:bidi="ar"/>
        </w:rPr>
        <w:t>, 225–232.</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Ankita, Kumar, R., </w:t>
      </w:r>
      <w:proofErr w:type="spellStart"/>
      <w:r>
        <w:rPr>
          <w:rFonts w:ascii="Arial" w:eastAsia="SimSun" w:hAnsi="Arial" w:cs="Arial"/>
          <w:color w:val="000000"/>
          <w:lang w:val="en-IN" w:bidi="ar"/>
        </w:rPr>
        <w:t>Jamwal</w:t>
      </w:r>
      <w:proofErr w:type="spellEnd"/>
      <w:r>
        <w:rPr>
          <w:rFonts w:ascii="Arial" w:eastAsia="SimSun" w:hAnsi="Arial" w:cs="Arial"/>
          <w:color w:val="000000"/>
          <w:lang w:val="en-IN" w:bidi="ar"/>
        </w:rPr>
        <w:t xml:space="preserve">, S., Verma, A., Choudhary, S., Patil, R. D., &amp; Asrani, R. K. (2023). Pathology of congenital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a goat kid. </w:t>
      </w:r>
      <w:r>
        <w:rPr>
          <w:rFonts w:ascii="Arial" w:eastAsia="SimSun" w:hAnsi="Arial" w:cs="Arial"/>
          <w:i/>
          <w:iCs/>
          <w:color w:val="000000"/>
          <w:lang w:val="en-IN" w:bidi="ar"/>
        </w:rPr>
        <w:t>Haryana Veterinarian</w:t>
      </w:r>
      <w:r>
        <w:rPr>
          <w:rFonts w:ascii="Arial" w:eastAsia="SimSun" w:hAnsi="Arial" w:cs="Arial"/>
          <w:color w:val="000000"/>
          <w:lang w:val="en-IN" w:bidi="ar"/>
        </w:rPr>
        <w:t xml:space="preserve">, </w:t>
      </w:r>
      <w:r>
        <w:rPr>
          <w:rFonts w:ascii="Arial" w:eastAsia="SimSun" w:hAnsi="Arial" w:cs="Arial"/>
          <w:i/>
          <w:iCs/>
          <w:color w:val="000000"/>
          <w:lang w:val="en-IN" w:bidi="ar"/>
        </w:rPr>
        <w:t>62</w:t>
      </w:r>
      <w:r>
        <w:rPr>
          <w:rFonts w:ascii="Arial" w:eastAsia="SimSun" w:hAnsi="Arial" w:cs="Arial"/>
          <w:color w:val="000000"/>
          <w:lang w:val="en-IN" w:bidi="ar"/>
        </w:rPr>
        <w:t>(SI-2), 174–175.</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Bhardwaj, R. K., &amp; </w:t>
      </w:r>
      <w:proofErr w:type="spellStart"/>
      <w:r>
        <w:rPr>
          <w:rFonts w:ascii="Arial" w:eastAsia="SimSun" w:hAnsi="Arial" w:cs="Arial"/>
          <w:color w:val="000000"/>
          <w:lang w:val="en-IN" w:bidi="ar"/>
        </w:rPr>
        <w:t>Kukovics</w:t>
      </w:r>
      <w:proofErr w:type="spellEnd"/>
      <w:r>
        <w:rPr>
          <w:rFonts w:ascii="Arial" w:eastAsia="SimSun" w:hAnsi="Arial" w:cs="Arial"/>
          <w:color w:val="000000"/>
          <w:lang w:val="en-IN" w:bidi="ar"/>
        </w:rPr>
        <w:t xml:space="preserve">, S. (2018). </w:t>
      </w:r>
      <w:r>
        <w:rPr>
          <w:rFonts w:ascii="Arial" w:eastAsia="SimSun" w:hAnsi="Arial" w:cs="Arial"/>
          <w:i/>
          <w:iCs/>
          <w:color w:val="000000"/>
          <w:lang w:val="en-IN" w:bidi="ar"/>
        </w:rPr>
        <w:t>Iodine deficiency in goats</w:t>
      </w:r>
      <w:r>
        <w:rPr>
          <w:rFonts w:ascii="Arial" w:eastAsia="SimSun" w:hAnsi="Arial" w:cs="Arial"/>
          <w:color w:val="000000"/>
          <w:lang w:val="en-IN" w:bidi="ar"/>
        </w:rPr>
        <w:t xml:space="preserve">. </w:t>
      </w:r>
      <w:proofErr w:type="spellStart"/>
      <w:r>
        <w:rPr>
          <w:rFonts w:ascii="Arial" w:eastAsia="SimSun" w:hAnsi="Arial" w:cs="Arial"/>
          <w:color w:val="000000"/>
          <w:lang w:val="en-IN" w:bidi="ar"/>
        </w:rPr>
        <w:t>IntechOpen</w:t>
      </w:r>
      <w:proofErr w:type="spellEnd"/>
      <w:r>
        <w:rPr>
          <w:rFonts w:ascii="Arial" w:eastAsia="SimSun" w:hAnsi="Arial" w:cs="Arial"/>
          <w:color w:val="000000"/>
          <w:lang w:val="en-IN" w:bidi="ar"/>
        </w:rPr>
        <w:t>, Rijeka.</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Constable, P. D., </w:t>
      </w:r>
      <w:proofErr w:type="spellStart"/>
      <w:r>
        <w:rPr>
          <w:rFonts w:ascii="Arial" w:eastAsia="SimSun" w:hAnsi="Arial" w:cs="Arial"/>
          <w:color w:val="000000"/>
          <w:lang w:val="en-IN" w:bidi="ar"/>
        </w:rPr>
        <w:t>Hinchcliff</w:t>
      </w:r>
      <w:proofErr w:type="spellEnd"/>
      <w:r>
        <w:rPr>
          <w:rFonts w:ascii="Arial" w:eastAsia="SimSun" w:hAnsi="Arial" w:cs="Arial"/>
          <w:color w:val="000000"/>
          <w:lang w:val="en-IN" w:bidi="ar"/>
        </w:rPr>
        <w:t xml:space="preserve">, K. W., Done, S. H., &amp; </w:t>
      </w:r>
      <w:proofErr w:type="spellStart"/>
      <w:r>
        <w:rPr>
          <w:rFonts w:ascii="Arial" w:eastAsia="SimSun" w:hAnsi="Arial" w:cs="Arial"/>
          <w:color w:val="000000"/>
          <w:lang w:val="en-IN" w:bidi="ar"/>
        </w:rPr>
        <w:t>Grünberg</w:t>
      </w:r>
      <w:proofErr w:type="spellEnd"/>
      <w:r>
        <w:rPr>
          <w:rFonts w:ascii="Arial" w:eastAsia="SimSun" w:hAnsi="Arial" w:cs="Arial"/>
          <w:color w:val="000000"/>
          <w:lang w:val="en-IN" w:bidi="ar"/>
        </w:rPr>
        <w:t xml:space="preserve">, W. (2016). </w:t>
      </w:r>
      <w:r>
        <w:rPr>
          <w:rFonts w:ascii="Arial" w:eastAsia="SimSun" w:hAnsi="Arial" w:cs="Arial"/>
          <w:i/>
          <w:iCs/>
          <w:color w:val="000000"/>
          <w:lang w:val="en-IN" w:bidi="ar"/>
        </w:rPr>
        <w:t>Veterinary medicine: A textbook of the diseases of cattle, horses, sheep, pigs and goats</w:t>
      </w:r>
      <w:r>
        <w:rPr>
          <w:rFonts w:ascii="Arial" w:eastAsia="SimSun" w:hAnsi="Arial" w:cs="Arial"/>
          <w:color w:val="000000"/>
          <w:lang w:val="en-IN" w:bidi="ar"/>
        </w:rPr>
        <w:t>. Elsevier Health Sciences.</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Davoodi</w:t>
      </w:r>
      <w:proofErr w:type="spellEnd"/>
      <w:r>
        <w:rPr>
          <w:rFonts w:ascii="Arial" w:eastAsia="SimSun" w:hAnsi="Arial" w:cs="Arial"/>
          <w:color w:val="000000"/>
          <w:lang w:val="en-IN" w:bidi="ar"/>
        </w:rPr>
        <w:t xml:space="preserve">, F., </w:t>
      </w:r>
      <w:proofErr w:type="spellStart"/>
      <w:r>
        <w:rPr>
          <w:rFonts w:ascii="Arial" w:eastAsia="SimSun" w:hAnsi="Arial" w:cs="Arial"/>
          <w:color w:val="000000"/>
          <w:lang w:val="en-IN" w:bidi="ar"/>
        </w:rPr>
        <w:t>Zakian</w:t>
      </w:r>
      <w:proofErr w:type="spellEnd"/>
      <w:r>
        <w:rPr>
          <w:rFonts w:ascii="Arial" w:eastAsia="SimSun" w:hAnsi="Arial" w:cs="Arial"/>
          <w:color w:val="000000"/>
          <w:lang w:val="en-IN" w:bidi="ar"/>
        </w:rPr>
        <w:t xml:space="preserve">, A., Rocky, A., &amp; </w:t>
      </w:r>
      <w:proofErr w:type="spellStart"/>
      <w:r>
        <w:rPr>
          <w:rFonts w:ascii="Arial" w:eastAsia="SimSun" w:hAnsi="Arial" w:cs="Arial"/>
          <w:color w:val="000000"/>
          <w:lang w:val="en-IN" w:bidi="ar"/>
        </w:rPr>
        <w:t>Raisi</w:t>
      </w:r>
      <w:proofErr w:type="spellEnd"/>
      <w:r>
        <w:rPr>
          <w:rFonts w:ascii="Arial" w:eastAsia="SimSun" w:hAnsi="Arial" w:cs="Arial"/>
          <w:color w:val="000000"/>
          <w:lang w:val="en-IN" w:bidi="ar"/>
        </w:rPr>
        <w:t xml:space="preserve">, A. (2022). Incidence of iodine deficiency and congenital goitre in goats and kids of </w:t>
      </w:r>
      <w:proofErr w:type="spellStart"/>
      <w:r>
        <w:rPr>
          <w:rFonts w:ascii="Arial" w:eastAsia="SimSun" w:hAnsi="Arial" w:cs="Arial"/>
          <w:color w:val="000000"/>
          <w:lang w:val="en-IN" w:bidi="ar"/>
        </w:rPr>
        <w:t>Darreh</w:t>
      </w:r>
      <w:proofErr w:type="spellEnd"/>
      <w:r>
        <w:rPr>
          <w:rFonts w:ascii="Arial" w:eastAsia="SimSun" w:hAnsi="Arial" w:cs="Arial"/>
          <w:color w:val="000000"/>
          <w:lang w:val="en-IN" w:bidi="ar"/>
        </w:rPr>
        <w:t xml:space="preserve"> </w:t>
      </w:r>
      <w:proofErr w:type="spellStart"/>
      <w:r>
        <w:rPr>
          <w:rFonts w:ascii="Arial" w:eastAsia="SimSun" w:hAnsi="Arial" w:cs="Arial"/>
          <w:color w:val="000000"/>
          <w:lang w:val="en-IN" w:bidi="ar"/>
        </w:rPr>
        <w:t>Garm</w:t>
      </w:r>
      <w:proofErr w:type="spellEnd"/>
      <w:r>
        <w:rPr>
          <w:rFonts w:ascii="Arial" w:eastAsia="SimSun" w:hAnsi="Arial" w:cs="Arial"/>
          <w:color w:val="000000"/>
          <w:lang w:val="en-IN" w:bidi="ar"/>
        </w:rPr>
        <w:t xml:space="preserve"> region, Khorramabad, Iran. </w:t>
      </w:r>
      <w:r>
        <w:rPr>
          <w:rFonts w:ascii="Arial" w:eastAsia="SimSun" w:hAnsi="Arial" w:cs="Arial"/>
          <w:i/>
          <w:iCs/>
          <w:color w:val="000000"/>
          <w:lang w:val="en-IN" w:bidi="ar"/>
        </w:rPr>
        <w:t>Veterinary Medicine and Science</w:t>
      </w:r>
      <w:r>
        <w:rPr>
          <w:rFonts w:ascii="Arial" w:eastAsia="SimSun" w:hAnsi="Arial" w:cs="Arial"/>
          <w:color w:val="000000"/>
          <w:lang w:val="en-IN" w:bidi="ar"/>
        </w:rPr>
        <w:t xml:space="preserve">, </w:t>
      </w:r>
      <w:r>
        <w:rPr>
          <w:rFonts w:ascii="Arial" w:eastAsia="SimSun" w:hAnsi="Arial" w:cs="Arial"/>
          <w:i/>
          <w:iCs/>
          <w:color w:val="000000"/>
          <w:lang w:val="en-IN" w:bidi="ar"/>
        </w:rPr>
        <w:t>8</w:t>
      </w:r>
      <w:r>
        <w:rPr>
          <w:rFonts w:ascii="Arial" w:eastAsia="SimSun" w:hAnsi="Arial" w:cs="Arial"/>
          <w:color w:val="000000"/>
          <w:lang w:val="en-IN" w:bidi="ar"/>
        </w:rPr>
        <w:t>(1), 336–342.</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Jarad</w:t>
      </w:r>
      <w:proofErr w:type="spellEnd"/>
      <w:r>
        <w:rPr>
          <w:rFonts w:ascii="Arial" w:eastAsia="SimSun" w:hAnsi="Arial" w:cs="Arial"/>
          <w:color w:val="000000"/>
          <w:lang w:val="en-IN" w:bidi="ar"/>
        </w:rPr>
        <w:t xml:space="preserve">, A., &amp; Al Saad, K. (2023).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crossbreed goat kids at </w:t>
      </w:r>
      <w:proofErr w:type="spellStart"/>
      <w:r>
        <w:rPr>
          <w:rFonts w:ascii="Arial" w:eastAsia="SimSun" w:hAnsi="Arial" w:cs="Arial"/>
          <w:color w:val="000000"/>
          <w:lang w:val="en-IN" w:bidi="ar"/>
        </w:rPr>
        <w:t>Basrah</w:t>
      </w:r>
      <w:proofErr w:type="spellEnd"/>
      <w:r>
        <w:rPr>
          <w:rFonts w:ascii="Arial" w:eastAsia="SimSun" w:hAnsi="Arial" w:cs="Arial"/>
          <w:color w:val="000000"/>
          <w:lang w:val="en-IN" w:bidi="ar"/>
        </w:rPr>
        <w:t xml:space="preserve"> Province, Iraq. </w:t>
      </w:r>
      <w:r>
        <w:rPr>
          <w:rFonts w:ascii="Arial" w:eastAsia="SimSun" w:hAnsi="Arial" w:cs="Arial"/>
          <w:i/>
          <w:iCs/>
          <w:color w:val="000000"/>
          <w:lang w:val="en-IN" w:bidi="ar"/>
        </w:rPr>
        <w:t xml:space="preserve">Archives of </w:t>
      </w:r>
      <w:proofErr w:type="spellStart"/>
      <w:r>
        <w:rPr>
          <w:rFonts w:ascii="Arial" w:eastAsia="SimSun" w:hAnsi="Arial" w:cs="Arial"/>
          <w:i/>
          <w:iCs/>
          <w:color w:val="000000"/>
          <w:lang w:val="en-IN" w:bidi="ar"/>
        </w:rPr>
        <w:t>Razi</w:t>
      </w:r>
      <w:proofErr w:type="spellEnd"/>
      <w:r>
        <w:rPr>
          <w:rFonts w:ascii="Arial" w:eastAsia="SimSun" w:hAnsi="Arial" w:cs="Arial"/>
          <w:i/>
          <w:iCs/>
          <w:color w:val="000000"/>
          <w:lang w:val="en-IN" w:bidi="ar"/>
        </w:rPr>
        <w:t xml:space="preserve"> Institute</w:t>
      </w:r>
      <w:r>
        <w:rPr>
          <w:rFonts w:ascii="Arial" w:eastAsia="SimSun" w:hAnsi="Arial" w:cs="Arial"/>
          <w:color w:val="000000"/>
          <w:lang w:val="en-IN" w:bidi="ar"/>
        </w:rPr>
        <w:t xml:space="preserve">, </w:t>
      </w:r>
      <w:r>
        <w:rPr>
          <w:rFonts w:ascii="Arial" w:eastAsia="SimSun" w:hAnsi="Arial" w:cs="Arial"/>
          <w:i/>
          <w:iCs/>
          <w:color w:val="000000"/>
          <w:lang w:val="en-IN" w:bidi="ar"/>
        </w:rPr>
        <w:t>78</w:t>
      </w:r>
      <w:r>
        <w:rPr>
          <w:rFonts w:ascii="Arial" w:eastAsia="SimSun" w:hAnsi="Arial" w:cs="Arial"/>
          <w:color w:val="000000"/>
          <w:lang w:val="en-IN" w:bidi="ar"/>
        </w:rPr>
        <w:t>, 531.</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Lafta</w:t>
      </w:r>
      <w:proofErr w:type="spellEnd"/>
      <w:r>
        <w:rPr>
          <w:rFonts w:ascii="Arial" w:eastAsia="SimSun" w:hAnsi="Arial" w:cs="Arial"/>
          <w:color w:val="000000"/>
          <w:lang w:val="en-IN" w:bidi="ar"/>
        </w:rPr>
        <w:t xml:space="preserve">, M. H., </w:t>
      </w:r>
      <w:proofErr w:type="spellStart"/>
      <w:r>
        <w:rPr>
          <w:rFonts w:ascii="Arial" w:eastAsia="SimSun" w:hAnsi="Arial" w:cs="Arial"/>
          <w:color w:val="000000"/>
          <w:lang w:val="en-IN" w:bidi="ar"/>
        </w:rPr>
        <w:t>Jarad</w:t>
      </w:r>
      <w:proofErr w:type="spellEnd"/>
      <w:r>
        <w:rPr>
          <w:rFonts w:ascii="Arial" w:eastAsia="SimSun" w:hAnsi="Arial" w:cs="Arial"/>
          <w:color w:val="000000"/>
          <w:lang w:val="en-IN" w:bidi="ar"/>
        </w:rPr>
        <w:t xml:space="preserve">, A., &amp; Al Saad, K. M. (2023).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crossbreed goat kids at </w:t>
      </w:r>
      <w:proofErr w:type="spellStart"/>
      <w:r>
        <w:rPr>
          <w:rFonts w:ascii="Arial" w:eastAsia="SimSun" w:hAnsi="Arial" w:cs="Arial"/>
          <w:color w:val="000000"/>
          <w:lang w:val="en-IN" w:bidi="ar"/>
        </w:rPr>
        <w:t>Basrah</w:t>
      </w:r>
      <w:proofErr w:type="spellEnd"/>
      <w:r>
        <w:rPr>
          <w:rFonts w:ascii="Arial" w:eastAsia="SimSun" w:hAnsi="Arial" w:cs="Arial"/>
          <w:color w:val="000000"/>
          <w:lang w:val="en-IN" w:bidi="ar"/>
        </w:rPr>
        <w:t xml:space="preserve"> Province, Iraq. </w:t>
      </w:r>
      <w:r>
        <w:rPr>
          <w:rFonts w:ascii="Arial" w:eastAsia="SimSun" w:hAnsi="Arial" w:cs="Arial"/>
          <w:i/>
          <w:iCs/>
          <w:color w:val="000000"/>
          <w:lang w:val="en-IN" w:bidi="ar"/>
        </w:rPr>
        <w:t xml:space="preserve">Archives of </w:t>
      </w:r>
      <w:proofErr w:type="spellStart"/>
      <w:r>
        <w:rPr>
          <w:rFonts w:ascii="Arial" w:eastAsia="SimSun" w:hAnsi="Arial" w:cs="Arial"/>
          <w:i/>
          <w:iCs/>
          <w:color w:val="000000"/>
          <w:lang w:val="en-IN" w:bidi="ar"/>
        </w:rPr>
        <w:t>Razi</w:t>
      </w:r>
      <w:proofErr w:type="spellEnd"/>
      <w:r>
        <w:rPr>
          <w:rFonts w:ascii="Arial" w:eastAsia="SimSun" w:hAnsi="Arial" w:cs="Arial"/>
          <w:i/>
          <w:iCs/>
          <w:color w:val="000000"/>
          <w:lang w:val="en-IN" w:bidi="ar"/>
        </w:rPr>
        <w:t xml:space="preserve"> Institute</w:t>
      </w:r>
      <w:r>
        <w:rPr>
          <w:rFonts w:ascii="Arial" w:eastAsia="SimSun" w:hAnsi="Arial" w:cs="Arial"/>
          <w:color w:val="000000"/>
          <w:lang w:val="en-IN" w:bidi="ar"/>
        </w:rPr>
        <w:t xml:space="preserve">, </w:t>
      </w:r>
      <w:r>
        <w:rPr>
          <w:rFonts w:ascii="Arial" w:eastAsia="SimSun" w:hAnsi="Arial" w:cs="Arial"/>
          <w:i/>
          <w:iCs/>
          <w:color w:val="000000"/>
          <w:lang w:val="en-IN" w:bidi="ar"/>
        </w:rPr>
        <w:t>78</w:t>
      </w:r>
      <w:r>
        <w:rPr>
          <w:rFonts w:ascii="Arial" w:eastAsia="SimSun" w:hAnsi="Arial" w:cs="Arial"/>
          <w:color w:val="000000"/>
          <w:lang w:val="en-IN" w:bidi="ar"/>
        </w:rPr>
        <w:t>(2), 531–538.</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Luna, L. G. (1968). </w:t>
      </w:r>
      <w:r>
        <w:rPr>
          <w:rFonts w:ascii="Arial" w:eastAsia="SimSun" w:hAnsi="Arial" w:cs="Arial"/>
          <w:i/>
          <w:iCs/>
          <w:color w:val="000000"/>
          <w:lang w:val="en-IN" w:bidi="ar"/>
        </w:rPr>
        <w:t>Manual of histologic staining methods of the Armed Forces Institute of Pathology</w:t>
      </w:r>
      <w:r>
        <w:rPr>
          <w:rFonts w:ascii="Arial" w:eastAsia="SimSun" w:hAnsi="Arial" w:cs="Arial"/>
          <w:color w:val="000000"/>
          <w:lang w:val="en-IN" w:bidi="ar"/>
        </w:rPr>
        <w:t xml:space="preserve"> (3rd ed.). McGraw-Hill, New York, pp. 32–39.</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Maxie, M. G. (2007). </w:t>
      </w:r>
      <w:proofErr w:type="spellStart"/>
      <w:r>
        <w:rPr>
          <w:rFonts w:ascii="Arial" w:eastAsia="SimSun" w:hAnsi="Arial" w:cs="Arial"/>
          <w:i/>
          <w:iCs/>
          <w:color w:val="000000"/>
          <w:lang w:val="en-IN" w:bidi="ar"/>
        </w:rPr>
        <w:t>Jubb</w:t>
      </w:r>
      <w:proofErr w:type="spellEnd"/>
      <w:r>
        <w:rPr>
          <w:rFonts w:ascii="Arial" w:eastAsia="SimSun" w:hAnsi="Arial" w:cs="Arial"/>
          <w:i/>
          <w:iCs/>
          <w:color w:val="000000"/>
          <w:lang w:val="en-IN" w:bidi="ar"/>
        </w:rPr>
        <w:t>, Kennedy and Palmer’s pathology of domestic animals</w:t>
      </w:r>
      <w:r>
        <w:rPr>
          <w:rFonts w:ascii="Arial" w:eastAsia="SimSun" w:hAnsi="Arial" w:cs="Arial"/>
          <w:color w:val="000000"/>
          <w:lang w:val="en-IN" w:bidi="ar"/>
        </w:rPr>
        <w:t xml:space="preserve"> (5th ed., Vol. 3). Saunders Elsevier, New York, USA.</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Nourani</w:t>
      </w:r>
      <w:proofErr w:type="spellEnd"/>
      <w:r>
        <w:rPr>
          <w:rFonts w:ascii="Arial" w:eastAsia="SimSun" w:hAnsi="Arial" w:cs="Arial"/>
          <w:color w:val="000000"/>
          <w:lang w:val="en-IN" w:bidi="ar"/>
        </w:rPr>
        <w:t xml:space="preserve">, H., &amp; Sadr, S. (2023). Case report of congenital goitre in a goat kid: Clinical and pathological findings. </w:t>
      </w:r>
      <w:r>
        <w:rPr>
          <w:rFonts w:ascii="Arial" w:eastAsia="SimSun" w:hAnsi="Arial" w:cs="Arial"/>
          <w:i/>
          <w:iCs/>
          <w:color w:val="000000"/>
          <w:lang w:val="en-IN" w:bidi="ar"/>
        </w:rPr>
        <w:t>Veterinary Medicine and Science</w:t>
      </w:r>
      <w:r>
        <w:rPr>
          <w:rFonts w:ascii="Arial" w:eastAsia="SimSun" w:hAnsi="Arial" w:cs="Arial"/>
          <w:color w:val="000000"/>
          <w:lang w:val="en-IN" w:bidi="ar"/>
        </w:rPr>
        <w:t xml:space="preserve">, </w:t>
      </w:r>
      <w:r>
        <w:rPr>
          <w:rFonts w:ascii="Arial" w:eastAsia="SimSun" w:hAnsi="Arial" w:cs="Arial"/>
          <w:i/>
          <w:iCs/>
          <w:color w:val="000000"/>
          <w:lang w:val="en-IN" w:bidi="ar"/>
        </w:rPr>
        <w:t>9</w:t>
      </w:r>
      <w:r>
        <w:rPr>
          <w:rFonts w:ascii="Arial" w:eastAsia="SimSun" w:hAnsi="Arial" w:cs="Arial"/>
          <w:color w:val="000000"/>
          <w:lang w:val="en-IN" w:bidi="ar"/>
        </w:rPr>
        <w:t>, 2796–2799.</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Ommaty</w:t>
      </w:r>
      <w:proofErr w:type="spellEnd"/>
      <w:r>
        <w:rPr>
          <w:rFonts w:ascii="Arial" w:eastAsia="SimSun" w:hAnsi="Arial" w:cs="Arial"/>
          <w:color w:val="000000"/>
          <w:lang w:val="en-IN" w:bidi="ar"/>
        </w:rPr>
        <w:t xml:space="preserve">, R. (2000). </w:t>
      </w:r>
      <w:proofErr w:type="spellStart"/>
      <w:r>
        <w:rPr>
          <w:rFonts w:ascii="Arial" w:eastAsia="SimSun" w:hAnsi="Arial" w:cs="Arial"/>
          <w:color w:val="000000"/>
          <w:lang w:val="en-IN" w:bidi="ar"/>
        </w:rPr>
        <w:t>Tiroid</w:t>
      </w:r>
      <w:proofErr w:type="spellEnd"/>
      <w:r>
        <w:rPr>
          <w:rFonts w:ascii="Arial" w:eastAsia="SimSun" w:hAnsi="Arial" w:cs="Arial"/>
          <w:color w:val="000000"/>
          <w:lang w:val="en-IN" w:bidi="ar"/>
        </w:rPr>
        <w:t xml:space="preserve"> </w:t>
      </w:r>
      <w:proofErr w:type="spellStart"/>
      <w:r>
        <w:rPr>
          <w:rFonts w:ascii="Arial" w:eastAsia="SimSun" w:hAnsi="Arial" w:cs="Arial"/>
          <w:color w:val="000000"/>
          <w:lang w:val="en-IN" w:bidi="ar"/>
        </w:rPr>
        <w:t>hormon</w:t>
      </w:r>
      <w:proofErr w:type="spellEnd"/>
      <w:r>
        <w:rPr>
          <w:rFonts w:ascii="Arial" w:eastAsia="SimSun" w:hAnsi="Arial" w:cs="Arial"/>
          <w:color w:val="000000"/>
          <w:lang w:val="en-IN" w:bidi="ar"/>
        </w:rPr>
        <w:t xml:space="preserve"> </w:t>
      </w:r>
      <w:proofErr w:type="spellStart"/>
      <w:r>
        <w:rPr>
          <w:rFonts w:ascii="Arial" w:eastAsia="SimSun" w:hAnsi="Arial" w:cs="Arial"/>
          <w:color w:val="000000"/>
          <w:lang w:val="en-IN" w:bidi="ar"/>
        </w:rPr>
        <w:t>preparatlarý</w:t>
      </w:r>
      <w:proofErr w:type="spellEnd"/>
      <w:r>
        <w:rPr>
          <w:rFonts w:ascii="Arial" w:eastAsia="SimSun" w:hAnsi="Arial" w:cs="Arial"/>
          <w:color w:val="000000"/>
          <w:lang w:val="en-IN" w:bidi="ar"/>
        </w:rPr>
        <w:t xml:space="preserve">. In </w:t>
      </w:r>
      <w:proofErr w:type="spellStart"/>
      <w:r>
        <w:rPr>
          <w:rFonts w:ascii="Arial" w:eastAsia="SimSun" w:hAnsi="Arial" w:cs="Arial"/>
          <w:i/>
          <w:iCs/>
          <w:color w:val="000000"/>
          <w:lang w:val="en-IN" w:bidi="ar"/>
        </w:rPr>
        <w:t>Vademecum</w:t>
      </w:r>
      <w:proofErr w:type="spellEnd"/>
      <w:r>
        <w:rPr>
          <w:rFonts w:ascii="Arial" w:eastAsia="SimSun" w:hAnsi="Arial" w:cs="Arial"/>
          <w:color w:val="000000"/>
          <w:lang w:val="en-IN" w:bidi="ar"/>
        </w:rPr>
        <w:t xml:space="preserve"> (p. 673). </w:t>
      </w:r>
      <w:proofErr w:type="spellStart"/>
      <w:r>
        <w:rPr>
          <w:rFonts w:ascii="Arial" w:eastAsia="SimSun" w:hAnsi="Arial" w:cs="Arial"/>
          <w:color w:val="000000"/>
          <w:lang w:val="en-IN" w:bidi="ar"/>
        </w:rPr>
        <w:t>Hacettepe</w:t>
      </w:r>
      <w:proofErr w:type="spellEnd"/>
      <w:r>
        <w:rPr>
          <w:rFonts w:ascii="Arial" w:eastAsia="SimSun" w:hAnsi="Arial" w:cs="Arial"/>
          <w:color w:val="000000"/>
          <w:lang w:val="en-IN" w:bidi="ar"/>
        </w:rPr>
        <w:t xml:space="preserve"> Publishing, Istanbul.</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Ong, C. B., </w:t>
      </w:r>
      <w:proofErr w:type="spellStart"/>
      <w:r>
        <w:rPr>
          <w:rFonts w:ascii="Arial" w:eastAsia="SimSun" w:hAnsi="Arial" w:cs="Arial"/>
          <w:color w:val="000000"/>
          <w:lang w:val="en-IN" w:bidi="ar"/>
        </w:rPr>
        <w:t>Herdt</w:t>
      </w:r>
      <w:proofErr w:type="spellEnd"/>
      <w:r>
        <w:rPr>
          <w:rFonts w:ascii="Arial" w:eastAsia="SimSun" w:hAnsi="Arial" w:cs="Arial"/>
          <w:color w:val="000000"/>
          <w:lang w:val="en-IN" w:bidi="ar"/>
        </w:rPr>
        <w:t xml:space="preserve">, T. H., &amp; Fitzgerald, S. D. (2014). Hyperplastic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two adult dairy cows. </w:t>
      </w:r>
      <w:r>
        <w:rPr>
          <w:rFonts w:ascii="Arial" w:eastAsia="SimSun" w:hAnsi="Arial" w:cs="Arial"/>
          <w:i/>
          <w:iCs/>
          <w:color w:val="000000"/>
          <w:lang w:val="en-IN" w:bidi="ar"/>
        </w:rPr>
        <w:t>Journal of Veterinary Diagnostic Investigation</w:t>
      </w:r>
      <w:r>
        <w:rPr>
          <w:rFonts w:ascii="Arial" w:eastAsia="SimSun" w:hAnsi="Arial" w:cs="Arial"/>
          <w:color w:val="000000"/>
          <w:lang w:val="en-IN" w:bidi="ar"/>
        </w:rPr>
        <w:t xml:space="preserve">, </w:t>
      </w:r>
      <w:r>
        <w:rPr>
          <w:rFonts w:ascii="Arial" w:eastAsia="SimSun" w:hAnsi="Arial" w:cs="Arial"/>
          <w:i/>
          <w:iCs/>
          <w:color w:val="000000"/>
          <w:lang w:val="en-IN" w:bidi="ar"/>
        </w:rPr>
        <w:t>26</w:t>
      </w:r>
      <w:r>
        <w:rPr>
          <w:rFonts w:ascii="Arial" w:eastAsia="SimSun" w:hAnsi="Arial" w:cs="Arial"/>
          <w:color w:val="000000"/>
          <w:lang w:val="en-IN" w:bidi="ar"/>
        </w:rPr>
        <w:t>(6), 810–814.</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Ozmen</w:t>
      </w:r>
      <w:proofErr w:type="spellEnd"/>
      <w:r>
        <w:rPr>
          <w:rFonts w:ascii="Arial" w:eastAsia="SimSun" w:hAnsi="Arial" w:cs="Arial"/>
          <w:color w:val="000000"/>
          <w:lang w:val="en-IN" w:bidi="ar"/>
        </w:rPr>
        <w:t xml:space="preserve">, O., </w:t>
      </w:r>
      <w:proofErr w:type="spellStart"/>
      <w:r>
        <w:rPr>
          <w:rFonts w:ascii="Arial" w:eastAsia="SimSun" w:hAnsi="Arial" w:cs="Arial"/>
          <w:color w:val="000000"/>
          <w:lang w:val="en-IN" w:bidi="ar"/>
        </w:rPr>
        <w:t>Sahinduran</w:t>
      </w:r>
      <w:proofErr w:type="spellEnd"/>
      <w:r>
        <w:rPr>
          <w:rFonts w:ascii="Arial" w:eastAsia="SimSun" w:hAnsi="Arial" w:cs="Arial"/>
          <w:color w:val="000000"/>
          <w:lang w:val="en-IN" w:bidi="ar"/>
        </w:rPr>
        <w:t xml:space="preserve">, S., &amp; </w:t>
      </w:r>
      <w:proofErr w:type="spellStart"/>
      <w:r>
        <w:rPr>
          <w:rFonts w:ascii="Arial" w:eastAsia="SimSun" w:hAnsi="Arial" w:cs="Arial"/>
          <w:color w:val="000000"/>
          <w:lang w:val="en-IN" w:bidi="ar"/>
        </w:rPr>
        <w:t>Sezer</w:t>
      </w:r>
      <w:proofErr w:type="spellEnd"/>
      <w:r>
        <w:rPr>
          <w:rFonts w:ascii="Arial" w:eastAsia="SimSun" w:hAnsi="Arial" w:cs="Arial"/>
          <w:color w:val="000000"/>
          <w:lang w:val="en-IN" w:bidi="ar"/>
        </w:rPr>
        <w:t xml:space="preserve">, K. (2005). Clinical and pathological observations and treatment of congenital goitre in kids. </w:t>
      </w:r>
      <w:r>
        <w:rPr>
          <w:rFonts w:ascii="Arial" w:eastAsia="SimSun" w:hAnsi="Arial" w:cs="Arial"/>
          <w:i/>
          <w:iCs/>
          <w:color w:val="000000"/>
          <w:lang w:val="en-IN" w:bidi="ar"/>
        </w:rPr>
        <w:t xml:space="preserve">Bulletin of the Veterinary Institute in </w:t>
      </w:r>
      <w:proofErr w:type="spellStart"/>
      <w:r>
        <w:rPr>
          <w:rFonts w:ascii="Arial" w:eastAsia="SimSun" w:hAnsi="Arial" w:cs="Arial"/>
          <w:i/>
          <w:iCs/>
          <w:color w:val="000000"/>
          <w:lang w:val="en-IN" w:bidi="ar"/>
        </w:rPr>
        <w:t>Pulawy</w:t>
      </w:r>
      <w:proofErr w:type="spellEnd"/>
      <w:r>
        <w:rPr>
          <w:rFonts w:ascii="Arial" w:eastAsia="SimSun" w:hAnsi="Arial" w:cs="Arial"/>
          <w:color w:val="000000"/>
          <w:lang w:val="en-IN" w:bidi="ar"/>
        </w:rPr>
        <w:t xml:space="preserve">, </w:t>
      </w:r>
      <w:r>
        <w:rPr>
          <w:rFonts w:ascii="Arial" w:eastAsia="SimSun" w:hAnsi="Arial" w:cs="Arial"/>
          <w:i/>
          <w:iCs/>
          <w:color w:val="000000"/>
          <w:lang w:val="en-IN" w:bidi="ar"/>
        </w:rPr>
        <w:t>49</w:t>
      </w:r>
      <w:r>
        <w:rPr>
          <w:rFonts w:ascii="Arial" w:eastAsia="SimSun" w:hAnsi="Arial" w:cs="Arial"/>
          <w:color w:val="000000"/>
          <w:lang w:val="en-IN" w:bidi="ar"/>
        </w:rPr>
        <w:t>, 237–241.</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Paulíková</w:t>
      </w:r>
      <w:proofErr w:type="spellEnd"/>
      <w:r>
        <w:rPr>
          <w:rFonts w:ascii="Arial" w:eastAsia="SimSun" w:hAnsi="Arial" w:cs="Arial"/>
          <w:color w:val="000000"/>
          <w:lang w:val="en-IN" w:bidi="ar"/>
        </w:rPr>
        <w:t xml:space="preserve">, I., Seidel, H., Nagy, O., </w:t>
      </w:r>
      <w:proofErr w:type="spellStart"/>
      <w:r>
        <w:rPr>
          <w:rFonts w:ascii="Arial" w:eastAsia="SimSun" w:hAnsi="Arial" w:cs="Arial"/>
          <w:color w:val="000000"/>
          <w:lang w:val="en-IN" w:bidi="ar"/>
        </w:rPr>
        <w:t>Tóthová</w:t>
      </w:r>
      <w:proofErr w:type="spellEnd"/>
      <w:r>
        <w:rPr>
          <w:rFonts w:ascii="Arial" w:eastAsia="SimSun" w:hAnsi="Arial" w:cs="Arial"/>
          <w:color w:val="000000"/>
          <w:lang w:val="en-IN" w:bidi="ar"/>
        </w:rPr>
        <w:t xml:space="preserve">, C., &amp; </w:t>
      </w:r>
      <w:proofErr w:type="spellStart"/>
      <w:r>
        <w:rPr>
          <w:rFonts w:ascii="Arial" w:eastAsia="SimSun" w:hAnsi="Arial" w:cs="Arial"/>
          <w:color w:val="000000"/>
          <w:lang w:val="en-IN" w:bidi="ar"/>
        </w:rPr>
        <w:t>Kovác</w:t>
      </w:r>
      <w:proofErr w:type="spellEnd"/>
      <w:r>
        <w:rPr>
          <w:rFonts w:ascii="Arial" w:eastAsia="SimSun" w:hAnsi="Arial" w:cs="Arial"/>
          <w:color w:val="000000"/>
          <w:lang w:val="en-IN" w:bidi="ar"/>
        </w:rPr>
        <w:t xml:space="preserve">, G. (2011). Concentrations of thyroid hormones in various age categories of ruminants and swine. </w:t>
      </w:r>
      <w:r>
        <w:rPr>
          <w:rFonts w:ascii="Arial" w:eastAsia="SimSun" w:hAnsi="Arial" w:cs="Arial"/>
          <w:i/>
          <w:iCs/>
          <w:color w:val="000000"/>
          <w:lang w:val="en-IN" w:bidi="ar"/>
        </w:rPr>
        <w:t xml:space="preserve">Acta </w:t>
      </w:r>
      <w:proofErr w:type="spellStart"/>
      <w:r>
        <w:rPr>
          <w:rFonts w:ascii="Arial" w:eastAsia="SimSun" w:hAnsi="Arial" w:cs="Arial"/>
          <w:i/>
          <w:iCs/>
          <w:color w:val="000000"/>
          <w:lang w:val="en-IN" w:bidi="ar"/>
        </w:rPr>
        <w:t>Veterinaria</w:t>
      </w:r>
      <w:proofErr w:type="spellEnd"/>
      <w:r>
        <w:rPr>
          <w:rFonts w:ascii="Arial" w:eastAsia="SimSun" w:hAnsi="Arial" w:cs="Arial"/>
          <w:color w:val="000000"/>
          <w:lang w:val="en-IN" w:bidi="ar"/>
        </w:rPr>
        <w:t xml:space="preserve">, </w:t>
      </w:r>
      <w:r>
        <w:rPr>
          <w:rFonts w:ascii="Arial" w:eastAsia="SimSun" w:hAnsi="Arial" w:cs="Arial"/>
          <w:i/>
          <w:iCs/>
          <w:color w:val="000000"/>
          <w:lang w:val="en-IN" w:bidi="ar"/>
        </w:rPr>
        <w:t>61</w:t>
      </w:r>
      <w:r>
        <w:rPr>
          <w:rFonts w:ascii="Arial" w:eastAsia="SimSun" w:hAnsi="Arial" w:cs="Arial"/>
          <w:color w:val="000000"/>
          <w:lang w:val="en-IN" w:bidi="ar"/>
        </w:rPr>
        <w:t>(5–6), 489–503.</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Pearce, E. N., Andersson, M., &amp; Zimmermann, M. B. (2013). Global iodine nutrition: Where do we stand in 2013? </w:t>
      </w:r>
      <w:r>
        <w:rPr>
          <w:rFonts w:ascii="Arial" w:eastAsia="SimSun" w:hAnsi="Arial" w:cs="Arial"/>
          <w:i/>
          <w:iCs/>
          <w:color w:val="000000"/>
          <w:lang w:val="en-IN" w:bidi="ar"/>
        </w:rPr>
        <w:t>Thyroid</w:t>
      </w:r>
      <w:r>
        <w:rPr>
          <w:rFonts w:ascii="Arial" w:eastAsia="SimSun" w:hAnsi="Arial" w:cs="Arial"/>
          <w:color w:val="000000"/>
          <w:lang w:val="en-IN" w:bidi="ar"/>
        </w:rPr>
        <w:t xml:space="preserve">, </w:t>
      </w:r>
      <w:r>
        <w:rPr>
          <w:rFonts w:ascii="Arial" w:eastAsia="SimSun" w:hAnsi="Arial" w:cs="Arial"/>
          <w:i/>
          <w:iCs/>
          <w:color w:val="000000"/>
          <w:lang w:val="en-IN" w:bidi="ar"/>
        </w:rPr>
        <w:t>23</w:t>
      </w:r>
      <w:r>
        <w:rPr>
          <w:rFonts w:ascii="Arial" w:eastAsia="SimSun" w:hAnsi="Arial" w:cs="Arial"/>
          <w:color w:val="000000"/>
          <w:lang w:val="en-IN" w:bidi="ar"/>
        </w:rPr>
        <w:t>(5), 523–528.</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Pugh, D. G., &amp; Baird, A. N. (2012). </w:t>
      </w:r>
      <w:r>
        <w:rPr>
          <w:rFonts w:ascii="Arial" w:eastAsia="SimSun" w:hAnsi="Arial" w:cs="Arial"/>
          <w:i/>
          <w:iCs/>
          <w:color w:val="000000"/>
          <w:lang w:val="en-IN" w:bidi="ar"/>
        </w:rPr>
        <w:t>Sheep and goat medicine</w:t>
      </w:r>
      <w:r>
        <w:rPr>
          <w:rFonts w:ascii="Arial" w:eastAsia="SimSun" w:hAnsi="Arial" w:cs="Arial"/>
          <w:color w:val="000000"/>
          <w:lang w:val="en-IN" w:bidi="ar"/>
        </w:rPr>
        <w:t xml:space="preserve"> (2nd ed.). Elsevier Health Sciences.</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Puls</w:t>
      </w:r>
      <w:proofErr w:type="spellEnd"/>
      <w:r>
        <w:rPr>
          <w:rFonts w:ascii="Arial" w:eastAsia="SimSun" w:hAnsi="Arial" w:cs="Arial"/>
          <w:color w:val="000000"/>
          <w:lang w:val="en-IN" w:bidi="ar"/>
        </w:rPr>
        <w:t xml:space="preserve">, R. (1994). </w:t>
      </w:r>
      <w:r>
        <w:rPr>
          <w:rFonts w:ascii="Arial" w:eastAsia="SimSun" w:hAnsi="Arial" w:cs="Arial"/>
          <w:i/>
          <w:iCs/>
          <w:color w:val="000000"/>
          <w:lang w:val="en-IN" w:bidi="ar"/>
        </w:rPr>
        <w:t>Mineral levels in animal health: Diagnostic data</w:t>
      </w:r>
      <w:r>
        <w:rPr>
          <w:rFonts w:ascii="Arial" w:eastAsia="SimSun" w:hAnsi="Arial" w:cs="Arial"/>
          <w:color w:val="000000"/>
          <w:lang w:val="en-IN" w:bidi="ar"/>
        </w:rPr>
        <w:t>. Sherpa International.</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Radostits</w:t>
      </w:r>
      <w:proofErr w:type="spellEnd"/>
      <w:r>
        <w:rPr>
          <w:rFonts w:ascii="Arial" w:eastAsia="SimSun" w:hAnsi="Arial" w:cs="Arial"/>
          <w:color w:val="000000"/>
          <w:lang w:val="en-IN" w:bidi="ar"/>
        </w:rPr>
        <w:t xml:space="preserve">, O. M., Gay, C. C., </w:t>
      </w:r>
      <w:proofErr w:type="spellStart"/>
      <w:r>
        <w:rPr>
          <w:rFonts w:ascii="Arial" w:eastAsia="SimSun" w:hAnsi="Arial" w:cs="Arial"/>
          <w:color w:val="000000"/>
          <w:lang w:val="en-IN" w:bidi="ar"/>
        </w:rPr>
        <w:t>Hinchcliff</w:t>
      </w:r>
      <w:proofErr w:type="spellEnd"/>
      <w:r>
        <w:rPr>
          <w:rFonts w:ascii="Arial" w:eastAsia="SimSun" w:hAnsi="Arial" w:cs="Arial"/>
          <w:color w:val="000000"/>
          <w:lang w:val="en-IN" w:bidi="ar"/>
        </w:rPr>
        <w:t xml:space="preserve">, K. W., &amp; Constable, P. D. (2007). </w:t>
      </w:r>
      <w:r>
        <w:rPr>
          <w:rFonts w:ascii="Arial" w:eastAsia="SimSun" w:hAnsi="Arial" w:cs="Arial"/>
          <w:i/>
          <w:iCs/>
          <w:color w:val="000000"/>
          <w:lang w:val="en-IN" w:bidi="ar"/>
        </w:rPr>
        <w:t>Veterinary medicine</w:t>
      </w:r>
      <w:r>
        <w:rPr>
          <w:rFonts w:ascii="Arial" w:eastAsia="SimSun" w:hAnsi="Arial" w:cs="Arial"/>
          <w:color w:val="000000"/>
          <w:lang w:val="en-IN" w:bidi="ar"/>
        </w:rPr>
        <w:t xml:space="preserve"> (10th ed.). Saunders Elsevier, New York, USA.</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Sahan</w:t>
      </w:r>
      <w:proofErr w:type="spellEnd"/>
      <w:r>
        <w:rPr>
          <w:rFonts w:ascii="Arial" w:eastAsia="SimSun" w:hAnsi="Arial" w:cs="Arial"/>
          <w:color w:val="000000"/>
          <w:lang w:val="en-IN" w:bidi="ar"/>
        </w:rPr>
        <w:t xml:space="preserve">, A., </w:t>
      </w:r>
      <w:proofErr w:type="spellStart"/>
      <w:r>
        <w:rPr>
          <w:rFonts w:ascii="Arial" w:eastAsia="SimSun" w:hAnsi="Arial" w:cs="Arial"/>
          <w:color w:val="000000"/>
          <w:lang w:val="en-IN" w:bidi="ar"/>
        </w:rPr>
        <w:t>Gülersoy</w:t>
      </w:r>
      <w:proofErr w:type="spellEnd"/>
      <w:r>
        <w:rPr>
          <w:rFonts w:ascii="Arial" w:eastAsia="SimSun" w:hAnsi="Arial" w:cs="Arial"/>
          <w:color w:val="000000"/>
          <w:lang w:val="en-IN" w:bidi="ar"/>
        </w:rPr>
        <w:t xml:space="preserve">, E., </w:t>
      </w:r>
      <w:proofErr w:type="spellStart"/>
      <w:r>
        <w:rPr>
          <w:rFonts w:ascii="Arial" w:eastAsia="SimSun" w:hAnsi="Arial" w:cs="Arial"/>
          <w:color w:val="000000"/>
          <w:lang w:val="en-IN" w:bidi="ar"/>
        </w:rPr>
        <w:t>Balıkcı</w:t>
      </w:r>
      <w:proofErr w:type="spellEnd"/>
      <w:r>
        <w:rPr>
          <w:rFonts w:ascii="Arial" w:eastAsia="SimSun" w:hAnsi="Arial" w:cs="Arial"/>
          <w:color w:val="000000"/>
          <w:lang w:val="en-IN" w:bidi="ar"/>
        </w:rPr>
        <w:t xml:space="preserve">, C., </w:t>
      </w:r>
      <w:proofErr w:type="spellStart"/>
      <w:r>
        <w:rPr>
          <w:rFonts w:ascii="Arial" w:eastAsia="SimSun" w:hAnsi="Arial" w:cs="Arial"/>
          <w:color w:val="000000"/>
          <w:lang w:val="en-IN" w:bidi="ar"/>
        </w:rPr>
        <w:t>Günal</w:t>
      </w:r>
      <w:proofErr w:type="spellEnd"/>
      <w:r>
        <w:rPr>
          <w:rFonts w:ascii="Arial" w:eastAsia="SimSun" w:hAnsi="Arial" w:cs="Arial"/>
          <w:color w:val="000000"/>
          <w:lang w:val="en-IN" w:bidi="ar"/>
        </w:rPr>
        <w:t xml:space="preserve">, İ., &amp; </w:t>
      </w:r>
      <w:proofErr w:type="spellStart"/>
      <w:r>
        <w:rPr>
          <w:rFonts w:ascii="Arial" w:eastAsia="SimSun" w:hAnsi="Arial" w:cs="Arial"/>
          <w:color w:val="000000"/>
          <w:lang w:val="en-IN" w:bidi="ar"/>
        </w:rPr>
        <w:t>Kısmet</w:t>
      </w:r>
      <w:proofErr w:type="spellEnd"/>
      <w:r>
        <w:rPr>
          <w:rFonts w:ascii="Arial" w:eastAsia="SimSun" w:hAnsi="Arial" w:cs="Arial"/>
          <w:color w:val="000000"/>
          <w:lang w:val="en-IN" w:bidi="ar"/>
        </w:rPr>
        <w:t xml:space="preserve">, E. (2025). Clinical diagnosis and management of a congenital </w:t>
      </w:r>
      <w:proofErr w:type="spellStart"/>
      <w:r>
        <w:rPr>
          <w:rFonts w:ascii="Arial" w:eastAsia="SimSun" w:hAnsi="Arial" w:cs="Arial"/>
          <w:color w:val="000000"/>
          <w:lang w:val="en-IN" w:bidi="ar"/>
        </w:rPr>
        <w:t>goiter</w:t>
      </w:r>
      <w:proofErr w:type="spellEnd"/>
      <w:r>
        <w:rPr>
          <w:rFonts w:ascii="Arial" w:eastAsia="SimSun" w:hAnsi="Arial" w:cs="Arial"/>
          <w:color w:val="000000"/>
          <w:lang w:val="en-IN" w:bidi="ar"/>
        </w:rPr>
        <w:t xml:space="preserve"> in a kid. </w:t>
      </w:r>
      <w:r>
        <w:rPr>
          <w:rFonts w:ascii="Arial" w:eastAsia="SimSun" w:hAnsi="Arial" w:cs="Arial"/>
          <w:i/>
          <w:iCs/>
          <w:color w:val="000000"/>
          <w:lang w:val="en-IN" w:bidi="ar"/>
        </w:rPr>
        <w:t>Journal of Veterinary Case Reports</w:t>
      </w:r>
      <w:r>
        <w:rPr>
          <w:rFonts w:ascii="Arial" w:eastAsia="SimSun" w:hAnsi="Arial" w:cs="Arial"/>
          <w:color w:val="000000"/>
          <w:lang w:val="en-IN" w:bidi="ar"/>
        </w:rPr>
        <w:t xml:space="preserve">, </w:t>
      </w:r>
      <w:r>
        <w:rPr>
          <w:rFonts w:ascii="Arial" w:eastAsia="SimSun" w:hAnsi="Arial" w:cs="Arial"/>
          <w:i/>
          <w:iCs/>
          <w:color w:val="000000"/>
          <w:lang w:val="en-IN" w:bidi="ar"/>
        </w:rPr>
        <w:t>5</w:t>
      </w:r>
      <w:r>
        <w:rPr>
          <w:rFonts w:ascii="Arial" w:eastAsia="SimSun" w:hAnsi="Arial" w:cs="Arial"/>
          <w:color w:val="000000"/>
          <w:lang w:val="en-IN" w:bidi="ar"/>
        </w:rPr>
        <w:t>(1), 15–19.</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Singh, J., Sharma, M., Kumar, M., Rastogi, S., Gupta, G. C., Singh, S. P., Sharma, L. D., Gandhi, V. K., &amp; </w:t>
      </w:r>
      <w:proofErr w:type="spellStart"/>
      <w:r>
        <w:rPr>
          <w:rFonts w:ascii="Arial" w:eastAsia="SimSun" w:hAnsi="Arial" w:cs="Arial"/>
          <w:color w:val="000000"/>
          <w:lang w:val="en-IN" w:bidi="ar"/>
        </w:rPr>
        <w:t>Kalicharan</w:t>
      </w:r>
      <w:proofErr w:type="spellEnd"/>
      <w:r>
        <w:rPr>
          <w:rFonts w:ascii="Arial" w:eastAsia="SimSun" w:hAnsi="Arial" w:cs="Arial"/>
          <w:color w:val="000000"/>
          <w:lang w:val="en-IN" w:bidi="ar"/>
        </w:rPr>
        <w:t xml:space="preserve">. (2002). Assessment of therapy in </w:t>
      </w:r>
      <w:proofErr w:type="spellStart"/>
      <w:r>
        <w:rPr>
          <w:rFonts w:ascii="Arial" w:eastAsia="SimSun" w:hAnsi="Arial" w:cs="Arial"/>
          <w:color w:val="000000"/>
          <w:lang w:val="en-IN" w:bidi="ar"/>
        </w:rPr>
        <w:t>goitrous</w:t>
      </w:r>
      <w:proofErr w:type="spellEnd"/>
      <w:r>
        <w:rPr>
          <w:rFonts w:ascii="Arial" w:eastAsia="SimSun" w:hAnsi="Arial" w:cs="Arial"/>
          <w:color w:val="000000"/>
          <w:lang w:val="en-IN" w:bidi="ar"/>
        </w:rPr>
        <w:t xml:space="preserve"> goats through some cardiac function tests. </w:t>
      </w:r>
      <w:r>
        <w:rPr>
          <w:rFonts w:ascii="Arial" w:eastAsia="SimSun" w:hAnsi="Arial" w:cs="Arial"/>
          <w:i/>
          <w:iCs/>
          <w:color w:val="000000"/>
          <w:lang w:val="en-IN" w:bidi="ar"/>
        </w:rPr>
        <w:t>Small Ruminant Research</w:t>
      </w:r>
      <w:r>
        <w:rPr>
          <w:rFonts w:ascii="Arial" w:eastAsia="SimSun" w:hAnsi="Arial" w:cs="Arial"/>
          <w:color w:val="000000"/>
          <w:lang w:val="en-IN" w:bidi="ar"/>
        </w:rPr>
        <w:t xml:space="preserve">, </w:t>
      </w:r>
      <w:r>
        <w:rPr>
          <w:rFonts w:ascii="Arial" w:eastAsia="SimSun" w:hAnsi="Arial" w:cs="Arial"/>
          <w:i/>
          <w:iCs/>
          <w:color w:val="000000"/>
          <w:lang w:val="en-IN" w:bidi="ar"/>
        </w:rPr>
        <w:t>44</w:t>
      </w:r>
      <w:r>
        <w:rPr>
          <w:rFonts w:ascii="Arial" w:eastAsia="SimSun" w:hAnsi="Arial" w:cs="Arial"/>
          <w:color w:val="000000"/>
          <w:lang w:val="en-IN" w:bidi="ar"/>
        </w:rPr>
        <w:t>(2), 119–124.</w:t>
      </w:r>
    </w:p>
    <w:p w:rsidR="00B42E03" w:rsidRDefault="006D1C76">
      <w:pPr>
        <w:ind w:left="720" w:hanging="720"/>
        <w:jc w:val="both"/>
        <w:rPr>
          <w:rFonts w:ascii="Arial" w:eastAsia="SimSun" w:hAnsi="Arial" w:cs="Arial"/>
          <w:color w:val="000000"/>
          <w:lang w:val="en-IN" w:bidi="ar"/>
        </w:rPr>
      </w:pPr>
      <w:r>
        <w:rPr>
          <w:rFonts w:ascii="Arial" w:eastAsia="SimSun" w:hAnsi="Arial" w:cs="Arial"/>
          <w:color w:val="000000"/>
          <w:lang w:val="en-IN" w:bidi="ar"/>
        </w:rPr>
        <w:t xml:space="preserve">Smith, M. C., &amp; Sherman, D. M. (2023). Iodine. In </w:t>
      </w:r>
      <w:r>
        <w:rPr>
          <w:rFonts w:ascii="Arial" w:eastAsia="SimSun" w:hAnsi="Arial" w:cs="Arial"/>
          <w:i/>
          <w:iCs/>
          <w:color w:val="000000"/>
          <w:lang w:val="en-IN" w:bidi="ar"/>
        </w:rPr>
        <w:t>Goat medicine</w:t>
      </w:r>
      <w:r>
        <w:rPr>
          <w:rFonts w:ascii="Arial" w:eastAsia="SimSun" w:hAnsi="Arial" w:cs="Arial"/>
          <w:color w:val="000000"/>
          <w:lang w:val="en-IN" w:bidi="ar"/>
        </w:rPr>
        <w:t xml:space="preserve"> (3rd ed., pp. 80–84). Wiley-Blackwell, Hoboken, NJ.</w:t>
      </w:r>
    </w:p>
    <w:p w:rsidR="00B42E03" w:rsidRDefault="006D1C76">
      <w:pPr>
        <w:ind w:left="720" w:hanging="720"/>
        <w:jc w:val="both"/>
        <w:rPr>
          <w:rFonts w:ascii="Arial" w:eastAsia="SimSun" w:hAnsi="Arial" w:cs="Arial"/>
          <w:color w:val="000000"/>
          <w:lang w:val="en-IN" w:bidi="ar"/>
        </w:rPr>
      </w:pPr>
      <w:proofErr w:type="spellStart"/>
      <w:r>
        <w:rPr>
          <w:rFonts w:ascii="Arial" w:eastAsia="SimSun" w:hAnsi="Arial" w:cs="Arial"/>
          <w:color w:val="000000"/>
          <w:lang w:val="en-IN" w:bidi="ar"/>
        </w:rPr>
        <w:t>Zicker</w:t>
      </w:r>
      <w:proofErr w:type="spellEnd"/>
      <w:r>
        <w:rPr>
          <w:rFonts w:ascii="Arial" w:eastAsia="SimSun" w:hAnsi="Arial" w:cs="Arial"/>
          <w:color w:val="000000"/>
          <w:lang w:val="en-IN" w:bidi="ar"/>
        </w:rPr>
        <w:t xml:space="preserve">, S., &amp; Schoenherr, B. (2012). The role of iodine in nutrition and metabolism. </w:t>
      </w:r>
      <w:r>
        <w:rPr>
          <w:rFonts w:ascii="Arial" w:eastAsia="SimSun" w:hAnsi="Arial" w:cs="Arial"/>
          <w:i/>
          <w:iCs/>
          <w:color w:val="000000"/>
          <w:lang w:val="en-IN" w:bidi="ar"/>
        </w:rPr>
        <w:t>Compendium: Continuing Education for Veterinarians</w:t>
      </w:r>
      <w:r>
        <w:rPr>
          <w:rFonts w:ascii="Arial" w:eastAsia="SimSun" w:hAnsi="Arial" w:cs="Arial"/>
          <w:color w:val="000000"/>
          <w:lang w:val="en-IN" w:bidi="ar"/>
        </w:rPr>
        <w:t xml:space="preserve">, </w:t>
      </w:r>
      <w:r>
        <w:rPr>
          <w:rFonts w:ascii="Arial" w:eastAsia="SimSun" w:hAnsi="Arial" w:cs="Arial"/>
          <w:i/>
          <w:iCs/>
          <w:color w:val="000000"/>
          <w:lang w:val="en-IN" w:bidi="ar"/>
        </w:rPr>
        <w:t>34</w:t>
      </w:r>
      <w:r>
        <w:rPr>
          <w:rFonts w:ascii="Arial" w:eastAsia="SimSun" w:hAnsi="Arial" w:cs="Arial"/>
          <w:color w:val="000000"/>
          <w:lang w:val="en-IN" w:bidi="ar"/>
        </w:rPr>
        <w:t>, 1–4.</w:t>
      </w:r>
    </w:p>
    <w:sectPr w:rsidR="00B42E03">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F0F" w:rsidRDefault="00E62F0F">
      <w:r>
        <w:separator/>
      </w:r>
    </w:p>
  </w:endnote>
  <w:endnote w:type="continuationSeparator" w:id="0">
    <w:p w:rsidR="00E62F0F" w:rsidRDefault="00E62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o">
    <w:altName w:val="Segoe UI"/>
    <w:charset w:val="00"/>
    <w:family w:val="swiss"/>
    <w:pitch w:val="variable"/>
    <w:sig w:usb0="E10002FF" w:usb1="5000ECFF" w:usb2="00000021" w:usb3="00000000" w:csb0="0000019F" w:csb1="00000000"/>
  </w:font>
  <w:font w:name="Lato-Bold">
    <w:altName w:val="Segoe Print"/>
    <w:charset w:val="00"/>
    <w:family w:val="auto"/>
    <w:pitch w:val="default"/>
  </w:font>
  <w:font w:name="Lato-BoldItalic">
    <w:altName w:val="Segoe Print"/>
    <w:charset w:val="00"/>
    <w:family w:val="auto"/>
    <w:pitch w:val="default"/>
  </w:font>
  <w:font w:name="STIXTwoMath">
    <w:altName w:val="Segoe Print"/>
    <w:charset w:val="00"/>
    <w:family w:val="auto"/>
    <w:pitch w:val="default"/>
  </w:font>
  <w:font w:name="STIXTwoText-Italic">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 w:name="AGaramond">
    <w:altName w:val="Segoe Print"/>
    <w:charset w:val="00"/>
    <w:family w:val="auto"/>
    <w:pitch w:val="default"/>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E03" w:rsidRDefault="00B42E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E03" w:rsidRDefault="00B42E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E03" w:rsidRDefault="00B42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F0F" w:rsidRDefault="00E62F0F">
      <w:r>
        <w:separator/>
      </w:r>
    </w:p>
  </w:footnote>
  <w:footnote w:type="continuationSeparator" w:id="0">
    <w:p w:rsidR="00E62F0F" w:rsidRDefault="00E62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E03" w:rsidRDefault="00E62F0F">
    <w:pPr>
      <w:pStyle w:val="Header"/>
    </w:pPr>
    <w:r>
      <w:pict w14:anchorId="76C803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2921266" o:spid="_x0000_s2050" type="#_x0000_t136" style="position:absolute;margin-left:0;margin-top:0;width:492.55pt;height:92.9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E03" w:rsidRDefault="00E62F0F">
    <w:pPr>
      <w:pStyle w:val="Header"/>
    </w:pPr>
    <w:r>
      <w:pict w14:anchorId="0F376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2921267" o:spid="_x0000_s2051" type="#_x0000_t136" style="position:absolute;margin-left:0;margin-top:0;width:492.55pt;height:92.9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E03" w:rsidRDefault="00E62F0F">
    <w:pPr>
      <w:pStyle w:val="Header"/>
    </w:pPr>
    <w:r>
      <w:pict w14:anchorId="30D0E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2921265" o:spid="_x0000_s2049" type="#_x0000_t136" style="position:absolute;margin-left:0;margin-top:0;width:492.55pt;height:92.9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yNzYzMjA3sjA2MjJW0lEKTi0uzszPAykwqgUA09c1vywAAAA="/>
  </w:docVars>
  <w:rsids>
    <w:rsidRoot w:val="005F5ABC"/>
    <w:rsid w:val="000B5AD7"/>
    <w:rsid w:val="000E46DD"/>
    <w:rsid w:val="000F0ABD"/>
    <w:rsid w:val="00103016"/>
    <w:rsid w:val="001327EC"/>
    <w:rsid w:val="00140E67"/>
    <w:rsid w:val="00154D13"/>
    <w:rsid w:val="00174F28"/>
    <w:rsid w:val="001957E3"/>
    <w:rsid w:val="00247EFE"/>
    <w:rsid w:val="002541C6"/>
    <w:rsid w:val="00297B1A"/>
    <w:rsid w:val="002C3A9A"/>
    <w:rsid w:val="002C5492"/>
    <w:rsid w:val="002C5FF7"/>
    <w:rsid w:val="002D060B"/>
    <w:rsid w:val="002D4C5C"/>
    <w:rsid w:val="00310205"/>
    <w:rsid w:val="00324E3A"/>
    <w:rsid w:val="003526B8"/>
    <w:rsid w:val="00360F97"/>
    <w:rsid w:val="00441418"/>
    <w:rsid w:val="004907F1"/>
    <w:rsid w:val="0049686F"/>
    <w:rsid w:val="004B1518"/>
    <w:rsid w:val="004C2C5C"/>
    <w:rsid w:val="004C3D7D"/>
    <w:rsid w:val="004F754C"/>
    <w:rsid w:val="00503A5A"/>
    <w:rsid w:val="00504ACF"/>
    <w:rsid w:val="00505F64"/>
    <w:rsid w:val="00535696"/>
    <w:rsid w:val="0053644C"/>
    <w:rsid w:val="005D02DA"/>
    <w:rsid w:val="005F5ABC"/>
    <w:rsid w:val="006066C3"/>
    <w:rsid w:val="0063512E"/>
    <w:rsid w:val="00670A30"/>
    <w:rsid w:val="0069533C"/>
    <w:rsid w:val="0069683F"/>
    <w:rsid w:val="006D1C76"/>
    <w:rsid w:val="006E63FC"/>
    <w:rsid w:val="007135E7"/>
    <w:rsid w:val="00734F22"/>
    <w:rsid w:val="0076191C"/>
    <w:rsid w:val="00793462"/>
    <w:rsid w:val="00817E1C"/>
    <w:rsid w:val="00853817"/>
    <w:rsid w:val="008A014E"/>
    <w:rsid w:val="00906A71"/>
    <w:rsid w:val="009132D2"/>
    <w:rsid w:val="00941130"/>
    <w:rsid w:val="00943F89"/>
    <w:rsid w:val="009627B1"/>
    <w:rsid w:val="00A1453F"/>
    <w:rsid w:val="00A5058A"/>
    <w:rsid w:val="00AB7A60"/>
    <w:rsid w:val="00AB7B11"/>
    <w:rsid w:val="00AC3D0A"/>
    <w:rsid w:val="00AC78D5"/>
    <w:rsid w:val="00AD3733"/>
    <w:rsid w:val="00AE07DC"/>
    <w:rsid w:val="00AE3871"/>
    <w:rsid w:val="00AF620B"/>
    <w:rsid w:val="00B35B27"/>
    <w:rsid w:val="00B42E03"/>
    <w:rsid w:val="00B644A6"/>
    <w:rsid w:val="00C85BAC"/>
    <w:rsid w:val="00C93AD4"/>
    <w:rsid w:val="00CB0754"/>
    <w:rsid w:val="00CC39C1"/>
    <w:rsid w:val="00D00084"/>
    <w:rsid w:val="00D27C10"/>
    <w:rsid w:val="00D31CB5"/>
    <w:rsid w:val="00D4069F"/>
    <w:rsid w:val="00D81BF4"/>
    <w:rsid w:val="00D90552"/>
    <w:rsid w:val="00DE2F25"/>
    <w:rsid w:val="00E2425E"/>
    <w:rsid w:val="00E62F0F"/>
    <w:rsid w:val="00E9040E"/>
    <w:rsid w:val="00E95ADC"/>
    <w:rsid w:val="00E974D6"/>
    <w:rsid w:val="00EA10FE"/>
    <w:rsid w:val="00EA4159"/>
    <w:rsid w:val="00EC3403"/>
    <w:rsid w:val="00EE1E07"/>
    <w:rsid w:val="00EE2214"/>
    <w:rsid w:val="00EF61A8"/>
    <w:rsid w:val="00F502FB"/>
    <w:rsid w:val="00F5354B"/>
    <w:rsid w:val="00F77B75"/>
    <w:rsid w:val="00FA402E"/>
    <w:rsid w:val="00FA77B9"/>
    <w:rsid w:val="0BE1540C"/>
    <w:rsid w:val="0C984ACC"/>
    <w:rsid w:val="0EF61760"/>
    <w:rsid w:val="157B38AF"/>
    <w:rsid w:val="1AA5016B"/>
    <w:rsid w:val="1B256297"/>
    <w:rsid w:val="1E5F5ECF"/>
    <w:rsid w:val="1F3644C3"/>
    <w:rsid w:val="208863EE"/>
    <w:rsid w:val="20E56788"/>
    <w:rsid w:val="22EF67DD"/>
    <w:rsid w:val="292F2A9F"/>
    <w:rsid w:val="2CE43C1E"/>
    <w:rsid w:val="2E122E1F"/>
    <w:rsid w:val="3365229D"/>
    <w:rsid w:val="358878E1"/>
    <w:rsid w:val="36FA3ADA"/>
    <w:rsid w:val="3B2A612B"/>
    <w:rsid w:val="3DD43653"/>
    <w:rsid w:val="40C924B3"/>
    <w:rsid w:val="41220E6C"/>
    <w:rsid w:val="41912044"/>
    <w:rsid w:val="476A64F5"/>
    <w:rsid w:val="47A92896"/>
    <w:rsid w:val="4BBF7D09"/>
    <w:rsid w:val="4BE0268A"/>
    <w:rsid w:val="4E4B1EE9"/>
    <w:rsid w:val="4F7D43EE"/>
    <w:rsid w:val="50085AF4"/>
    <w:rsid w:val="53B65AFA"/>
    <w:rsid w:val="58853941"/>
    <w:rsid w:val="58BC7AA4"/>
    <w:rsid w:val="5CCC65EB"/>
    <w:rsid w:val="65174D40"/>
    <w:rsid w:val="65F251CE"/>
    <w:rsid w:val="67CF2561"/>
    <w:rsid w:val="689C20F0"/>
    <w:rsid w:val="69A920BB"/>
    <w:rsid w:val="69D803B7"/>
    <w:rsid w:val="6BAA50E2"/>
    <w:rsid w:val="6CD46A9B"/>
    <w:rsid w:val="6EB301ED"/>
    <w:rsid w:val="6EC7692F"/>
    <w:rsid w:val="70073DF3"/>
    <w:rsid w:val="719637E6"/>
    <w:rsid w:val="75155D83"/>
    <w:rsid w:val="76576679"/>
    <w:rsid w:val="7C9F0322"/>
    <w:rsid w:val="7F0C5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5673843"/>
  <w15:docId w15:val="{E115F30D-0540-4045-893B-501902C70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eastAsia="zh-CN"/>
    </w:rPr>
  </w:style>
  <w:style w:type="paragraph" w:styleId="Heading4">
    <w:name w:val="heading 4"/>
    <w:next w:val="Normal"/>
    <w:semiHidden/>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rPr>
      <w:color w:val="0563C1" w:themeColor="hyperlink"/>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rFonts w:ascii="Times New Roman" w:eastAsia="Times New Roman" w:hAnsi="Times New Roman" w:cs="Times New Roman"/>
      <w:sz w:val="24"/>
      <w:szCs w:val="24"/>
      <w:lang w:eastAsia="en-IN"/>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4536</Words>
  <Characters>25861</Characters>
  <Application>Microsoft Office Word</Application>
  <DocSecurity>0</DocSecurity>
  <Lines>215</Lines>
  <Paragraphs>60</Paragraphs>
  <ScaleCrop>false</ScaleCrop>
  <Company/>
  <LinksUpToDate>false</LinksUpToDate>
  <CharactersWithSpaces>30337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kasth</dc:creator>
  <cp:lastModifiedBy>SDI 1020</cp:lastModifiedBy>
  <cp:revision>66</cp:revision>
  <dcterms:created xsi:type="dcterms:W3CDTF">2025-06-10T13:10:00Z</dcterms:created>
  <dcterms:modified xsi:type="dcterms:W3CDTF">2025-11-22T08:45:00Z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2ADE071386DD49E19B6E9086F3621872_12</vt:lpwstr>
  </property>
</Properties>
</file>