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026A">
      <w:pPr>
        <w:jc w:val="center"/>
        <w:rPr>
          <w:rFonts w:ascii="Arial" w:hAnsi="Arial" w:cs="Arial"/>
          <w:b/>
          <w:bCs/>
          <w:sz w:val="32"/>
          <w:szCs w:val="32"/>
        </w:rPr>
      </w:pPr>
      <w:commentRangeStart w:id="0"/>
      <w:bookmarkStart w:id="0" w:name="_GoBack"/>
      <w:r>
        <w:rPr>
          <w:rFonts w:ascii="Arial" w:hAnsi="Arial" w:cs="Arial"/>
          <w:b/>
          <w:bCs/>
          <w:sz w:val="32"/>
          <w:szCs w:val="32"/>
        </w:rPr>
        <w:t>Community Participation in Strengthening an Independent Village-Owned Enterprise (BUMDes) in Sekip Village, Lubuk Pakam District, Deli Serdang Regency, Indonesia</w:t>
      </w:r>
      <w:commentRangeEnd w:id="0"/>
      <w:bookmarkEnd w:id="0"/>
      <w:r>
        <w:commentReference w:id="0"/>
      </w:r>
    </w:p>
    <w:p w14:paraId="5C0D928B">
      <w:pPr>
        <w:jc w:val="center"/>
        <w:rPr>
          <w:rFonts w:ascii="Arial" w:hAnsi="Arial" w:cs="Arial"/>
        </w:rPr>
      </w:pPr>
      <w:r>
        <w:rPr>
          <w:rFonts w:ascii="Arial" w:hAnsi="Arial" w:cs="Arial"/>
        </w:rPr>
        <w:br w:type="textWrapping"/>
      </w:r>
    </w:p>
    <w:p w14:paraId="66655EF7">
      <w:pPr>
        <w:jc w:val="both"/>
        <w:rPr>
          <w:rFonts w:ascii="Times New Roman" w:hAnsi="Times New Roman" w:cs="Times New Roman"/>
        </w:rPr>
      </w:pPr>
    </w:p>
    <w:p w14:paraId="59F9280F">
      <w:pPr>
        <w:jc w:val="center"/>
        <w:rPr>
          <w:rFonts w:ascii="Times New Roman" w:hAnsi="Times New Roman" w:cs="Times New Roman"/>
          <w:b/>
          <w:bCs/>
        </w:rPr>
      </w:pPr>
      <w:r>
        <w:rPr>
          <w:rFonts w:ascii="Times New Roman" w:hAnsi="Times New Roman" w:cs="Times New Roman"/>
          <w:b/>
          <w:bCs/>
        </w:rPr>
        <w:t>Abstract</w:t>
      </w:r>
    </w:p>
    <w:p w14:paraId="1DDC9543">
      <w:pPr>
        <w:jc w:val="both"/>
        <w:rPr>
          <w:rFonts w:ascii="Times New Roman" w:hAnsi="Times New Roman" w:cs="Times New Roman"/>
        </w:rPr>
      </w:pPr>
      <w:r>
        <w:rPr>
          <w:rFonts w:ascii="Times New Roman" w:hAnsi="Times New Roman" w:cs="Times New Roman"/>
        </w:rPr>
        <w:t>This study aims to analyse the strategic position and development direction of the Village-Owned Enterprise (Badan Usaha Milik Desa/</w:t>
      </w:r>
      <w:commentRangeStart w:id="1"/>
      <w:r>
        <w:rPr>
          <w:rFonts w:ascii="Times New Roman" w:hAnsi="Times New Roman" w:cs="Times New Roman"/>
        </w:rPr>
        <w:t>BUMDes</w:t>
      </w:r>
      <w:commentRangeEnd w:id="1"/>
      <w:r>
        <w:commentReference w:id="1"/>
      </w:r>
      <w:r>
        <w:rPr>
          <w:rFonts w:ascii="Times New Roman" w:hAnsi="Times New Roman" w:cs="Times New Roman"/>
        </w:rPr>
        <w:t xml:space="preserve">) </w:t>
      </w:r>
      <w:r>
        <w:rPr>
          <w:rFonts w:ascii="Times New Roman" w:hAnsi="Times New Roman" w:cs="Times New Roman"/>
          <w:i/>
          <w:iCs/>
        </w:rPr>
        <w:t>Al Barokah Sekip</w:t>
      </w:r>
      <w:r>
        <w:rPr>
          <w:rFonts w:ascii="Times New Roman" w:hAnsi="Times New Roman" w:cs="Times New Roman"/>
        </w:rPr>
        <w:t xml:space="preserve"> in supporting the realization of a self-reliant village through the strengthening of business units based on local potential. </w:t>
      </w:r>
      <w:commentRangeStart w:id="2"/>
      <w:r>
        <w:rPr>
          <w:rFonts w:ascii="Times New Roman" w:hAnsi="Times New Roman" w:cs="Times New Roman"/>
        </w:rPr>
        <w:t>A qualitative descriptive approach</w:t>
      </w:r>
      <w:commentRangeEnd w:id="2"/>
      <w:r>
        <w:commentReference w:id="2"/>
      </w:r>
      <w:r>
        <w:rPr>
          <w:rFonts w:ascii="Times New Roman" w:hAnsi="Times New Roman" w:cs="Times New Roman"/>
        </w:rPr>
        <w:t xml:space="preserve"> with a case-study design was employed, complemented by descriptive quantitative data. Data were collected through in-depth interviews with BUMDes managers and village government officials, field observations, and a review of institutional and financial documents. The data were analysed using a SWOT framework operationalised in IFAS (Internal Factors Analysis Summary) and EFAS (External Factors Analysis Summary) matrices to identify strengths, weaknesses, opportunities, and threats across three main business units: Boom Dash Pasar Modal </w:t>
      </w:r>
      <w:r>
        <w:rPr>
          <w:rFonts w:ascii="Times New Roman" w:hAnsi="Times New Roman" w:cs="Times New Roman"/>
          <w:i/>
          <w:iCs/>
        </w:rPr>
        <w:t>Almaroka Skip</w:t>
      </w:r>
      <w:r>
        <w:rPr>
          <w:rFonts w:ascii="Times New Roman" w:hAnsi="Times New Roman" w:cs="Times New Roman"/>
        </w:rPr>
        <w:t xml:space="preserve"> (capital market unit), Boom Dash Pertanian Terpadu (Agrodes), and Boom Dash Perdagangan dan Layanan SkipMark (Sekip Mart). The findings indicate that BUMDes Al Barokah Sekip remains in a pioneering stage: the institutional foundation has been established, but managerial capacity and community participation are still limited. The Integrated Agriculture (Agrodes) and Sekip Mart units occupy the most promising positions because they are aligned with the community’s economic base and daily market needs, whereas the capital market unit is more appropriate as a vehicle for financial literacy education than as the primary revenue generator. Recommended strategies include strengthening real-sector businesses, integrating agricultural–trade value chains, enhancing managerial capacity, and improving transparency and inclusiveness in governance. The study underscores the importance of SWOT–IFAS–EFAS-based strategic planning for BUMDes to optimise their economic and social roles in village development.</w:t>
      </w:r>
      <w:r>
        <w:commentReference w:id="3"/>
      </w:r>
    </w:p>
    <w:p w14:paraId="3256F033">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BUMDes, development strategy, SWOT, IFAS, EFAS, village self-reliance</w:t>
      </w:r>
    </w:p>
    <w:p w14:paraId="4C49AB98">
      <w:pPr>
        <w:jc w:val="both"/>
        <w:rPr>
          <w:rFonts w:ascii="Times New Roman" w:hAnsi="Times New Roman" w:cs="Times New Roman"/>
        </w:rPr>
      </w:pPr>
    </w:p>
    <w:p w14:paraId="4148C29B">
      <w:pPr>
        <w:jc w:val="both"/>
        <w:rPr>
          <w:rFonts w:ascii="Times New Roman" w:hAnsi="Times New Roman" w:cs="Times New Roman"/>
          <w:b/>
          <w:bCs/>
        </w:rPr>
      </w:pPr>
      <w:r>
        <w:rPr>
          <w:rFonts w:ascii="Times New Roman" w:hAnsi="Times New Roman" w:cs="Times New Roman"/>
          <w:b/>
          <w:bCs/>
        </w:rPr>
        <w:t>1. Introduction</w:t>
      </w:r>
    </w:p>
    <w:p w14:paraId="1F5E8CBA">
      <w:pPr>
        <w:jc w:val="both"/>
        <w:rPr>
          <w:rFonts w:ascii="Times New Roman" w:hAnsi="Times New Roman" w:cs="Times New Roman"/>
        </w:rPr>
      </w:pPr>
      <w:commentRangeStart w:id="4"/>
      <w:r>
        <w:rPr>
          <w:rFonts w:ascii="Times New Roman" w:hAnsi="Times New Roman" w:cs="Times New Roman"/>
        </w:rPr>
        <w:t>Village development in Indonesia occupies a strategic position within the national development framework, as the majority of the population</w:t>
      </w:r>
      <w:commentRangeStart w:id="5"/>
      <w:r>
        <w:rPr>
          <w:rFonts w:ascii="Times New Roman" w:hAnsi="Times New Roman" w:cs="Times New Roman"/>
        </w:rPr>
        <w:t>—</w:t>
      </w:r>
      <w:commentRangeEnd w:id="5"/>
      <w:r>
        <w:commentReference w:id="5"/>
      </w:r>
      <w:r>
        <w:rPr>
          <w:rFonts w:ascii="Times New Roman" w:hAnsi="Times New Roman" w:cs="Times New Roman"/>
        </w:rPr>
        <w:t xml:space="preserve">and its associated socio-economic challenges—are concentrated in rural areas. Villages are no longer viewed merely as objects of development, but as subjects that possess social, economic, and institutional capacities to manage their resources autonomously. Within this perspective, strengthening village economic resilience becomes a key prerequisite for reducing inequalities and achieving a just and prosperous society. Such efforts can only be realised if villages are able to organise their local potential and mobilise community participation in a sustainable manner. </w:t>
      </w:r>
      <w:commentRangeEnd w:id="4"/>
      <w:r>
        <w:commentReference w:id="4"/>
      </w:r>
      <w:r>
        <w:rPr>
          <w:rFonts w:ascii="Times New Roman" w:hAnsi="Times New Roman" w:cs="Times New Roman"/>
        </w:rPr>
        <w:t>Consequently, the concept of a “self-reliant village” functions both as an intermediate goal and as an ultimate objective of community-based development (Pakaya, 2016).</w:t>
      </w:r>
    </w:p>
    <w:p w14:paraId="09497BF0">
      <w:pPr>
        <w:jc w:val="both"/>
        <w:rPr>
          <w:rFonts w:ascii="Times New Roman" w:hAnsi="Times New Roman" w:cs="Times New Roman"/>
        </w:rPr>
      </w:pPr>
      <w:r>
        <w:rPr>
          <w:rFonts w:ascii="Times New Roman" w:hAnsi="Times New Roman" w:cs="Times New Roman"/>
        </w:rPr>
        <w:t xml:space="preserve">The enactment of Law No. 6 of 2014 on Villages provides a strong legal foundation for village development that is participatory, accountable, and oriented towards autonomy. This regulation recognises villages as entities with the authority to regulate and manage the interests of their communities based on customary rights and local traditions. One of the key instruments introduced by the law is the Village-Owned Enterprise (Badan Usaha Milik Desa/BUMDes), an economic institution established, owned, and jointly managed by the village government and the community. BUMDes are expected to function as economic engines while simultaneously strengthening the village’s own-source revenue (Pendapatan Asli Desa/PADesa). Within this framework, the success of BUMDes is determined by the quality of governance and the extent of community participation throughout the entire process </w:t>
      </w:r>
      <w:commentRangeStart w:id="6"/>
      <w:r>
        <w:rPr>
          <w:rFonts w:ascii="Times New Roman" w:hAnsi="Times New Roman" w:cs="Times New Roman"/>
        </w:rPr>
        <w:t>(Law No. 6/2014).</w:t>
      </w:r>
      <w:commentRangeEnd w:id="6"/>
      <w:r>
        <w:commentReference w:id="6"/>
      </w:r>
    </w:p>
    <w:p w14:paraId="63245AC9">
      <w:pPr>
        <w:jc w:val="both"/>
        <w:rPr>
          <w:rFonts w:ascii="Times New Roman" w:hAnsi="Times New Roman" w:cs="Times New Roman"/>
        </w:rPr>
      </w:pPr>
      <w:r>
        <w:rPr>
          <w:rFonts w:ascii="Times New Roman" w:hAnsi="Times New Roman" w:cs="Times New Roman"/>
        </w:rPr>
        <w:t xml:space="preserve">A self-reliant village is generally defined as one that is capable of meeting its residents’ basic needs, developing its local economy, preserving the environment, and managing its institutions in a sustainable manner. This status is measured not only by economic indicators, but also by social and institutional capacity, including the village’s ability to organise its citizens to participate actively in development processes. Within this framework, BUMDes is positioned as a strategic instrument to develop business units rooted in local potential and expand employment opportunities at the village level. Successful BUMDes operations contribute to strengthening PADesa and reducing dependence on external assistance. Thus, the relationship between village self-reliance and BUMDes is mutually reinforcing and inseparable (Kemendesa </w:t>
      </w:r>
      <w:commentRangeStart w:id="7"/>
      <w:r>
        <w:rPr>
          <w:rFonts w:ascii="Times New Roman" w:hAnsi="Times New Roman" w:cs="Times New Roman"/>
        </w:rPr>
        <w:t>PDTT</w:t>
      </w:r>
      <w:commentRangeEnd w:id="7"/>
      <w:r>
        <w:commentReference w:id="7"/>
      </w:r>
      <w:r>
        <w:rPr>
          <w:rFonts w:ascii="Times New Roman" w:hAnsi="Times New Roman" w:cs="Times New Roman"/>
        </w:rPr>
        <w:t>, 2017).</w:t>
      </w:r>
    </w:p>
    <w:p w14:paraId="04BBBE7E">
      <w:pPr>
        <w:jc w:val="both"/>
        <w:rPr>
          <w:rFonts w:ascii="Times New Roman" w:hAnsi="Times New Roman" w:cs="Times New Roman"/>
        </w:rPr>
      </w:pPr>
      <w:r>
        <w:rPr>
          <w:rFonts w:ascii="Times New Roman" w:hAnsi="Times New Roman" w:cs="Times New Roman"/>
        </w:rPr>
        <w:t xml:space="preserve">Community participation is a key determinant of village development success, as it reflects the mental, emotional, and social engagement of residents in decision-making and programme implementation. Participation cannot be measured solely by physical attendance at activities; rather, it must be assessed in terms of the extent to which community members are involved in setting goals, implementing programmes, and assuming responsibility for development outcomes. In the context of village economic institutions, participation determines whether BUMDes is genuinely perceived as a collective asset or merely as an instrument controlled by a small number of local actors. Without meaningful participation, village economic programmes risk remaining at the level of formality and failing to address the community’s real needs. In this regard, analysing participation becomes a crucial entry point for understanding the dynamics of BUMDes management (Bryant &amp; White, </w:t>
      </w:r>
      <w:commentRangeStart w:id="8"/>
      <w:r>
        <w:rPr>
          <w:rFonts w:ascii="Times New Roman" w:hAnsi="Times New Roman" w:cs="Times New Roman"/>
        </w:rPr>
        <w:t>1987</w:t>
      </w:r>
      <w:commentRangeEnd w:id="8"/>
      <w:r>
        <w:commentReference w:id="8"/>
      </w:r>
      <w:r>
        <w:rPr>
          <w:rFonts w:ascii="Times New Roman" w:hAnsi="Times New Roman" w:cs="Times New Roman"/>
        </w:rPr>
        <w:t>).</w:t>
      </w:r>
    </w:p>
    <w:p w14:paraId="3187A9B6">
      <w:pPr>
        <w:jc w:val="both"/>
        <w:rPr>
          <w:rFonts w:ascii="Times New Roman" w:hAnsi="Times New Roman" w:cs="Times New Roman"/>
        </w:rPr>
      </w:pPr>
      <w:r>
        <w:rPr>
          <w:rFonts w:ascii="Times New Roman" w:hAnsi="Times New Roman" w:cs="Times New Roman"/>
        </w:rPr>
        <w:t>From an empowerment perspective, participation is understood as community engagement from the very early stages of problem and potential identification, through the selection of alternative solutions, implementation of actions, and evaluation of resulting changes. Such participation positions community members as development subjects with voices, interests, and shared responsibilities. At the village level, high-quality participation fosters a sense of ownership toward institutions and programmes, including BUMDes. This sense of ownership encourages residents to act not only as beneficiaries but also as co-managers and watchdogs. Thus, participation functions both as a mechanism and as an objective within the broader process of community empowerment (Isbandi, 2007).</w:t>
      </w:r>
    </w:p>
    <w:p w14:paraId="3C867EF6">
      <w:pPr>
        <w:jc w:val="both"/>
        <w:rPr>
          <w:rFonts w:ascii="Times New Roman" w:hAnsi="Times New Roman" w:cs="Times New Roman"/>
        </w:rPr>
      </w:pPr>
      <w:r>
        <w:rPr>
          <w:rFonts w:ascii="Times New Roman" w:hAnsi="Times New Roman" w:cs="Times New Roman"/>
        </w:rPr>
        <w:t>Typologies of participation suggest that community involvement can evolve from symbolic and passive forms toward more consultative and functional modes. Symbolic participation occurs when residents attend meetings merely to fulfil invitations, without having real space to influence decisions. Passive participation is reflected when people receive information but lack the opportunity to provide meaningful input. In contrast, consultative and functional participation involve active engagement in discussions, planning, implementation, and monitoring of programmes. The quality of participation ultimately determines whether BUMDes can operate as an inclusive and democratic village economic institution. In other words, it is not only the level of participation but also its form that must be critically analysed (Veneklasen &amp; Miller, 2002).</w:t>
      </w:r>
    </w:p>
    <w:p w14:paraId="0EC18706">
      <w:pPr>
        <w:jc w:val="both"/>
        <w:rPr>
          <w:rFonts w:ascii="Times New Roman" w:hAnsi="Times New Roman" w:cs="Times New Roman"/>
        </w:rPr>
      </w:pPr>
      <w:r>
        <w:rPr>
          <w:rFonts w:ascii="Times New Roman" w:hAnsi="Times New Roman" w:cs="Times New Roman"/>
        </w:rPr>
        <w:t>As an enterprise, BUMDes is established based on the specific needs and potential of the village, with capital typically sourced from both the village budget and community contributions. Conceptually, BUMDes is designed to manage productive ventures rooted in local wisdom, ranging from marketing agricultural produce to providing microfinance services. BUMDes is not only an economic entity but also a collective learning arena where villagers can manage enterprises in a transparent and accountable manner. Through BUMDes, villages are expected to diversify income sources and improve the distribution of economic benefits at the local level. Accordingly, BUMDes success depends on a combination of sound governance and active community involvement as both owners and users of services (Manikam, 2010).</w:t>
      </w:r>
    </w:p>
    <w:p w14:paraId="3165BAFC">
      <w:pPr>
        <w:jc w:val="both"/>
        <w:rPr>
          <w:rFonts w:ascii="Times New Roman" w:hAnsi="Times New Roman" w:cs="Times New Roman"/>
        </w:rPr>
      </w:pPr>
      <w:r>
        <w:rPr>
          <w:rFonts w:ascii="Times New Roman" w:hAnsi="Times New Roman" w:cs="Times New Roman"/>
        </w:rPr>
        <w:t>Empirical studies show that BUMDes can become engines of village economic growth when they are managed professionally and supported by strong community participation. Research in various regions has demonstrated that BUMDes contributes to income enhancement, job creation, and the strengthening of local economies. However, these studies also highlight persistent constraints, including limited human resource capacity, low financial literacy, and participation that remains largely confined to the implementation stage. As a result, many BUMDes have yet to function optimally as the backbone of village economies. Strengthening community participation therefore emerges as a crucial agenda in BUMDes development across regions (Gunanto et al., 2016).</w:t>
      </w:r>
    </w:p>
    <w:p w14:paraId="26C32C2A">
      <w:pPr>
        <w:jc w:val="both"/>
        <w:rPr>
          <w:rFonts w:ascii="Times New Roman" w:hAnsi="Times New Roman" w:cs="Times New Roman"/>
        </w:rPr>
      </w:pPr>
      <w:r>
        <w:rPr>
          <w:rFonts w:ascii="Times New Roman" w:hAnsi="Times New Roman" w:cs="Times New Roman"/>
        </w:rPr>
        <w:t>Geographically, Sekip Village in Lubuk Pakam District, Deli Serdang Regency, is characterised by an economic base dominated by agriculture and small-scale trade, offering substantial potential for community-based enterprise development. The village government established BUMDes Al Barokah Sekip in 2022, initially focusing on a capital market–oriented business as an innovative approach to managing village economic activities. However, this choice is relatively complex for a community whose majority are farmers and small traders, and it demands a high level of financial literacy. Data from BUMDes socialisation activities show a declining trend in participant numbers—from 35 people in 2022 to 23 in 2023, and only 14 in 2024—indicating serious challenges in building community participation in BUMDes Al Barokah Sekip (BUMDes Socialisation Documents, 2022–2024).</w:t>
      </w:r>
    </w:p>
    <w:p w14:paraId="28822033">
      <w:pPr>
        <w:jc w:val="both"/>
        <w:rPr>
          <w:rFonts w:ascii="Times New Roman" w:hAnsi="Times New Roman" w:cs="Times New Roman"/>
        </w:rPr>
      </w:pPr>
      <w:r>
        <w:rPr>
          <w:rFonts w:ascii="Times New Roman" w:hAnsi="Times New Roman" w:cs="Times New Roman"/>
        </w:rPr>
        <w:t>Preliminary observations and interviews reveal that community engagement in BUMDes Al Barokah Sekip tends to be limited to attendance at socialisation events and passive reception of information. Planning, decision-making, and oversight remain dominated by village officials and core BUMDes managers, leaving limited space for broader citizen participation in strategic arenas. This pattern suggests that participation is predominantly symbolic and passive rather than consultative and functional. At the same time, low public understanding of capital market mechanisms and risks further undermines residents’ interest in deeper involvement. This situation raises important questions regarding the actual form and level of community participation in the management of BUMDes Al Barokah Sekip on its path toward village self-reliance (Preliminary Interview Notes, 2024).</w:t>
      </w:r>
    </w:p>
    <w:p w14:paraId="231A0F4F">
      <w:pPr>
        <w:jc w:val="both"/>
        <w:rPr>
          <w:rFonts w:ascii="Times New Roman" w:hAnsi="Times New Roman" w:cs="Times New Roman"/>
        </w:rPr>
      </w:pPr>
      <w:r>
        <w:rPr>
          <w:rFonts w:ascii="Times New Roman" w:hAnsi="Times New Roman" w:cs="Times New Roman"/>
        </w:rPr>
        <w:t>Against this background, the present study seeks to analyse community participation in strengthening BUMDes toward achieving a self-reliant village, using BUMDes Al Barokah Sekip in Sekip Village, Lubuk Pakam District, Deli Serdang Regency, as a case study. Specifically, the study examines: (i) the performance and role of the village government in promoting community participation; (ii) the forms and levels of participation at different stages of BUMDes management; and (iii) the implications of these dynamics for the process of achieving village self-reliance. The study is expected to fill a gap in the literature on participation dynamics within BUMDes that operate non-conventional business models such as capital market investments in agrarian villages. In addition to providing practical strategic recommendations for Sekip Village, the study contributes to the broader field of regional and rural development planning, particularly regarding the linkages between community participation, BUMDes governance, and village autonomy (Situmorang &amp; Irham, 2022).</w:t>
      </w:r>
    </w:p>
    <w:p w14:paraId="39CA07D1">
      <w:pPr>
        <w:jc w:val="both"/>
        <w:rPr>
          <w:rFonts w:ascii="Times New Roman" w:hAnsi="Times New Roman" w:cs="Times New Roman"/>
        </w:rPr>
      </w:pPr>
    </w:p>
    <w:p w14:paraId="169AA6A8">
      <w:pPr>
        <w:jc w:val="both"/>
        <w:rPr>
          <w:rFonts w:ascii="Times New Roman" w:hAnsi="Times New Roman" w:cs="Times New Roman"/>
          <w:b/>
          <w:bCs/>
        </w:rPr>
      </w:pPr>
      <w:r>
        <w:rPr>
          <w:rFonts w:ascii="Times New Roman" w:hAnsi="Times New Roman" w:cs="Times New Roman"/>
          <w:b/>
          <w:bCs/>
        </w:rPr>
        <w:t>2. Research Methodology</w:t>
      </w:r>
    </w:p>
    <w:p w14:paraId="45F84AAE">
      <w:pPr>
        <w:jc w:val="both"/>
        <w:rPr>
          <w:rFonts w:ascii="Times New Roman" w:hAnsi="Times New Roman" w:cs="Times New Roman"/>
          <w:b/>
          <w:bCs/>
        </w:rPr>
      </w:pPr>
      <w:commentRangeStart w:id="9"/>
      <w:r>
        <w:rPr>
          <w:rFonts w:ascii="Times New Roman" w:hAnsi="Times New Roman" w:cs="Times New Roman"/>
          <w:b/>
          <w:bCs/>
        </w:rPr>
        <w:t>2.1 Research Design and Approach</w:t>
      </w:r>
      <w:commentRangeEnd w:id="9"/>
      <w:r>
        <w:commentReference w:id="9"/>
      </w:r>
    </w:p>
    <w:p w14:paraId="6155D245">
      <w:pPr>
        <w:jc w:val="both"/>
        <w:rPr>
          <w:rFonts w:ascii="Times New Roman" w:hAnsi="Times New Roman" w:cs="Times New Roman"/>
        </w:rPr>
      </w:pPr>
      <w:commentRangeStart w:id="10"/>
      <w:r>
        <w:rPr>
          <w:rFonts w:ascii="Times New Roman" w:hAnsi="Times New Roman" w:cs="Times New Roman"/>
        </w:rPr>
        <w:t>This study adopts a qualitative descriptive approach, complemented by descriptive quantitative data as supporting evidence. The qualitative approach was selected to gain an in-depth understanding of the dynamics of community participation in the management of BUMDes Al Barokah Sekip and how such participation contributes to achieving village self-reliance. Quantitative data were used to reinforce the findings through the measurement of community perceptions of participation dimensions and BUMDes performance using a Likert scale. This methodological combination enables a more comprehensive capture of empirical reality, both in narrative form and in descriptive numerical trends (Creswell, 2014).</w:t>
      </w:r>
    </w:p>
    <w:p w14:paraId="347091D6">
      <w:pPr>
        <w:jc w:val="both"/>
        <w:rPr>
          <w:rFonts w:ascii="Times New Roman" w:hAnsi="Times New Roman" w:cs="Times New Roman"/>
          <w:b/>
          <w:bCs/>
        </w:rPr>
      </w:pPr>
      <w:commentRangeStart w:id="11"/>
      <w:r>
        <w:rPr>
          <w:rFonts w:ascii="Times New Roman" w:hAnsi="Times New Roman" w:cs="Times New Roman"/>
          <w:b/>
          <w:bCs/>
        </w:rPr>
        <w:t>2.2 Research Site and Period</w:t>
      </w:r>
      <w:commentRangeEnd w:id="11"/>
      <w:r>
        <w:commentReference w:id="11"/>
      </w:r>
    </w:p>
    <w:p w14:paraId="5D978061">
      <w:pPr>
        <w:jc w:val="both"/>
        <w:rPr>
          <w:rFonts w:ascii="Times New Roman" w:hAnsi="Times New Roman" w:cs="Times New Roman"/>
        </w:rPr>
      </w:pPr>
      <w:r>
        <w:rPr>
          <w:rFonts w:ascii="Times New Roman" w:hAnsi="Times New Roman" w:cs="Times New Roman"/>
        </w:rPr>
        <w:t>The research was conducted in Sekip Village, Lubuk Pakam District, Deli Serdang Regency, North Sumatra Province, focusing on BUMDes Al Barokah Sekip as the institutional unit of analysis. Sekip Village was purposively selected because it has established a BUMDes and demonstrates diverse yet suboptimal community participation dynamics in supporting the attainment of self-reliant village status. Fieldwork was carried out over a predetermined period that covered preparation, data collection, and verification of findings. Site selection considered the relevance of the case to village autonomy issues and the availability of key informants with in-depth knowledge of BUMDes management processes.</w:t>
      </w:r>
    </w:p>
    <w:p w14:paraId="1824E793">
      <w:pPr>
        <w:jc w:val="both"/>
        <w:rPr>
          <w:rFonts w:ascii="Times New Roman" w:hAnsi="Times New Roman" w:cs="Times New Roman"/>
          <w:b/>
          <w:bCs/>
        </w:rPr>
      </w:pPr>
      <w:r>
        <w:rPr>
          <w:rFonts w:ascii="Times New Roman" w:hAnsi="Times New Roman" w:cs="Times New Roman"/>
          <w:b/>
          <w:bCs/>
        </w:rPr>
        <w:t>2.3 Research Subjects, Informants, and Respondents</w:t>
      </w:r>
    </w:p>
    <w:p w14:paraId="5AD4C02D">
      <w:pPr>
        <w:jc w:val="both"/>
        <w:rPr>
          <w:rFonts w:ascii="Times New Roman" w:hAnsi="Times New Roman" w:cs="Times New Roman"/>
        </w:rPr>
      </w:pPr>
      <w:r>
        <w:rPr>
          <w:rFonts w:ascii="Times New Roman" w:hAnsi="Times New Roman" w:cs="Times New Roman"/>
        </w:rPr>
        <w:t>The primary subjects of this research are BUMDes Al Barokah Sekip and the residents of Sekip Village who interact with the BUMDes as managers, stakeholders, or service users. Qualitative informants were selected using purposive sampling, including the village head, village secretary, BUMDes chairperson and managers, members of the Village Consultative Body (BPD), community leaders, and residents who are directly involved in or affected by BUMDes programmes. In addition, questionnaire respondents were drawn from village residents—both BUMDes members and non-members—to obtain a quantitative overview of participation levels and perceptions of BUMDes performance. The selection of informants and respondents was based on their knowledge, experience, and degree of involvement in BUMDes management and utilisation.</w:t>
      </w:r>
    </w:p>
    <w:p w14:paraId="2EDD6D05">
      <w:pPr>
        <w:jc w:val="both"/>
        <w:rPr>
          <w:rFonts w:ascii="Times New Roman" w:hAnsi="Times New Roman" w:cs="Times New Roman"/>
          <w:b/>
          <w:bCs/>
        </w:rPr>
      </w:pPr>
      <w:r>
        <w:rPr>
          <w:rFonts w:ascii="Times New Roman" w:hAnsi="Times New Roman" w:cs="Times New Roman"/>
          <w:b/>
          <w:bCs/>
        </w:rPr>
        <w:t>2.4 Types and Sources of Data</w:t>
      </w:r>
    </w:p>
    <w:p w14:paraId="7FAC1727">
      <w:pPr>
        <w:jc w:val="both"/>
        <w:rPr>
          <w:rFonts w:ascii="Times New Roman" w:hAnsi="Times New Roman" w:cs="Times New Roman"/>
        </w:rPr>
      </w:pPr>
      <w:r>
        <w:rPr>
          <w:rFonts w:ascii="Times New Roman" w:hAnsi="Times New Roman" w:cs="Times New Roman"/>
        </w:rPr>
        <w:t xml:space="preserve">The study relies on both primary and secondary data. Primary data were obtained directly from the field through in-depth interviews, participatory observation, and questionnaire responses. Interviews with key informants explored the history of BUMDes establishment, management patterns, forms of community participation, challenges encountered, and efforts directed toward village self-reliance. Observations focused on operational activities of the BUMDes, village meetings, and community interactions with BUMDes business units. </w:t>
      </w:r>
      <w:commentRangeStart w:id="12"/>
      <w:r>
        <w:rPr>
          <w:rFonts w:ascii="Times New Roman" w:hAnsi="Times New Roman" w:cs="Times New Roman"/>
        </w:rPr>
        <w:t>Secondary data comprised documents such as village profiles, BUMDes statutes and by-laws (AD/ART), activity reports, financial reports, village medium-term development plans (RPJMDes), and regulations related to BUMDes and self-reliant village development</w:t>
      </w:r>
      <w:commentRangeEnd w:id="12"/>
      <w:r>
        <w:commentReference w:id="12"/>
      </w:r>
      <w:r>
        <w:rPr>
          <w:rFonts w:ascii="Times New Roman" w:hAnsi="Times New Roman" w:cs="Times New Roman"/>
        </w:rPr>
        <w:t xml:space="preserve"> relevant to the study’s focus.</w:t>
      </w:r>
    </w:p>
    <w:p w14:paraId="0801382B">
      <w:pPr>
        <w:jc w:val="both"/>
        <w:rPr>
          <w:rFonts w:ascii="Times New Roman" w:hAnsi="Times New Roman" w:cs="Times New Roman"/>
          <w:b/>
          <w:bCs/>
        </w:rPr>
      </w:pPr>
      <w:r>
        <w:rPr>
          <w:rFonts w:ascii="Times New Roman" w:hAnsi="Times New Roman" w:cs="Times New Roman"/>
          <w:b/>
          <w:bCs/>
        </w:rPr>
        <w:t>2.5 Data Collection Techniques</w:t>
      </w:r>
    </w:p>
    <w:p w14:paraId="31D48CFC">
      <w:pPr>
        <w:jc w:val="both"/>
        <w:rPr>
          <w:rFonts w:ascii="Times New Roman" w:hAnsi="Times New Roman" w:cs="Times New Roman"/>
        </w:rPr>
      </w:pPr>
      <w:r>
        <w:rPr>
          <w:rFonts w:ascii="Times New Roman" w:hAnsi="Times New Roman" w:cs="Times New Roman"/>
        </w:rPr>
        <w:t xml:space="preserve">Data collection employed three main techniques: in-depth interviews, observation, and document study, reinforced by a Likert-scale questionnaire. </w:t>
      </w:r>
      <w:commentRangeStart w:id="13"/>
      <w:r>
        <w:rPr>
          <w:rFonts w:ascii="Times New Roman" w:hAnsi="Times New Roman" w:cs="Times New Roman"/>
        </w:rPr>
        <w:t>In-depth interviews were conducted using a semi-structured guide,</w:t>
      </w:r>
      <w:commentRangeEnd w:id="13"/>
      <w:r>
        <w:commentReference w:id="13"/>
      </w:r>
      <w:r>
        <w:rPr>
          <w:rFonts w:ascii="Times New Roman" w:hAnsi="Times New Roman" w:cs="Times New Roman"/>
        </w:rPr>
        <w:t xml:space="preserve"> enabling systematic exploration of key themes while still allowing informants the freedom to express their perspectives. Observation was carried out to capture real-life situations, including the level of community involvement in BUMDes activities and interaction patterns between managers and residents. Document study entailed reviewing archival and official records to verify information and enrich the institutional context of the BUMDes. The questionnaire was constructed using indicators of participation and perceptions of performance, then presented on a Likert scale for descriptive analysis.</w:t>
      </w:r>
    </w:p>
    <w:p w14:paraId="42315E56">
      <w:pPr>
        <w:jc w:val="both"/>
        <w:rPr>
          <w:rFonts w:ascii="Times New Roman" w:hAnsi="Times New Roman" w:cs="Times New Roman"/>
          <w:b/>
          <w:bCs/>
        </w:rPr>
      </w:pPr>
      <w:r>
        <w:rPr>
          <w:rFonts w:ascii="Times New Roman" w:hAnsi="Times New Roman" w:cs="Times New Roman"/>
          <w:b/>
          <w:bCs/>
        </w:rPr>
        <w:t>2.6 Research Instruments</w:t>
      </w:r>
    </w:p>
    <w:p w14:paraId="7AFCEB52">
      <w:pPr>
        <w:jc w:val="both"/>
        <w:rPr>
          <w:rFonts w:ascii="Times New Roman" w:hAnsi="Times New Roman" w:cs="Times New Roman"/>
        </w:rPr>
      </w:pPr>
      <w:r>
        <w:rPr>
          <w:rFonts w:ascii="Times New Roman" w:hAnsi="Times New Roman" w:cs="Times New Roman"/>
        </w:rPr>
        <w:t>In qualitative research, the primary instrument is the researcher, who assumes the roles of planner, data collector, analyst, and report writer. To enhance systematisation and consistency, the researcher developed several supporting instruments: an interview guide, observation sheets, and document review formats. The interview guide included key questions on the role of the village government, BUMDes management mechanisms, forms of community participation, and their implications for village self-reliance. Observation sheets were used to record behaviours, situations, and events relevant to the study focus. Meanwhile, the questionnaire was designed based on participation indicators and performance perceptions adapted from the literature on community participation and BUMDes governance.</w:t>
      </w:r>
    </w:p>
    <w:p w14:paraId="53DCA013">
      <w:pPr>
        <w:jc w:val="both"/>
        <w:rPr>
          <w:rFonts w:ascii="Times New Roman" w:hAnsi="Times New Roman" w:cs="Times New Roman"/>
          <w:b/>
          <w:bCs/>
        </w:rPr>
      </w:pPr>
      <w:r>
        <w:rPr>
          <w:rFonts w:ascii="Times New Roman" w:hAnsi="Times New Roman" w:cs="Times New Roman"/>
          <w:b/>
          <w:bCs/>
        </w:rPr>
        <w:t>2.7 Qualitative Data Analysis</w:t>
      </w:r>
    </w:p>
    <w:p w14:paraId="51F5D956">
      <w:pPr>
        <w:jc w:val="both"/>
        <w:rPr>
          <w:rFonts w:ascii="Times New Roman" w:hAnsi="Times New Roman" w:cs="Times New Roman"/>
        </w:rPr>
      </w:pPr>
      <w:r>
        <w:rPr>
          <w:rFonts w:ascii="Times New Roman" w:hAnsi="Times New Roman" w:cs="Times New Roman"/>
        </w:rPr>
        <w:t>Qualitative data analysis followed the interactive model proposed by Miles and Huberman, encompassing three main stages: data reduction, data display, and conclusion drawing/verification. During data reduction, the researcher selected, summarised, and focused data on aspects relevant to the research questions, such as forms of participation, BUMDes management patterns, and their contribution to village self-reliance. Data display involved organising information into narratives, matrices, or diagrams that facilitated the identification of patterns and relationships among components. Conclusion drawing was conducted iteratively and continuously verified against field data, ensuring that the findings were scientifically robust and defensible.</w:t>
      </w:r>
    </w:p>
    <w:p w14:paraId="5F9F8950">
      <w:pPr>
        <w:jc w:val="both"/>
        <w:rPr>
          <w:rFonts w:ascii="Times New Roman" w:hAnsi="Times New Roman" w:cs="Times New Roman"/>
          <w:b/>
          <w:bCs/>
        </w:rPr>
      </w:pPr>
      <w:r>
        <w:rPr>
          <w:rFonts w:ascii="Times New Roman" w:hAnsi="Times New Roman" w:cs="Times New Roman"/>
          <w:b/>
          <w:bCs/>
        </w:rPr>
        <w:t>2.8 Quantitative and SWOT Analysis</w:t>
      </w:r>
    </w:p>
    <w:p w14:paraId="0663B070">
      <w:pPr>
        <w:jc w:val="both"/>
        <w:rPr>
          <w:rFonts w:ascii="Times New Roman" w:hAnsi="Times New Roman" w:cs="Times New Roman"/>
        </w:rPr>
      </w:pPr>
      <w:r>
        <w:rPr>
          <w:rFonts w:ascii="Times New Roman" w:hAnsi="Times New Roman" w:cs="Times New Roman"/>
        </w:rPr>
        <w:t xml:space="preserve">Quantitative data obtained from the questionnaire were </w:t>
      </w:r>
      <w:commentRangeStart w:id="14"/>
      <w:r>
        <w:rPr>
          <w:rFonts w:ascii="Times New Roman" w:hAnsi="Times New Roman" w:cs="Times New Roman"/>
        </w:rPr>
        <w:t>analysed descriptively through the calculation of mean scores, percentages, and categorical levels of participation and perceptions of BUMDes performance. These descriptive results were then integrated with qualitative findings to strengthen interpretation.</w:t>
      </w:r>
      <w:commentRangeEnd w:id="14"/>
      <w:r>
        <w:commentReference w:id="14"/>
      </w:r>
      <w:r>
        <w:rPr>
          <w:rFonts w:ascii="Times New Roman" w:hAnsi="Times New Roman" w:cs="Times New Roman"/>
        </w:rPr>
        <w:t xml:space="preserve"> In addition, SWOT analysis was employed to identify strengths, weaknesses, opportunities, and threats in the management of BUMDes Al Barokah Sekip. Each internal and external factor was assigned a weight and rating, which were then compiled into IFAS (Internal Factors Analysis Summary) and EFAS (External Factors Analysis Summary) matrices. The resulting IFAS and EFAS scores were used to determine the strategic position of the BUMDes and formulate development recommendations to reinforce its role in achieving village self-reliance.</w:t>
      </w:r>
    </w:p>
    <w:p w14:paraId="39745B28">
      <w:pPr>
        <w:jc w:val="both"/>
        <w:rPr>
          <w:rFonts w:ascii="Times New Roman" w:hAnsi="Times New Roman" w:cs="Times New Roman"/>
          <w:b/>
          <w:bCs/>
        </w:rPr>
      </w:pPr>
      <w:r>
        <w:rPr>
          <w:rFonts w:ascii="Times New Roman" w:hAnsi="Times New Roman" w:cs="Times New Roman"/>
          <w:b/>
          <w:bCs/>
        </w:rPr>
        <w:t>2.9 Data Validity and Trustworthiness</w:t>
      </w:r>
    </w:p>
    <w:p w14:paraId="3FD9D649">
      <w:pPr>
        <w:jc w:val="both"/>
        <w:rPr>
          <w:rFonts w:ascii="Times New Roman" w:hAnsi="Times New Roman" w:cs="Times New Roman"/>
        </w:rPr>
      </w:pPr>
      <w:commentRangeStart w:id="15"/>
      <w:r>
        <w:rPr>
          <w:rFonts w:ascii="Times New Roman" w:hAnsi="Times New Roman" w:cs="Times New Roman"/>
        </w:rPr>
        <w:t>The validity of qualitative data was examined through source triangulation, methodological triangulation, and member checking with key informants. Source triangulation was conducted by comparing information obtained from different informants, such as village officials, BUMDes managers, and community members. Methodological triangulation was achieved by comparing interview, observation, and documentary data on similar themes. Member checking involved presenting a summary of findings to several key informants to ensure that the researcher’s interpretations did not diverge from their experiences and views. These procedures were applied to enhance the credibility, dependability, and confirmability of the research findings.</w:t>
      </w:r>
      <w:commentRangeEnd w:id="15"/>
      <w:r>
        <w:commentReference w:id="15"/>
      </w:r>
    </w:p>
    <w:p w14:paraId="22FE96AC">
      <w:pPr>
        <w:jc w:val="both"/>
        <w:rPr>
          <w:rFonts w:ascii="Times New Roman" w:hAnsi="Times New Roman" w:cs="Times New Roman"/>
        </w:rPr>
      </w:pPr>
    </w:p>
    <w:p w14:paraId="1BE70A65">
      <w:pPr>
        <w:jc w:val="both"/>
        <w:rPr>
          <w:rFonts w:ascii="Times New Roman" w:hAnsi="Times New Roman" w:cs="Times New Roman"/>
          <w:b/>
          <w:bCs/>
        </w:rPr>
      </w:pPr>
      <w:r>
        <w:rPr>
          <w:rFonts w:ascii="Times New Roman" w:hAnsi="Times New Roman" w:cs="Times New Roman"/>
          <w:b/>
          <w:bCs/>
        </w:rPr>
        <w:t>3. Results and Discussion</w:t>
      </w:r>
    </w:p>
    <w:p w14:paraId="09868A3A">
      <w:pPr>
        <w:jc w:val="both"/>
        <w:rPr>
          <w:rFonts w:ascii="Times New Roman" w:hAnsi="Times New Roman" w:cs="Times New Roman"/>
          <w:b/>
          <w:bCs/>
        </w:rPr>
      </w:pPr>
      <w:r>
        <w:rPr>
          <w:rFonts w:ascii="Times New Roman" w:hAnsi="Times New Roman" w:cs="Times New Roman"/>
          <w:b/>
          <w:bCs/>
        </w:rPr>
        <w:t>3.1 Overview of Sekip Village and BUMDes Al Barokah Sekip</w:t>
      </w:r>
    </w:p>
    <w:p w14:paraId="09719C21">
      <w:pPr>
        <w:jc w:val="both"/>
        <w:rPr>
          <w:rFonts w:ascii="Times New Roman" w:hAnsi="Times New Roman" w:cs="Times New Roman"/>
        </w:rPr>
      </w:pPr>
      <w:r>
        <w:rPr>
          <w:rFonts w:ascii="Times New Roman" w:hAnsi="Times New Roman" w:cs="Times New Roman"/>
        </w:rPr>
        <w:t xml:space="preserve">Sekip Village in Lubuk Pakam District is characterised by an economic structure dominated by agriculture and small-scale trade, with a relatively large share of the population in the productive age group. BUMDes Al Barokah Sekip was initiated as an institutional instrument for managing the village’s economic potential while promoting village self-reliance through diversified business units. Over time, the BUMDes developed three main business clusters: (i) a Capital Market Unit (Boom Dash Pasar Modal </w:t>
      </w:r>
      <w:r>
        <w:rPr>
          <w:rFonts w:ascii="Times New Roman" w:hAnsi="Times New Roman" w:cs="Times New Roman"/>
          <w:i/>
          <w:iCs/>
        </w:rPr>
        <w:t>Almaroka Skip</w:t>
      </w:r>
      <w:r>
        <w:rPr>
          <w:rFonts w:ascii="Times New Roman" w:hAnsi="Times New Roman" w:cs="Times New Roman"/>
        </w:rPr>
        <w:t>), (ii) an Integrated Agriculture Unit (Boom Dash Pertanian Terpadu/Agrodes), and (iii) a Trade and Service Unit (Boom Dash Perdagangan dan Layanan SkipMark/Sekip Mart). These three units were designed to complement one another across investment, real-sector agriculture, and the distribution of goods and services for village residents.</w:t>
      </w:r>
    </w:p>
    <w:p w14:paraId="667F5549">
      <w:pPr>
        <w:jc w:val="both"/>
        <w:rPr>
          <w:rFonts w:ascii="Times New Roman" w:hAnsi="Times New Roman" w:cs="Times New Roman"/>
        </w:rPr>
      </w:pPr>
      <w:r>
        <w:rPr>
          <w:rFonts w:ascii="Times New Roman" w:hAnsi="Times New Roman" w:cs="Times New Roman"/>
        </w:rPr>
        <w:t>Observations and interviews indicate that, from an institutional perspective, the BUMDes already has a management structure, statutes and by-laws (AD/ART), and regulatory support from the village government. Nevertheless, the institution remains in a developing phase, with a relatively high dependence on the initiative of the village head and core management. Operationally, the business units have not yet functioned optimally and have not made a significant contribution to either PADesa or household income. This situation is closely related to the limited and uneven community participation observed across hamlets.</w:t>
      </w:r>
    </w:p>
    <w:p w14:paraId="3DF7AD4F">
      <w:pPr>
        <w:jc w:val="both"/>
        <w:rPr>
          <w:rFonts w:ascii="Times New Roman" w:hAnsi="Times New Roman" w:cs="Times New Roman"/>
          <w:b/>
          <w:bCs/>
        </w:rPr>
      </w:pPr>
      <w:commentRangeStart w:id="16"/>
      <w:r>
        <w:rPr>
          <w:rFonts w:ascii="Times New Roman" w:hAnsi="Times New Roman" w:cs="Times New Roman"/>
          <w:b/>
          <w:bCs/>
        </w:rPr>
        <w:t>3.2 Research Findings</w:t>
      </w:r>
      <w:commentRangeEnd w:id="16"/>
      <w:r>
        <w:commentReference w:id="16"/>
      </w:r>
    </w:p>
    <w:p w14:paraId="61C076BB">
      <w:pPr>
        <w:jc w:val="both"/>
        <w:rPr>
          <w:rFonts w:ascii="Times New Roman" w:hAnsi="Times New Roman" w:cs="Times New Roman"/>
          <w:b/>
          <w:bCs/>
        </w:rPr>
      </w:pPr>
      <w:r>
        <w:rPr>
          <w:rFonts w:ascii="Times New Roman" w:hAnsi="Times New Roman" w:cs="Times New Roman"/>
          <w:b/>
          <w:bCs/>
        </w:rPr>
        <w:t>3.2.1 Performance and Programme Implementation of BUMDes</w:t>
      </w:r>
    </w:p>
    <w:p w14:paraId="2F97C544">
      <w:pPr>
        <w:jc w:val="both"/>
        <w:rPr>
          <w:rFonts w:ascii="Times New Roman" w:hAnsi="Times New Roman" w:cs="Times New Roman"/>
        </w:rPr>
      </w:pPr>
      <w:r>
        <w:rPr>
          <w:rFonts w:ascii="Times New Roman" w:hAnsi="Times New Roman" w:cs="Times New Roman"/>
        </w:rPr>
        <w:t>Overall, BUMDes Al Barokah Sekip is still in a pioneering stage. The Capital Market Unit serves as an innovative flagship, seeking to capture capital market investment opportunities at village level, but its implementation has been cautious due to limited financial literacy and high perceived risk among residents. The Integrated Agriculture Unit (Agrodes) has begun building networks with farmer groups and coordinating the provision of agricultural inputs, yet its scale remains small and unable to tap the full potential of local land and labour. Sekip Mart operates as a village minimarket supplying daily necessities and has the potential to function as an outlet for local products, but it continues to face constraints in working capital and inventory management.</w:t>
      </w:r>
    </w:p>
    <w:p w14:paraId="6C7799AB">
      <w:pPr>
        <w:jc w:val="both"/>
        <w:rPr>
          <w:rFonts w:ascii="Times New Roman" w:hAnsi="Times New Roman" w:cs="Times New Roman"/>
        </w:rPr>
      </w:pPr>
      <w:r>
        <w:rPr>
          <w:rFonts w:ascii="Times New Roman" w:hAnsi="Times New Roman" w:cs="Times New Roman"/>
        </w:rPr>
        <w:t>With respect to programme planning, the BUMDes has prepared annual business plans aligned with village development documents such as the RPJMDes and the annual RKP Desa. Nonetheless, the synchronisation between planning documents and implementation on the ground is not yet fully consistent. Targets such as increasing the number of investment clients, expanding marketing networks for agricultural products, and raising Sekip Mart’s daily turnover have not been achieved as planned. These conditions indicate that the BUMDes is still adjusting its business model and searching for an appropriate management pattern suited to the socio-economic context of Sekip Village.</w:t>
      </w:r>
    </w:p>
    <w:p w14:paraId="434F1867">
      <w:pPr>
        <w:jc w:val="both"/>
        <w:rPr>
          <w:rFonts w:ascii="Times New Roman" w:hAnsi="Times New Roman" w:cs="Times New Roman"/>
          <w:b/>
          <w:bCs/>
        </w:rPr>
      </w:pPr>
      <w:r>
        <w:rPr>
          <w:rFonts w:ascii="Times New Roman" w:hAnsi="Times New Roman" w:cs="Times New Roman"/>
          <w:b/>
          <w:bCs/>
        </w:rPr>
        <w:t>3.2.2 Levels and Forms of Community Participation</w:t>
      </w:r>
    </w:p>
    <w:p w14:paraId="4C67F4D2">
      <w:pPr>
        <w:jc w:val="both"/>
        <w:rPr>
          <w:rFonts w:ascii="Times New Roman" w:hAnsi="Times New Roman" w:cs="Times New Roman"/>
        </w:rPr>
      </w:pPr>
      <w:r>
        <w:rPr>
          <w:rFonts w:ascii="Times New Roman" w:hAnsi="Times New Roman" w:cs="Times New Roman"/>
        </w:rPr>
        <w:t>The findings show that community participation in the management of BUMDes Al Barokah Sekip is dominated by symbolic and passive forms. Residents typically attend initial socialisation events and a few key meetings, but engagement in planning, monitoring, and evaluation remains very limited. The declining number of participants in socialisation activities over the years reflects a reduction in interest and trust among some community members towards BUMDes programmes. More active participation is largely confined to a small group of community leaders, farmer group representatives, and village officials who interact regularly with BUMDes management.</w:t>
      </w:r>
    </w:p>
    <w:p w14:paraId="4B27E81E">
      <w:pPr>
        <w:jc w:val="both"/>
        <w:rPr>
          <w:rFonts w:ascii="Times New Roman" w:hAnsi="Times New Roman" w:cs="Times New Roman"/>
        </w:rPr>
      </w:pPr>
      <w:r>
        <w:rPr>
          <w:rFonts w:ascii="Times New Roman" w:hAnsi="Times New Roman" w:cs="Times New Roman"/>
        </w:rPr>
        <w:t>Participation in the form of capital contributions, labour, and ideas remains poorly structured. Many residents position themselves solely as “service users”—as shoppers at Sekip Mart, beneficiaries of agricultural programmes, or prospective investors in the capital market unit—without perceiving themselves as part of the decision-making body. Information asymmetry, low financial and business literacy, and limited opportunities for public deliberation have fostered a dependent posture in which villagers await initiatives from the village government and BUMDes management. This situation constitutes a major barrier to transforming the BUMDes into a genuinely community-based and participatory economic institution.</w:t>
      </w:r>
    </w:p>
    <w:p w14:paraId="550099D8">
      <w:pPr>
        <w:jc w:val="both"/>
        <w:rPr>
          <w:rFonts w:ascii="Times New Roman" w:hAnsi="Times New Roman" w:cs="Times New Roman"/>
          <w:b/>
          <w:bCs/>
        </w:rPr>
      </w:pPr>
      <w:r>
        <w:rPr>
          <w:rFonts w:ascii="Times New Roman" w:hAnsi="Times New Roman" w:cs="Times New Roman"/>
          <w:b/>
          <w:bCs/>
        </w:rPr>
        <w:t>3.2.3 Role of the Village Government in Promoting Participation</w:t>
      </w:r>
    </w:p>
    <w:p w14:paraId="131AD03C">
      <w:pPr>
        <w:jc w:val="both"/>
        <w:rPr>
          <w:rFonts w:ascii="Times New Roman" w:hAnsi="Times New Roman" w:cs="Times New Roman"/>
        </w:rPr>
      </w:pPr>
      <w:r>
        <w:rPr>
          <w:rFonts w:ascii="Times New Roman" w:hAnsi="Times New Roman" w:cs="Times New Roman"/>
        </w:rPr>
        <w:t>The village government plays a pivotal role as initiator, policymaker, and facilitator of the BUMDes. Its support is evident through initial capital injections, provision of office space and supporting facilities, and integration of BUMDes programmes into the village development agenda. The village head and relevant officials actively promote the BUMDes in village forums and social events. However, communication patterns remain predominantly top-down, with information flowing mainly from the government to residents and limited room for two-way dialogue and negotiation.</w:t>
      </w:r>
    </w:p>
    <w:p w14:paraId="06B33C55">
      <w:pPr>
        <w:jc w:val="both"/>
        <w:rPr>
          <w:rFonts w:ascii="Times New Roman" w:hAnsi="Times New Roman" w:cs="Times New Roman"/>
        </w:rPr>
      </w:pPr>
      <w:r>
        <w:rPr>
          <w:rFonts w:ascii="Times New Roman" w:hAnsi="Times New Roman" w:cs="Times New Roman"/>
        </w:rPr>
        <w:t>In recent years, the village government has begun shifting toward a more consultative approach by involving representatives of community groups in BUMDes planning and evaluation meetings. The government has also encouraged training initiatives in financial literacy, the strengthening of farmer groups, and alignment between BUMDes programmes and village self-reliance agendas. Even so, these efforts are still at an early stage and have yet to significantly transform participation from symbolic–passive to consultative–functional. The main challenge lies in building trust, transparency, and a sense of ownership among residents towards BUMDes as a shared asset.</w:t>
      </w:r>
      <w:commentRangeEnd w:id="10"/>
      <w:r>
        <w:commentReference w:id="10"/>
      </w:r>
    </w:p>
    <w:p w14:paraId="251E34A4">
      <w:pPr>
        <w:jc w:val="both"/>
        <w:rPr>
          <w:rFonts w:ascii="Times New Roman" w:hAnsi="Times New Roman" w:cs="Times New Roman"/>
        </w:rPr>
      </w:pPr>
    </w:p>
    <w:p w14:paraId="12D62E0E">
      <w:pPr>
        <w:jc w:val="both"/>
        <w:rPr>
          <w:rFonts w:ascii="Times New Roman" w:hAnsi="Times New Roman" w:cs="Times New Roman"/>
          <w:b/>
          <w:bCs/>
        </w:rPr>
      </w:pPr>
      <w:r>
        <w:rPr>
          <w:rFonts w:ascii="Times New Roman" w:hAnsi="Times New Roman" w:cs="Times New Roman"/>
          <w:b/>
          <w:bCs/>
        </w:rPr>
        <w:t>3.3 SWOT Analysis of BUMDes Al Barokah Sekip Business Units</w:t>
      </w:r>
    </w:p>
    <w:p w14:paraId="3DB18496">
      <w:pPr>
        <w:jc w:val="both"/>
        <w:rPr>
          <w:rFonts w:ascii="Times New Roman" w:hAnsi="Times New Roman" w:cs="Times New Roman"/>
          <w:b/>
          <w:bCs/>
        </w:rPr>
      </w:pPr>
      <w:r>
        <w:rPr>
          <w:rFonts w:ascii="Times New Roman" w:hAnsi="Times New Roman" w:cs="Times New Roman"/>
          <w:b/>
          <w:bCs/>
        </w:rPr>
        <w:t>3.3.1 IFAS and EFAS of the Capital Market Unit</w:t>
      </w:r>
    </w:p>
    <w:p w14:paraId="5E383C7E">
      <w:pPr>
        <w:jc w:val="both"/>
        <w:rPr>
          <w:rFonts w:ascii="Times New Roman" w:hAnsi="Times New Roman" w:cs="Times New Roman"/>
        </w:rPr>
      </w:pPr>
      <w:r>
        <w:rPr>
          <w:rFonts w:ascii="Times New Roman" w:hAnsi="Times New Roman" w:cs="Times New Roman"/>
          <w:b/>
          <w:bCs/>
        </w:rPr>
        <w:t>TABLE 1.  IFAS (Internal Factors Analysis Summary) – Capital Market Unit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857"/>
        <w:gridCol w:w="950"/>
        <w:gridCol w:w="910"/>
        <w:gridCol w:w="785"/>
      </w:tblGrid>
      <w:tr w14:paraId="4FFE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758AFC">
            <w:pPr>
              <w:spacing w:after="160" w:line="278" w:lineRule="auto"/>
              <w:jc w:val="both"/>
              <w:rPr>
                <w:rFonts w:ascii="Times New Roman" w:hAnsi="Times New Roman" w:cs="Times New Roman"/>
                <w:b/>
                <w:bCs/>
              </w:rPr>
            </w:pPr>
            <w:r>
              <w:rPr>
                <w:rFonts w:ascii="Times New Roman" w:hAnsi="Times New Roman" w:cs="Times New Roman"/>
                <w:b/>
                <w:bCs/>
              </w:rPr>
              <w:t>No</w:t>
            </w:r>
          </w:p>
        </w:tc>
        <w:tc>
          <w:tcPr>
            <w:tcW w:w="0" w:type="auto"/>
          </w:tcPr>
          <w:p w14:paraId="6E61BDE3">
            <w:pPr>
              <w:spacing w:after="160" w:line="278" w:lineRule="auto"/>
              <w:jc w:val="both"/>
              <w:rPr>
                <w:rFonts w:ascii="Times New Roman" w:hAnsi="Times New Roman" w:cs="Times New Roman"/>
                <w:b/>
                <w:bCs/>
              </w:rPr>
            </w:pPr>
            <w:r>
              <w:rPr>
                <w:rFonts w:ascii="Times New Roman" w:hAnsi="Times New Roman" w:cs="Times New Roman"/>
                <w:b/>
                <w:bCs/>
              </w:rPr>
              <w:t>Internal factors (capital market unit)</w:t>
            </w:r>
          </w:p>
        </w:tc>
        <w:tc>
          <w:tcPr>
            <w:tcW w:w="0" w:type="auto"/>
          </w:tcPr>
          <w:p w14:paraId="36BE8D39">
            <w:pPr>
              <w:spacing w:after="160" w:line="278" w:lineRule="auto"/>
              <w:jc w:val="both"/>
              <w:rPr>
                <w:rFonts w:ascii="Times New Roman" w:hAnsi="Times New Roman" w:cs="Times New Roman"/>
                <w:b/>
                <w:bCs/>
              </w:rPr>
            </w:pPr>
            <w:r>
              <w:rPr>
                <w:rFonts w:ascii="Times New Roman" w:hAnsi="Times New Roman" w:cs="Times New Roman"/>
                <w:b/>
                <w:bCs/>
              </w:rPr>
              <w:t>Weight</w:t>
            </w:r>
          </w:p>
        </w:tc>
        <w:tc>
          <w:tcPr>
            <w:tcW w:w="0" w:type="auto"/>
          </w:tcPr>
          <w:p w14:paraId="473CA2F1">
            <w:pPr>
              <w:spacing w:after="160" w:line="278" w:lineRule="auto"/>
              <w:jc w:val="both"/>
              <w:rPr>
                <w:rFonts w:ascii="Times New Roman" w:hAnsi="Times New Roman" w:cs="Times New Roman"/>
                <w:b/>
                <w:bCs/>
              </w:rPr>
            </w:pPr>
            <w:r>
              <w:rPr>
                <w:rFonts w:ascii="Times New Roman" w:hAnsi="Times New Roman" w:cs="Times New Roman"/>
                <w:b/>
                <w:bCs/>
              </w:rPr>
              <w:t>Rating</w:t>
            </w:r>
          </w:p>
        </w:tc>
        <w:tc>
          <w:tcPr>
            <w:tcW w:w="0" w:type="auto"/>
          </w:tcPr>
          <w:p w14:paraId="7C43CC37">
            <w:pPr>
              <w:spacing w:after="160" w:line="278" w:lineRule="auto"/>
              <w:jc w:val="both"/>
              <w:rPr>
                <w:rFonts w:ascii="Times New Roman" w:hAnsi="Times New Roman" w:cs="Times New Roman"/>
                <w:b/>
                <w:bCs/>
              </w:rPr>
            </w:pPr>
            <w:r>
              <w:rPr>
                <w:rFonts w:ascii="Times New Roman" w:hAnsi="Times New Roman" w:cs="Times New Roman"/>
                <w:b/>
                <w:bCs/>
              </w:rPr>
              <w:t>Score</w:t>
            </w:r>
          </w:p>
        </w:tc>
      </w:tr>
      <w:tr w14:paraId="6E22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67C4C2F">
            <w:pPr>
              <w:spacing w:after="0" w:line="240" w:lineRule="auto"/>
              <w:jc w:val="both"/>
              <w:rPr>
                <w:rFonts w:ascii="Times New Roman" w:hAnsi="Times New Roman" w:cs="Times New Roman"/>
                <w:b/>
                <w:bCs/>
              </w:rPr>
            </w:pPr>
          </w:p>
        </w:tc>
        <w:tc>
          <w:tcPr>
            <w:tcW w:w="0" w:type="auto"/>
          </w:tcPr>
          <w:p w14:paraId="69835A8C">
            <w:pPr>
              <w:spacing w:after="0" w:line="240" w:lineRule="auto"/>
              <w:jc w:val="both"/>
              <w:rPr>
                <w:rFonts w:ascii="Times New Roman" w:hAnsi="Times New Roman" w:cs="Times New Roman"/>
                <w:b/>
                <w:bCs/>
              </w:rPr>
            </w:pPr>
          </w:p>
        </w:tc>
        <w:tc>
          <w:tcPr>
            <w:tcW w:w="0" w:type="auto"/>
          </w:tcPr>
          <w:p w14:paraId="6F35A4E4">
            <w:pPr>
              <w:spacing w:after="0" w:line="240" w:lineRule="auto"/>
              <w:jc w:val="both"/>
              <w:rPr>
                <w:rFonts w:ascii="Times New Roman" w:hAnsi="Times New Roman" w:cs="Times New Roman"/>
                <w:b/>
                <w:bCs/>
              </w:rPr>
            </w:pPr>
          </w:p>
        </w:tc>
        <w:tc>
          <w:tcPr>
            <w:tcW w:w="0" w:type="auto"/>
          </w:tcPr>
          <w:p w14:paraId="7803BE94">
            <w:pPr>
              <w:spacing w:after="0" w:line="240" w:lineRule="auto"/>
              <w:jc w:val="both"/>
              <w:rPr>
                <w:rFonts w:ascii="Times New Roman" w:hAnsi="Times New Roman" w:cs="Times New Roman"/>
                <w:b/>
                <w:bCs/>
              </w:rPr>
            </w:pPr>
          </w:p>
        </w:tc>
        <w:tc>
          <w:tcPr>
            <w:tcW w:w="0" w:type="auto"/>
          </w:tcPr>
          <w:p w14:paraId="42B3286E">
            <w:pPr>
              <w:spacing w:after="0" w:line="240" w:lineRule="auto"/>
              <w:jc w:val="both"/>
              <w:rPr>
                <w:rFonts w:ascii="Times New Roman" w:hAnsi="Times New Roman" w:cs="Times New Roman"/>
                <w:b/>
                <w:bCs/>
              </w:rPr>
            </w:pPr>
          </w:p>
        </w:tc>
      </w:tr>
      <w:tr w14:paraId="3C4A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4C3E02">
            <w:pPr>
              <w:spacing w:after="160" w:line="278" w:lineRule="auto"/>
              <w:jc w:val="both"/>
              <w:rPr>
                <w:rFonts w:ascii="Times New Roman" w:hAnsi="Times New Roman" w:cs="Times New Roman"/>
              </w:rPr>
            </w:pPr>
            <w:r>
              <w:rPr>
                <w:rFonts w:ascii="Times New Roman" w:hAnsi="Times New Roman" w:cs="Times New Roman"/>
              </w:rPr>
              <w:t>1</w:t>
            </w:r>
          </w:p>
        </w:tc>
        <w:tc>
          <w:tcPr>
            <w:tcW w:w="0" w:type="auto"/>
          </w:tcPr>
          <w:p w14:paraId="20F3B46F">
            <w:pPr>
              <w:spacing w:after="160" w:line="278" w:lineRule="auto"/>
              <w:jc w:val="both"/>
              <w:rPr>
                <w:rFonts w:ascii="Times New Roman" w:hAnsi="Times New Roman" w:cs="Times New Roman"/>
              </w:rPr>
            </w:pPr>
            <w:r>
              <w:rPr>
                <w:rFonts w:ascii="Times New Roman" w:hAnsi="Times New Roman" w:cs="Times New Roman"/>
              </w:rPr>
              <w:t>Strong support from the village government and internal BUMDes regulations</w:t>
            </w:r>
          </w:p>
        </w:tc>
        <w:tc>
          <w:tcPr>
            <w:tcW w:w="0" w:type="auto"/>
          </w:tcPr>
          <w:p w14:paraId="405DDAC5">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6B9E863D">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3B90C7B9">
            <w:pPr>
              <w:spacing w:after="160" w:line="278" w:lineRule="auto"/>
              <w:jc w:val="both"/>
              <w:rPr>
                <w:rFonts w:ascii="Times New Roman" w:hAnsi="Times New Roman" w:cs="Times New Roman"/>
              </w:rPr>
            </w:pPr>
            <w:r>
              <w:rPr>
                <w:rFonts w:ascii="Times New Roman" w:hAnsi="Times New Roman" w:cs="Times New Roman"/>
              </w:rPr>
              <w:t>0.60</w:t>
            </w:r>
          </w:p>
        </w:tc>
      </w:tr>
      <w:tr w14:paraId="362B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F2F844B">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7CF2EC83">
            <w:pPr>
              <w:spacing w:after="160" w:line="278" w:lineRule="auto"/>
              <w:jc w:val="both"/>
              <w:rPr>
                <w:rFonts w:ascii="Times New Roman" w:hAnsi="Times New Roman" w:cs="Times New Roman"/>
              </w:rPr>
            </w:pPr>
            <w:r>
              <w:rPr>
                <w:rFonts w:ascii="Times New Roman" w:hAnsi="Times New Roman" w:cs="Times New Roman"/>
              </w:rPr>
              <w:t>Innovative business model based on capital market investment at village level</w:t>
            </w:r>
          </w:p>
        </w:tc>
        <w:tc>
          <w:tcPr>
            <w:tcW w:w="0" w:type="auto"/>
          </w:tcPr>
          <w:p w14:paraId="0E68516F">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5308BBE8">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111D900C">
            <w:pPr>
              <w:spacing w:after="160" w:line="278" w:lineRule="auto"/>
              <w:jc w:val="both"/>
              <w:rPr>
                <w:rFonts w:ascii="Times New Roman" w:hAnsi="Times New Roman" w:cs="Times New Roman"/>
              </w:rPr>
            </w:pPr>
            <w:r>
              <w:rPr>
                <w:rFonts w:ascii="Times New Roman" w:hAnsi="Times New Roman" w:cs="Times New Roman"/>
              </w:rPr>
              <w:t>0.45</w:t>
            </w:r>
          </w:p>
        </w:tc>
      </w:tr>
      <w:tr w14:paraId="55CC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135EF3">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072E6D1E">
            <w:pPr>
              <w:spacing w:after="160" w:line="278" w:lineRule="auto"/>
              <w:jc w:val="both"/>
              <w:rPr>
                <w:rFonts w:ascii="Times New Roman" w:hAnsi="Times New Roman" w:cs="Times New Roman"/>
              </w:rPr>
            </w:pPr>
            <w:r>
              <w:rPr>
                <w:rFonts w:ascii="Times New Roman" w:hAnsi="Times New Roman" w:cs="Times New Roman"/>
              </w:rPr>
              <w:t>Initial networks with financial institutions/securities companies</w:t>
            </w:r>
          </w:p>
        </w:tc>
        <w:tc>
          <w:tcPr>
            <w:tcW w:w="0" w:type="auto"/>
          </w:tcPr>
          <w:p w14:paraId="1B1CCD66">
            <w:pPr>
              <w:spacing w:after="160" w:line="278" w:lineRule="auto"/>
              <w:jc w:val="both"/>
              <w:rPr>
                <w:rFonts w:ascii="Times New Roman" w:hAnsi="Times New Roman" w:cs="Times New Roman"/>
              </w:rPr>
            </w:pPr>
            <w:r>
              <w:rPr>
                <w:rFonts w:ascii="Times New Roman" w:hAnsi="Times New Roman" w:cs="Times New Roman"/>
              </w:rPr>
              <w:t>0.10</w:t>
            </w:r>
          </w:p>
        </w:tc>
        <w:tc>
          <w:tcPr>
            <w:tcW w:w="0" w:type="auto"/>
          </w:tcPr>
          <w:p w14:paraId="3B00900E">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1FA3464D">
            <w:pPr>
              <w:spacing w:after="160" w:line="278" w:lineRule="auto"/>
              <w:jc w:val="both"/>
              <w:rPr>
                <w:rFonts w:ascii="Times New Roman" w:hAnsi="Times New Roman" w:cs="Times New Roman"/>
              </w:rPr>
            </w:pPr>
            <w:r>
              <w:rPr>
                <w:rFonts w:ascii="Times New Roman" w:hAnsi="Times New Roman" w:cs="Times New Roman"/>
              </w:rPr>
              <w:t>0.30</w:t>
            </w:r>
          </w:p>
        </w:tc>
      </w:tr>
      <w:tr w14:paraId="713D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7A0AF0A">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5A67CB5A">
            <w:pPr>
              <w:spacing w:after="160" w:line="278" w:lineRule="auto"/>
              <w:jc w:val="both"/>
              <w:rPr>
                <w:rFonts w:ascii="Times New Roman" w:hAnsi="Times New Roman" w:cs="Times New Roman"/>
              </w:rPr>
            </w:pPr>
            <w:r>
              <w:rPr>
                <w:rFonts w:ascii="Times New Roman" w:hAnsi="Times New Roman" w:cs="Times New Roman"/>
              </w:rPr>
              <w:t>Limited financial literacy among managers and residents</w:t>
            </w:r>
          </w:p>
        </w:tc>
        <w:tc>
          <w:tcPr>
            <w:tcW w:w="0" w:type="auto"/>
          </w:tcPr>
          <w:p w14:paraId="5AF128CA">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70B6B934">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2CEBE858">
            <w:pPr>
              <w:spacing w:after="160" w:line="278" w:lineRule="auto"/>
              <w:jc w:val="both"/>
              <w:rPr>
                <w:rFonts w:ascii="Times New Roman" w:hAnsi="Times New Roman" w:cs="Times New Roman"/>
              </w:rPr>
            </w:pPr>
            <w:r>
              <w:rPr>
                <w:rFonts w:ascii="Times New Roman" w:hAnsi="Times New Roman" w:cs="Times New Roman"/>
              </w:rPr>
              <w:t>0.40</w:t>
            </w:r>
          </w:p>
        </w:tc>
      </w:tr>
      <w:tr w14:paraId="5255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3EEF81E">
            <w:pPr>
              <w:spacing w:after="160" w:line="278" w:lineRule="auto"/>
              <w:jc w:val="both"/>
              <w:rPr>
                <w:rFonts w:ascii="Times New Roman" w:hAnsi="Times New Roman" w:cs="Times New Roman"/>
              </w:rPr>
            </w:pPr>
            <w:r>
              <w:rPr>
                <w:rFonts w:ascii="Times New Roman" w:hAnsi="Times New Roman" w:cs="Times New Roman"/>
              </w:rPr>
              <w:t>5</w:t>
            </w:r>
          </w:p>
        </w:tc>
        <w:tc>
          <w:tcPr>
            <w:tcW w:w="0" w:type="auto"/>
          </w:tcPr>
          <w:p w14:paraId="11B17FBA">
            <w:pPr>
              <w:spacing w:after="160" w:line="278" w:lineRule="auto"/>
              <w:jc w:val="both"/>
              <w:rPr>
                <w:rFonts w:ascii="Times New Roman" w:hAnsi="Times New Roman" w:cs="Times New Roman"/>
              </w:rPr>
            </w:pPr>
            <w:r>
              <w:rPr>
                <w:rFonts w:ascii="Times New Roman" w:hAnsi="Times New Roman" w:cs="Times New Roman"/>
              </w:rPr>
              <w:t>Underdeveloped administrative, reporting, and SOP systems</w:t>
            </w:r>
          </w:p>
        </w:tc>
        <w:tc>
          <w:tcPr>
            <w:tcW w:w="0" w:type="auto"/>
          </w:tcPr>
          <w:p w14:paraId="617DBA77">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2F675467">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2A1DBFD9">
            <w:pPr>
              <w:spacing w:after="160" w:line="278" w:lineRule="auto"/>
              <w:jc w:val="both"/>
              <w:rPr>
                <w:rFonts w:ascii="Times New Roman" w:hAnsi="Times New Roman" w:cs="Times New Roman"/>
              </w:rPr>
            </w:pPr>
            <w:r>
              <w:rPr>
                <w:rFonts w:ascii="Times New Roman" w:hAnsi="Times New Roman" w:cs="Times New Roman"/>
              </w:rPr>
              <w:t>0.40</w:t>
            </w:r>
          </w:p>
        </w:tc>
      </w:tr>
      <w:tr w14:paraId="37C3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C66544">
            <w:pPr>
              <w:spacing w:after="160" w:line="278" w:lineRule="auto"/>
              <w:jc w:val="both"/>
              <w:rPr>
                <w:rFonts w:ascii="Times New Roman" w:hAnsi="Times New Roman" w:cs="Times New Roman"/>
              </w:rPr>
            </w:pPr>
            <w:r>
              <w:rPr>
                <w:rFonts w:ascii="Times New Roman" w:hAnsi="Times New Roman" w:cs="Times New Roman"/>
              </w:rPr>
              <w:t>6</w:t>
            </w:r>
          </w:p>
        </w:tc>
        <w:tc>
          <w:tcPr>
            <w:tcW w:w="0" w:type="auto"/>
          </w:tcPr>
          <w:p w14:paraId="6827B998">
            <w:pPr>
              <w:spacing w:after="160" w:line="278" w:lineRule="auto"/>
              <w:jc w:val="both"/>
              <w:rPr>
                <w:rFonts w:ascii="Times New Roman" w:hAnsi="Times New Roman" w:cs="Times New Roman"/>
              </w:rPr>
            </w:pPr>
            <w:r>
              <w:rPr>
                <w:rFonts w:ascii="Times New Roman" w:hAnsi="Times New Roman" w:cs="Times New Roman"/>
              </w:rPr>
              <w:t>Very limited working capital and local investor base</w:t>
            </w:r>
          </w:p>
        </w:tc>
        <w:tc>
          <w:tcPr>
            <w:tcW w:w="0" w:type="auto"/>
          </w:tcPr>
          <w:p w14:paraId="5707D888">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630AAADA">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2B49580B">
            <w:pPr>
              <w:spacing w:after="160" w:line="278" w:lineRule="auto"/>
              <w:jc w:val="both"/>
              <w:rPr>
                <w:rFonts w:ascii="Times New Roman" w:hAnsi="Times New Roman" w:cs="Times New Roman"/>
              </w:rPr>
            </w:pPr>
            <w:r>
              <w:rPr>
                <w:rFonts w:ascii="Times New Roman" w:hAnsi="Times New Roman" w:cs="Times New Roman"/>
              </w:rPr>
              <w:t>0.40</w:t>
            </w:r>
          </w:p>
        </w:tc>
      </w:tr>
      <w:tr w14:paraId="0845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0F5DD1E">
            <w:pPr>
              <w:spacing w:after="160" w:line="278" w:lineRule="auto"/>
              <w:jc w:val="both"/>
              <w:rPr>
                <w:rFonts w:ascii="Times New Roman" w:hAnsi="Times New Roman" w:cs="Times New Roman"/>
              </w:rPr>
            </w:pPr>
            <w:r>
              <w:rPr>
                <w:rFonts w:ascii="Times New Roman" w:hAnsi="Times New Roman" w:cs="Times New Roman"/>
                <w:b/>
                <w:bCs/>
              </w:rPr>
              <w:t>Total</w:t>
            </w:r>
          </w:p>
        </w:tc>
        <w:tc>
          <w:tcPr>
            <w:tcW w:w="0" w:type="auto"/>
          </w:tcPr>
          <w:p w14:paraId="5330C4CE">
            <w:pPr>
              <w:spacing w:after="160" w:line="278" w:lineRule="auto"/>
              <w:jc w:val="both"/>
              <w:rPr>
                <w:rFonts w:ascii="Times New Roman" w:hAnsi="Times New Roman" w:cs="Times New Roman"/>
              </w:rPr>
            </w:pPr>
          </w:p>
        </w:tc>
        <w:tc>
          <w:tcPr>
            <w:tcW w:w="0" w:type="auto"/>
          </w:tcPr>
          <w:p w14:paraId="10FAE4D0">
            <w:pPr>
              <w:spacing w:after="160" w:line="278" w:lineRule="auto"/>
              <w:jc w:val="both"/>
              <w:rPr>
                <w:rFonts w:ascii="Times New Roman" w:hAnsi="Times New Roman" w:cs="Times New Roman"/>
              </w:rPr>
            </w:pPr>
            <w:r>
              <w:rPr>
                <w:rFonts w:ascii="Times New Roman" w:hAnsi="Times New Roman" w:cs="Times New Roman"/>
                <w:b/>
                <w:bCs/>
              </w:rPr>
              <w:t>1.00</w:t>
            </w:r>
          </w:p>
        </w:tc>
        <w:tc>
          <w:tcPr>
            <w:tcW w:w="0" w:type="auto"/>
          </w:tcPr>
          <w:p w14:paraId="0428A81A">
            <w:pPr>
              <w:spacing w:after="160" w:line="278" w:lineRule="auto"/>
              <w:jc w:val="both"/>
              <w:rPr>
                <w:rFonts w:ascii="Times New Roman" w:hAnsi="Times New Roman" w:cs="Times New Roman"/>
              </w:rPr>
            </w:pPr>
          </w:p>
        </w:tc>
        <w:tc>
          <w:tcPr>
            <w:tcW w:w="0" w:type="auto"/>
          </w:tcPr>
          <w:p w14:paraId="26C5AB30">
            <w:pPr>
              <w:spacing w:after="160" w:line="278" w:lineRule="auto"/>
              <w:jc w:val="both"/>
              <w:rPr>
                <w:rFonts w:ascii="Times New Roman" w:hAnsi="Times New Roman" w:cs="Times New Roman"/>
              </w:rPr>
            </w:pPr>
            <w:r>
              <w:rPr>
                <w:rFonts w:ascii="Times New Roman" w:hAnsi="Times New Roman" w:cs="Times New Roman"/>
                <w:b/>
                <w:bCs/>
              </w:rPr>
              <w:t>2.55</w:t>
            </w:r>
          </w:p>
        </w:tc>
      </w:tr>
    </w:tbl>
    <w:p w14:paraId="5E90CD31">
      <w:pPr>
        <w:jc w:val="both"/>
        <w:rPr>
          <w:rFonts w:ascii="Times New Roman" w:hAnsi="Times New Roman" w:cs="Times New Roman"/>
        </w:rPr>
      </w:pPr>
      <w:r>
        <w:rPr>
          <w:rFonts w:ascii="Times New Roman" w:hAnsi="Times New Roman" w:cs="Times New Roman"/>
        </w:rPr>
        <w:t>Internally, the capital market unit benefits from strong government support and its innovative character in the village context. However, major weaknesses in financial literacy, capital, and governance systems result in an overall IFAS score in the moderate range. This indicates that institutional capital and innovation have not yet sufficiently compensated for structural weaknesses and limited human resource capacity.</w:t>
      </w:r>
    </w:p>
    <w:p w14:paraId="741CABFC">
      <w:pPr>
        <w:jc w:val="both"/>
        <w:rPr>
          <w:rFonts w:ascii="Times New Roman" w:hAnsi="Times New Roman" w:cs="Times New Roman"/>
        </w:rPr>
      </w:pPr>
      <w:r>
        <w:rPr>
          <w:rFonts w:ascii="Times New Roman" w:hAnsi="Times New Roman" w:cs="Times New Roman"/>
          <w:b/>
          <w:bCs/>
        </w:rPr>
        <w:t>TABLE 2.  EFAS (External Factors Analysis Summary) – Capital Market Unit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857"/>
        <w:gridCol w:w="950"/>
        <w:gridCol w:w="910"/>
        <w:gridCol w:w="785"/>
      </w:tblGrid>
      <w:tr w14:paraId="287B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AFEE4ED">
            <w:pPr>
              <w:spacing w:after="160" w:line="278" w:lineRule="auto"/>
              <w:jc w:val="both"/>
              <w:rPr>
                <w:rFonts w:ascii="Times New Roman" w:hAnsi="Times New Roman" w:cs="Times New Roman"/>
                <w:b/>
                <w:bCs/>
              </w:rPr>
            </w:pPr>
            <w:r>
              <w:rPr>
                <w:rFonts w:ascii="Times New Roman" w:hAnsi="Times New Roman" w:cs="Times New Roman"/>
                <w:b/>
                <w:bCs/>
              </w:rPr>
              <w:t>No</w:t>
            </w:r>
          </w:p>
        </w:tc>
        <w:tc>
          <w:tcPr>
            <w:tcW w:w="0" w:type="auto"/>
          </w:tcPr>
          <w:p w14:paraId="6FA10DAB">
            <w:pPr>
              <w:spacing w:after="160" w:line="278" w:lineRule="auto"/>
              <w:jc w:val="both"/>
              <w:rPr>
                <w:rFonts w:ascii="Times New Roman" w:hAnsi="Times New Roman" w:cs="Times New Roman"/>
                <w:b/>
                <w:bCs/>
              </w:rPr>
            </w:pPr>
            <w:r>
              <w:rPr>
                <w:rFonts w:ascii="Times New Roman" w:hAnsi="Times New Roman" w:cs="Times New Roman"/>
                <w:b/>
                <w:bCs/>
              </w:rPr>
              <w:t>External factors (capital market unit)</w:t>
            </w:r>
          </w:p>
        </w:tc>
        <w:tc>
          <w:tcPr>
            <w:tcW w:w="0" w:type="auto"/>
          </w:tcPr>
          <w:p w14:paraId="10965475">
            <w:pPr>
              <w:spacing w:after="160" w:line="278" w:lineRule="auto"/>
              <w:jc w:val="both"/>
              <w:rPr>
                <w:rFonts w:ascii="Times New Roman" w:hAnsi="Times New Roman" w:cs="Times New Roman"/>
                <w:b/>
                <w:bCs/>
              </w:rPr>
            </w:pPr>
            <w:r>
              <w:rPr>
                <w:rFonts w:ascii="Times New Roman" w:hAnsi="Times New Roman" w:cs="Times New Roman"/>
                <w:b/>
                <w:bCs/>
              </w:rPr>
              <w:t>Weight</w:t>
            </w:r>
          </w:p>
        </w:tc>
        <w:tc>
          <w:tcPr>
            <w:tcW w:w="0" w:type="auto"/>
          </w:tcPr>
          <w:p w14:paraId="7232BF61">
            <w:pPr>
              <w:spacing w:after="160" w:line="278" w:lineRule="auto"/>
              <w:jc w:val="both"/>
              <w:rPr>
                <w:rFonts w:ascii="Times New Roman" w:hAnsi="Times New Roman" w:cs="Times New Roman"/>
                <w:b/>
                <w:bCs/>
              </w:rPr>
            </w:pPr>
            <w:r>
              <w:rPr>
                <w:rFonts w:ascii="Times New Roman" w:hAnsi="Times New Roman" w:cs="Times New Roman"/>
                <w:b/>
                <w:bCs/>
              </w:rPr>
              <w:t>Rating</w:t>
            </w:r>
          </w:p>
        </w:tc>
        <w:tc>
          <w:tcPr>
            <w:tcW w:w="0" w:type="auto"/>
          </w:tcPr>
          <w:p w14:paraId="1FE4D2E4">
            <w:pPr>
              <w:spacing w:after="160" w:line="278" w:lineRule="auto"/>
              <w:jc w:val="both"/>
              <w:rPr>
                <w:rFonts w:ascii="Times New Roman" w:hAnsi="Times New Roman" w:cs="Times New Roman"/>
                <w:b/>
                <w:bCs/>
              </w:rPr>
            </w:pPr>
            <w:r>
              <w:rPr>
                <w:rFonts w:ascii="Times New Roman" w:hAnsi="Times New Roman" w:cs="Times New Roman"/>
                <w:b/>
                <w:bCs/>
              </w:rPr>
              <w:t>Score</w:t>
            </w:r>
          </w:p>
        </w:tc>
      </w:tr>
      <w:tr w14:paraId="6876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CAB51A0">
            <w:pPr>
              <w:spacing w:after="160" w:line="278" w:lineRule="auto"/>
              <w:jc w:val="both"/>
              <w:rPr>
                <w:rFonts w:ascii="Times New Roman" w:hAnsi="Times New Roman" w:cs="Times New Roman"/>
              </w:rPr>
            </w:pPr>
            <w:r>
              <w:rPr>
                <w:rFonts w:ascii="Times New Roman" w:hAnsi="Times New Roman" w:cs="Times New Roman"/>
              </w:rPr>
              <w:t>1</w:t>
            </w:r>
          </w:p>
        </w:tc>
        <w:tc>
          <w:tcPr>
            <w:tcW w:w="0" w:type="auto"/>
          </w:tcPr>
          <w:p w14:paraId="73672071">
            <w:pPr>
              <w:spacing w:after="160" w:line="278" w:lineRule="auto"/>
              <w:jc w:val="both"/>
              <w:rPr>
                <w:rFonts w:ascii="Times New Roman" w:hAnsi="Times New Roman" w:cs="Times New Roman"/>
              </w:rPr>
            </w:pPr>
            <w:r>
              <w:rPr>
                <w:rFonts w:ascii="Times New Roman" w:hAnsi="Times New Roman" w:cs="Times New Roman"/>
              </w:rPr>
              <w:t>Opportunities to utilise digital technology and online investment platforms</w:t>
            </w:r>
          </w:p>
        </w:tc>
        <w:tc>
          <w:tcPr>
            <w:tcW w:w="0" w:type="auto"/>
          </w:tcPr>
          <w:p w14:paraId="56548D87">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04C66543">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4A27806C">
            <w:pPr>
              <w:spacing w:after="160" w:line="278" w:lineRule="auto"/>
              <w:jc w:val="both"/>
              <w:rPr>
                <w:rFonts w:ascii="Times New Roman" w:hAnsi="Times New Roman" w:cs="Times New Roman"/>
              </w:rPr>
            </w:pPr>
            <w:r>
              <w:rPr>
                <w:rFonts w:ascii="Times New Roman" w:hAnsi="Times New Roman" w:cs="Times New Roman"/>
              </w:rPr>
              <w:t>0.60</w:t>
            </w:r>
          </w:p>
        </w:tc>
      </w:tr>
      <w:tr w14:paraId="6345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2D1047">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40D64D55">
            <w:pPr>
              <w:spacing w:after="160" w:line="278" w:lineRule="auto"/>
              <w:jc w:val="both"/>
              <w:rPr>
                <w:rFonts w:ascii="Times New Roman" w:hAnsi="Times New Roman" w:cs="Times New Roman"/>
              </w:rPr>
            </w:pPr>
            <w:r>
              <w:rPr>
                <w:rFonts w:ascii="Times New Roman" w:hAnsi="Times New Roman" w:cs="Times New Roman"/>
              </w:rPr>
              <w:t>National policies on financial inclusion and investment literacy</w:t>
            </w:r>
          </w:p>
        </w:tc>
        <w:tc>
          <w:tcPr>
            <w:tcW w:w="0" w:type="auto"/>
          </w:tcPr>
          <w:p w14:paraId="7861920A">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522C7381">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0E580F08">
            <w:pPr>
              <w:spacing w:after="160" w:line="278" w:lineRule="auto"/>
              <w:jc w:val="both"/>
              <w:rPr>
                <w:rFonts w:ascii="Times New Roman" w:hAnsi="Times New Roman" w:cs="Times New Roman"/>
              </w:rPr>
            </w:pPr>
            <w:r>
              <w:rPr>
                <w:rFonts w:ascii="Times New Roman" w:hAnsi="Times New Roman" w:cs="Times New Roman"/>
              </w:rPr>
              <w:t>0.45</w:t>
            </w:r>
          </w:p>
        </w:tc>
      </w:tr>
      <w:tr w14:paraId="7B4A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8E2A3E">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23F78CA7">
            <w:pPr>
              <w:spacing w:after="160" w:line="278" w:lineRule="auto"/>
              <w:jc w:val="both"/>
              <w:rPr>
                <w:rFonts w:ascii="Times New Roman" w:hAnsi="Times New Roman" w:cs="Times New Roman"/>
              </w:rPr>
            </w:pPr>
            <w:r>
              <w:rPr>
                <w:rFonts w:ascii="Times New Roman" w:hAnsi="Times New Roman" w:cs="Times New Roman"/>
              </w:rPr>
              <w:t>Potential to attract investors from village migrants or diaspora</w:t>
            </w:r>
          </w:p>
        </w:tc>
        <w:tc>
          <w:tcPr>
            <w:tcW w:w="0" w:type="auto"/>
          </w:tcPr>
          <w:p w14:paraId="6ADBAD85">
            <w:pPr>
              <w:spacing w:after="160" w:line="278" w:lineRule="auto"/>
              <w:jc w:val="both"/>
              <w:rPr>
                <w:rFonts w:ascii="Times New Roman" w:hAnsi="Times New Roman" w:cs="Times New Roman"/>
              </w:rPr>
            </w:pPr>
            <w:r>
              <w:rPr>
                <w:rFonts w:ascii="Times New Roman" w:hAnsi="Times New Roman" w:cs="Times New Roman"/>
              </w:rPr>
              <w:t>0.10</w:t>
            </w:r>
          </w:p>
        </w:tc>
        <w:tc>
          <w:tcPr>
            <w:tcW w:w="0" w:type="auto"/>
          </w:tcPr>
          <w:p w14:paraId="089CB2C4">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7E82CEF5">
            <w:pPr>
              <w:spacing w:after="160" w:line="278" w:lineRule="auto"/>
              <w:jc w:val="both"/>
              <w:rPr>
                <w:rFonts w:ascii="Times New Roman" w:hAnsi="Times New Roman" w:cs="Times New Roman"/>
              </w:rPr>
            </w:pPr>
            <w:r>
              <w:rPr>
                <w:rFonts w:ascii="Times New Roman" w:hAnsi="Times New Roman" w:cs="Times New Roman"/>
              </w:rPr>
              <w:t>0.30</w:t>
            </w:r>
          </w:p>
        </w:tc>
      </w:tr>
      <w:tr w14:paraId="6D93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B614F6">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424F0C4A">
            <w:pPr>
              <w:spacing w:after="160" w:line="278" w:lineRule="auto"/>
              <w:jc w:val="both"/>
              <w:rPr>
                <w:rFonts w:ascii="Times New Roman" w:hAnsi="Times New Roman" w:cs="Times New Roman"/>
              </w:rPr>
            </w:pPr>
            <w:r>
              <w:rPr>
                <w:rFonts w:ascii="Times New Roman" w:hAnsi="Times New Roman" w:cs="Times New Roman"/>
              </w:rPr>
              <w:t>Capital market volatility and investment risk</w:t>
            </w:r>
          </w:p>
        </w:tc>
        <w:tc>
          <w:tcPr>
            <w:tcW w:w="0" w:type="auto"/>
          </w:tcPr>
          <w:p w14:paraId="6D975483">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6192196D">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3CE663E8">
            <w:pPr>
              <w:spacing w:after="160" w:line="278" w:lineRule="auto"/>
              <w:jc w:val="both"/>
              <w:rPr>
                <w:rFonts w:ascii="Times New Roman" w:hAnsi="Times New Roman" w:cs="Times New Roman"/>
              </w:rPr>
            </w:pPr>
            <w:r>
              <w:rPr>
                <w:rFonts w:ascii="Times New Roman" w:hAnsi="Times New Roman" w:cs="Times New Roman"/>
              </w:rPr>
              <w:t>0.40</w:t>
            </w:r>
          </w:p>
        </w:tc>
      </w:tr>
      <w:tr w14:paraId="3C4A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3CB2E4">
            <w:pPr>
              <w:spacing w:after="160" w:line="278" w:lineRule="auto"/>
              <w:jc w:val="both"/>
              <w:rPr>
                <w:rFonts w:ascii="Times New Roman" w:hAnsi="Times New Roman" w:cs="Times New Roman"/>
              </w:rPr>
            </w:pPr>
            <w:r>
              <w:rPr>
                <w:rFonts w:ascii="Times New Roman" w:hAnsi="Times New Roman" w:cs="Times New Roman"/>
              </w:rPr>
              <w:t>5</w:t>
            </w:r>
          </w:p>
        </w:tc>
        <w:tc>
          <w:tcPr>
            <w:tcW w:w="0" w:type="auto"/>
          </w:tcPr>
          <w:p w14:paraId="7DA7A705">
            <w:pPr>
              <w:spacing w:after="160" w:line="278" w:lineRule="auto"/>
              <w:jc w:val="both"/>
              <w:rPr>
                <w:rFonts w:ascii="Times New Roman" w:hAnsi="Times New Roman" w:cs="Times New Roman"/>
              </w:rPr>
            </w:pPr>
            <w:r>
              <w:rPr>
                <w:rFonts w:ascii="Times New Roman" w:hAnsi="Times New Roman" w:cs="Times New Roman"/>
              </w:rPr>
              <w:t>Distrust among some residents toward modern financial instruments</w:t>
            </w:r>
          </w:p>
        </w:tc>
        <w:tc>
          <w:tcPr>
            <w:tcW w:w="0" w:type="auto"/>
          </w:tcPr>
          <w:p w14:paraId="23BF74FC">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02F7BF4B">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75724841">
            <w:pPr>
              <w:spacing w:after="160" w:line="278" w:lineRule="auto"/>
              <w:jc w:val="both"/>
              <w:rPr>
                <w:rFonts w:ascii="Times New Roman" w:hAnsi="Times New Roman" w:cs="Times New Roman"/>
              </w:rPr>
            </w:pPr>
            <w:r>
              <w:rPr>
                <w:rFonts w:ascii="Times New Roman" w:hAnsi="Times New Roman" w:cs="Times New Roman"/>
              </w:rPr>
              <w:t>0.40</w:t>
            </w:r>
          </w:p>
        </w:tc>
      </w:tr>
      <w:tr w14:paraId="37E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59ABDD">
            <w:pPr>
              <w:spacing w:after="160" w:line="278" w:lineRule="auto"/>
              <w:jc w:val="both"/>
              <w:rPr>
                <w:rFonts w:ascii="Times New Roman" w:hAnsi="Times New Roman" w:cs="Times New Roman"/>
              </w:rPr>
            </w:pPr>
            <w:r>
              <w:rPr>
                <w:rFonts w:ascii="Times New Roman" w:hAnsi="Times New Roman" w:cs="Times New Roman"/>
              </w:rPr>
              <w:t>6</w:t>
            </w:r>
          </w:p>
        </w:tc>
        <w:tc>
          <w:tcPr>
            <w:tcW w:w="0" w:type="auto"/>
          </w:tcPr>
          <w:p w14:paraId="2B22EF7D">
            <w:pPr>
              <w:spacing w:after="160" w:line="278" w:lineRule="auto"/>
              <w:jc w:val="both"/>
              <w:rPr>
                <w:rFonts w:ascii="Times New Roman" w:hAnsi="Times New Roman" w:cs="Times New Roman"/>
              </w:rPr>
            </w:pPr>
            <w:r>
              <w:rPr>
                <w:rFonts w:ascii="Times New Roman" w:hAnsi="Times New Roman" w:cs="Times New Roman"/>
              </w:rPr>
              <w:t>Competition with more familiar savings–loan and investment products</w:t>
            </w:r>
          </w:p>
        </w:tc>
        <w:tc>
          <w:tcPr>
            <w:tcW w:w="0" w:type="auto"/>
          </w:tcPr>
          <w:p w14:paraId="764A5CB5">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1DD384D7">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569BF3F6">
            <w:pPr>
              <w:spacing w:after="160" w:line="278" w:lineRule="auto"/>
              <w:jc w:val="both"/>
              <w:rPr>
                <w:rFonts w:ascii="Times New Roman" w:hAnsi="Times New Roman" w:cs="Times New Roman"/>
              </w:rPr>
            </w:pPr>
            <w:r>
              <w:rPr>
                <w:rFonts w:ascii="Times New Roman" w:hAnsi="Times New Roman" w:cs="Times New Roman"/>
              </w:rPr>
              <w:t>0.30</w:t>
            </w:r>
          </w:p>
        </w:tc>
      </w:tr>
      <w:tr w14:paraId="76E0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439C1F">
            <w:pPr>
              <w:spacing w:after="160" w:line="278" w:lineRule="auto"/>
              <w:jc w:val="both"/>
              <w:rPr>
                <w:rFonts w:ascii="Times New Roman" w:hAnsi="Times New Roman" w:cs="Times New Roman"/>
              </w:rPr>
            </w:pPr>
            <w:r>
              <w:rPr>
                <w:rFonts w:ascii="Times New Roman" w:hAnsi="Times New Roman" w:cs="Times New Roman"/>
                <w:b/>
                <w:bCs/>
              </w:rPr>
              <w:t>Total</w:t>
            </w:r>
          </w:p>
        </w:tc>
        <w:tc>
          <w:tcPr>
            <w:tcW w:w="0" w:type="auto"/>
          </w:tcPr>
          <w:p w14:paraId="12C938AA">
            <w:pPr>
              <w:spacing w:after="160" w:line="278" w:lineRule="auto"/>
              <w:jc w:val="both"/>
              <w:rPr>
                <w:rFonts w:ascii="Times New Roman" w:hAnsi="Times New Roman" w:cs="Times New Roman"/>
              </w:rPr>
            </w:pPr>
          </w:p>
        </w:tc>
        <w:tc>
          <w:tcPr>
            <w:tcW w:w="0" w:type="auto"/>
          </w:tcPr>
          <w:p w14:paraId="4C8F9EB5">
            <w:pPr>
              <w:spacing w:after="160" w:line="278" w:lineRule="auto"/>
              <w:jc w:val="both"/>
              <w:rPr>
                <w:rFonts w:ascii="Times New Roman" w:hAnsi="Times New Roman" w:cs="Times New Roman"/>
              </w:rPr>
            </w:pPr>
            <w:r>
              <w:rPr>
                <w:rFonts w:ascii="Times New Roman" w:hAnsi="Times New Roman" w:cs="Times New Roman"/>
                <w:b/>
                <w:bCs/>
              </w:rPr>
              <w:t>1.00</w:t>
            </w:r>
          </w:p>
        </w:tc>
        <w:tc>
          <w:tcPr>
            <w:tcW w:w="0" w:type="auto"/>
          </w:tcPr>
          <w:p w14:paraId="3CC87480">
            <w:pPr>
              <w:spacing w:after="160" w:line="278" w:lineRule="auto"/>
              <w:jc w:val="both"/>
              <w:rPr>
                <w:rFonts w:ascii="Times New Roman" w:hAnsi="Times New Roman" w:cs="Times New Roman"/>
              </w:rPr>
            </w:pPr>
          </w:p>
        </w:tc>
        <w:tc>
          <w:tcPr>
            <w:tcW w:w="0" w:type="auto"/>
          </w:tcPr>
          <w:p w14:paraId="712A17CE">
            <w:pPr>
              <w:spacing w:after="160" w:line="278" w:lineRule="auto"/>
              <w:jc w:val="both"/>
              <w:rPr>
                <w:rFonts w:ascii="Times New Roman" w:hAnsi="Times New Roman" w:cs="Times New Roman"/>
              </w:rPr>
            </w:pPr>
            <w:r>
              <w:rPr>
                <w:rFonts w:ascii="Times New Roman" w:hAnsi="Times New Roman" w:cs="Times New Roman"/>
                <w:b/>
                <w:bCs/>
              </w:rPr>
              <w:t>2.45</w:t>
            </w:r>
          </w:p>
        </w:tc>
      </w:tr>
    </w:tbl>
    <w:p w14:paraId="13394225">
      <w:pPr>
        <w:jc w:val="both"/>
        <w:rPr>
          <w:rFonts w:ascii="Times New Roman" w:hAnsi="Times New Roman" w:cs="Times New Roman"/>
        </w:rPr>
      </w:pPr>
      <w:r>
        <w:rPr>
          <w:rFonts w:ascii="Times New Roman" w:hAnsi="Times New Roman" w:cs="Times New Roman"/>
        </w:rPr>
        <w:t>Externally, the capital market unit faces a nearly balanced mix of opportunities and threats. On the one hand, national initiatives for financial literacy and technological developments offer scope for service expansion. On the other hand, market risk and public distrust towards modern financial instruments pose significant barriers to growth. The moderate EFAS score suggests that the unit has yet to fully leverage available opportunities to mitigate existing threats.</w:t>
      </w:r>
    </w:p>
    <w:p w14:paraId="16AB39D2">
      <w:pPr>
        <w:jc w:val="both"/>
        <w:rPr>
          <w:rFonts w:ascii="Times New Roman" w:hAnsi="Times New Roman" w:cs="Times New Roman"/>
        </w:rPr>
      </w:pPr>
      <w:r>
        <w:rPr>
          <w:rFonts w:ascii="Times New Roman" w:hAnsi="Times New Roman" w:cs="Times New Roman"/>
          <w:b/>
          <w:bCs/>
        </w:rPr>
        <w:t>Capital Market Unit</w:t>
      </w:r>
    </w:p>
    <w:p w14:paraId="41D5DF7E">
      <w:pPr>
        <w:jc w:val="both"/>
        <w:rPr>
          <w:rFonts w:ascii="Times New Roman" w:hAnsi="Times New Roman" w:cs="Times New Roman"/>
        </w:rPr>
      </w:pPr>
      <w:r>
        <w:rPr>
          <w:rFonts w:ascii="Times New Roman" w:hAnsi="Times New Roman" w:cs="Times New Roman"/>
        </w:rPr>
        <w:t>The IFAS–EFAS scores place the capital market unit in a strategically sensitive position requiring cautious management. It is not yet feasible to treat this unit as the primary revenue generator for the village. Instead, it is more appropriately positioned as a “learning laboratory” and a platform for strengthening financial literacy and investment awareness. Realistic strategies include the development of micro-investment products, highly transparent reporting, and intensive communication, thereby gradually building public trust. The role of the village government and BUMDes managers in openly explaining risks and business mechanisms is critical to ensuring that participation extends beyond formal attendance to informed engagement.</w:t>
      </w:r>
    </w:p>
    <w:p w14:paraId="44EBB313">
      <w:pPr>
        <w:jc w:val="both"/>
        <w:rPr>
          <w:rFonts w:ascii="Times New Roman" w:hAnsi="Times New Roman" w:cs="Times New Roman"/>
        </w:rPr>
      </w:pPr>
      <w:r>
        <w:rPr>
          <w:rFonts w:ascii="Times New Roman" w:hAnsi="Times New Roman" w:cs="Times New Roman"/>
        </w:rPr>
        <w:pict>
          <v:rect id="_x0000_i1025" o:spt="1" style="height:1.5pt;width:0pt;" fillcolor="#A0A0A0" filled="t" stroked="f" coordsize="21600,21600" o:hr="t" o:hrstd="t" o:hralign="center">
            <v:path/>
            <v:fill on="t" focussize="0,0"/>
            <v:stroke on="f"/>
            <v:imagedata o:title=""/>
            <o:lock v:ext="edit"/>
            <w10:wrap type="none"/>
            <w10:anchorlock/>
          </v:rect>
        </w:pict>
      </w:r>
    </w:p>
    <w:p w14:paraId="2141B2A0">
      <w:pPr>
        <w:jc w:val="both"/>
        <w:rPr>
          <w:rFonts w:ascii="Times New Roman" w:hAnsi="Times New Roman" w:cs="Times New Roman"/>
          <w:b/>
          <w:bCs/>
        </w:rPr>
      </w:pPr>
      <w:r>
        <w:rPr>
          <w:rFonts w:ascii="Times New Roman" w:hAnsi="Times New Roman" w:cs="Times New Roman"/>
          <w:b/>
          <w:bCs/>
        </w:rPr>
        <w:t>3.3.2 IFAS and EFAS of the Integrated Agriculture Unit (Agrodes Sekip)</w:t>
      </w:r>
    </w:p>
    <w:p w14:paraId="706E6BFB">
      <w:pPr>
        <w:jc w:val="both"/>
        <w:rPr>
          <w:rFonts w:ascii="Times New Roman" w:hAnsi="Times New Roman" w:cs="Times New Roman"/>
        </w:rPr>
      </w:pPr>
      <w:r>
        <w:rPr>
          <w:rFonts w:ascii="Times New Roman" w:hAnsi="Times New Roman" w:cs="Times New Roman"/>
          <w:b/>
          <w:bCs/>
        </w:rPr>
        <w:t>TABLE 3.  IFAS – Integrated Agriculture Unit (Agrodes)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857"/>
        <w:gridCol w:w="950"/>
        <w:gridCol w:w="910"/>
        <w:gridCol w:w="785"/>
      </w:tblGrid>
      <w:tr w14:paraId="5C16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315D70">
            <w:pPr>
              <w:spacing w:after="160" w:line="278" w:lineRule="auto"/>
              <w:jc w:val="both"/>
              <w:rPr>
                <w:rFonts w:ascii="Times New Roman" w:hAnsi="Times New Roman" w:cs="Times New Roman"/>
                <w:b/>
                <w:bCs/>
              </w:rPr>
            </w:pPr>
            <w:r>
              <w:rPr>
                <w:rFonts w:ascii="Times New Roman" w:hAnsi="Times New Roman" w:cs="Times New Roman"/>
                <w:b/>
                <w:bCs/>
              </w:rPr>
              <w:t>No</w:t>
            </w:r>
          </w:p>
        </w:tc>
        <w:tc>
          <w:tcPr>
            <w:tcW w:w="0" w:type="auto"/>
          </w:tcPr>
          <w:p w14:paraId="1BDA8933">
            <w:pPr>
              <w:spacing w:after="160" w:line="278" w:lineRule="auto"/>
              <w:jc w:val="both"/>
              <w:rPr>
                <w:rFonts w:ascii="Times New Roman" w:hAnsi="Times New Roman" w:cs="Times New Roman"/>
                <w:b/>
                <w:bCs/>
              </w:rPr>
            </w:pPr>
            <w:r>
              <w:rPr>
                <w:rFonts w:ascii="Times New Roman" w:hAnsi="Times New Roman" w:cs="Times New Roman"/>
                <w:b/>
                <w:bCs/>
              </w:rPr>
              <w:t>Internal factors (Agrodes)</w:t>
            </w:r>
          </w:p>
        </w:tc>
        <w:tc>
          <w:tcPr>
            <w:tcW w:w="0" w:type="auto"/>
          </w:tcPr>
          <w:p w14:paraId="29CE3881">
            <w:pPr>
              <w:spacing w:after="160" w:line="278" w:lineRule="auto"/>
              <w:jc w:val="both"/>
              <w:rPr>
                <w:rFonts w:ascii="Times New Roman" w:hAnsi="Times New Roman" w:cs="Times New Roman"/>
                <w:b/>
                <w:bCs/>
              </w:rPr>
            </w:pPr>
            <w:r>
              <w:rPr>
                <w:rFonts w:ascii="Times New Roman" w:hAnsi="Times New Roman" w:cs="Times New Roman"/>
                <w:b/>
                <w:bCs/>
              </w:rPr>
              <w:t>Weight</w:t>
            </w:r>
          </w:p>
        </w:tc>
        <w:tc>
          <w:tcPr>
            <w:tcW w:w="0" w:type="auto"/>
          </w:tcPr>
          <w:p w14:paraId="675A7192">
            <w:pPr>
              <w:spacing w:after="160" w:line="278" w:lineRule="auto"/>
              <w:jc w:val="both"/>
              <w:rPr>
                <w:rFonts w:ascii="Times New Roman" w:hAnsi="Times New Roman" w:cs="Times New Roman"/>
                <w:b/>
                <w:bCs/>
              </w:rPr>
            </w:pPr>
            <w:r>
              <w:rPr>
                <w:rFonts w:ascii="Times New Roman" w:hAnsi="Times New Roman" w:cs="Times New Roman"/>
                <w:b/>
                <w:bCs/>
              </w:rPr>
              <w:t>Rating</w:t>
            </w:r>
          </w:p>
        </w:tc>
        <w:tc>
          <w:tcPr>
            <w:tcW w:w="0" w:type="auto"/>
          </w:tcPr>
          <w:p w14:paraId="13C3DD89">
            <w:pPr>
              <w:spacing w:after="160" w:line="278" w:lineRule="auto"/>
              <w:jc w:val="both"/>
              <w:rPr>
                <w:rFonts w:ascii="Times New Roman" w:hAnsi="Times New Roman" w:cs="Times New Roman"/>
                <w:b/>
                <w:bCs/>
              </w:rPr>
            </w:pPr>
            <w:r>
              <w:rPr>
                <w:rFonts w:ascii="Times New Roman" w:hAnsi="Times New Roman" w:cs="Times New Roman"/>
                <w:b/>
                <w:bCs/>
              </w:rPr>
              <w:t>Score</w:t>
            </w:r>
          </w:p>
        </w:tc>
      </w:tr>
      <w:tr w14:paraId="19E0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87A23EF">
            <w:pPr>
              <w:spacing w:after="160" w:line="278" w:lineRule="auto"/>
              <w:jc w:val="both"/>
              <w:rPr>
                <w:rFonts w:ascii="Times New Roman" w:hAnsi="Times New Roman" w:cs="Times New Roman"/>
              </w:rPr>
            </w:pPr>
            <w:r>
              <w:rPr>
                <w:rFonts w:ascii="Times New Roman" w:hAnsi="Times New Roman" w:cs="Times New Roman"/>
              </w:rPr>
              <w:t>1</w:t>
            </w:r>
          </w:p>
        </w:tc>
        <w:tc>
          <w:tcPr>
            <w:tcW w:w="0" w:type="auto"/>
          </w:tcPr>
          <w:p w14:paraId="30C17598">
            <w:pPr>
              <w:spacing w:after="160" w:line="278" w:lineRule="auto"/>
              <w:jc w:val="both"/>
              <w:rPr>
                <w:rFonts w:ascii="Times New Roman" w:hAnsi="Times New Roman" w:cs="Times New Roman"/>
              </w:rPr>
            </w:pPr>
            <w:r>
              <w:rPr>
                <w:rFonts w:ascii="Times New Roman" w:hAnsi="Times New Roman" w:cs="Times New Roman"/>
              </w:rPr>
              <w:t>Availability of agricultural land and a strong farmer base</w:t>
            </w:r>
          </w:p>
        </w:tc>
        <w:tc>
          <w:tcPr>
            <w:tcW w:w="0" w:type="auto"/>
          </w:tcPr>
          <w:p w14:paraId="08C92608">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27C4C445">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42AA49DB">
            <w:pPr>
              <w:spacing w:after="160" w:line="278" w:lineRule="auto"/>
              <w:jc w:val="both"/>
              <w:rPr>
                <w:rFonts w:ascii="Times New Roman" w:hAnsi="Times New Roman" w:cs="Times New Roman"/>
              </w:rPr>
            </w:pPr>
            <w:r>
              <w:rPr>
                <w:rFonts w:ascii="Times New Roman" w:hAnsi="Times New Roman" w:cs="Times New Roman"/>
              </w:rPr>
              <w:t>0.80</w:t>
            </w:r>
          </w:p>
        </w:tc>
      </w:tr>
      <w:tr w14:paraId="29F3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E9BC80">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26F15AEF">
            <w:pPr>
              <w:spacing w:after="160" w:line="278" w:lineRule="auto"/>
              <w:jc w:val="both"/>
              <w:rPr>
                <w:rFonts w:ascii="Times New Roman" w:hAnsi="Times New Roman" w:cs="Times New Roman"/>
              </w:rPr>
            </w:pPr>
            <w:r>
              <w:rPr>
                <w:rFonts w:ascii="Times New Roman" w:hAnsi="Times New Roman" w:cs="Times New Roman"/>
              </w:rPr>
              <w:t>Support from farmer groups and social networks at hamlet level</w:t>
            </w:r>
          </w:p>
        </w:tc>
        <w:tc>
          <w:tcPr>
            <w:tcW w:w="0" w:type="auto"/>
          </w:tcPr>
          <w:p w14:paraId="143A53E6">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1CB16690">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5CB86B24">
            <w:pPr>
              <w:spacing w:after="160" w:line="278" w:lineRule="auto"/>
              <w:jc w:val="both"/>
              <w:rPr>
                <w:rFonts w:ascii="Times New Roman" w:hAnsi="Times New Roman" w:cs="Times New Roman"/>
              </w:rPr>
            </w:pPr>
            <w:r>
              <w:rPr>
                <w:rFonts w:ascii="Times New Roman" w:hAnsi="Times New Roman" w:cs="Times New Roman"/>
              </w:rPr>
              <w:t>0.45</w:t>
            </w:r>
          </w:p>
        </w:tc>
      </w:tr>
      <w:tr w14:paraId="2DBD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FFED50">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02400257">
            <w:pPr>
              <w:spacing w:after="160" w:line="278" w:lineRule="auto"/>
              <w:jc w:val="both"/>
              <w:rPr>
                <w:rFonts w:ascii="Times New Roman" w:hAnsi="Times New Roman" w:cs="Times New Roman"/>
              </w:rPr>
            </w:pPr>
            <w:r>
              <w:rPr>
                <w:rFonts w:ascii="Times New Roman" w:hAnsi="Times New Roman" w:cs="Times New Roman"/>
              </w:rPr>
              <w:t>Fit between business type and local economic structure</w:t>
            </w:r>
          </w:p>
        </w:tc>
        <w:tc>
          <w:tcPr>
            <w:tcW w:w="0" w:type="auto"/>
          </w:tcPr>
          <w:p w14:paraId="6CA662D9">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462B1539">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7DD9F5F5">
            <w:pPr>
              <w:spacing w:after="160" w:line="278" w:lineRule="auto"/>
              <w:jc w:val="both"/>
              <w:rPr>
                <w:rFonts w:ascii="Times New Roman" w:hAnsi="Times New Roman" w:cs="Times New Roman"/>
              </w:rPr>
            </w:pPr>
            <w:r>
              <w:rPr>
                <w:rFonts w:ascii="Times New Roman" w:hAnsi="Times New Roman" w:cs="Times New Roman"/>
              </w:rPr>
              <w:t>0.60</w:t>
            </w:r>
          </w:p>
        </w:tc>
      </w:tr>
      <w:tr w14:paraId="3A98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2593AB0">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142D4CE7">
            <w:pPr>
              <w:spacing w:after="160" w:line="278" w:lineRule="auto"/>
              <w:jc w:val="both"/>
              <w:rPr>
                <w:rFonts w:ascii="Times New Roman" w:hAnsi="Times New Roman" w:cs="Times New Roman"/>
              </w:rPr>
            </w:pPr>
            <w:r>
              <w:rPr>
                <w:rFonts w:ascii="Times New Roman" w:hAnsi="Times New Roman" w:cs="Times New Roman"/>
              </w:rPr>
              <w:t>Limited cultivation and post-harvest technologies</w:t>
            </w:r>
          </w:p>
        </w:tc>
        <w:tc>
          <w:tcPr>
            <w:tcW w:w="0" w:type="auto"/>
          </w:tcPr>
          <w:p w14:paraId="28EC0107">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00F02B7C">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18C0E188">
            <w:pPr>
              <w:spacing w:after="160" w:line="278" w:lineRule="auto"/>
              <w:jc w:val="both"/>
              <w:rPr>
                <w:rFonts w:ascii="Times New Roman" w:hAnsi="Times New Roman" w:cs="Times New Roman"/>
              </w:rPr>
            </w:pPr>
            <w:r>
              <w:rPr>
                <w:rFonts w:ascii="Times New Roman" w:hAnsi="Times New Roman" w:cs="Times New Roman"/>
              </w:rPr>
              <w:t>0.30</w:t>
            </w:r>
          </w:p>
        </w:tc>
      </w:tr>
      <w:tr w14:paraId="19F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313756">
            <w:pPr>
              <w:spacing w:after="160" w:line="278" w:lineRule="auto"/>
              <w:jc w:val="both"/>
              <w:rPr>
                <w:rFonts w:ascii="Times New Roman" w:hAnsi="Times New Roman" w:cs="Times New Roman"/>
              </w:rPr>
            </w:pPr>
            <w:r>
              <w:rPr>
                <w:rFonts w:ascii="Times New Roman" w:hAnsi="Times New Roman" w:cs="Times New Roman"/>
              </w:rPr>
              <w:t>5</w:t>
            </w:r>
          </w:p>
        </w:tc>
        <w:tc>
          <w:tcPr>
            <w:tcW w:w="0" w:type="auto"/>
          </w:tcPr>
          <w:p w14:paraId="1C249D2F">
            <w:pPr>
              <w:spacing w:after="160" w:line="278" w:lineRule="auto"/>
              <w:jc w:val="both"/>
              <w:rPr>
                <w:rFonts w:ascii="Times New Roman" w:hAnsi="Times New Roman" w:cs="Times New Roman"/>
              </w:rPr>
            </w:pPr>
            <w:r>
              <w:rPr>
                <w:rFonts w:ascii="Times New Roman" w:hAnsi="Times New Roman" w:cs="Times New Roman"/>
              </w:rPr>
              <w:t>Insufficient capital for intensification and diversification</w:t>
            </w:r>
          </w:p>
        </w:tc>
        <w:tc>
          <w:tcPr>
            <w:tcW w:w="0" w:type="auto"/>
          </w:tcPr>
          <w:p w14:paraId="43AEDDBB">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267D179E">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27FFC338">
            <w:pPr>
              <w:spacing w:after="160" w:line="278" w:lineRule="auto"/>
              <w:jc w:val="both"/>
              <w:rPr>
                <w:rFonts w:ascii="Times New Roman" w:hAnsi="Times New Roman" w:cs="Times New Roman"/>
              </w:rPr>
            </w:pPr>
            <w:r>
              <w:rPr>
                <w:rFonts w:ascii="Times New Roman" w:hAnsi="Times New Roman" w:cs="Times New Roman"/>
              </w:rPr>
              <w:t>0.40</w:t>
            </w:r>
          </w:p>
        </w:tc>
      </w:tr>
      <w:tr w14:paraId="18E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67F909">
            <w:pPr>
              <w:spacing w:after="160" w:line="278" w:lineRule="auto"/>
              <w:jc w:val="both"/>
              <w:rPr>
                <w:rFonts w:ascii="Times New Roman" w:hAnsi="Times New Roman" w:cs="Times New Roman"/>
              </w:rPr>
            </w:pPr>
            <w:r>
              <w:rPr>
                <w:rFonts w:ascii="Times New Roman" w:hAnsi="Times New Roman" w:cs="Times New Roman"/>
              </w:rPr>
              <w:t>6</w:t>
            </w:r>
          </w:p>
        </w:tc>
        <w:tc>
          <w:tcPr>
            <w:tcW w:w="0" w:type="auto"/>
          </w:tcPr>
          <w:p w14:paraId="05C99ADA">
            <w:pPr>
              <w:spacing w:after="160" w:line="278" w:lineRule="auto"/>
              <w:jc w:val="both"/>
              <w:rPr>
                <w:rFonts w:ascii="Times New Roman" w:hAnsi="Times New Roman" w:cs="Times New Roman"/>
              </w:rPr>
            </w:pPr>
            <w:r>
              <w:rPr>
                <w:rFonts w:ascii="Times New Roman" w:hAnsi="Times New Roman" w:cs="Times New Roman"/>
              </w:rPr>
              <w:t>Under-integrated marketing and value-chain management</w:t>
            </w:r>
          </w:p>
        </w:tc>
        <w:tc>
          <w:tcPr>
            <w:tcW w:w="0" w:type="auto"/>
          </w:tcPr>
          <w:p w14:paraId="224642BD">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7C7B0035">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15C3F043">
            <w:pPr>
              <w:spacing w:after="160" w:line="278" w:lineRule="auto"/>
              <w:jc w:val="both"/>
              <w:rPr>
                <w:rFonts w:ascii="Times New Roman" w:hAnsi="Times New Roman" w:cs="Times New Roman"/>
              </w:rPr>
            </w:pPr>
            <w:r>
              <w:rPr>
                <w:rFonts w:ascii="Times New Roman" w:hAnsi="Times New Roman" w:cs="Times New Roman"/>
              </w:rPr>
              <w:t>0.30</w:t>
            </w:r>
          </w:p>
        </w:tc>
      </w:tr>
      <w:tr w14:paraId="5C20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D7C45C">
            <w:pPr>
              <w:spacing w:after="160" w:line="278" w:lineRule="auto"/>
              <w:jc w:val="both"/>
              <w:rPr>
                <w:rFonts w:ascii="Times New Roman" w:hAnsi="Times New Roman" w:cs="Times New Roman"/>
              </w:rPr>
            </w:pPr>
            <w:r>
              <w:rPr>
                <w:rFonts w:ascii="Times New Roman" w:hAnsi="Times New Roman" w:cs="Times New Roman"/>
                <w:b/>
                <w:bCs/>
              </w:rPr>
              <w:t>Total</w:t>
            </w:r>
          </w:p>
        </w:tc>
        <w:tc>
          <w:tcPr>
            <w:tcW w:w="0" w:type="auto"/>
          </w:tcPr>
          <w:p w14:paraId="1094C189">
            <w:pPr>
              <w:spacing w:after="160" w:line="278" w:lineRule="auto"/>
              <w:jc w:val="both"/>
              <w:rPr>
                <w:rFonts w:ascii="Times New Roman" w:hAnsi="Times New Roman" w:cs="Times New Roman"/>
              </w:rPr>
            </w:pPr>
          </w:p>
        </w:tc>
        <w:tc>
          <w:tcPr>
            <w:tcW w:w="0" w:type="auto"/>
          </w:tcPr>
          <w:p w14:paraId="35D15C84">
            <w:pPr>
              <w:spacing w:after="160" w:line="278" w:lineRule="auto"/>
              <w:jc w:val="both"/>
              <w:rPr>
                <w:rFonts w:ascii="Times New Roman" w:hAnsi="Times New Roman" w:cs="Times New Roman"/>
              </w:rPr>
            </w:pPr>
            <w:r>
              <w:rPr>
                <w:rFonts w:ascii="Times New Roman" w:hAnsi="Times New Roman" w:cs="Times New Roman"/>
                <w:b/>
                <w:bCs/>
              </w:rPr>
              <w:t>1.00</w:t>
            </w:r>
          </w:p>
        </w:tc>
        <w:tc>
          <w:tcPr>
            <w:tcW w:w="0" w:type="auto"/>
          </w:tcPr>
          <w:p w14:paraId="3BD71330">
            <w:pPr>
              <w:spacing w:after="160" w:line="278" w:lineRule="auto"/>
              <w:jc w:val="both"/>
              <w:rPr>
                <w:rFonts w:ascii="Times New Roman" w:hAnsi="Times New Roman" w:cs="Times New Roman"/>
              </w:rPr>
            </w:pPr>
          </w:p>
        </w:tc>
        <w:tc>
          <w:tcPr>
            <w:tcW w:w="0" w:type="auto"/>
          </w:tcPr>
          <w:p w14:paraId="4507ED1B">
            <w:pPr>
              <w:spacing w:after="160" w:line="278" w:lineRule="auto"/>
              <w:jc w:val="both"/>
              <w:rPr>
                <w:rFonts w:ascii="Times New Roman" w:hAnsi="Times New Roman" w:cs="Times New Roman"/>
              </w:rPr>
            </w:pPr>
            <w:r>
              <w:rPr>
                <w:rFonts w:ascii="Times New Roman" w:hAnsi="Times New Roman" w:cs="Times New Roman"/>
                <w:b/>
                <w:bCs/>
              </w:rPr>
              <w:t>2.85</w:t>
            </w:r>
          </w:p>
        </w:tc>
      </w:tr>
    </w:tbl>
    <w:p w14:paraId="53EEA72A">
      <w:pPr>
        <w:jc w:val="both"/>
        <w:rPr>
          <w:rFonts w:ascii="Times New Roman" w:hAnsi="Times New Roman" w:cs="Times New Roman"/>
        </w:rPr>
      </w:pPr>
      <w:r>
        <w:rPr>
          <w:rFonts w:ascii="Times New Roman" w:hAnsi="Times New Roman" w:cs="Times New Roman"/>
        </w:rPr>
        <w:t>Internally, Agrodes holds a relatively stronger position than the capital market unit. Its performance is supported by high congruence between business activities and residents’ livelihoods, the presence of established farmer groups, and the ease of mobilising participation in agricultural activities. However, limitations in technology, capital, and value-chain management prevent the full conversion of this potential into significant income gains.</w:t>
      </w:r>
    </w:p>
    <w:p w14:paraId="058FD100">
      <w:pPr>
        <w:jc w:val="both"/>
        <w:rPr>
          <w:rFonts w:ascii="Times New Roman" w:hAnsi="Times New Roman" w:cs="Times New Roman"/>
        </w:rPr>
      </w:pPr>
      <w:r>
        <w:rPr>
          <w:rFonts w:ascii="Times New Roman" w:hAnsi="Times New Roman" w:cs="Times New Roman"/>
          <w:b/>
          <w:bCs/>
        </w:rPr>
        <w:t>TABLE 4. EFAS – Integrated Agriculture Unit (Agrodes)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857"/>
        <w:gridCol w:w="950"/>
        <w:gridCol w:w="910"/>
        <w:gridCol w:w="785"/>
      </w:tblGrid>
      <w:tr w14:paraId="6134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519F33">
            <w:pPr>
              <w:spacing w:after="160" w:line="278" w:lineRule="auto"/>
              <w:jc w:val="both"/>
              <w:rPr>
                <w:rFonts w:ascii="Times New Roman" w:hAnsi="Times New Roman" w:cs="Times New Roman"/>
                <w:b/>
                <w:bCs/>
              </w:rPr>
            </w:pPr>
            <w:r>
              <w:rPr>
                <w:rFonts w:ascii="Times New Roman" w:hAnsi="Times New Roman" w:cs="Times New Roman"/>
                <w:b/>
                <w:bCs/>
              </w:rPr>
              <w:t>No</w:t>
            </w:r>
          </w:p>
        </w:tc>
        <w:tc>
          <w:tcPr>
            <w:tcW w:w="0" w:type="auto"/>
          </w:tcPr>
          <w:p w14:paraId="4B555C31">
            <w:pPr>
              <w:spacing w:after="160" w:line="278" w:lineRule="auto"/>
              <w:jc w:val="both"/>
              <w:rPr>
                <w:rFonts w:ascii="Times New Roman" w:hAnsi="Times New Roman" w:cs="Times New Roman"/>
                <w:b/>
                <w:bCs/>
              </w:rPr>
            </w:pPr>
            <w:r>
              <w:rPr>
                <w:rFonts w:ascii="Times New Roman" w:hAnsi="Times New Roman" w:cs="Times New Roman"/>
                <w:b/>
                <w:bCs/>
              </w:rPr>
              <w:t>External factors (Agrodes)</w:t>
            </w:r>
          </w:p>
        </w:tc>
        <w:tc>
          <w:tcPr>
            <w:tcW w:w="0" w:type="auto"/>
          </w:tcPr>
          <w:p w14:paraId="24BE9699">
            <w:pPr>
              <w:spacing w:after="160" w:line="278" w:lineRule="auto"/>
              <w:jc w:val="both"/>
              <w:rPr>
                <w:rFonts w:ascii="Times New Roman" w:hAnsi="Times New Roman" w:cs="Times New Roman"/>
                <w:b/>
                <w:bCs/>
              </w:rPr>
            </w:pPr>
            <w:r>
              <w:rPr>
                <w:rFonts w:ascii="Times New Roman" w:hAnsi="Times New Roman" w:cs="Times New Roman"/>
                <w:b/>
                <w:bCs/>
              </w:rPr>
              <w:t>Weight</w:t>
            </w:r>
          </w:p>
        </w:tc>
        <w:tc>
          <w:tcPr>
            <w:tcW w:w="0" w:type="auto"/>
          </w:tcPr>
          <w:p w14:paraId="3EA43A68">
            <w:pPr>
              <w:spacing w:after="160" w:line="278" w:lineRule="auto"/>
              <w:jc w:val="both"/>
              <w:rPr>
                <w:rFonts w:ascii="Times New Roman" w:hAnsi="Times New Roman" w:cs="Times New Roman"/>
                <w:b/>
                <w:bCs/>
              </w:rPr>
            </w:pPr>
            <w:r>
              <w:rPr>
                <w:rFonts w:ascii="Times New Roman" w:hAnsi="Times New Roman" w:cs="Times New Roman"/>
                <w:b/>
                <w:bCs/>
              </w:rPr>
              <w:t>Rating</w:t>
            </w:r>
          </w:p>
        </w:tc>
        <w:tc>
          <w:tcPr>
            <w:tcW w:w="0" w:type="auto"/>
          </w:tcPr>
          <w:p w14:paraId="3D6184EB">
            <w:pPr>
              <w:spacing w:after="160" w:line="278" w:lineRule="auto"/>
              <w:jc w:val="both"/>
              <w:rPr>
                <w:rFonts w:ascii="Times New Roman" w:hAnsi="Times New Roman" w:cs="Times New Roman"/>
                <w:b/>
                <w:bCs/>
              </w:rPr>
            </w:pPr>
            <w:r>
              <w:rPr>
                <w:rFonts w:ascii="Times New Roman" w:hAnsi="Times New Roman" w:cs="Times New Roman"/>
                <w:b/>
                <w:bCs/>
              </w:rPr>
              <w:t>Score</w:t>
            </w:r>
          </w:p>
        </w:tc>
      </w:tr>
      <w:tr w14:paraId="2721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D0E8E7">
            <w:pPr>
              <w:spacing w:after="160" w:line="278" w:lineRule="auto"/>
              <w:jc w:val="both"/>
              <w:rPr>
                <w:rFonts w:ascii="Times New Roman" w:hAnsi="Times New Roman" w:cs="Times New Roman"/>
              </w:rPr>
            </w:pPr>
            <w:r>
              <w:rPr>
                <w:rFonts w:ascii="Times New Roman" w:hAnsi="Times New Roman" w:cs="Times New Roman"/>
              </w:rPr>
              <w:t>1</w:t>
            </w:r>
          </w:p>
        </w:tc>
        <w:tc>
          <w:tcPr>
            <w:tcW w:w="0" w:type="auto"/>
          </w:tcPr>
          <w:p w14:paraId="1183C4A1">
            <w:pPr>
              <w:spacing w:after="160" w:line="278" w:lineRule="auto"/>
              <w:jc w:val="both"/>
              <w:rPr>
                <w:rFonts w:ascii="Times New Roman" w:hAnsi="Times New Roman" w:cs="Times New Roman"/>
              </w:rPr>
            </w:pPr>
            <w:r>
              <w:rPr>
                <w:rFonts w:ascii="Times New Roman" w:hAnsi="Times New Roman" w:cs="Times New Roman"/>
              </w:rPr>
              <w:t>Government programmes on food security and sustainable agriculture</w:t>
            </w:r>
          </w:p>
        </w:tc>
        <w:tc>
          <w:tcPr>
            <w:tcW w:w="0" w:type="auto"/>
          </w:tcPr>
          <w:p w14:paraId="071B1EBF">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36773917">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16D5E792">
            <w:pPr>
              <w:spacing w:after="160" w:line="278" w:lineRule="auto"/>
              <w:jc w:val="both"/>
              <w:rPr>
                <w:rFonts w:ascii="Times New Roman" w:hAnsi="Times New Roman" w:cs="Times New Roman"/>
              </w:rPr>
            </w:pPr>
            <w:r>
              <w:rPr>
                <w:rFonts w:ascii="Times New Roman" w:hAnsi="Times New Roman" w:cs="Times New Roman"/>
              </w:rPr>
              <w:t>0.80</w:t>
            </w:r>
          </w:p>
        </w:tc>
      </w:tr>
      <w:tr w14:paraId="17EB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F9F086">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658D2C3B">
            <w:pPr>
              <w:spacing w:after="160" w:line="278" w:lineRule="auto"/>
              <w:jc w:val="both"/>
              <w:rPr>
                <w:rFonts w:ascii="Times New Roman" w:hAnsi="Times New Roman" w:cs="Times New Roman"/>
              </w:rPr>
            </w:pPr>
            <w:r>
              <w:rPr>
                <w:rFonts w:ascii="Times New Roman" w:hAnsi="Times New Roman" w:cs="Times New Roman"/>
              </w:rPr>
              <w:t>Market demand for local food and horticultural commodities</w:t>
            </w:r>
          </w:p>
        </w:tc>
        <w:tc>
          <w:tcPr>
            <w:tcW w:w="0" w:type="auto"/>
          </w:tcPr>
          <w:p w14:paraId="73E6AE52">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73BA664A">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50F3114E">
            <w:pPr>
              <w:spacing w:after="160" w:line="278" w:lineRule="auto"/>
              <w:jc w:val="both"/>
              <w:rPr>
                <w:rFonts w:ascii="Times New Roman" w:hAnsi="Times New Roman" w:cs="Times New Roman"/>
              </w:rPr>
            </w:pPr>
            <w:r>
              <w:rPr>
                <w:rFonts w:ascii="Times New Roman" w:hAnsi="Times New Roman" w:cs="Times New Roman"/>
              </w:rPr>
              <w:t>0.45</w:t>
            </w:r>
          </w:p>
        </w:tc>
      </w:tr>
      <w:tr w14:paraId="2BFB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7ED95E2">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009BD965">
            <w:pPr>
              <w:spacing w:after="160" w:line="278" w:lineRule="auto"/>
              <w:jc w:val="both"/>
              <w:rPr>
                <w:rFonts w:ascii="Times New Roman" w:hAnsi="Times New Roman" w:cs="Times New Roman"/>
              </w:rPr>
            </w:pPr>
            <w:r>
              <w:rPr>
                <w:rFonts w:ascii="Times New Roman" w:hAnsi="Times New Roman" w:cs="Times New Roman"/>
              </w:rPr>
              <w:t>Partnership opportunities with off-takers, cooperatives, and agribusiness actors</w:t>
            </w:r>
          </w:p>
        </w:tc>
        <w:tc>
          <w:tcPr>
            <w:tcW w:w="0" w:type="auto"/>
          </w:tcPr>
          <w:p w14:paraId="75EFA672">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05D14A72">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4921AD23">
            <w:pPr>
              <w:spacing w:after="160" w:line="278" w:lineRule="auto"/>
              <w:jc w:val="both"/>
              <w:rPr>
                <w:rFonts w:ascii="Times New Roman" w:hAnsi="Times New Roman" w:cs="Times New Roman"/>
              </w:rPr>
            </w:pPr>
            <w:r>
              <w:rPr>
                <w:rFonts w:ascii="Times New Roman" w:hAnsi="Times New Roman" w:cs="Times New Roman"/>
              </w:rPr>
              <w:t>0.45</w:t>
            </w:r>
          </w:p>
        </w:tc>
      </w:tr>
      <w:tr w14:paraId="7424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CCA769B">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7E351822">
            <w:pPr>
              <w:spacing w:after="160" w:line="278" w:lineRule="auto"/>
              <w:jc w:val="both"/>
              <w:rPr>
                <w:rFonts w:ascii="Times New Roman" w:hAnsi="Times New Roman" w:cs="Times New Roman"/>
              </w:rPr>
            </w:pPr>
            <w:r>
              <w:rPr>
                <w:rFonts w:ascii="Times New Roman" w:hAnsi="Times New Roman" w:cs="Times New Roman"/>
              </w:rPr>
              <w:t>Commodity price fluctuations and dependence on middlemen</w:t>
            </w:r>
          </w:p>
        </w:tc>
        <w:tc>
          <w:tcPr>
            <w:tcW w:w="0" w:type="auto"/>
          </w:tcPr>
          <w:p w14:paraId="55EBCC0F">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52003117">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6C6830CB">
            <w:pPr>
              <w:spacing w:after="160" w:line="278" w:lineRule="auto"/>
              <w:jc w:val="both"/>
              <w:rPr>
                <w:rFonts w:ascii="Times New Roman" w:hAnsi="Times New Roman" w:cs="Times New Roman"/>
              </w:rPr>
            </w:pPr>
            <w:r>
              <w:rPr>
                <w:rFonts w:ascii="Times New Roman" w:hAnsi="Times New Roman" w:cs="Times New Roman"/>
              </w:rPr>
              <w:t>0.40</w:t>
            </w:r>
          </w:p>
        </w:tc>
      </w:tr>
      <w:tr w14:paraId="2491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1C8AC4">
            <w:pPr>
              <w:spacing w:after="160" w:line="278" w:lineRule="auto"/>
              <w:jc w:val="both"/>
              <w:rPr>
                <w:rFonts w:ascii="Times New Roman" w:hAnsi="Times New Roman" w:cs="Times New Roman"/>
              </w:rPr>
            </w:pPr>
            <w:r>
              <w:rPr>
                <w:rFonts w:ascii="Times New Roman" w:hAnsi="Times New Roman" w:cs="Times New Roman"/>
              </w:rPr>
              <w:t>5</w:t>
            </w:r>
          </w:p>
        </w:tc>
        <w:tc>
          <w:tcPr>
            <w:tcW w:w="0" w:type="auto"/>
          </w:tcPr>
          <w:p w14:paraId="73045964">
            <w:pPr>
              <w:spacing w:after="160" w:line="278" w:lineRule="auto"/>
              <w:jc w:val="both"/>
              <w:rPr>
                <w:rFonts w:ascii="Times New Roman" w:hAnsi="Times New Roman" w:cs="Times New Roman"/>
              </w:rPr>
            </w:pPr>
            <w:r>
              <w:rPr>
                <w:rFonts w:ascii="Times New Roman" w:hAnsi="Times New Roman" w:cs="Times New Roman"/>
              </w:rPr>
              <w:t>Risks related to climate change, pests, and production uncertainty</w:t>
            </w:r>
          </w:p>
        </w:tc>
        <w:tc>
          <w:tcPr>
            <w:tcW w:w="0" w:type="auto"/>
          </w:tcPr>
          <w:p w14:paraId="08E64984">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059F0DEB">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41E5B65B">
            <w:pPr>
              <w:spacing w:after="160" w:line="278" w:lineRule="auto"/>
              <w:jc w:val="both"/>
              <w:rPr>
                <w:rFonts w:ascii="Times New Roman" w:hAnsi="Times New Roman" w:cs="Times New Roman"/>
              </w:rPr>
            </w:pPr>
            <w:r>
              <w:rPr>
                <w:rFonts w:ascii="Times New Roman" w:hAnsi="Times New Roman" w:cs="Times New Roman"/>
              </w:rPr>
              <w:t>0.30</w:t>
            </w:r>
          </w:p>
        </w:tc>
      </w:tr>
      <w:tr w14:paraId="2A8C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F0923E">
            <w:pPr>
              <w:spacing w:after="160" w:line="278" w:lineRule="auto"/>
              <w:jc w:val="both"/>
              <w:rPr>
                <w:rFonts w:ascii="Times New Roman" w:hAnsi="Times New Roman" w:cs="Times New Roman"/>
              </w:rPr>
            </w:pPr>
            <w:r>
              <w:rPr>
                <w:rFonts w:ascii="Times New Roman" w:hAnsi="Times New Roman" w:cs="Times New Roman"/>
              </w:rPr>
              <w:t>6</w:t>
            </w:r>
          </w:p>
        </w:tc>
        <w:tc>
          <w:tcPr>
            <w:tcW w:w="0" w:type="auto"/>
          </w:tcPr>
          <w:p w14:paraId="6E2758EB">
            <w:pPr>
              <w:spacing w:after="160" w:line="278" w:lineRule="auto"/>
              <w:jc w:val="both"/>
              <w:rPr>
                <w:rFonts w:ascii="Times New Roman" w:hAnsi="Times New Roman" w:cs="Times New Roman"/>
              </w:rPr>
            </w:pPr>
            <w:r>
              <w:rPr>
                <w:rFonts w:ascii="Times New Roman" w:hAnsi="Times New Roman" w:cs="Times New Roman"/>
              </w:rPr>
              <w:t>Limited irrigation and supporting infrastructure</w:t>
            </w:r>
          </w:p>
        </w:tc>
        <w:tc>
          <w:tcPr>
            <w:tcW w:w="0" w:type="auto"/>
          </w:tcPr>
          <w:p w14:paraId="768B2E12">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54736EBC">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6B6C086C">
            <w:pPr>
              <w:spacing w:after="160" w:line="278" w:lineRule="auto"/>
              <w:jc w:val="both"/>
              <w:rPr>
                <w:rFonts w:ascii="Times New Roman" w:hAnsi="Times New Roman" w:cs="Times New Roman"/>
              </w:rPr>
            </w:pPr>
            <w:r>
              <w:rPr>
                <w:rFonts w:ascii="Times New Roman" w:hAnsi="Times New Roman" w:cs="Times New Roman"/>
              </w:rPr>
              <w:t>0.30</w:t>
            </w:r>
          </w:p>
        </w:tc>
      </w:tr>
      <w:tr w14:paraId="4FF1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FC3192">
            <w:pPr>
              <w:spacing w:after="160" w:line="278" w:lineRule="auto"/>
              <w:jc w:val="both"/>
              <w:rPr>
                <w:rFonts w:ascii="Times New Roman" w:hAnsi="Times New Roman" w:cs="Times New Roman"/>
              </w:rPr>
            </w:pPr>
            <w:r>
              <w:rPr>
                <w:rFonts w:ascii="Times New Roman" w:hAnsi="Times New Roman" w:cs="Times New Roman"/>
                <w:b/>
                <w:bCs/>
              </w:rPr>
              <w:t>Total</w:t>
            </w:r>
          </w:p>
        </w:tc>
        <w:tc>
          <w:tcPr>
            <w:tcW w:w="0" w:type="auto"/>
          </w:tcPr>
          <w:p w14:paraId="5E06A147">
            <w:pPr>
              <w:spacing w:after="160" w:line="278" w:lineRule="auto"/>
              <w:jc w:val="both"/>
              <w:rPr>
                <w:rFonts w:ascii="Times New Roman" w:hAnsi="Times New Roman" w:cs="Times New Roman"/>
              </w:rPr>
            </w:pPr>
          </w:p>
        </w:tc>
        <w:tc>
          <w:tcPr>
            <w:tcW w:w="0" w:type="auto"/>
          </w:tcPr>
          <w:p w14:paraId="3F660892">
            <w:pPr>
              <w:spacing w:after="160" w:line="278" w:lineRule="auto"/>
              <w:jc w:val="both"/>
              <w:rPr>
                <w:rFonts w:ascii="Times New Roman" w:hAnsi="Times New Roman" w:cs="Times New Roman"/>
              </w:rPr>
            </w:pPr>
            <w:r>
              <w:rPr>
                <w:rFonts w:ascii="Times New Roman" w:hAnsi="Times New Roman" w:cs="Times New Roman"/>
                <w:b/>
                <w:bCs/>
              </w:rPr>
              <w:t>1.00</w:t>
            </w:r>
          </w:p>
        </w:tc>
        <w:tc>
          <w:tcPr>
            <w:tcW w:w="0" w:type="auto"/>
          </w:tcPr>
          <w:p w14:paraId="48639278">
            <w:pPr>
              <w:spacing w:after="160" w:line="278" w:lineRule="auto"/>
              <w:jc w:val="both"/>
              <w:rPr>
                <w:rFonts w:ascii="Times New Roman" w:hAnsi="Times New Roman" w:cs="Times New Roman"/>
              </w:rPr>
            </w:pPr>
          </w:p>
        </w:tc>
        <w:tc>
          <w:tcPr>
            <w:tcW w:w="0" w:type="auto"/>
          </w:tcPr>
          <w:p w14:paraId="2EF6DFBC">
            <w:pPr>
              <w:spacing w:after="160" w:line="278" w:lineRule="auto"/>
              <w:jc w:val="both"/>
              <w:rPr>
                <w:rFonts w:ascii="Times New Roman" w:hAnsi="Times New Roman" w:cs="Times New Roman"/>
              </w:rPr>
            </w:pPr>
            <w:r>
              <w:rPr>
                <w:rFonts w:ascii="Times New Roman" w:hAnsi="Times New Roman" w:cs="Times New Roman"/>
                <w:b/>
                <w:bCs/>
              </w:rPr>
              <w:t>2.70</w:t>
            </w:r>
          </w:p>
        </w:tc>
      </w:tr>
    </w:tbl>
    <w:p w14:paraId="10899598">
      <w:pPr>
        <w:jc w:val="both"/>
        <w:rPr>
          <w:rFonts w:ascii="Times New Roman" w:hAnsi="Times New Roman" w:cs="Times New Roman"/>
        </w:rPr>
      </w:pPr>
      <w:r>
        <w:rPr>
          <w:rFonts w:ascii="Times New Roman" w:hAnsi="Times New Roman" w:cs="Times New Roman"/>
        </w:rPr>
        <w:t>The external environment for Agrodes is relatively favourable due to supportive policies, steady demand for food, and partnership opportunities. However, threats related to price volatility, production risks, and infrastructure gaps remain significant. The EFAS score—slightly above the moderate range—suggests that Agrodes occupies a promising strategic position, provided internal weaknesses can be addressed through technical and financial support.</w:t>
      </w:r>
    </w:p>
    <w:p w14:paraId="093C9195">
      <w:pPr>
        <w:jc w:val="both"/>
        <w:rPr>
          <w:rFonts w:ascii="Times New Roman" w:hAnsi="Times New Roman" w:cs="Times New Roman"/>
        </w:rPr>
      </w:pPr>
      <w:r>
        <w:rPr>
          <w:rFonts w:ascii="Times New Roman" w:hAnsi="Times New Roman" w:cs="Times New Roman"/>
          <w:b/>
          <w:bCs/>
        </w:rPr>
        <w:t>Integrated Agriculture Unit (Agrodes)</w:t>
      </w:r>
    </w:p>
    <w:p w14:paraId="73A9BECB">
      <w:pPr>
        <w:jc w:val="both"/>
        <w:rPr>
          <w:rFonts w:ascii="Times New Roman" w:hAnsi="Times New Roman" w:cs="Times New Roman"/>
        </w:rPr>
      </w:pPr>
      <w:r>
        <w:rPr>
          <w:rFonts w:ascii="Times New Roman" w:hAnsi="Times New Roman" w:cs="Times New Roman"/>
        </w:rPr>
        <w:t>The IFAS–EFAS analysis positions Agrodes as a business unit with strong potential to serve as the backbone of the BUMDes. Its alignment with residents’ economic activities facilitates the mobilisation of participation in the form of labour, local knowledge, and land use. Appropriate development strategies include strengthening cultivation and post-harvest capacity, building equitable marketing partnerships, and integrating Agrodes with Sekip Mart as a distribution channel. By reducing dependence on middlemen and improving farmers’ bargaining power, Agrodes can directly contribute to poverty reduction, income enhancement, and village economic self-reliance.</w:t>
      </w:r>
    </w:p>
    <w:p w14:paraId="52095E64">
      <w:pPr>
        <w:jc w:val="both"/>
        <w:rPr>
          <w:rFonts w:ascii="Times New Roman" w:hAnsi="Times New Roman" w:cs="Times New Roman"/>
        </w:rPr>
      </w:pPr>
    </w:p>
    <w:p w14:paraId="4C770ADA">
      <w:pPr>
        <w:jc w:val="both"/>
        <w:rPr>
          <w:rFonts w:ascii="Times New Roman" w:hAnsi="Times New Roman" w:cs="Times New Roman"/>
          <w:b/>
          <w:bCs/>
        </w:rPr>
      </w:pPr>
      <w:r>
        <w:rPr>
          <w:rFonts w:ascii="Times New Roman" w:hAnsi="Times New Roman" w:cs="Times New Roman"/>
          <w:b/>
          <w:bCs/>
        </w:rPr>
        <w:t>3.3.3 IFAS and EFAS of the Trade and Service Unit (Sekip Mart)</w:t>
      </w:r>
    </w:p>
    <w:p w14:paraId="0DE835F3">
      <w:pPr>
        <w:jc w:val="both"/>
        <w:rPr>
          <w:rFonts w:ascii="Times New Roman" w:hAnsi="Times New Roman" w:cs="Times New Roman"/>
        </w:rPr>
      </w:pPr>
      <w:r>
        <w:rPr>
          <w:rFonts w:ascii="Times New Roman" w:hAnsi="Times New Roman" w:cs="Times New Roman"/>
          <w:b/>
          <w:bCs/>
        </w:rPr>
        <w:t>TABLE 5.  IFAS – Sekip Mart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857"/>
        <w:gridCol w:w="950"/>
        <w:gridCol w:w="910"/>
        <w:gridCol w:w="785"/>
      </w:tblGrid>
      <w:tr w14:paraId="4804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6A5C35">
            <w:pPr>
              <w:spacing w:after="160" w:line="278" w:lineRule="auto"/>
              <w:jc w:val="both"/>
              <w:rPr>
                <w:rFonts w:ascii="Times New Roman" w:hAnsi="Times New Roman" w:cs="Times New Roman"/>
                <w:b/>
                <w:bCs/>
              </w:rPr>
            </w:pPr>
            <w:r>
              <w:rPr>
                <w:rFonts w:ascii="Times New Roman" w:hAnsi="Times New Roman" w:cs="Times New Roman"/>
                <w:b/>
                <w:bCs/>
              </w:rPr>
              <w:t>No</w:t>
            </w:r>
          </w:p>
        </w:tc>
        <w:tc>
          <w:tcPr>
            <w:tcW w:w="0" w:type="auto"/>
          </w:tcPr>
          <w:p w14:paraId="2B60282F">
            <w:pPr>
              <w:spacing w:after="160" w:line="278" w:lineRule="auto"/>
              <w:jc w:val="both"/>
              <w:rPr>
                <w:rFonts w:ascii="Times New Roman" w:hAnsi="Times New Roman" w:cs="Times New Roman"/>
                <w:b/>
                <w:bCs/>
              </w:rPr>
            </w:pPr>
            <w:r>
              <w:rPr>
                <w:rFonts w:ascii="Times New Roman" w:hAnsi="Times New Roman" w:cs="Times New Roman"/>
                <w:b/>
                <w:bCs/>
              </w:rPr>
              <w:t>Internal factors (Sekip Mart)</w:t>
            </w:r>
          </w:p>
        </w:tc>
        <w:tc>
          <w:tcPr>
            <w:tcW w:w="0" w:type="auto"/>
          </w:tcPr>
          <w:p w14:paraId="22F25F21">
            <w:pPr>
              <w:spacing w:after="160" w:line="278" w:lineRule="auto"/>
              <w:jc w:val="both"/>
              <w:rPr>
                <w:rFonts w:ascii="Times New Roman" w:hAnsi="Times New Roman" w:cs="Times New Roman"/>
                <w:b/>
                <w:bCs/>
              </w:rPr>
            </w:pPr>
            <w:r>
              <w:rPr>
                <w:rFonts w:ascii="Times New Roman" w:hAnsi="Times New Roman" w:cs="Times New Roman"/>
                <w:b/>
                <w:bCs/>
              </w:rPr>
              <w:t>Weight</w:t>
            </w:r>
          </w:p>
        </w:tc>
        <w:tc>
          <w:tcPr>
            <w:tcW w:w="0" w:type="auto"/>
          </w:tcPr>
          <w:p w14:paraId="4738367A">
            <w:pPr>
              <w:spacing w:after="160" w:line="278" w:lineRule="auto"/>
              <w:jc w:val="both"/>
              <w:rPr>
                <w:rFonts w:ascii="Times New Roman" w:hAnsi="Times New Roman" w:cs="Times New Roman"/>
                <w:b/>
                <w:bCs/>
              </w:rPr>
            </w:pPr>
            <w:r>
              <w:rPr>
                <w:rFonts w:ascii="Times New Roman" w:hAnsi="Times New Roman" w:cs="Times New Roman"/>
                <w:b/>
                <w:bCs/>
              </w:rPr>
              <w:t>Rating</w:t>
            </w:r>
          </w:p>
        </w:tc>
        <w:tc>
          <w:tcPr>
            <w:tcW w:w="0" w:type="auto"/>
          </w:tcPr>
          <w:p w14:paraId="528EB6B8">
            <w:pPr>
              <w:spacing w:after="160" w:line="278" w:lineRule="auto"/>
              <w:jc w:val="both"/>
              <w:rPr>
                <w:rFonts w:ascii="Times New Roman" w:hAnsi="Times New Roman" w:cs="Times New Roman"/>
                <w:b/>
                <w:bCs/>
              </w:rPr>
            </w:pPr>
            <w:r>
              <w:rPr>
                <w:rFonts w:ascii="Times New Roman" w:hAnsi="Times New Roman" w:cs="Times New Roman"/>
                <w:b/>
                <w:bCs/>
              </w:rPr>
              <w:t>Score</w:t>
            </w:r>
          </w:p>
        </w:tc>
      </w:tr>
      <w:tr w14:paraId="6754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0B693D7">
            <w:pPr>
              <w:spacing w:after="160" w:line="278" w:lineRule="auto"/>
              <w:jc w:val="both"/>
              <w:rPr>
                <w:rFonts w:ascii="Times New Roman" w:hAnsi="Times New Roman" w:cs="Times New Roman"/>
              </w:rPr>
            </w:pPr>
            <w:r>
              <w:rPr>
                <w:rFonts w:ascii="Times New Roman" w:hAnsi="Times New Roman" w:cs="Times New Roman"/>
              </w:rPr>
              <w:t>1</w:t>
            </w:r>
          </w:p>
        </w:tc>
        <w:tc>
          <w:tcPr>
            <w:tcW w:w="0" w:type="auto"/>
          </w:tcPr>
          <w:p w14:paraId="27528ADB">
            <w:pPr>
              <w:spacing w:after="160" w:line="278" w:lineRule="auto"/>
              <w:jc w:val="both"/>
              <w:rPr>
                <w:rFonts w:ascii="Times New Roman" w:hAnsi="Times New Roman" w:cs="Times New Roman"/>
              </w:rPr>
            </w:pPr>
            <w:r>
              <w:rPr>
                <w:rFonts w:ascii="Times New Roman" w:hAnsi="Times New Roman" w:cs="Times New Roman"/>
              </w:rPr>
              <w:t>Strategic location near residential areas and public facilities</w:t>
            </w:r>
          </w:p>
        </w:tc>
        <w:tc>
          <w:tcPr>
            <w:tcW w:w="0" w:type="auto"/>
          </w:tcPr>
          <w:p w14:paraId="24A5AED4">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0330C87F">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01885C93">
            <w:pPr>
              <w:spacing w:after="160" w:line="278" w:lineRule="auto"/>
              <w:jc w:val="both"/>
              <w:rPr>
                <w:rFonts w:ascii="Times New Roman" w:hAnsi="Times New Roman" w:cs="Times New Roman"/>
              </w:rPr>
            </w:pPr>
            <w:r>
              <w:rPr>
                <w:rFonts w:ascii="Times New Roman" w:hAnsi="Times New Roman" w:cs="Times New Roman"/>
              </w:rPr>
              <w:t>0.80</w:t>
            </w:r>
          </w:p>
        </w:tc>
      </w:tr>
      <w:tr w14:paraId="6B59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BDE16C">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2F7DA16F">
            <w:pPr>
              <w:spacing w:after="160" w:line="278" w:lineRule="auto"/>
              <w:jc w:val="both"/>
              <w:rPr>
                <w:rFonts w:ascii="Times New Roman" w:hAnsi="Times New Roman" w:cs="Times New Roman"/>
              </w:rPr>
            </w:pPr>
            <w:r>
              <w:rPr>
                <w:rFonts w:ascii="Times New Roman" w:hAnsi="Times New Roman" w:cs="Times New Roman"/>
              </w:rPr>
              <w:t>Regular demand for basic needs and daily goods</w:t>
            </w:r>
          </w:p>
        </w:tc>
        <w:tc>
          <w:tcPr>
            <w:tcW w:w="0" w:type="auto"/>
          </w:tcPr>
          <w:p w14:paraId="01A6F7D2">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7D7DD441">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5F44BED1">
            <w:pPr>
              <w:spacing w:after="160" w:line="278" w:lineRule="auto"/>
              <w:jc w:val="both"/>
              <w:rPr>
                <w:rFonts w:ascii="Times New Roman" w:hAnsi="Times New Roman" w:cs="Times New Roman"/>
              </w:rPr>
            </w:pPr>
            <w:r>
              <w:rPr>
                <w:rFonts w:ascii="Times New Roman" w:hAnsi="Times New Roman" w:cs="Times New Roman"/>
              </w:rPr>
              <w:t>0.45</w:t>
            </w:r>
          </w:p>
        </w:tc>
      </w:tr>
      <w:tr w14:paraId="0F00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94074C">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35E8E1A0">
            <w:pPr>
              <w:spacing w:after="160" w:line="278" w:lineRule="auto"/>
              <w:jc w:val="both"/>
              <w:rPr>
                <w:rFonts w:ascii="Times New Roman" w:hAnsi="Times New Roman" w:cs="Times New Roman"/>
              </w:rPr>
            </w:pPr>
            <w:r>
              <w:rPr>
                <w:rFonts w:ascii="Times New Roman" w:hAnsi="Times New Roman" w:cs="Times New Roman"/>
              </w:rPr>
              <w:t>Potential as an outlet for local products and Agrodes output</w:t>
            </w:r>
          </w:p>
        </w:tc>
        <w:tc>
          <w:tcPr>
            <w:tcW w:w="0" w:type="auto"/>
          </w:tcPr>
          <w:p w14:paraId="422489FF">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0ECED16F">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2F4541FA">
            <w:pPr>
              <w:spacing w:after="160" w:line="278" w:lineRule="auto"/>
              <w:jc w:val="both"/>
              <w:rPr>
                <w:rFonts w:ascii="Times New Roman" w:hAnsi="Times New Roman" w:cs="Times New Roman"/>
              </w:rPr>
            </w:pPr>
            <w:r>
              <w:rPr>
                <w:rFonts w:ascii="Times New Roman" w:hAnsi="Times New Roman" w:cs="Times New Roman"/>
              </w:rPr>
              <w:t>0.45</w:t>
            </w:r>
          </w:p>
        </w:tc>
      </w:tr>
      <w:tr w14:paraId="1C0F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073CC09">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65673F5F">
            <w:pPr>
              <w:spacing w:after="160" w:line="278" w:lineRule="auto"/>
              <w:jc w:val="both"/>
              <w:rPr>
                <w:rFonts w:ascii="Times New Roman" w:hAnsi="Times New Roman" w:cs="Times New Roman"/>
              </w:rPr>
            </w:pPr>
            <w:r>
              <w:rPr>
                <w:rFonts w:ascii="Times New Roman" w:hAnsi="Times New Roman" w:cs="Times New Roman"/>
              </w:rPr>
              <w:t>Limited working capital to maintain complete and stable stock</w:t>
            </w:r>
          </w:p>
        </w:tc>
        <w:tc>
          <w:tcPr>
            <w:tcW w:w="0" w:type="auto"/>
          </w:tcPr>
          <w:p w14:paraId="44F71201">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557A78D1">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5679DC91">
            <w:pPr>
              <w:spacing w:after="160" w:line="278" w:lineRule="auto"/>
              <w:jc w:val="both"/>
              <w:rPr>
                <w:rFonts w:ascii="Times New Roman" w:hAnsi="Times New Roman" w:cs="Times New Roman"/>
              </w:rPr>
            </w:pPr>
            <w:r>
              <w:rPr>
                <w:rFonts w:ascii="Times New Roman" w:hAnsi="Times New Roman" w:cs="Times New Roman"/>
              </w:rPr>
              <w:t>0.40</w:t>
            </w:r>
          </w:p>
        </w:tc>
      </w:tr>
      <w:tr w14:paraId="3528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3DDF94">
            <w:pPr>
              <w:spacing w:after="160" w:line="278" w:lineRule="auto"/>
              <w:jc w:val="both"/>
              <w:rPr>
                <w:rFonts w:ascii="Times New Roman" w:hAnsi="Times New Roman" w:cs="Times New Roman"/>
              </w:rPr>
            </w:pPr>
            <w:r>
              <w:rPr>
                <w:rFonts w:ascii="Times New Roman" w:hAnsi="Times New Roman" w:cs="Times New Roman"/>
              </w:rPr>
              <w:t>5</w:t>
            </w:r>
          </w:p>
        </w:tc>
        <w:tc>
          <w:tcPr>
            <w:tcW w:w="0" w:type="auto"/>
          </w:tcPr>
          <w:p w14:paraId="75B6E18A">
            <w:pPr>
              <w:spacing w:after="160" w:line="278" w:lineRule="auto"/>
              <w:jc w:val="both"/>
              <w:rPr>
                <w:rFonts w:ascii="Times New Roman" w:hAnsi="Times New Roman" w:cs="Times New Roman"/>
              </w:rPr>
            </w:pPr>
            <w:r>
              <w:rPr>
                <w:rFonts w:ascii="Times New Roman" w:hAnsi="Times New Roman" w:cs="Times New Roman"/>
              </w:rPr>
              <w:t>Underdeveloped inventory management and financial recording</w:t>
            </w:r>
          </w:p>
        </w:tc>
        <w:tc>
          <w:tcPr>
            <w:tcW w:w="0" w:type="auto"/>
          </w:tcPr>
          <w:p w14:paraId="03F774DB">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474AA3A4">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15749941">
            <w:pPr>
              <w:spacing w:after="160" w:line="278" w:lineRule="auto"/>
              <w:jc w:val="both"/>
              <w:rPr>
                <w:rFonts w:ascii="Times New Roman" w:hAnsi="Times New Roman" w:cs="Times New Roman"/>
              </w:rPr>
            </w:pPr>
            <w:r>
              <w:rPr>
                <w:rFonts w:ascii="Times New Roman" w:hAnsi="Times New Roman" w:cs="Times New Roman"/>
              </w:rPr>
              <w:t>0.30</w:t>
            </w:r>
          </w:p>
        </w:tc>
      </w:tr>
      <w:tr w14:paraId="202B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A6022D">
            <w:pPr>
              <w:spacing w:after="160" w:line="278" w:lineRule="auto"/>
              <w:jc w:val="both"/>
              <w:rPr>
                <w:rFonts w:ascii="Times New Roman" w:hAnsi="Times New Roman" w:cs="Times New Roman"/>
              </w:rPr>
            </w:pPr>
            <w:r>
              <w:rPr>
                <w:rFonts w:ascii="Times New Roman" w:hAnsi="Times New Roman" w:cs="Times New Roman"/>
              </w:rPr>
              <w:t>6</w:t>
            </w:r>
          </w:p>
        </w:tc>
        <w:tc>
          <w:tcPr>
            <w:tcW w:w="0" w:type="auto"/>
          </w:tcPr>
          <w:p w14:paraId="7EAE5B79">
            <w:pPr>
              <w:spacing w:after="160" w:line="278" w:lineRule="auto"/>
              <w:jc w:val="both"/>
              <w:rPr>
                <w:rFonts w:ascii="Times New Roman" w:hAnsi="Times New Roman" w:cs="Times New Roman"/>
              </w:rPr>
            </w:pPr>
            <w:r>
              <w:rPr>
                <w:rFonts w:ascii="Times New Roman" w:hAnsi="Times New Roman" w:cs="Times New Roman"/>
              </w:rPr>
              <w:t>Limited human resource capacity in service and marketing</w:t>
            </w:r>
          </w:p>
        </w:tc>
        <w:tc>
          <w:tcPr>
            <w:tcW w:w="0" w:type="auto"/>
          </w:tcPr>
          <w:p w14:paraId="01F83D14">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2B4BCF28">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1656EF6D">
            <w:pPr>
              <w:spacing w:after="160" w:line="278" w:lineRule="auto"/>
              <w:jc w:val="both"/>
              <w:rPr>
                <w:rFonts w:ascii="Times New Roman" w:hAnsi="Times New Roman" w:cs="Times New Roman"/>
              </w:rPr>
            </w:pPr>
            <w:r>
              <w:rPr>
                <w:rFonts w:ascii="Times New Roman" w:hAnsi="Times New Roman" w:cs="Times New Roman"/>
              </w:rPr>
              <w:t>0.30</w:t>
            </w:r>
          </w:p>
        </w:tc>
      </w:tr>
      <w:tr w14:paraId="2E21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4CCC8B">
            <w:pPr>
              <w:spacing w:after="160" w:line="278" w:lineRule="auto"/>
              <w:jc w:val="both"/>
              <w:rPr>
                <w:rFonts w:ascii="Times New Roman" w:hAnsi="Times New Roman" w:cs="Times New Roman"/>
              </w:rPr>
            </w:pPr>
            <w:r>
              <w:rPr>
                <w:rFonts w:ascii="Times New Roman" w:hAnsi="Times New Roman" w:cs="Times New Roman"/>
                <w:b/>
                <w:bCs/>
              </w:rPr>
              <w:t>Total</w:t>
            </w:r>
          </w:p>
        </w:tc>
        <w:tc>
          <w:tcPr>
            <w:tcW w:w="0" w:type="auto"/>
          </w:tcPr>
          <w:p w14:paraId="0A4FCD43">
            <w:pPr>
              <w:spacing w:after="160" w:line="278" w:lineRule="auto"/>
              <w:jc w:val="both"/>
              <w:rPr>
                <w:rFonts w:ascii="Times New Roman" w:hAnsi="Times New Roman" w:cs="Times New Roman"/>
              </w:rPr>
            </w:pPr>
          </w:p>
        </w:tc>
        <w:tc>
          <w:tcPr>
            <w:tcW w:w="0" w:type="auto"/>
          </w:tcPr>
          <w:p w14:paraId="328231DF">
            <w:pPr>
              <w:spacing w:after="160" w:line="278" w:lineRule="auto"/>
              <w:jc w:val="both"/>
              <w:rPr>
                <w:rFonts w:ascii="Times New Roman" w:hAnsi="Times New Roman" w:cs="Times New Roman"/>
              </w:rPr>
            </w:pPr>
            <w:r>
              <w:rPr>
                <w:rFonts w:ascii="Times New Roman" w:hAnsi="Times New Roman" w:cs="Times New Roman"/>
                <w:b/>
                <w:bCs/>
              </w:rPr>
              <w:t>1.00</w:t>
            </w:r>
          </w:p>
        </w:tc>
        <w:tc>
          <w:tcPr>
            <w:tcW w:w="0" w:type="auto"/>
          </w:tcPr>
          <w:p w14:paraId="47C00A22">
            <w:pPr>
              <w:spacing w:after="160" w:line="278" w:lineRule="auto"/>
              <w:jc w:val="both"/>
              <w:rPr>
                <w:rFonts w:ascii="Times New Roman" w:hAnsi="Times New Roman" w:cs="Times New Roman"/>
              </w:rPr>
            </w:pPr>
          </w:p>
        </w:tc>
        <w:tc>
          <w:tcPr>
            <w:tcW w:w="0" w:type="auto"/>
          </w:tcPr>
          <w:p w14:paraId="2D519730">
            <w:pPr>
              <w:spacing w:after="160" w:line="278" w:lineRule="auto"/>
              <w:jc w:val="both"/>
              <w:rPr>
                <w:rFonts w:ascii="Times New Roman" w:hAnsi="Times New Roman" w:cs="Times New Roman"/>
              </w:rPr>
            </w:pPr>
            <w:r>
              <w:rPr>
                <w:rFonts w:ascii="Times New Roman" w:hAnsi="Times New Roman" w:cs="Times New Roman"/>
                <w:b/>
                <w:bCs/>
              </w:rPr>
              <w:t>2.70</w:t>
            </w:r>
          </w:p>
        </w:tc>
      </w:tr>
    </w:tbl>
    <w:p w14:paraId="65D99FF9">
      <w:pPr>
        <w:jc w:val="both"/>
        <w:rPr>
          <w:rFonts w:ascii="Times New Roman" w:hAnsi="Times New Roman" w:cs="Times New Roman"/>
        </w:rPr>
      </w:pPr>
      <w:r>
        <w:rPr>
          <w:rFonts w:ascii="Times New Roman" w:hAnsi="Times New Roman" w:cs="Times New Roman"/>
        </w:rPr>
        <w:t>Internally, Sekip Mart benefits from its strategic location and relatively stable demand. Nevertheless, capital constraints and weak management mean that product availability and service quality are not yet optimal. The IFAS score indicates a reasonably strong internal position, but one that still requires improved governance and capital strengthening to become a more competitive business unit.</w:t>
      </w:r>
    </w:p>
    <w:p w14:paraId="68DAF0AA">
      <w:pPr>
        <w:jc w:val="both"/>
        <w:rPr>
          <w:rFonts w:ascii="Times New Roman" w:hAnsi="Times New Roman" w:cs="Times New Roman"/>
        </w:rPr>
      </w:pPr>
      <w:r>
        <w:rPr>
          <w:rFonts w:ascii="Times New Roman" w:hAnsi="Times New Roman" w:cs="Times New Roman"/>
          <w:b/>
          <w:bCs/>
        </w:rPr>
        <w:t>TABLE 6. EFAS – Sekip Mart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857"/>
        <w:gridCol w:w="950"/>
        <w:gridCol w:w="910"/>
        <w:gridCol w:w="785"/>
      </w:tblGrid>
      <w:tr w14:paraId="452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24FA876">
            <w:pPr>
              <w:spacing w:after="160" w:line="278" w:lineRule="auto"/>
              <w:jc w:val="both"/>
              <w:rPr>
                <w:rFonts w:ascii="Times New Roman" w:hAnsi="Times New Roman" w:cs="Times New Roman"/>
                <w:b/>
                <w:bCs/>
              </w:rPr>
            </w:pPr>
            <w:r>
              <w:rPr>
                <w:rFonts w:ascii="Times New Roman" w:hAnsi="Times New Roman" w:cs="Times New Roman"/>
                <w:b/>
                <w:bCs/>
              </w:rPr>
              <w:t>No</w:t>
            </w:r>
          </w:p>
        </w:tc>
        <w:tc>
          <w:tcPr>
            <w:tcW w:w="0" w:type="auto"/>
          </w:tcPr>
          <w:p w14:paraId="34FE96A0">
            <w:pPr>
              <w:spacing w:after="160" w:line="278" w:lineRule="auto"/>
              <w:jc w:val="both"/>
              <w:rPr>
                <w:rFonts w:ascii="Times New Roman" w:hAnsi="Times New Roman" w:cs="Times New Roman"/>
                <w:b/>
                <w:bCs/>
              </w:rPr>
            </w:pPr>
            <w:r>
              <w:rPr>
                <w:rFonts w:ascii="Times New Roman" w:hAnsi="Times New Roman" w:cs="Times New Roman"/>
                <w:b/>
                <w:bCs/>
              </w:rPr>
              <w:t>External factors (Sekip Mart)</w:t>
            </w:r>
          </w:p>
        </w:tc>
        <w:tc>
          <w:tcPr>
            <w:tcW w:w="0" w:type="auto"/>
          </w:tcPr>
          <w:p w14:paraId="25E55736">
            <w:pPr>
              <w:spacing w:after="160" w:line="278" w:lineRule="auto"/>
              <w:jc w:val="both"/>
              <w:rPr>
                <w:rFonts w:ascii="Times New Roman" w:hAnsi="Times New Roman" w:cs="Times New Roman"/>
                <w:b/>
                <w:bCs/>
              </w:rPr>
            </w:pPr>
            <w:r>
              <w:rPr>
                <w:rFonts w:ascii="Times New Roman" w:hAnsi="Times New Roman" w:cs="Times New Roman"/>
                <w:b/>
                <w:bCs/>
              </w:rPr>
              <w:t>Weight</w:t>
            </w:r>
          </w:p>
        </w:tc>
        <w:tc>
          <w:tcPr>
            <w:tcW w:w="0" w:type="auto"/>
          </w:tcPr>
          <w:p w14:paraId="6A4F7959">
            <w:pPr>
              <w:spacing w:after="160" w:line="278" w:lineRule="auto"/>
              <w:jc w:val="both"/>
              <w:rPr>
                <w:rFonts w:ascii="Times New Roman" w:hAnsi="Times New Roman" w:cs="Times New Roman"/>
                <w:b/>
                <w:bCs/>
              </w:rPr>
            </w:pPr>
            <w:r>
              <w:rPr>
                <w:rFonts w:ascii="Times New Roman" w:hAnsi="Times New Roman" w:cs="Times New Roman"/>
                <w:b/>
                <w:bCs/>
              </w:rPr>
              <w:t>Rating</w:t>
            </w:r>
          </w:p>
        </w:tc>
        <w:tc>
          <w:tcPr>
            <w:tcW w:w="0" w:type="auto"/>
          </w:tcPr>
          <w:p w14:paraId="05EF3728">
            <w:pPr>
              <w:spacing w:after="160" w:line="278" w:lineRule="auto"/>
              <w:jc w:val="both"/>
              <w:rPr>
                <w:rFonts w:ascii="Times New Roman" w:hAnsi="Times New Roman" w:cs="Times New Roman"/>
                <w:b/>
                <w:bCs/>
              </w:rPr>
            </w:pPr>
            <w:r>
              <w:rPr>
                <w:rFonts w:ascii="Times New Roman" w:hAnsi="Times New Roman" w:cs="Times New Roman"/>
                <w:b/>
                <w:bCs/>
              </w:rPr>
              <w:t>Score</w:t>
            </w:r>
          </w:p>
        </w:tc>
      </w:tr>
      <w:tr w14:paraId="23B8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6E17E2F">
            <w:pPr>
              <w:spacing w:after="160" w:line="278" w:lineRule="auto"/>
              <w:jc w:val="both"/>
              <w:rPr>
                <w:rFonts w:ascii="Times New Roman" w:hAnsi="Times New Roman" w:cs="Times New Roman"/>
              </w:rPr>
            </w:pPr>
            <w:r>
              <w:rPr>
                <w:rFonts w:ascii="Times New Roman" w:hAnsi="Times New Roman" w:cs="Times New Roman"/>
              </w:rPr>
              <w:t>1</w:t>
            </w:r>
          </w:p>
        </w:tc>
        <w:tc>
          <w:tcPr>
            <w:tcW w:w="0" w:type="auto"/>
          </w:tcPr>
          <w:p w14:paraId="13B28620">
            <w:pPr>
              <w:spacing w:after="160" w:line="278" w:lineRule="auto"/>
              <w:jc w:val="both"/>
              <w:rPr>
                <w:rFonts w:ascii="Times New Roman" w:hAnsi="Times New Roman" w:cs="Times New Roman"/>
              </w:rPr>
            </w:pPr>
            <w:r>
              <w:rPr>
                <w:rFonts w:ascii="Times New Roman" w:hAnsi="Times New Roman" w:cs="Times New Roman"/>
              </w:rPr>
              <w:t>Growth in household consumption and local spending patterns</w:t>
            </w:r>
          </w:p>
        </w:tc>
        <w:tc>
          <w:tcPr>
            <w:tcW w:w="0" w:type="auto"/>
          </w:tcPr>
          <w:p w14:paraId="42D0442E">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4AD46849">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51B18E9D">
            <w:pPr>
              <w:spacing w:after="160" w:line="278" w:lineRule="auto"/>
              <w:jc w:val="both"/>
              <w:rPr>
                <w:rFonts w:ascii="Times New Roman" w:hAnsi="Times New Roman" w:cs="Times New Roman"/>
              </w:rPr>
            </w:pPr>
            <w:r>
              <w:rPr>
                <w:rFonts w:ascii="Times New Roman" w:hAnsi="Times New Roman" w:cs="Times New Roman"/>
              </w:rPr>
              <w:t>0.60</w:t>
            </w:r>
          </w:p>
        </w:tc>
      </w:tr>
      <w:tr w14:paraId="08E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831B494">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75E94D41">
            <w:pPr>
              <w:spacing w:after="160" w:line="278" w:lineRule="auto"/>
              <w:jc w:val="both"/>
              <w:rPr>
                <w:rFonts w:ascii="Times New Roman" w:hAnsi="Times New Roman" w:cs="Times New Roman"/>
              </w:rPr>
            </w:pPr>
            <w:r>
              <w:rPr>
                <w:rFonts w:ascii="Times New Roman" w:hAnsi="Times New Roman" w:cs="Times New Roman"/>
              </w:rPr>
              <w:t>Opportunities for collaboration with wholesalers and local producers</w:t>
            </w:r>
          </w:p>
        </w:tc>
        <w:tc>
          <w:tcPr>
            <w:tcW w:w="0" w:type="auto"/>
          </w:tcPr>
          <w:p w14:paraId="1245BF5C">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18CAF2EF">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3CD66B61">
            <w:pPr>
              <w:spacing w:after="160" w:line="278" w:lineRule="auto"/>
              <w:jc w:val="both"/>
              <w:rPr>
                <w:rFonts w:ascii="Times New Roman" w:hAnsi="Times New Roman" w:cs="Times New Roman"/>
              </w:rPr>
            </w:pPr>
            <w:r>
              <w:rPr>
                <w:rFonts w:ascii="Times New Roman" w:hAnsi="Times New Roman" w:cs="Times New Roman"/>
              </w:rPr>
              <w:t>0.45</w:t>
            </w:r>
          </w:p>
        </w:tc>
      </w:tr>
      <w:tr w14:paraId="0FAD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958DE98">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11605333">
            <w:pPr>
              <w:spacing w:after="160" w:line="278" w:lineRule="auto"/>
              <w:jc w:val="both"/>
              <w:rPr>
                <w:rFonts w:ascii="Times New Roman" w:hAnsi="Times New Roman" w:cs="Times New Roman"/>
              </w:rPr>
            </w:pPr>
            <w:r>
              <w:rPr>
                <w:rFonts w:ascii="Times New Roman" w:hAnsi="Times New Roman" w:cs="Times New Roman"/>
              </w:rPr>
              <w:t>Potential integration with social assistance and village procurement programmes</w:t>
            </w:r>
          </w:p>
        </w:tc>
        <w:tc>
          <w:tcPr>
            <w:tcW w:w="0" w:type="auto"/>
          </w:tcPr>
          <w:p w14:paraId="3764872C">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26A26CF1">
            <w:pPr>
              <w:spacing w:after="160" w:line="278" w:lineRule="auto"/>
              <w:jc w:val="both"/>
              <w:rPr>
                <w:rFonts w:ascii="Times New Roman" w:hAnsi="Times New Roman" w:cs="Times New Roman"/>
              </w:rPr>
            </w:pPr>
            <w:r>
              <w:rPr>
                <w:rFonts w:ascii="Times New Roman" w:hAnsi="Times New Roman" w:cs="Times New Roman"/>
              </w:rPr>
              <w:t>3</w:t>
            </w:r>
          </w:p>
        </w:tc>
        <w:tc>
          <w:tcPr>
            <w:tcW w:w="0" w:type="auto"/>
          </w:tcPr>
          <w:p w14:paraId="403A17BE">
            <w:pPr>
              <w:spacing w:after="160" w:line="278" w:lineRule="auto"/>
              <w:jc w:val="both"/>
              <w:rPr>
                <w:rFonts w:ascii="Times New Roman" w:hAnsi="Times New Roman" w:cs="Times New Roman"/>
              </w:rPr>
            </w:pPr>
            <w:r>
              <w:rPr>
                <w:rFonts w:ascii="Times New Roman" w:hAnsi="Times New Roman" w:cs="Times New Roman"/>
              </w:rPr>
              <w:t>0.45</w:t>
            </w:r>
          </w:p>
        </w:tc>
      </w:tr>
      <w:tr w14:paraId="18FC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39518BD">
            <w:pPr>
              <w:spacing w:after="160" w:line="278" w:lineRule="auto"/>
              <w:jc w:val="both"/>
              <w:rPr>
                <w:rFonts w:ascii="Times New Roman" w:hAnsi="Times New Roman" w:cs="Times New Roman"/>
              </w:rPr>
            </w:pPr>
            <w:r>
              <w:rPr>
                <w:rFonts w:ascii="Times New Roman" w:hAnsi="Times New Roman" w:cs="Times New Roman"/>
              </w:rPr>
              <w:t>4</w:t>
            </w:r>
          </w:p>
        </w:tc>
        <w:tc>
          <w:tcPr>
            <w:tcW w:w="0" w:type="auto"/>
          </w:tcPr>
          <w:p w14:paraId="59E2C1BB">
            <w:pPr>
              <w:spacing w:after="160" w:line="278" w:lineRule="auto"/>
              <w:jc w:val="both"/>
              <w:rPr>
                <w:rFonts w:ascii="Times New Roman" w:hAnsi="Times New Roman" w:cs="Times New Roman"/>
              </w:rPr>
            </w:pPr>
            <w:r>
              <w:rPr>
                <w:rFonts w:ascii="Times New Roman" w:hAnsi="Times New Roman" w:cs="Times New Roman"/>
              </w:rPr>
              <w:t>Competition from small shops, kiosks, and private minimarkets</w:t>
            </w:r>
          </w:p>
        </w:tc>
        <w:tc>
          <w:tcPr>
            <w:tcW w:w="0" w:type="auto"/>
          </w:tcPr>
          <w:p w14:paraId="6B2F102D">
            <w:pPr>
              <w:spacing w:after="160" w:line="278" w:lineRule="auto"/>
              <w:jc w:val="both"/>
              <w:rPr>
                <w:rFonts w:ascii="Times New Roman" w:hAnsi="Times New Roman" w:cs="Times New Roman"/>
              </w:rPr>
            </w:pPr>
            <w:r>
              <w:rPr>
                <w:rFonts w:ascii="Times New Roman" w:hAnsi="Times New Roman" w:cs="Times New Roman"/>
              </w:rPr>
              <w:t>0.20</w:t>
            </w:r>
          </w:p>
        </w:tc>
        <w:tc>
          <w:tcPr>
            <w:tcW w:w="0" w:type="auto"/>
          </w:tcPr>
          <w:p w14:paraId="078C881C">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354E5418">
            <w:pPr>
              <w:spacing w:after="160" w:line="278" w:lineRule="auto"/>
              <w:jc w:val="both"/>
              <w:rPr>
                <w:rFonts w:ascii="Times New Roman" w:hAnsi="Times New Roman" w:cs="Times New Roman"/>
              </w:rPr>
            </w:pPr>
            <w:r>
              <w:rPr>
                <w:rFonts w:ascii="Times New Roman" w:hAnsi="Times New Roman" w:cs="Times New Roman"/>
              </w:rPr>
              <w:t>0.40</w:t>
            </w:r>
          </w:p>
        </w:tc>
      </w:tr>
      <w:tr w14:paraId="71E0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824A4CF">
            <w:pPr>
              <w:spacing w:after="160" w:line="278" w:lineRule="auto"/>
              <w:jc w:val="both"/>
              <w:rPr>
                <w:rFonts w:ascii="Times New Roman" w:hAnsi="Times New Roman" w:cs="Times New Roman"/>
              </w:rPr>
            </w:pPr>
            <w:r>
              <w:rPr>
                <w:rFonts w:ascii="Times New Roman" w:hAnsi="Times New Roman" w:cs="Times New Roman"/>
              </w:rPr>
              <w:t>5</w:t>
            </w:r>
          </w:p>
        </w:tc>
        <w:tc>
          <w:tcPr>
            <w:tcW w:w="0" w:type="auto"/>
          </w:tcPr>
          <w:p w14:paraId="70D36147">
            <w:pPr>
              <w:spacing w:after="160" w:line="278" w:lineRule="auto"/>
              <w:jc w:val="both"/>
              <w:rPr>
                <w:rFonts w:ascii="Times New Roman" w:hAnsi="Times New Roman" w:cs="Times New Roman"/>
              </w:rPr>
            </w:pPr>
            <w:r>
              <w:rPr>
                <w:rFonts w:ascii="Times New Roman" w:hAnsi="Times New Roman" w:cs="Times New Roman"/>
              </w:rPr>
              <w:t>Changing consumer preferences regarding price and service quality</w:t>
            </w:r>
          </w:p>
        </w:tc>
        <w:tc>
          <w:tcPr>
            <w:tcW w:w="0" w:type="auto"/>
          </w:tcPr>
          <w:p w14:paraId="7847D6F4">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770E39B6">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77C8EAAF">
            <w:pPr>
              <w:spacing w:after="160" w:line="278" w:lineRule="auto"/>
              <w:jc w:val="both"/>
              <w:rPr>
                <w:rFonts w:ascii="Times New Roman" w:hAnsi="Times New Roman" w:cs="Times New Roman"/>
              </w:rPr>
            </w:pPr>
            <w:r>
              <w:rPr>
                <w:rFonts w:ascii="Times New Roman" w:hAnsi="Times New Roman" w:cs="Times New Roman"/>
              </w:rPr>
              <w:t>0.30</w:t>
            </w:r>
          </w:p>
        </w:tc>
      </w:tr>
      <w:tr w14:paraId="307E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4E767A">
            <w:pPr>
              <w:spacing w:after="160" w:line="278" w:lineRule="auto"/>
              <w:jc w:val="both"/>
              <w:rPr>
                <w:rFonts w:ascii="Times New Roman" w:hAnsi="Times New Roman" w:cs="Times New Roman"/>
              </w:rPr>
            </w:pPr>
            <w:r>
              <w:rPr>
                <w:rFonts w:ascii="Times New Roman" w:hAnsi="Times New Roman" w:cs="Times New Roman"/>
              </w:rPr>
              <w:t>6</w:t>
            </w:r>
          </w:p>
        </w:tc>
        <w:tc>
          <w:tcPr>
            <w:tcW w:w="0" w:type="auto"/>
          </w:tcPr>
          <w:p w14:paraId="4023F106">
            <w:pPr>
              <w:spacing w:after="160" w:line="278" w:lineRule="auto"/>
              <w:jc w:val="both"/>
              <w:rPr>
                <w:rFonts w:ascii="Times New Roman" w:hAnsi="Times New Roman" w:cs="Times New Roman"/>
              </w:rPr>
            </w:pPr>
            <w:r>
              <w:rPr>
                <w:rFonts w:ascii="Times New Roman" w:hAnsi="Times New Roman" w:cs="Times New Roman"/>
              </w:rPr>
              <w:t>Uncertain purchasing power due to economic fluctuations</w:t>
            </w:r>
          </w:p>
        </w:tc>
        <w:tc>
          <w:tcPr>
            <w:tcW w:w="0" w:type="auto"/>
          </w:tcPr>
          <w:p w14:paraId="3DE250B1">
            <w:pPr>
              <w:spacing w:after="160" w:line="278" w:lineRule="auto"/>
              <w:jc w:val="both"/>
              <w:rPr>
                <w:rFonts w:ascii="Times New Roman" w:hAnsi="Times New Roman" w:cs="Times New Roman"/>
              </w:rPr>
            </w:pPr>
            <w:r>
              <w:rPr>
                <w:rFonts w:ascii="Times New Roman" w:hAnsi="Times New Roman" w:cs="Times New Roman"/>
              </w:rPr>
              <w:t>0.15</w:t>
            </w:r>
          </w:p>
        </w:tc>
        <w:tc>
          <w:tcPr>
            <w:tcW w:w="0" w:type="auto"/>
          </w:tcPr>
          <w:p w14:paraId="2E3E6427">
            <w:pPr>
              <w:spacing w:after="160" w:line="278" w:lineRule="auto"/>
              <w:jc w:val="both"/>
              <w:rPr>
                <w:rFonts w:ascii="Times New Roman" w:hAnsi="Times New Roman" w:cs="Times New Roman"/>
              </w:rPr>
            </w:pPr>
            <w:r>
              <w:rPr>
                <w:rFonts w:ascii="Times New Roman" w:hAnsi="Times New Roman" w:cs="Times New Roman"/>
              </w:rPr>
              <w:t>2</w:t>
            </w:r>
          </w:p>
        </w:tc>
        <w:tc>
          <w:tcPr>
            <w:tcW w:w="0" w:type="auto"/>
          </w:tcPr>
          <w:p w14:paraId="2A94FB72">
            <w:pPr>
              <w:spacing w:after="160" w:line="278" w:lineRule="auto"/>
              <w:jc w:val="both"/>
              <w:rPr>
                <w:rFonts w:ascii="Times New Roman" w:hAnsi="Times New Roman" w:cs="Times New Roman"/>
              </w:rPr>
            </w:pPr>
            <w:r>
              <w:rPr>
                <w:rFonts w:ascii="Times New Roman" w:hAnsi="Times New Roman" w:cs="Times New Roman"/>
              </w:rPr>
              <w:t>0.30</w:t>
            </w:r>
          </w:p>
        </w:tc>
      </w:tr>
      <w:tr w14:paraId="5062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FB6BDD">
            <w:pPr>
              <w:spacing w:after="160" w:line="278" w:lineRule="auto"/>
              <w:jc w:val="both"/>
              <w:rPr>
                <w:rFonts w:ascii="Times New Roman" w:hAnsi="Times New Roman" w:cs="Times New Roman"/>
              </w:rPr>
            </w:pPr>
            <w:r>
              <w:rPr>
                <w:rFonts w:ascii="Times New Roman" w:hAnsi="Times New Roman" w:cs="Times New Roman"/>
                <w:b/>
                <w:bCs/>
              </w:rPr>
              <w:t>Total</w:t>
            </w:r>
          </w:p>
        </w:tc>
        <w:tc>
          <w:tcPr>
            <w:tcW w:w="0" w:type="auto"/>
          </w:tcPr>
          <w:p w14:paraId="5265BD0C">
            <w:pPr>
              <w:spacing w:after="160" w:line="278" w:lineRule="auto"/>
              <w:jc w:val="both"/>
              <w:rPr>
                <w:rFonts w:ascii="Times New Roman" w:hAnsi="Times New Roman" w:cs="Times New Roman"/>
              </w:rPr>
            </w:pPr>
          </w:p>
        </w:tc>
        <w:tc>
          <w:tcPr>
            <w:tcW w:w="0" w:type="auto"/>
          </w:tcPr>
          <w:p w14:paraId="2412654E">
            <w:pPr>
              <w:spacing w:after="160" w:line="278" w:lineRule="auto"/>
              <w:jc w:val="both"/>
              <w:rPr>
                <w:rFonts w:ascii="Times New Roman" w:hAnsi="Times New Roman" w:cs="Times New Roman"/>
              </w:rPr>
            </w:pPr>
            <w:r>
              <w:rPr>
                <w:rFonts w:ascii="Times New Roman" w:hAnsi="Times New Roman" w:cs="Times New Roman"/>
                <w:b/>
                <w:bCs/>
              </w:rPr>
              <w:t>1.00</w:t>
            </w:r>
          </w:p>
        </w:tc>
        <w:tc>
          <w:tcPr>
            <w:tcW w:w="0" w:type="auto"/>
          </w:tcPr>
          <w:p w14:paraId="70C5230C">
            <w:pPr>
              <w:spacing w:after="160" w:line="278" w:lineRule="auto"/>
              <w:jc w:val="both"/>
              <w:rPr>
                <w:rFonts w:ascii="Times New Roman" w:hAnsi="Times New Roman" w:cs="Times New Roman"/>
              </w:rPr>
            </w:pPr>
          </w:p>
        </w:tc>
        <w:tc>
          <w:tcPr>
            <w:tcW w:w="0" w:type="auto"/>
          </w:tcPr>
          <w:p w14:paraId="55DE68A9">
            <w:pPr>
              <w:spacing w:after="160" w:line="278" w:lineRule="auto"/>
              <w:jc w:val="both"/>
              <w:rPr>
                <w:rFonts w:ascii="Times New Roman" w:hAnsi="Times New Roman" w:cs="Times New Roman"/>
              </w:rPr>
            </w:pPr>
            <w:r>
              <w:rPr>
                <w:rFonts w:ascii="Times New Roman" w:hAnsi="Times New Roman" w:cs="Times New Roman"/>
                <w:b/>
                <w:bCs/>
              </w:rPr>
              <w:t>2.50</w:t>
            </w:r>
          </w:p>
        </w:tc>
      </w:tr>
    </w:tbl>
    <w:p w14:paraId="5C5CAA30">
      <w:pPr>
        <w:jc w:val="both"/>
        <w:rPr>
          <w:rFonts w:ascii="Times New Roman" w:hAnsi="Times New Roman" w:cs="Times New Roman"/>
        </w:rPr>
      </w:pPr>
      <w:r>
        <w:rPr>
          <w:rFonts w:ascii="Times New Roman" w:hAnsi="Times New Roman" w:cs="Times New Roman"/>
        </w:rPr>
        <w:t>Sekip Mart’s external environment offers various opportunities for synergy with logistics actors and village programmes, yet competition with other retail outlets is intense. The EFAS score shows that its ability to exploit opportunities is still moderate, making partnership strategies, service differentiation, and use of its status as an official “village store” particularly important.</w:t>
      </w:r>
    </w:p>
    <w:p w14:paraId="69F9D49E">
      <w:pPr>
        <w:jc w:val="both"/>
        <w:rPr>
          <w:rFonts w:ascii="Times New Roman" w:hAnsi="Times New Roman" w:cs="Times New Roman"/>
        </w:rPr>
      </w:pPr>
      <w:commentRangeStart w:id="17"/>
      <w:r>
        <w:rPr>
          <w:rFonts w:ascii="Times New Roman" w:hAnsi="Times New Roman" w:cs="Times New Roman"/>
          <w:b/>
          <w:bCs/>
        </w:rPr>
        <w:t xml:space="preserve">Discussion – </w:t>
      </w:r>
      <w:commentRangeEnd w:id="17"/>
      <w:r>
        <w:commentReference w:id="17"/>
      </w:r>
      <w:r>
        <w:rPr>
          <w:rFonts w:ascii="Times New Roman" w:hAnsi="Times New Roman" w:cs="Times New Roman"/>
          <w:b/>
          <w:bCs/>
        </w:rPr>
        <w:t>Trade and Service Unit (Sekip Mart)</w:t>
      </w:r>
    </w:p>
    <w:p w14:paraId="305EA1CB">
      <w:pPr>
        <w:jc w:val="both"/>
        <w:rPr>
          <w:rFonts w:ascii="Times New Roman" w:hAnsi="Times New Roman" w:cs="Times New Roman"/>
        </w:rPr>
      </w:pPr>
      <w:r>
        <w:rPr>
          <w:rFonts w:ascii="Times New Roman" w:hAnsi="Times New Roman" w:cs="Times New Roman"/>
        </w:rPr>
        <w:t>The IFAS–EFAS results reveal that Sekip Mart holds strategic potential as a distribution hub linking local production with residents’ consumption needs. This position is particularly important in supporting Agrodes as a supplier of agricultural products, as well as other village enterprises. To improve competitiveness, Sekip Mart needs to build a reputation as a transparent and trustworthy village store that prioritises quality local products at competitive prices. Strengthening record-keeping systems, stock management, and customer service will help increase public trust and stimulate participation in the form of loyal patronage.</w:t>
      </w:r>
    </w:p>
    <w:p w14:paraId="3971ADE8">
      <w:pPr>
        <w:jc w:val="both"/>
        <w:rPr>
          <w:rFonts w:ascii="Times New Roman" w:hAnsi="Times New Roman" w:cs="Times New Roman"/>
        </w:rPr>
      </w:pPr>
    </w:p>
    <w:p w14:paraId="592969DB">
      <w:pPr>
        <w:jc w:val="both"/>
        <w:rPr>
          <w:rFonts w:ascii="Times New Roman" w:hAnsi="Times New Roman" w:cs="Times New Roman"/>
          <w:b/>
          <w:bCs/>
        </w:rPr>
      </w:pPr>
      <w:r>
        <w:rPr>
          <w:rFonts w:ascii="Times New Roman" w:hAnsi="Times New Roman" w:cs="Times New Roman"/>
          <w:b/>
          <w:bCs/>
        </w:rPr>
        <w:t>3.3.4 SWOT Matrix and Development Strategies for BUMDes Al Barokah Sekip</w:t>
      </w:r>
    </w:p>
    <w:p w14:paraId="24CEE8D4">
      <w:pPr>
        <w:jc w:val="both"/>
        <w:rPr>
          <w:rFonts w:ascii="Times New Roman" w:hAnsi="Times New Roman" w:cs="Times New Roman"/>
        </w:rPr>
      </w:pPr>
      <w:r>
        <w:rPr>
          <w:rFonts w:ascii="Times New Roman" w:hAnsi="Times New Roman" w:cs="Times New Roman"/>
        </w:rPr>
        <w:t>Based on the IFAS and EFAS analyses of the three business units, BUMDes Al Barokah Sekip appears to have strong potential in the agricultural and local trade sectors, but it also faces institutional and human resource capacity constraints, as well as market uncertainty and fragile public trust. The SWOT matrix below summarises the strategic directions for BUMDes development.</w:t>
      </w:r>
    </w:p>
    <w:p w14:paraId="30C6C091">
      <w:pPr>
        <w:jc w:val="both"/>
        <w:rPr>
          <w:rFonts w:ascii="Times New Roman" w:hAnsi="Times New Roman" w:cs="Times New Roman"/>
        </w:rPr>
      </w:pPr>
      <w:r>
        <w:rPr>
          <w:rFonts w:ascii="Times New Roman" w:hAnsi="Times New Roman" w:cs="Times New Roman"/>
          <w:b/>
          <w:bCs/>
        </w:rPr>
        <w:t>SWOT Matrix – BUMDes Al Barokah Sekip</w:t>
      </w:r>
    </w:p>
    <w:p w14:paraId="53D65351">
      <w:pPr>
        <w:numPr>
          <w:ilvl w:val="0"/>
          <w:numId w:val="1"/>
        </w:numPr>
        <w:jc w:val="both"/>
        <w:rPr>
          <w:rFonts w:ascii="Times New Roman" w:hAnsi="Times New Roman" w:cs="Times New Roman"/>
        </w:rPr>
      </w:pPr>
      <w:r>
        <w:rPr>
          <w:rFonts w:ascii="Times New Roman" w:hAnsi="Times New Roman" w:cs="Times New Roman"/>
          <w:b/>
          <w:bCs/>
        </w:rPr>
        <w:t>Strengths (S)</w:t>
      </w:r>
    </w:p>
    <w:p w14:paraId="60471FB1">
      <w:pPr>
        <w:numPr>
          <w:ilvl w:val="1"/>
          <w:numId w:val="1"/>
        </w:numPr>
        <w:jc w:val="both"/>
        <w:rPr>
          <w:rFonts w:ascii="Times New Roman" w:hAnsi="Times New Roman" w:cs="Times New Roman"/>
        </w:rPr>
      </w:pPr>
      <w:r>
        <w:rPr>
          <w:rFonts w:ascii="Times New Roman" w:hAnsi="Times New Roman" w:cs="Times New Roman"/>
        </w:rPr>
        <w:t>Strong agricultural and small-trade base.</w:t>
      </w:r>
    </w:p>
    <w:p w14:paraId="2397BE44">
      <w:pPr>
        <w:numPr>
          <w:ilvl w:val="1"/>
          <w:numId w:val="1"/>
        </w:numPr>
        <w:jc w:val="both"/>
        <w:rPr>
          <w:rFonts w:ascii="Times New Roman" w:hAnsi="Times New Roman" w:cs="Times New Roman"/>
        </w:rPr>
      </w:pPr>
      <w:r>
        <w:rPr>
          <w:rFonts w:ascii="Times New Roman" w:hAnsi="Times New Roman" w:cs="Times New Roman"/>
        </w:rPr>
        <w:t>Strategic location of Sekip Mart and existing farmer group networks.</w:t>
      </w:r>
    </w:p>
    <w:p w14:paraId="0F6AFEF0">
      <w:pPr>
        <w:numPr>
          <w:ilvl w:val="1"/>
          <w:numId w:val="1"/>
        </w:numPr>
        <w:jc w:val="both"/>
        <w:rPr>
          <w:rFonts w:ascii="Times New Roman" w:hAnsi="Times New Roman" w:cs="Times New Roman"/>
        </w:rPr>
      </w:pPr>
      <w:r>
        <w:rPr>
          <w:rFonts w:ascii="Times New Roman" w:hAnsi="Times New Roman" w:cs="Times New Roman"/>
        </w:rPr>
        <w:t>Institutional recognition and legal support from village government.</w:t>
      </w:r>
    </w:p>
    <w:p w14:paraId="16C2F490">
      <w:pPr>
        <w:numPr>
          <w:ilvl w:val="0"/>
          <w:numId w:val="1"/>
        </w:numPr>
        <w:jc w:val="both"/>
        <w:rPr>
          <w:rFonts w:ascii="Times New Roman" w:hAnsi="Times New Roman" w:cs="Times New Roman"/>
        </w:rPr>
      </w:pPr>
      <w:r>
        <w:rPr>
          <w:rFonts w:ascii="Times New Roman" w:hAnsi="Times New Roman" w:cs="Times New Roman"/>
          <w:b/>
          <w:bCs/>
        </w:rPr>
        <w:t>Weaknesses (W)</w:t>
      </w:r>
    </w:p>
    <w:p w14:paraId="502CF4B4">
      <w:pPr>
        <w:numPr>
          <w:ilvl w:val="1"/>
          <w:numId w:val="1"/>
        </w:numPr>
        <w:jc w:val="both"/>
        <w:rPr>
          <w:rFonts w:ascii="Times New Roman" w:hAnsi="Times New Roman" w:cs="Times New Roman"/>
        </w:rPr>
      </w:pPr>
      <w:r>
        <w:rPr>
          <w:rFonts w:ascii="Times New Roman" w:hAnsi="Times New Roman" w:cs="Times New Roman"/>
        </w:rPr>
        <w:t>Limited managerial capacity and financial literacy.</w:t>
      </w:r>
    </w:p>
    <w:p w14:paraId="67B486AA">
      <w:pPr>
        <w:numPr>
          <w:ilvl w:val="1"/>
          <w:numId w:val="1"/>
        </w:numPr>
        <w:jc w:val="both"/>
        <w:rPr>
          <w:rFonts w:ascii="Times New Roman" w:hAnsi="Times New Roman" w:cs="Times New Roman"/>
        </w:rPr>
      </w:pPr>
      <w:r>
        <w:rPr>
          <w:rFonts w:ascii="Times New Roman" w:hAnsi="Times New Roman" w:cs="Times New Roman"/>
        </w:rPr>
        <w:t>Weak governance systems (SOPs, reporting, and transparency).</w:t>
      </w:r>
    </w:p>
    <w:p w14:paraId="139F0978">
      <w:pPr>
        <w:numPr>
          <w:ilvl w:val="1"/>
          <w:numId w:val="1"/>
        </w:numPr>
        <w:jc w:val="both"/>
        <w:rPr>
          <w:rFonts w:ascii="Times New Roman" w:hAnsi="Times New Roman" w:cs="Times New Roman"/>
        </w:rPr>
      </w:pPr>
      <w:r>
        <w:rPr>
          <w:rFonts w:ascii="Times New Roman" w:hAnsi="Times New Roman" w:cs="Times New Roman"/>
        </w:rPr>
        <w:t>Restricted working capital and incomplete integration of business units.</w:t>
      </w:r>
    </w:p>
    <w:p w14:paraId="573AEEAC">
      <w:pPr>
        <w:numPr>
          <w:ilvl w:val="0"/>
          <w:numId w:val="1"/>
        </w:numPr>
        <w:jc w:val="both"/>
        <w:rPr>
          <w:rFonts w:ascii="Times New Roman" w:hAnsi="Times New Roman" w:cs="Times New Roman"/>
        </w:rPr>
      </w:pPr>
      <w:r>
        <w:rPr>
          <w:rFonts w:ascii="Times New Roman" w:hAnsi="Times New Roman" w:cs="Times New Roman"/>
          <w:b/>
          <w:bCs/>
        </w:rPr>
        <w:t>Opportunities (O)</w:t>
      </w:r>
    </w:p>
    <w:p w14:paraId="0AE33187">
      <w:pPr>
        <w:numPr>
          <w:ilvl w:val="1"/>
          <w:numId w:val="1"/>
        </w:numPr>
        <w:jc w:val="both"/>
        <w:rPr>
          <w:rFonts w:ascii="Times New Roman" w:hAnsi="Times New Roman" w:cs="Times New Roman"/>
        </w:rPr>
      </w:pPr>
      <w:r>
        <w:rPr>
          <w:rFonts w:ascii="Times New Roman" w:hAnsi="Times New Roman" w:cs="Times New Roman"/>
        </w:rPr>
        <w:t>Government programmes in food security, sustainable agriculture, and financial inclusion.</w:t>
      </w:r>
    </w:p>
    <w:p w14:paraId="48EFB0E1">
      <w:pPr>
        <w:numPr>
          <w:ilvl w:val="1"/>
          <w:numId w:val="1"/>
        </w:numPr>
        <w:jc w:val="both"/>
        <w:rPr>
          <w:rFonts w:ascii="Times New Roman" w:hAnsi="Times New Roman" w:cs="Times New Roman"/>
        </w:rPr>
      </w:pPr>
      <w:r>
        <w:rPr>
          <w:rFonts w:ascii="Times New Roman" w:hAnsi="Times New Roman" w:cs="Times New Roman"/>
        </w:rPr>
        <w:t>Growing demand for local food commodities and household goods.</w:t>
      </w:r>
    </w:p>
    <w:p w14:paraId="2E61815B">
      <w:pPr>
        <w:numPr>
          <w:ilvl w:val="1"/>
          <w:numId w:val="1"/>
        </w:numPr>
        <w:jc w:val="both"/>
        <w:rPr>
          <w:rFonts w:ascii="Times New Roman" w:hAnsi="Times New Roman" w:cs="Times New Roman"/>
        </w:rPr>
      </w:pPr>
      <w:r>
        <w:rPr>
          <w:rFonts w:ascii="Times New Roman" w:hAnsi="Times New Roman" w:cs="Times New Roman"/>
        </w:rPr>
        <w:t>Partnership opportunities with agribusiness, wholesalers, and social protection schemes.</w:t>
      </w:r>
    </w:p>
    <w:p w14:paraId="6DAC3CD3">
      <w:pPr>
        <w:numPr>
          <w:ilvl w:val="0"/>
          <w:numId w:val="1"/>
        </w:numPr>
        <w:jc w:val="both"/>
        <w:rPr>
          <w:rFonts w:ascii="Times New Roman" w:hAnsi="Times New Roman" w:cs="Times New Roman"/>
        </w:rPr>
      </w:pPr>
      <w:r>
        <w:rPr>
          <w:rFonts w:ascii="Times New Roman" w:hAnsi="Times New Roman" w:cs="Times New Roman"/>
          <w:b/>
          <w:bCs/>
        </w:rPr>
        <w:t>Threats (T)</w:t>
      </w:r>
    </w:p>
    <w:p w14:paraId="03A65069">
      <w:pPr>
        <w:numPr>
          <w:ilvl w:val="1"/>
          <w:numId w:val="1"/>
        </w:numPr>
        <w:jc w:val="both"/>
        <w:rPr>
          <w:rFonts w:ascii="Times New Roman" w:hAnsi="Times New Roman" w:cs="Times New Roman"/>
        </w:rPr>
      </w:pPr>
      <w:r>
        <w:rPr>
          <w:rFonts w:ascii="Times New Roman" w:hAnsi="Times New Roman" w:cs="Times New Roman"/>
        </w:rPr>
        <w:t>Capital market volatility and risk perception.</w:t>
      </w:r>
    </w:p>
    <w:p w14:paraId="1E677309">
      <w:pPr>
        <w:numPr>
          <w:ilvl w:val="1"/>
          <w:numId w:val="1"/>
        </w:numPr>
        <w:jc w:val="both"/>
        <w:rPr>
          <w:rFonts w:ascii="Times New Roman" w:hAnsi="Times New Roman" w:cs="Times New Roman"/>
        </w:rPr>
      </w:pPr>
      <w:r>
        <w:rPr>
          <w:rFonts w:ascii="Times New Roman" w:hAnsi="Times New Roman" w:cs="Times New Roman"/>
        </w:rPr>
        <w:t>Competition with private and informal retail outlets.</w:t>
      </w:r>
    </w:p>
    <w:p w14:paraId="01B4DE2A">
      <w:pPr>
        <w:numPr>
          <w:ilvl w:val="1"/>
          <w:numId w:val="1"/>
        </w:numPr>
        <w:jc w:val="both"/>
        <w:rPr>
          <w:rFonts w:ascii="Times New Roman" w:hAnsi="Times New Roman" w:cs="Times New Roman"/>
        </w:rPr>
      </w:pPr>
      <w:r>
        <w:rPr>
          <w:rFonts w:ascii="Times New Roman" w:hAnsi="Times New Roman" w:cs="Times New Roman"/>
        </w:rPr>
        <w:t>Price fluctuations, production risks, and fluctuating purchasing power.</w:t>
      </w:r>
    </w:p>
    <w:p w14:paraId="12BBA616">
      <w:pPr>
        <w:jc w:val="both"/>
        <w:rPr>
          <w:rFonts w:ascii="Times New Roman" w:hAnsi="Times New Roman" w:cs="Times New Roman"/>
        </w:rPr>
      </w:pPr>
      <w:r>
        <w:rPr>
          <w:rFonts w:ascii="Times New Roman" w:hAnsi="Times New Roman" w:cs="Times New Roman"/>
          <w:b/>
          <w:bCs/>
        </w:rPr>
        <w:t>SO Strategies (Strength–Opportunity)</w:t>
      </w:r>
    </w:p>
    <w:p w14:paraId="43DF4FA5">
      <w:pPr>
        <w:numPr>
          <w:ilvl w:val="0"/>
          <w:numId w:val="2"/>
        </w:numPr>
        <w:jc w:val="both"/>
        <w:rPr>
          <w:rFonts w:ascii="Times New Roman" w:hAnsi="Times New Roman" w:cs="Times New Roman"/>
        </w:rPr>
      </w:pPr>
      <w:r>
        <w:rPr>
          <w:rFonts w:ascii="Times New Roman" w:hAnsi="Times New Roman" w:cs="Times New Roman"/>
        </w:rPr>
        <w:t>Integrate Agrodes and Sekip Mart into an agricultural–trade value chain.</w:t>
      </w:r>
    </w:p>
    <w:p w14:paraId="68FF3984">
      <w:pPr>
        <w:numPr>
          <w:ilvl w:val="0"/>
          <w:numId w:val="2"/>
        </w:numPr>
        <w:jc w:val="both"/>
        <w:rPr>
          <w:rFonts w:ascii="Times New Roman" w:hAnsi="Times New Roman" w:cs="Times New Roman"/>
        </w:rPr>
      </w:pPr>
      <w:r>
        <w:rPr>
          <w:rFonts w:ascii="Times New Roman" w:hAnsi="Times New Roman" w:cs="Times New Roman"/>
        </w:rPr>
        <w:t>Leverage government programmes (food security, financial inclusion) to strengthen production and distribution capacity.</w:t>
      </w:r>
    </w:p>
    <w:p w14:paraId="224E6F39">
      <w:pPr>
        <w:numPr>
          <w:ilvl w:val="0"/>
          <w:numId w:val="2"/>
        </w:numPr>
        <w:jc w:val="both"/>
        <w:rPr>
          <w:rFonts w:ascii="Times New Roman" w:hAnsi="Times New Roman" w:cs="Times New Roman"/>
        </w:rPr>
      </w:pPr>
      <w:r>
        <w:rPr>
          <w:rFonts w:ascii="Times New Roman" w:hAnsi="Times New Roman" w:cs="Times New Roman"/>
        </w:rPr>
        <w:t>Use the capital market unit as a micro-savings/investment instrument linked to real-sector business performance.</w:t>
      </w:r>
    </w:p>
    <w:p w14:paraId="360D9142">
      <w:pPr>
        <w:jc w:val="both"/>
        <w:rPr>
          <w:rFonts w:ascii="Times New Roman" w:hAnsi="Times New Roman" w:cs="Times New Roman"/>
        </w:rPr>
      </w:pPr>
      <w:r>
        <w:rPr>
          <w:rFonts w:ascii="Times New Roman" w:hAnsi="Times New Roman" w:cs="Times New Roman"/>
          <w:b/>
          <w:bCs/>
        </w:rPr>
        <w:t>ST Strategies (Strength–Threat)</w:t>
      </w:r>
    </w:p>
    <w:p w14:paraId="418A699E">
      <w:pPr>
        <w:numPr>
          <w:ilvl w:val="0"/>
          <w:numId w:val="3"/>
        </w:numPr>
        <w:jc w:val="both"/>
        <w:rPr>
          <w:rFonts w:ascii="Times New Roman" w:hAnsi="Times New Roman" w:cs="Times New Roman"/>
        </w:rPr>
      </w:pPr>
      <w:r>
        <w:rPr>
          <w:rFonts w:ascii="Times New Roman" w:hAnsi="Times New Roman" w:cs="Times New Roman"/>
        </w:rPr>
        <w:t>Build transparent financial reporting and risk management systems to reduce public distrust.</w:t>
      </w:r>
    </w:p>
    <w:p w14:paraId="7602A7AA">
      <w:pPr>
        <w:numPr>
          <w:ilvl w:val="0"/>
          <w:numId w:val="3"/>
        </w:numPr>
        <w:jc w:val="both"/>
        <w:rPr>
          <w:rFonts w:ascii="Times New Roman" w:hAnsi="Times New Roman" w:cs="Times New Roman"/>
        </w:rPr>
      </w:pPr>
      <w:r>
        <w:rPr>
          <w:rFonts w:ascii="Times New Roman" w:hAnsi="Times New Roman" w:cs="Times New Roman"/>
        </w:rPr>
        <w:t>Position BUMDes as an official “village store” offering high-quality local products as an alternative to private retailers.</w:t>
      </w:r>
    </w:p>
    <w:p w14:paraId="5EE719B8">
      <w:pPr>
        <w:numPr>
          <w:ilvl w:val="0"/>
          <w:numId w:val="3"/>
        </w:numPr>
        <w:jc w:val="both"/>
        <w:rPr>
          <w:rFonts w:ascii="Times New Roman" w:hAnsi="Times New Roman" w:cs="Times New Roman"/>
        </w:rPr>
      </w:pPr>
      <w:r>
        <w:rPr>
          <w:rFonts w:ascii="Times New Roman" w:hAnsi="Times New Roman" w:cs="Times New Roman"/>
        </w:rPr>
        <w:t>Mobilise farmer groups and community leaders to manage market and production risks collectively.</w:t>
      </w:r>
    </w:p>
    <w:p w14:paraId="62D29683">
      <w:pPr>
        <w:jc w:val="both"/>
        <w:rPr>
          <w:rFonts w:ascii="Times New Roman" w:hAnsi="Times New Roman" w:cs="Times New Roman"/>
        </w:rPr>
      </w:pPr>
      <w:r>
        <w:rPr>
          <w:rFonts w:ascii="Times New Roman" w:hAnsi="Times New Roman" w:cs="Times New Roman"/>
          <w:b/>
          <w:bCs/>
        </w:rPr>
        <w:t>WO Strategies (Weakness–Opportunity)</w:t>
      </w:r>
    </w:p>
    <w:p w14:paraId="43E5044B">
      <w:pPr>
        <w:numPr>
          <w:ilvl w:val="0"/>
          <w:numId w:val="4"/>
        </w:numPr>
        <w:jc w:val="both"/>
        <w:rPr>
          <w:rFonts w:ascii="Times New Roman" w:hAnsi="Times New Roman" w:cs="Times New Roman"/>
        </w:rPr>
      </w:pPr>
      <w:r>
        <w:rPr>
          <w:rFonts w:ascii="Times New Roman" w:hAnsi="Times New Roman" w:cs="Times New Roman"/>
        </w:rPr>
        <w:t>Enhance human resource capacity through training in financial literacy, entrepreneurship, and retail management.</w:t>
      </w:r>
    </w:p>
    <w:p w14:paraId="43E28FE1">
      <w:pPr>
        <w:numPr>
          <w:ilvl w:val="0"/>
          <w:numId w:val="4"/>
        </w:numPr>
        <w:jc w:val="both"/>
        <w:rPr>
          <w:rFonts w:ascii="Times New Roman" w:hAnsi="Times New Roman" w:cs="Times New Roman"/>
        </w:rPr>
      </w:pPr>
      <w:r>
        <w:rPr>
          <w:rFonts w:ascii="Times New Roman" w:hAnsi="Times New Roman" w:cs="Times New Roman"/>
        </w:rPr>
        <w:t>Access government and private partnership funding schemes to strengthen Agrodes and Sekip Mart working capital.</w:t>
      </w:r>
    </w:p>
    <w:p w14:paraId="65B69463">
      <w:pPr>
        <w:numPr>
          <w:ilvl w:val="0"/>
          <w:numId w:val="4"/>
        </w:numPr>
        <w:jc w:val="both"/>
        <w:rPr>
          <w:rFonts w:ascii="Times New Roman" w:hAnsi="Times New Roman" w:cs="Times New Roman"/>
        </w:rPr>
      </w:pPr>
      <w:r>
        <w:rPr>
          <w:rFonts w:ascii="Times New Roman" w:hAnsi="Times New Roman" w:cs="Times New Roman"/>
        </w:rPr>
        <w:t>Redesign capital market products into simple, transparent, and low-risk investment packages.</w:t>
      </w:r>
    </w:p>
    <w:p w14:paraId="28677827">
      <w:pPr>
        <w:jc w:val="both"/>
        <w:rPr>
          <w:rFonts w:ascii="Times New Roman" w:hAnsi="Times New Roman" w:cs="Times New Roman"/>
        </w:rPr>
      </w:pPr>
      <w:r>
        <w:rPr>
          <w:rFonts w:ascii="Times New Roman" w:hAnsi="Times New Roman" w:cs="Times New Roman"/>
          <w:b/>
          <w:bCs/>
        </w:rPr>
        <w:t>WT Strategies (Weakness–Threat)</w:t>
      </w:r>
    </w:p>
    <w:p w14:paraId="24793002">
      <w:pPr>
        <w:numPr>
          <w:ilvl w:val="0"/>
          <w:numId w:val="5"/>
        </w:numPr>
        <w:jc w:val="both"/>
        <w:rPr>
          <w:rFonts w:ascii="Times New Roman" w:hAnsi="Times New Roman" w:cs="Times New Roman"/>
        </w:rPr>
      </w:pPr>
      <w:r>
        <w:rPr>
          <w:rFonts w:ascii="Times New Roman" w:hAnsi="Times New Roman" w:cs="Times New Roman"/>
        </w:rPr>
        <w:t>Reduce dependence on the capital market unit as a primary revenue source and prioritise strengthening the real sector.</w:t>
      </w:r>
    </w:p>
    <w:p w14:paraId="58338D46">
      <w:pPr>
        <w:numPr>
          <w:ilvl w:val="0"/>
          <w:numId w:val="5"/>
        </w:numPr>
        <w:jc w:val="both"/>
        <w:rPr>
          <w:rFonts w:ascii="Times New Roman" w:hAnsi="Times New Roman" w:cs="Times New Roman"/>
        </w:rPr>
      </w:pPr>
      <w:r>
        <w:rPr>
          <w:rFonts w:ascii="Times New Roman" w:hAnsi="Times New Roman" w:cs="Times New Roman"/>
        </w:rPr>
        <w:t>Develop strict SOPs for financial management and governance to avoid conflict and maintain trust.</w:t>
      </w:r>
    </w:p>
    <w:p w14:paraId="4CBF9A62">
      <w:pPr>
        <w:numPr>
          <w:ilvl w:val="0"/>
          <w:numId w:val="5"/>
        </w:numPr>
        <w:jc w:val="both"/>
        <w:rPr>
          <w:rFonts w:ascii="Times New Roman" w:hAnsi="Times New Roman" w:cs="Times New Roman"/>
        </w:rPr>
      </w:pPr>
      <w:r>
        <w:rPr>
          <w:rFonts w:ascii="Times New Roman" w:hAnsi="Times New Roman" w:cs="Times New Roman"/>
        </w:rPr>
        <w:t>Conduct regular cross-hamlet socialisation using dialogic approaches to rebuild declining participation.</w:t>
      </w:r>
    </w:p>
    <w:p w14:paraId="6D928747">
      <w:pPr>
        <w:jc w:val="both"/>
        <w:rPr>
          <w:rFonts w:ascii="Times New Roman" w:hAnsi="Times New Roman" w:cs="Times New Roman"/>
        </w:rPr>
      </w:pPr>
    </w:p>
    <w:p w14:paraId="295C9B4A">
      <w:pPr>
        <w:jc w:val="both"/>
        <w:rPr>
          <w:rFonts w:ascii="Times New Roman" w:hAnsi="Times New Roman" w:cs="Times New Roman"/>
          <w:b/>
          <w:bCs/>
        </w:rPr>
      </w:pPr>
      <w:r>
        <w:rPr>
          <w:rFonts w:ascii="Times New Roman" w:hAnsi="Times New Roman" w:cs="Times New Roman"/>
          <w:b/>
          <w:bCs/>
        </w:rPr>
        <w:t>3.4 Discussion</w:t>
      </w:r>
    </w:p>
    <w:p w14:paraId="60BE4052">
      <w:pPr>
        <w:jc w:val="both"/>
        <w:rPr>
          <w:rFonts w:ascii="Times New Roman" w:hAnsi="Times New Roman" w:cs="Times New Roman"/>
        </w:rPr>
      </w:pPr>
      <w:r>
        <w:rPr>
          <w:rFonts w:ascii="Times New Roman" w:hAnsi="Times New Roman" w:cs="Times New Roman"/>
        </w:rPr>
        <w:t>The analysis suggests that the key to developing BUMDes Al Barokah Sekip lies not in expanding the number of business units, but in reordering priorities and ensuring alignment between business models and the local economic structure. The Integrated Agriculture Unit (Agrodes) and Sekip Mart are more closely connected to residents’ livelihoods and everyday needs. They directly relate to staple food production, distribution of goods, and retail transactions that are easily understood by the community. By strengthening these two units, the village can establish a solid real-sector economic foundation to support the attainment of self-reliant village status.</w:t>
      </w:r>
    </w:p>
    <w:p w14:paraId="7DB66CD7">
      <w:pPr>
        <w:jc w:val="both"/>
        <w:rPr>
          <w:rFonts w:ascii="Times New Roman" w:hAnsi="Times New Roman" w:cs="Times New Roman"/>
        </w:rPr>
      </w:pPr>
      <w:r>
        <w:rPr>
          <w:rFonts w:ascii="Times New Roman" w:hAnsi="Times New Roman" w:cs="Times New Roman"/>
        </w:rPr>
        <w:t>The Capital Market Unit remains relevant but is better positioned as an educational platform and a complementary income source rather than the core business. This strategic repositioning helps mitigate negative perceptions and distrust, as residents first experience tangible benefits from more straightforward BUMDes activities. Combining narratives of “visible results” from Agrodes and Sekip Mart with investment education can help shift participation from symbolic to functional, in which community members are involved in decision-making and oversight rather than merely attending meetings.</w:t>
      </w:r>
    </w:p>
    <w:p w14:paraId="5A7A7940">
      <w:pPr>
        <w:jc w:val="both"/>
        <w:rPr>
          <w:rFonts w:ascii="Times New Roman" w:hAnsi="Times New Roman" w:cs="Times New Roman"/>
        </w:rPr>
      </w:pPr>
      <w:r>
        <w:rPr>
          <w:rFonts w:ascii="Times New Roman" w:hAnsi="Times New Roman" w:cs="Times New Roman"/>
        </w:rPr>
        <w:t>From a governance standpoint, the discussion underscores the central role of the village government as regulator, facilitator, and accelerator. The village government must ensure transparent financial reporting, regular public accountability forums, and participatory monitoring mechanisms involving representatives of various community groups. Without open and accountable governance, even strong economic potential will struggle to attract broad-based participation. Conversely, good governance can become a form of social capital that helps expand partnerships, access funding, and enhance the village’s bargaining power with external actors.</w:t>
      </w:r>
    </w:p>
    <w:p w14:paraId="278A83EA">
      <w:pPr>
        <w:jc w:val="both"/>
        <w:rPr>
          <w:rFonts w:ascii="Times New Roman" w:hAnsi="Times New Roman" w:cs="Times New Roman"/>
        </w:rPr>
      </w:pPr>
      <w:r>
        <w:rPr>
          <w:rFonts w:ascii="Times New Roman" w:hAnsi="Times New Roman" w:cs="Times New Roman"/>
        </w:rPr>
        <w:t>The discussion also highlights community participation as a key indicator of BUMDes success. When participation is dominated by symbolic and passive forms, the BUMDes tends to function as an administrative project rather than a genuine community enterprise. To transform this, BUMDes must open spaces for community engagement from problem identification and business planning to performance evaluation. Integrating village deliberation forums, focus group discussions, and direct accompaniment at hamlet level can help residents recognise BUMDes as a shared institution, rather than belonging solely to managers or the village government.</w:t>
      </w:r>
    </w:p>
    <w:p w14:paraId="07F35E8F">
      <w:pPr>
        <w:jc w:val="both"/>
        <w:rPr>
          <w:rFonts w:ascii="Times New Roman" w:hAnsi="Times New Roman" w:cs="Times New Roman"/>
        </w:rPr>
      </w:pPr>
      <w:r>
        <w:rPr>
          <w:rFonts w:ascii="Times New Roman" w:hAnsi="Times New Roman" w:cs="Times New Roman"/>
        </w:rPr>
        <w:t>In conclusion, the development of BUMDes Al Barokah Sekip toward village self-reliance requires a phased strategy: (i) strengthening the real sector through Agrodes and Sekip Mart; (ii) repositioning the capital market unit as an educational and micro-investment instrument; and (iii) building participatory, transparent governance. If implemented consistently, these steps will enable the BUMDes to become an engine of village economic growth that enhances income while simultaneously reinforcing the social and institutional capacities of Sekip Village.</w:t>
      </w:r>
    </w:p>
    <w:p w14:paraId="1E7F506B">
      <w:pPr>
        <w:jc w:val="both"/>
        <w:rPr>
          <w:rFonts w:ascii="Times New Roman" w:hAnsi="Times New Roman" w:cs="Times New Roman"/>
        </w:rPr>
      </w:pPr>
    </w:p>
    <w:p w14:paraId="153CE2C1">
      <w:pPr>
        <w:jc w:val="both"/>
        <w:rPr>
          <w:rFonts w:ascii="Times New Roman" w:hAnsi="Times New Roman" w:cs="Times New Roman"/>
          <w:b/>
          <w:bCs/>
        </w:rPr>
      </w:pPr>
      <w:r>
        <w:rPr>
          <w:rFonts w:ascii="Times New Roman" w:hAnsi="Times New Roman" w:cs="Times New Roman"/>
          <w:b/>
          <w:bCs/>
        </w:rPr>
        <w:t>4. Conclusion and Recommendations</w:t>
      </w:r>
    </w:p>
    <w:p w14:paraId="5BD3BD56">
      <w:pPr>
        <w:jc w:val="both"/>
        <w:rPr>
          <w:rFonts w:ascii="Times New Roman" w:hAnsi="Times New Roman" w:cs="Times New Roman"/>
        </w:rPr>
      </w:pPr>
      <w:r>
        <w:rPr>
          <w:rFonts w:ascii="Times New Roman" w:hAnsi="Times New Roman" w:cs="Times New Roman"/>
        </w:rPr>
        <w:t>The study concludes that BUMDes Al Barokah Sekip is still in its pioneering stage, with moderate institutional and business performance. While legal foundations and organisational structures have been established, managerial capacity, transparency in management, and community participation in planning and oversight remain limited. Internal–external analysis indicates that the Integrated Agriculture Unit (Agrodes) and Sekip Mart hold the most promising positions for development because they align with the local economic base and residents’ daily needs. By contrast, the capital market unit entails relatively higher risk and is more appropriately positioned as a financial literacy instrument than as the primary revenue pillar of the BUMDes. Strengthening BUMDes toward village self-reliance consequently requires a reordering of priorities that focuses on the real sector, integration of agricultural–trade value chains, and the improvement of accountable and inclusive governance.</w:t>
      </w:r>
    </w:p>
    <w:p w14:paraId="6513610F">
      <w:pPr>
        <w:jc w:val="both"/>
        <w:rPr>
          <w:rFonts w:ascii="Times New Roman" w:hAnsi="Times New Roman" w:cs="Times New Roman"/>
        </w:rPr>
      </w:pPr>
      <w:r>
        <w:rPr>
          <w:rFonts w:ascii="Times New Roman" w:hAnsi="Times New Roman" w:cs="Times New Roman"/>
        </w:rPr>
        <w:t>The study recommends that the village government and BUMDes management prioritise the medium-term development of Agrodes and Sekip Mart as the core business units by strengthening human resource capacity, designing integrated business models, and increasing transparency in performance reporting to the community. The capital market unit should be gradually oriented toward simple, safe micro-investment education. District-level government and support institutions are expected to reinforce these efforts through managerial training, facilitation of BUMDes-friendly financing schemes, and financial literacy and entrepreneurship programmes reaching the wider community. Future research is encouraged to expand the scope to other BUMDes and incorporate quantitative impact indicators so that BUMDes contributions to income improvement, employment creation, and village self-reliance can be measured more comprehensively.</w:t>
      </w:r>
    </w:p>
    <w:p w14:paraId="2CB45AA9">
      <w:pPr>
        <w:jc w:val="both"/>
        <w:rPr>
          <w:rFonts w:ascii="Times New Roman" w:hAnsi="Times New Roman" w:cs="Times New Roman"/>
        </w:rPr>
      </w:pPr>
    </w:p>
    <w:p w14:paraId="536F744A">
      <w:pPr>
        <w:jc w:val="both"/>
        <w:rPr>
          <w:rFonts w:ascii="Times New Roman" w:hAnsi="Times New Roman" w:cs="Times New Roman"/>
        </w:rPr>
      </w:pPr>
      <w:r>
        <w:rPr>
          <w:rFonts w:ascii="Times New Roman" w:hAnsi="Times New Roman" w:cs="Times New Roman"/>
        </w:rPr>
        <w:t>COMPETING INTERESTS DISCLAIMER:</w:t>
      </w:r>
    </w:p>
    <w:p w14:paraId="089213C4">
      <w:pPr>
        <w:jc w:val="both"/>
        <w:rPr>
          <w:rFonts w:ascii="Times New Roman" w:hAnsi="Times New Roman" w:cs="Times New Roman"/>
        </w:rPr>
      </w:pPr>
      <w:r>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37F6DF7">
      <w:pPr>
        <w:jc w:val="both"/>
        <w:rPr>
          <w:rFonts w:ascii="Times New Roman" w:hAnsi="Times New Roman" w:cs="Times New Roman"/>
        </w:rPr>
      </w:pPr>
    </w:p>
    <w:p w14:paraId="3AAA7DB0">
      <w:pPr>
        <w:ind w:left="567" w:hanging="567"/>
        <w:jc w:val="both"/>
        <w:rPr>
          <w:rFonts w:ascii="Times New Roman" w:hAnsi="Times New Roman" w:cs="Times New Roman"/>
          <w:b/>
          <w:bCs/>
        </w:rPr>
      </w:pPr>
      <w:commentRangeStart w:id="18"/>
      <w:r>
        <w:rPr>
          <w:rFonts w:ascii="Times New Roman" w:hAnsi="Times New Roman" w:cs="Times New Roman"/>
          <w:b/>
          <w:bCs/>
        </w:rPr>
        <w:t>References</w:t>
      </w:r>
      <w:commentRangeEnd w:id="18"/>
      <w:r>
        <w:commentReference w:id="18"/>
      </w:r>
    </w:p>
    <w:p w14:paraId="6FE6986F">
      <w:pPr>
        <w:jc w:val="both"/>
        <w:rPr>
          <w:rFonts w:ascii="Times New Roman" w:hAnsi="Times New Roman" w:cs="Times New Roman"/>
        </w:rPr>
      </w:pPr>
      <w:r>
        <w:rPr>
          <w:rFonts w:ascii="Times New Roman" w:hAnsi="Times New Roman" w:cs="Times New Roman"/>
        </w:rPr>
        <w:t xml:space="preserve">Adi, I. R. (2007). Community intervention: Community development as an effort to empower the community. PT RajaGrafindo Persada. </w:t>
      </w:r>
      <w:r>
        <w:fldChar w:fldCharType="begin"/>
      </w:r>
      <w:r>
        <w:instrText xml:space="preserve"> HYPERLINK "https://perpustakaan.mkri.id/detail.php?id=1000" </w:instrText>
      </w:r>
      <w:r>
        <w:fldChar w:fldCharType="separate"/>
      </w:r>
      <w:r>
        <w:rPr>
          <w:rStyle w:val="16"/>
          <w:rFonts w:ascii="Times New Roman" w:hAnsi="Times New Roman" w:cs="Times New Roman"/>
        </w:rPr>
        <w:t>https://perpustakaan.mkri.id/detail.php?id=1000</w:t>
      </w:r>
      <w:r>
        <w:rPr>
          <w:rStyle w:val="16"/>
          <w:rFonts w:ascii="Times New Roman" w:hAnsi="Times New Roman" w:cs="Times New Roman"/>
        </w:rPr>
        <w:fldChar w:fldCharType="end"/>
      </w:r>
      <w:r>
        <w:rPr>
          <w:rFonts w:ascii="Times New Roman" w:hAnsi="Times New Roman" w:cs="Times New Roman"/>
        </w:rPr>
        <w:t xml:space="preserve"> </w:t>
      </w:r>
    </w:p>
    <w:p w14:paraId="7C72D055">
      <w:pPr>
        <w:jc w:val="both"/>
        <w:rPr>
          <w:rFonts w:ascii="Times New Roman" w:hAnsi="Times New Roman" w:cs="Times New Roman"/>
        </w:rPr>
      </w:pPr>
      <w:r>
        <w:rPr>
          <w:rFonts w:ascii="Times New Roman" w:hAnsi="Times New Roman" w:cs="Times New Roman"/>
        </w:rPr>
        <w:t xml:space="preserve">Anggraeni, M. R. R. S. (2016). The role of Village-Owned Enterprises (BUMDes) in the welfare of rural communities (Study on BUMDes in Gunung Kidul, Yogyakarta). </w:t>
      </w:r>
      <w:commentRangeStart w:id="19"/>
      <w:r>
        <w:rPr>
          <w:rFonts w:ascii="Times New Roman" w:hAnsi="Times New Roman" w:cs="Times New Roman"/>
        </w:rPr>
        <w:t>Modus,</w:t>
      </w:r>
      <w:commentRangeEnd w:id="19"/>
      <w:r>
        <w:commentReference w:id="19"/>
      </w:r>
      <w:r>
        <w:rPr>
          <w:rFonts w:ascii="Times New Roman" w:hAnsi="Times New Roman" w:cs="Times New Roman"/>
        </w:rPr>
        <w:t xml:space="preserve"> 28(2), 155–167. </w:t>
      </w:r>
      <w:r>
        <w:fldChar w:fldCharType="begin"/>
      </w:r>
      <w:r>
        <w:instrText xml:space="preserve"> HYPERLINK "https://doi.org/10.24002/modus.v28i2.848" </w:instrText>
      </w:r>
      <w:r>
        <w:fldChar w:fldCharType="separate"/>
      </w:r>
      <w:r>
        <w:rPr>
          <w:rStyle w:val="16"/>
          <w:rFonts w:ascii="Times New Roman" w:hAnsi="Times New Roman" w:cs="Times New Roman"/>
        </w:rPr>
        <w:t>https://doi.org/10.24002/modus.v28i2.848</w:t>
      </w:r>
      <w:r>
        <w:rPr>
          <w:rStyle w:val="16"/>
          <w:rFonts w:ascii="Times New Roman" w:hAnsi="Times New Roman" w:cs="Times New Roman"/>
        </w:rPr>
        <w:fldChar w:fldCharType="end"/>
      </w:r>
      <w:r>
        <w:rPr>
          <w:rFonts w:ascii="Times New Roman" w:hAnsi="Times New Roman" w:cs="Times New Roman"/>
        </w:rPr>
        <w:t xml:space="preserve">  </w:t>
      </w:r>
    </w:p>
    <w:p w14:paraId="5BAF5060">
      <w:pPr>
        <w:jc w:val="both"/>
        <w:rPr>
          <w:rFonts w:ascii="Times New Roman" w:hAnsi="Times New Roman" w:cs="Times New Roman"/>
        </w:rPr>
      </w:pPr>
      <w:r>
        <w:rPr>
          <w:rFonts w:ascii="Times New Roman" w:hAnsi="Times New Roman" w:cs="Times New Roman"/>
        </w:rPr>
        <w:t xml:space="preserve">Anwar, K., Hasibuan, M. I., &amp; Wibowo, E. A. (2020). Social and economic impact of BUMDes on rural communities. Ecobisma: Journal of Economics, Business and Management, 7(1), 120–128. </w:t>
      </w:r>
      <w:r>
        <w:fldChar w:fldCharType="begin"/>
      </w:r>
      <w:r>
        <w:instrText xml:space="preserve"> HYPERLINK "https://doi.org/10.36987/ecobi.v7i1.1572" </w:instrText>
      </w:r>
      <w:r>
        <w:fldChar w:fldCharType="separate"/>
      </w:r>
      <w:r>
        <w:rPr>
          <w:rStyle w:val="16"/>
          <w:rFonts w:ascii="Times New Roman" w:hAnsi="Times New Roman" w:cs="Times New Roman"/>
        </w:rPr>
        <w:t>https://doi.org/10.36987/ecobi.v7i1.1572</w:t>
      </w:r>
      <w:r>
        <w:rPr>
          <w:rStyle w:val="16"/>
          <w:rFonts w:ascii="Times New Roman" w:hAnsi="Times New Roman" w:cs="Times New Roman"/>
        </w:rPr>
        <w:fldChar w:fldCharType="end"/>
      </w:r>
      <w:r>
        <w:rPr>
          <w:rFonts w:ascii="Times New Roman" w:hAnsi="Times New Roman" w:cs="Times New Roman"/>
        </w:rPr>
        <w:t xml:space="preserve"> </w:t>
      </w:r>
    </w:p>
    <w:p w14:paraId="6FAB6AAF">
      <w:pPr>
        <w:jc w:val="both"/>
        <w:rPr>
          <w:rFonts w:ascii="Times New Roman" w:hAnsi="Times New Roman" w:cs="Times New Roman"/>
        </w:rPr>
      </w:pPr>
      <w:r>
        <w:rPr>
          <w:rFonts w:ascii="Times New Roman" w:hAnsi="Times New Roman" w:cs="Times New Roman"/>
        </w:rPr>
        <w:t>Bryant, C., &amp; White, L. G. (1987). Development management for developing countries [Managing development in the Third World]. LP3ES.</w:t>
      </w:r>
    </w:p>
    <w:p w14:paraId="1E28A66D">
      <w:pPr>
        <w:jc w:val="both"/>
        <w:rPr>
          <w:rFonts w:ascii="Times New Roman" w:hAnsi="Times New Roman" w:cs="Times New Roman"/>
        </w:rPr>
      </w:pPr>
      <w:r>
        <w:rPr>
          <w:rFonts w:ascii="Times New Roman" w:hAnsi="Times New Roman" w:cs="Times New Roman"/>
        </w:rPr>
        <w:t xml:space="preserve">Chambers, R. (1997). Whose reality counts? Putting the first last. Intermediate Technology. </w:t>
      </w:r>
      <w:r>
        <w:fldChar w:fldCharType="begin"/>
      </w:r>
      <w:r>
        <w:instrText xml:space="preserve"> HYPERLINK "https://doi.org/10.3362/9781780440453" </w:instrText>
      </w:r>
      <w:r>
        <w:fldChar w:fldCharType="separate"/>
      </w:r>
      <w:r>
        <w:rPr>
          <w:rStyle w:val="16"/>
          <w:rFonts w:ascii="Times New Roman" w:hAnsi="Times New Roman" w:cs="Times New Roman"/>
        </w:rPr>
        <w:t>https://doi.org/10.3362/9781780440453</w:t>
      </w:r>
      <w:r>
        <w:rPr>
          <w:rStyle w:val="16"/>
          <w:rFonts w:ascii="Times New Roman" w:hAnsi="Times New Roman" w:cs="Times New Roman"/>
        </w:rPr>
        <w:fldChar w:fldCharType="end"/>
      </w:r>
      <w:r>
        <w:rPr>
          <w:rFonts w:ascii="Times New Roman" w:hAnsi="Times New Roman" w:cs="Times New Roman"/>
        </w:rPr>
        <w:t xml:space="preserve"> </w:t>
      </w:r>
    </w:p>
    <w:p w14:paraId="188557FA">
      <w:pPr>
        <w:jc w:val="both"/>
        <w:rPr>
          <w:rFonts w:ascii="Times New Roman" w:hAnsi="Times New Roman" w:cs="Times New Roman"/>
        </w:rPr>
      </w:pPr>
      <w:r>
        <w:rPr>
          <w:rFonts w:ascii="Times New Roman" w:hAnsi="Times New Roman" w:cs="Times New Roman"/>
        </w:rPr>
        <w:t xml:space="preserve">Creswell, J. W. (2014). Research design: Qualitative, quantitative, and mixed methods approaches (4th ed.). SAGE. </w:t>
      </w:r>
      <w:r>
        <w:fldChar w:fldCharType="begin"/>
      </w:r>
      <w:r>
        <w:instrText xml:space="preserve"> HYPERLINK "https://study.sagepub.com/creswellrd4e" </w:instrText>
      </w:r>
      <w:r>
        <w:fldChar w:fldCharType="separate"/>
      </w:r>
      <w:r>
        <w:rPr>
          <w:rStyle w:val="16"/>
          <w:rFonts w:ascii="Times New Roman" w:hAnsi="Times New Roman" w:cs="Times New Roman"/>
        </w:rPr>
        <w:t>https://study.sagepub.com/creswellrd4e</w:t>
      </w:r>
      <w:r>
        <w:rPr>
          <w:rStyle w:val="16"/>
          <w:rFonts w:ascii="Times New Roman" w:hAnsi="Times New Roman" w:cs="Times New Roman"/>
        </w:rPr>
        <w:fldChar w:fldCharType="end"/>
      </w:r>
      <w:r>
        <w:rPr>
          <w:rFonts w:ascii="Times New Roman" w:hAnsi="Times New Roman" w:cs="Times New Roman"/>
        </w:rPr>
        <w:t xml:space="preserve"> </w:t>
      </w:r>
    </w:p>
    <w:p w14:paraId="4E8CC406">
      <w:pPr>
        <w:jc w:val="both"/>
        <w:rPr>
          <w:rFonts w:ascii="Times New Roman" w:hAnsi="Times New Roman" w:cs="Times New Roman"/>
        </w:rPr>
      </w:pPr>
      <w:r>
        <w:rPr>
          <w:rFonts w:ascii="Times New Roman" w:hAnsi="Times New Roman" w:cs="Times New Roman"/>
        </w:rPr>
        <w:t>Creswell, J. W., &amp; Creswell, J. D. (2018). Research design: Qualitative, quantitative, and mixed methods approaches (5th ed.). SAGE.</w:t>
      </w:r>
    </w:p>
    <w:p w14:paraId="0948E87C">
      <w:pPr>
        <w:jc w:val="both"/>
        <w:rPr>
          <w:rFonts w:ascii="Times New Roman" w:hAnsi="Times New Roman" w:cs="Times New Roman"/>
        </w:rPr>
      </w:pPr>
      <w:r>
        <w:rPr>
          <w:rFonts w:ascii="Times New Roman" w:hAnsi="Times New Roman" w:cs="Times New Roman"/>
        </w:rPr>
        <w:t xml:space="preserve">Darna, N., &amp; Herlina, E. (2018). Choosing the right research method for research in the field of management science. Journal of Management Sciences, 5(1), 288–298. </w:t>
      </w:r>
      <w:r>
        <w:fldChar w:fldCharType="begin"/>
      </w:r>
      <w:r>
        <w:instrText xml:space="preserve"> HYPERLINK "https://jurnal.unigal.ac.id/index.php/ekonologi/article/view/1359" </w:instrText>
      </w:r>
      <w:r>
        <w:fldChar w:fldCharType="separate"/>
      </w:r>
      <w:r>
        <w:rPr>
          <w:rStyle w:val="16"/>
          <w:rFonts w:ascii="Times New Roman" w:hAnsi="Times New Roman" w:cs="Times New Roman"/>
        </w:rPr>
        <w:t>https://jurnal.unigal.ac.id/index.php/ekonologi/article/view/1359</w:t>
      </w:r>
      <w:r>
        <w:rPr>
          <w:rStyle w:val="16"/>
          <w:rFonts w:ascii="Times New Roman" w:hAnsi="Times New Roman" w:cs="Times New Roman"/>
        </w:rPr>
        <w:fldChar w:fldCharType="end"/>
      </w:r>
      <w:r>
        <w:rPr>
          <w:rFonts w:ascii="Times New Roman" w:hAnsi="Times New Roman" w:cs="Times New Roman"/>
        </w:rPr>
        <w:t xml:space="preserve"> </w:t>
      </w:r>
    </w:p>
    <w:p w14:paraId="4D0B8967">
      <w:pPr>
        <w:jc w:val="both"/>
        <w:rPr>
          <w:rFonts w:ascii="Times New Roman" w:hAnsi="Times New Roman" w:cs="Times New Roman"/>
        </w:rPr>
      </w:pPr>
      <w:r>
        <w:rPr>
          <w:rFonts w:ascii="Times New Roman" w:hAnsi="Times New Roman" w:cs="Times New Roman"/>
        </w:rPr>
        <w:t xml:space="preserve">Darwita, K., &amp; Redana, I. W. (2018). The role of Village-Owned Enterprises (BUMDes) in community empowerment and unemployment reduction in Tejakula Village, Tejakula District, Buleleng Regency. Locus: </w:t>
      </w:r>
      <w:commentRangeStart w:id="20"/>
      <w:r>
        <w:rPr>
          <w:rFonts w:ascii="Times New Roman" w:hAnsi="Times New Roman" w:cs="Times New Roman"/>
        </w:rPr>
        <w:t>FISIP Scientific Journal,</w:t>
      </w:r>
      <w:commentRangeEnd w:id="20"/>
      <w:r>
        <w:commentReference w:id="20"/>
      </w:r>
      <w:r>
        <w:rPr>
          <w:rFonts w:ascii="Times New Roman" w:hAnsi="Times New Roman" w:cs="Times New Roman"/>
        </w:rPr>
        <w:t xml:space="preserve"> 9(1), 51–60. </w:t>
      </w:r>
      <w:r>
        <w:fldChar w:fldCharType="begin"/>
      </w:r>
      <w:r>
        <w:instrText xml:space="preserve"> HYPERLINK "https://doi.org/10.37637/locus.v9i1.79" </w:instrText>
      </w:r>
      <w:r>
        <w:fldChar w:fldCharType="separate"/>
      </w:r>
      <w:r>
        <w:rPr>
          <w:rStyle w:val="16"/>
          <w:rFonts w:ascii="Times New Roman" w:hAnsi="Times New Roman" w:cs="Times New Roman"/>
        </w:rPr>
        <w:t>https://doi.org/10.37637/locus.v9i1.79</w:t>
      </w:r>
      <w:r>
        <w:rPr>
          <w:rStyle w:val="16"/>
          <w:rFonts w:ascii="Times New Roman" w:hAnsi="Times New Roman" w:cs="Times New Roman"/>
        </w:rPr>
        <w:fldChar w:fldCharType="end"/>
      </w:r>
      <w:r>
        <w:rPr>
          <w:rFonts w:ascii="Times New Roman" w:hAnsi="Times New Roman" w:cs="Times New Roman"/>
        </w:rPr>
        <w:t xml:space="preserve"> </w:t>
      </w:r>
    </w:p>
    <w:p w14:paraId="4EA322A3">
      <w:pPr>
        <w:jc w:val="both"/>
        <w:rPr>
          <w:rFonts w:ascii="Times New Roman" w:hAnsi="Times New Roman" w:cs="Times New Roman"/>
        </w:rPr>
      </w:pPr>
      <w:r>
        <w:rPr>
          <w:rFonts w:ascii="Times New Roman" w:hAnsi="Times New Roman" w:cs="Times New Roman"/>
        </w:rPr>
        <w:t xml:space="preserve">Gunanto, A., Gunanto, E. Y. A., Arianti, F., Kushartono, E. W., &amp; Darwanto, D. (2016). Development of independent villages through the management of Village-Owned Enterprises (BUMDes). Journal of Economic and Business Dynamics, 13(1), 67–81. </w:t>
      </w:r>
      <w:r>
        <w:fldChar w:fldCharType="begin"/>
      </w:r>
      <w:r>
        <w:instrText xml:space="preserve"> HYPERLINK "https://doi.org/10.34001/jdeb.v13i1.395" </w:instrText>
      </w:r>
      <w:r>
        <w:fldChar w:fldCharType="separate"/>
      </w:r>
      <w:r>
        <w:rPr>
          <w:rStyle w:val="16"/>
          <w:rFonts w:ascii="Times New Roman" w:hAnsi="Times New Roman" w:cs="Times New Roman"/>
        </w:rPr>
        <w:t>https://doi.org/10.34001/jdeb.v13i1.395</w:t>
      </w:r>
      <w:r>
        <w:rPr>
          <w:rStyle w:val="16"/>
          <w:rFonts w:ascii="Times New Roman" w:hAnsi="Times New Roman" w:cs="Times New Roman"/>
        </w:rPr>
        <w:fldChar w:fldCharType="end"/>
      </w:r>
      <w:r>
        <w:rPr>
          <w:rFonts w:ascii="Times New Roman" w:hAnsi="Times New Roman" w:cs="Times New Roman"/>
        </w:rPr>
        <w:t xml:space="preserve"> </w:t>
      </w:r>
    </w:p>
    <w:p w14:paraId="6374A878">
      <w:pPr>
        <w:jc w:val="both"/>
        <w:rPr>
          <w:rFonts w:ascii="Times New Roman" w:hAnsi="Times New Roman" w:cs="Times New Roman"/>
        </w:rPr>
      </w:pPr>
      <w:r>
        <w:rPr>
          <w:rFonts w:ascii="Times New Roman" w:hAnsi="Times New Roman" w:cs="Times New Roman"/>
        </w:rPr>
        <w:t xml:space="preserve">Ministry of Villages, Development of Disadvantaged Regions, and Transmigration of the Republic of Indonesia. (2015). Minister of Villages, Development of Disadvantaged Regions, and Transmigration Regulation Number 4 of 2015 concerning the Establishment, Management and Operation, and Dissolution of Village-Owned Enterprises. </w:t>
      </w:r>
      <w:r>
        <w:fldChar w:fldCharType="begin"/>
      </w:r>
      <w:r>
        <w:instrText xml:space="preserve"> HYPERLINK "https://peraturan.bpk.go.id/Home/Details/100000/permendes-pdtt-no-4-tahun-2015" </w:instrText>
      </w:r>
      <w:r>
        <w:fldChar w:fldCharType="separate"/>
      </w:r>
      <w:r>
        <w:rPr>
          <w:rStyle w:val="16"/>
          <w:rFonts w:ascii="Times New Roman" w:hAnsi="Times New Roman" w:cs="Times New Roman"/>
        </w:rPr>
        <w:t>https://peraturan.bpk.go.id/Home/Details/100000/permendes-pdtt-no-4-tahun-2015</w:t>
      </w:r>
      <w:r>
        <w:rPr>
          <w:rStyle w:val="16"/>
          <w:rFonts w:ascii="Times New Roman" w:hAnsi="Times New Roman" w:cs="Times New Roman"/>
        </w:rPr>
        <w:fldChar w:fldCharType="end"/>
      </w:r>
      <w:r>
        <w:rPr>
          <w:rFonts w:ascii="Times New Roman" w:hAnsi="Times New Roman" w:cs="Times New Roman"/>
        </w:rPr>
        <w:t xml:space="preserve"> </w:t>
      </w:r>
    </w:p>
    <w:p w14:paraId="0D6FFAF5">
      <w:pPr>
        <w:jc w:val="both"/>
        <w:rPr>
          <w:rFonts w:ascii="Times New Roman" w:hAnsi="Times New Roman" w:cs="Times New Roman"/>
        </w:rPr>
      </w:pPr>
      <w:r>
        <w:rPr>
          <w:rFonts w:ascii="Times New Roman" w:hAnsi="Times New Roman" w:cs="Times New Roman"/>
        </w:rPr>
        <w:t>Ministry of Villages, Development of Disadvantaged Regions, and Transmigration of the Republic of Indonesia. (2017, April 28). Circular Letter Number 037/DPPMD/IV/2017 concerning the Updating of the 2017 Village Development Index Data.</w:t>
      </w:r>
    </w:p>
    <w:p w14:paraId="1BFB4A0B">
      <w:pPr>
        <w:jc w:val="both"/>
        <w:rPr>
          <w:rFonts w:ascii="Times New Roman" w:hAnsi="Times New Roman" w:cs="Times New Roman"/>
        </w:rPr>
      </w:pPr>
      <w:r>
        <w:rPr>
          <w:rFonts w:ascii="Times New Roman" w:hAnsi="Times New Roman" w:cs="Times New Roman"/>
        </w:rPr>
        <w:t xml:space="preserve">Kuncoro, M. (2018). Regional development planning: Theory and application. UPP STIM YKPN. </w:t>
      </w:r>
      <w:r>
        <w:fldChar w:fldCharType="begin"/>
      </w:r>
      <w:r>
        <w:instrText xml:space="preserve"> HYPERLINK "https://lib.ui.ac.id/detail?id=20510604&amp;lokasi=lokal" </w:instrText>
      </w:r>
      <w:r>
        <w:fldChar w:fldCharType="separate"/>
      </w:r>
      <w:r>
        <w:rPr>
          <w:rStyle w:val="16"/>
          <w:rFonts w:ascii="Times New Roman" w:hAnsi="Times New Roman" w:cs="Times New Roman"/>
        </w:rPr>
        <w:t>https://lib.ui.ac.id/detail?id=20510604&amp;lokasi=lokal</w:t>
      </w:r>
      <w:r>
        <w:rPr>
          <w:rStyle w:val="16"/>
          <w:rFonts w:ascii="Times New Roman" w:hAnsi="Times New Roman" w:cs="Times New Roman"/>
        </w:rPr>
        <w:fldChar w:fldCharType="end"/>
      </w:r>
      <w:r>
        <w:rPr>
          <w:rFonts w:ascii="Times New Roman" w:hAnsi="Times New Roman" w:cs="Times New Roman"/>
        </w:rPr>
        <w:t xml:space="preserve"> </w:t>
      </w:r>
    </w:p>
    <w:p w14:paraId="125454F3">
      <w:pPr>
        <w:jc w:val="both"/>
        <w:rPr>
          <w:rFonts w:ascii="Times New Roman" w:hAnsi="Times New Roman" w:cs="Times New Roman"/>
        </w:rPr>
      </w:pPr>
      <w:r>
        <w:rPr>
          <w:rFonts w:ascii="Times New Roman" w:hAnsi="Times New Roman" w:cs="Times New Roman"/>
        </w:rPr>
        <w:t>Manikam, A. S. (2010). Implementation of the Village-Owned Enterprise program in Ngeposari Village, Semanu District, Gunung Kidul Regency in 2009 (Undergraduate thesis, Muhammadiyah University of Yogyakarta).</w:t>
      </w:r>
    </w:p>
    <w:p w14:paraId="484BB6A8">
      <w:pPr>
        <w:jc w:val="both"/>
        <w:rPr>
          <w:rFonts w:ascii="Times New Roman" w:hAnsi="Times New Roman" w:cs="Times New Roman"/>
        </w:rPr>
      </w:pPr>
      <w:r>
        <w:rPr>
          <w:rFonts w:ascii="Times New Roman" w:hAnsi="Times New Roman" w:cs="Times New Roman"/>
        </w:rPr>
        <w:t xml:space="preserve">Pakaya, J. S. (2016). Granting authority to villages in the context of regional autonomy. Indonesian Legislation Journal, 13(1), 73–84. </w:t>
      </w:r>
      <w:r>
        <w:fldChar w:fldCharType="begin"/>
      </w:r>
      <w:r>
        <w:instrText xml:space="preserve"> HYPERLINK "https://doi.org/10.54629/jli.v13i1.143" </w:instrText>
      </w:r>
      <w:r>
        <w:fldChar w:fldCharType="separate"/>
      </w:r>
      <w:r>
        <w:rPr>
          <w:rStyle w:val="16"/>
          <w:rFonts w:ascii="Times New Roman" w:hAnsi="Times New Roman" w:cs="Times New Roman"/>
        </w:rPr>
        <w:t>https://doi.org/10.54629/jli.v13i1.143</w:t>
      </w:r>
      <w:r>
        <w:rPr>
          <w:rStyle w:val="16"/>
          <w:rFonts w:ascii="Times New Roman" w:hAnsi="Times New Roman" w:cs="Times New Roman"/>
        </w:rPr>
        <w:fldChar w:fldCharType="end"/>
      </w:r>
      <w:r>
        <w:rPr>
          <w:rFonts w:ascii="Times New Roman" w:hAnsi="Times New Roman" w:cs="Times New Roman"/>
        </w:rPr>
        <w:t xml:space="preserve"> </w:t>
      </w:r>
    </w:p>
    <w:p w14:paraId="1BAB36B5">
      <w:pPr>
        <w:jc w:val="both"/>
        <w:rPr>
          <w:rFonts w:ascii="Times New Roman" w:hAnsi="Times New Roman" w:cs="Times New Roman"/>
        </w:rPr>
      </w:pPr>
      <w:r>
        <w:rPr>
          <w:rFonts w:ascii="Times New Roman" w:hAnsi="Times New Roman" w:cs="Times New Roman"/>
        </w:rPr>
        <w:t>Sekip Village Government. (2022–2024). Socialization document of BUMDes Al Barokah Sekip (Unpublished internal report). Sekip Village, Lubuk Pakam District, Deli Serdang Regency, Indonesia.</w:t>
      </w:r>
    </w:p>
    <w:p w14:paraId="125E71E8">
      <w:pPr>
        <w:jc w:val="both"/>
        <w:rPr>
          <w:rFonts w:ascii="Times New Roman" w:hAnsi="Times New Roman" w:cs="Times New Roman"/>
        </w:rPr>
      </w:pPr>
      <w:r>
        <w:rPr>
          <w:rFonts w:ascii="Times New Roman" w:hAnsi="Times New Roman" w:cs="Times New Roman"/>
        </w:rPr>
        <w:t>Researcher. (2024). Preliminary interview document with managers and stakeholders of BUMDes Al Barokah Sekip (Unpublished field data). Sekip Village, Lubuk Pakam District, Deli Serdang Regency, Indonesia.</w:t>
      </w:r>
    </w:p>
    <w:p w14:paraId="4C4494F1">
      <w:pPr>
        <w:jc w:val="both"/>
        <w:rPr>
          <w:rFonts w:ascii="Times New Roman" w:hAnsi="Times New Roman" w:cs="Times New Roman"/>
        </w:rPr>
      </w:pPr>
      <w:r>
        <w:rPr>
          <w:rFonts w:ascii="Times New Roman" w:hAnsi="Times New Roman" w:cs="Times New Roman"/>
        </w:rPr>
        <w:t>Prasetyo, R. A. (2017). The role of Village-Owned Enterprises (BUMDes) in the development and empowerment of rural communities (Study at BUMDes Pejambon Village, Sumberrejo District). Dialektika Journal, 11(1), 86–100.</w:t>
      </w:r>
    </w:p>
    <w:p w14:paraId="7E12BC36">
      <w:pPr>
        <w:jc w:val="both"/>
        <w:rPr>
          <w:rFonts w:ascii="Times New Roman" w:hAnsi="Times New Roman" w:cs="Times New Roman"/>
        </w:rPr>
      </w:pPr>
      <w:r>
        <w:rPr>
          <w:rFonts w:ascii="Times New Roman" w:hAnsi="Times New Roman" w:cs="Times New Roman"/>
        </w:rPr>
        <w:t>Qosjim, A. (2017). Analysis of BUMDes performance in Lumajang Regency (Performance analysis of BUMDes in Jember District). Ekuilibrium: Scientific Journal in the Field of Economics, 2(1), 10–17.</w:t>
      </w:r>
    </w:p>
    <w:p w14:paraId="2FCB5B94">
      <w:pPr>
        <w:jc w:val="both"/>
        <w:rPr>
          <w:rFonts w:ascii="Times New Roman" w:hAnsi="Times New Roman" w:cs="Times New Roman"/>
        </w:rPr>
      </w:pPr>
      <w:r>
        <w:rPr>
          <w:rFonts w:ascii="Times New Roman" w:hAnsi="Times New Roman" w:cs="Times New Roman"/>
        </w:rPr>
        <w:t xml:space="preserve">Rangkuti, F. (2018). SWOT Analysis: Techniques for dissecting business cases. PT Gramedia Pustaka Utama. </w:t>
      </w:r>
    </w:p>
    <w:p w14:paraId="27850F43">
      <w:pPr>
        <w:jc w:val="both"/>
        <w:rPr>
          <w:rFonts w:ascii="Times New Roman" w:hAnsi="Times New Roman" w:cs="Times New Roman"/>
        </w:rPr>
      </w:pPr>
      <w:r>
        <w:rPr>
          <w:rFonts w:ascii="Times New Roman" w:hAnsi="Times New Roman" w:cs="Times New Roman"/>
        </w:rPr>
        <w:t xml:space="preserve">Republic of Indonesia. (2014). Law of the Republic of Indonesia Number 6 of 2014 concerning Villages. State Gazette of the Republic of Indonesia Year 2014 Number 7. </w:t>
      </w:r>
      <w:r>
        <w:fldChar w:fldCharType="begin"/>
      </w:r>
      <w:r>
        <w:instrText xml:space="preserve"> HYPERLINK "https://peraturan.bpk.go.id/Home/Details/38679/uu-no-6-tahun-2014-tentang-desa" </w:instrText>
      </w:r>
      <w:r>
        <w:fldChar w:fldCharType="separate"/>
      </w:r>
      <w:r>
        <w:rPr>
          <w:rStyle w:val="16"/>
          <w:rFonts w:ascii="Times New Roman" w:hAnsi="Times New Roman" w:cs="Times New Roman"/>
        </w:rPr>
        <w:t>https://peraturan.bpk.go.id/Home/Details/38679/uu-no-6-tahun-2014-tentang-desa</w:t>
      </w:r>
      <w:r>
        <w:rPr>
          <w:rStyle w:val="16"/>
          <w:rFonts w:ascii="Times New Roman" w:hAnsi="Times New Roman" w:cs="Times New Roman"/>
        </w:rPr>
        <w:fldChar w:fldCharType="end"/>
      </w:r>
      <w:r>
        <w:rPr>
          <w:rFonts w:ascii="Times New Roman" w:hAnsi="Times New Roman" w:cs="Times New Roman"/>
        </w:rPr>
        <w:t xml:space="preserve"> </w:t>
      </w:r>
    </w:p>
    <w:p w14:paraId="36A756A8">
      <w:pPr>
        <w:jc w:val="both"/>
        <w:rPr>
          <w:rFonts w:ascii="Times New Roman" w:hAnsi="Times New Roman" w:cs="Times New Roman"/>
        </w:rPr>
      </w:pPr>
      <w:r>
        <w:rPr>
          <w:rFonts w:ascii="Times New Roman" w:hAnsi="Times New Roman" w:cs="Times New Roman"/>
        </w:rPr>
        <w:t xml:space="preserve">Setyobakti, M. H. (2017). Identification of business enterprises BUMDes based on social and economic aspects (Case study at BUMDes Ijen Lestari Tamansari village, Banyuwangi district). JEMA: Scientific Journal in the Field of Accounting and Management, 14(2), 101–112. </w:t>
      </w:r>
      <w:r>
        <w:fldChar w:fldCharType="begin"/>
      </w:r>
      <w:r>
        <w:instrText xml:space="preserve"> HYPERLINK "https://doi.org/10.31106/jema.v14i02.592" </w:instrText>
      </w:r>
      <w:r>
        <w:fldChar w:fldCharType="separate"/>
      </w:r>
      <w:r>
        <w:rPr>
          <w:rStyle w:val="16"/>
          <w:rFonts w:ascii="Times New Roman" w:hAnsi="Times New Roman" w:cs="Times New Roman"/>
        </w:rPr>
        <w:t>https://doi.org/10.31106/jema.v14i02.592</w:t>
      </w:r>
      <w:r>
        <w:rPr>
          <w:rStyle w:val="16"/>
          <w:rFonts w:ascii="Times New Roman" w:hAnsi="Times New Roman" w:cs="Times New Roman"/>
        </w:rPr>
        <w:fldChar w:fldCharType="end"/>
      </w:r>
      <w:r>
        <w:rPr>
          <w:rFonts w:ascii="Times New Roman" w:hAnsi="Times New Roman" w:cs="Times New Roman"/>
        </w:rPr>
        <w:t xml:space="preserve"> </w:t>
      </w:r>
    </w:p>
    <w:p w14:paraId="4CB4324A">
      <w:pPr>
        <w:jc w:val="both"/>
        <w:rPr>
          <w:rFonts w:ascii="Times New Roman" w:hAnsi="Times New Roman" w:cs="Times New Roman"/>
        </w:rPr>
      </w:pPr>
      <w:r>
        <w:rPr>
          <w:rFonts w:ascii="Times New Roman" w:hAnsi="Times New Roman" w:cs="Times New Roman"/>
        </w:rPr>
        <w:t xml:space="preserve">Sidik, F. (2015). Exploring local potential to realize village independence. JKAP (Journal of Policy and Public Administration), 19(2), 115–123. </w:t>
      </w:r>
      <w:r>
        <w:fldChar w:fldCharType="begin"/>
      </w:r>
      <w:r>
        <w:instrText xml:space="preserve"> HYPERLINK "https://doi.org/10.22146/jkap.796260" </w:instrText>
      </w:r>
      <w:r>
        <w:fldChar w:fldCharType="separate"/>
      </w:r>
      <w:r>
        <w:rPr>
          <w:rStyle w:val="16"/>
          <w:rFonts w:ascii="Times New Roman" w:hAnsi="Times New Roman" w:cs="Times New Roman"/>
        </w:rPr>
        <w:t>https://doi.org/10.22146/jkap.796260</w:t>
      </w:r>
      <w:r>
        <w:rPr>
          <w:rStyle w:val="16"/>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r>
    </w:p>
    <w:p w14:paraId="37FA10C2">
      <w:pPr>
        <w:jc w:val="both"/>
        <w:rPr>
          <w:rFonts w:ascii="Times New Roman" w:hAnsi="Times New Roman" w:cs="Times New Roman"/>
        </w:rPr>
      </w:pPr>
      <w:r>
        <w:rPr>
          <w:rFonts w:ascii="Times New Roman" w:hAnsi="Times New Roman" w:cs="Times New Roman"/>
        </w:rPr>
        <w:t xml:space="preserve">Situmorang, M., &amp; Irham, M. (2022). The Role of Village-Owned Enterprises as an effort to develop the community economy in Tembung Village, Percut Sei Tuan District, Deli Serdang Regency. Masharif Al-Syariah Journal: Journal of Islamic Economics and Banking, 7(4), 1292–1300. </w:t>
      </w:r>
      <w:r>
        <w:fldChar w:fldCharType="begin"/>
      </w:r>
      <w:r>
        <w:instrText xml:space="preserve"> HYPERLINK "https://doi.org/10.30651/jms.v7i4.13809" </w:instrText>
      </w:r>
      <w:r>
        <w:fldChar w:fldCharType="separate"/>
      </w:r>
      <w:r>
        <w:rPr>
          <w:rStyle w:val="16"/>
          <w:rFonts w:ascii="Times New Roman" w:hAnsi="Times New Roman" w:cs="Times New Roman"/>
        </w:rPr>
        <w:t>https://doi.org/10.30651/jms.v7i4.13809</w:t>
      </w:r>
      <w:r>
        <w:rPr>
          <w:rStyle w:val="16"/>
          <w:rFonts w:ascii="Times New Roman" w:hAnsi="Times New Roman" w:cs="Times New Roman"/>
        </w:rPr>
        <w:fldChar w:fldCharType="end"/>
      </w:r>
      <w:r>
        <w:rPr>
          <w:rFonts w:ascii="Times New Roman" w:hAnsi="Times New Roman" w:cs="Times New Roman"/>
        </w:rPr>
        <w:t xml:space="preserve"> </w:t>
      </w:r>
    </w:p>
    <w:p w14:paraId="0F61AE15">
      <w:pPr>
        <w:jc w:val="both"/>
        <w:rPr>
          <w:rFonts w:ascii="Times New Roman" w:hAnsi="Times New Roman" w:cs="Times New Roman"/>
        </w:rPr>
      </w:pPr>
      <w:r>
        <w:rPr>
          <w:rFonts w:ascii="Times New Roman" w:hAnsi="Times New Roman" w:cs="Times New Roman"/>
        </w:rPr>
        <w:t xml:space="preserve">Sugiyono. (2019). Quantitative, qualitative and R&amp;D research methods. Alphabet. </w:t>
      </w:r>
      <w:commentRangeStart w:id="21"/>
      <w:r>
        <w:fldChar w:fldCharType="begin"/>
      </w:r>
      <w:r>
        <w:instrText xml:space="preserve"> HYPERLINK "https://www.gramedia.com/products/metode-penelitian-kuantitatif-kualitatif-dan-rd-karya-prof-dr-sugiyono" </w:instrText>
      </w:r>
      <w:r>
        <w:fldChar w:fldCharType="separate"/>
      </w:r>
      <w:r>
        <w:rPr>
          <w:rStyle w:val="16"/>
          <w:rFonts w:ascii="Times New Roman" w:hAnsi="Times New Roman" w:cs="Times New Roman"/>
        </w:rPr>
        <w:t>https://www.gramedia.com/products/metode-penelitian-kuantitatif-kualitatif-dan-rd-karya-prof-dr-sugiyono</w:t>
      </w:r>
      <w:r>
        <w:rPr>
          <w:rStyle w:val="16"/>
          <w:rFonts w:ascii="Times New Roman" w:hAnsi="Times New Roman" w:cs="Times New Roman"/>
        </w:rPr>
        <w:fldChar w:fldCharType="end"/>
      </w:r>
      <w:r>
        <w:rPr>
          <w:rFonts w:ascii="Times New Roman" w:hAnsi="Times New Roman" w:cs="Times New Roman"/>
        </w:rPr>
        <w:t xml:space="preserve"> </w:t>
      </w:r>
      <w:commentRangeEnd w:id="21"/>
      <w:r>
        <w:commentReference w:id="21"/>
      </w:r>
    </w:p>
    <w:p w14:paraId="0BB530DF">
      <w:pPr>
        <w:jc w:val="both"/>
        <w:rPr>
          <w:rFonts w:ascii="Times New Roman" w:hAnsi="Times New Roman" w:cs="Times New Roman"/>
        </w:rPr>
      </w:pPr>
      <w:r>
        <w:rPr>
          <w:rFonts w:ascii="Times New Roman" w:hAnsi="Times New Roman" w:cs="Times New Roman"/>
        </w:rPr>
        <w:t xml:space="preserve">VeneKlasen, L., &amp; Miller, V. (2002). A new weave of power, people &amp; politics: The action guide for advocacy and citizen participation. Practical Action Publishing. </w:t>
      </w:r>
      <w:r>
        <w:fldChar w:fldCharType="begin"/>
      </w:r>
      <w:r>
        <w:instrText xml:space="preserve"> HYPERLINK "https://practicalactionpublishing.com/book/100/a-new-weave-of-power-people-and-politics" </w:instrText>
      </w:r>
      <w:r>
        <w:fldChar w:fldCharType="separate"/>
      </w:r>
      <w:r>
        <w:rPr>
          <w:rStyle w:val="16"/>
          <w:rFonts w:ascii="Times New Roman" w:hAnsi="Times New Roman" w:cs="Times New Roman"/>
        </w:rPr>
        <w:t>https://practicalactionpublishing.com/book/100/a-new-weave-of-power-people-and-politics</w:t>
      </w:r>
      <w:r>
        <w:rPr>
          <w:rStyle w:val="16"/>
          <w:rFonts w:ascii="Times New Roman" w:hAnsi="Times New Roman" w:cs="Times New Roman"/>
        </w:rPr>
        <w:fldChar w:fldCharType="end"/>
      </w:r>
      <w:r>
        <w:rPr>
          <w:rFonts w:ascii="Times New Roman" w:hAnsi="Times New Roman" w:cs="Times New Roman"/>
        </w:rPr>
        <w:t xml:space="preserve"> </w:t>
      </w:r>
    </w:p>
    <w:sectPr>
      <w:headerReference r:id="rId9" w:type="first"/>
      <w:footerReference r:id="rId12" w:type="first"/>
      <w:headerReference r:id="rId7" w:type="default"/>
      <w:footerReference r:id="rId10" w:type="default"/>
      <w:headerReference r:id="rId8" w:type="even"/>
      <w:footerReference r:id="rId11" w:type="even"/>
      <w:pgSz w:w="11907" w:h="16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BATU UMAR" w:date="2025-12-11T17:05:50Z" w:initials="S">
    <w:p w14:paraId="2F028768">
      <w:pPr>
        <w:jc w:val="center"/>
        <w:rPr>
          <w:rFonts w:hint="default" w:ascii="Arial" w:hAnsi="Arial" w:cs="Arial"/>
          <w:b/>
          <w:bCs/>
          <w:sz w:val="32"/>
          <w:szCs w:val="32"/>
          <w:lang w:val="en-US"/>
        </w:rPr>
      </w:pPr>
      <w:r>
        <w:rPr>
          <w:rFonts w:hint="default"/>
          <w:lang w:val="en-US"/>
        </w:rPr>
        <w:t xml:space="preserve">Analysis of the </w:t>
      </w:r>
      <w:r>
        <w:rPr>
          <w:rFonts w:ascii="Arial" w:hAnsi="Arial" w:cs="Arial"/>
          <w:b/>
          <w:bCs/>
          <w:sz w:val="32"/>
          <w:szCs w:val="32"/>
        </w:rPr>
        <w:t>Community Participation in Strengthening an Independent Village-Owned Enterprise (BUMDes) in Deli Serdang Regency, Indonesia</w:t>
      </w:r>
      <w:r>
        <w:rPr>
          <w:rFonts w:hint="default" w:ascii="Arial" w:hAnsi="Arial" w:cs="Arial"/>
          <w:b/>
          <w:bCs/>
          <w:sz w:val="32"/>
          <w:szCs w:val="32"/>
          <w:lang w:val="en-US"/>
        </w:rPr>
        <w:t>. The name of the village and district should be added to your methodology.</w:t>
      </w:r>
    </w:p>
    <w:p w14:paraId="2673C15A">
      <w:pPr>
        <w:pStyle w:val="13"/>
        <w:rPr>
          <w:rFonts w:hint="default"/>
          <w:lang w:val="en-US"/>
        </w:rPr>
      </w:pPr>
    </w:p>
  </w:comment>
  <w:comment w:id="1" w:author="SABATU UMAR" w:date="2025-12-11T17:10:51Z" w:initials="S">
    <w:p w14:paraId="675D5335">
      <w:pPr>
        <w:pStyle w:val="13"/>
        <w:rPr>
          <w:rFonts w:hint="default"/>
          <w:lang w:val="en-US"/>
        </w:rPr>
      </w:pPr>
      <w:r>
        <w:rPr>
          <w:rFonts w:hint="default"/>
          <w:lang w:val="en-US"/>
        </w:rPr>
        <w:t xml:space="preserve">This should be in a separate parenthesis </w:t>
      </w:r>
    </w:p>
  </w:comment>
  <w:comment w:id="2" w:author="SABATU UMAR" w:date="2025-12-11T17:07:44Z" w:initials="S">
    <w:p w14:paraId="0C8A7DF7">
      <w:pPr>
        <w:pStyle w:val="13"/>
        <w:rPr>
          <w:rFonts w:hint="default"/>
          <w:lang w:val="en-US"/>
        </w:rPr>
      </w:pPr>
      <w:r>
        <w:rPr>
          <w:rFonts w:hint="default"/>
          <w:lang w:val="en-US"/>
        </w:rPr>
        <w:t xml:space="preserve">How sampling method did you use in selecting respondents for this, how many of them?. </w:t>
      </w:r>
    </w:p>
  </w:comment>
  <w:comment w:id="3" w:author="SABATU UMAR" w:date="2025-12-11T17:04:09Z" w:initials="S">
    <w:p w14:paraId="01337F45">
      <w:pPr>
        <w:pStyle w:val="13"/>
        <w:rPr>
          <w:rFonts w:hint="default"/>
          <w:lang w:val="en-US"/>
        </w:rPr>
      </w:pPr>
      <w:r>
        <w:rPr>
          <w:rFonts w:hint="default"/>
          <w:lang w:val="en-US"/>
        </w:rPr>
        <w:t>Add recommendation and conclusion briefly. Be mindful of the wordiings of your abstract.</w:t>
      </w:r>
    </w:p>
  </w:comment>
  <w:comment w:id="5" w:author="SABATU UMAR" w:date="2025-12-11T17:08:53Z" w:initials="S">
    <w:p w14:paraId="79C86F21">
      <w:pPr>
        <w:pStyle w:val="13"/>
        <w:rPr>
          <w:rFonts w:hint="default"/>
          <w:lang w:val="en-US"/>
        </w:rPr>
      </w:pPr>
      <w:r>
        <w:rPr>
          <w:rFonts w:hint="default"/>
          <w:lang w:val="en-US"/>
        </w:rPr>
        <w:t>Remove and replace with comma where necessary.</w:t>
      </w:r>
    </w:p>
  </w:comment>
  <w:comment w:id="4" w:author="SABATU UMAR" w:date="2025-12-11T17:09:34Z" w:initials="S">
    <w:p w14:paraId="181BDA08">
      <w:pPr>
        <w:pStyle w:val="13"/>
        <w:rPr>
          <w:rFonts w:hint="default"/>
          <w:lang w:val="en-US"/>
        </w:rPr>
      </w:pPr>
      <w:r>
        <w:rPr>
          <w:rFonts w:hint="default"/>
          <w:lang w:val="en-US"/>
        </w:rPr>
        <w:t>Provide recent citation for the assertion.</w:t>
      </w:r>
    </w:p>
  </w:comment>
  <w:comment w:id="6" w:author="SABATU UMAR" w:date="2025-12-11T17:12:09Z" w:initials="S">
    <w:p w14:paraId="05D812C9">
      <w:pPr>
        <w:pStyle w:val="13"/>
        <w:rPr>
          <w:rFonts w:hint="default"/>
          <w:lang w:val="en-US"/>
        </w:rPr>
      </w:pPr>
      <w:r>
        <w:rPr>
          <w:rFonts w:hint="default"/>
          <w:lang w:val="en-US"/>
        </w:rPr>
        <w:t>?</w:t>
      </w:r>
    </w:p>
  </w:comment>
  <w:comment w:id="7" w:author="SABATU UMAR" w:date="2025-12-11T17:10:13Z" w:initials="S">
    <w:p w14:paraId="3CF42742">
      <w:pPr>
        <w:pStyle w:val="13"/>
        <w:rPr>
          <w:rFonts w:hint="default"/>
          <w:lang w:val="en-US"/>
        </w:rPr>
      </w:pPr>
      <w:r>
        <w:rPr>
          <w:rFonts w:hint="default"/>
          <w:lang w:val="en-US"/>
        </w:rPr>
        <w:t>remove</w:t>
      </w:r>
    </w:p>
  </w:comment>
  <w:comment w:id="8" w:author="SABATU UMAR" w:date="2025-12-11T17:12:22Z" w:initials="S">
    <w:p w14:paraId="39118935">
      <w:pPr>
        <w:pStyle w:val="13"/>
        <w:rPr>
          <w:rFonts w:hint="default"/>
          <w:lang w:val="en-US"/>
        </w:rPr>
      </w:pPr>
      <w:r>
        <w:rPr>
          <w:rFonts w:hint="default"/>
          <w:lang w:val="en-US"/>
        </w:rPr>
        <w:t>Too old, you made need to validate it with recent work.</w:t>
      </w:r>
    </w:p>
  </w:comment>
  <w:comment w:id="9" w:author="SABATU UMAR" w:date="2025-12-11T17:13:30Z" w:initials="S">
    <w:p w14:paraId="165CFED0">
      <w:pPr>
        <w:pStyle w:val="13"/>
        <w:rPr>
          <w:rFonts w:hint="default"/>
          <w:lang w:val="en-US"/>
        </w:rPr>
      </w:pPr>
      <w:r>
        <w:rPr>
          <w:rFonts w:hint="default"/>
          <w:lang w:val="en-US"/>
        </w:rPr>
        <w:t>Start with the description of your study area (</w:t>
      </w:r>
      <w:r>
        <w:rPr>
          <w:rFonts w:ascii="Arial" w:hAnsi="Arial" w:cs="Arial"/>
          <w:b/>
          <w:bCs/>
          <w:sz w:val="32"/>
          <w:szCs w:val="32"/>
        </w:rPr>
        <w:t>Sekip Village, Lubuk Pakam District, Deli Serdang Regency, Indonesia</w:t>
      </w:r>
      <w:r>
        <w:rPr>
          <w:rFonts w:hint="default"/>
          <w:lang w:val="en-US"/>
        </w:rPr>
        <w:t>)</w:t>
      </w:r>
    </w:p>
  </w:comment>
  <w:comment w:id="11" w:author="SABATU UMAR" w:date="2025-12-11T17:14:23Z" w:initials="S">
    <w:p w14:paraId="5398572F">
      <w:pPr>
        <w:pStyle w:val="13"/>
        <w:rPr>
          <w:rFonts w:hint="default"/>
          <w:lang w:val="en-US"/>
        </w:rPr>
      </w:pPr>
      <w:r>
        <w:rPr>
          <w:rFonts w:hint="default"/>
          <w:lang w:val="en-US"/>
        </w:rPr>
        <w:t>This should be 2.1</w:t>
      </w:r>
    </w:p>
  </w:comment>
  <w:comment w:id="12" w:author="SABATU UMAR" w:date="2025-12-11T17:17:12Z" w:initials="S">
    <w:p w14:paraId="58ADD47A">
      <w:pPr>
        <w:pStyle w:val="13"/>
        <w:rPr>
          <w:rFonts w:hint="default"/>
          <w:lang w:val="en-US"/>
        </w:rPr>
      </w:pPr>
      <w:r>
        <w:rPr>
          <w:rFonts w:hint="default"/>
          <w:lang w:val="en-US"/>
        </w:rPr>
        <w:t>This is critical to what you presented in result and discussion section. If you only reviewed these secondary resources, change it to ‘Secondary source of information’. If you collected quantitative data from the secondary resources you reviewed during the research,  it becomes ‘Secondary data’ which you have to analyze and present the table(s) before or after discussion. Reconcile.</w:t>
      </w:r>
    </w:p>
  </w:comment>
  <w:comment w:id="13" w:author="SABATU UMAR" w:date="2025-12-11T17:23:59Z" w:initials="S">
    <w:p w14:paraId="6C9BF1A9">
      <w:pPr>
        <w:pStyle w:val="13"/>
        <w:rPr>
          <w:rFonts w:hint="default"/>
          <w:lang w:val="en-US"/>
        </w:rPr>
      </w:pPr>
      <w:r>
        <w:rPr>
          <w:rFonts w:hint="default"/>
          <w:lang w:val="en-US"/>
        </w:rPr>
        <w:t>How many people were involved in this?</w:t>
      </w:r>
    </w:p>
  </w:comment>
  <w:comment w:id="14" w:author="SABATU UMAR" w:date="2025-12-11T17:27:05Z" w:initials="S">
    <w:p w14:paraId="62FABBB3">
      <w:pPr>
        <w:pStyle w:val="13"/>
        <w:rPr>
          <w:rFonts w:hint="default"/>
          <w:lang w:val="en-US"/>
        </w:rPr>
      </w:pPr>
      <w:r>
        <w:rPr>
          <w:rFonts w:hint="default"/>
          <w:lang w:val="en-US"/>
        </w:rPr>
        <w:t>You should at least present the findings from your descriptive analysis in a table(s), interpret it before validating it with the qualitative findings.</w:t>
      </w:r>
    </w:p>
  </w:comment>
  <w:comment w:id="15" w:author="SABATU UMAR" w:date="2025-12-11T17:29:57Z" w:initials="S">
    <w:p w14:paraId="6D113B86">
      <w:pPr>
        <w:pStyle w:val="13"/>
        <w:rPr>
          <w:rFonts w:hint="default"/>
          <w:lang w:val="en-US"/>
        </w:rPr>
      </w:pPr>
      <w:r>
        <w:rPr>
          <w:rFonts w:hint="default"/>
          <w:lang w:val="en-US"/>
        </w:rPr>
        <w:t>You didn’t validate your qualitative instrument?</w:t>
      </w:r>
    </w:p>
  </w:comment>
  <w:comment w:id="16" w:author="SABATU UMAR" w:date="2025-12-11T17:30:51Z" w:initials="S">
    <w:p w14:paraId="4E0F937C">
      <w:pPr>
        <w:pStyle w:val="13"/>
        <w:rPr>
          <w:rFonts w:hint="default"/>
          <w:lang w:val="en-US"/>
        </w:rPr>
      </w:pPr>
      <w:r>
        <w:rPr>
          <w:rFonts w:hint="default"/>
          <w:lang w:val="en-US"/>
        </w:rPr>
        <w:t xml:space="preserve">3.1. ‘Result’ </w:t>
      </w:r>
    </w:p>
  </w:comment>
  <w:comment w:id="10" w:author="SABATU UMAR" w:date="2025-12-11T17:31:14Z" w:initials="S">
    <w:p w14:paraId="3A35D5F0">
      <w:pPr>
        <w:pStyle w:val="13"/>
        <w:rPr>
          <w:rFonts w:hint="default"/>
          <w:lang w:val="en-US"/>
        </w:rPr>
      </w:pPr>
      <w:r>
        <w:rPr>
          <w:rFonts w:hint="default"/>
          <w:lang w:val="en-US"/>
        </w:rPr>
        <w:t>You did not back your discussions up with similar work that has been done. May be you should do empirical review.</w:t>
      </w:r>
    </w:p>
  </w:comment>
  <w:comment w:id="17" w:author="SABATU UMAR" w:date="2025-12-11T17:32:37Z" w:initials="S">
    <w:p w14:paraId="4D158FC6">
      <w:pPr>
        <w:pStyle w:val="13"/>
        <w:rPr>
          <w:rFonts w:hint="default"/>
          <w:lang w:val="en-US"/>
        </w:rPr>
      </w:pPr>
      <w:r>
        <w:rPr>
          <w:rFonts w:hint="default"/>
          <w:lang w:val="en-US"/>
        </w:rPr>
        <w:t>remove</w:t>
      </w:r>
    </w:p>
  </w:comment>
  <w:comment w:id="18" w:author="SABATU UMAR" w:date="2025-12-11T17:35:41Z" w:initials="S">
    <w:p w14:paraId="360B5590">
      <w:pPr>
        <w:pStyle w:val="13"/>
        <w:rPr>
          <w:rFonts w:hint="default"/>
          <w:lang w:val="en-US"/>
        </w:rPr>
      </w:pPr>
      <w:r>
        <w:rPr>
          <w:rFonts w:hint="default"/>
          <w:lang w:val="en-US"/>
        </w:rPr>
        <w:t>Follow a single format for the references</w:t>
      </w:r>
    </w:p>
  </w:comment>
  <w:comment w:id="19" w:author="SABATU UMAR" w:date="2025-12-11T17:36:25Z" w:initials="S">
    <w:p w14:paraId="3DCDECED">
      <w:pPr>
        <w:pStyle w:val="13"/>
        <w:rPr>
          <w:rFonts w:hint="default"/>
          <w:lang w:val="en-US"/>
        </w:rPr>
      </w:pPr>
      <w:r>
        <w:rPr>
          <w:rFonts w:hint="default"/>
          <w:lang w:val="en-US"/>
        </w:rPr>
        <w:t>If this is a journal name, italicize.</w:t>
      </w:r>
    </w:p>
  </w:comment>
  <w:comment w:id="20" w:author="SABATU UMAR" w:date="2025-12-11T17:37:00Z" w:initials="S">
    <w:p w14:paraId="77358F67">
      <w:pPr>
        <w:pStyle w:val="13"/>
        <w:rPr>
          <w:rFonts w:hint="default"/>
          <w:lang w:val="en-US"/>
        </w:rPr>
      </w:pPr>
      <w:r>
        <w:rPr>
          <w:rFonts w:hint="default"/>
          <w:lang w:val="en-US"/>
        </w:rPr>
        <w:t>Italicize. Effect all affected.</w:t>
      </w:r>
    </w:p>
  </w:comment>
  <w:comment w:id="21" w:author="SABATU UMAR" w:date="2025-12-11T17:35:00Z" w:initials="S">
    <w:p w14:paraId="5AF1D2D0">
      <w:pPr>
        <w:pStyle w:val="13"/>
        <w:rPr>
          <w:rFonts w:hint="default"/>
          <w:lang w:val="en-US"/>
        </w:rPr>
      </w:pPr>
      <w:r>
        <w:rPr>
          <w:rFonts w:hint="default"/>
          <w:lang w:val="en-US"/>
        </w:rPr>
        <w:t>Add the date of retrieval, effect all through.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73C15A" w15:done="0"/>
  <w15:commentEx w15:paraId="675D5335" w15:done="0"/>
  <w15:commentEx w15:paraId="0C8A7DF7" w15:done="0"/>
  <w15:commentEx w15:paraId="01337F45" w15:done="0"/>
  <w15:commentEx w15:paraId="79C86F21" w15:done="0"/>
  <w15:commentEx w15:paraId="181BDA08" w15:done="0"/>
  <w15:commentEx w15:paraId="05D812C9" w15:done="0"/>
  <w15:commentEx w15:paraId="3CF42742" w15:done="0"/>
  <w15:commentEx w15:paraId="39118935" w15:done="0"/>
  <w15:commentEx w15:paraId="165CFED0" w15:done="0"/>
  <w15:commentEx w15:paraId="5398572F" w15:done="0"/>
  <w15:commentEx w15:paraId="58ADD47A" w15:done="0"/>
  <w15:commentEx w15:paraId="6C9BF1A9" w15:done="0"/>
  <w15:commentEx w15:paraId="62FABBB3" w15:done="0"/>
  <w15:commentEx w15:paraId="6D113B86" w15:done="0"/>
  <w15:commentEx w15:paraId="4E0F937C" w15:done="0"/>
  <w15:commentEx w15:paraId="3A35D5F0" w15:done="0"/>
  <w15:commentEx w15:paraId="4D158FC6" w15:done="0"/>
  <w15:commentEx w15:paraId="360B5590" w15:done="0"/>
  <w15:commentEx w15:paraId="3DCDECED" w15:done="0"/>
  <w15:commentEx w15:paraId="77358F67" w15:done="0"/>
  <w15:commentEx w15:paraId="5AF1D2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4E4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F0B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559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C35C">
    <w:pPr>
      <w:pStyle w:val="15"/>
    </w:pPr>
    <w:r>
      <w:pict>
        <v:shape id="PowerPlusWaterMarkObject702995830" o:spid="_x0000_s2051" o:spt="136" type="#_x0000_t136" style="position:absolute;left:0pt;height:64.5pt;width:571.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94E1">
    <w:pPr>
      <w:pStyle w:val="15"/>
    </w:pPr>
    <w:r>
      <w:pict>
        <v:shape id="PowerPlusWaterMarkObject702995829" o:spid="_x0000_s2050" o:spt="136" type="#_x0000_t136" style="position:absolute;left:0pt;height:64.5pt;width:571.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7D50">
    <w:pPr>
      <w:pStyle w:val="15"/>
    </w:pPr>
    <w:r>
      <w:pict>
        <v:shape id="PowerPlusWaterMarkObject702995828" o:spid="_x0000_s2049" o:spt="136" type="#_x0000_t136" style="position:absolute;left:0pt;height:64.5pt;width:571.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7C0D"/>
    <w:multiLevelType w:val="multilevel"/>
    <w:tmpl w:val="1E7E7C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A73376B"/>
    <w:multiLevelType w:val="multilevel"/>
    <w:tmpl w:val="2A73376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B756F47"/>
    <w:multiLevelType w:val="multilevel"/>
    <w:tmpl w:val="2B756F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DCE02E1"/>
    <w:multiLevelType w:val="multilevel"/>
    <w:tmpl w:val="2DCE02E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E763C95"/>
    <w:multiLevelType w:val="multilevel"/>
    <w:tmpl w:val="4E763C9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BATU UMAR">
    <w15:presenceInfo w15:providerId="None" w15:userId="SABATU 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E0"/>
    <w:rsid w:val="00004A37"/>
    <w:rsid w:val="00010050"/>
    <w:rsid w:val="0002520C"/>
    <w:rsid w:val="0003017B"/>
    <w:rsid w:val="001505E1"/>
    <w:rsid w:val="00184DCD"/>
    <w:rsid w:val="0019793E"/>
    <w:rsid w:val="00203B96"/>
    <w:rsid w:val="00263663"/>
    <w:rsid w:val="00273C19"/>
    <w:rsid w:val="00281F14"/>
    <w:rsid w:val="002A34A9"/>
    <w:rsid w:val="0037701D"/>
    <w:rsid w:val="00384363"/>
    <w:rsid w:val="00431815"/>
    <w:rsid w:val="004E7B9E"/>
    <w:rsid w:val="006041E0"/>
    <w:rsid w:val="0066331F"/>
    <w:rsid w:val="00802950"/>
    <w:rsid w:val="009865F0"/>
    <w:rsid w:val="009B10D3"/>
    <w:rsid w:val="009B4DBB"/>
    <w:rsid w:val="00AF7451"/>
    <w:rsid w:val="00BA3CB1"/>
    <w:rsid w:val="00BA520A"/>
    <w:rsid w:val="00C54647"/>
    <w:rsid w:val="00D23CEF"/>
    <w:rsid w:val="00D4229F"/>
    <w:rsid w:val="00DA7A39"/>
    <w:rsid w:val="00E05518"/>
    <w:rsid w:val="00F047FB"/>
    <w:rsid w:val="00FB59DD"/>
    <w:rsid w:val="00FD1295"/>
    <w:rsid w:val="00FF270E"/>
    <w:rsid w:val="00FF621C"/>
    <w:rsid w:val="54EA7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1"/>
    <w:unhideWhenUsed/>
    <w:uiPriority w:val="99"/>
    <w:pPr>
      <w:tabs>
        <w:tab w:val="center" w:pos="4680"/>
        <w:tab w:val="right" w:pos="9360"/>
      </w:tabs>
      <w:spacing w:after="0" w:line="240" w:lineRule="auto"/>
    </w:pPr>
  </w:style>
  <w:style w:type="paragraph" w:styleId="15">
    <w:name w:val="header"/>
    <w:basedOn w:val="1"/>
    <w:link w:val="40"/>
    <w:unhideWhenUsed/>
    <w:uiPriority w:val="99"/>
    <w:pPr>
      <w:tabs>
        <w:tab w:val="center" w:pos="4680"/>
        <w:tab w:val="right" w:pos="9360"/>
      </w:tabs>
      <w:spacing w:after="0" w:line="240" w:lineRule="auto"/>
    </w:pPr>
  </w:style>
  <w:style w:type="character" w:styleId="16">
    <w:name w:val="Hyperlink"/>
    <w:basedOn w:val="11"/>
    <w:unhideWhenUsed/>
    <w:qFormat/>
    <w:uiPriority w:val="99"/>
    <w:rPr>
      <w:color w:val="467886" w:themeColor="hyperlink"/>
      <w:u w:val="single"/>
      <w14:textFill>
        <w14:solidFill>
          <w14:schemeClr w14:val="hlink"/>
        </w14:solidFill>
      </w14:textFill>
    </w:rPr>
  </w:style>
  <w:style w:type="paragraph" w:styleId="17">
    <w:name w:val="Normal (Web)"/>
    <w:basedOn w:val="1"/>
    <w:semiHidden/>
    <w:unhideWhenUsed/>
    <w:qFormat/>
    <w:uiPriority w:val="99"/>
    <w:rPr>
      <w:rFonts w:ascii="Times New Roman" w:hAnsi="Times New Roman" w:cs="Times New Roman"/>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1"/>
    <w:link w:val="5"/>
    <w:semiHidden/>
    <w:uiPriority w:val="9"/>
    <w:rPr>
      <w:rFonts w:eastAsiaTheme="majorEastAsia" w:cstheme="majorBidi"/>
      <w:i/>
      <w:iCs/>
      <w:color w:val="104862" w:themeColor="accent1" w:themeShade="BF"/>
    </w:rPr>
  </w:style>
  <w:style w:type="character" w:customStyle="1" w:styleId="25">
    <w:name w:val="Heading 5 Char"/>
    <w:basedOn w:val="11"/>
    <w:link w:val="6"/>
    <w:semiHidden/>
    <w:uiPriority w:val="9"/>
    <w:rPr>
      <w:rFonts w:eastAsiaTheme="majorEastAsia" w:cstheme="majorBidi"/>
      <w:color w:val="104862" w:themeColor="accent1" w:themeShade="BF"/>
    </w:rPr>
  </w:style>
  <w:style w:type="character" w:customStyle="1" w:styleId="26">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Unresolved Mention"/>
    <w:basedOn w:val="11"/>
    <w:semiHidden/>
    <w:unhideWhenUsed/>
    <w:uiPriority w:val="99"/>
    <w:rPr>
      <w:color w:val="605E5C"/>
      <w:shd w:val="clear" w:color="auto" w:fill="E1DFDD"/>
    </w:rPr>
  </w:style>
  <w:style w:type="character" w:customStyle="1" w:styleId="40">
    <w:name w:val="Header Char"/>
    <w:basedOn w:val="11"/>
    <w:link w:val="15"/>
    <w:uiPriority w:val="99"/>
  </w:style>
  <w:style w:type="character" w:customStyle="1" w:styleId="41">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7189</Words>
  <Characters>40978</Characters>
  <Lines>341</Lines>
  <Paragraphs>96</Paragraphs>
  <TotalTime>32</TotalTime>
  <ScaleCrop>false</ScaleCrop>
  <LinksUpToDate>false</LinksUpToDate>
  <CharactersWithSpaces>48071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2025-12-10T03:27:00Z</dcterms:created>
  <dc:creator>Software Solution</dc:creator>
  <cp:lastModifiedBy>SABATU UMAR</cp:lastModifiedBy>
  <dcterms:modified xsi:type="dcterms:W3CDTF">2025-12-11T16:45:27Z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1AD14DD57AAF46D5B223EB1EB75018CB_12</vt:lpwstr>
  </property>
</Properties>
</file>