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31B9D1" w14:textId="77777777" w:rsidR="00754C9A" w:rsidRDefault="00754C9A" w:rsidP="00441B6F">
      <w:pPr>
        <w:pStyle w:val="Title"/>
        <w:spacing w:after="0"/>
        <w:jc w:val="both"/>
        <w:rPr>
          <w:rFonts w:ascii="Arial" w:hAnsi="Arial" w:cs="Arial"/>
        </w:rPr>
      </w:pPr>
    </w:p>
    <w:p w14:paraId="4FB2548D" w14:textId="77777777" w:rsidR="00AC6973" w:rsidRPr="00AC6973" w:rsidRDefault="00AC6973" w:rsidP="00AC6973">
      <w:pPr>
        <w:pStyle w:val="Author"/>
        <w:spacing w:line="240" w:lineRule="auto"/>
        <w:rPr>
          <w:rFonts w:ascii="Arial" w:hAnsi="Arial" w:cs="Arial"/>
          <w:bCs/>
          <w:iCs/>
          <w:kern w:val="28"/>
          <w:sz w:val="36"/>
        </w:rPr>
      </w:pPr>
      <w:r w:rsidRPr="00AC6973">
        <w:rPr>
          <w:rFonts w:ascii="Arial" w:hAnsi="Arial" w:cs="Arial"/>
          <w:bCs/>
          <w:iCs/>
          <w:kern w:val="28"/>
          <w:sz w:val="36"/>
        </w:rPr>
        <w:t xml:space="preserve">Implementation of Minimum Service Standards for Public Housing for Vulnerable Groups in </w:t>
      </w:r>
      <w:proofErr w:type="spellStart"/>
      <w:r w:rsidRPr="00AC6973">
        <w:rPr>
          <w:rFonts w:ascii="Arial" w:hAnsi="Arial" w:cs="Arial"/>
          <w:bCs/>
          <w:iCs/>
          <w:kern w:val="28"/>
          <w:sz w:val="36"/>
        </w:rPr>
        <w:t>Pohuwato</w:t>
      </w:r>
      <w:proofErr w:type="spellEnd"/>
      <w:r w:rsidRPr="00AC6973">
        <w:rPr>
          <w:rFonts w:ascii="Arial" w:hAnsi="Arial" w:cs="Arial"/>
          <w:bCs/>
          <w:iCs/>
          <w:kern w:val="28"/>
          <w:sz w:val="36"/>
        </w:rPr>
        <w:t xml:space="preserve"> Regency</w:t>
      </w:r>
    </w:p>
    <w:p w14:paraId="076285F5" w14:textId="77777777" w:rsidR="00163BC4" w:rsidRPr="00163BC4" w:rsidRDefault="00231920" w:rsidP="00441B6F">
      <w:pPr>
        <w:pStyle w:val="Author"/>
        <w:spacing w:line="240" w:lineRule="auto"/>
        <w:rPr>
          <w:rFonts w:ascii="Arial" w:hAnsi="Arial" w:cs="Arial"/>
          <w:bCs/>
          <w:iCs/>
          <w:kern w:val="28"/>
          <w:sz w:val="36"/>
        </w:rPr>
      </w:pPr>
      <w:r>
        <w:rPr>
          <w:rFonts w:ascii="Arial" w:hAnsi="Arial" w:cs="Arial"/>
          <w:bCs/>
          <w:iCs/>
          <w:kern w:val="28"/>
          <w:sz w:val="36"/>
        </w:rPr>
        <w:t xml:space="preserve"> </w:t>
      </w:r>
    </w:p>
    <w:p w14:paraId="69B9CE96" w14:textId="77777777" w:rsidR="00A258C3" w:rsidRPr="00790ADA" w:rsidRDefault="00A258C3" w:rsidP="00441B6F">
      <w:pPr>
        <w:pStyle w:val="Author"/>
        <w:spacing w:line="240" w:lineRule="auto"/>
        <w:jc w:val="both"/>
        <w:rPr>
          <w:rFonts w:ascii="Arial" w:hAnsi="Arial" w:cs="Arial"/>
          <w:sz w:val="36"/>
        </w:rPr>
      </w:pPr>
    </w:p>
    <w:p w14:paraId="0C27A2C3" w14:textId="77777777" w:rsidR="00B01FCD" w:rsidRPr="00FB3A86" w:rsidRDefault="00493559" w:rsidP="00441B6F">
      <w:pPr>
        <w:pStyle w:val="Copyright"/>
        <w:spacing w:after="0" w:line="240" w:lineRule="auto"/>
        <w:jc w:val="both"/>
        <w:rPr>
          <w:rFonts w:ascii="Arial" w:hAnsi="Arial" w:cs="Arial"/>
        </w:rPr>
        <w:sectPr w:rsidR="00B01FCD" w:rsidRPr="00FB3A86" w:rsidSect="00FF05A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ECA1DF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679BC51D" w14:textId="77777777"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14:paraId="5DE5E52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3DE57ED" w14:textId="77777777" w:rsidTr="001E44FE">
        <w:tc>
          <w:tcPr>
            <w:tcW w:w="9576" w:type="dxa"/>
            <w:shd w:val="clear" w:color="auto" w:fill="F2F2F2"/>
          </w:tcPr>
          <w:p w14:paraId="57957138" w14:textId="77777777" w:rsidR="00AC6973" w:rsidRPr="00AC6973" w:rsidRDefault="00AC6973" w:rsidP="00AC6973">
            <w:pPr>
              <w:pStyle w:val="Body"/>
              <w:spacing w:after="0"/>
              <w:rPr>
                <w:rFonts w:ascii="Arial" w:eastAsia="Calibri" w:hAnsi="Arial" w:cs="Arial"/>
                <w:szCs w:val="22"/>
              </w:rPr>
            </w:pPr>
            <w:r w:rsidRPr="00AC6973">
              <w:rPr>
                <w:rFonts w:ascii="Arial" w:eastAsia="Calibri" w:hAnsi="Arial" w:cs="Arial"/>
                <w:szCs w:val="22"/>
              </w:rPr>
              <w:t xml:space="preserve">This study aims to analyze the implementation of Minimum Service Standards (SPM) in the field of public housing in </w:t>
            </w:r>
            <w:proofErr w:type="spellStart"/>
            <w:r w:rsidRPr="00AC6973">
              <w:rPr>
                <w:rFonts w:ascii="Arial" w:eastAsia="Calibri" w:hAnsi="Arial" w:cs="Arial"/>
                <w:szCs w:val="22"/>
              </w:rPr>
              <w:t>Pohuwato</w:t>
            </w:r>
            <w:proofErr w:type="spellEnd"/>
            <w:r w:rsidRPr="00AC6973">
              <w:rPr>
                <w:rFonts w:ascii="Arial" w:eastAsia="Calibri" w:hAnsi="Arial" w:cs="Arial"/>
                <w:szCs w:val="22"/>
              </w:rPr>
              <w:t xml:space="preserve"> Regency by linking the perspectives of multi-level governance, policy capacity, and integrative capacity to explain the determining factors of achieving livable housing services for vulnerable groups. The approach used is descriptive qualitative through case studies </w:t>
            </w:r>
            <w:commentRangeStart w:id="0"/>
            <w:r w:rsidRPr="00224CC1">
              <w:rPr>
                <w:rFonts w:ascii="Arial" w:eastAsia="Calibri" w:hAnsi="Arial" w:cs="Arial"/>
                <w:color w:val="FF0000"/>
                <w:szCs w:val="22"/>
              </w:rPr>
              <w:t>at the</w:t>
            </w:r>
            <w:r w:rsidRPr="00AC6973">
              <w:rPr>
                <w:rFonts w:ascii="Arial" w:eastAsia="Calibri" w:hAnsi="Arial" w:cs="Arial"/>
                <w:szCs w:val="22"/>
              </w:rPr>
              <w:t xml:space="preserve"> </w:t>
            </w:r>
            <w:commentRangeEnd w:id="0"/>
            <w:r w:rsidR="00224CC1">
              <w:rPr>
                <w:rStyle w:val="CommentReference"/>
                <w:rFonts w:ascii="Times New Roman" w:hAnsi="Times New Roman"/>
                <w:lang w:val="nb-NO" w:eastAsia="nb-NO"/>
              </w:rPr>
              <w:commentReference w:id="0"/>
            </w:r>
            <w:r w:rsidRPr="00AC6973">
              <w:rPr>
                <w:rFonts w:ascii="Arial" w:eastAsia="Calibri" w:hAnsi="Arial" w:cs="Arial"/>
                <w:szCs w:val="22"/>
              </w:rPr>
              <w:t>PERKIM Office and BPBD, with in-depth interviews, observations, and documentation studies; data were analyzed using the Miles–Huberman interactive model with credibility testing. The results of the study show a functional governance architecture with a relatively clear division of roles between BPBD, PERKIM, BAPPEDA, and the Government Division, but there are still regulatory gaps due to the absence of a standard Regent Regulation and SOP for housing SPM. SPM achievements are incremental: in 2024, only five housing units were built with assistance of Rp7.5–40 million per unit, although substantively targeted at poor households and disaster victims with severe damage. The key findings of this study identify three main determinants of SPM implementation, namely limited fiscal capacity and heavy dependence on external support, institutional capacity constrained by the number and distribution of technical human resources, and immature regulatory capacity resulting in many procedures being carried out informally. The study concludes that strengthening regional regulations, institutionalized cross-agency coordination mechanisms, medium-term financing planning, and investment in technical capacity are prerequisites for improving the ability of regions to fulfill the right to adequate housing as mandated by the SPM for public housing. Theoretically, this study enriches the MSL discourse through the integration of three state capacity frameworks, while practically providing a basis for local governments with low fiscal capacity to design strategies for fulfilling the MSL for housing that are more equitable and disaster-resilient.</w:t>
            </w:r>
          </w:p>
          <w:p w14:paraId="1B255FF1" w14:textId="77777777" w:rsidR="00505F06" w:rsidRPr="00BA1B01" w:rsidRDefault="00505F06" w:rsidP="00441B6F">
            <w:pPr>
              <w:pStyle w:val="Body"/>
              <w:spacing w:after="0"/>
              <w:rPr>
                <w:rFonts w:ascii="Arial" w:eastAsia="Calibri" w:hAnsi="Arial" w:cs="Arial"/>
                <w:szCs w:val="22"/>
              </w:rPr>
            </w:pPr>
          </w:p>
        </w:tc>
      </w:tr>
    </w:tbl>
    <w:p w14:paraId="03DFDB7E" w14:textId="77777777" w:rsidR="00636EB2" w:rsidRDefault="00636EB2" w:rsidP="00441B6F">
      <w:pPr>
        <w:pStyle w:val="Body"/>
        <w:spacing w:after="0"/>
        <w:rPr>
          <w:rFonts w:ascii="Arial" w:hAnsi="Arial" w:cs="Arial"/>
          <w:i/>
        </w:rPr>
      </w:pPr>
    </w:p>
    <w:p w14:paraId="3DF433AF" w14:textId="77777777" w:rsidR="00A24E7E" w:rsidRDefault="00A24E7E" w:rsidP="00441B6F">
      <w:pPr>
        <w:pStyle w:val="Body"/>
        <w:spacing w:after="0"/>
        <w:rPr>
          <w:rFonts w:ascii="Arial" w:hAnsi="Arial" w:cs="Arial"/>
          <w:i/>
        </w:rPr>
      </w:pPr>
      <w:r>
        <w:rPr>
          <w:rFonts w:ascii="Arial" w:hAnsi="Arial" w:cs="Arial"/>
          <w:i/>
        </w:rPr>
        <w:t xml:space="preserve">Keywords: </w:t>
      </w:r>
      <w:r w:rsidR="00AC6973" w:rsidRPr="00AC6973">
        <w:rPr>
          <w:rFonts w:ascii="Arial" w:hAnsi="Arial" w:cs="Arial"/>
          <w:i/>
        </w:rPr>
        <w:t>Minimum Service Standards; public housing; multi-level governance; policy capacity</w:t>
      </w:r>
    </w:p>
    <w:p w14:paraId="5C6FA248" w14:textId="77777777" w:rsidR="00790ADA" w:rsidRDefault="00790ADA" w:rsidP="00441B6F">
      <w:pPr>
        <w:pStyle w:val="Body"/>
        <w:spacing w:after="0"/>
        <w:rPr>
          <w:rFonts w:ascii="Arial" w:hAnsi="Arial" w:cs="Arial"/>
          <w:i/>
        </w:rPr>
      </w:pPr>
    </w:p>
    <w:p w14:paraId="41B1789A" w14:textId="77777777" w:rsidR="00505F06" w:rsidRPr="00A24E7E" w:rsidRDefault="00505F06" w:rsidP="00441B6F">
      <w:pPr>
        <w:pStyle w:val="Body"/>
        <w:spacing w:after="0"/>
        <w:rPr>
          <w:rFonts w:ascii="Arial" w:hAnsi="Arial" w:cs="Arial"/>
          <w:i/>
        </w:rPr>
      </w:pPr>
    </w:p>
    <w:p w14:paraId="506C7A9F"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CA8F4F5" w14:textId="77777777" w:rsidR="00790ADA" w:rsidRPr="00FB3A86" w:rsidRDefault="00790ADA" w:rsidP="00441B6F">
      <w:pPr>
        <w:pStyle w:val="AbstHead"/>
        <w:spacing w:after="0"/>
        <w:jc w:val="both"/>
        <w:rPr>
          <w:rFonts w:ascii="Arial" w:hAnsi="Arial" w:cs="Arial"/>
        </w:rPr>
      </w:pPr>
    </w:p>
    <w:p w14:paraId="28CA5AFC" w14:textId="77777777" w:rsidR="00AC6973" w:rsidRPr="004D0EF9" w:rsidRDefault="00AC6973" w:rsidP="00AC6973">
      <w:pPr>
        <w:pStyle w:val="Body"/>
        <w:rPr>
          <w:rFonts w:ascii="Arial" w:hAnsi="Arial" w:cs="Arial"/>
        </w:rPr>
      </w:pPr>
      <w:r w:rsidRPr="00AC6973">
        <w:rPr>
          <w:rFonts w:ascii="Arial" w:hAnsi="Arial" w:cs="Arial"/>
        </w:rPr>
        <w:t>High-quality and equitable public services are fundamental indicators of modern governance and a manifestation of citizens' constitutional rights. In the context of developing countries, decentralization is often positioned as an instrument to bring services closer to citizens and improve the responsiveness of the bureaucracy. However, various recent studies show that decentralization does not automatically result in improved service quality; its effectiveness is highly dependent on institutional capacity, actor configuration, and coordination mechanisms across levels of government (</w:t>
      </w:r>
      <w:proofErr w:type="spellStart"/>
      <w:r w:rsidRPr="00AC6973">
        <w:rPr>
          <w:rFonts w:ascii="Arial" w:hAnsi="Arial" w:cs="Arial"/>
        </w:rPr>
        <w:t>Allain-Dupré</w:t>
      </w:r>
      <w:proofErr w:type="spellEnd"/>
      <w:r w:rsidRPr="00AC6973">
        <w:rPr>
          <w:rFonts w:ascii="Arial" w:hAnsi="Arial" w:cs="Arial"/>
        </w:rPr>
        <w:t>, 2020; Dick-</w:t>
      </w:r>
      <w:proofErr w:type="spellStart"/>
      <w:r w:rsidRPr="00AC6973">
        <w:rPr>
          <w:rFonts w:ascii="Arial" w:hAnsi="Arial" w:cs="Arial"/>
        </w:rPr>
        <w:t>Sagoe</w:t>
      </w:r>
      <w:proofErr w:type="spellEnd"/>
      <w:r w:rsidRPr="00AC6973">
        <w:rPr>
          <w:rFonts w:ascii="Arial" w:hAnsi="Arial" w:cs="Arial"/>
        </w:rPr>
        <w:t xml:space="preserve">, 2020). Within this framework, the Minimum Service Standards (SPM) serve as an instrument of state accountability to </w:t>
      </w:r>
      <w:r w:rsidRPr="00AC6973">
        <w:rPr>
          <w:rFonts w:ascii="Arial" w:hAnsi="Arial" w:cs="Arial"/>
        </w:rPr>
        <w:lastRenderedPageBreak/>
        <w:t xml:space="preserve">guarantee the fulfillment of the right to basic services, including the right to adequate </w:t>
      </w:r>
      <w:r w:rsidRPr="004D0EF9">
        <w:rPr>
          <w:rFonts w:ascii="Arial" w:hAnsi="Arial" w:cs="Arial"/>
        </w:rPr>
        <w:t>housing.</w:t>
      </w:r>
    </w:p>
    <w:p w14:paraId="76113250" w14:textId="77777777" w:rsidR="00AC6973" w:rsidRPr="00AC6973" w:rsidRDefault="00AC6973" w:rsidP="00AC6973">
      <w:pPr>
        <w:pStyle w:val="Body"/>
        <w:rPr>
          <w:rFonts w:ascii="Arial" w:hAnsi="Arial" w:cs="Arial"/>
        </w:rPr>
      </w:pPr>
      <w:r w:rsidRPr="004D0EF9">
        <w:rPr>
          <w:rFonts w:ascii="Arial" w:hAnsi="Arial" w:cs="Arial"/>
        </w:rPr>
        <w:tab/>
        <w:t>In Indonesia, the SPM framework is stipulated in Government Regulation No. 2/2018, reinforced by Minister of Home Affairs Regulation No. 59/2021, and elaborated in the housing sector through Minister of Public Works and Public Housing Regulation No. 13/2023, which explicitly requires local governments to provide basic housing services with measurable performance indicators for vulnerable communities. The SPM for Public Housing is therefore not only a normative framework, but also a policy instrument that determines the direction of planning, budgeting, and evaluation of decent housing services at the district/city level.</w:t>
      </w:r>
    </w:p>
    <w:p w14:paraId="0CC40CD2" w14:textId="77777777" w:rsidR="00AC6973" w:rsidRPr="00AC6973" w:rsidRDefault="00AC6973" w:rsidP="00AC6973">
      <w:pPr>
        <w:pStyle w:val="Body"/>
        <w:rPr>
          <w:rFonts w:ascii="Arial" w:hAnsi="Arial" w:cs="Arial"/>
        </w:rPr>
      </w:pPr>
      <w:r w:rsidRPr="00AC6973">
        <w:rPr>
          <w:rFonts w:ascii="Arial" w:hAnsi="Arial" w:cs="Arial"/>
        </w:rPr>
        <w:t>The development of literature on public governance in the last five years emphasizes the importance of multi-level governance and policy capacity in bridging the gap between national policy design and implementation at the local level. Allain-Dupré (2020) emphasizes that the effectiveness of subnational policies is greatly influenced by the clarity of the division of authority and the capacity for cross-level coordination. Williams (2021) expands the understanding of state capacity by distinguishing between the analytical, operational, and political capacities required by the bureaucracy to translate policy mandates into service practices. More recent literature develops the concept of “integrative capacity,” which is the ability of institutions to coordinate policies and actors across sectors in a cohesive manner (</w:t>
      </w:r>
      <w:proofErr w:type="spellStart"/>
      <w:r w:rsidRPr="00AC6973">
        <w:rPr>
          <w:rFonts w:ascii="Arial" w:hAnsi="Arial" w:cs="Arial"/>
        </w:rPr>
        <w:t>Domorenok</w:t>
      </w:r>
      <w:proofErr w:type="spellEnd"/>
      <w:r w:rsidRPr="00AC6973">
        <w:rPr>
          <w:rFonts w:ascii="Arial" w:hAnsi="Arial" w:cs="Arial"/>
        </w:rPr>
        <w:t xml:space="preserve"> et al., 2021; Vince et al., 2024). This perspective is relevant to housing policy, which requires synergy between social policy, poverty alleviation, disaster risk reduction, and spatial planning.</w:t>
      </w:r>
    </w:p>
    <w:p w14:paraId="582C7B2D" w14:textId="77777777" w:rsidR="00AC6973" w:rsidRPr="00AC6973" w:rsidRDefault="00AC6973" w:rsidP="00AC6973">
      <w:pPr>
        <w:pStyle w:val="Body"/>
        <w:rPr>
          <w:rFonts w:ascii="Arial" w:hAnsi="Arial" w:cs="Arial"/>
        </w:rPr>
      </w:pPr>
      <w:r w:rsidRPr="00AC6973">
        <w:rPr>
          <w:rFonts w:ascii="Arial" w:hAnsi="Arial" w:cs="Arial"/>
        </w:rPr>
        <w:t>In the housing sector, international studies highlight that providing adequate housing for vulnerable groups cannot be understood solely as a physical output, but as an integral part of social protection and community recovery. McClelland et al. (2023) show that housing is a key element in the “recovery for development” framework, while Okunola and Werners (2024) emphasize that the success of housing interventions is highly dependent on regulatory consistency and inter-agency coordination.</w:t>
      </w:r>
    </w:p>
    <w:p w14:paraId="3D7E519A" w14:textId="77777777" w:rsidR="00AC6973" w:rsidRPr="00AC6973" w:rsidRDefault="00AC6973" w:rsidP="00AC6973">
      <w:pPr>
        <w:pStyle w:val="Body"/>
        <w:rPr>
          <w:rFonts w:ascii="Arial" w:hAnsi="Arial" w:cs="Arial"/>
        </w:rPr>
      </w:pPr>
      <w:r w:rsidRPr="00AC6973">
        <w:rPr>
          <w:rFonts w:ascii="Arial" w:hAnsi="Arial" w:cs="Arial"/>
        </w:rPr>
        <w:t>Studies in Indonesia confirm the relevance of these findings. A national evaluation of SPM shows that disparities in basic services between regions remain significant and are often related to the fiscal, technical, and managerial capacity of local governments (SKALA, 2024). Regional studies (e.g., Adam et al., 2025) show that SPM implementation is influenced by resource constraints, variability in local actors' understanding, and weak cross-sectoral integration. Although the SPM literature is quite developed in the health, education, and social sectors, empirical studies on the implementation of SPM in the field of public housing—especially in the context of districts with limited fiscal capacity and disaster vulnerability—are still very limited. Existing research tends to be normative-descriptive and has not explored how local actors interpret, organize, and implement SPM mandates in dynamic political-administrative conditions.</w:t>
      </w:r>
    </w:p>
    <w:p w14:paraId="320D5C22" w14:textId="77777777" w:rsidR="00AC6973" w:rsidRPr="00AC6973" w:rsidRDefault="00AC6973" w:rsidP="00AC6973">
      <w:pPr>
        <w:pStyle w:val="Body"/>
        <w:rPr>
          <w:rFonts w:ascii="Arial" w:hAnsi="Arial" w:cs="Arial"/>
        </w:rPr>
      </w:pPr>
      <w:r w:rsidRPr="00AC6973">
        <w:rPr>
          <w:rFonts w:ascii="Arial" w:hAnsi="Arial" w:cs="Arial"/>
        </w:rPr>
        <w:t>Furthermore, there have been no studies that integrate multi-level governance, policy capacity, and integrative capacity approaches to explain variations in the implementation of SPM housing at the district level. In fact, the integration of these three perspectives is important for understanding the relationship between institutional design, actor behavior, and basic service delivery.</w:t>
      </w:r>
    </w:p>
    <w:p w14:paraId="4594605D" w14:textId="77777777" w:rsidR="00AC6973" w:rsidRPr="00AC6973" w:rsidRDefault="00AC6973" w:rsidP="00AC6973">
      <w:pPr>
        <w:pStyle w:val="Body"/>
        <w:rPr>
          <w:rFonts w:ascii="Arial" w:hAnsi="Arial" w:cs="Arial"/>
        </w:rPr>
      </w:pPr>
      <w:proofErr w:type="spellStart"/>
      <w:r w:rsidRPr="00AC6973">
        <w:rPr>
          <w:rFonts w:ascii="Arial" w:hAnsi="Arial" w:cs="Arial"/>
        </w:rPr>
        <w:t>Pohuwato</w:t>
      </w:r>
      <w:proofErr w:type="spellEnd"/>
      <w:r w:rsidRPr="00AC6973">
        <w:rPr>
          <w:rFonts w:ascii="Arial" w:hAnsi="Arial" w:cs="Arial"/>
        </w:rPr>
        <w:t xml:space="preserve"> District provides a significant empirical context to fill this gap. This district faces challenges of poverty, disaster vulnerability, and fiscal constraints, while the achievement of decent housing development has not fully met the SPM targets in the last three years. </w:t>
      </w:r>
      <w:r w:rsidRPr="00AC6973">
        <w:rPr>
          <w:rFonts w:ascii="Arial" w:hAnsi="Arial" w:cs="Arial"/>
        </w:rPr>
        <w:lastRenderedPageBreak/>
        <w:t>Variations in understanding among actors, technical capacity limitations, and the tug-of-war over authority demonstrate the need for a more in-depth analysis of SPM implementation based on an up-to-date theoretical framework. Academically, this study contributes by integrating three main theoretical frameworks—multi-level governance, policy capacity, and integrative capacity—into the analysis of SPM implementation in the field of public housing. This approach allows for a more comprehensive understanding of the dynamics of vertical-horizontal relationships in housing policy, local institutional capacity, and cross-sectoral actor interactions.</w:t>
      </w:r>
    </w:p>
    <w:p w14:paraId="6841ABB8" w14:textId="77777777" w:rsidR="00B01FCD" w:rsidRDefault="00AC6973" w:rsidP="00AC6973">
      <w:pPr>
        <w:pStyle w:val="Body"/>
        <w:rPr>
          <w:rFonts w:ascii="Arial" w:hAnsi="Arial" w:cs="Arial"/>
        </w:rPr>
      </w:pPr>
      <w:r w:rsidRPr="00AC6973">
        <w:rPr>
          <w:rFonts w:ascii="Arial" w:hAnsi="Arial" w:cs="Arial"/>
        </w:rPr>
        <w:t xml:space="preserve">In practical terms, this research is important for the </w:t>
      </w:r>
      <w:proofErr w:type="spellStart"/>
      <w:r w:rsidRPr="00AC6973">
        <w:rPr>
          <w:rFonts w:ascii="Arial" w:hAnsi="Arial" w:cs="Arial"/>
        </w:rPr>
        <w:t>Pohuwato</w:t>
      </w:r>
      <w:proofErr w:type="spellEnd"/>
      <w:r w:rsidRPr="00AC6973">
        <w:rPr>
          <w:rFonts w:ascii="Arial" w:hAnsi="Arial" w:cs="Arial"/>
        </w:rPr>
        <w:t xml:space="preserve"> Regency Government and the Gorontalo Provincial Government to strengthen the governance of basic housing services. The findings of this research are expected to encourage institutional capacity building, refinement of coordination mechanisms, and strengthening of accountability systems in the provision of livable housing for poor groups and households affected by disasters.</w:t>
      </w:r>
    </w:p>
    <w:p w14:paraId="3A65AD2D" w14:textId="77777777" w:rsidR="00790ADA" w:rsidRPr="00FB3A86" w:rsidRDefault="00790ADA" w:rsidP="00441B6F">
      <w:pPr>
        <w:pStyle w:val="Body"/>
        <w:spacing w:after="0"/>
        <w:rPr>
          <w:rFonts w:ascii="Arial" w:hAnsi="Arial" w:cs="Arial"/>
        </w:rPr>
      </w:pPr>
    </w:p>
    <w:p w14:paraId="69B1706F" w14:textId="77777777" w:rsidR="00790ADA" w:rsidRPr="00FB3A86"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57335167" w14:textId="77777777" w:rsidR="00AC6973" w:rsidRPr="00AC6973" w:rsidRDefault="00AC6973" w:rsidP="00AC6973">
      <w:pPr>
        <w:pStyle w:val="Body"/>
        <w:rPr>
          <w:rFonts w:ascii="Arial" w:hAnsi="Arial" w:cs="Arial"/>
        </w:rPr>
      </w:pPr>
      <w:r w:rsidRPr="00AC6973">
        <w:rPr>
          <w:rFonts w:ascii="Arial" w:hAnsi="Arial" w:cs="Arial"/>
        </w:rPr>
        <w:t xml:space="preserve">This research was conducted at the Housing and Settlement Agency and the Regional Disaster Management Agency (BPBD) of </w:t>
      </w:r>
      <w:proofErr w:type="spellStart"/>
      <w:r w:rsidRPr="00AC6973">
        <w:rPr>
          <w:rFonts w:ascii="Arial" w:hAnsi="Arial" w:cs="Arial"/>
        </w:rPr>
        <w:t>Pohuwato</w:t>
      </w:r>
      <w:proofErr w:type="spellEnd"/>
      <w:r w:rsidRPr="00AC6973">
        <w:rPr>
          <w:rFonts w:ascii="Arial" w:hAnsi="Arial" w:cs="Arial"/>
        </w:rPr>
        <w:t xml:space="preserve"> Regency. These two institutions were chosen as the main locations because they play a strategic role as key actors in the implementation of the Minimum Service Standards (SPM) for Public Housing. As centers of information and policy implementation, these two institutions allowed researchers to directly observe the institutional context, program implementation procedures, and the dynamics of stakeholder interactions in a natural environment. The selection of these locations was in line with the principles of qualitative research, which emphasizes an in-depth understanding of phenomena in the social and institutional contexts in which policies are implemented.</w:t>
      </w:r>
    </w:p>
    <w:p w14:paraId="66C6B8A7" w14:textId="77777777" w:rsidR="00AC6973" w:rsidRPr="00AC6973" w:rsidRDefault="00AC6973" w:rsidP="00AC6973">
      <w:pPr>
        <w:pStyle w:val="Body"/>
        <w:rPr>
          <w:rFonts w:ascii="Arial" w:hAnsi="Arial" w:cs="Arial"/>
        </w:rPr>
      </w:pPr>
      <w:r w:rsidRPr="00AC6973">
        <w:rPr>
          <w:rFonts w:ascii="Arial" w:hAnsi="Arial" w:cs="Arial"/>
        </w:rPr>
        <w:t xml:space="preserve">The research lasted four months, starting from the preparation and proposal drafting stage, data collection activities in the field, to data analysis and writing of research results. The approach used was descriptive qualitative, because this research focused on efforts to describe the policy implementation process comprehensively, not to test hypotheses or explain quantitative relationships between variables. This approach allowed researchers to explore the meanings, experiences, and interpretations of policy implementers in their natural context, as recommended by </w:t>
      </w:r>
      <w:proofErr w:type="spellStart"/>
      <w:r w:rsidRPr="00AC6973">
        <w:rPr>
          <w:rFonts w:ascii="Arial" w:hAnsi="Arial" w:cs="Arial"/>
        </w:rPr>
        <w:t>Sugiyono</w:t>
      </w:r>
      <w:proofErr w:type="spellEnd"/>
      <w:r w:rsidRPr="00AC6973">
        <w:rPr>
          <w:rFonts w:ascii="Arial" w:hAnsi="Arial" w:cs="Arial"/>
        </w:rPr>
        <w:t xml:space="preserve"> (2010) and </w:t>
      </w:r>
      <w:proofErr w:type="spellStart"/>
      <w:r w:rsidRPr="00AC6973">
        <w:rPr>
          <w:rFonts w:ascii="Arial" w:hAnsi="Arial" w:cs="Arial"/>
        </w:rPr>
        <w:t>Abdussamad</w:t>
      </w:r>
      <w:proofErr w:type="spellEnd"/>
      <w:r w:rsidRPr="00AC6973">
        <w:rPr>
          <w:rFonts w:ascii="Arial" w:hAnsi="Arial" w:cs="Arial"/>
        </w:rPr>
        <w:t xml:space="preserve"> (2021). Qualitative descriptive research specifically aims to reveal facts, perceptions, and actual practices in the form of systematic interpretive narratives (Nawawi, 1990).</w:t>
      </w:r>
    </w:p>
    <w:p w14:paraId="70A6CF82" w14:textId="77777777" w:rsidR="00AC6973" w:rsidRPr="00AC6973" w:rsidRDefault="00AC6973" w:rsidP="00AC6973">
      <w:pPr>
        <w:pStyle w:val="Body"/>
        <w:rPr>
          <w:rFonts w:ascii="Arial" w:hAnsi="Arial" w:cs="Arial"/>
        </w:rPr>
      </w:pPr>
      <w:r w:rsidRPr="00AC6973">
        <w:rPr>
          <w:rFonts w:ascii="Arial" w:hAnsi="Arial" w:cs="Arial"/>
        </w:rPr>
        <w:t>Researchers act as key instruments (human instruments) involved in all stages of research, including determining informants, compiling interview and observation guidelines, the data collection process, and the reduction and interpretation of findings. In the qualitative tradition, researchers function not only as data collectors, but also as preliminary analysts who continuously reflect on field information and compile it into coherent meanings (</w:t>
      </w:r>
      <w:proofErr w:type="spellStart"/>
      <w:r w:rsidRPr="00AC6973">
        <w:rPr>
          <w:rFonts w:ascii="Arial" w:hAnsi="Arial" w:cs="Arial"/>
        </w:rPr>
        <w:t>Sugiyono</w:t>
      </w:r>
      <w:proofErr w:type="spellEnd"/>
      <w:r w:rsidRPr="00AC6973">
        <w:rPr>
          <w:rFonts w:ascii="Arial" w:hAnsi="Arial" w:cs="Arial"/>
        </w:rPr>
        <w:t xml:space="preserve">, 2010; </w:t>
      </w:r>
      <w:proofErr w:type="spellStart"/>
      <w:r w:rsidRPr="00AC6973">
        <w:rPr>
          <w:rFonts w:ascii="Arial" w:hAnsi="Arial" w:cs="Arial"/>
        </w:rPr>
        <w:t>Herdiansyah</w:t>
      </w:r>
      <w:proofErr w:type="spellEnd"/>
      <w:r w:rsidRPr="00AC6973">
        <w:rPr>
          <w:rFonts w:ascii="Arial" w:hAnsi="Arial" w:cs="Arial"/>
        </w:rPr>
        <w:t>, 2012). Before entering the field, researchers must first obtain official permission from the relevant agencies and explain the purpose and scope of the research, so that interactions with informants are ethical, transparent, and mutually respectful.</w:t>
      </w:r>
    </w:p>
    <w:p w14:paraId="4A739D32" w14:textId="77777777" w:rsidR="00AC6973" w:rsidRPr="00AC6973" w:rsidRDefault="00AC6973" w:rsidP="00AC6973">
      <w:pPr>
        <w:pStyle w:val="Body"/>
        <w:rPr>
          <w:rFonts w:ascii="Arial" w:hAnsi="Arial" w:cs="Arial"/>
        </w:rPr>
      </w:pPr>
      <w:r w:rsidRPr="00AC6973">
        <w:rPr>
          <w:rFonts w:ascii="Arial" w:hAnsi="Arial" w:cs="Arial"/>
        </w:rPr>
        <w:t xml:space="preserve">The data sources used consist of primary and secondary data. Primary data was collected through in-depth interviews and moderate participatory observation of the implementation process of the Rumah Rakyat SPM, including service mechanisms, coordination patterns between units, and operational constraints. Secondary data was obtained through a documentation study of laws and regulations, SPM technical guidelines, performance reports, and other relevant administrative archives. Informants were determined using </w:t>
      </w:r>
      <w:r w:rsidRPr="00AC6973">
        <w:rPr>
          <w:rFonts w:ascii="Arial" w:hAnsi="Arial" w:cs="Arial"/>
        </w:rPr>
        <w:lastRenderedPageBreak/>
        <w:t xml:space="preserve">purposive sampling, which is the selection of informants based on considerations of relevance and depth of information required. Informants included structural officials, technical implementation staff, and other stakeholders who understood the policy implementation process (Miles, Huberman, &amp; </w:t>
      </w:r>
      <w:proofErr w:type="spellStart"/>
      <w:r w:rsidRPr="00AC6973">
        <w:rPr>
          <w:rFonts w:ascii="Arial" w:hAnsi="Arial" w:cs="Arial"/>
        </w:rPr>
        <w:t>Saldaña</w:t>
      </w:r>
      <w:proofErr w:type="spellEnd"/>
      <w:r w:rsidRPr="00AC6973">
        <w:rPr>
          <w:rFonts w:ascii="Arial" w:hAnsi="Arial" w:cs="Arial"/>
        </w:rPr>
        <w:t xml:space="preserve">, 2014; </w:t>
      </w:r>
      <w:proofErr w:type="spellStart"/>
      <w:r w:rsidRPr="00AC6973">
        <w:rPr>
          <w:rFonts w:ascii="Arial" w:hAnsi="Arial" w:cs="Arial"/>
        </w:rPr>
        <w:t>Sugiyono</w:t>
      </w:r>
      <w:proofErr w:type="spellEnd"/>
      <w:r w:rsidRPr="00AC6973">
        <w:rPr>
          <w:rFonts w:ascii="Arial" w:hAnsi="Arial" w:cs="Arial"/>
        </w:rPr>
        <w:t>, 2010).</w:t>
      </w:r>
    </w:p>
    <w:p w14:paraId="50626174" w14:textId="77777777" w:rsidR="00AC6973" w:rsidRPr="00AC6973" w:rsidRDefault="00AC6973" w:rsidP="00AC6973">
      <w:pPr>
        <w:pStyle w:val="Body"/>
        <w:rPr>
          <w:rFonts w:ascii="Arial" w:hAnsi="Arial" w:cs="Arial"/>
        </w:rPr>
      </w:pPr>
      <w:r w:rsidRPr="00AC6973">
        <w:rPr>
          <w:rFonts w:ascii="Arial" w:hAnsi="Arial" w:cs="Arial"/>
        </w:rPr>
        <w:t>Data collection techniques consist of observation, in-depth interviews, and documentation studies. Observation is used to observe organizational behavior, interaction patterns, and service management related to the fulfillment of the People's Housing SPM. This technique allows researchers to obtain empirical descriptions that cannot always be revealed through interviews (</w:t>
      </w:r>
      <w:proofErr w:type="spellStart"/>
      <w:r w:rsidRPr="00AC6973">
        <w:rPr>
          <w:rFonts w:ascii="Arial" w:hAnsi="Arial" w:cs="Arial"/>
        </w:rPr>
        <w:t>Purhantara</w:t>
      </w:r>
      <w:proofErr w:type="spellEnd"/>
      <w:r w:rsidRPr="00AC6973">
        <w:rPr>
          <w:rFonts w:ascii="Arial" w:hAnsi="Arial" w:cs="Arial"/>
        </w:rPr>
        <w:t xml:space="preserve">, 2010; </w:t>
      </w:r>
      <w:proofErr w:type="spellStart"/>
      <w:r w:rsidRPr="00AC6973">
        <w:rPr>
          <w:rFonts w:ascii="Arial" w:hAnsi="Arial" w:cs="Arial"/>
        </w:rPr>
        <w:t>Herdiansyah</w:t>
      </w:r>
      <w:proofErr w:type="spellEnd"/>
      <w:r w:rsidRPr="00AC6973">
        <w:rPr>
          <w:rFonts w:ascii="Arial" w:hAnsi="Arial" w:cs="Arial"/>
        </w:rPr>
        <w:t>, 2012). In-depth interviews are conducted using semi-structured guidelines to maintain the systematic nature of the questions while providing space for informants to express their experiences and views broadly (</w:t>
      </w:r>
      <w:proofErr w:type="spellStart"/>
      <w:r w:rsidRPr="00AC6973">
        <w:rPr>
          <w:rFonts w:ascii="Arial" w:hAnsi="Arial" w:cs="Arial"/>
        </w:rPr>
        <w:t>Indriantoro</w:t>
      </w:r>
      <w:proofErr w:type="spellEnd"/>
      <w:r w:rsidRPr="00AC6973">
        <w:rPr>
          <w:rFonts w:ascii="Arial" w:hAnsi="Arial" w:cs="Arial"/>
        </w:rPr>
        <w:t xml:space="preserve"> &amp; </w:t>
      </w:r>
      <w:proofErr w:type="spellStart"/>
      <w:r w:rsidRPr="00AC6973">
        <w:rPr>
          <w:rFonts w:ascii="Arial" w:hAnsi="Arial" w:cs="Arial"/>
        </w:rPr>
        <w:t>Supomo</w:t>
      </w:r>
      <w:proofErr w:type="spellEnd"/>
      <w:r w:rsidRPr="00AC6973">
        <w:rPr>
          <w:rFonts w:ascii="Arial" w:hAnsi="Arial" w:cs="Arial"/>
        </w:rPr>
        <w:t>, 2012). Documentary studies are used to examine written policies, SOPs, performance reports, and institutional documents that support data triangulation.</w:t>
      </w:r>
    </w:p>
    <w:p w14:paraId="69417442" w14:textId="77777777" w:rsidR="00AC6973" w:rsidRPr="00AC6973" w:rsidRDefault="00AC6973" w:rsidP="00AC6973">
      <w:pPr>
        <w:pStyle w:val="Body"/>
        <w:rPr>
          <w:rFonts w:ascii="Arial" w:hAnsi="Arial" w:cs="Arial"/>
        </w:rPr>
      </w:pPr>
      <w:r w:rsidRPr="00AC6973">
        <w:rPr>
          <w:rFonts w:ascii="Arial" w:hAnsi="Arial" w:cs="Arial"/>
        </w:rPr>
        <w:t xml:space="preserve">Data analysis was conducted using </w:t>
      </w:r>
      <w:proofErr w:type="spellStart"/>
      <w:r w:rsidRPr="00AC6973">
        <w:rPr>
          <w:rFonts w:ascii="Arial" w:hAnsi="Arial" w:cs="Arial"/>
        </w:rPr>
        <w:t>Sugiyono's</w:t>
      </w:r>
      <w:proofErr w:type="spellEnd"/>
      <w:r w:rsidRPr="00AC6973">
        <w:rPr>
          <w:rFonts w:ascii="Arial" w:hAnsi="Arial" w:cs="Arial"/>
        </w:rPr>
        <w:t xml:space="preserve"> (2010) interactive analysis model, which includes three components: data reduction, data presentation, and conclusion drawing/verification. Data reduction was carried out continuously from the moment the researcher entered the field by selecting, focusing, and organizing raw data into meaningful categories. Data presentation was carried out in the form of structured narratives, matrices, or summary tables to facilitate the identification of patterns and relationships between categories (Miles et al., 2014). The final stage of drawing conclusions and verification was carried out by formulating the main findings based on all the reduced data, accompanied by checking the consistency and validity of the interpretation.</w:t>
      </w:r>
    </w:p>
    <w:p w14:paraId="0F15EF02" w14:textId="77777777" w:rsidR="00AA74E0" w:rsidRDefault="00AC6973" w:rsidP="00AC6973">
      <w:pPr>
        <w:pStyle w:val="Body"/>
        <w:rPr>
          <w:rFonts w:ascii="Arial" w:hAnsi="Arial" w:cs="Arial"/>
        </w:rPr>
      </w:pPr>
      <w:r w:rsidRPr="00AC6973">
        <w:rPr>
          <w:rFonts w:ascii="Arial" w:hAnsi="Arial" w:cs="Arial"/>
        </w:rPr>
        <w:t xml:space="preserve">Data validity is tested through credibility and transferability as recommended by Lincoln and Guba (1985). Credibility is maintained through extended participation in the field, persistent observation, triangulation of sources and techniques, discussions with peers, and member checks to ensure that the researcher's interpretation is consistent with the informants' perspectives. Transferability is achieved through the presentation of thick descriptions, which are detailed descriptions of the research context so that readers can assess the relevance of the findings for application in other similar contexts. Thus, this research method design is expected to produce a scientific, systematic, and rational description of the implementation of the Rumah Rakyat SPM in </w:t>
      </w:r>
      <w:proofErr w:type="spellStart"/>
      <w:r w:rsidRPr="00AC6973">
        <w:rPr>
          <w:rFonts w:ascii="Arial" w:hAnsi="Arial" w:cs="Arial"/>
        </w:rPr>
        <w:t>Pohuwato</w:t>
      </w:r>
      <w:proofErr w:type="spellEnd"/>
      <w:r w:rsidRPr="00AC6973">
        <w:rPr>
          <w:rFonts w:ascii="Arial" w:hAnsi="Arial" w:cs="Arial"/>
        </w:rPr>
        <w:t xml:space="preserve"> Regency.</w:t>
      </w:r>
    </w:p>
    <w:p w14:paraId="577EC9D6" w14:textId="77777777" w:rsidR="00790ADA" w:rsidRPr="00FB3A86" w:rsidRDefault="00790ADA" w:rsidP="00441B6F">
      <w:pPr>
        <w:pStyle w:val="Body"/>
        <w:spacing w:after="0"/>
        <w:rPr>
          <w:rFonts w:ascii="Arial" w:hAnsi="Arial" w:cs="Arial"/>
        </w:rPr>
      </w:pPr>
    </w:p>
    <w:p w14:paraId="3611F3B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9C0105E" w14:textId="77777777" w:rsidR="00790ADA" w:rsidRPr="00FB3A86" w:rsidRDefault="00790ADA" w:rsidP="00441B6F">
      <w:pPr>
        <w:pStyle w:val="Head1"/>
        <w:spacing w:after="0"/>
        <w:jc w:val="both"/>
        <w:rPr>
          <w:rFonts w:ascii="Arial" w:hAnsi="Arial" w:cs="Arial"/>
        </w:rPr>
      </w:pPr>
    </w:p>
    <w:p w14:paraId="0840D246" w14:textId="77777777" w:rsidR="00CE7D0E" w:rsidRPr="00CE7D0E" w:rsidRDefault="00CE7D0E" w:rsidP="00CE7D0E">
      <w:pPr>
        <w:pStyle w:val="Body"/>
        <w:rPr>
          <w:rFonts w:ascii="Arial" w:hAnsi="Arial" w:cs="Arial"/>
          <w:b/>
        </w:rPr>
      </w:pPr>
      <w:r w:rsidRPr="00CE7D0E">
        <w:rPr>
          <w:rFonts w:ascii="Arial" w:hAnsi="Arial" w:cs="Arial"/>
          <w:b/>
        </w:rPr>
        <w:t xml:space="preserve">3.1. RESULTS </w:t>
      </w:r>
    </w:p>
    <w:p w14:paraId="39CF7F07" w14:textId="77777777" w:rsidR="00CE7D0E" w:rsidRDefault="00CE7D0E" w:rsidP="00CE7D0E">
      <w:pPr>
        <w:pStyle w:val="Body"/>
        <w:spacing w:after="0"/>
        <w:rPr>
          <w:rFonts w:ascii="Arial" w:hAnsi="Arial" w:cs="Arial"/>
        </w:rPr>
      </w:pPr>
      <w:r w:rsidRPr="00CE7D0E">
        <w:rPr>
          <w:rFonts w:ascii="Arial" w:hAnsi="Arial" w:cs="Arial"/>
        </w:rPr>
        <w:t xml:space="preserve">Table 1. Summary of the analysis of the implementation of the SPM for public housing in </w:t>
      </w:r>
      <w:proofErr w:type="spellStart"/>
      <w:r w:rsidRPr="00CE7D0E">
        <w:rPr>
          <w:rFonts w:ascii="Arial" w:hAnsi="Arial" w:cs="Arial"/>
        </w:rPr>
        <w:t>Pohuwato</w:t>
      </w:r>
      <w:proofErr w:type="spellEnd"/>
      <w:r w:rsidRPr="00CE7D0E">
        <w:rPr>
          <w:rFonts w:ascii="Arial" w:hAnsi="Arial" w:cs="Arial"/>
        </w:rPr>
        <w:t xml:space="preserve"> District.</w:t>
      </w:r>
    </w:p>
    <w:tbl>
      <w:tblPr>
        <w:tblW w:w="8330" w:type="dxa"/>
        <w:tblBorders>
          <w:top w:val="single" w:sz="4" w:space="0" w:color="auto"/>
          <w:bottom w:val="single" w:sz="4" w:space="0" w:color="auto"/>
        </w:tblBorders>
        <w:tblLook w:val="04A0" w:firstRow="1" w:lastRow="0" w:firstColumn="1" w:lastColumn="0" w:noHBand="0" w:noVBand="1"/>
      </w:tblPr>
      <w:tblGrid>
        <w:gridCol w:w="2093"/>
        <w:gridCol w:w="2835"/>
        <w:gridCol w:w="3402"/>
      </w:tblGrid>
      <w:tr w:rsidR="002529C0" w:rsidRPr="002529C0" w14:paraId="4AB94366" w14:textId="77777777" w:rsidTr="002529C0">
        <w:tc>
          <w:tcPr>
            <w:tcW w:w="2093" w:type="dxa"/>
            <w:tcBorders>
              <w:top w:val="single" w:sz="4" w:space="0" w:color="auto"/>
              <w:bottom w:val="single" w:sz="4" w:space="0" w:color="auto"/>
            </w:tcBorders>
          </w:tcPr>
          <w:p w14:paraId="684900D7" w14:textId="77777777" w:rsidR="002529C0" w:rsidRPr="002529C0" w:rsidRDefault="002529C0" w:rsidP="002529C0">
            <w:pPr>
              <w:pStyle w:val="Body"/>
              <w:spacing w:after="0"/>
              <w:rPr>
                <w:rFonts w:ascii="Arial" w:hAnsi="Arial" w:cs="Arial"/>
                <w:b/>
              </w:rPr>
            </w:pPr>
            <w:r w:rsidRPr="002529C0">
              <w:rPr>
                <w:rFonts w:ascii="Arial" w:hAnsi="Arial" w:cs="Arial"/>
                <w:b/>
              </w:rPr>
              <w:t>Analysis Components</w:t>
            </w:r>
          </w:p>
        </w:tc>
        <w:tc>
          <w:tcPr>
            <w:tcW w:w="2835" w:type="dxa"/>
            <w:tcBorders>
              <w:top w:val="single" w:sz="4" w:space="0" w:color="auto"/>
              <w:bottom w:val="single" w:sz="4" w:space="0" w:color="auto"/>
            </w:tcBorders>
          </w:tcPr>
          <w:p w14:paraId="53B21504" w14:textId="77777777" w:rsidR="002529C0" w:rsidRPr="002529C0" w:rsidRDefault="002529C0" w:rsidP="002529C0">
            <w:pPr>
              <w:pStyle w:val="Body"/>
              <w:spacing w:after="0"/>
              <w:rPr>
                <w:rFonts w:ascii="Arial" w:hAnsi="Arial" w:cs="Arial"/>
                <w:b/>
              </w:rPr>
            </w:pPr>
            <w:r w:rsidRPr="002529C0">
              <w:rPr>
                <w:rFonts w:ascii="Arial" w:hAnsi="Arial" w:cs="Arial"/>
                <w:b/>
              </w:rPr>
              <w:t>Key Findings of the Study</w:t>
            </w:r>
          </w:p>
        </w:tc>
        <w:tc>
          <w:tcPr>
            <w:tcW w:w="3402" w:type="dxa"/>
            <w:tcBorders>
              <w:top w:val="single" w:sz="4" w:space="0" w:color="auto"/>
              <w:bottom w:val="single" w:sz="4" w:space="0" w:color="auto"/>
            </w:tcBorders>
          </w:tcPr>
          <w:p w14:paraId="71DD1D48" w14:textId="77777777" w:rsidR="002529C0" w:rsidRPr="002529C0" w:rsidRDefault="002529C0" w:rsidP="002529C0">
            <w:pPr>
              <w:pStyle w:val="Body"/>
              <w:spacing w:after="0"/>
              <w:rPr>
                <w:rFonts w:ascii="Arial" w:hAnsi="Arial" w:cs="Arial"/>
                <w:b/>
              </w:rPr>
            </w:pPr>
            <w:r w:rsidRPr="002529C0">
              <w:rPr>
                <w:rFonts w:ascii="Arial" w:hAnsi="Arial" w:cs="Arial"/>
                <w:b/>
              </w:rPr>
              <w:t>Scientific Interpretation &amp; Common Thread</w:t>
            </w:r>
          </w:p>
        </w:tc>
      </w:tr>
      <w:tr w:rsidR="002529C0" w:rsidRPr="002529C0" w14:paraId="6E70CF9D" w14:textId="77777777" w:rsidTr="002529C0">
        <w:tc>
          <w:tcPr>
            <w:tcW w:w="2093" w:type="dxa"/>
            <w:tcBorders>
              <w:top w:val="single" w:sz="4" w:space="0" w:color="auto"/>
            </w:tcBorders>
          </w:tcPr>
          <w:p w14:paraId="405B7DCA" w14:textId="77777777" w:rsidR="002529C0" w:rsidRPr="002529C0" w:rsidRDefault="002529C0" w:rsidP="002529C0">
            <w:pPr>
              <w:pStyle w:val="Body"/>
              <w:spacing w:after="0"/>
              <w:rPr>
                <w:rFonts w:ascii="Arial" w:hAnsi="Arial" w:cs="Arial"/>
              </w:rPr>
            </w:pPr>
            <w:r w:rsidRPr="002529C0">
              <w:rPr>
                <w:rFonts w:ascii="Arial" w:hAnsi="Arial" w:cs="Arial"/>
              </w:rPr>
              <w:t>Work Units &amp; Executive Structure</w:t>
            </w:r>
          </w:p>
        </w:tc>
        <w:tc>
          <w:tcPr>
            <w:tcW w:w="2835" w:type="dxa"/>
            <w:tcBorders>
              <w:top w:val="single" w:sz="4" w:space="0" w:color="auto"/>
            </w:tcBorders>
          </w:tcPr>
          <w:p w14:paraId="10F59124" w14:textId="77777777" w:rsidR="002529C0" w:rsidRPr="002529C0" w:rsidRDefault="002529C0" w:rsidP="002529C0">
            <w:pPr>
              <w:pStyle w:val="Body"/>
              <w:spacing w:after="0"/>
              <w:rPr>
                <w:rFonts w:ascii="Arial" w:hAnsi="Arial" w:cs="Arial"/>
              </w:rPr>
            </w:pPr>
            <w:r w:rsidRPr="002529C0">
              <w:rPr>
                <w:rFonts w:ascii="Arial" w:hAnsi="Arial" w:cs="Arial"/>
              </w:rPr>
              <w:t>Two regional government agencies play key roles: BPBD collects data on victims and damage categories (Forms A–C); PERKIM verifies, determines proposals, and builds/rehabilitates houses.</w:t>
            </w:r>
          </w:p>
        </w:tc>
        <w:tc>
          <w:tcPr>
            <w:tcW w:w="3402" w:type="dxa"/>
            <w:tcBorders>
              <w:top w:val="single" w:sz="4" w:space="0" w:color="auto"/>
            </w:tcBorders>
          </w:tcPr>
          <w:p w14:paraId="37CDD4FD" w14:textId="77777777" w:rsidR="002529C0" w:rsidRPr="002529C0" w:rsidRDefault="002529C0" w:rsidP="002529C0">
            <w:pPr>
              <w:pStyle w:val="Body"/>
              <w:spacing w:after="0"/>
              <w:rPr>
                <w:rFonts w:ascii="Arial" w:hAnsi="Arial" w:cs="Arial"/>
              </w:rPr>
            </w:pPr>
            <w:r w:rsidRPr="002529C0">
              <w:rPr>
                <w:rFonts w:ascii="Arial" w:hAnsi="Arial" w:cs="Arial"/>
              </w:rPr>
              <w:t>The implementing structure shows a clear division of functions, but has not been reinforced by local technical regulations. Dependence on BPBD data determines the accuracy of SPM targets.</w:t>
            </w:r>
          </w:p>
        </w:tc>
      </w:tr>
      <w:tr w:rsidR="002529C0" w:rsidRPr="002529C0" w14:paraId="290741F5" w14:textId="77777777" w:rsidTr="002529C0">
        <w:tc>
          <w:tcPr>
            <w:tcW w:w="2093" w:type="dxa"/>
          </w:tcPr>
          <w:p w14:paraId="78D9B4D7" w14:textId="77777777" w:rsidR="002529C0" w:rsidRPr="002529C0" w:rsidRDefault="002529C0" w:rsidP="002529C0">
            <w:pPr>
              <w:pStyle w:val="Body"/>
              <w:spacing w:after="0"/>
              <w:rPr>
                <w:rFonts w:ascii="Arial" w:hAnsi="Arial" w:cs="Arial"/>
              </w:rPr>
            </w:pPr>
            <w:r w:rsidRPr="002529C0">
              <w:rPr>
                <w:rFonts w:ascii="Arial" w:hAnsi="Arial" w:cs="Arial"/>
              </w:rPr>
              <w:t xml:space="preserve">Cross-Sector </w:t>
            </w:r>
            <w:r w:rsidRPr="002529C0">
              <w:rPr>
                <w:rFonts w:ascii="Arial" w:hAnsi="Arial" w:cs="Arial"/>
              </w:rPr>
              <w:lastRenderedPageBreak/>
              <w:t>Coordination</w:t>
            </w:r>
          </w:p>
        </w:tc>
        <w:tc>
          <w:tcPr>
            <w:tcW w:w="2835" w:type="dxa"/>
          </w:tcPr>
          <w:p w14:paraId="52FB9138" w14:textId="77777777" w:rsidR="002529C0" w:rsidRPr="002529C0" w:rsidRDefault="002529C0" w:rsidP="002529C0">
            <w:pPr>
              <w:pStyle w:val="Body"/>
              <w:spacing w:after="0"/>
              <w:rPr>
                <w:rFonts w:ascii="Arial" w:hAnsi="Arial" w:cs="Arial"/>
              </w:rPr>
            </w:pPr>
            <w:r w:rsidRPr="002529C0">
              <w:rPr>
                <w:rFonts w:ascii="Arial" w:hAnsi="Arial" w:cs="Arial"/>
              </w:rPr>
              <w:lastRenderedPageBreak/>
              <w:t xml:space="preserve">PERKIM coordinates with </w:t>
            </w:r>
            <w:r w:rsidRPr="002529C0">
              <w:rPr>
                <w:rFonts w:ascii="Arial" w:hAnsi="Arial" w:cs="Arial"/>
              </w:rPr>
              <w:lastRenderedPageBreak/>
              <w:t>BPBD, BAPPEDA, and the Government Division. There is a history of misconceptions, resulting in repeated verifications.</w:t>
            </w:r>
          </w:p>
        </w:tc>
        <w:tc>
          <w:tcPr>
            <w:tcW w:w="3402" w:type="dxa"/>
          </w:tcPr>
          <w:p w14:paraId="17FEE797" w14:textId="77777777" w:rsidR="002529C0" w:rsidRPr="002529C0" w:rsidRDefault="002529C0" w:rsidP="002529C0">
            <w:pPr>
              <w:pStyle w:val="Body"/>
              <w:spacing w:after="0"/>
              <w:rPr>
                <w:rFonts w:ascii="Arial" w:hAnsi="Arial" w:cs="Arial"/>
              </w:rPr>
            </w:pPr>
            <w:r w:rsidRPr="002529C0">
              <w:rPr>
                <w:rFonts w:ascii="Arial" w:hAnsi="Arial" w:cs="Arial"/>
              </w:rPr>
              <w:lastRenderedPageBreak/>
              <w:t xml:space="preserve">Coordination demonstrates </w:t>
            </w:r>
            <w:r w:rsidRPr="002529C0">
              <w:rPr>
                <w:rFonts w:ascii="Arial" w:hAnsi="Arial" w:cs="Arial"/>
              </w:rPr>
              <w:lastRenderedPageBreak/>
              <w:t>interdependence between OPDs. Harmonization after 2024 improves the consistency of the SPM flow.</w:t>
            </w:r>
          </w:p>
        </w:tc>
      </w:tr>
      <w:tr w:rsidR="002529C0" w:rsidRPr="002529C0" w14:paraId="7ED7A801" w14:textId="77777777" w:rsidTr="002529C0">
        <w:tc>
          <w:tcPr>
            <w:tcW w:w="2093" w:type="dxa"/>
          </w:tcPr>
          <w:p w14:paraId="167A0D07" w14:textId="77777777" w:rsidR="002529C0" w:rsidRPr="002529C0" w:rsidRDefault="002529C0" w:rsidP="002529C0">
            <w:pPr>
              <w:pStyle w:val="Body"/>
              <w:spacing w:after="0"/>
              <w:rPr>
                <w:rFonts w:ascii="Arial" w:hAnsi="Arial" w:cs="Arial"/>
              </w:rPr>
            </w:pPr>
            <w:r w:rsidRPr="002529C0">
              <w:rPr>
                <w:rFonts w:ascii="Arial" w:hAnsi="Arial" w:cs="Arial"/>
              </w:rPr>
              <w:lastRenderedPageBreak/>
              <w:t>Human Resources (HR)</w:t>
            </w:r>
          </w:p>
        </w:tc>
        <w:tc>
          <w:tcPr>
            <w:tcW w:w="2835" w:type="dxa"/>
          </w:tcPr>
          <w:p w14:paraId="635281C9" w14:textId="77777777" w:rsidR="002529C0" w:rsidRPr="002529C0" w:rsidRDefault="002529C0" w:rsidP="002529C0">
            <w:pPr>
              <w:pStyle w:val="Body"/>
              <w:spacing w:after="0"/>
              <w:rPr>
                <w:rFonts w:ascii="Arial" w:hAnsi="Arial" w:cs="Arial"/>
              </w:rPr>
            </w:pPr>
            <w:r w:rsidRPr="002529C0">
              <w:rPr>
                <w:rFonts w:ascii="Arial" w:hAnsi="Arial" w:cs="Arial"/>
              </w:rPr>
              <w:t>PERKIM has seven technical staff, BPBD is supported by approximately 30 sub-district task forces; the number of human resources is still considered insufficient.</w:t>
            </w:r>
          </w:p>
        </w:tc>
        <w:tc>
          <w:tcPr>
            <w:tcW w:w="3402" w:type="dxa"/>
          </w:tcPr>
          <w:p w14:paraId="6F49D75B" w14:textId="77777777" w:rsidR="002529C0" w:rsidRPr="002529C0" w:rsidRDefault="002529C0" w:rsidP="002529C0">
            <w:pPr>
              <w:pStyle w:val="Body"/>
              <w:spacing w:after="0"/>
              <w:rPr>
                <w:rFonts w:ascii="Arial" w:hAnsi="Arial" w:cs="Arial"/>
              </w:rPr>
            </w:pPr>
            <w:r w:rsidRPr="002529C0">
              <w:rPr>
                <w:rFonts w:ascii="Arial" w:hAnsi="Arial" w:cs="Arial"/>
              </w:rPr>
              <w:t>Technical capacity is adequate but limited in number, which could potentially reduce the quality of SPM services.</w:t>
            </w:r>
          </w:p>
        </w:tc>
      </w:tr>
      <w:tr w:rsidR="002529C0" w:rsidRPr="002529C0" w14:paraId="7228C619" w14:textId="77777777" w:rsidTr="002529C0">
        <w:tc>
          <w:tcPr>
            <w:tcW w:w="2093" w:type="dxa"/>
          </w:tcPr>
          <w:p w14:paraId="32552893" w14:textId="77777777" w:rsidR="002529C0" w:rsidRPr="002529C0" w:rsidRDefault="002529C0" w:rsidP="002529C0">
            <w:pPr>
              <w:pStyle w:val="Body"/>
              <w:spacing w:after="0"/>
              <w:rPr>
                <w:rFonts w:ascii="Arial" w:hAnsi="Arial" w:cs="Arial"/>
              </w:rPr>
            </w:pPr>
            <w:r w:rsidRPr="002529C0">
              <w:rPr>
                <w:rFonts w:ascii="Arial" w:hAnsi="Arial" w:cs="Arial"/>
              </w:rPr>
              <w:t>Budget Resources</w:t>
            </w:r>
          </w:p>
        </w:tc>
        <w:tc>
          <w:tcPr>
            <w:tcW w:w="2835" w:type="dxa"/>
          </w:tcPr>
          <w:p w14:paraId="08024CC6" w14:textId="77777777" w:rsidR="002529C0" w:rsidRPr="002529C0" w:rsidRDefault="002529C0" w:rsidP="002529C0">
            <w:pPr>
              <w:pStyle w:val="Body"/>
              <w:spacing w:after="0"/>
              <w:rPr>
                <w:rFonts w:ascii="Arial" w:hAnsi="Arial" w:cs="Arial"/>
              </w:rPr>
            </w:pPr>
            <w:r w:rsidRPr="002529C0">
              <w:rPr>
                <w:rFonts w:ascii="Arial" w:hAnsi="Arial" w:cs="Arial"/>
              </w:rPr>
              <w:t>Funding comes from the regional budget, state budget, grants, and CSR; the program was temporarily suspended in 2020–2021; in 2024, five houses will be completed.</w:t>
            </w:r>
          </w:p>
        </w:tc>
        <w:tc>
          <w:tcPr>
            <w:tcW w:w="3402" w:type="dxa"/>
          </w:tcPr>
          <w:p w14:paraId="5B47F256" w14:textId="77777777" w:rsidR="002529C0" w:rsidRPr="002529C0" w:rsidRDefault="002529C0" w:rsidP="002529C0">
            <w:pPr>
              <w:pStyle w:val="Body"/>
              <w:spacing w:after="0"/>
              <w:rPr>
                <w:rFonts w:ascii="Arial" w:hAnsi="Arial" w:cs="Arial"/>
              </w:rPr>
            </w:pPr>
            <w:r w:rsidRPr="002529C0">
              <w:rPr>
                <w:rFonts w:ascii="Arial" w:hAnsi="Arial" w:cs="Arial"/>
              </w:rPr>
              <w:t>Fiscal dependence leads to fluctuating outcomes. Prioritize based on the level of damage and the economic capacity of victims.</w:t>
            </w:r>
          </w:p>
        </w:tc>
      </w:tr>
      <w:tr w:rsidR="002529C0" w:rsidRPr="002529C0" w14:paraId="4BFA749B" w14:textId="77777777" w:rsidTr="002529C0">
        <w:tc>
          <w:tcPr>
            <w:tcW w:w="2093" w:type="dxa"/>
          </w:tcPr>
          <w:p w14:paraId="2144ACC3" w14:textId="77777777" w:rsidR="002529C0" w:rsidRPr="002529C0" w:rsidRDefault="002529C0" w:rsidP="002529C0">
            <w:pPr>
              <w:pStyle w:val="Body"/>
              <w:spacing w:after="0"/>
              <w:rPr>
                <w:rFonts w:ascii="Arial" w:hAnsi="Arial" w:cs="Arial"/>
              </w:rPr>
            </w:pPr>
            <w:r w:rsidRPr="002529C0">
              <w:rPr>
                <w:rFonts w:ascii="Arial" w:hAnsi="Arial" w:cs="Arial"/>
              </w:rPr>
              <w:t>Understanding the Policy</w:t>
            </w:r>
          </w:p>
        </w:tc>
        <w:tc>
          <w:tcPr>
            <w:tcW w:w="2835" w:type="dxa"/>
          </w:tcPr>
          <w:p w14:paraId="62A47C18" w14:textId="77777777" w:rsidR="002529C0" w:rsidRPr="002529C0" w:rsidRDefault="002529C0" w:rsidP="002529C0">
            <w:pPr>
              <w:pStyle w:val="Body"/>
              <w:spacing w:after="0"/>
              <w:rPr>
                <w:rFonts w:ascii="Arial" w:hAnsi="Arial" w:cs="Arial"/>
              </w:rPr>
            </w:pPr>
            <w:r w:rsidRPr="002529C0">
              <w:rPr>
                <w:rFonts w:ascii="Arial" w:hAnsi="Arial" w:cs="Arial"/>
              </w:rPr>
              <w:t>OPDs understand SPM as a mandatory matter, but there is no PERBUP available yet, so they refer to central regulations.</w:t>
            </w:r>
          </w:p>
        </w:tc>
        <w:tc>
          <w:tcPr>
            <w:tcW w:w="3402" w:type="dxa"/>
          </w:tcPr>
          <w:p w14:paraId="5B399AF4" w14:textId="77777777" w:rsidR="002529C0" w:rsidRPr="002529C0" w:rsidRDefault="002529C0" w:rsidP="002529C0">
            <w:pPr>
              <w:pStyle w:val="Body"/>
              <w:spacing w:after="0"/>
              <w:rPr>
                <w:rFonts w:ascii="Arial" w:hAnsi="Arial" w:cs="Arial"/>
              </w:rPr>
            </w:pPr>
            <w:r w:rsidRPr="002529C0">
              <w:rPr>
                <w:rFonts w:ascii="Arial" w:hAnsi="Arial" w:cs="Arial"/>
              </w:rPr>
              <w:t>There is a regulatory gap: strong understanding but no regional guidelines leads to adaptive and non-standard implementation.</w:t>
            </w:r>
          </w:p>
        </w:tc>
      </w:tr>
      <w:tr w:rsidR="002529C0" w:rsidRPr="002529C0" w14:paraId="0E1E3116" w14:textId="77777777" w:rsidTr="002529C0">
        <w:tc>
          <w:tcPr>
            <w:tcW w:w="2093" w:type="dxa"/>
          </w:tcPr>
          <w:p w14:paraId="625842B6" w14:textId="77777777" w:rsidR="002529C0" w:rsidRPr="002529C0" w:rsidRDefault="002529C0" w:rsidP="002529C0">
            <w:pPr>
              <w:pStyle w:val="Body"/>
              <w:spacing w:after="0"/>
              <w:rPr>
                <w:rFonts w:ascii="Arial" w:hAnsi="Arial" w:cs="Arial"/>
              </w:rPr>
            </w:pPr>
            <w:r w:rsidRPr="002529C0">
              <w:rPr>
                <w:rFonts w:ascii="Arial" w:hAnsi="Arial" w:cs="Arial"/>
              </w:rPr>
              <w:t>Equivalence of Perceptions Among OPDs</w:t>
            </w:r>
          </w:p>
        </w:tc>
        <w:tc>
          <w:tcPr>
            <w:tcW w:w="2835" w:type="dxa"/>
          </w:tcPr>
          <w:p w14:paraId="6F04293D" w14:textId="77777777" w:rsidR="002529C0" w:rsidRPr="002529C0" w:rsidRDefault="002529C0" w:rsidP="002529C0">
            <w:pPr>
              <w:pStyle w:val="Body"/>
              <w:spacing w:after="0"/>
              <w:rPr>
                <w:rFonts w:ascii="Arial" w:hAnsi="Arial" w:cs="Arial"/>
              </w:rPr>
            </w:pPr>
            <w:r w:rsidRPr="002529C0">
              <w:rPr>
                <w:rFonts w:ascii="Arial" w:hAnsi="Arial" w:cs="Arial"/>
              </w:rPr>
              <w:t>Starting in 2024, the roles of regional government agencies will be standardized: BPBD will provide data, PERKIM will implement, BAPPEDA will handle budgeting, and the Government Division will monitor.</w:t>
            </w:r>
          </w:p>
        </w:tc>
        <w:tc>
          <w:tcPr>
            <w:tcW w:w="3402" w:type="dxa"/>
          </w:tcPr>
          <w:p w14:paraId="0DAF034C" w14:textId="77777777" w:rsidR="002529C0" w:rsidRPr="002529C0" w:rsidRDefault="002529C0" w:rsidP="002529C0">
            <w:pPr>
              <w:pStyle w:val="Body"/>
              <w:spacing w:after="0"/>
              <w:rPr>
                <w:rFonts w:ascii="Arial" w:hAnsi="Arial" w:cs="Arial"/>
              </w:rPr>
            </w:pPr>
            <w:r w:rsidRPr="002529C0">
              <w:rPr>
                <w:rFonts w:ascii="Arial" w:hAnsi="Arial" w:cs="Arial"/>
              </w:rPr>
              <w:t>Harmonization improves governance effectiveness and reduces overlap.</w:t>
            </w:r>
          </w:p>
        </w:tc>
      </w:tr>
      <w:tr w:rsidR="002529C0" w:rsidRPr="002529C0" w14:paraId="32646F6B" w14:textId="77777777" w:rsidTr="002529C0">
        <w:tc>
          <w:tcPr>
            <w:tcW w:w="2093" w:type="dxa"/>
          </w:tcPr>
          <w:p w14:paraId="374DCE7E" w14:textId="77777777" w:rsidR="002529C0" w:rsidRPr="002529C0" w:rsidRDefault="002529C0" w:rsidP="002529C0">
            <w:pPr>
              <w:pStyle w:val="Body"/>
              <w:spacing w:after="0"/>
              <w:rPr>
                <w:rFonts w:ascii="Arial" w:hAnsi="Arial" w:cs="Arial"/>
              </w:rPr>
            </w:pPr>
            <w:r w:rsidRPr="002529C0">
              <w:rPr>
                <w:rFonts w:ascii="Arial" w:hAnsi="Arial" w:cs="Arial"/>
              </w:rPr>
              <w:t>SPM Implementation Stages</w:t>
            </w:r>
          </w:p>
        </w:tc>
        <w:tc>
          <w:tcPr>
            <w:tcW w:w="2835" w:type="dxa"/>
          </w:tcPr>
          <w:p w14:paraId="3EF785C6" w14:textId="77777777" w:rsidR="002529C0" w:rsidRPr="002529C0" w:rsidRDefault="002529C0" w:rsidP="002529C0">
            <w:pPr>
              <w:pStyle w:val="Body"/>
              <w:spacing w:after="0"/>
              <w:rPr>
                <w:rFonts w:ascii="Arial" w:hAnsi="Arial" w:cs="Arial"/>
              </w:rPr>
            </w:pPr>
            <w:r w:rsidRPr="002529C0">
              <w:rPr>
                <w:rFonts w:ascii="Arial" w:hAnsi="Arial" w:cs="Arial"/>
              </w:rPr>
              <w:t>The stages include data collection → verification → decree → disbursement → development. In 2025, reporting will follow national standards.</w:t>
            </w:r>
          </w:p>
        </w:tc>
        <w:tc>
          <w:tcPr>
            <w:tcW w:w="3402" w:type="dxa"/>
          </w:tcPr>
          <w:p w14:paraId="38D3DA24" w14:textId="77777777" w:rsidR="002529C0" w:rsidRPr="002529C0" w:rsidRDefault="002529C0" w:rsidP="002529C0">
            <w:pPr>
              <w:pStyle w:val="Body"/>
              <w:spacing w:after="0"/>
              <w:rPr>
                <w:rFonts w:ascii="Arial" w:hAnsi="Arial" w:cs="Arial"/>
              </w:rPr>
            </w:pPr>
            <w:r w:rsidRPr="002529C0">
              <w:rPr>
                <w:rFonts w:ascii="Arial" w:hAnsi="Arial" w:cs="Arial"/>
              </w:rPr>
              <w:t>The stages are underway but have not been standardized due to the absence of a local regulation; implementation relies on bureaucratic experience.</w:t>
            </w:r>
          </w:p>
        </w:tc>
      </w:tr>
      <w:tr w:rsidR="002529C0" w:rsidRPr="002529C0" w14:paraId="4412382C" w14:textId="77777777" w:rsidTr="002529C0">
        <w:tc>
          <w:tcPr>
            <w:tcW w:w="2093" w:type="dxa"/>
          </w:tcPr>
          <w:p w14:paraId="52133BA1" w14:textId="77777777" w:rsidR="002529C0" w:rsidRPr="002529C0" w:rsidRDefault="002529C0" w:rsidP="002529C0">
            <w:pPr>
              <w:pStyle w:val="Body"/>
              <w:spacing w:after="0"/>
              <w:rPr>
                <w:rFonts w:ascii="Arial" w:hAnsi="Arial" w:cs="Arial"/>
              </w:rPr>
            </w:pPr>
            <w:r w:rsidRPr="002529C0">
              <w:rPr>
                <w:rFonts w:ascii="Arial" w:hAnsi="Arial" w:cs="Arial"/>
              </w:rPr>
              <w:t>Policy Outcomes</w:t>
            </w:r>
          </w:p>
        </w:tc>
        <w:tc>
          <w:tcPr>
            <w:tcW w:w="2835" w:type="dxa"/>
          </w:tcPr>
          <w:p w14:paraId="46E36E92" w14:textId="77777777" w:rsidR="002529C0" w:rsidRPr="002529C0" w:rsidRDefault="002529C0" w:rsidP="002529C0">
            <w:pPr>
              <w:pStyle w:val="Body"/>
              <w:spacing w:after="0"/>
              <w:rPr>
                <w:rFonts w:ascii="Arial" w:hAnsi="Arial" w:cs="Arial"/>
              </w:rPr>
            </w:pPr>
            <w:r w:rsidRPr="002529C0">
              <w:rPr>
                <w:rFonts w:ascii="Arial" w:hAnsi="Arial" w:cs="Arial"/>
              </w:rPr>
              <w:t>In 2024, five houses were built; targeted distribution; assistance of Rp7.5–40 million.</w:t>
            </w:r>
          </w:p>
        </w:tc>
        <w:tc>
          <w:tcPr>
            <w:tcW w:w="3402" w:type="dxa"/>
          </w:tcPr>
          <w:p w14:paraId="1E15C423" w14:textId="77777777" w:rsidR="002529C0" w:rsidRPr="002529C0" w:rsidRDefault="002529C0" w:rsidP="002529C0">
            <w:pPr>
              <w:pStyle w:val="Body"/>
              <w:spacing w:after="0"/>
              <w:rPr>
                <w:rFonts w:ascii="Arial" w:hAnsi="Arial" w:cs="Arial"/>
              </w:rPr>
            </w:pPr>
            <w:r w:rsidRPr="002529C0">
              <w:rPr>
                <w:rFonts w:ascii="Arial" w:hAnsi="Arial" w:cs="Arial"/>
              </w:rPr>
              <w:t>Tangible but small-scale output; positive impact on residential safety and disaster risk mitigation.</w:t>
            </w:r>
          </w:p>
        </w:tc>
      </w:tr>
      <w:tr w:rsidR="002529C0" w:rsidRPr="002529C0" w14:paraId="2DED1C43" w14:textId="77777777" w:rsidTr="002529C0">
        <w:tc>
          <w:tcPr>
            <w:tcW w:w="2093" w:type="dxa"/>
          </w:tcPr>
          <w:p w14:paraId="0A01D870" w14:textId="77777777" w:rsidR="002529C0" w:rsidRPr="002529C0" w:rsidRDefault="002529C0" w:rsidP="002529C0">
            <w:pPr>
              <w:pStyle w:val="Body"/>
              <w:spacing w:after="0"/>
              <w:rPr>
                <w:rFonts w:ascii="Arial" w:hAnsi="Arial" w:cs="Arial"/>
              </w:rPr>
            </w:pPr>
            <w:r w:rsidRPr="002529C0">
              <w:rPr>
                <w:rFonts w:ascii="Arial" w:hAnsi="Arial" w:cs="Arial"/>
              </w:rPr>
              <w:t>Key Challenges</w:t>
            </w:r>
          </w:p>
        </w:tc>
        <w:tc>
          <w:tcPr>
            <w:tcW w:w="2835" w:type="dxa"/>
          </w:tcPr>
          <w:p w14:paraId="03D8FC1C" w14:textId="77777777" w:rsidR="002529C0" w:rsidRPr="002529C0" w:rsidRDefault="002529C0" w:rsidP="002529C0">
            <w:pPr>
              <w:pStyle w:val="Body"/>
              <w:spacing w:after="0"/>
              <w:rPr>
                <w:rFonts w:ascii="Arial" w:hAnsi="Arial" w:cs="Arial"/>
              </w:rPr>
            </w:pPr>
            <w:r w:rsidRPr="002529C0">
              <w:rPr>
                <w:rFonts w:ascii="Arial" w:hAnsi="Arial" w:cs="Arial"/>
              </w:rPr>
              <w:t>Limited regional budgets and dependence on external funding.</w:t>
            </w:r>
          </w:p>
        </w:tc>
        <w:tc>
          <w:tcPr>
            <w:tcW w:w="3402" w:type="dxa"/>
          </w:tcPr>
          <w:p w14:paraId="364C7339" w14:textId="77777777" w:rsidR="002529C0" w:rsidRPr="002529C0" w:rsidRDefault="002529C0" w:rsidP="002529C0">
            <w:pPr>
              <w:pStyle w:val="Body"/>
              <w:spacing w:after="0"/>
              <w:rPr>
                <w:rFonts w:ascii="Arial" w:hAnsi="Arial" w:cs="Arial"/>
              </w:rPr>
            </w:pPr>
            <w:r w:rsidRPr="002529C0">
              <w:rPr>
                <w:rFonts w:ascii="Arial" w:hAnsi="Arial" w:cs="Arial"/>
              </w:rPr>
              <w:t>Weak fiscal capacity limits the acceleration of SPM fulfillment.</w:t>
            </w:r>
          </w:p>
        </w:tc>
      </w:tr>
    </w:tbl>
    <w:p w14:paraId="7C6205E9" w14:textId="77777777" w:rsidR="002529C0" w:rsidRDefault="002529C0" w:rsidP="00CE7D0E">
      <w:pPr>
        <w:pStyle w:val="Body"/>
        <w:spacing w:after="0"/>
        <w:rPr>
          <w:rFonts w:ascii="Arial" w:hAnsi="Arial" w:cs="Arial"/>
        </w:rPr>
      </w:pPr>
    </w:p>
    <w:p w14:paraId="5789B819" w14:textId="77777777" w:rsidR="00CE7D0E" w:rsidRDefault="00CE7D0E" w:rsidP="00CE7D0E">
      <w:pPr>
        <w:pStyle w:val="Body"/>
        <w:spacing w:after="0"/>
        <w:rPr>
          <w:rFonts w:ascii="Arial" w:hAnsi="Arial" w:cs="Arial"/>
        </w:rPr>
      </w:pPr>
    </w:p>
    <w:p w14:paraId="59688C0B" w14:textId="77777777" w:rsidR="00CE7D0E" w:rsidRPr="00CE7D0E" w:rsidRDefault="00CE7D0E" w:rsidP="00CE7D0E">
      <w:pPr>
        <w:pStyle w:val="Body"/>
        <w:rPr>
          <w:rFonts w:ascii="Arial" w:hAnsi="Arial" w:cs="Arial"/>
          <w:b/>
        </w:rPr>
      </w:pPr>
      <w:r>
        <w:rPr>
          <w:rFonts w:ascii="Arial" w:hAnsi="Arial" w:cs="Arial"/>
          <w:b/>
        </w:rPr>
        <w:t>3.</w:t>
      </w:r>
      <w:r w:rsidRPr="00CE7D0E">
        <w:rPr>
          <w:rFonts w:ascii="Arial" w:hAnsi="Arial" w:cs="Arial"/>
          <w:b/>
        </w:rPr>
        <w:t xml:space="preserve">2. DESCRIPTION OF RESULTS </w:t>
      </w:r>
    </w:p>
    <w:p w14:paraId="1AD17098" w14:textId="77777777" w:rsidR="00CE7D0E" w:rsidRPr="00CE7D0E" w:rsidRDefault="00CE7D0E" w:rsidP="00CE7D0E">
      <w:pPr>
        <w:pStyle w:val="Body"/>
        <w:rPr>
          <w:rFonts w:ascii="Arial" w:hAnsi="Arial" w:cs="Arial"/>
        </w:rPr>
      </w:pPr>
      <w:r w:rsidRPr="00CE7D0E">
        <w:rPr>
          <w:rFonts w:ascii="Arial" w:hAnsi="Arial" w:cs="Arial"/>
        </w:rPr>
        <w:t xml:space="preserve">The data in the table shows that the implementation of SPM in the field of public housing in </w:t>
      </w:r>
      <w:proofErr w:type="spellStart"/>
      <w:r w:rsidRPr="00CE7D0E">
        <w:rPr>
          <w:rFonts w:ascii="Arial" w:hAnsi="Arial" w:cs="Arial"/>
        </w:rPr>
        <w:t>Pohuwato</w:t>
      </w:r>
      <w:proofErr w:type="spellEnd"/>
      <w:r w:rsidRPr="00CE7D0E">
        <w:rPr>
          <w:rFonts w:ascii="Arial" w:hAnsi="Arial" w:cs="Arial"/>
        </w:rPr>
        <w:t xml:space="preserve"> Regency took place within a governance framework involving several Regional Apparatus Organizations (OPD) with a relatively clear division of functions, although it was not fully supported by regional technical regulations. Two OPDs are the dominant actors, </w:t>
      </w:r>
      <w:r w:rsidRPr="00CE7D0E">
        <w:rPr>
          <w:rFonts w:ascii="Arial" w:hAnsi="Arial" w:cs="Arial"/>
        </w:rPr>
        <w:lastRenderedPageBreak/>
        <w:t>namely BPBD as the provider of initial data on victims and damage categories, and the PERKIM Office as the verifier and implementer of rehabilitation and housing construction. PERKIM's dependence on the accuracy of BPBD data illustrates the interdependence between OPDs, which theoretically describes a policy network implementation model in which the success of one unit depends on the quality of another unit's output.</w:t>
      </w:r>
    </w:p>
    <w:p w14:paraId="6FD92E97" w14:textId="77777777" w:rsidR="00CE7D0E" w:rsidRPr="00CE7D0E" w:rsidRDefault="00CE7D0E" w:rsidP="00CE7D0E">
      <w:pPr>
        <w:pStyle w:val="Body"/>
        <w:rPr>
          <w:rFonts w:ascii="Arial" w:hAnsi="Arial" w:cs="Arial"/>
        </w:rPr>
      </w:pPr>
      <w:r w:rsidRPr="00CE7D0E">
        <w:rPr>
          <w:rFonts w:ascii="Arial" w:hAnsi="Arial" w:cs="Arial"/>
        </w:rPr>
        <w:t>Cross-sector coordination has undergone dynamics, including technical misconceptions in the previous period that required repeated verification. However, starting in 2024, harmonization between OPDs has strengthened, resulting in a more consistent SPM flow. This condition shows that the policy process is developing towards a more stable level of policy coherence, in line with the principle of cross-sector planning integration.</w:t>
      </w:r>
    </w:p>
    <w:p w14:paraId="79DD399C" w14:textId="77777777" w:rsidR="00CE7D0E" w:rsidRPr="00CE7D0E" w:rsidRDefault="00CE7D0E" w:rsidP="00CE7D0E">
      <w:pPr>
        <w:pStyle w:val="Body"/>
        <w:rPr>
          <w:rFonts w:ascii="Arial" w:hAnsi="Arial" w:cs="Arial"/>
        </w:rPr>
      </w:pPr>
      <w:r w:rsidRPr="00CE7D0E">
        <w:rPr>
          <w:rFonts w:ascii="Arial" w:hAnsi="Arial" w:cs="Arial"/>
        </w:rPr>
        <w:t>In terms of resources, the data shows that PERKIM only has seven technical personnel, while BPBD has around 30 field personnel. Normatively, this indicates limited implementation capacity, particularly because the SPM workload is relatively high and technical in nature. This situation is exacerbated by limited regional budgets; program funding is highly volatile and depends on a combination of regional budgets, national budgets, grants, and CSR. In 2024, only five houses were completed, indicating that fiscal constraints are affecting policy output.</w:t>
      </w:r>
    </w:p>
    <w:p w14:paraId="36F7FF19" w14:textId="77777777" w:rsidR="00CE7D0E" w:rsidRPr="00CE7D0E" w:rsidRDefault="00CE7D0E" w:rsidP="00CE7D0E">
      <w:pPr>
        <w:pStyle w:val="Body"/>
        <w:rPr>
          <w:rFonts w:ascii="Arial" w:hAnsi="Arial" w:cs="Arial"/>
        </w:rPr>
      </w:pPr>
      <w:r w:rsidRPr="00CE7D0E">
        <w:rPr>
          <w:rFonts w:ascii="Arial" w:hAnsi="Arial" w:cs="Arial"/>
        </w:rPr>
        <w:t>The OPD's substantive understanding of the SPM is adequate, but the absence of a Regent Regulation means that implementation is based on bureaucratic experience without standard operating procedures. As a result, the implementation stages—from data collection to construction—follow a general pattern but are not yet formally documented. However, since 2025, reporting is planned to follow national standards, marking an effort towards compliance-based governance.</w:t>
      </w:r>
    </w:p>
    <w:p w14:paraId="63022B6F" w14:textId="77777777" w:rsidR="00CE7D0E" w:rsidRDefault="00CE7D0E" w:rsidP="00CE7D0E">
      <w:pPr>
        <w:pStyle w:val="Body"/>
        <w:rPr>
          <w:rFonts w:ascii="Arial" w:hAnsi="Arial" w:cs="Arial"/>
        </w:rPr>
      </w:pPr>
      <w:r w:rsidRPr="00CE7D0E">
        <w:rPr>
          <w:rFonts w:ascii="Arial" w:hAnsi="Arial" w:cs="Arial"/>
        </w:rPr>
        <w:t xml:space="preserve">The results of the policy in 2024 were relatively positive in terms of targeting, with housing assistance ranging from IDR 7.5 million to IDR 40 million, but the scale was small so that the aggregate impact on meeting the SPM was still limited. The main challenges highlighted in the data are regional budget constraints and dependence on external funding, which directly affect the continuity and volume of services. This shows that the implementation of the SPM for public housing in </w:t>
      </w:r>
      <w:proofErr w:type="spellStart"/>
      <w:r w:rsidRPr="00CE7D0E">
        <w:rPr>
          <w:rFonts w:ascii="Arial" w:hAnsi="Arial" w:cs="Arial"/>
        </w:rPr>
        <w:t>Pohuwato</w:t>
      </w:r>
      <w:proofErr w:type="spellEnd"/>
      <w:r w:rsidRPr="00CE7D0E">
        <w:rPr>
          <w:rFonts w:ascii="Arial" w:hAnsi="Arial" w:cs="Arial"/>
        </w:rPr>
        <w:t xml:space="preserve"> is in a phase of incremental progress—there have been tangible achievements, but it has not been possible to meet the standards optimally due to structural and fiscal constraints.</w:t>
      </w:r>
    </w:p>
    <w:p w14:paraId="65493ADB" w14:textId="77777777" w:rsidR="006E2B49" w:rsidRPr="006E2B49" w:rsidRDefault="006E2B49" w:rsidP="006E2B49">
      <w:pPr>
        <w:pStyle w:val="Body"/>
        <w:rPr>
          <w:rFonts w:ascii="Arial" w:hAnsi="Arial" w:cs="Arial"/>
          <w:b/>
        </w:rPr>
      </w:pPr>
      <w:r w:rsidRPr="006E2B49">
        <w:rPr>
          <w:rFonts w:ascii="Arial" w:hAnsi="Arial" w:cs="Arial"/>
          <w:b/>
        </w:rPr>
        <w:t>3.3. DISCUSSION</w:t>
      </w:r>
    </w:p>
    <w:p w14:paraId="4563D53A" w14:textId="77777777" w:rsidR="006E2B49" w:rsidRPr="006E2B49" w:rsidRDefault="006E2B49" w:rsidP="006E2B49">
      <w:pPr>
        <w:pStyle w:val="Body"/>
        <w:rPr>
          <w:rFonts w:ascii="Arial" w:hAnsi="Arial" w:cs="Arial"/>
        </w:rPr>
      </w:pPr>
      <w:r w:rsidRPr="006E2B49">
        <w:rPr>
          <w:rFonts w:ascii="Arial" w:hAnsi="Arial" w:cs="Arial"/>
        </w:rPr>
        <w:t xml:space="preserve">The implementation of Minimum Service Standards (SPM) in the field of public housing in </w:t>
      </w:r>
      <w:proofErr w:type="spellStart"/>
      <w:r w:rsidRPr="006E2B49">
        <w:rPr>
          <w:rFonts w:ascii="Arial" w:hAnsi="Arial" w:cs="Arial"/>
        </w:rPr>
        <w:t>Pohuwato</w:t>
      </w:r>
      <w:proofErr w:type="spellEnd"/>
      <w:r w:rsidRPr="006E2B49">
        <w:rPr>
          <w:rFonts w:ascii="Arial" w:hAnsi="Arial" w:cs="Arial"/>
        </w:rPr>
        <w:t xml:space="preserve"> Regency shows that a functional service management architecture has been established, although it is still in the phase of institutional consolidation and regulatory maturation. Two key actors, namely the Regional Disaster Management Agency (BPBD) as the producer of data on damage and victims, and the Housing and Settlement Agency (PERKIM) as the verifier and implementer of rehabilitation and housing construction, form the core of the implementation network. The accuracy of aid delivery is highly dependent on the quality of data produced by BPBD, so this configuration reflects the typical policy network pattern of the SPM regime in Indonesia, where the performance of a particular task is determined more by the quality of cross-organizational coordination among regional apparatus organizations (OPD) than by the performance of a single technical agency alone (Mansuri, G., &amp; Rao, V. 2013). A summary of the implementation results at the output and process levels is summarized in Table 1.</w:t>
      </w:r>
    </w:p>
    <w:p w14:paraId="21F7DA9A" w14:textId="77777777" w:rsidR="006E2B49" w:rsidRPr="006E2B49" w:rsidRDefault="006E2B49" w:rsidP="006E2B49">
      <w:pPr>
        <w:pStyle w:val="Body"/>
        <w:rPr>
          <w:rFonts w:ascii="Arial" w:hAnsi="Arial" w:cs="Arial"/>
        </w:rPr>
      </w:pPr>
      <w:r w:rsidRPr="006E2B49">
        <w:rPr>
          <w:rFonts w:ascii="Arial" w:hAnsi="Arial" w:cs="Arial"/>
        </w:rPr>
        <w:lastRenderedPageBreak/>
        <w:t>From an executive structure perspective, the division of roles between BPBD, PERKIM, Regional Development Planning Agency (BAPPEDA), and the Regional Secretariat's Government Division has approached the tiered governance practices recommended in national regulations. Minister of Public Works and Public Housing Regulation No. 13 of 2023 concerning Technical Standards for SPM in the Field of Public Works and Public Housing explicitly emphasizes the importance of clarity of roles, stages of SPM implementation, electronic reporting, and coaching mechanisms (Ministry of Public Works and Public Housing, 2023). However, the absence of a Regent Regulation as a local derivative of national regulations has created a significant regulatory gap, resulting in many implementation procedures being based on bureaucratic habits and individual experience rather than documented standard operating procedures. This situation contrasts with several regions that already have relatively complete SPM housing documents—such as West Lombok Regency, which since 2023 has established indicators, stages, and reporting formats for SPM housing in a more systematic manner—and reinforces the argument that local regulatory capacity is an important determinant of the level of compliance with SPM.</w:t>
      </w:r>
    </w:p>
    <w:p w14:paraId="3C8A1931" w14:textId="77777777" w:rsidR="006E2B49" w:rsidRPr="006E2B49" w:rsidRDefault="006E2B49" w:rsidP="006E2B49">
      <w:pPr>
        <w:pStyle w:val="Body"/>
        <w:rPr>
          <w:rFonts w:ascii="Arial" w:hAnsi="Arial" w:cs="Arial"/>
        </w:rPr>
      </w:pPr>
      <w:r w:rsidRPr="006E2B49">
        <w:rPr>
          <w:rFonts w:ascii="Arial" w:hAnsi="Arial" w:cs="Arial"/>
        </w:rPr>
        <w:t xml:space="preserve">The experience of cross-sector coordination in </w:t>
      </w:r>
      <w:proofErr w:type="spellStart"/>
      <w:r w:rsidRPr="006E2B49">
        <w:rPr>
          <w:rFonts w:ascii="Arial" w:hAnsi="Arial" w:cs="Arial"/>
        </w:rPr>
        <w:t>Pohuwato</w:t>
      </w:r>
      <w:proofErr w:type="spellEnd"/>
      <w:r w:rsidRPr="006E2B49">
        <w:rPr>
          <w:rFonts w:ascii="Arial" w:hAnsi="Arial" w:cs="Arial"/>
        </w:rPr>
        <w:t xml:space="preserve"> shows the dynamics of institutional learning. In the early stages, coordination was marked by misconceptions between OPDs and repeated verification practices of damage data and the socioeconomic status of beneficiaries. Over time, especially after 2024, there were significant improvements in the harmonization of roles: BPBD strengthened its function as a primary data provider, the PERKIM Office sharpened its technical verification and physical implementation functions, BAPPEDA consolidated planning and budgeting, while the Government Section took on the role of monitoring and reporting. These changes illustrate a shift from ad hoc coordination to stronger policy coherence, in line with international literature findings that the success of post-disaster housing reconstruction is largely determined by the clarity of mandates between institutions and the quality of inter-agency coordination (FEMA, 2020; UN-Habitat, 2019).</w:t>
      </w:r>
    </w:p>
    <w:p w14:paraId="18F53F13" w14:textId="77777777" w:rsidR="006E2B49" w:rsidRPr="006E2B49" w:rsidRDefault="006E2B49" w:rsidP="006E2B49">
      <w:pPr>
        <w:pStyle w:val="Body"/>
        <w:rPr>
          <w:rFonts w:ascii="Arial" w:hAnsi="Arial" w:cs="Arial"/>
        </w:rPr>
      </w:pPr>
      <w:r w:rsidRPr="006E2B49">
        <w:rPr>
          <w:rFonts w:ascii="Arial" w:hAnsi="Arial" w:cs="Arial"/>
        </w:rPr>
        <w:t>From a human resources perspective, the finding that there are only seven technical staff in the PERKIM Office and around 30 sub-district task forces (</w:t>
      </w:r>
      <w:proofErr w:type="spellStart"/>
      <w:r w:rsidRPr="006E2B49">
        <w:rPr>
          <w:rFonts w:ascii="Arial" w:hAnsi="Arial" w:cs="Arial"/>
        </w:rPr>
        <w:t>satgas</w:t>
      </w:r>
      <w:proofErr w:type="spellEnd"/>
      <w:r w:rsidRPr="006E2B49">
        <w:rPr>
          <w:rFonts w:ascii="Arial" w:hAnsi="Arial" w:cs="Arial"/>
        </w:rPr>
        <w:t>) in the BPBD indicates a significant capacity constraint. Research on local government capacity in SPM implementation underscores that the number and competence of technical human resources is one of the main factors explaining fluctuations in SPM achievement between regions (</w:t>
      </w:r>
      <w:proofErr w:type="spellStart"/>
      <w:r w:rsidRPr="006E2B49">
        <w:rPr>
          <w:rFonts w:ascii="Arial" w:hAnsi="Arial" w:cs="Arial"/>
        </w:rPr>
        <w:t>Nekwek</w:t>
      </w:r>
      <w:proofErr w:type="spellEnd"/>
      <w:r w:rsidRPr="006E2B49">
        <w:rPr>
          <w:rFonts w:ascii="Arial" w:hAnsi="Arial" w:cs="Arial"/>
        </w:rPr>
        <w:t xml:space="preserve">, </w:t>
      </w:r>
      <w:commentRangeStart w:id="1"/>
      <w:r w:rsidRPr="006E2B49">
        <w:rPr>
          <w:rFonts w:ascii="Arial" w:hAnsi="Arial" w:cs="Arial"/>
        </w:rPr>
        <w:t xml:space="preserve">L. </w:t>
      </w:r>
      <w:commentRangeEnd w:id="1"/>
      <w:r w:rsidR="00C72BBB">
        <w:rPr>
          <w:rStyle w:val="CommentReference"/>
          <w:rFonts w:ascii="Times New Roman" w:hAnsi="Times New Roman"/>
          <w:lang w:val="nb-NO" w:eastAsia="nb-NO"/>
        </w:rPr>
        <w:commentReference w:id="1"/>
      </w:r>
      <w:r w:rsidRPr="006E2B49">
        <w:rPr>
          <w:rFonts w:ascii="Arial" w:hAnsi="Arial" w:cs="Arial"/>
        </w:rPr>
        <w:t xml:space="preserve">(2022). UN-Habitat (2019) emphasizes that safe post-disaster housing reconstruction requires adequate technical capacity in planning, structural verification, and field supervision; a shortage of technical personnel tends to encourage the government to rely on contractors without strict supervision, thereby potentially reducing the quality of buildings. Compared to international practices, such as the Recovery Support Functions framework developed in several US states with the allocation of inter-agency technical teams to support housing recovery (United States Environmental Protection Agency 2024; FEMA, 2025), the technical human resource capacity in </w:t>
      </w:r>
      <w:proofErr w:type="spellStart"/>
      <w:r w:rsidRPr="006E2B49">
        <w:rPr>
          <w:rFonts w:ascii="Arial" w:hAnsi="Arial" w:cs="Arial"/>
        </w:rPr>
        <w:t>Pohuwato</w:t>
      </w:r>
      <w:proofErr w:type="spellEnd"/>
      <w:r w:rsidRPr="006E2B49">
        <w:rPr>
          <w:rFonts w:ascii="Arial" w:hAnsi="Arial" w:cs="Arial"/>
        </w:rPr>
        <w:t xml:space="preserve"> can be said to be at the minimum level, so that the quality of SPM implementation in this region is far more supported by commitment and coordination between OPDs than by an abundance of human resources.</w:t>
      </w:r>
    </w:p>
    <w:p w14:paraId="13818051" w14:textId="77777777" w:rsidR="006E2B49" w:rsidRPr="006E2B49" w:rsidRDefault="006E2B49" w:rsidP="006E2B49">
      <w:pPr>
        <w:pStyle w:val="Body"/>
        <w:rPr>
          <w:rFonts w:ascii="Arial" w:hAnsi="Arial" w:cs="Arial"/>
        </w:rPr>
      </w:pPr>
      <w:r w:rsidRPr="006E2B49">
        <w:rPr>
          <w:rFonts w:ascii="Arial" w:hAnsi="Arial" w:cs="Arial"/>
        </w:rPr>
        <w:t xml:space="preserve">Budget constraints emerged as the most significant structural challenge in implementing the SPM housing program in </w:t>
      </w:r>
      <w:proofErr w:type="spellStart"/>
      <w:r w:rsidRPr="006E2B49">
        <w:rPr>
          <w:rFonts w:ascii="Arial" w:hAnsi="Arial" w:cs="Arial"/>
        </w:rPr>
        <w:t>Pohuwato</w:t>
      </w:r>
      <w:proofErr w:type="spellEnd"/>
      <w:r w:rsidRPr="006E2B49">
        <w:rPr>
          <w:rFonts w:ascii="Arial" w:hAnsi="Arial" w:cs="Arial"/>
        </w:rPr>
        <w:t xml:space="preserve">. Program funding depended on a combination of the Regional Revenue and Expenditure Budget (APBD), the State Revenue and Expenditure Budget (APBN), grants, and corporate social responsibility (CSR) funds, which proved insufficient to ensure program continuity. Data shows that program implementation was halted during 2020–2021 and only resulted in five new housing units in 2024, as shown in Table 1. This pattern is consistent with studies on the relationship between SPM and </w:t>
      </w:r>
      <w:r w:rsidRPr="006E2B49">
        <w:rPr>
          <w:rFonts w:ascii="Arial" w:hAnsi="Arial" w:cs="Arial"/>
        </w:rPr>
        <w:lastRenderedPageBreak/>
        <w:t xml:space="preserve">regional fiscal capacity, which found that the level of SPM achievement is greatly influenced by regional financial capacity; regions with low local revenue (PAD) tend to delay or reduce the volume of SPM services even though normative obligations remain attached (Ministry of Public Works and Public Housing, 2023; Mansuri, G., &amp; Rao, V. 2013). The IFRC (2023) report on post-disaster recovery in Indonesia also highlights that housing reconstruction funding tends to be fragmented and dependent on central government programs that are not always sustainable, making the continuity of post-disaster services at the local level vulnerable. When compared to best practices in a number of jurisdictions that have developed pre-disaster financing schemes and special reserve funds for disaster-resistant housing (United States Environmental Protection Agency, 2024), </w:t>
      </w:r>
      <w:proofErr w:type="spellStart"/>
      <w:r w:rsidRPr="006E2B49">
        <w:rPr>
          <w:rFonts w:ascii="Arial" w:hAnsi="Arial" w:cs="Arial"/>
        </w:rPr>
        <w:t>Pohuwato's</w:t>
      </w:r>
      <w:proofErr w:type="spellEnd"/>
      <w:r w:rsidRPr="006E2B49">
        <w:rPr>
          <w:rFonts w:ascii="Arial" w:hAnsi="Arial" w:cs="Arial"/>
        </w:rPr>
        <w:t xml:space="preserve"> position reflects the fiscal vulnerability that is common in many districts with limited fiscal bases.</w:t>
      </w:r>
    </w:p>
    <w:p w14:paraId="6A2450AE" w14:textId="77777777" w:rsidR="006E2B49" w:rsidRPr="006E2B49" w:rsidRDefault="006E2B49" w:rsidP="006E2B49">
      <w:pPr>
        <w:pStyle w:val="Body"/>
        <w:rPr>
          <w:rFonts w:ascii="Arial" w:hAnsi="Arial" w:cs="Arial"/>
        </w:rPr>
      </w:pPr>
      <w:r w:rsidRPr="006E2B49">
        <w:rPr>
          <w:rFonts w:ascii="Arial" w:hAnsi="Arial" w:cs="Arial"/>
        </w:rPr>
        <w:t xml:space="preserve">In terms of policy understanding, the OPD apparatus in </w:t>
      </w:r>
      <w:proofErr w:type="spellStart"/>
      <w:r w:rsidRPr="006E2B49">
        <w:rPr>
          <w:rFonts w:ascii="Arial" w:hAnsi="Arial" w:cs="Arial"/>
        </w:rPr>
        <w:t>Pohuwato</w:t>
      </w:r>
      <w:proofErr w:type="spellEnd"/>
      <w:r w:rsidRPr="006E2B49">
        <w:rPr>
          <w:rFonts w:ascii="Arial" w:hAnsi="Arial" w:cs="Arial"/>
        </w:rPr>
        <w:t xml:space="preserve"> basically has a relatively strong normative orientation: SPM is perceived as a mandatory requirement that must be fulfilled because it is directly related to citizens' basic rights to public services. However, the absence of a Regent Regulation as a derivative regulation means that most implementation practices rely on central regulations—particularly Minister of Home Affairs Regulation No. 59 of 2021 concerning the Application of Minimum Service Standards and various technical regulations from the Ministry of Public Works and Public Housing (Ministry of Home Affairs, 2021; Ministry of Public Works and Public Housing, 2023). The literature on basic service governance shows that when the normative orientation towards SPM is strong but local regulatory instruments are weak, policy implementation tends to be adaptive and pragmatic: regulatory gaps are filled with informal procedures and agreements between officials, which on the one hand allows for flexibility, but on the other hand opens up room for inconsistencies between periods and between stakeholders (World Bank, 2013). This condition is reflected in </w:t>
      </w:r>
      <w:proofErr w:type="spellStart"/>
      <w:r w:rsidRPr="006E2B49">
        <w:rPr>
          <w:rFonts w:ascii="Arial" w:hAnsi="Arial" w:cs="Arial"/>
        </w:rPr>
        <w:t>Pohuwato</w:t>
      </w:r>
      <w:proofErr w:type="spellEnd"/>
      <w:r w:rsidRPr="006E2B49">
        <w:rPr>
          <w:rFonts w:ascii="Arial" w:hAnsi="Arial" w:cs="Arial"/>
        </w:rPr>
        <w:t>, where the implementation stages—from data collection, verification, determination of the list of recipients (SK), fund disbursement, to physical construction—have been carried out, but have not been explicitly outlined in formal standard operating procedures (SOP) and have only just begun to be aligned with national reporting standards in 2025.</w:t>
      </w:r>
    </w:p>
    <w:p w14:paraId="0E381854" w14:textId="77777777" w:rsidR="006E2B49" w:rsidRPr="006E2B49" w:rsidRDefault="006E2B49" w:rsidP="006E2B49">
      <w:pPr>
        <w:pStyle w:val="Body"/>
        <w:rPr>
          <w:rFonts w:ascii="Arial" w:hAnsi="Arial" w:cs="Arial"/>
        </w:rPr>
      </w:pPr>
      <w:r w:rsidRPr="006E2B49">
        <w:rPr>
          <w:rFonts w:ascii="Arial" w:hAnsi="Arial" w:cs="Arial"/>
        </w:rPr>
        <w:t xml:space="preserve">The policy output in the form of the construction of five housing units in 2024 with assistance valued at between Rp7.5 million and Rp40 million per unit, which is considered to be on target because it targets disaster victims with severe damage and economic hardship, can be seen as a tangible but small-scale achievement. The literature on housing reconstruction emphasizes that the success of a program is not only determined by the number of units built, but also by the structural safety of the buildings, the sustainability of the housing, and its contribution to long-term disaster resilience (UN-Habitat, 2019). Considering that the assistance scheme in </w:t>
      </w:r>
      <w:proofErr w:type="spellStart"/>
      <w:r w:rsidRPr="006E2B49">
        <w:rPr>
          <w:rFonts w:ascii="Arial" w:hAnsi="Arial" w:cs="Arial"/>
        </w:rPr>
        <w:t>Pohuwato</w:t>
      </w:r>
      <w:proofErr w:type="spellEnd"/>
      <w:r w:rsidRPr="006E2B49">
        <w:rPr>
          <w:rFonts w:ascii="Arial" w:hAnsi="Arial" w:cs="Arial"/>
        </w:rPr>
        <w:t xml:space="preserve"> is directed at highly vulnerable households, this policy has touched on the dimension of equity, which is one of the basic principles of SPM as a fundamental right of citizens. However, when compared to the standards for adequate housing set out in national housing policy, the volume and value of assistance are still far from adequate to reduce the backlog of disaster-prone housing at the district level.</w:t>
      </w:r>
    </w:p>
    <w:p w14:paraId="1909FE53" w14:textId="77777777" w:rsidR="006E2B49" w:rsidRPr="006E2B49" w:rsidRDefault="006E2B49" w:rsidP="006E2B49">
      <w:pPr>
        <w:pStyle w:val="Body"/>
        <w:rPr>
          <w:rFonts w:ascii="Arial" w:hAnsi="Arial" w:cs="Arial"/>
        </w:rPr>
      </w:pPr>
      <w:r w:rsidRPr="006E2B49">
        <w:rPr>
          <w:rFonts w:ascii="Arial" w:hAnsi="Arial" w:cs="Arial"/>
        </w:rPr>
        <w:t xml:space="preserve">Comparatively, international best practices emphasize the importance of long-term post-disaster housing planning, promoting the principle of build back better, and integrating it with spatial planning and disaster risk reduction strategies (United States Environmental Protection Agency 2024; FEMA, 2025; UN-Habitat, 2019). In a number of countries, a formal interagency recovery coordination framework has been established with clear recovery support functions, including for housing, so that physical reconstruction is always accompanied by strengthening local institutional capacity and community resilience (California Governor's Office of Emergency Services, 2024; FEMA, 2020). If this framework is used as a reference, the configuration of the implementation of the housing SPM in </w:t>
      </w:r>
      <w:proofErr w:type="spellStart"/>
      <w:r w:rsidRPr="006E2B49">
        <w:rPr>
          <w:rFonts w:ascii="Arial" w:hAnsi="Arial" w:cs="Arial"/>
        </w:rPr>
        <w:lastRenderedPageBreak/>
        <w:t>Pohuwato</w:t>
      </w:r>
      <w:proofErr w:type="spellEnd"/>
      <w:r w:rsidRPr="006E2B49">
        <w:rPr>
          <w:rFonts w:ascii="Arial" w:hAnsi="Arial" w:cs="Arial"/>
        </w:rPr>
        <w:t xml:space="preserve"> can be seen as the embryo of good practice: a clearer division of roles between OPDs, improved coordination patterns, and efforts to adopt national reporting standards indicate the right direction for improvement, although it still requires strengthening local regulations through the drafting of a Regent Regulation on housing SPM, medium-term financing planning, and more serious investment in technical human resource capacity building.</w:t>
      </w:r>
    </w:p>
    <w:p w14:paraId="2F6E6549" w14:textId="77777777" w:rsidR="00C30A0F" w:rsidRDefault="006E2B49" w:rsidP="006E2B49">
      <w:pPr>
        <w:pStyle w:val="Body"/>
        <w:rPr>
          <w:rFonts w:ascii="Arial" w:hAnsi="Arial" w:cs="Arial"/>
        </w:rPr>
      </w:pPr>
      <w:r w:rsidRPr="006E2B49">
        <w:rPr>
          <w:rFonts w:ascii="Arial" w:hAnsi="Arial" w:cs="Arial"/>
        </w:rPr>
        <w:t xml:space="preserve">Thus, the results of this study confirm recent empirical findings that the implementation of SPM in the field of public housing at the district level is largely determined by three main groups of factors: (1) fiscal capacity, which limits the volume and continuity of services; (2) institutional capacity, which is reflected in the structure and quality of coordination between OPDs; and (3) regulatory capacity, which is evident in the availability of operational derivative regulations and local SOPs (IFRC, 2023; Mansuri, </w:t>
      </w:r>
      <w:commentRangeStart w:id="2"/>
      <w:r w:rsidRPr="006E2B49">
        <w:rPr>
          <w:rFonts w:ascii="Arial" w:hAnsi="Arial" w:cs="Arial"/>
        </w:rPr>
        <w:t xml:space="preserve">G., </w:t>
      </w:r>
      <w:commentRangeEnd w:id="2"/>
      <w:r w:rsidR="000A1532">
        <w:rPr>
          <w:rStyle w:val="CommentReference"/>
          <w:rFonts w:ascii="Times New Roman" w:hAnsi="Times New Roman"/>
          <w:lang w:val="nb-NO" w:eastAsia="nb-NO"/>
        </w:rPr>
        <w:commentReference w:id="2"/>
      </w:r>
      <w:r w:rsidRPr="006E2B49">
        <w:rPr>
          <w:rFonts w:ascii="Arial" w:hAnsi="Arial" w:cs="Arial"/>
        </w:rPr>
        <w:t xml:space="preserve">&amp; Rao, V. 2013). </w:t>
      </w:r>
      <w:proofErr w:type="spellStart"/>
      <w:r w:rsidRPr="006E2B49">
        <w:rPr>
          <w:rFonts w:ascii="Arial" w:hAnsi="Arial" w:cs="Arial"/>
        </w:rPr>
        <w:t>Pohuwato</w:t>
      </w:r>
      <w:proofErr w:type="spellEnd"/>
      <w:r w:rsidRPr="006E2B49">
        <w:rPr>
          <w:rFonts w:ascii="Arial" w:hAnsi="Arial" w:cs="Arial"/>
        </w:rPr>
        <w:t xml:space="preserve"> District has shown incremental progress through the harmonization of roles between OPDs and improved targeting of assistance, but at the same time has revealed structural limitations that keep SPM achievements far from optimal. </w:t>
      </w:r>
      <w:commentRangeStart w:id="3"/>
      <w:r w:rsidRPr="006E2B49">
        <w:rPr>
          <w:rFonts w:ascii="Arial" w:hAnsi="Arial" w:cs="Arial"/>
        </w:rPr>
        <w:t>This argument is consistent with national and international literature on basic service governance and post-disaster housing reconstruction</w:t>
      </w:r>
      <w:commentRangeEnd w:id="3"/>
      <w:r w:rsidR="00A47283">
        <w:rPr>
          <w:rStyle w:val="CommentReference"/>
          <w:rFonts w:ascii="Times New Roman" w:hAnsi="Times New Roman"/>
          <w:lang w:val="nb-NO" w:eastAsia="nb-NO"/>
        </w:rPr>
        <w:commentReference w:id="3"/>
      </w:r>
      <w:r w:rsidRPr="006E2B49">
        <w:rPr>
          <w:rFonts w:ascii="Arial" w:hAnsi="Arial" w:cs="Arial"/>
        </w:rPr>
        <w:t>, thereby strengthening the external validity of the research findings and opening up space for more targeted policy recommendations, including the drafting of a Regent Regulation on housing SPM, the establishment of a formal cross-OPD coordination mechanism, strengthening technical capacity through training and partnerships, and innovating collaborative financing schemes between the state, the private sector, and the community.</w:t>
      </w:r>
      <w:bookmarkStart w:id="4" w:name="_GoBack"/>
      <w:bookmarkEnd w:id="4"/>
    </w:p>
    <w:p w14:paraId="39305EA9" w14:textId="77777777" w:rsidR="00E053D0" w:rsidRDefault="00E053D0" w:rsidP="00441B6F">
      <w:pPr>
        <w:pStyle w:val="Body"/>
        <w:spacing w:after="0"/>
        <w:rPr>
          <w:rFonts w:ascii="Arial" w:hAnsi="Arial" w:cs="Arial"/>
        </w:rPr>
      </w:pPr>
    </w:p>
    <w:p w14:paraId="0FAC5BA1" w14:textId="77777777" w:rsidR="00790ADA" w:rsidRPr="00FB3A86" w:rsidRDefault="00790ADA" w:rsidP="00441B6F">
      <w:pPr>
        <w:pStyle w:val="Body"/>
        <w:spacing w:after="0"/>
        <w:rPr>
          <w:rFonts w:ascii="Arial" w:hAnsi="Arial" w:cs="Arial"/>
        </w:rPr>
      </w:pPr>
    </w:p>
    <w:p w14:paraId="6243E7F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22786BC" w14:textId="77777777" w:rsidR="00790ADA" w:rsidRPr="00FB3A86" w:rsidRDefault="00790ADA" w:rsidP="00441B6F">
      <w:pPr>
        <w:pStyle w:val="ConcHead"/>
        <w:spacing w:after="0"/>
        <w:jc w:val="both"/>
        <w:rPr>
          <w:rFonts w:ascii="Arial" w:hAnsi="Arial" w:cs="Arial"/>
        </w:rPr>
      </w:pPr>
    </w:p>
    <w:p w14:paraId="2168D27C" w14:textId="77777777" w:rsidR="008E038B" w:rsidRDefault="008E038B" w:rsidP="008E038B">
      <w:pPr>
        <w:spacing w:after="240"/>
      </w:pPr>
      <w:r>
        <w:t xml:space="preserve">This study shows that the implementation of Minimum Service Standards (SPM) in the field of public housing in </w:t>
      </w:r>
      <w:proofErr w:type="spellStart"/>
      <w:r>
        <w:t>Pohuwato</w:t>
      </w:r>
      <w:proofErr w:type="spellEnd"/>
      <w:r>
        <w:t xml:space="preserve"> Regency has formed a functional governance architecture, but is still in the phase of institutional consolidation and regulatory maturation. The network of actors involving BPBD, PERKIM Office, BAPPEDA, and the Government Division has been running with a clear division of roles, but it is highly dependent on the quality of coordination and accuracy of damage data as the basis for determining aid recipients. Within the framework of multi-level governance, this configuration confirms that the achievement of SPM is not solely determined by one technical OPD, but rather by the collective capacity of cross-organizational entities in maintaining policy coherence and service accountability.</w:t>
      </w:r>
    </w:p>
    <w:p w14:paraId="4D5FA002" w14:textId="77777777" w:rsidR="008E038B" w:rsidRDefault="008E038B" w:rsidP="008E038B">
      <w:pPr>
        <w:spacing w:after="240"/>
      </w:pPr>
      <w:r w:rsidRPr="00EF6508">
        <w:t xml:space="preserve">The findings indicate three main determining factors that explain why SPM achievements in housing in </w:t>
      </w:r>
      <w:proofErr w:type="spellStart"/>
      <w:r w:rsidRPr="00EF6508">
        <w:t>Pohuwato</w:t>
      </w:r>
      <w:proofErr w:type="spellEnd"/>
      <w:r w:rsidRPr="00EF6508">
        <w:t xml:space="preserve"> are still incremental and not yet optimal. First, limited fiscal capacity and dependence on state budget support, grants, and CSR cause the volume of livable housing assistance to fluctuate, as reflected in the construction of only five housing units in 2024. Second, institutional capacity is still constrained by the lack of technical human resources, despite the high commitment of implementers, so that the quality of implementation is largely supported by informal coordination and institutional learning. Third, regulatory capacity is not yet fully adequate due to the absence of Regent Regulations and SOPs, so that many procedures are based on undocumented administrative practices. These three dimensions of capacity reflect a combination of policy capacity and integrative capacity that is not yet fully mature, so that the region's ability to bridge the national mandate and local realities is still limited.</w:t>
      </w:r>
    </w:p>
    <w:p w14:paraId="688A5912" w14:textId="77777777" w:rsidR="00860000" w:rsidRPr="000B0FB1" w:rsidRDefault="008E038B" w:rsidP="000B0FB1">
      <w:pPr>
        <w:spacing w:after="240"/>
      </w:pPr>
      <w:r w:rsidRPr="00EF6508">
        <w:t xml:space="preserve">Substantively, this study concludes that the SPM for public housing in </w:t>
      </w:r>
      <w:proofErr w:type="spellStart"/>
      <w:r w:rsidRPr="00EF6508">
        <w:t>Pohuwato</w:t>
      </w:r>
      <w:proofErr w:type="spellEnd"/>
      <w:r w:rsidRPr="00EF6508">
        <w:t xml:space="preserve"> Regency has moved towards more integrated and equitable governance practices, marked by </w:t>
      </w:r>
      <w:r w:rsidRPr="00EF6508">
        <w:lastRenderedPageBreak/>
        <w:t>increased uniformity of perception among OPDs and the accuracy of assistance targets for poor households and victims of disasters with severe damage. However, without strengthening regional regulations, medium-term financing planning, and investment in technical capacity, the region's ability to fulfill the right to adequate housing as mandated by the SPM will remain limited and highly vulnerable to fiscal and disaster shocks.</w:t>
      </w:r>
    </w:p>
    <w:p w14:paraId="1E87FA6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AE783E8" w14:textId="7CCE3B3B" w:rsidR="00EC6859" w:rsidRDefault="00EC6859" w:rsidP="00EC6859">
      <w:pPr>
        <w:pStyle w:val="NormalWeb"/>
        <w:numPr>
          <w:ilvl w:val="0"/>
          <w:numId w:val="31"/>
        </w:numPr>
        <w:rPr>
          <w:sz w:val="20"/>
        </w:rPr>
      </w:pPr>
      <w:r w:rsidRPr="00EC6859">
        <w:rPr>
          <w:sz w:val="20"/>
        </w:rPr>
        <w:t xml:space="preserve">Adam, E. S., Tahir, A., Abdussamad, Z., Hamim, U., &amp; Aneta, Y. (2025). The minimum service standards and social service challenges: A case study in Gorontalo Province. </w:t>
      </w:r>
      <w:r w:rsidRPr="0036231B">
        <w:rPr>
          <w:sz w:val="20"/>
          <w:highlight w:val="yellow"/>
        </w:rPr>
        <w:t>International Journal of Economic Literature</w:t>
      </w:r>
      <w:r w:rsidRPr="00EC6859">
        <w:rPr>
          <w:sz w:val="20"/>
        </w:rPr>
        <w:t xml:space="preserve">, 3(2), 615–624. </w:t>
      </w:r>
      <w:hyperlink r:id="rId16" w:history="1">
        <w:r w:rsidRPr="00BB4160">
          <w:rPr>
            <w:rStyle w:val="Hyperlink"/>
            <w:sz w:val="20"/>
          </w:rPr>
          <w:t>https://injole.joln.org/index.php/ijle</w:t>
        </w:r>
      </w:hyperlink>
    </w:p>
    <w:p w14:paraId="5982A4BF" w14:textId="04C98708" w:rsidR="00EC6859" w:rsidRDefault="00EC6859" w:rsidP="00EC6859">
      <w:pPr>
        <w:pStyle w:val="NormalWeb"/>
        <w:numPr>
          <w:ilvl w:val="0"/>
          <w:numId w:val="31"/>
        </w:numPr>
        <w:rPr>
          <w:sz w:val="20"/>
        </w:rPr>
      </w:pPr>
      <w:r w:rsidRPr="00EC6859">
        <w:rPr>
          <w:sz w:val="20"/>
        </w:rPr>
        <w:t xml:space="preserve">Allain-Dupré, D. (2020). The multi-level governance imperative: Strengthening the capacity of subnational governments. </w:t>
      </w:r>
      <w:r w:rsidRPr="0036231B">
        <w:rPr>
          <w:sz w:val="20"/>
          <w:highlight w:val="yellow"/>
        </w:rPr>
        <w:t>The British Journal of Politics and International Relations</w:t>
      </w:r>
      <w:r w:rsidRPr="00EC6859">
        <w:rPr>
          <w:sz w:val="20"/>
        </w:rPr>
        <w:t xml:space="preserve">, 22(4), 800–808. </w:t>
      </w:r>
      <w:hyperlink r:id="rId17" w:history="1">
        <w:r w:rsidRPr="00BB4160">
          <w:rPr>
            <w:rStyle w:val="Hyperlink"/>
            <w:sz w:val="20"/>
          </w:rPr>
          <w:t>https://doi.org/10.1177/1369148120918953</w:t>
        </w:r>
      </w:hyperlink>
    </w:p>
    <w:p w14:paraId="3F031DC1" w14:textId="54C9712F" w:rsidR="00EC6859" w:rsidRDefault="00EC6859" w:rsidP="00EC6859">
      <w:pPr>
        <w:pStyle w:val="NormalWeb"/>
        <w:numPr>
          <w:ilvl w:val="0"/>
          <w:numId w:val="31"/>
        </w:numPr>
        <w:rPr>
          <w:sz w:val="20"/>
        </w:rPr>
      </w:pPr>
      <w:r w:rsidRPr="00EC6859">
        <w:rPr>
          <w:sz w:val="20"/>
        </w:rPr>
        <w:t xml:space="preserve">California Governor's Office of Emergency Services. (2024). Post-disaster long-term recovery plan guide: Guidance document for the Cal OES Long-Term Recovery Plan Template. California Governor's Office of Emergency Services. </w:t>
      </w:r>
      <w:hyperlink r:id="rId18" w:history="1">
        <w:r w:rsidRPr="00BB4160">
          <w:rPr>
            <w:rStyle w:val="Hyperlink"/>
            <w:sz w:val="20"/>
          </w:rPr>
          <w:t>https://caloes.ca.gov/wp-content/uploads/Recovery/Long-Term-Recovery-Plan-Guide.pdf</w:t>
        </w:r>
      </w:hyperlink>
    </w:p>
    <w:p w14:paraId="7FDEF6BE" w14:textId="1CB36E0C" w:rsidR="00EC6859" w:rsidRDefault="00EC6859" w:rsidP="00EC6859">
      <w:pPr>
        <w:pStyle w:val="NormalWeb"/>
        <w:numPr>
          <w:ilvl w:val="0"/>
          <w:numId w:val="31"/>
        </w:numPr>
        <w:rPr>
          <w:sz w:val="20"/>
        </w:rPr>
      </w:pPr>
      <w:r w:rsidRPr="00EC6859">
        <w:rPr>
          <w:sz w:val="20"/>
        </w:rPr>
        <w:t xml:space="preserve">Dick-Sagoe, C. (2020). </w:t>
      </w:r>
      <w:proofErr w:type="spellStart"/>
      <w:r w:rsidRPr="00EC6859">
        <w:rPr>
          <w:sz w:val="20"/>
        </w:rPr>
        <w:t>Decentralisation</w:t>
      </w:r>
      <w:proofErr w:type="spellEnd"/>
      <w:r w:rsidRPr="00EC6859">
        <w:rPr>
          <w:sz w:val="20"/>
        </w:rPr>
        <w:t xml:space="preserve"> for improving the provision of public services in developing countries: A critical review. </w:t>
      </w:r>
      <w:r w:rsidRPr="0036231B">
        <w:rPr>
          <w:sz w:val="20"/>
          <w:highlight w:val="yellow"/>
        </w:rPr>
        <w:t>Cogent Economics &amp; Finance</w:t>
      </w:r>
      <w:r w:rsidRPr="00EC6859">
        <w:rPr>
          <w:sz w:val="20"/>
        </w:rPr>
        <w:t xml:space="preserve">, 8(1), 1804036. </w:t>
      </w:r>
      <w:hyperlink r:id="rId19" w:history="1">
        <w:r w:rsidRPr="00BB4160">
          <w:rPr>
            <w:rStyle w:val="Hyperlink"/>
            <w:sz w:val="20"/>
          </w:rPr>
          <w:t>https://doi.org/10.1080/23322039.2020.1804036</w:t>
        </w:r>
      </w:hyperlink>
    </w:p>
    <w:p w14:paraId="7939618B" w14:textId="43881B1E" w:rsidR="00EC6859" w:rsidRDefault="00EC6859" w:rsidP="00EC6859">
      <w:pPr>
        <w:pStyle w:val="NormalWeb"/>
        <w:numPr>
          <w:ilvl w:val="0"/>
          <w:numId w:val="31"/>
        </w:numPr>
        <w:rPr>
          <w:sz w:val="20"/>
        </w:rPr>
      </w:pPr>
      <w:proofErr w:type="spellStart"/>
      <w:r w:rsidRPr="00EC6859">
        <w:rPr>
          <w:sz w:val="20"/>
        </w:rPr>
        <w:t>Domorenok</w:t>
      </w:r>
      <w:proofErr w:type="spellEnd"/>
      <w:r w:rsidRPr="00EC6859">
        <w:rPr>
          <w:sz w:val="20"/>
        </w:rPr>
        <w:t xml:space="preserve">, E., Graziano, P., &amp; Polverari, L. (2021). Introduction: Policy integration and institutional capacity: Theoretical, conceptual and empirical challenges. </w:t>
      </w:r>
      <w:r w:rsidRPr="0036231B">
        <w:rPr>
          <w:sz w:val="20"/>
          <w:highlight w:val="yellow"/>
        </w:rPr>
        <w:t>Policy and Society</w:t>
      </w:r>
      <w:r w:rsidRPr="00EC6859">
        <w:rPr>
          <w:sz w:val="20"/>
        </w:rPr>
        <w:t xml:space="preserve">, 40(1), 1–18. </w:t>
      </w:r>
      <w:hyperlink r:id="rId20" w:history="1">
        <w:r w:rsidRPr="00BB4160">
          <w:rPr>
            <w:rStyle w:val="Hyperlink"/>
            <w:sz w:val="20"/>
          </w:rPr>
          <w:t>https://doi.org/10.1080/14494035.2021.1902058</w:t>
        </w:r>
      </w:hyperlink>
    </w:p>
    <w:p w14:paraId="3290F58C" w14:textId="4EEDA01B" w:rsidR="00EC6859" w:rsidRDefault="00EC6859" w:rsidP="00EC6859">
      <w:pPr>
        <w:pStyle w:val="NormalWeb"/>
        <w:numPr>
          <w:ilvl w:val="0"/>
          <w:numId w:val="31"/>
        </w:numPr>
        <w:rPr>
          <w:sz w:val="20"/>
        </w:rPr>
      </w:pPr>
      <w:r w:rsidRPr="00EC6859">
        <w:rPr>
          <w:sz w:val="20"/>
        </w:rPr>
        <w:t xml:space="preserve">FEMA. (2020). National Disaster Recovery Framework (Second Edition). U.S. Department of Homeland Security. </w:t>
      </w:r>
      <w:hyperlink r:id="rId21" w:history="1">
        <w:r w:rsidRPr="00BB4160">
          <w:rPr>
            <w:rStyle w:val="Hyperlink"/>
            <w:sz w:val="20"/>
          </w:rPr>
          <w:t>https://www.fema.gov/sites/default/files/2020-06/national_disaster_recovery_framework_2nd.pdf</w:t>
        </w:r>
      </w:hyperlink>
    </w:p>
    <w:p w14:paraId="56A963E8" w14:textId="12250FCB" w:rsidR="00EC6859" w:rsidRDefault="00EC6859" w:rsidP="00EC6859">
      <w:pPr>
        <w:pStyle w:val="NormalWeb"/>
        <w:numPr>
          <w:ilvl w:val="0"/>
          <w:numId w:val="31"/>
        </w:numPr>
        <w:rPr>
          <w:sz w:val="20"/>
        </w:rPr>
      </w:pPr>
      <w:r w:rsidRPr="00EC6859">
        <w:rPr>
          <w:sz w:val="20"/>
        </w:rPr>
        <w:t xml:space="preserve">FEMA. (2025). Hazard Mitigation Assistance Program and Policy Guide (Version 2.1). U.S. Department of Homeland Security. </w:t>
      </w:r>
      <w:hyperlink r:id="rId22" w:history="1">
        <w:r w:rsidRPr="00BB4160">
          <w:rPr>
            <w:rStyle w:val="Hyperlink"/>
            <w:sz w:val="20"/>
          </w:rPr>
          <w:t>https://www.fema.gov/grants/guidance-tools/hazard-mitigation-assistance-program-policy-guide</w:t>
        </w:r>
      </w:hyperlink>
    </w:p>
    <w:p w14:paraId="2A962AE8" w14:textId="3B6617BC" w:rsidR="000B0FB1" w:rsidRPr="000B0FB1" w:rsidRDefault="000B0FB1" w:rsidP="00EC6859">
      <w:pPr>
        <w:pStyle w:val="NormalWeb"/>
        <w:numPr>
          <w:ilvl w:val="0"/>
          <w:numId w:val="31"/>
        </w:numPr>
        <w:rPr>
          <w:sz w:val="20"/>
        </w:rPr>
      </w:pPr>
      <w:proofErr w:type="spellStart"/>
      <w:r w:rsidRPr="000B0FB1">
        <w:rPr>
          <w:sz w:val="20"/>
        </w:rPr>
        <w:t>Herdiansyah</w:t>
      </w:r>
      <w:proofErr w:type="spellEnd"/>
      <w:r w:rsidRPr="000B0FB1">
        <w:rPr>
          <w:sz w:val="20"/>
        </w:rPr>
        <w:t xml:space="preserve">, H. (2012). </w:t>
      </w:r>
      <w:r w:rsidRPr="000B0FB1">
        <w:rPr>
          <w:rStyle w:val="Emphasis"/>
          <w:sz w:val="20"/>
        </w:rPr>
        <w:t>Qualitative research methodology for social sciences</w:t>
      </w:r>
      <w:r w:rsidRPr="000B0FB1">
        <w:rPr>
          <w:sz w:val="20"/>
        </w:rPr>
        <w:t xml:space="preserve">. Jakarta: </w:t>
      </w:r>
      <w:proofErr w:type="spellStart"/>
      <w:r w:rsidRPr="000B0FB1">
        <w:rPr>
          <w:sz w:val="20"/>
        </w:rPr>
        <w:t>Salemba</w:t>
      </w:r>
      <w:proofErr w:type="spellEnd"/>
      <w:r w:rsidRPr="000B0FB1">
        <w:rPr>
          <w:sz w:val="20"/>
        </w:rPr>
        <w:t xml:space="preserve"> </w:t>
      </w:r>
      <w:proofErr w:type="spellStart"/>
      <w:r w:rsidRPr="000B0FB1">
        <w:rPr>
          <w:sz w:val="20"/>
        </w:rPr>
        <w:t>Humanika</w:t>
      </w:r>
      <w:proofErr w:type="spellEnd"/>
      <w:r w:rsidRPr="000B0FB1">
        <w:rPr>
          <w:sz w:val="20"/>
        </w:rPr>
        <w:t>.</w:t>
      </w:r>
    </w:p>
    <w:p w14:paraId="6D8D897F" w14:textId="77777777" w:rsidR="00EC6859" w:rsidRDefault="00EC6859" w:rsidP="00EC6859">
      <w:pPr>
        <w:pStyle w:val="NormalWeb"/>
        <w:numPr>
          <w:ilvl w:val="0"/>
          <w:numId w:val="31"/>
        </w:numPr>
        <w:rPr>
          <w:sz w:val="20"/>
        </w:rPr>
      </w:pPr>
      <w:proofErr w:type="spellStart"/>
      <w:r w:rsidRPr="00EC6859">
        <w:rPr>
          <w:sz w:val="20"/>
        </w:rPr>
        <w:t>Indriantoro</w:t>
      </w:r>
      <w:proofErr w:type="spellEnd"/>
      <w:r w:rsidRPr="00EC6859">
        <w:rPr>
          <w:sz w:val="20"/>
        </w:rPr>
        <w:t>, N., &amp; Supomo, B. (2002). Business research methodology for accounting and management. Yogyakarta: BPFE.</w:t>
      </w:r>
    </w:p>
    <w:p w14:paraId="0424AA97" w14:textId="0F8D7018" w:rsidR="00EC6859" w:rsidRDefault="00EC6859" w:rsidP="00EC6859">
      <w:pPr>
        <w:pStyle w:val="NormalWeb"/>
        <w:numPr>
          <w:ilvl w:val="0"/>
          <w:numId w:val="31"/>
        </w:numPr>
        <w:rPr>
          <w:sz w:val="20"/>
        </w:rPr>
      </w:pPr>
      <w:r w:rsidRPr="00EC6859">
        <w:rPr>
          <w:sz w:val="20"/>
        </w:rPr>
        <w:t xml:space="preserve">International Federation of Red Cross and Red Crescent Societies. (2023). IFRC Disaster Law Annual Report 2023. IFRC. </w:t>
      </w:r>
      <w:hyperlink r:id="rId23" w:history="1">
        <w:r w:rsidRPr="00BB4160">
          <w:rPr>
            <w:rStyle w:val="Hyperlink"/>
            <w:sz w:val="20"/>
          </w:rPr>
          <w:t>https://www.ifrc.org/document/ifrc-disaster-law-annual-report-2023</w:t>
        </w:r>
      </w:hyperlink>
    </w:p>
    <w:p w14:paraId="21F82D8A" w14:textId="7E964DED" w:rsidR="00EC6859" w:rsidRDefault="00EC6859" w:rsidP="00EC6859">
      <w:pPr>
        <w:pStyle w:val="NormalWeb"/>
        <w:numPr>
          <w:ilvl w:val="0"/>
          <w:numId w:val="31"/>
        </w:numPr>
        <w:rPr>
          <w:sz w:val="20"/>
        </w:rPr>
      </w:pPr>
      <w:r w:rsidRPr="00EC6859">
        <w:rPr>
          <w:sz w:val="20"/>
        </w:rPr>
        <w:t xml:space="preserve">Indonesian Ministry of Home Affairs. (2021). </w:t>
      </w:r>
      <w:proofErr w:type="spellStart"/>
      <w:r w:rsidRPr="00EC6859">
        <w:rPr>
          <w:sz w:val="20"/>
        </w:rPr>
        <w:t>Peraturan</w:t>
      </w:r>
      <w:proofErr w:type="spellEnd"/>
      <w:r w:rsidRPr="00EC6859">
        <w:rPr>
          <w:sz w:val="20"/>
        </w:rPr>
        <w:t xml:space="preserve"> </w:t>
      </w:r>
      <w:proofErr w:type="spellStart"/>
      <w:r w:rsidRPr="00EC6859">
        <w:rPr>
          <w:sz w:val="20"/>
        </w:rPr>
        <w:t>Menteri</w:t>
      </w:r>
      <w:proofErr w:type="spellEnd"/>
      <w:r w:rsidRPr="00EC6859">
        <w:rPr>
          <w:sz w:val="20"/>
        </w:rPr>
        <w:t xml:space="preserve"> </w:t>
      </w:r>
      <w:proofErr w:type="spellStart"/>
      <w:r w:rsidRPr="00EC6859">
        <w:rPr>
          <w:sz w:val="20"/>
        </w:rPr>
        <w:t>Dalam</w:t>
      </w:r>
      <w:proofErr w:type="spellEnd"/>
      <w:r w:rsidRPr="00EC6859">
        <w:rPr>
          <w:sz w:val="20"/>
        </w:rPr>
        <w:t xml:space="preserve"> </w:t>
      </w:r>
      <w:proofErr w:type="spellStart"/>
      <w:r w:rsidRPr="00EC6859">
        <w:rPr>
          <w:sz w:val="20"/>
        </w:rPr>
        <w:t>Negeri</w:t>
      </w:r>
      <w:proofErr w:type="spellEnd"/>
      <w:r w:rsidRPr="00EC6859">
        <w:rPr>
          <w:sz w:val="20"/>
        </w:rPr>
        <w:t xml:space="preserve"> </w:t>
      </w:r>
      <w:proofErr w:type="spellStart"/>
      <w:r w:rsidRPr="00EC6859">
        <w:rPr>
          <w:sz w:val="20"/>
        </w:rPr>
        <w:t>Republik</w:t>
      </w:r>
      <w:proofErr w:type="spellEnd"/>
      <w:r w:rsidRPr="00EC6859">
        <w:rPr>
          <w:sz w:val="20"/>
        </w:rPr>
        <w:t xml:space="preserve"> Indonesia </w:t>
      </w:r>
      <w:proofErr w:type="spellStart"/>
      <w:r w:rsidRPr="00EC6859">
        <w:rPr>
          <w:sz w:val="20"/>
        </w:rPr>
        <w:t>Nomor</w:t>
      </w:r>
      <w:proofErr w:type="spellEnd"/>
      <w:r w:rsidRPr="00EC6859">
        <w:rPr>
          <w:sz w:val="20"/>
        </w:rPr>
        <w:t xml:space="preserve"> 59 </w:t>
      </w:r>
      <w:proofErr w:type="spellStart"/>
      <w:r w:rsidRPr="00EC6859">
        <w:rPr>
          <w:sz w:val="20"/>
        </w:rPr>
        <w:t>Tahun</w:t>
      </w:r>
      <w:proofErr w:type="spellEnd"/>
      <w:r w:rsidRPr="00EC6859">
        <w:rPr>
          <w:sz w:val="20"/>
        </w:rPr>
        <w:t xml:space="preserve"> 2021 </w:t>
      </w:r>
      <w:proofErr w:type="spellStart"/>
      <w:r w:rsidRPr="00EC6859">
        <w:rPr>
          <w:sz w:val="20"/>
        </w:rPr>
        <w:t>tentang</w:t>
      </w:r>
      <w:proofErr w:type="spellEnd"/>
      <w:r w:rsidRPr="00EC6859">
        <w:rPr>
          <w:sz w:val="20"/>
        </w:rPr>
        <w:t xml:space="preserve"> </w:t>
      </w:r>
      <w:proofErr w:type="spellStart"/>
      <w:r w:rsidRPr="00EC6859">
        <w:rPr>
          <w:sz w:val="20"/>
        </w:rPr>
        <w:t>Penerapan</w:t>
      </w:r>
      <w:proofErr w:type="spellEnd"/>
      <w:r w:rsidRPr="00EC6859">
        <w:rPr>
          <w:sz w:val="20"/>
        </w:rPr>
        <w:t xml:space="preserve"> </w:t>
      </w:r>
      <w:proofErr w:type="spellStart"/>
      <w:r w:rsidRPr="00EC6859">
        <w:rPr>
          <w:sz w:val="20"/>
        </w:rPr>
        <w:t>Standar</w:t>
      </w:r>
      <w:proofErr w:type="spellEnd"/>
      <w:r w:rsidRPr="00EC6859">
        <w:rPr>
          <w:sz w:val="20"/>
        </w:rPr>
        <w:t xml:space="preserve"> </w:t>
      </w:r>
      <w:proofErr w:type="spellStart"/>
      <w:r w:rsidRPr="00EC6859">
        <w:rPr>
          <w:sz w:val="20"/>
        </w:rPr>
        <w:t>Pelayanan</w:t>
      </w:r>
      <w:proofErr w:type="spellEnd"/>
      <w:r w:rsidRPr="00EC6859">
        <w:rPr>
          <w:sz w:val="20"/>
        </w:rPr>
        <w:t xml:space="preserve"> Minimal. </w:t>
      </w:r>
      <w:hyperlink r:id="rId24" w:history="1">
        <w:r w:rsidRPr="00BB4160">
          <w:rPr>
            <w:rStyle w:val="Hyperlink"/>
            <w:sz w:val="20"/>
          </w:rPr>
          <w:t>https://peraturan.bpk.go.id/Home/Details/186000/permendagri-no-59-tahun-2021</w:t>
        </w:r>
      </w:hyperlink>
    </w:p>
    <w:p w14:paraId="7D6E076D" w14:textId="3245B4B0" w:rsidR="00EC6859" w:rsidRDefault="00EC6859" w:rsidP="00EC6859">
      <w:pPr>
        <w:pStyle w:val="NormalWeb"/>
        <w:numPr>
          <w:ilvl w:val="0"/>
          <w:numId w:val="31"/>
        </w:numPr>
        <w:rPr>
          <w:sz w:val="20"/>
        </w:rPr>
      </w:pPr>
      <w:r w:rsidRPr="00EC6859">
        <w:rPr>
          <w:sz w:val="20"/>
        </w:rPr>
        <w:t xml:space="preserve">Ministry of Public Works and Housing of the Republic of Indonesia. (2023). </w:t>
      </w:r>
      <w:proofErr w:type="spellStart"/>
      <w:r w:rsidRPr="00EC6859">
        <w:rPr>
          <w:sz w:val="20"/>
        </w:rPr>
        <w:t>Peraturan</w:t>
      </w:r>
      <w:proofErr w:type="spellEnd"/>
      <w:r w:rsidRPr="00EC6859">
        <w:rPr>
          <w:sz w:val="20"/>
        </w:rPr>
        <w:t xml:space="preserve"> </w:t>
      </w:r>
      <w:proofErr w:type="spellStart"/>
      <w:r w:rsidRPr="00EC6859">
        <w:rPr>
          <w:sz w:val="20"/>
        </w:rPr>
        <w:t>Menteri</w:t>
      </w:r>
      <w:proofErr w:type="spellEnd"/>
      <w:r w:rsidRPr="00EC6859">
        <w:rPr>
          <w:sz w:val="20"/>
        </w:rPr>
        <w:t xml:space="preserve"> </w:t>
      </w:r>
      <w:proofErr w:type="spellStart"/>
      <w:r w:rsidRPr="00EC6859">
        <w:rPr>
          <w:sz w:val="20"/>
        </w:rPr>
        <w:t>Pekerjaan</w:t>
      </w:r>
      <w:proofErr w:type="spellEnd"/>
      <w:r w:rsidRPr="00EC6859">
        <w:rPr>
          <w:sz w:val="20"/>
        </w:rPr>
        <w:t xml:space="preserve"> </w:t>
      </w:r>
      <w:proofErr w:type="spellStart"/>
      <w:r w:rsidRPr="00EC6859">
        <w:rPr>
          <w:sz w:val="20"/>
        </w:rPr>
        <w:t>Umum</w:t>
      </w:r>
      <w:proofErr w:type="spellEnd"/>
      <w:r w:rsidRPr="00EC6859">
        <w:rPr>
          <w:sz w:val="20"/>
        </w:rPr>
        <w:t xml:space="preserve"> </w:t>
      </w:r>
      <w:proofErr w:type="spellStart"/>
      <w:r w:rsidRPr="00EC6859">
        <w:rPr>
          <w:sz w:val="20"/>
        </w:rPr>
        <w:t>dan</w:t>
      </w:r>
      <w:proofErr w:type="spellEnd"/>
      <w:r w:rsidRPr="00EC6859">
        <w:rPr>
          <w:sz w:val="20"/>
        </w:rPr>
        <w:t xml:space="preserve"> </w:t>
      </w:r>
      <w:proofErr w:type="spellStart"/>
      <w:r w:rsidRPr="00EC6859">
        <w:rPr>
          <w:sz w:val="20"/>
        </w:rPr>
        <w:t>Perumahan</w:t>
      </w:r>
      <w:proofErr w:type="spellEnd"/>
      <w:r w:rsidRPr="00EC6859">
        <w:rPr>
          <w:sz w:val="20"/>
        </w:rPr>
        <w:t xml:space="preserve"> Rakyat </w:t>
      </w:r>
      <w:proofErr w:type="spellStart"/>
      <w:r w:rsidRPr="00EC6859">
        <w:rPr>
          <w:sz w:val="20"/>
        </w:rPr>
        <w:t>Nomor</w:t>
      </w:r>
      <w:proofErr w:type="spellEnd"/>
      <w:r w:rsidRPr="00EC6859">
        <w:rPr>
          <w:sz w:val="20"/>
        </w:rPr>
        <w:t xml:space="preserve"> 13 </w:t>
      </w:r>
      <w:proofErr w:type="spellStart"/>
      <w:r w:rsidRPr="00EC6859">
        <w:rPr>
          <w:sz w:val="20"/>
        </w:rPr>
        <w:t>Tahun</w:t>
      </w:r>
      <w:proofErr w:type="spellEnd"/>
      <w:r w:rsidRPr="00EC6859">
        <w:rPr>
          <w:sz w:val="20"/>
        </w:rPr>
        <w:t xml:space="preserve"> 2023 </w:t>
      </w:r>
      <w:proofErr w:type="spellStart"/>
      <w:r w:rsidRPr="00EC6859">
        <w:rPr>
          <w:sz w:val="20"/>
        </w:rPr>
        <w:t>tentang</w:t>
      </w:r>
      <w:proofErr w:type="spellEnd"/>
      <w:r w:rsidRPr="00EC6859">
        <w:rPr>
          <w:sz w:val="20"/>
        </w:rPr>
        <w:t xml:space="preserve"> </w:t>
      </w:r>
      <w:proofErr w:type="spellStart"/>
      <w:r w:rsidRPr="00EC6859">
        <w:rPr>
          <w:sz w:val="20"/>
        </w:rPr>
        <w:t>Standar</w:t>
      </w:r>
      <w:proofErr w:type="spellEnd"/>
      <w:r w:rsidRPr="00EC6859">
        <w:rPr>
          <w:sz w:val="20"/>
        </w:rPr>
        <w:t xml:space="preserve"> </w:t>
      </w:r>
      <w:proofErr w:type="spellStart"/>
      <w:r w:rsidRPr="00EC6859">
        <w:rPr>
          <w:sz w:val="20"/>
        </w:rPr>
        <w:t>Teknis</w:t>
      </w:r>
      <w:proofErr w:type="spellEnd"/>
      <w:r w:rsidRPr="00EC6859">
        <w:rPr>
          <w:sz w:val="20"/>
        </w:rPr>
        <w:t xml:space="preserve"> </w:t>
      </w:r>
      <w:proofErr w:type="spellStart"/>
      <w:r w:rsidRPr="00EC6859">
        <w:rPr>
          <w:sz w:val="20"/>
        </w:rPr>
        <w:t>Standar</w:t>
      </w:r>
      <w:proofErr w:type="spellEnd"/>
      <w:r w:rsidRPr="00EC6859">
        <w:rPr>
          <w:sz w:val="20"/>
        </w:rPr>
        <w:t xml:space="preserve"> </w:t>
      </w:r>
      <w:proofErr w:type="spellStart"/>
      <w:r w:rsidRPr="00EC6859">
        <w:rPr>
          <w:sz w:val="20"/>
        </w:rPr>
        <w:t>Pelayanan</w:t>
      </w:r>
      <w:proofErr w:type="spellEnd"/>
      <w:r w:rsidRPr="00EC6859">
        <w:rPr>
          <w:sz w:val="20"/>
        </w:rPr>
        <w:t xml:space="preserve"> Minimal </w:t>
      </w:r>
      <w:proofErr w:type="spellStart"/>
      <w:r w:rsidRPr="00EC6859">
        <w:rPr>
          <w:sz w:val="20"/>
        </w:rPr>
        <w:t>Bidang</w:t>
      </w:r>
      <w:proofErr w:type="spellEnd"/>
      <w:r w:rsidRPr="00EC6859">
        <w:rPr>
          <w:sz w:val="20"/>
        </w:rPr>
        <w:t xml:space="preserve"> </w:t>
      </w:r>
      <w:proofErr w:type="spellStart"/>
      <w:r w:rsidRPr="00EC6859">
        <w:rPr>
          <w:sz w:val="20"/>
        </w:rPr>
        <w:t>Pekerjaan</w:t>
      </w:r>
      <w:proofErr w:type="spellEnd"/>
      <w:r w:rsidRPr="00EC6859">
        <w:rPr>
          <w:sz w:val="20"/>
        </w:rPr>
        <w:t xml:space="preserve"> </w:t>
      </w:r>
      <w:proofErr w:type="spellStart"/>
      <w:r w:rsidRPr="00EC6859">
        <w:rPr>
          <w:sz w:val="20"/>
        </w:rPr>
        <w:t>Umum</w:t>
      </w:r>
      <w:proofErr w:type="spellEnd"/>
      <w:r w:rsidRPr="00EC6859">
        <w:rPr>
          <w:sz w:val="20"/>
        </w:rPr>
        <w:t xml:space="preserve"> </w:t>
      </w:r>
      <w:proofErr w:type="spellStart"/>
      <w:r w:rsidRPr="00EC6859">
        <w:rPr>
          <w:sz w:val="20"/>
        </w:rPr>
        <w:t>dan</w:t>
      </w:r>
      <w:proofErr w:type="spellEnd"/>
      <w:r w:rsidRPr="00EC6859">
        <w:rPr>
          <w:sz w:val="20"/>
        </w:rPr>
        <w:t xml:space="preserve"> </w:t>
      </w:r>
      <w:proofErr w:type="spellStart"/>
      <w:r w:rsidRPr="00EC6859">
        <w:rPr>
          <w:sz w:val="20"/>
        </w:rPr>
        <w:t>Bidang</w:t>
      </w:r>
      <w:proofErr w:type="spellEnd"/>
      <w:r w:rsidRPr="00EC6859">
        <w:rPr>
          <w:sz w:val="20"/>
        </w:rPr>
        <w:t xml:space="preserve"> </w:t>
      </w:r>
      <w:proofErr w:type="spellStart"/>
      <w:r w:rsidRPr="00EC6859">
        <w:rPr>
          <w:sz w:val="20"/>
        </w:rPr>
        <w:t>Perumahan</w:t>
      </w:r>
      <w:proofErr w:type="spellEnd"/>
      <w:r w:rsidRPr="00EC6859">
        <w:rPr>
          <w:sz w:val="20"/>
        </w:rPr>
        <w:t xml:space="preserve"> Rakyat. </w:t>
      </w:r>
      <w:hyperlink r:id="rId25" w:history="1">
        <w:r w:rsidRPr="00BB4160">
          <w:rPr>
            <w:rStyle w:val="Hyperlink"/>
            <w:sz w:val="20"/>
          </w:rPr>
          <w:t>https://jdih.pu.go.id/detail-dokumen/15764/1</w:t>
        </w:r>
      </w:hyperlink>
    </w:p>
    <w:p w14:paraId="7A0AA253" w14:textId="244BA0A8" w:rsidR="00EC6859" w:rsidRDefault="00EC6859" w:rsidP="00EC6859">
      <w:pPr>
        <w:pStyle w:val="NormalWeb"/>
        <w:numPr>
          <w:ilvl w:val="0"/>
          <w:numId w:val="31"/>
        </w:numPr>
        <w:rPr>
          <w:sz w:val="20"/>
        </w:rPr>
      </w:pPr>
      <w:r w:rsidRPr="00EC6859">
        <w:rPr>
          <w:sz w:val="20"/>
        </w:rPr>
        <w:t xml:space="preserve">Lincoln, Y. S., &amp; Guba, E. G. (1985). Naturalistic inquiry. Newbury Park, CA: Sage. </w:t>
      </w:r>
      <w:hyperlink r:id="rId26" w:history="1">
        <w:r w:rsidRPr="00BB4160">
          <w:rPr>
            <w:rStyle w:val="Hyperlink"/>
            <w:sz w:val="20"/>
          </w:rPr>
          <w:t>https://us.sagepub.com/en-us/nam/naturalistic-inquiry/book902</w:t>
        </w:r>
      </w:hyperlink>
    </w:p>
    <w:p w14:paraId="0A8B90AE" w14:textId="03C4AFD0" w:rsidR="00EC6859" w:rsidRDefault="00EC6859" w:rsidP="00EC6859">
      <w:pPr>
        <w:pStyle w:val="NormalWeb"/>
        <w:numPr>
          <w:ilvl w:val="0"/>
          <w:numId w:val="31"/>
        </w:numPr>
        <w:rPr>
          <w:sz w:val="20"/>
        </w:rPr>
      </w:pPr>
      <w:r w:rsidRPr="00EC6859">
        <w:rPr>
          <w:sz w:val="20"/>
        </w:rPr>
        <w:t xml:space="preserve">Mansuri, G., &amp; Rao, V. (2013). Localizing development: Does participation work? World Bank. </w:t>
      </w:r>
      <w:hyperlink r:id="rId27" w:history="1">
        <w:r w:rsidRPr="00BB4160">
          <w:rPr>
            <w:rStyle w:val="Hyperlink"/>
            <w:sz w:val="20"/>
          </w:rPr>
          <w:t>https://doi.org/10.1596/978-0-8213-8256-1</w:t>
        </w:r>
      </w:hyperlink>
    </w:p>
    <w:p w14:paraId="0509B108" w14:textId="52D15C3B" w:rsidR="00EC6859" w:rsidRDefault="00EC6859" w:rsidP="00EC6859">
      <w:pPr>
        <w:pStyle w:val="NormalWeb"/>
        <w:numPr>
          <w:ilvl w:val="0"/>
          <w:numId w:val="31"/>
        </w:numPr>
        <w:rPr>
          <w:sz w:val="20"/>
        </w:rPr>
      </w:pPr>
      <w:r w:rsidRPr="00EC6859">
        <w:rPr>
          <w:sz w:val="20"/>
        </w:rPr>
        <w:t xml:space="preserve">McClelland, A. G., Shaw, D., O'Grady, N., &amp; Fattoum, A. (2022). Recovery for Development: A Multi-Dimensional, Practice-Oriented Framework for Transformative Change Post-Disaster. </w:t>
      </w:r>
      <w:r w:rsidRPr="0036231B">
        <w:rPr>
          <w:sz w:val="20"/>
          <w:highlight w:val="yellow"/>
        </w:rPr>
        <w:t>The Journal of Development Studies</w:t>
      </w:r>
      <w:r w:rsidRPr="00EC6859">
        <w:rPr>
          <w:sz w:val="20"/>
        </w:rPr>
        <w:t xml:space="preserve"> </w:t>
      </w:r>
      <w:hyperlink r:id="rId28" w:history="1">
        <w:r w:rsidRPr="00BB4160">
          <w:rPr>
            <w:rStyle w:val="Hyperlink"/>
            <w:sz w:val="20"/>
          </w:rPr>
          <w:t>https://doi.org/10.1080/00220388.2022.2130055</w:t>
        </w:r>
      </w:hyperlink>
    </w:p>
    <w:p w14:paraId="642F2C36" w14:textId="2AEC1503" w:rsidR="00EC6859" w:rsidRDefault="00EC6859" w:rsidP="00EC6859">
      <w:pPr>
        <w:pStyle w:val="NormalWeb"/>
        <w:numPr>
          <w:ilvl w:val="0"/>
          <w:numId w:val="31"/>
        </w:numPr>
        <w:rPr>
          <w:sz w:val="20"/>
        </w:rPr>
      </w:pPr>
      <w:r w:rsidRPr="00EC6859">
        <w:rPr>
          <w:sz w:val="20"/>
        </w:rPr>
        <w:lastRenderedPageBreak/>
        <w:t xml:space="preserve">Miles, M. B., Huberman, A. M., &amp; Saldaña, J. (2014). Qualitative data analysis: A methods sourcebook (3rd ed.). Thousand Oaks, CA: Sage. </w:t>
      </w:r>
      <w:hyperlink r:id="rId29" w:history="1">
        <w:r w:rsidRPr="00BB4160">
          <w:rPr>
            <w:rStyle w:val="Hyperlink"/>
            <w:sz w:val="20"/>
          </w:rPr>
          <w:t>https://study.sagepub.com/milesandsaldana3e</w:t>
        </w:r>
      </w:hyperlink>
    </w:p>
    <w:p w14:paraId="51A89197" w14:textId="64CB3EA5" w:rsidR="000B0FB1" w:rsidRPr="000B0FB1" w:rsidRDefault="000B0FB1" w:rsidP="00EC6859">
      <w:pPr>
        <w:pStyle w:val="NormalWeb"/>
        <w:numPr>
          <w:ilvl w:val="0"/>
          <w:numId w:val="31"/>
        </w:numPr>
        <w:rPr>
          <w:sz w:val="20"/>
        </w:rPr>
      </w:pPr>
      <w:r w:rsidRPr="000B0FB1">
        <w:rPr>
          <w:sz w:val="20"/>
        </w:rPr>
        <w:t xml:space="preserve">Nawawi, H. (1990). </w:t>
      </w:r>
      <w:r w:rsidRPr="000B0FB1">
        <w:rPr>
          <w:rStyle w:val="Emphasis"/>
          <w:sz w:val="20"/>
        </w:rPr>
        <w:t>Research methods in the field of social sciences</w:t>
      </w:r>
      <w:r w:rsidRPr="000B0FB1">
        <w:rPr>
          <w:sz w:val="20"/>
        </w:rPr>
        <w:t>. Yogyakarta: Gadjah Mada University Press.</w:t>
      </w:r>
    </w:p>
    <w:p w14:paraId="16737C2C" w14:textId="0779AE27" w:rsidR="00EC6859" w:rsidRDefault="00EC6859" w:rsidP="00EC6859">
      <w:pPr>
        <w:pStyle w:val="NormalWeb"/>
        <w:numPr>
          <w:ilvl w:val="0"/>
          <w:numId w:val="31"/>
        </w:numPr>
        <w:rPr>
          <w:sz w:val="20"/>
        </w:rPr>
      </w:pPr>
      <w:proofErr w:type="spellStart"/>
      <w:r w:rsidRPr="00EC6859">
        <w:rPr>
          <w:sz w:val="20"/>
        </w:rPr>
        <w:t>Nekwek</w:t>
      </w:r>
      <w:proofErr w:type="spellEnd"/>
      <w:r w:rsidRPr="00EC6859">
        <w:rPr>
          <w:sz w:val="20"/>
        </w:rPr>
        <w:t xml:space="preserve">, L. (2022). </w:t>
      </w:r>
      <w:proofErr w:type="spellStart"/>
      <w:r w:rsidRPr="00EC6859">
        <w:rPr>
          <w:sz w:val="20"/>
        </w:rPr>
        <w:t>Implementasi</w:t>
      </w:r>
      <w:proofErr w:type="spellEnd"/>
      <w:r w:rsidRPr="00EC6859">
        <w:rPr>
          <w:sz w:val="20"/>
        </w:rPr>
        <w:t xml:space="preserve"> </w:t>
      </w:r>
      <w:proofErr w:type="spellStart"/>
      <w:r w:rsidRPr="00EC6859">
        <w:rPr>
          <w:sz w:val="20"/>
        </w:rPr>
        <w:t>kebijakan</w:t>
      </w:r>
      <w:proofErr w:type="spellEnd"/>
      <w:r w:rsidRPr="00EC6859">
        <w:rPr>
          <w:sz w:val="20"/>
        </w:rPr>
        <w:t xml:space="preserve"> </w:t>
      </w:r>
      <w:proofErr w:type="spellStart"/>
      <w:r w:rsidRPr="00EC6859">
        <w:rPr>
          <w:sz w:val="20"/>
        </w:rPr>
        <w:t>pengembangan</w:t>
      </w:r>
      <w:proofErr w:type="spellEnd"/>
      <w:r w:rsidRPr="00EC6859">
        <w:rPr>
          <w:sz w:val="20"/>
        </w:rPr>
        <w:t xml:space="preserve"> </w:t>
      </w:r>
      <w:proofErr w:type="spellStart"/>
      <w:r w:rsidRPr="00EC6859">
        <w:rPr>
          <w:sz w:val="20"/>
        </w:rPr>
        <w:t>kompetensi</w:t>
      </w:r>
      <w:proofErr w:type="spellEnd"/>
      <w:r w:rsidRPr="00EC6859">
        <w:rPr>
          <w:sz w:val="20"/>
        </w:rPr>
        <w:t xml:space="preserve"> </w:t>
      </w:r>
      <w:proofErr w:type="spellStart"/>
      <w:r w:rsidRPr="00EC6859">
        <w:rPr>
          <w:sz w:val="20"/>
        </w:rPr>
        <w:t>sumber</w:t>
      </w:r>
      <w:proofErr w:type="spellEnd"/>
      <w:r w:rsidRPr="00EC6859">
        <w:rPr>
          <w:sz w:val="20"/>
        </w:rPr>
        <w:t xml:space="preserve"> </w:t>
      </w:r>
      <w:proofErr w:type="spellStart"/>
      <w:r w:rsidRPr="00EC6859">
        <w:rPr>
          <w:sz w:val="20"/>
        </w:rPr>
        <w:t>daya</w:t>
      </w:r>
      <w:proofErr w:type="spellEnd"/>
      <w:r w:rsidRPr="00EC6859">
        <w:rPr>
          <w:sz w:val="20"/>
        </w:rPr>
        <w:t xml:space="preserve"> </w:t>
      </w:r>
      <w:proofErr w:type="spellStart"/>
      <w:r w:rsidRPr="00EC6859">
        <w:rPr>
          <w:sz w:val="20"/>
        </w:rPr>
        <w:t>aparatur</w:t>
      </w:r>
      <w:proofErr w:type="spellEnd"/>
      <w:r w:rsidRPr="00EC6859">
        <w:rPr>
          <w:sz w:val="20"/>
        </w:rPr>
        <w:t xml:space="preserve"> </w:t>
      </w:r>
      <w:proofErr w:type="spellStart"/>
      <w:r w:rsidRPr="00EC6859">
        <w:rPr>
          <w:sz w:val="20"/>
        </w:rPr>
        <w:t>sipil</w:t>
      </w:r>
      <w:proofErr w:type="spellEnd"/>
      <w:r w:rsidRPr="00EC6859">
        <w:rPr>
          <w:sz w:val="20"/>
        </w:rPr>
        <w:t xml:space="preserve"> </w:t>
      </w:r>
      <w:proofErr w:type="spellStart"/>
      <w:r w:rsidRPr="00EC6859">
        <w:rPr>
          <w:sz w:val="20"/>
        </w:rPr>
        <w:t>negara</w:t>
      </w:r>
      <w:proofErr w:type="spellEnd"/>
      <w:r w:rsidRPr="00EC6859">
        <w:rPr>
          <w:sz w:val="20"/>
        </w:rPr>
        <w:t xml:space="preserve"> di </w:t>
      </w:r>
      <w:proofErr w:type="spellStart"/>
      <w:r w:rsidRPr="00EC6859">
        <w:rPr>
          <w:sz w:val="20"/>
        </w:rPr>
        <w:t>Kabupaten</w:t>
      </w:r>
      <w:proofErr w:type="spellEnd"/>
      <w:r w:rsidRPr="00EC6859">
        <w:rPr>
          <w:sz w:val="20"/>
        </w:rPr>
        <w:t xml:space="preserve"> </w:t>
      </w:r>
      <w:proofErr w:type="spellStart"/>
      <w:r w:rsidRPr="00EC6859">
        <w:rPr>
          <w:sz w:val="20"/>
        </w:rPr>
        <w:t>Yalimo</w:t>
      </w:r>
      <w:proofErr w:type="spellEnd"/>
      <w:r w:rsidRPr="00EC6859">
        <w:rPr>
          <w:sz w:val="20"/>
        </w:rPr>
        <w:t xml:space="preserve"> </w:t>
      </w:r>
      <w:proofErr w:type="spellStart"/>
      <w:r w:rsidRPr="00EC6859">
        <w:rPr>
          <w:sz w:val="20"/>
        </w:rPr>
        <w:t>Provinsi</w:t>
      </w:r>
      <w:proofErr w:type="spellEnd"/>
      <w:r w:rsidRPr="00EC6859">
        <w:rPr>
          <w:sz w:val="20"/>
        </w:rPr>
        <w:t xml:space="preserve"> Papua. </w:t>
      </w:r>
      <w:proofErr w:type="spellStart"/>
      <w:r w:rsidRPr="0036231B">
        <w:rPr>
          <w:sz w:val="20"/>
          <w:highlight w:val="yellow"/>
        </w:rPr>
        <w:t>Jurnal</w:t>
      </w:r>
      <w:proofErr w:type="spellEnd"/>
      <w:r w:rsidRPr="0036231B">
        <w:rPr>
          <w:sz w:val="20"/>
          <w:highlight w:val="yellow"/>
        </w:rPr>
        <w:t xml:space="preserve"> </w:t>
      </w:r>
      <w:proofErr w:type="spellStart"/>
      <w:r w:rsidRPr="0036231B">
        <w:rPr>
          <w:sz w:val="20"/>
          <w:highlight w:val="yellow"/>
        </w:rPr>
        <w:t>Adhikari</w:t>
      </w:r>
      <w:proofErr w:type="spellEnd"/>
      <w:r w:rsidRPr="0036231B">
        <w:rPr>
          <w:sz w:val="20"/>
          <w:highlight w:val="yellow"/>
        </w:rPr>
        <w:t>,</w:t>
      </w:r>
      <w:r w:rsidRPr="00EC6859">
        <w:rPr>
          <w:sz w:val="20"/>
        </w:rPr>
        <w:t xml:space="preserve"> 1(3), 141–151. </w:t>
      </w:r>
      <w:hyperlink r:id="rId30" w:history="1">
        <w:r w:rsidRPr="00BB4160">
          <w:rPr>
            <w:rStyle w:val="Hyperlink"/>
            <w:sz w:val="20"/>
          </w:rPr>
          <w:t>https://doi.org/10.53968/ja.v1i3.40</w:t>
        </w:r>
      </w:hyperlink>
    </w:p>
    <w:p w14:paraId="66ABA057" w14:textId="612CB79D" w:rsidR="00EC6859" w:rsidRDefault="00EC6859" w:rsidP="00EC6859">
      <w:pPr>
        <w:pStyle w:val="NormalWeb"/>
        <w:numPr>
          <w:ilvl w:val="0"/>
          <w:numId w:val="31"/>
        </w:numPr>
        <w:rPr>
          <w:sz w:val="20"/>
        </w:rPr>
      </w:pPr>
      <w:r w:rsidRPr="00EC6859">
        <w:rPr>
          <w:sz w:val="20"/>
        </w:rPr>
        <w:t xml:space="preserve">Okunola, O. H., &amp; Werners, S. E. (2024). A multi-dimensional framework for assessing disaster recovery pathways: Lessons and experiences from Germany and Nigeria. International </w:t>
      </w:r>
      <w:r w:rsidRPr="0036231B">
        <w:rPr>
          <w:sz w:val="20"/>
          <w:highlight w:val="yellow"/>
        </w:rPr>
        <w:t>Journal of Disaster Risk Reduction,</w:t>
      </w:r>
      <w:r w:rsidRPr="00EC6859">
        <w:rPr>
          <w:sz w:val="20"/>
        </w:rPr>
        <w:t xml:space="preserve"> 112, 104777. </w:t>
      </w:r>
      <w:hyperlink r:id="rId31" w:history="1">
        <w:r w:rsidRPr="00BB4160">
          <w:rPr>
            <w:rStyle w:val="Hyperlink"/>
            <w:sz w:val="20"/>
          </w:rPr>
          <w:t>https://doi.org/10.1016/j.ijdrr.2024.104777</w:t>
        </w:r>
      </w:hyperlink>
    </w:p>
    <w:p w14:paraId="748FC1C5" w14:textId="183259ED" w:rsidR="00EC6859" w:rsidRDefault="00EC6859" w:rsidP="00EC6859">
      <w:pPr>
        <w:pStyle w:val="NormalWeb"/>
        <w:numPr>
          <w:ilvl w:val="0"/>
          <w:numId w:val="31"/>
        </w:numPr>
        <w:rPr>
          <w:sz w:val="20"/>
        </w:rPr>
      </w:pPr>
      <w:proofErr w:type="spellStart"/>
      <w:r w:rsidRPr="00EC6859">
        <w:rPr>
          <w:sz w:val="20"/>
        </w:rPr>
        <w:t>Purhantara</w:t>
      </w:r>
      <w:proofErr w:type="spellEnd"/>
      <w:r w:rsidRPr="00EC6859">
        <w:rPr>
          <w:sz w:val="20"/>
        </w:rPr>
        <w:t xml:space="preserve">, W. (2010). </w:t>
      </w:r>
      <w:proofErr w:type="spellStart"/>
      <w:r w:rsidRPr="00EC6859">
        <w:rPr>
          <w:sz w:val="20"/>
        </w:rPr>
        <w:t>Metode</w:t>
      </w:r>
      <w:proofErr w:type="spellEnd"/>
      <w:r w:rsidRPr="00EC6859">
        <w:rPr>
          <w:sz w:val="20"/>
        </w:rPr>
        <w:t xml:space="preserve"> </w:t>
      </w:r>
      <w:proofErr w:type="spellStart"/>
      <w:r w:rsidRPr="00EC6859">
        <w:rPr>
          <w:sz w:val="20"/>
        </w:rPr>
        <w:t>Penelitian</w:t>
      </w:r>
      <w:proofErr w:type="spellEnd"/>
      <w:r w:rsidRPr="00EC6859">
        <w:rPr>
          <w:sz w:val="20"/>
        </w:rPr>
        <w:t xml:space="preserve"> </w:t>
      </w:r>
      <w:proofErr w:type="spellStart"/>
      <w:r w:rsidRPr="00EC6859">
        <w:rPr>
          <w:sz w:val="20"/>
        </w:rPr>
        <w:t>Kualitatif</w:t>
      </w:r>
      <w:proofErr w:type="spellEnd"/>
      <w:r w:rsidRPr="00EC6859">
        <w:rPr>
          <w:sz w:val="20"/>
        </w:rPr>
        <w:t xml:space="preserve"> </w:t>
      </w:r>
      <w:proofErr w:type="spellStart"/>
      <w:r w:rsidRPr="00EC6859">
        <w:rPr>
          <w:sz w:val="20"/>
        </w:rPr>
        <w:t>untuk</w:t>
      </w:r>
      <w:proofErr w:type="spellEnd"/>
      <w:r w:rsidRPr="00EC6859">
        <w:rPr>
          <w:sz w:val="20"/>
        </w:rPr>
        <w:t xml:space="preserve"> </w:t>
      </w:r>
      <w:proofErr w:type="spellStart"/>
      <w:r w:rsidRPr="00EC6859">
        <w:rPr>
          <w:sz w:val="20"/>
        </w:rPr>
        <w:t>Bisnis</w:t>
      </w:r>
      <w:proofErr w:type="spellEnd"/>
      <w:r w:rsidRPr="00EC6859">
        <w:rPr>
          <w:sz w:val="20"/>
        </w:rPr>
        <w:t xml:space="preserve">. </w:t>
      </w:r>
      <w:proofErr w:type="spellStart"/>
      <w:r w:rsidRPr="00EC6859">
        <w:rPr>
          <w:sz w:val="20"/>
        </w:rPr>
        <w:t>Graha</w:t>
      </w:r>
      <w:proofErr w:type="spellEnd"/>
      <w:r w:rsidRPr="00EC6859">
        <w:rPr>
          <w:sz w:val="20"/>
        </w:rPr>
        <w:t xml:space="preserve"> </w:t>
      </w:r>
      <w:proofErr w:type="spellStart"/>
      <w:r w:rsidRPr="00EC6859">
        <w:rPr>
          <w:sz w:val="20"/>
        </w:rPr>
        <w:t>Ilmu</w:t>
      </w:r>
      <w:proofErr w:type="spellEnd"/>
      <w:r w:rsidRPr="00EC6859">
        <w:rPr>
          <w:sz w:val="20"/>
        </w:rPr>
        <w:t xml:space="preserve">. </w:t>
      </w:r>
      <w:hyperlink r:id="rId32" w:history="1">
        <w:r w:rsidRPr="00BB4160">
          <w:rPr>
            <w:rStyle w:val="Hyperlink"/>
            <w:sz w:val="20"/>
          </w:rPr>
          <w:t>https://openlibrary.telkomuniversity.ac.id/pustaka/10000/metode-penelitian-kualitatif-untuk-bisnis.html</w:t>
        </w:r>
      </w:hyperlink>
    </w:p>
    <w:p w14:paraId="5DF2FC45" w14:textId="1A6D778B" w:rsidR="000B0FB1" w:rsidRPr="000B0FB1" w:rsidRDefault="000B0FB1" w:rsidP="00EC6859">
      <w:pPr>
        <w:pStyle w:val="NormalWeb"/>
        <w:numPr>
          <w:ilvl w:val="0"/>
          <w:numId w:val="31"/>
        </w:numPr>
        <w:rPr>
          <w:sz w:val="20"/>
        </w:rPr>
      </w:pPr>
      <w:r w:rsidRPr="000B0FB1">
        <w:rPr>
          <w:sz w:val="20"/>
        </w:rPr>
        <w:t xml:space="preserve">SKALA. (2024). </w:t>
      </w:r>
      <w:r w:rsidRPr="000B0FB1">
        <w:rPr>
          <w:rStyle w:val="Emphasis"/>
          <w:sz w:val="20"/>
        </w:rPr>
        <w:t>Fulfilling minimum service standards for high-quality basic services in Indonesia</w:t>
      </w:r>
      <w:r w:rsidRPr="000B0FB1">
        <w:rPr>
          <w:sz w:val="20"/>
        </w:rPr>
        <w:t>. Australia–Indonesia Partnership for Subnational Governance.</w:t>
      </w:r>
    </w:p>
    <w:p w14:paraId="4DC4C7EB" w14:textId="77777777" w:rsidR="000B0FB1" w:rsidRPr="000B0FB1" w:rsidRDefault="000B0FB1" w:rsidP="00EC6859">
      <w:pPr>
        <w:pStyle w:val="NormalWeb"/>
        <w:numPr>
          <w:ilvl w:val="0"/>
          <w:numId w:val="31"/>
        </w:numPr>
        <w:rPr>
          <w:sz w:val="20"/>
        </w:rPr>
      </w:pPr>
      <w:proofErr w:type="spellStart"/>
      <w:r w:rsidRPr="000B0FB1">
        <w:rPr>
          <w:sz w:val="20"/>
        </w:rPr>
        <w:t>Sugiyono</w:t>
      </w:r>
      <w:proofErr w:type="spellEnd"/>
      <w:r w:rsidRPr="000B0FB1">
        <w:rPr>
          <w:sz w:val="20"/>
        </w:rPr>
        <w:t xml:space="preserve">. (2010). </w:t>
      </w:r>
      <w:r w:rsidRPr="000B0FB1">
        <w:rPr>
          <w:rStyle w:val="Emphasis"/>
          <w:sz w:val="20"/>
        </w:rPr>
        <w:t>Quantitative, qualitative, and R&amp;D research methods</w:t>
      </w:r>
      <w:r w:rsidRPr="000B0FB1">
        <w:rPr>
          <w:sz w:val="20"/>
        </w:rPr>
        <w:t xml:space="preserve">. Bandung: </w:t>
      </w:r>
      <w:proofErr w:type="spellStart"/>
      <w:r w:rsidRPr="000B0FB1">
        <w:rPr>
          <w:sz w:val="20"/>
        </w:rPr>
        <w:t>Alfabeta</w:t>
      </w:r>
      <w:proofErr w:type="spellEnd"/>
      <w:r w:rsidRPr="000B0FB1">
        <w:rPr>
          <w:sz w:val="20"/>
        </w:rPr>
        <w:t>.</w:t>
      </w:r>
    </w:p>
    <w:p w14:paraId="11366EF2" w14:textId="77777777" w:rsidR="000B0FB1" w:rsidRPr="000B0FB1" w:rsidRDefault="000B0FB1" w:rsidP="00EC6859">
      <w:pPr>
        <w:pStyle w:val="NormalWeb"/>
        <w:numPr>
          <w:ilvl w:val="0"/>
          <w:numId w:val="31"/>
        </w:numPr>
        <w:rPr>
          <w:sz w:val="20"/>
        </w:rPr>
      </w:pPr>
      <w:r w:rsidRPr="000B0FB1">
        <w:rPr>
          <w:sz w:val="20"/>
        </w:rPr>
        <w:t xml:space="preserve">UN-Habitat. (2019). </w:t>
      </w:r>
      <w:r w:rsidRPr="000B0FB1">
        <w:rPr>
          <w:rStyle w:val="Emphasis"/>
          <w:sz w:val="20"/>
        </w:rPr>
        <w:t>Supporting safer housing reconstruction after disasters: Planning and implementing technical assistance at large scale</w:t>
      </w:r>
      <w:r w:rsidRPr="000B0FB1">
        <w:rPr>
          <w:sz w:val="20"/>
        </w:rPr>
        <w:t>. UN-Habitat/AXA.</w:t>
      </w:r>
    </w:p>
    <w:p w14:paraId="7CE334D9" w14:textId="4E30D9D6" w:rsidR="00193915" w:rsidRDefault="00193915" w:rsidP="00EC6859">
      <w:pPr>
        <w:pStyle w:val="NormalWeb"/>
        <w:numPr>
          <w:ilvl w:val="0"/>
          <w:numId w:val="31"/>
        </w:numPr>
        <w:rPr>
          <w:sz w:val="20"/>
        </w:rPr>
      </w:pPr>
      <w:r w:rsidRPr="00193915">
        <w:rPr>
          <w:sz w:val="20"/>
        </w:rPr>
        <w:t xml:space="preserve">United States Environmental Protection Agency. (2024). Fiscal year 2025 justification of appropriation estimates for the committee on appropriations (EPA-190R24002). U.S. Environmental Protection Agency. </w:t>
      </w:r>
      <w:hyperlink r:id="rId33" w:history="1">
        <w:r w:rsidRPr="00BB4160">
          <w:rPr>
            <w:rStyle w:val="Hyperlink"/>
            <w:sz w:val="20"/>
          </w:rPr>
          <w:t>https://www.epa.gov/sites/default/files/2024-03/EPA-FY25-CJ-Full-Document.pdf</w:t>
        </w:r>
      </w:hyperlink>
    </w:p>
    <w:p w14:paraId="0CB4699F" w14:textId="178EEBE0" w:rsidR="00193915" w:rsidRPr="00193915" w:rsidRDefault="00193915" w:rsidP="00EC6859">
      <w:pPr>
        <w:pStyle w:val="NormalWeb"/>
        <w:numPr>
          <w:ilvl w:val="0"/>
          <w:numId w:val="31"/>
        </w:numPr>
      </w:pPr>
      <w:r w:rsidRPr="00193915">
        <w:rPr>
          <w:sz w:val="20"/>
        </w:rPr>
        <w:t xml:space="preserve">Vince, J., Fudge, M., </w:t>
      </w:r>
      <w:proofErr w:type="spellStart"/>
      <w:r w:rsidRPr="00193915">
        <w:rPr>
          <w:sz w:val="20"/>
        </w:rPr>
        <w:t>Fullbrook</w:t>
      </w:r>
      <w:proofErr w:type="spellEnd"/>
      <w:r w:rsidRPr="00193915">
        <w:rPr>
          <w:sz w:val="20"/>
        </w:rPr>
        <w:t xml:space="preserve">, L., &amp; Haward, M. (2024). Understanding policy integration through an integrative capacity framework. </w:t>
      </w:r>
      <w:r w:rsidRPr="0036231B">
        <w:rPr>
          <w:sz w:val="20"/>
          <w:highlight w:val="yellow"/>
        </w:rPr>
        <w:t>Policy and Society</w:t>
      </w:r>
      <w:r w:rsidRPr="00193915">
        <w:rPr>
          <w:sz w:val="20"/>
        </w:rPr>
        <w:t xml:space="preserve">, 43(3), 381–395. </w:t>
      </w:r>
      <w:hyperlink r:id="rId34" w:history="1">
        <w:r w:rsidRPr="00BB4160">
          <w:rPr>
            <w:rStyle w:val="Hyperlink"/>
            <w:sz w:val="20"/>
          </w:rPr>
          <w:t>https://doi.org/10.1093/polsoc/puae027</w:t>
        </w:r>
      </w:hyperlink>
    </w:p>
    <w:p w14:paraId="7CAAC9F0" w14:textId="77777777" w:rsidR="004D4277" w:rsidRDefault="00193915" w:rsidP="00193915">
      <w:pPr>
        <w:pStyle w:val="Appendix"/>
        <w:numPr>
          <w:ilvl w:val="0"/>
          <w:numId w:val="31"/>
        </w:numPr>
        <w:spacing w:after="0"/>
        <w:jc w:val="both"/>
        <w:rPr>
          <w:rFonts w:ascii="Times New Roman" w:hAnsi="Times New Roman"/>
          <w:b w:val="0"/>
          <w:caps w:val="0"/>
          <w:sz w:val="20"/>
          <w:szCs w:val="24"/>
        </w:rPr>
      </w:pPr>
      <w:r w:rsidRPr="00193915">
        <w:rPr>
          <w:rFonts w:ascii="Times New Roman" w:hAnsi="Times New Roman"/>
          <w:b w:val="0"/>
          <w:caps w:val="0"/>
          <w:sz w:val="20"/>
          <w:szCs w:val="24"/>
        </w:rPr>
        <w:t xml:space="preserve">Williams, M. J. (2021). Beyond state capacity: Bureaucratic performance, policy implementation and reform. </w:t>
      </w:r>
      <w:r w:rsidRPr="0036231B">
        <w:rPr>
          <w:rFonts w:ascii="Times New Roman" w:hAnsi="Times New Roman"/>
          <w:b w:val="0"/>
          <w:caps w:val="0"/>
          <w:sz w:val="20"/>
          <w:szCs w:val="24"/>
          <w:highlight w:val="yellow"/>
        </w:rPr>
        <w:t>Journal of Institutional Economics</w:t>
      </w:r>
      <w:r w:rsidRPr="00193915">
        <w:rPr>
          <w:rFonts w:ascii="Times New Roman" w:hAnsi="Times New Roman"/>
          <w:b w:val="0"/>
          <w:caps w:val="0"/>
          <w:sz w:val="20"/>
          <w:szCs w:val="24"/>
        </w:rPr>
        <w:t>, 17(2), 339–357. https://doi.org/10.1017/S1744137420000478</w:t>
      </w:r>
    </w:p>
    <w:p w14:paraId="37A482E7" w14:textId="0440B6B1" w:rsidR="00193915" w:rsidRPr="00FB3A86" w:rsidRDefault="00193915" w:rsidP="00441B6F">
      <w:pPr>
        <w:pStyle w:val="Appendix"/>
        <w:spacing w:after="0"/>
        <w:jc w:val="both"/>
        <w:rPr>
          <w:rFonts w:ascii="Arial" w:hAnsi="Arial" w:cs="Arial"/>
          <w:b w:val="0"/>
        </w:rPr>
        <w:sectPr w:rsidR="00193915" w:rsidRPr="00FB3A86" w:rsidSect="00FF05A4">
          <w:headerReference w:type="even" r:id="rId35"/>
          <w:headerReference w:type="default" r:id="rId36"/>
          <w:footerReference w:type="default" r:id="rId37"/>
          <w:headerReference w:type="first" r:id="rId38"/>
          <w:type w:val="continuous"/>
          <w:pgSz w:w="12240" w:h="15840"/>
          <w:pgMar w:top="1440" w:right="2016" w:bottom="2016" w:left="2016" w:header="720" w:footer="1123" w:gutter="0"/>
          <w:cols w:space="720"/>
          <w:docGrid w:linePitch="272"/>
        </w:sectPr>
      </w:pPr>
    </w:p>
    <w:p w14:paraId="3D3EBB80" w14:textId="66C9E947" w:rsidR="00B01FCD" w:rsidRDefault="00B01FCD" w:rsidP="00441B6F">
      <w:pPr>
        <w:pStyle w:val="Appendix"/>
        <w:spacing w:after="0"/>
        <w:jc w:val="both"/>
        <w:rPr>
          <w:rFonts w:ascii="Arial" w:hAnsi="Arial" w:cs="Arial"/>
          <w:b w:val="0"/>
        </w:rPr>
      </w:pPr>
    </w:p>
    <w:p w14:paraId="6B073523" w14:textId="0E8E7295" w:rsidR="0036231B" w:rsidRDefault="0036231B" w:rsidP="00441B6F">
      <w:pPr>
        <w:pStyle w:val="Appendix"/>
        <w:spacing w:after="0"/>
        <w:jc w:val="both"/>
        <w:rPr>
          <w:rFonts w:ascii="Arial" w:hAnsi="Arial" w:cs="Arial"/>
          <w:b w:val="0"/>
        </w:rPr>
      </w:pPr>
    </w:p>
    <w:p w14:paraId="09CE8324" w14:textId="78B79CCF" w:rsidR="0036231B" w:rsidRDefault="0036231B" w:rsidP="0036231B">
      <w:pPr>
        <w:pStyle w:val="Appendix"/>
        <w:numPr>
          <w:ilvl w:val="0"/>
          <w:numId w:val="32"/>
        </w:numPr>
        <w:spacing w:after="0"/>
        <w:jc w:val="both"/>
        <w:rPr>
          <w:rFonts w:ascii="Arial" w:hAnsi="Arial" w:cs="Arial"/>
          <w:b w:val="0"/>
        </w:rPr>
      </w:pPr>
      <w:r>
        <w:rPr>
          <w:rFonts w:ascii="Arial" w:hAnsi="Arial" w:cs="Arial"/>
          <w:b w:val="0"/>
        </w:rPr>
        <w:t>the highlighed texts should be in italics</w:t>
      </w:r>
    </w:p>
    <w:p w14:paraId="3707B5F9" w14:textId="77777777" w:rsidR="0036231B" w:rsidRDefault="0036231B" w:rsidP="0036231B">
      <w:pPr>
        <w:pStyle w:val="Appendix"/>
        <w:numPr>
          <w:ilvl w:val="0"/>
          <w:numId w:val="32"/>
        </w:numPr>
        <w:spacing w:after="0"/>
        <w:jc w:val="both"/>
        <w:rPr>
          <w:rFonts w:ascii="Arial" w:hAnsi="Arial" w:cs="Arial"/>
          <w:b w:val="0"/>
        </w:rPr>
      </w:pPr>
    </w:p>
    <w:p w14:paraId="13B0E5C0" w14:textId="77777777" w:rsidR="0036231B" w:rsidRPr="00FB3A86" w:rsidRDefault="0036231B" w:rsidP="00441B6F">
      <w:pPr>
        <w:pStyle w:val="Appendix"/>
        <w:spacing w:after="0"/>
        <w:jc w:val="both"/>
        <w:rPr>
          <w:rFonts w:ascii="Arial" w:hAnsi="Arial" w:cs="Arial"/>
          <w:b w:val="0"/>
        </w:rPr>
      </w:pPr>
    </w:p>
    <w:sectPr w:rsidR="0036231B" w:rsidRPr="00FB3A86" w:rsidSect="00FF05A4">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Windows User" w:date="2025-12-04T17:27:00Z" w:initials="WU">
    <w:p w14:paraId="5B535BBD" w14:textId="65A6EC37" w:rsidR="00224CC1" w:rsidRDefault="00224CC1">
      <w:pPr>
        <w:pStyle w:val="CommentText"/>
      </w:pPr>
      <w:r>
        <w:rPr>
          <w:rStyle w:val="CommentReference"/>
        </w:rPr>
        <w:annotationRef/>
      </w:r>
      <w:r>
        <w:t>from</w:t>
      </w:r>
    </w:p>
  </w:comment>
  <w:comment w:id="1" w:author="Windows User" w:date="2025-12-05T10:51:00Z" w:initials="WU">
    <w:p w14:paraId="736066D7" w14:textId="1F52FB65" w:rsidR="00C72BBB" w:rsidRDefault="00C72BBB">
      <w:pPr>
        <w:pStyle w:val="CommentText"/>
      </w:pPr>
      <w:r>
        <w:rPr>
          <w:rStyle w:val="CommentReference"/>
        </w:rPr>
        <w:annotationRef/>
      </w:r>
      <w:r>
        <w:t>delete.</w:t>
      </w:r>
    </w:p>
  </w:comment>
  <w:comment w:id="2" w:author="Windows User" w:date="2025-12-05T11:06:00Z" w:initials="WU">
    <w:p w14:paraId="525EEC61" w14:textId="756DB95F" w:rsidR="000A1532" w:rsidRDefault="000A1532">
      <w:pPr>
        <w:pStyle w:val="CommentText"/>
      </w:pPr>
      <w:r>
        <w:rPr>
          <w:rStyle w:val="CommentReference"/>
        </w:rPr>
        <w:annotationRef/>
      </w:r>
      <w:r>
        <w:t>Delete initials!</w:t>
      </w:r>
    </w:p>
  </w:comment>
  <w:comment w:id="3" w:author="Windows User" w:date="2025-12-05T11:11:00Z" w:initials="WU">
    <w:p w14:paraId="6661E2CB" w14:textId="1FE533AF" w:rsidR="00A47283" w:rsidRDefault="00A47283">
      <w:pPr>
        <w:pStyle w:val="CommentText"/>
      </w:pPr>
      <w:r>
        <w:rPr>
          <w:rStyle w:val="CommentReference"/>
        </w:rPr>
        <w:annotationRef/>
      </w:r>
      <w:r>
        <w:t>Citation needed.</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535BBD" w15:done="0"/>
  <w15:commentEx w15:paraId="736066D7" w15:done="0"/>
  <w15:commentEx w15:paraId="525EEC61" w15:done="0"/>
  <w15:commentEx w15:paraId="6661E2CB"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4D801" w14:textId="77777777" w:rsidR="00493559" w:rsidRDefault="00493559" w:rsidP="00C37E61">
      <w:r>
        <w:separator/>
      </w:r>
    </w:p>
  </w:endnote>
  <w:endnote w:type="continuationSeparator" w:id="0">
    <w:p w14:paraId="33F8887B" w14:textId="77777777" w:rsidR="00493559" w:rsidRDefault="0049355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8F9E1" w14:textId="77777777" w:rsidR="00FF05A4" w:rsidRDefault="00FF05A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16EAC" w14:textId="77777777" w:rsidR="00FF05A4" w:rsidRDefault="00FF05A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CBDE8" w14:textId="77777777" w:rsidR="009E048A" w:rsidRDefault="009E048A">
    <w:pPr>
      <w:pStyle w:val="Footer"/>
      <w:rPr>
        <w:rFonts w:ascii="Arial" w:hAnsi="Arial" w:cs="Arial"/>
        <w:sz w:val="16"/>
      </w:rPr>
    </w:pPr>
  </w:p>
  <w:p w14:paraId="132E3C6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FD0346D" w14:textId="77777777" w:rsidR="009E048A" w:rsidRDefault="009E048A">
    <w:pPr>
      <w:pStyle w:val="Footer"/>
      <w:rPr>
        <w:rFonts w:ascii="Arial" w:hAnsi="Arial" w:cs="Arial"/>
        <w:sz w:val="16"/>
      </w:rPr>
    </w:pPr>
  </w:p>
  <w:p w14:paraId="217820D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749F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5A958" w14:textId="77777777" w:rsidR="00493559" w:rsidRDefault="00493559" w:rsidP="00C37E61">
      <w:r>
        <w:separator/>
      </w:r>
    </w:p>
  </w:footnote>
  <w:footnote w:type="continuationSeparator" w:id="0">
    <w:p w14:paraId="5E737C0F" w14:textId="77777777" w:rsidR="00493559" w:rsidRDefault="00493559"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E4A2C" w14:textId="12C584F1" w:rsidR="00FF05A4" w:rsidRDefault="00493559">
    <w:pPr>
      <w:pStyle w:val="Header"/>
    </w:pPr>
    <w:r>
      <w:rPr>
        <w:noProof/>
      </w:rPr>
      <w:pict w14:anchorId="4C9532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957464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A236D" w14:textId="66452209" w:rsidR="00FF05A4" w:rsidRDefault="00493559">
    <w:pPr>
      <w:pStyle w:val="Header"/>
    </w:pPr>
    <w:r>
      <w:rPr>
        <w:noProof/>
      </w:rPr>
      <w:pict w14:anchorId="4DAC4E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957464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495C3" w14:textId="3EB2D4BF" w:rsidR="00296529" w:rsidRPr="00296529" w:rsidRDefault="00493559" w:rsidP="00296529">
    <w:pPr>
      <w:ind w:left="2160"/>
      <w:jc w:val="center"/>
      <w:rPr>
        <w:rFonts w:ascii="Times New Roman" w:eastAsia="Calibri" w:hAnsi="Times New Roman"/>
        <w:i/>
        <w:sz w:val="18"/>
        <w:szCs w:val="22"/>
      </w:rPr>
    </w:pPr>
    <w:r>
      <w:rPr>
        <w:noProof/>
      </w:rPr>
      <w:pict w14:anchorId="3D4FEF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957464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42241E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147934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1EB2DB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645B48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2B59D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9233D6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921CF" w14:textId="041A5038" w:rsidR="00FF05A4" w:rsidRDefault="00493559">
    <w:pPr>
      <w:pStyle w:val="Header"/>
    </w:pPr>
    <w:r>
      <w:rPr>
        <w:noProof/>
      </w:rPr>
      <w:pict w14:anchorId="4ADC64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957464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B6FC9" w14:textId="421C14A5" w:rsidR="00FF05A4" w:rsidRDefault="00493559">
    <w:pPr>
      <w:pStyle w:val="Header"/>
    </w:pPr>
    <w:r>
      <w:rPr>
        <w:noProof/>
      </w:rPr>
      <w:pict w14:anchorId="1C6AA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957464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25F19" w14:textId="53C6647E" w:rsidR="00FF05A4" w:rsidRDefault="00493559">
    <w:pPr>
      <w:pStyle w:val="Header"/>
    </w:pPr>
    <w:r>
      <w:rPr>
        <w:noProof/>
      </w:rPr>
      <w:pict w14:anchorId="71FB61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957464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0F51B9"/>
    <w:multiLevelType w:val="hybridMultilevel"/>
    <w:tmpl w:val="24C40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501B68"/>
    <w:multiLevelType w:val="hybridMultilevel"/>
    <w:tmpl w:val="08D41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7"/>
  </w:num>
  <w:num w:numId="10">
    <w:abstractNumId w:val="3"/>
  </w:num>
  <w:num w:numId="11">
    <w:abstractNumId w:val="20"/>
  </w:num>
  <w:num w:numId="12">
    <w:abstractNumId w:val="4"/>
  </w:num>
  <w:num w:numId="13">
    <w:abstractNumId w:val="19"/>
  </w:num>
  <w:num w:numId="14">
    <w:abstractNumId w:val="9"/>
  </w:num>
  <w:num w:numId="15">
    <w:abstractNumId w:val="23"/>
  </w:num>
  <w:num w:numId="16">
    <w:abstractNumId w:val="6"/>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1"/>
  </w:num>
  <w:num w:numId="31">
    <w:abstractNumId w:val="17"/>
  </w:num>
  <w:num w:numId="32">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30174"/>
    <w:rsid w:val="0004579C"/>
    <w:rsid w:val="00077ACE"/>
    <w:rsid w:val="00096A8A"/>
    <w:rsid w:val="000A1532"/>
    <w:rsid w:val="000A47FA"/>
    <w:rsid w:val="000A65D3"/>
    <w:rsid w:val="000B0FB1"/>
    <w:rsid w:val="000B1E33"/>
    <w:rsid w:val="000D689F"/>
    <w:rsid w:val="000E7B7B"/>
    <w:rsid w:val="000E7D62"/>
    <w:rsid w:val="00103357"/>
    <w:rsid w:val="00123C9F"/>
    <w:rsid w:val="00126190"/>
    <w:rsid w:val="00130F17"/>
    <w:rsid w:val="001320BF"/>
    <w:rsid w:val="00163BC4"/>
    <w:rsid w:val="00191062"/>
    <w:rsid w:val="00192B72"/>
    <w:rsid w:val="00193915"/>
    <w:rsid w:val="001A29D8"/>
    <w:rsid w:val="001A5CAA"/>
    <w:rsid w:val="001B0427"/>
    <w:rsid w:val="001D3A51"/>
    <w:rsid w:val="001E10D2"/>
    <w:rsid w:val="001E25B4"/>
    <w:rsid w:val="001E44FE"/>
    <w:rsid w:val="00200595"/>
    <w:rsid w:val="00204835"/>
    <w:rsid w:val="00224CC1"/>
    <w:rsid w:val="00231920"/>
    <w:rsid w:val="0023195C"/>
    <w:rsid w:val="0024282C"/>
    <w:rsid w:val="002460DC"/>
    <w:rsid w:val="00250985"/>
    <w:rsid w:val="002529C0"/>
    <w:rsid w:val="002556F6"/>
    <w:rsid w:val="00283105"/>
    <w:rsid w:val="00284C4C"/>
    <w:rsid w:val="00287E68"/>
    <w:rsid w:val="00296529"/>
    <w:rsid w:val="002B27FB"/>
    <w:rsid w:val="002B685A"/>
    <w:rsid w:val="002C57D2"/>
    <w:rsid w:val="002E0D56"/>
    <w:rsid w:val="00315186"/>
    <w:rsid w:val="003232E8"/>
    <w:rsid w:val="0033343E"/>
    <w:rsid w:val="003512C2"/>
    <w:rsid w:val="0036231B"/>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22BA"/>
    <w:rsid w:val="00471A80"/>
    <w:rsid w:val="00493559"/>
    <w:rsid w:val="004D0EF9"/>
    <w:rsid w:val="004D305E"/>
    <w:rsid w:val="004D4277"/>
    <w:rsid w:val="00502516"/>
    <w:rsid w:val="00505F06"/>
    <w:rsid w:val="00506828"/>
    <w:rsid w:val="0053056E"/>
    <w:rsid w:val="00554FDA"/>
    <w:rsid w:val="00592A7F"/>
    <w:rsid w:val="005B4275"/>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2B49"/>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240AB"/>
    <w:rsid w:val="0083216F"/>
    <w:rsid w:val="00860000"/>
    <w:rsid w:val="00863BD3"/>
    <w:rsid w:val="008641ED"/>
    <w:rsid w:val="00866D66"/>
    <w:rsid w:val="008671C6"/>
    <w:rsid w:val="00875803"/>
    <w:rsid w:val="008B3BAF"/>
    <w:rsid w:val="008B459E"/>
    <w:rsid w:val="008E038B"/>
    <w:rsid w:val="008E13AE"/>
    <w:rsid w:val="008E1506"/>
    <w:rsid w:val="008E710C"/>
    <w:rsid w:val="008F21B4"/>
    <w:rsid w:val="008F69D6"/>
    <w:rsid w:val="00902823"/>
    <w:rsid w:val="00915CA6"/>
    <w:rsid w:val="00927834"/>
    <w:rsid w:val="0093578E"/>
    <w:rsid w:val="009500A6"/>
    <w:rsid w:val="00957C18"/>
    <w:rsid w:val="009659BA"/>
    <w:rsid w:val="00983040"/>
    <w:rsid w:val="009A6DB4"/>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7283"/>
    <w:rsid w:val="00A51431"/>
    <w:rsid w:val="00A539AD"/>
    <w:rsid w:val="00A94063"/>
    <w:rsid w:val="00AA6219"/>
    <w:rsid w:val="00AA74E0"/>
    <w:rsid w:val="00AB703F"/>
    <w:rsid w:val="00AC6973"/>
    <w:rsid w:val="00AC6BB8"/>
    <w:rsid w:val="00AE008F"/>
    <w:rsid w:val="00AE79E6"/>
    <w:rsid w:val="00B01FCD"/>
    <w:rsid w:val="00B1776C"/>
    <w:rsid w:val="00B52583"/>
    <w:rsid w:val="00B52896"/>
    <w:rsid w:val="00B95236"/>
    <w:rsid w:val="00B96BD9"/>
    <w:rsid w:val="00BA1B01"/>
    <w:rsid w:val="00BA2641"/>
    <w:rsid w:val="00BB37AA"/>
    <w:rsid w:val="00BC53A0"/>
    <w:rsid w:val="00BE62AD"/>
    <w:rsid w:val="00BF121F"/>
    <w:rsid w:val="00BF1F80"/>
    <w:rsid w:val="00C04FCB"/>
    <w:rsid w:val="00C166EF"/>
    <w:rsid w:val="00C17EB0"/>
    <w:rsid w:val="00C27F5F"/>
    <w:rsid w:val="00C30A0F"/>
    <w:rsid w:val="00C37E61"/>
    <w:rsid w:val="00C54300"/>
    <w:rsid w:val="00C70F1B"/>
    <w:rsid w:val="00C71A47"/>
    <w:rsid w:val="00C72BBB"/>
    <w:rsid w:val="00C7464C"/>
    <w:rsid w:val="00C85588"/>
    <w:rsid w:val="00CD6755"/>
    <w:rsid w:val="00CD6856"/>
    <w:rsid w:val="00CE0089"/>
    <w:rsid w:val="00CE793C"/>
    <w:rsid w:val="00CE7D0E"/>
    <w:rsid w:val="00CF193C"/>
    <w:rsid w:val="00D173F1"/>
    <w:rsid w:val="00D22C5F"/>
    <w:rsid w:val="00D42F92"/>
    <w:rsid w:val="00D74CB0"/>
    <w:rsid w:val="00D8295D"/>
    <w:rsid w:val="00DB1224"/>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34B5"/>
    <w:rsid w:val="00EA5C51"/>
    <w:rsid w:val="00EC6859"/>
    <w:rsid w:val="00EC6A55"/>
    <w:rsid w:val="00ED0288"/>
    <w:rsid w:val="00EE52CB"/>
    <w:rsid w:val="00EF581D"/>
    <w:rsid w:val="00EF7FD8"/>
    <w:rsid w:val="00F06F59"/>
    <w:rsid w:val="00F17988"/>
    <w:rsid w:val="00F469F0"/>
    <w:rsid w:val="00F53273"/>
    <w:rsid w:val="00F755E4"/>
    <w:rsid w:val="00F77D02"/>
    <w:rsid w:val="00FB3A86"/>
    <w:rsid w:val="00FD36C8"/>
    <w:rsid w:val="00FF0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9D6CFA4"/>
  <w15:docId w15:val="{39FE635A-081D-4E87-91A6-A96D0414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0B0FB1"/>
    <w:pPr>
      <w:spacing w:before="100" w:beforeAutospacing="1" w:after="100" w:afterAutospacing="1"/>
    </w:pPr>
    <w:rPr>
      <w:rFonts w:ascii="Times New Roman" w:hAnsi="Times New Roman"/>
      <w:sz w:val="24"/>
      <w:szCs w:val="24"/>
    </w:rPr>
  </w:style>
  <w:style w:type="character" w:customStyle="1" w:styleId="UnresolvedMention">
    <w:name w:val="Unresolved Mention"/>
    <w:basedOn w:val="DefaultParagraphFont"/>
    <w:uiPriority w:val="99"/>
    <w:semiHidden/>
    <w:unhideWhenUsed/>
    <w:rsid w:val="00EA5C51"/>
    <w:rPr>
      <w:color w:val="605E5C"/>
      <w:shd w:val="clear" w:color="auto" w:fill="E1DFDD"/>
    </w:rPr>
  </w:style>
  <w:style w:type="paragraph" w:styleId="CommentSubject">
    <w:name w:val="annotation subject"/>
    <w:basedOn w:val="CommentText"/>
    <w:next w:val="CommentText"/>
    <w:link w:val="CommentSubjectChar"/>
    <w:semiHidden/>
    <w:unhideWhenUsed/>
    <w:rsid w:val="00224CC1"/>
    <w:rPr>
      <w:rFonts w:ascii="Helvetica" w:hAnsi="Helvetica"/>
      <w:b/>
      <w:bCs/>
      <w:lang w:val="en-US" w:eastAsia="en-US"/>
    </w:rPr>
  </w:style>
  <w:style w:type="character" w:customStyle="1" w:styleId="CommentSubjectChar">
    <w:name w:val="Comment Subject Char"/>
    <w:basedOn w:val="CommentTextChar"/>
    <w:link w:val="CommentSubject"/>
    <w:semiHidden/>
    <w:rsid w:val="00224CC1"/>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caloes.ca.gov/wp-content/uploads/Recovery/Long-Term-Recovery-Plan-Guide.pdf" TargetMode="External"/><Relationship Id="rId26" Type="http://schemas.openxmlformats.org/officeDocument/2006/relationships/hyperlink" Target="https://us.sagepub.com/en-us/nam/naturalistic-inquiry/book902" TargetMode="External"/><Relationship Id="rId39" Type="http://schemas.openxmlformats.org/officeDocument/2006/relationships/fontTable" Target="fontTable.xml"/><Relationship Id="rId21" Type="http://schemas.openxmlformats.org/officeDocument/2006/relationships/hyperlink" Target="https://www.fema.gov/sites/default/files/2020-06/national_disaster_recovery_framework_2nd.pdf" TargetMode="External"/><Relationship Id="rId34" Type="http://schemas.openxmlformats.org/officeDocument/2006/relationships/hyperlink" Target="https://doi.org/10.1093/polsoc/puae027"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njole.joln.org/index.php/ijle" TargetMode="External"/><Relationship Id="rId20" Type="http://schemas.openxmlformats.org/officeDocument/2006/relationships/hyperlink" Target="https://doi.org/10.1080/14494035.2021.1902058" TargetMode="External"/><Relationship Id="rId29" Type="http://schemas.openxmlformats.org/officeDocument/2006/relationships/hyperlink" Target="https://study.sagepub.com/milesandsaldana3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peraturan.bpk.go.id/Home/Details/186000/permendagri-no-59-tahun-2021" TargetMode="External"/><Relationship Id="rId32" Type="http://schemas.openxmlformats.org/officeDocument/2006/relationships/hyperlink" Target="https://openlibrary.telkomuniversity.ac.id/pustaka/10000/metode-penelitian-kualitatif-untuk-bisnis.html" TargetMode="External"/><Relationship Id="rId37" Type="http://schemas.openxmlformats.org/officeDocument/2006/relationships/footer" Target="footer4.xml"/><Relationship Id="rId40"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www.ifrc.org/document/ifrc-disaster-law-annual-report-2023" TargetMode="External"/><Relationship Id="rId28" Type="http://schemas.openxmlformats.org/officeDocument/2006/relationships/hyperlink" Target="https://doi.org/10.1080/00220388.2022.2130055"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1080/23322039.2020.1804036" TargetMode="External"/><Relationship Id="rId31" Type="http://schemas.openxmlformats.org/officeDocument/2006/relationships/hyperlink" Target="https://doi.org/10.1016/j.ijdrr.2024.10477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www.fema.gov/grants/guidance-tools/hazard-mitigation-assistance-program-policy-guide" TargetMode="External"/><Relationship Id="rId27" Type="http://schemas.openxmlformats.org/officeDocument/2006/relationships/hyperlink" Target="https://doi.org/10.1596/978-0-8213-8256-1" TargetMode="External"/><Relationship Id="rId30" Type="http://schemas.openxmlformats.org/officeDocument/2006/relationships/hyperlink" Target="https://doi.org/10.53968/ja.v1i3.40" TargetMode="External"/><Relationship Id="rId35" Type="http://schemas.openxmlformats.org/officeDocument/2006/relationships/header" Target="header4.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177/1369148120918953" TargetMode="External"/><Relationship Id="rId25" Type="http://schemas.openxmlformats.org/officeDocument/2006/relationships/hyperlink" Target="https://jdih.pu.go.id/detail-dokumen/15764/1" TargetMode="External"/><Relationship Id="rId33" Type="http://schemas.openxmlformats.org/officeDocument/2006/relationships/hyperlink" Target="https://www.epa.gov/sites/default/files/2024-03/EPA-FY25-CJ-Full-Document.pdf" TargetMode="External"/><Relationship Id="rId38"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07F13-71F0-4176-AB58-32C3B03EC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1168</TotalTime>
  <Pages>11</Pages>
  <Words>5955</Words>
  <Characters>33949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39825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Windows User</cp:lastModifiedBy>
  <cp:revision>25</cp:revision>
  <cp:lastPrinted>1999-07-06T11:00:00Z</cp:lastPrinted>
  <dcterms:created xsi:type="dcterms:W3CDTF">2014-10-25T14:34:00Z</dcterms:created>
  <dcterms:modified xsi:type="dcterms:W3CDTF">2025-12-05T03:12:00Z</dcterms:modified>
</cp:coreProperties>
</file>