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jc w:val="center"/>
        <w:rPr>
          <w:rFonts w:ascii="Times New Roman" w:cs="Times New Roman" w:hAnsi="Times New Roman"/>
          <w:b/>
          <w:sz w:val="24"/>
          <w:szCs w:val="28"/>
          <w:shd w:val="clear" w:color="auto" w:fill="ffffff"/>
        </w:rPr>
      </w:pPr>
      <w:r>
        <w:rPr>
          <w:rFonts w:ascii="Times New Roman" w:cs="Times New Roman" w:hAnsi="Times New Roman"/>
          <w:b/>
          <w:sz w:val="28"/>
          <w:szCs w:val="28"/>
          <w:shd w:val="clear" w:color="auto" w:fill="ffffff"/>
        </w:rPr>
        <w:t>Evaluation of Antimicrobial Resistance Profiles of Campylobacters isolated from wild animals and birds</w:t>
      </w:r>
    </w:p>
    <w:p>
      <w:pPr>
        <w:pStyle w:val="style157"/>
        <w:rPr>
          <w:rFonts w:ascii="Times New Roman" w:cs="Times New Roman" w:hAnsi="Times New Roman"/>
          <w:b/>
          <w:sz w:val="24"/>
          <w:szCs w:val="24"/>
        </w:rPr>
      </w:pPr>
    </w:p>
    <w:p>
      <w:pPr>
        <w:pStyle w:val="style157"/>
        <w:rPr>
          <w:rFonts w:ascii="Times New Roman" w:cs="Times New Roman" w:hAnsi="Times New Roman"/>
          <w:b/>
          <w:sz w:val="24"/>
          <w:szCs w:val="24"/>
        </w:rPr>
      </w:pPr>
      <w:r>
        <w:rPr>
          <w:rFonts w:ascii="Times New Roman" w:cs="Times New Roman" w:hAnsi="Times New Roman"/>
          <w:b/>
          <w:sz w:val="24"/>
          <w:szCs w:val="24"/>
        </w:rPr>
        <w:t>ABSTRACT</w:t>
      </w:r>
    </w:p>
    <w:p>
      <w:pPr>
        <w:pStyle w:val="style157"/>
        <w:jc w:val="center"/>
        <w:rPr>
          <w:rFonts w:ascii="Times New Roman" w:cs="Times New Roman" w:hAnsi="Times New Roman"/>
          <w:b/>
          <w:sz w:val="24"/>
          <w:szCs w:val="24"/>
        </w:rPr>
      </w:pPr>
    </w:p>
    <w:p>
      <w:pPr>
        <w:pStyle w:val="style157"/>
        <w:spacing w:lineRule="auto" w:line="360"/>
        <w:jc w:val="both"/>
        <w:rPr>
          <w:rFonts w:ascii="Times New Roman" w:cs="Times New Roman" w:hAnsi="Times New Roman"/>
          <w:bCs/>
          <w:color w:val="000000"/>
          <w:shd w:val="clear" w:color="auto" w:fill="ffffff"/>
        </w:rPr>
      </w:pPr>
      <w:r>
        <w:rPr>
          <w:rFonts w:ascii="Times New Roman" w:cs="Times New Roman" w:hAnsi="Times New Roman"/>
          <w:b/>
          <w:bCs/>
          <w:color w:val="000000"/>
          <w:shd w:val="clear" w:color="auto" w:fill="ffffff"/>
        </w:rPr>
        <w:t xml:space="preserve">Objective: </w:t>
      </w:r>
      <w:r>
        <w:rPr>
          <w:rFonts w:ascii="Times New Roman" w:cs="Times New Roman" w:hAnsi="Times New Roman"/>
          <w:i/>
          <w:iCs/>
          <w:sz w:val="24"/>
          <w:szCs w:val="24"/>
        </w:rPr>
        <w:t xml:space="preserve">Campylobacter </w:t>
      </w:r>
      <w:commentRangeStart w:id="1"/>
      <w:r>
        <w:rPr>
          <w:rFonts w:ascii="Times New Roman" w:cs="Times New Roman" w:hAnsi="Times New Roman"/>
          <w:sz w:val="24"/>
          <w:szCs w:val="24"/>
        </w:rPr>
        <w:t>is</w:t>
      </w:r>
      <w:commentRangeEnd w:id="1"/>
      <w:r>
        <w:rPr>
          <w:rStyle w:val="style39"/>
          <w:lang w:val="en-US" w:eastAsia="en-US"/>
        </w:rPr>
        <w:commentReference w:id="1"/>
      </w:r>
      <w:r>
        <w:rPr>
          <w:rFonts w:ascii="Times New Roman" w:cs="Times New Roman" w:hAnsi="Times New Roman"/>
          <w:sz w:val="24"/>
          <w:szCs w:val="24"/>
        </w:rPr>
        <w:t xml:space="preserve"> a group of emerging zoonotic bacteria that cause diseases in animals and humans</w:t>
      </w:r>
      <w:r>
        <w:rPr>
          <w:rFonts w:ascii="Times New Roman" w:cs="Times New Roman" w:hAnsi="Times New Roman"/>
          <w:sz w:val="24"/>
          <w:szCs w:val="24"/>
        </w:rPr>
        <w:t>. Present study is conducted t</w:t>
      </w:r>
      <w:r>
        <w:rPr>
          <w:rFonts w:ascii="Times New Roman" w:cs="Times New Roman" w:hAnsi="Times New Roman"/>
          <w:bCs/>
          <w:color w:val="000000"/>
          <w:shd w:val="clear" w:color="auto" w:fill="ffffff"/>
        </w:rPr>
        <w:t xml:space="preserve">o evaluate the antimicrobial resistance </w:t>
      </w:r>
      <w:commentRangeStart w:id="2"/>
      <w:r>
        <w:rPr>
          <w:rFonts w:ascii="Times New Roman" w:cs="Times New Roman" w:hAnsi="Times New Roman"/>
          <w:bCs/>
          <w:color w:val="000000"/>
          <w:shd w:val="clear" w:color="auto" w:fill="ffffff"/>
        </w:rPr>
        <w:t xml:space="preserve">pattern </w:t>
      </w:r>
      <w:commentRangeEnd w:id="2"/>
      <w:r>
        <w:rPr>
          <w:rStyle w:val="style39"/>
          <w:lang w:val="en-US" w:eastAsia="en-US"/>
        </w:rPr>
        <w:commentReference w:id="2"/>
      </w:r>
      <w:r>
        <w:rPr>
          <w:rFonts w:ascii="Times New Roman" w:cs="Times New Roman" w:hAnsi="Times New Roman"/>
          <w:bCs/>
          <w:color w:val="000000"/>
          <w:shd w:val="clear" w:color="auto" w:fill="ffffff"/>
        </w:rPr>
        <w:t>of Campylobacters isolated from faecal samples of wild mammals and birds.</w:t>
      </w:r>
    </w:p>
    <w:p>
      <w:pPr>
        <w:pStyle w:val="style157"/>
        <w:spacing w:lineRule="auto" w:line="360"/>
        <w:jc w:val="both"/>
        <w:rPr>
          <w:rFonts w:ascii="Times New Roman" w:cs="Times New Roman" w:eastAsia="TimesNewRomanPS-BoldMT" w:hAnsi="Times New Roman"/>
          <w:bCs/>
        </w:rPr>
      </w:pPr>
      <w:r>
        <w:rPr>
          <w:rFonts w:ascii="Times New Roman" w:cs="Times New Roman" w:hAnsi="Times New Roman"/>
          <w:b/>
          <w:bCs/>
          <w:color w:val="000000"/>
          <w:shd w:val="clear" w:color="auto" w:fill="ffffff"/>
        </w:rPr>
        <w:t>Method:</w:t>
      </w:r>
      <w:r>
        <w:rPr>
          <w:rFonts w:ascii="Times New Roman" w:cs="Times New Roman" w:hAnsi="Times New Roman"/>
          <w:bCs/>
          <w:color w:val="000000"/>
          <w:shd w:val="clear" w:color="auto" w:fill="ffffff"/>
        </w:rPr>
        <w:t xml:space="preserve"> </w:t>
      </w:r>
      <w:r>
        <w:rPr>
          <w:rFonts w:ascii="Times New Roman" w:cs="Times New Roman" w:eastAsia="TimesNewRomanPS-BoldMT" w:hAnsi="Times New Roman"/>
          <w:bCs/>
        </w:rPr>
        <w:t xml:space="preserve">A comprehensive collection of 521 samples was acquired from various zoos, sanctuaries, and national parks across Uttarakhand (n=194), Uttar Pradesh (n=45), and Chhattisgarh (n=282) states in India. These samples comprised 468 mammals, including 302 ruminants and 166 non-ruminants, along with 53 birds. Campylobacter isolates were identified based on growth characteristics, colony features on specific media, biochemical tests, and molecular multiplex PCR techniques. </w:t>
      </w:r>
    </w:p>
    <w:p>
      <w:pPr>
        <w:pStyle w:val="style157"/>
        <w:spacing w:lineRule="auto" w:line="360"/>
        <w:jc w:val="both"/>
        <w:rPr>
          <w:rFonts w:ascii="Times New Roman" w:cs="Times New Roman" w:eastAsia="TimesNewRomanPS-BoldMT" w:hAnsi="Times New Roman"/>
          <w:bCs/>
        </w:rPr>
      </w:pPr>
      <w:r>
        <w:rPr>
          <w:rFonts w:ascii="Times New Roman" w:cs="Times New Roman" w:eastAsia="TimesNewRomanPS-BoldMT" w:hAnsi="Times New Roman"/>
          <w:b/>
          <w:bCs/>
        </w:rPr>
        <w:t>Results:</w:t>
      </w:r>
      <w:r>
        <w:rPr>
          <w:rFonts w:ascii="Times New Roman" w:cs="Times New Roman" w:eastAsia="TimesNewRomanPS-BoldMT" w:hAnsi="Times New Roman"/>
          <w:bCs/>
        </w:rPr>
        <w:t xml:space="preserve"> </w:t>
      </w:r>
      <w:r>
        <w:rPr>
          <w:rFonts w:ascii="Times New Roman" w:cs="Times New Roman" w:eastAsia="TimesNewRomanPS-BoldMT" w:hAnsi="Times New Roman"/>
          <w:bCs/>
        </w:rPr>
        <w:t xml:space="preserve">Multiplex </w:t>
      </w:r>
      <w:r>
        <w:rPr>
          <w:rFonts w:ascii="Times New Roman" w:cs="Times New Roman" w:eastAsia="TimesNewRomanPS-BoldMT" w:hAnsi="Times New Roman"/>
          <w:bCs/>
        </w:rPr>
        <w:t>PCR</w:t>
      </w:r>
      <w:r>
        <w:rPr>
          <w:rFonts w:ascii="Times New Roman" w:cs="Times New Roman" w:eastAsia="TimesNewRomanPS-BoldMT" w:hAnsi="Times New Roman"/>
          <w:bCs/>
        </w:rPr>
        <w:t xml:space="preserve"> confirmed Campylobacter </w:t>
      </w:r>
      <w:r>
        <w:rPr>
          <w:rFonts w:ascii="Times New Roman" w:cs="Times New Roman" w:eastAsia="TimesNewRomanPS-BoldMT" w:hAnsi="Times New Roman"/>
          <w:bCs/>
        </w:rPr>
        <w:t>spp</w:t>
      </w:r>
      <w:r>
        <w:rPr>
          <w:rFonts w:ascii="Times New Roman" w:cs="Times New Roman" w:eastAsia="TimesNewRomanPS-BoldMT" w:hAnsi="Times New Roman"/>
          <w:bCs/>
        </w:rPr>
        <w:t>s</w:t>
      </w:r>
      <w:r>
        <w:rPr>
          <w:rFonts w:ascii="Times New Roman" w:cs="Times New Roman" w:eastAsia="TimesNewRomanPS-BoldMT" w:hAnsi="Times New Roman"/>
          <w:bCs/>
        </w:rPr>
        <w:t xml:space="preserve">. in 11.71% (61/521) of samples, comprising 58.06% </w:t>
      </w:r>
      <w:r>
        <w:rPr>
          <w:rFonts w:ascii="Times New Roman" w:cs="Times New Roman" w:eastAsia="TimesNewRomanPS-BoldMT" w:hAnsi="Times New Roman"/>
          <w:bCs/>
          <w:i/>
        </w:rPr>
        <w:t>C. jejuni</w:t>
      </w:r>
      <w:r>
        <w:rPr>
          <w:rFonts w:ascii="Times New Roman" w:cs="Times New Roman" w:eastAsia="TimesNewRomanPS-BoldMT" w:hAnsi="Times New Roman"/>
          <w:bCs/>
        </w:rPr>
        <w:t xml:space="preserve"> (36/61) and 40.32% </w:t>
      </w:r>
      <w:r>
        <w:rPr>
          <w:rFonts w:ascii="Times New Roman" w:cs="Times New Roman" w:eastAsia="TimesNewRomanPS-BoldMT" w:hAnsi="Times New Roman"/>
          <w:bCs/>
          <w:i/>
        </w:rPr>
        <w:t>C. coli</w:t>
      </w:r>
      <w:r>
        <w:rPr>
          <w:rFonts w:ascii="Times New Roman" w:cs="Times New Roman" w:eastAsia="TimesNewRomanPS-BoldMT" w:hAnsi="Times New Roman"/>
          <w:bCs/>
        </w:rPr>
        <w:t xml:space="preserve"> (25/61). Ruminants exhibited the highest incidence </w:t>
      </w:r>
      <w:commentRangeStart w:id="3"/>
      <w:r>
        <w:rPr>
          <w:rFonts w:ascii="Times New Roman" w:cs="Times New Roman" w:eastAsia="TimesNewRomanPS-BoldMT" w:hAnsi="Times New Roman"/>
          <w:bCs/>
        </w:rPr>
        <w:t>at 59.68%</w:t>
      </w:r>
      <w:commentRangeEnd w:id="3"/>
      <w:r>
        <w:rPr>
          <w:rStyle w:val="style39"/>
          <w:lang w:val="en-US" w:eastAsia="en-US"/>
        </w:rPr>
        <w:commentReference w:id="3"/>
      </w:r>
      <w:r>
        <w:rPr>
          <w:rFonts w:ascii="Times New Roman" w:cs="Times New Roman" w:eastAsia="TimesNewRomanPS-BoldMT" w:hAnsi="Times New Roman"/>
          <w:bCs/>
        </w:rPr>
        <w:t>, followed by non-ruminants at 29.03%, and birds at 9.68%. Antibiotic susceptibility analysis of all 61 isolates (</w:t>
      </w:r>
      <w:r>
        <w:rPr>
          <w:rFonts w:ascii="Times New Roman" w:cs="Times New Roman" w:eastAsia="TimesNewRomanPS-BoldMT" w:hAnsi="Times New Roman"/>
          <w:bCs/>
        </w:rPr>
        <w:t xml:space="preserve">36 </w:t>
      </w:r>
      <w:r>
        <w:rPr>
          <w:rFonts w:ascii="Times New Roman" w:cs="Times New Roman" w:eastAsia="TimesNewRomanPS-BoldMT" w:hAnsi="Times New Roman"/>
          <w:bCs/>
          <w:i/>
        </w:rPr>
        <w:t>C</w:t>
      </w:r>
      <w:r>
        <w:rPr>
          <w:rFonts w:ascii="Times New Roman" w:cs="Times New Roman" w:eastAsia="TimesNewRomanPS-BoldMT" w:hAnsi="Times New Roman"/>
          <w:bCs/>
          <w:i/>
        </w:rPr>
        <w:t>. jejuni</w:t>
      </w:r>
      <w:r>
        <w:rPr>
          <w:rFonts w:ascii="Times New Roman" w:cs="Times New Roman" w:eastAsia="TimesNewRomanPS-BoldMT" w:hAnsi="Times New Roman"/>
          <w:bCs/>
        </w:rPr>
        <w:t xml:space="preserve"> and </w:t>
      </w:r>
      <w:r>
        <w:rPr>
          <w:rFonts w:ascii="Times New Roman" w:cs="Times New Roman" w:eastAsia="TimesNewRomanPS-BoldMT" w:hAnsi="Times New Roman"/>
          <w:bCs/>
        </w:rPr>
        <w:t xml:space="preserve">25 </w:t>
      </w:r>
      <w:r>
        <w:rPr>
          <w:rFonts w:ascii="Times New Roman" w:cs="Times New Roman" w:eastAsia="TimesNewRomanPS-BoldMT" w:hAnsi="Times New Roman"/>
          <w:bCs/>
          <w:i/>
        </w:rPr>
        <w:t>C</w:t>
      </w:r>
      <w:r>
        <w:rPr>
          <w:rFonts w:ascii="Times New Roman" w:cs="Times New Roman" w:eastAsia="TimesNewRomanPS-BoldMT" w:hAnsi="Times New Roman"/>
          <w:bCs/>
          <w:i/>
        </w:rPr>
        <w:t>. coli</w:t>
      </w:r>
      <w:r>
        <w:rPr>
          <w:rFonts w:ascii="Times New Roman" w:cs="Times New Roman" w:eastAsia="TimesNewRomanPS-BoldMT" w:hAnsi="Times New Roman"/>
          <w:bCs/>
        </w:rPr>
        <w:t xml:space="preserve">) revealed over 83% resistance to Penicillin G, followed by Ciprofloxacin and Ampicillin/Cloxacillin (68% each), while </w:t>
      </w:r>
      <w:r>
        <w:rPr>
          <w:rFonts w:ascii="Times New Roman" w:cs="Times New Roman" w:eastAsia="TimesNewRomanPS-BoldMT" w:hAnsi="Times New Roman"/>
          <w:bCs/>
        </w:rPr>
        <w:t>Sulphamethizole</w:t>
      </w:r>
      <w:r>
        <w:rPr>
          <w:rFonts w:ascii="Times New Roman" w:cs="Times New Roman" w:eastAsia="TimesNewRomanPS-BoldMT" w:hAnsi="Times New Roman"/>
          <w:bCs/>
        </w:rPr>
        <w:t xml:space="preserve"> (64%), </w:t>
      </w:r>
      <w:r>
        <w:rPr>
          <w:rFonts w:ascii="Times New Roman" w:cs="Times New Roman" w:eastAsia="TimesNewRomanPS-BoldMT" w:hAnsi="Times New Roman"/>
          <w:bCs/>
        </w:rPr>
        <w:t>Oxytetracycline</w:t>
      </w:r>
      <w:r>
        <w:rPr>
          <w:rFonts w:ascii="Times New Roman" w:cs="Times New Roman" w:eastAsia="TimesNewRomanPS-BoldMT" w:hAnsi="Times New Roman"/>
          <w:bCs/>
        </w:rPr>
        <w:t xml:space="preserve"> (56%), Gentamicin (39.00%), and others displayed resistance levels below 36%. Among </w:t>
      </w:r>
      <w:r>
        <w:rPr>
          <w:rFonts w:ascii="Times New Roman" w:cs="Times New Roman" w:eastAsia="TimesNewRomanPS-BoldMT" w:hAnsi="Times New Roman"/>
          <w:bCs/>
          <w:i/>
        </w:rPr>
        <w:t>Campylobacter jejuni</w:t>
      </w:r>
      <w:r>
        <w:rPr>
          <w:rFonts w:ascii="Times New Roman" w:cs="Times New Roman" w:eastAsia="TimesNewRomanPS-BoldMT" w:hAnsi="Times New Roman"/>
          <w:bCs/>
        </w:rPr>
        <w:t xml:space="preserve"> isolates, the highest resistance was observed with Penicillin G (83.33%), whereas the lowest was noted with Nalidixic acid (13.88%). In </w:t>
      </w:r>
      <w:r>
        <w:rPr>
          <w:rFonts w:ascii="Times New Roman" w:cs="Times New Roman" w:eastAsia="TimesNewRomanPS-BoldMT" w:hAnsi="Times New Roman"/>
          <w:bCs/>
          <w:i/>
        </w:rPr>
        <w:t>Campylobacter coli</w:t>
      </w:r>
      <w:r>
        <w:rPr>
          <w:rFonts w:ascii="Times New Roman" w:cs="Times New Roman" w:eastAsia="TimesNewRomanPS-BoldMT" w:hAnsi="Times New Roman"/>
          <w:bCs/>
        </w:rPr>
        <w:t xml:space="preserve"> isolates, the highest resistance was against Penicillin G (84%), while the lowest was against Gentamicin (16.00%). </w:t>
      </w:r>
    </w:p>
    <w:p>
      <w:pPr>
        <w:pStyle w:val="style0"/>
        <w:autoSpaceDE w:val="false"/>
        <w:autoSpaceDN w:val="false"/>
        <w:adjustRightInd w:val="false"/>
        <w:spacing w:before="120" w:after="120" w:lineRule="auto" w:line="360"/>
        <w:jc w:val="both"/>
        <w:rPr>
          <w:rFonts w:ascii="Times New Roman" w:cs="Times New Roman" w:hAnsi="Times New Roman"/>
          <w:color w:val="000000"/>
        </w:rPr>
      </w:pPr>
      <w:r>
        <w:rPr>
          <w:rFonts w:ascii="Times New Roman" w:cs="Times New Roman" w:hAnsi="Times New Roman"/>
          <w:b/>
          <w:bCs/>
          <w:color w:val="000000"/>
          <w:shd w:val="clear" w:color="auto" w:fill="ffffff"/>
        </w:rPr>
        <w:t>Conclusions:</w:t>
      </w:r>
      <w:r>
        <w:rPr>
          <w:rFonts w:ascii="Times New Roman" w:cs="Times New Roman" w:hAnsi="Times New Roman"/>
          <w:b/>
          <w:bCs/>
          <w:color w:val="000000"/>
          <w:shd w:val="clear" w:color="auto" w:fill="ffffff"/>
        </w:rPr>
        <w:t xml:space="preserve"> </w:t>
      </w:r>
      <w:r>
        <w:rPr>
          <w:rFonts w:ascii="Times New Roman" w:cs="Times New Roman" w:hAnsi="Times New Roman"/>
          <w:bCs/>
          <w:color w:val="000000"/>
          <w:shd w:val="clear" w:color="auto" w:fill="ffffff"/>
        </w:rPr>
        <w:t>The study</w:t>
      </w:r>
      <w:r>
        <w:rPr>
          <w:rFonts w:ascii="Times New Roman" w:cs="Times New Roman" w:hAnsi="Times New Roman"/>
          <w:bCs/>
          <w:color w:val="000000"/>
          <w:shd w:val="clear" w:color="auto" w:fill="ffffff"/>
        </w:rPr>
        <w:t xml:space="preserve"> showed a grave concern for resistance more than 50 percent against commonly used antimicrobials (</w:t>
      </w:r>
      <w:r>
        <w:rPr>
          <w:rFonts w:ascii="Times New Roman" w:cs="Times New Roman" w:eastAsia="TimesNewRomanPS-BoldMT" w:hAnsi="Times New Roman"/>
          <w:bCs/>
        </w:rPr>
        <w:t>Penicillin G, Ciprofloxacin, Ampicillin/</w:t>
      </w:r>
      <w:r>
        <w:rPr>
          <w:rFonts w:ascii="Times New Roman" w:cs="Times New Roman" w:eastAsia="TimesNewRomanPS-BoldMT" w:hAnsi="Times New Roman"/>
          <w:bCs/>
        </w:rPr>
        <w:t>Cloxacillin</w:t>
      </w:r>
      <w:r>
        <w:rPr>
          <w:rFonts w:ascii="Times New Roman" w:cs="Times New Roman" w:eastAsia="TimesNewRomanPS-BoldMT" w:hAnsi="Times New Roman"/>
          <w:bCs/>
        </w:rPr>
        <w:t xml:space="preserve">, </w:t>
      </w:r>
      <w:r>
        <w:rPr>
          <w:rFonts w:ascii="Times New Roman" w:cs="Times New Roman" w:eastAsia="TimesNewRomanPS-BoldMT" w:hAnsi="Times New Roman"/>
          <w:bCs/>
        </w:rPr>
        <w:t>Sulphamethizole</w:t>
      </w:r>
      <w:r>
        <w:rPr>
          <w:rFonts w:ascii="Times New Roman" w:cs="Times New Roman" w:eastAsia="TimesNewRomanPS-BoldMT" w:hAnsi="Times New Roman"/>
          <w:bCs/>
        </w:rPr>
        <w:t xml:space="preserve"> and </w:t>
      </w:r>
      <w:r>
        <w:rPr>
          <w:rFonts w:ascii="Times New Roman" w:cs="Times New Roman" w:eastAsia="TimesNewRomanPS-BoldMT" w:hAnsi="Times New Roman"/>
          <w:bCs/>
        </w:rPr>
        <w:t>Oxytetracycline</w:t>
      </w:r>
      <w:r>
        <w:rPr>
          <w:rFonts w:ascii="Times New Roman" w:cs="Times New Roman" w:hAnsi="Times New Roman"/>
          <w:bCs/>
          <w:color w:val="000000"/>
          <w:shd w:val="clear" w:color="auto" w:fill="ffffff"/>
        </w:rPr>
        <w:t>).</w:t>
      </w:r>
      <w:r>
        <w:rPr>
          <w:rFonts w:ascii="Times New Roman" w:cs="Times New Roman" w:hAnsi="Times New Roman"/>
          <w:bCs/>
          <w:color w:val="000000"/>
          <w:shd w:val="clear" w:color="auto" w:fill="ffffff"/>
        </w:rPr>
        <w:t xml:space="preserve"> </w:t>
      </w:r>
      <w:commentRangeStart w:id="4"/>
      <w:r>
        <w:rPr>
          <w:rFonts w:ascii="Times New Roman" w:cs="Times New Roman" w:hAnsi="Times New Roman"/>
          <w:bCs/>
          <w:color w:val="000000"/>
          <w:shd w:val="clear" w:color="auto" w:fill="ffffff"/>
        </w:rPr>
        <w:t>Owing to sensitivity more than 60 percent Gentamicin</w:t>
      </w:r>
      <w:r>
        <w:rPr>
          <w:rFonts w:ascii="Times New Roman" w:cs="Times New Roman" w:hAnsi="Times New Roman"/>
          <w:color w:val="000000"/>
        </w:rPr>
        <w:t xml:space="preserve"> (60.00%), Amikacin (64.00%), and </w:t>
      </w:r>
      <w:r>
        <w:rPr>
          <w:rFonts w:ascii="Times New Roman" w:cs="Times New Roman" w:hAnsi="Times New Roman"/>
          <w:color w:val="000000"/>
        </w:rPr>
        <w:t>Cefotaxim</w:t>
      </w:r>
      <w:r>
        <w:rPr>
          <w:rFonts w:ascii="Times New Roman" w:cs="Times New Roman" w:hAnsi="Times New Roman"/>
          <w:color w:val="000000"/>
        </w:rPr>
        <w:t xml:space="preserve"> (69.45%) may be considered as drugs of choice </w:t>
      </w:r>
      <w:commentRangeEnd w:id="4"/>
      <w:r>
        <w:rPr>
          <w:rStyle w:val="style39"/>
        </w:rPr>
        <w:commentReference w:id="4"/>
      </w:r>
      <w:r>
        <w:rPr>
          <w:rFonts w:ascii="Times New Roman" w:cs="Times New Roman" w:hAnsi="Times New Roman"/>
          <w:color w:val="000000"/>
        </w:rPr>
        <w:t xml:space="preserve">for treating </w:t>
      </w:r>
      <w:r>
        <w:rPr>
          <w:rFonts w:ascii="Times New Roman" w:cs="Times New Roman" w:hAnsi="Times New Roman"/>
          <w:color w:val="000000"/>
        </w:rPr>
        <w:t>Campylobacteriosis</w:t>
      </w:r>
      <w:r>
        <w:rPr>
          <w:rFonts w:ascii="Times New Roman" w:cs="Times New Roman" w:hAnsi="Times New Roman"/>
          <w:color w:val="000000"/>
        </w:rPr>
        <w:t xml:space="preserve"> in wild animals.</w:t>
      </w:r>
    </w:p>
    <w:p>
      <w:pPr>
        <w:pStyle w:val="style157"/>
        <w:jc w:val="both"/>
        <w:rPr>
          <w:rFonts w:ascii="Times New Roman" w:cs="Times New Roman" w:hAnsi="Times New Roman"/>
          <w:sz w:val="24"/>
          <w:szCs w:val="24"/>
        </w:rPr>
      </w:pPr>
    </w:p>
    <w:p>
      <w:pPr>
        <w:pStyle w:val="style157"/>
        <w:jc w:val="both"/>
        <w:rPr>
          <w:rFonts w:ascii="Segoe UI" w:cs="Segoe UI" w:hAnsi="Segoe UI"/>
          <w:color w:val="0d0d0d"/>
          <w:shd w:val="clear" w:color="auto" w:fill="ffffff"/>
        </w:rPr>
      </w:pPr>
    </w:p>
    <w:p>
      <w:pPr>
        <w:pStyle w:val="style0"/>
        <w:autoSpaceDE w:val="false"/>
        <w:autoSpaceDN w:val="false"/>
        <w:adjustRightInd w:val="false"/>
        <w:spacing w:after="0"/>
        <w:jc w:val="both"/>
        <w:rPr>
          <w:rFonts w:ascii="Times New Roman" w:cs="Times New Roman" w:eastAsia="TimesNewRomanPS-BoldMT" w:hAnsi="Times New Roman"/>
          <w:bCs/>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b/>
          <w:sz w:val="24"/>
          <w:szCs w:val="24"/>
        </w:rPr>
        <w:t>Key words:</w:t>
      </w:r>
      <w:r>
        <w:rPr>
          <w:rFonts w:ascii="Times New Roman" w:hAnsi="Times New Roman"/>
          <w:sz w:val="24"/>
          <w:szCs w:val="24"/>
        </w:rPr>
        <w:t xml:space="preserve"> Campylobacters, Thermophilic, microaerophilic.</w:t>
      </w:r>
    </w:p>
    <w:p>
      <w:pPr>
        <w:pStyle w:val="style157"/>
        <w:jc w:val="both"/>
        <w:rPr>
          <w:rFonts w:ascii="Times New Roman" w:cs="Times New Roman" w:hAnsi="Times New Roman"/>
          <w:b/>
          <w:sz w:val="28"/>
          <w:szCs w:val="24"/>
        </w:rPr>
      </w:pPr>
    </w:p>
    <w:p>
      <w:pPr>
        <w:pStyle w:val="style157"/>
        <w:jc w:val="both"/>
        <w:rPr>
          <w:rFonts w:ascii="Times New Roman" w:cs="Times New Roman" w:hAnsi="Times New Roman"/>
          <w:b/>
          <w:sz w:val="28"/>
          <w:szCs w:val="24"/>
        </w:rPr>
      </w:pPr>
    </w:p>
    <w:p>
      <w:pPr>
        <w:pStyle w:val="style157"/>
        <w:jc w:val="both"/>
        <w:rPr>
          <w:rFonts w:ascii="Times New Roman" w:cs="Times New Roman" w:hAnsi="Times New Roman"/>
          <w:b/>
          <w:sz w:val="28"/>
          <w:szCs w:val="24"/>
        </w:rPr>
      </w:pPr>
      <w:r>
        <w:rPr>
          <w:rFonts w:ascii="Times New Roman" w:cs="Times New Roman" w:hAnsi="Times New Roman"/>
          <w:b/>
          <w:sz w:val="28"/>
          <w:szCs w:val="24"/>
        </w:rPr>
        <w:t>INTRODUCTION</w:t>
      </w:r>
    </w:p>
    <w:p>
      <w:pPr>
        <w:pStyle w:val="style157"/>
        <w:spacing w:lineRule="auto" w:line="360"/>
        <w:jc w:val="both"/>
        <w:rPr>
          <w:rFonts w:ascii="Times New Roman" w:cs="Times New Roman" w:hAnsi="Times New Roman"/>
          <w:color w:val="000000"/>
          <w:sz w:val="24"/>
          <w:szCs w:val="24"/>
        </w:rPr>
      </w:pPr>
      <w:r>
        <w:rPr>
          <w:rFonts w:ascii="Times New Roman" w:cs="Times New Roman" w:hAnsi="Times New Roman"/>
          <w:b/>
          <w:sz w:val="28"/>
          <w:szCs w:val="24"/>
        </w:rPr>
        <w:tab/>
      </w:r>
      <w:r>
        <w:rPr>
          <w:rFonts w:ascii="Times New Roman" w:cs="Times New Roman" w:hAnsi="Times New Roman"/>
          <w:color w:val="000000"/>
          <w:sz w:val="24"/>
          <w:szCs w:val="24"/>
        </w:rPr>
        <w:t xml:space="preserve">The genus </w:t>
      </w:r>
      <w:r>
        <w:rPr>
          <w:rFonts w:ascii="Times New Roman" w:cs="Times New Roman" w:hAnsi="Times New Roman"/>
          <w:i/>
          <w:color w:val="000000"/>
          <w:sz w:val="24"/>
          <w:szCs w:val="24"/>
        </w:rPr>
        <w:t>Campylobacter</w:t>
      </w:r>
      <w:r>
        <w:rPr>
          <w:rFonts w:ascii="Times New Roman" w:cs="Times New Roman" w:hAnsi="Times New Roman"/>
          <w:color w:val="000000"/>
          <w:sz w:val="24"/>
          <w:szCs w:val="24"/>
        </w:rPr>
        <w:t xml:space="preserve"> is a group of emerging zoonotic bacteria that cause diseases in animals and humans, though some are commensal in the intestinal tracts of birds and ruminants </w:t>
      </w:r>
      <w:r>
        <w:rPr>
          <w:rFonts w:ascii="Times New Roman" w:cs="Times New Roman" w:hAnsi="Times New Roman"/>
          <w:color w:val="000000"/>
          <w:sz w:val="24"/>
          <w:szCs w:val="24"/>
        </w:rPr>
        <w:t>(Sahin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2017</w:t>
      </w:r>
      <w:r>
        <w:rPr>
          <w:rFonts w:ascii="Times New Roman" w:cs="Times New Roman" w:hAnsi="Times New Roman"/>
          <w:color w:val="000000"/>
          <w:sz w:val="24"/>
          <w:szCs w:val="24"/>
        </w:rPr>
        <w:t>). The most common food</w:t>
      </w:r>
      <w:r>
        <w:rPr>
          <w:rFonts w:ascii="Times New Roman" w:cs="Times New Roman" w:hAnsi="Times New Roman"/>
          <w:color w:val="000000"/>
          <w:sz w:val="24"/>
          <w:szCs w:val="24"/>
        </w:rPr>
        <w:t xml:space="preserve">borne </w:t>
      </w:r>
      <w:r>
        <w:rPr>
          <w:rFonts w:ascii="Times New Roman" w:cs="Times New Roman" w:hAnsi="Times New Roman"/>
          <w:i/>
          <w:color w:val="000000"/>
          <w:sz w:val="24"/>
          <w:szCs w:val="24"/>
        </w:rPr>
        <w:t>Campylobacter</w:t>
      </w:r>
      <w:r>
        <w:rPr>
          <w:rFonts w:ascii="Times New Roman" w:cs="Times New Roman" w:hAnsi="Times New Roman"/>
          <w:color w:val="000000"/>
          <w:sz w:val="24"/>
          <w:szCs w:val="24"/>
        </w:rPr>
        <w:t xml:space="preserve"> species are </w:t>
      </w:r>
      <w:r>
        <w:rPr>
          <w:rFonts w:ascii="Times New Roman" w:cs="Times New Roman" w:hAnsi="Times New Roman"/>
          <w:i/>
          <w:color w:val="000000"/>
          <w:sz w:val="24"/>
          <w:szCs w:val="24"/>
        </w:rPr>
        <w:t>C. jejuni</w:t>
      </w:r>
      <w:r>
        <w:rPr>
          <w:rFonts w:ascii="Times New Roman" w:cs="Times New Roman" w:hAnsi="Times New Roman"/>
          <w:color w:val="000000"/>
          <w:sz w:val="24"/>
          <w:szCs w:val="24"/>
        </w:rPr>
        <w:t xml:space="preserve"> and </w:t>
      </w:r>
      <w:r>
        <w:rPr>
          <w:rFonts w:ascii="Times New Roman" w:cs="Times New Roman" w:hAnsi="Times New Roman"/>
          <w:i/>
          <w:color w:val="000000"/>
          <w:sz w:val="24"/>
          <w:szCs w:val="24"/>
        </w:rPr>
        <w:t>C. coli</w:t>
      </w:r>
      <w:r>
        <w:rPr>
          <w:rFonts w:ascii="Times New Roman" w:cs="Times New Roman" w:hAnsi="Times New Roman"/>
          <w:color w:val="000000"/>
          <w:sz w:val="24"/>
          <w:szCs w:val="24"/>
        </w:rPr>
        <w:t xml:space="preserve">, both of which are linked to diarrhoeal disease in humans and animals (Garcia-Sanchez </w:t>
      </w:r>
      <w:r>
        <w:rPr>
          <w:rFonts w:ascii="Times New Roman" w:cs="Times New Roman" w:hAnsi="Times New Roman"/>
          <w:i/>
          <w:color w:val="000000"/>
          <w:sz w:val="24"/>
          <w:szCs w:val="24"/>
        </w:rPr>
        <w:t xml:space="preserve">et al., </w:t>
      </w:r>
      <w:r>
        <w:rPr>
          <w:rFonts w:ascii="Times New Roman" w:cs="Times New Roman" w:hAnsi="Times New Roman"/>
          <w:color w:val="000000"/>
          <w:sz w:val="24"/>
          <w:szCs w:val="24"/>
        </w:rPr>
        <w:t xml:space="preserve">2018). </w:t>
      </w:r>
      <w:r>
        <w:rPr>
          <w:rFonts w:ascii="Times New Roman" w:cs="Times New Roman" w:hAnsi="Times New Roman"/>
          <w:bCs/>
          <w:color w:val="000000"/>
          <w:sz w:val="24"/>
          <w:szCs w:val="24"/>
        </w:rPr>
        <w:t xml:space="preserve">According to the Global Burden of Disease report 2016, </w:t>
      </w:r>
      <w:r>
        <w:rPr>
          <w:rFonts w:ascii="Times New Roman" w:cs="Times New Roman" w:hAnsi="Times New Roman"/>
          <w:bCs/>
          <w:i/>
          <w:color w:val="000000"/>
          <w:sz w:val="24"/>
          <w:szCs w:val="24"/>
        </w:rPr>
        <w:t>Campylobacter</w:t>
      </w:r>
      <w:r>
        <w:rPr>
          <w:rFonts w:ascii="Times New Roman" w:cs="Times New Roman" w:hAnsi="Times New Roman"/>
          <w:bCs/>
          <w:color w:val="000000"/>
          <w:sz w:val="24"/>
          <w:szCs w:val="24"/>
        </w:rPr>
        <w:t xml:space="preserve"> species are responsible for more than 172 million episodes of diarrhoea annually worldwide and account for more than 75000 deaths due to diarrhoea indication its importance as a public health </w:t>
      </w:r>
      <w:commentRangeStart w:id="5"/>
      <w:r>
        <w:rPr>
          <w:rFonts w:ascii="Times New Roman" w:cs="Times New Roman" w:hAnsi="Times New Roman"/>
          <w:bCs/>
          <w:color w:val="000000"/>
          <w:sz w:val="24"/>
          <w:szCs w:val="24"/>
        </w:rPr>
        <w:t>concerned disease</w:t>
      </w:r>
      <w:commentRangeEnd w:id="5"/>
      <w:r>
        <w:rPr>
          <w:rStyle w:val="style39"/>
          <w:lang w:val="en-US" w:eastAsia="en-US"/>
        </w:rPr>
        <w:commentReference w:id="5"/>
      </w:r>
      <w:r>
        <w:rPr>
          <w:rFonts w:ascii="Times New Roman" w:cs="Times New Roman" w:hAnsi="Times New Roman"/>
          <w:bCs/>
          <w:color w:val="000000"/>
          <w:sz w:val="24"/>
          <w:szCs w:val="24"/>
        </w:rPr>
        <w:t xml:space="preserve"> (GBD, 2016).</w:t>
      </w:r>
      <w:r>
        <w:rPr>
          <w:rFonts w:ascii="Times New Roman" w:cs="Times New Roman" w:hAnsi="Times New Roman"/>
          <w:bCs/>
          <w:color w:val="000000"/>
          <w:sz w:val="24"/>
          <w:szCs w:val="24"/>
        </w:rPr>
        <w:t xml:space="preserve"> </w:t>
      </w:r>
      <w:r>
        <w:rPr>
          <w:rFonts w:ascii="Times New Roman" w:cs="Times New Roman" w:hAnsi="Times New Roman"/>
          <w:color w:val="000000"/>
          <w:sz w:val="24"/>
          <w:szCs w:val="24"/>
        </w:rPr>
        <w:t>Campylobacter infection presents symptoms like watery or bloody diarrh</w:t>
      </w:r>
      <w:r>
        <w:rPr>
          <w:rFonts w:ascii="Times New Roman" w:cs="Times New Roman" w:hAnsi="Times New Roman"/>
          <w:color w:val="000000"/>
          <w:sz w:val="24"/>
          <w:szCs w:val="24"/>
        </w:rPr>
        <w:t>o</w:t>
      </w:r>
      <w:r>
        <w:rPr>
          <w:rFonts w:ascii="Times New Roman" w:cs="Times New Roman" w:hAnsi="Times New Roman"/>
          <w:color w:val="000000"/>
          <w:sz w:val="24"/>
          <w:szCs w:val="24"/>
        </w:rPr>
        <w:t>ea, abdominal pain, fever, nausea, and vomiting with a 2–5 day incubation period. It's often contracted through contaminated or undercooked poultry, unpasteurized dairy, contaminated water, or contact with pet f</w:t>
      </w:r>
      <w:r>
        <w:rPr>
          <w:rFonts w:ascii="Times New Roman" w:cs="Times New Roman" w:hAnsi="Times New Roman"/>
          <w:color w:val="000000"/>
          <w:sz w:val="24"/>
          <w:szCs w:val="24"/>
        </w:rPr>
        <w:t>a</w:t>
      </w:r>
      <w:r>
        <w:rPr>
          <w:rFonts w:ascii="Times New Roman" w:cs="Times New Roman" w:hAnsi="Times New Roman"/>
          <w:color w:val="000000"/>
          <w:sz w:val="24"/>
          <w:szCs w:val="24"/>
        </w:rPr>
        <w:t>eces, with rare person-to-person transmission. Campylobacteriosis, caused mainly by Campylobacter spp., is a significant foodborne illness affecting both yo</w:t>
      </w:r>
      <w:bookmarkStart w:id="0" w:name="_GoBack"/>
      <w:bookmarkEnd w:id="0"/>
      <w:r>
        <w:rPr>
          <w:rFonts w:ascii="Times New Roman" w:cs="Times New Roman" w:hAnsi="Times New Roman"/>
          <w:color w:val="000000"/>
          <w:sz w:val="24"/>
          <w:szCs w:val="24"/>
        </w:rPr>
        <w:t>ung animals and humans. Alongside Salmonella, Rotavirus, and Escherichia coli, it's among the top four global causes of diarrheal disease (WHO, 2020). Campylobacter spp. is commonly found in the gastrointestinal tracts of various animals and can be transmitted through the f</w:t>
      </w:r>
      <w:r>
        <w:rPr>
          <w:rFonts w:ascii="Times New Roman" w:cs="Times New Roman" w:hAnsi="Times New Roman"/>
          <w:color w:val="000000"/>
          <w:sz w:val="24"/>
          <w:szCs w:val="24"/>
        </w:rPr>
        <w:t>a</w:t>
      </w:r>
      <w:r>
        <w:rPr>
          <w:rFonts w:ascii="Times New Roman" w:cs="Times New Roman" w:hAnsi="Times New Roman"/>
          <w:color w:val="000000"/>
          <w:sz w:val="24"/>
          <w:szCs w:val="24"/>
        </w:rPr>
        <w:t xml:space="preserve">ecal-oral route via contaminated food and water. </w:t>
      </w:r>
    </w:p>
    <w:p>
      <w:pPr>
        <w:pStyle w:val="style0"/>
        <w:spacing w:before="120" w:after="120" w:lineRule="auto" w:line="360"/>
        <w:ind w:firstLine="720"/>
        <w:jc w:val="both"/>
        <w:rPr>
          <w:rFonts w:ascii="Times New Roman" w:cs="Times New Roman" w:hAnsi="Times New Roman"/>
          <w:color w:val="000000"/>
          <w:sz w:val="24"/>
          <w:szCs w:val="24"/>
          <w:lang w:val="en-IN" w:eastAsia="en-IN"/>
        </w:rPr>
      </w:pPr>
      <w:r>
        <w:rPr>
          <w:rFonts w:ascii="Times New Roman" w:cs="Times New Roman" w:hAnsi="Times New Roman"/>
          <w:color w:val="000000"/>
          <w:sz w:val="24"/>
          <w:szCs w:val="24"/>
          <w:lang w:val="en-IN" w:eastAsia="en-IN"/>
        </w:rPr>
        <w:t xml:space="preserve">The emergence of fluoroquinolone and macrolide-resistant Campylobacters is linked to over-the-counter antimicrobial availability </w:t>
      </w:r>
      <w:commentRangeStart w:id="6"/>
      <w:r>
        <w:rPr>
          <w:rFonts w:ascii="Times New Roman" w:cs="Times New Roman" w:hAnsi="Times New Roman"/>
          <w:color w:val="000000"/>
          <w:sz w:val="24"/>
          <w:szCs w:val="24"/>
          <w:lang w:val="en-IN" w:eastAsia="en-IN"/>
        </w:rPr>
        <w:t xml:space="preserve">and </w:t>
      </w:r>
      <w:commentRangeEnd w:id="6"/>
      <w:r>
        <w:rPr>
          <w:rStyle w:val="style39"/>
        </w:rPr>
        <w:commentReference w:id="6"/>
      </w:r>
      <w:r>
        <w:rPr>
          <w:rFonts w:ascii="Times New Roman" w:cs="Times New Roman" w:hAnsi="Times New Roman"/>
          <w:color w:val="000000"/>
          <w:sz w:val="24"/>
          <w:szCs w:val="24"/>
          <w:lang w:val="en-IN" w:eastAsia="en-IN"/>
        </w:rPr>
        <w:t xml:space="preserve">indiscriminate use in food animals. In the United States, fluoroquinolone-resistant C. jejuni rose from 0% in 1990 to 18% in 1999 due to their approval for poultry farming. Conversely, Australia, where fluoroquinolones aren't used in poultry, maintains susceptibility. High resistance rates, especially in low- and middle-income countries, pose significant public health threats. Multidrug-resistant patterns are common, with tetracycline, ampicillin, ciprofloxacin, and </w:t>
      </w:r>
      <w:r>
        <w:rPr>
          <w:rFonts w:ascii="Times New Roman" w:cs="Times New Roman" w:hAnsi="Times New Roman"/>
          <w:color w:val="000000"/>
          <w:sz w:val="24"/>
          <w:szCs w:val="24"/>
          <w:lang w:val="en-IN" w:eastAsia="en-IN"/>
        </w:rPr>
        <w:t>norfloxacin</w:t>
      </w:r>
      <w:r>
        <w:rPr>
          <w:rFonts w:ascii="Times New Roman" w:cs="Times New Roman" w:hAnsi="Times New Roman"/>
          <w:color w:val="000000"/>
          <w:sz w:val="24"/>
          <w:szCs w:val="24"/>
          <w:lang w:val="en-IN" w:eastAsia="en-IN"/>
        </w:rPr>
        <w:t xml:space="preserve"> </w:t>
      </w:r>
      <w:commentRangeStart w:id="7"/>
      <w:r>
        <w:rPr>
          <w:rFonts w:ascii="Times New Roman" w:cs="Times New Roman" w:hAnsi="Times New Roman"/>
          <w:color w:val="000000"/>
          <w:sz w:val="24"/>
          <w:szCs w:val="24"/>
          <w:lang w:val="en-IN" w:eastAsia="en-IN"/>
        </w:rPr>
        <w:t>frequently</w:t>
      </w:r>
      <w:commentRangeEnd w:id="7"/>
      <w:r>
        <w:rPr>
          <w:rStyle w:val="style39"/>
        </w:rPr>
        <w:commentReference w:id="7"/>
      </w:r>
      <w:r>
        <w:rPr>
          <w:rFonts w:ascii="Times New Roman" w:cs="Times New Roman" w:hAnsi="Times New Roman"/>
          <w:color w:val="000000"/>
          <w:sz w:val="24"/>
          <w:szCs w:val="24"/>
          <w:lang w:val="en-IN" w:eastAsia="en-IN"/>
        </w:rPr>
        <w:t xml:space="preserve"> resisted. Antimicrobial resistance genes like blaOXA-61, aph-3-1, </w:t>
      </w:r>
      <w:r>
        <w:rPr>
          <w:rFonts w:ascii="Times New Roman" w:cs="Times New Roman" w:hAnsi="Times New Roman"/>
          <w:color w:val="000000"/>
          <w:sz w:val="24"/>
          <w:szCs w:val="24"/>
          <w:lang w:val="en-IN" w:eastAsia="en-IN"/>
        </w:rPr>
        <w:t>tet</w:t>
      </w:r>
      <w:r>
        <w:rPr>
          <w:rFonts w:ascii="Times New Roman" w:cs="Times New Roman" w:hAnsi="Times New Roman"/>
          <w:color w:val="000000"/>
          <w:sz w:val="24"/>
          <w:szCs w:val="24"/>
          <w:lang w:val="en-IN" w:eastAsia="en-IN"/>
        </w:rPr>
        <w:t xml:space="preserve">(O), and </w:t>
      </w:r>
      <w:r>
        <w:rPr>
          <w:rFonts w:ascii="Times New Roman" w:cs="Times New Roman" w:hAnsi="Times New Roman"/>
          <w:color w:val="000000"/>
          <w:sz w:val="24"/>
          <w:szCs w:val="24"/>
          <w:lang w:val="en-IN" w:eastAsia="en-IN"/>
        </w:rPr>
        <w:t>cmeB</w:t>
      </w:r>
      <w:r>
        <w:rPr>
          <w:rFonts w:ascii="Times New Roman" w:cs="Times New Roman" w:hAnsi="Times New Roman"/>
          <w:color w:val="000000"/>
          <w:sz w:val="24"/>
          <w:szCs w:val="24"/>
          <w:lang w:val="en-IN" w:eastAsia="en-IN"/>
        </w:rPr>
        <w:t xml:space="preserve"> contribute, along with </w:t>
      </w:r>
      <w:r>
        <w:rPr>
          <w:rFonts w:ascii="Times New Roman" w:cs="Times New Roman" w:hAnsi="Times New Roman"/>
          <w:color w:val="000000"/>
          <w:sz w:val="24"/>
          <w:szCs w:val="24"/>
          <w:lang w:val="en-IN" w:eastAsia="en-IN"/>
        </w:rPr>
        <w:t>gyrA</w:t>
      </w:r>
      <w:r>
        <w:rPr>
          <w:rFonts w:ascii="Times New Roman" w:cs="Times New Roman" w:hAnsi="Times New Roman"/>
          <w:color w:val="000000"/>
          <w:sz w:val="24"/>
          <w:szCs w:val="24"/>
          <w:lang w:val="en-IN" w:eastAsia="en-IN"/>
        </w:rPr>
        <w:t xml:space="preserve"> mutations for fluoroquinolones. Macrolide resistance involves target modification and active efflux mechanisms (Gebreyes et al., 2005). While tetracycline is rarely used in human campylobacteriosis treatment, resistance is mediated by the </w:t>
      </w:r>
      <w:r>
        <w:rPr>
          <w:rFonts w:ascii="Times New Roman" w:cs="Times New Roman" w:hAnsi="Times New Roman"/>
          <w:color w:val="000000"/>
          <w:sz w:val="24"/>
          <w:szCs w:val="24"/>
          <w:lang w:val="en-IN" w:eastAsia="en-IN"/>
        </w:rPr>
        <w:t>tet</w:t>
      </w:r>
      <w:r>
        <w:rPr>
          <w:rFonts w:ascii="Times New Roman" w:cs="Times New Roman" w:hAnsi="Times New Roman"/>
          <w:color w:val="000000"/>
          <w:sz w:val="24"/>
          <w:szCs w:val="24"/>
          <w:lang w:val="en-IN" w:eastAsia="en-IN"/>
        </w:rPr>
        <w:t>(O) gene. Aminoglycosides resistance involves drug modification proteins. Limited research exists on antibiotic-resistant Campylobacter from wild mammals and birds, prompting investigations into their antimicrobial resistance patterns (Iovine, 2013).</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MATERIALS </w:t>
      </w:r>
      <w:r>
        <w:rPr>
          <w:rFonts w:ascii="Times New Roman" w:cs="Times New Roman" w:hAnsi="Times New Roman"/>
          <w:b/>
          <w:sz w:val="24"/>
          <w:szCs w:val="24"/>
        </w:rPr>
        <w:t>AND METHODS-</w:t>
      </w:r>
    </w:p>
    <w:p>
      <w:pPr>
        <w:pStyle w:val="style0"/>
        <w:spacing w:before="120" w:after="120" w:lineRule="auto" w:line="372"/>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total of </w:t>
      </w:r>
      <w:r>
        <w:rPr>
          <w:rFonts w:ascii="Times New Roman" w:cs="Times New Roman" w:hAnsi="Times New Roman"/>
          <w:color w:val="000000"/>
          <w:sz w:val="24"/>
          <w:szCs w:val="24"/>
        </w:rPr>
        <w:t xml:space="preserve">521 fecal samples were gathered from eight zoos/sanctuaries/national parks across Uttarakhand (194), Uttar Pradesh (45), and Chhattisgarh (282) states in India, comprising </w:t>
      </w:r>
      <w:r>
        <w:rPr>
          <w:rFonts w:ascii="Times New Roman" w:cs="Times New Roman" w:hAnsi="Times New Roman"/>
          <w:color w:val="000000"/>
          <w:sz w:val="24"/>
          <w:szCs w:val="24"/>
        </w:rPr>
        <w:t xml:space="preserve">468 mammals (302 ruminants, 166 non-ruminants) and 53 birds. Collection and processing followed standard protocol at the Veterinary Public Health and Epidemiology </w:t>
      </w:r>
      <w:commentRangeStart w:id="8"/>
      <w:r>
        <w:rPr>
          <w:rFonts w:ascii="Times New Roman" w:cs="Times New Roman" w:hAnsi="Times New Roman"/>
          <w:color w:val="000000"/>
          <w:sz w:val="24"/>
          <w:szCs w:val="24"/>
        </w:rPr>
        <w:t>d</w:t>
      </w:r>
      <w:commentRangeEnd w:id="8"/>
      <w:r>
        <w:rPr>
          <w:rStyle w:val="style39"/>
        </w:rPr>
        <w:commentReference w:id="8"/>
      </w:r>
      <w:r>
        <w:rPr>
          <w:rFonts w:ascii="Times New Roman" w:cs="Times New Roman" w:hAnsi="Times New Roman"/>
          <w:color w:val="000000"/>
          <w:sz w:val="24"/>
          <w:szCs w:val="24"/>
        </w:rPr>
        <w:t xml:space="preserve">epartment, </w:t>
      </w:r>
      <w:r>
        <w:rPr>
          <w:rFonts w:ascii="Times New Roman" w:cs="Times New Roman" w:hAnsi="Times New Roman"/>
          <w:color w:val="000000"/>
          <w:sz w:val="24"/>
          <w:szCs w:val="24"/>
        </w:rPr>
        <w:t>C.V.A.Sc</w:t>
      </w:r>
      <w:r>
        <w:rPr>
          <w:rFonts w:ascii="Times New Roman" w:cs="Times New Roman" w:hAnsi="Times New Roman"/>
          <w:color w:val="000000"/>
          <w:sz w:val="24"/>
          <w:szCs w:val="24"/>
        </w:rPr>
        <w:t xml:space="preserve">., GBPUA&amp;T, Pantnagar, </w:t>
      </w:r>
      <w:r>
        <w:rPr>
          <w:rFonts w:ascii="Times New Roman" w:cs="Times New Roman" w:hAnsi="Times New Roman"/>
          <w:color w:val="000000"/>
          <w:sz w:val="24"/>
          <w:szCs w:val="24"/>
        </w:rPr>
        <w:t>Uttarakhand</w:t>
      </w:r>
      <w:r>
        <w:rPr>
          <w:rFonts w:ascii="Times New Roman" w:cs="Times New Roman" w:hAnsi="Times New Roman"/>
          <w:color w:val="000000"/>
          <w:sz w:val="24"/>
          <w:szCs w:val="24"/>
        </w:rPr>
        <w:t>.</w:t>
      </w:r>
      <w:r>
        <w:rPr>
          <w:rFonts w:ascii="Times New Roman" w:cs="Times New Roman" w:eastAsia="TimesNewRomanPS-BoldMT" w:hAnsi="Times New Roman"/>
          <w:bCs/>
          <w:sz w:val="24"/>
          <w:szCs w:val="24"/>
        </w:rPr>
        <w:t xml:space="preserve"> </w:t>
      </w:r>
      <w:r>
        <w:rPr>
          <w:rFonts w:ascii="Times New Roman" w:cs="Times New Roman" w:hAnsi="Times New Roman"/>
          <w:color w:val="000000"/>
          <w:sz w:val="24"/>
          <w:szCs w:val="24"/>
        </w:rPr>
        <w:t xml:space="preserve">For detection of thermophilic </w:t>
      </w:r>
      <w:r>
        <w:rPr>
          <w:rFonts w:ascii="Times New Roman" w:cs="Times New Roman" w:hAnsi="Times New Roman"/>
          <w:i/>
          <w:color w:val="000000"/>
          <w:sz w:val="24"/>
          <w:szCs w:val="24"/>
        </w:rPr>
        <w:t>Campylobacter</w:t>
      </w:r>
      <w:r>
        <w:rPr>
          <w:rFonts w:ascii="Times New Roman" w:cs="Times New Roman" w:hAnsi="Times New Roman"/>
          <w:color w:val="000000"/>
          <w:sz w:val="24"/>
          <w:szCs w:val="24"/>
        </w:rPr>
        <w:t xml:space="preserve"> species bacteriological culture was performed in accordance with </w:t>
      </w:r>
      <w:r>
        <w:rPr>
          <w:rFonts w:ascii="Times New Roman" w:cs="Times New Roman" w:hAnsi="Times New Roman"/>
          <w:sz w:val="24"/>
          <w:szCs w:val="24"/>
        </w:rPr>
        <w:t>ISO 10272-1:2017(E)</w:t>
      </w:r>
      <w:r>
        <w:rPr>
          <w:rFonts w:ascii="Times New Roman" w:cs="Times New Roman" w:hAnsi="Times New Roman"/>
          <w:sz w:val="24"/>
          <w:szCs w:val="24"/>
        </w:rPr>
        <w:t xml:space="preserve"> </w:t>
      </w:r>
      <w:r>
        <w:rPr>
          <w:rFonts w:ascii="Times New Roman" w:cs="Times New Roman" w:hAnsi="Times New Roman"/>
          <w:sz w:val="24"/>
          <w:szCs w:val="24"/>
        </w:rPr>
        <w:t>guidelines (</w:t>
      </w:r>
      <w:r>
        <w:rPr>
          <w:rFonts w:ascii="Times New Roman" w:cs="Times New Roman" w:hAnsi="Times New Roman"/>
          <w:b/>
          <w:sz w:val="24"/>
          <w:szCs w:val="24"/>
        </w:rPr>
        <w:t>ISO, 2017</w:t>
      </w:r>
      <w:r>
        <w:rPr>
          <w:rFonts w:ascii="Times New Roman" w:cs="Times New Roman" w:hAnsi="Times New Roman"/>
          <w:sz w:val="24"/>
          <w:szCs w:val="24"/>
        </w:rPr>
        <w:t>) with slight modification</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b/>
          <w:sz w:val="24"/>
          <w:szCs w:val="24"/>
        </w:rPr>
        <w:t xml:space="preserve">Singh </w:t>
      </w:r>
      <w:r>
        <w:rPr>
          <w:rFonts w:ascii="Times New Roman" w:cs="Times New Roman" w:hAnsi="Times New Roman"/>
          <w:b/>
          <w:i/>
          <w:sz w:val="24"/>
          <w:szCs w:val="24"/>
        </w:rPr>
        <w:t>et al.,</w:t>
      </w:r>
      <w:r>
        <w:rPr>
          <w:rFonts w:ascii="Times New Roman" w:cs="Times New Roman" w:hAnsi="Times New Roman"/>
          <w:b/>
          <w:sz w:val="24"/>
          <w:szCs w:val="24"/>
        </w:rPr>
        <w:t xml:space="preserve"> 2022</w:t>
      </w:r>
      <w:r>
        <w:rPr>
          <w:rFonts w:ascii="Times New Roman" w:cs="Times New Roman" w:hAnsi="Times New Roman"/>
          <w:b/>
          <w:sz w:val="24"/>
          <w:szCs w:val="24"/>
        </w:rPr>
        <w:t>b</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eastAsia="TimesNewRomanPS-BoldMT" w:hAnsi="Times New Roman"/>
          <w:bCs/>
          <w:sz w:val="24"/>
          <w:szCs w:val="24"/>
        </w:rPr>
        <w:t xml:space="preserve"> Isolation of Campylobacter samples were based on growth performances and colonies characteristics in selected media, biochemical tests and molecular test (multiplex PCR).</w:t>
      </w:r>
    </w:p>
    <w:p>
      <w:pPr>
        <w:pStyle w:val="style0"/>
        <w:spacing w:before="120" w:after="120" w:lineRule="auto" w:line="372"/>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Antimicrobial resistance (AMR) profile of</w:t>
      </w:r>
      <w:r>
        <w:rPr>
          <w:rFonts w:ascii="Times New Roman" w:cs="Times New Roman" w:hAnsi="Times New Roman"/>
          <w:i/>
          <w:color w:val="000000"/>
          <w:sz w:val="24"/>
          <w:szCs w:val="24"/>
        </w:rPr>
        <w:t xml:space="preserve"> Campylobacter</w:t>
      </w:r>
      <w:r>
        <w:rPr>
          <w:rFonts w:ascii="Times New Roman" w:cs="Times New Roman" w:hAnsi="Times New Roman"/>
          <w:color w:val="000000"/>
          <w:sz w:val="24"/>
          <w:szCs w:val="24"/>
        </w:rPr>
        <w:t xml:space="preserve"> isolates </w:t>
      </w:r>
      <w:commentRangeStart w:id="9"/>
      <w:r>
        <w:rPr>
          <w:rFonts w:ascii="Times New Roman" w:cs="Times New Roman" w:hAnsi="Times New Roman"/>
          <w:color w:val="000000"/>
          <w:sz w:val="24"/>
          <w:szCs w:val="24"/>
        </w:rPr>
        <w:t xml:space="preserve">were </w:t>
      </w:r>
      <w:commentRangeEnd w:id="9"/>
      <w:r>
        <w:rPr>
          <w:rStyle w:val="style39"/>
        </w:rPr>
        <w:commentReference w:id="9"/>
      </w:r>
      <w:r>
        <w:rPr>
          <w:rFonts w:ascii="Times New Roman" w:cs="Times New Roman" w:hAnsi="Times New Roman"/>
          <w:color w:val="000000"/>
          <w:sz w:val="24"/>
          <w:szCs w:val="24"/>
        </w:rPr>
        <w:t>determined using standard Kirby-Bauer disc diffusion method. A total of 61 isolates were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selected for antimicrobial sensitivity testing. A set of ten </w:t>
      </w:r>
      <w:r>
        <w:rPr>
          <w:rFonts w:ascii="Times New Roman" w:cs="Times New Roman" w:hAnsi="Times New Roman"/>
          <w:color w:val="000000"/>
          <w:sz w:val="24"/>
          <w:szCs w:val="24"/>
        </w:rPr>
        <w:t xml:space="preserve">commonly used </w:t>
      </w:r>
      <w:r>
        <w:rPr>
          <w:rFonts w:ascii="Times New Roman" w:cs="Times New Roman" w:hAnsi="Times New Roman"/>
          <w:color w:val="000000"/>
          <w:sz w:val="24"/>
          <w:szCs w:val="24"/>
        </w:rPr>
        <w:t>antibiotics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w:t>
      </w:r>
      <w:r>
        <w:rPr>
          <w:rFonts w:ascii="Times New Roman" w:cs="Times New Roman" w:hAnsi="Times New Roman"/>
          <w:color w:val="000000"/>
          <w:sz w:val="24"/>
          <w:szCs w:val="24"/>
        </w:rPr>
        <w:t>six</w:t>
      </w:r>
      <w:r>
        <w:rPr>
          <w:rFonts w:ascii="Times New Roman" w:cs="Times New Roman" w:hAnsi="Times New Roman"/>
          <w:color w:val="000000"/>
          <w:sz w:val="24"/>
          <w:szCs w:val="24"/>
        </w:rPr>
        <w:t xml:space="preserve"> classes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were selected for antimicrobial sensitivity testing. The details of antimicrobials tested were mentioned in </w:t>
      </w:r>
      <w:r>
        <w:rPr>
          <w:rFonts w:ascii="Times New Roman" w:cs="Times New Roman" w:hAnsi="Times New Roman"/>
          <w:b/>
          <w:color w:val="000000"/>
          <w:sz w:val="24"/>
          <w:szCs w:val="24"/>
        </w:rPr>
        <w:t xml:space="preserve">Table </w:t>
      </w:r>
      <w:r>
        <w:rPr>
          <w:rFonts w:ascii="Times New Roman" w:cs="Times New Roman" w:hAnsi="Times New Roman"/>
          <w:b/>
          <w:color w:val="000000"/>
          <w:sz w:val="24"/>
          <w:szCs w:val="24"/>
        </w:rPr>
        <w:t>1</w:t>
      </w:r>
      <w:r>
        <w:rPr>
          <w:rFonts w:ascii="Times New Roman" w:cs="Times New Roman" w:hAnsi="Times New Roman"/>
          <w:b/>
          <w:color w:val="000000"/>
          <w:sz w:val="24"/>
          <w:szCs w:val="24"/>
        </w:rPr>
        <w:t>.</w:t>
      </w:r>
    </w:p>
    <w:p>
      <w:pPr>
        <w:pStyle w:val="style0"/>
        <w:spacing w:before="120" w:after="120" w:lineRule="auto" w:line="372"/>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List of Antibiotics used for studies on </w:t>
      </w:r>
      <w:r>
        <w:rPr>
          <w:rFonts w:ascii="Times New Roman" w:cs="Times New Roman" w:hAnsi="Times New Roman"/>
          <w:b/>
          <w:color w:val="000000"/>
          <w:sz w:val="24"/>
          <w:szCs w:val="24"/>
        </w:rPr>
        <w:t>antimicrobial resistance</w:t>
      </w:r>
    </w:p>
    <w:tbl>
      <w:tblPr>
        <w:tblStyle w:val="style154"/>
        <w:tblW w:w="0" w:type="auto"/>
        <w:jc w:val="center"/>
        <w:tblLook w:val="04A0" w:firstRow="1" w:lastRow="0" w:firstColumn="1" w:lastColumn="0" w:noHBand="0" w:noVBand="1"/>
      </w:tblPr>
      <w:tblGrid>
        <w:gridCol w:w="1656"/>
        <w:gridCol w:w="2404"/>
        <w:gridCol w:w="1610"/>
        <w:gridCol w:w="1812"/>
        <w:gridCol w:w="2095"/>
      </w:tblGrid>
      <w:tr>
        <w:trPr>
          <w:jc w:val="center"/>
        </w:trPr>
        <w:tc>
          <w:tcPr>
            <w:tcW w:w="918" w:type="dxa"/>
            <w:tcBorders/>
          </w:tcPr>
          <w:p>
            <w:pPr>
              <w:pStyle w:val="style0"/>
              <w:spacing w:before="80" w:after="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w:t>
            </w:r>
            <w:r>
              <w:rPr>
                <w:rFonts w:ascii="Times New Roman" w:cs="Times New Roman" w:hAnsi="Times New Roman"/>
                <w:b/>
                <w:color w:val="000000"/>
                <w:sz w:val="24"/>
                <w:szCs w:val="24"/>
              </w:rPr>
              <w:t>N.</w:t>
            </w:r>
          </w:p>
        </w:tc>
        <w:tc>
          <w:tcPr>
            <w:tcW w:w="2880" w:type="dxa"/>
            <w:tcBorders/>
          </w:tcPr>
          <w:p>
            <w:pPr>
              <w:pStyle w:val="style0"/>
              <w:spacing w:before="80" w:after="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Antibiotics</w:t>
            </w:r>
          </w:p>
        </w:tc>
        <w:tc>
          <w:tcPr>
            <w:tcW w:w="1601" w:type="dxa"/>
            <w:tcBorders/>
          </w:tcPr>
          <w:p>
            <w:pPr>
              <w:pStyle w:val="style0"/>
              <w:spacing w:before="80" w:after="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Ab</w:t>
            </w:r>
            <w:r>
              <w:rPr>
                <w:rFonts w:ascii="Times New Roman" w:cs="Times New Roman" w:hAnsi="Times New Roman"/>
                <w:b/>
                <w:color w:val="000000"/>
                <w:sz w:val="24"/>
                <w:szCs w:val="24"/>
              </w:rPr>
              <w:t>b</w:t>
            </w:r>
            <w:r>
              <w:rPr>
                <w:rFonts w:ascii="Times New Roman" w:cs="Times New Roman" w:hAnsi="Times New Roman"/>
                <w:b/>
                <w:color w:val="000000"/>
                <w:sz w:val="24"/>
                <w:szCs w:val="24"/>
              </w:rPr>
              <w:t>reviation</w:t>
            </w:r>
          </w:p>
        </w:tc>
        <w:tc>
          <w:tcPr>
            <w:tcW w:w="1865" w:type="dxa"/>
            <w:tcBorders/>
          </w:tcPr>
          <w:p>
            <w:pPr>
              <w:pStyle w:val="style0"/>
              <w:spacing w:before="80" w:after="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Concentration</w:t>
            </w:r>
          </w:p>
        </w:tc>
        <w:tc>
          <w:tcPr>
            <w:tcW w:w="1910" w:type="dxa"/>
            <w:tcBorders/>
          </w:tcPr>
          <w:p>
            <w:pPr>
              <w:pStyle w:val="style0"/>
              <w:spacing w:before="80" w:after="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Class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Sulphamethizole</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SM</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300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Sulphonamide</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Nalidixic acid</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NA</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30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Quinolone</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Oxytetracycline</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O</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30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Tetracyclines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PenicillinG</w:t>
            </w:r>
          </w:p>
        </w:tc>
        <w:tc>
          <w:tcPr>
            <w:tcW w:w="1601" w:type="dxa"/>
            <w:tcBorders/>
          </w:tcPr>
          <w:p>
            <w:pPr>
              <w:pStyle w:val="style0"/>
              <w:spacing w:before="80" w:after="80"/>
              <w:jc w:val="center"/>
              <w:rPr>
                <w:rFonts w:ascii="Times New Roman" w:cs="Times New Roman" w:hAnsi="Times New Roman"/>
                <w:color w:val="000000"/>
                <w:sz w:val="24"/>
                <w:szCs w:val="24"/>
                <w:vertAlign w:val="superscript"/>
              </w:rPr>
            </w:pPr>
            <w:r>
              <w:rPr>
                <w:rFonts w:ascii="Times New Roman" w:cs="Times New Roman" w:hAnsi="Times New Roman"/>
                <w:color w:val="000000"/>
                <w:sz w:val="24"/>
                <w:szCs w:val="24"/>
              </w:rPr>
              <w:t>P</w:t>
            </w:r>
            <w:r>
              <w:rPr>
                <w:rFonts w:ascii="Times New Roman" w:cs="Times New Roman" w:hAnsi="Times New Roman"/>
                <w:color w:val="000000"/>
                <w:sz w:val="24"/>
                <w:szCs w:val="24"/>
                <w:vertAlign w:val="superscript"/>
              </w:rPr>
              <w:t>Z</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10 unit/disc</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Penicillin</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Ampicillin/ cloxacillin</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AX</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10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Penicillin</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Ciprofloxacillin</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CIP</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10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bCs/>
                <w:color w:val="000000"/>
                <w:sz w:val="24"/>
                <w:szCs w:val="24"/>
              </w:rPr>
              <w:t>Fluoroquinolones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Enrofloxacine</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EX</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05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bCs/>
                <w:color w:val="000000"/>
                <w:sz w:val="24"/>
                <w:szCs w:val="24"/>
              </w:rPr>
              <w:t>Fluoroquinolones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Cefotaxim</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CTX</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30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Cephalosporins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Amikacin</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AK</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10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Aminoglycosides</w:t>
            </w:r>
          </w:p>
        </w:tc>
      </w:tr>
      <w:tr>
        <w:tblPrEx/>
        <w:trPr>
          <w:jc w:val="center"/>
        </w:trPr>
        <w:tc>
          <w:tcPr>
            <w:tcW w:w="918" w:type="dxa"/>
            <w:tcBorders/>
          </w:tcPr>
          <w:p>
            <w:pPr>
              <w:pStyle w:val="style179"/>
              <w:numPr>
                <w:ilvl w:val="0"/>
                <w:numId w:val="1"/>
              </w:numPr>
              <w:spacing w:before="80" w:after="80"/>
              <w:contextualSpacing w:val="false"/>
              <w:rPr>
                <w:rFonts w:ascii="Times New Roman" w:cs="Times New Roman" w:hAnsi="Times New Roman"/>
                <w:color w:val="000000"/>
                <w:sz w:val="24"/>
                <w:szCs w:val="24"/>
              </w:rPr>
            </w:pPr>
          </w:p>
        </w:tc>
        <w:tc>
          <w:tcPr>
            <w:tcW w:w="288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Gentamicin</w:t>
            </w:r>
          </w:p>
        </w:tc>
        <w:tc>
          <w:tcPr>
            <w:tcW w:w="1601" w:type="dxa"/>
            <w:tcBorders/>
          </w:tcPr>
          <w:p>
            <w:pPr>
              <w:pStyle w:val="style0"/>
              <w:spacing w:before="80" w:after="80"/>
              <w:jc w:val="center"/>
              <w:rPr>
                <w:rFonts w:ascii="Times New Roman" w:cs="Times New Roman" w:hAnsi="Times New Roman"/>
                <w:color w:val="000000"/>
                <w:sz w:val="24"/>
                <w:szCs w:val="24"/>
              </w:rPr>
            </w:pPr>
            <w:r>
              <w:rPr>
                <w:rFonts w:ascii="Times New Roman" w:cs="Times New Roman" w:hAnsi="Times New Roman"/>
                <w:color w:val="000000"/>
                <w:sz w:val="24"/>
                <w:szCs w:val="24"/>
              </w:rPr>
              <w:t>GEN</w:t>
            </w:r>
          </w:p>
        </w:tc>
        <w:tc>
          <w:tcPr>
            <w:tcW w:w="1865"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10 mcg</w:t>
            </w:r>
          </w:p>
        </w:tc>
        <w:tc>
          <w:tcPr>
            <w:tcW w:w="1910" w:type="dxa"/>
            <w:tcBorders/>
          </w:tcPr>
          <w:p>
            <w:pPr>
              <w:pStyle w:val="style0"/>
              <w:spacing w:before="80" w:after="80"/>
              <w:rPr>
                <w:rFonts w:ascii="Times New Roman" w:cs="Times New Roman" w:hAnsi="Times New Roman"/>
                <w:color w:val="000000"/>
                <w:sz w:val="24"/>
                <w:szCs w:val="24"/>
              </w:rPr>
            </w:pPr>
            <w:r>
              <w:rPr>
                <w:rFonts w:ascii="Times New Roman" w:cs="Times New Roman" w:hAnsi="Times New Roman"/>
                <w:color w:val="000000"/>
                <w:sz w:val="24"/>
                <w:szCs w:val="24"/>
              </w:rPr>
              <w:t>Aminoglycoside</w:t>
            </w:r>
          </w:p>
        </w:tc>
      </w:tr>
    </w:tbl>
    <w:p>
      <w:pPr>
        <w:pStyle w:val="style0"/>
        <w:autoSpaceDE w:val="false"/>
        <w:autoSpaceDN w:val="false"/>
        <w:adjustRightInd w:val="false"/>
        <w:spacing w:before="120" w:after="120" w:lineRule="auto" w:line="372"/>
        <w:jc w:val="both"/>
        <w:rPr>
          <w:rFonts w:ascii="Times New Roman" w:cs="Times New Roman" w:hAnsi="Times New Roman"/>
          <w:sz w:val="24"/>
          <w:szCs w:val="24"/>
        </w:rPr>
      </w:pPr>
      <w:r>
        <w:rPr>
          <w:rFonts w:ascii="Times New Roman" w:cs="Times New Roman" w:hAnsi="Times New Roman"/>
          <w:color w:val="000000"/>
          <w:sz w:val="24"/>
          <w:szCs w:val="24"/>
        </w:rPr>
        <w:tab/>
      </w:r>
    </w:p>
    <w:p>
      <w:pPr>
        <w:pStyle w:val="style0"/>
        <w:autoSpaceDE w:val="false"/>
        <w:autoSpaceDN w:val="false"/>
        <w:adjustRightInd w:val="false"/>
        <w:spacing w:before="120" w:after="120" w:lineRule="auto" w:line="372"/>
        <w:ind w:firstLine="720"/>
        <w:jc w:val="both"/>
        <w:rPr>
          <w:rFonts w:ascii="Times New Roman" w:cs="Times New Roman" w:hAnsi="Times New Roman"/>
          <w:sz w:val="24"/>
          <w:szCs w:val="24"/>
        </w:rPr>
      </w:pPr>
      <w:r>
        <w:rPr>
          <w:rFonts w:ascii="Times New Roman" w:cs="Times New Roman" w:hAnsi="Times New Roman"/>
          <w:sz w:val="24"/>
          <w:szCs w:val="24"/>
        </w:rPr>
        <w:t xml:space="preserve">The assay was conducted on Mueller-Hinton agar plates supplemented with Campylobacter growth supplement (FD009). Campylobacter cultures stored in a -80ºC freezer were revived on modified charcoal </w:t>
      </w:r>
      <w:r>
        <w:rPr>
          <w:rFonts w:ascii="Times New Roman" w:cs="Times New Roman" w:hAnsi="Times New Roman"/>
          <w:sz w:val="24"/>
          <w:szCs w:val="24"/>
        </w:rPr>
        <w:t>cefoperazone</w:t>
      </w:r>
      <w:r>
        <w:rPr>
          <w:rFonts w:ascii="Times New Roman" w:cs="Times New Roman" w:hAnsi="Times New Roman"/>
          <w:sz w:val="24"/>
          <w:szCs w:val="24"/>
        </w:rPr>
        <w:t xml:space="preserve"> </w:t>
      </w:r>
      <w:r>
        <w:rPr>
          <w:rFonts w:ascii="Times New Roman" w:cs="Times New Roman" w:hAnsi="Times New Roman"/>
          <w:sz w:val="24"/>
          <w:szCs w:val="24"/>
        </w:rPr>
        <w:t>deoxycholate</w:t>
      </w:r>
      <w:r>
        <w:rPr>
          <w:rFonts w:ascii="Times New Roman" w:cs="Times New Roman" w:hAnsi="Times New Roman"/>
          <w:sz w:val="24"/>
          <w:szCs w:val="24"/>
        </w:rPr>
        <w:t xml:space="preserve"> agar (</w:t>
      </w:r>
      <w:r>
        <w:rPr>
          <w:rFonts w:ascii="Times New Roman" w:cs="Times New Roman" w:hAnsi="Times New Roman"/>
          <w:sz w:val="24"/>
          <w:szCs w:val="24"/>
        </w:rPr>
        <w:t>mCCDA</w:t>
      </w:r>
      <w:r>
        <w:rPr>
          <w:rFonts w:ascii="Times New Roman" w:cs="Times New Roman" w:hAnsi="Times New Roman"/>
          <w:sz w:val="24"/>
          <w:szCs w:val="24"/>
        </w:rPr>
        <w:t xml:space="preserve">) plates following isolation conditions. For each Campylobacter isolate included in antimicrobial susceptibility </w:t>
      </w:r>
      <w:r>
        <w:rPr>
          <w:rFonts w:ascii="Times New Roman" w:cs="Times New Roman" w:hAnsi="Times New Roman"/>
          <w:sz w:val="24"/>
          <w:szCs w:val="24"/>
        </w:rPr>
        <w:t>testing (ABST), a McFarland standard (0.5) was prepared. In brief, a loopful of fresh culture was inoculated in 3 ml of phosphate-buffered saline (PBS) and thoroughly mixed. The turbidity of the suspension was matched with 0.5 McFarland standard solutions. Subsequently, a sterile swab was dipped in the culture suspension and swabbed over the entire surface of Mueller-Hinton agar supplemented with Campylobacter growth supplement (FD009). Antibiotic disks were placed on the agar plates using sterile forceps, and the plates were then incubated under microaerophilic conditions at 42°C for 48 hours in a CO2 incubator.</w:t>
      </w:r>
    </w:p>
    <w:p>
      <w:pPr>
        <w:pStyle w:val="style0"/>
        <w:autoSpaceDE w:val="false"/>
        <w:autoSpaceDN w:val="false"/>
        <w:adjustRightInd w:val="false"/>
        <w:spacing w:before="120" w:after="120" w:lineRule="auto" w:line="372"/>
        <w:ind w:firstLine="720"/>
        <w:jc w:val="both"/>
        <w:rPr>
          <w:rFonts w:ascii="Times New Roman" w:cs="Times New Roman" w:hAnsi="Times New Roman"/>
          <w:sz w:val="24"/>
          <w:szCs w:val="24"/>
        </w:rPr>
      </w:pPr>
      <w:r>
        <w:rPr>
          <w:rFonts w:ascii="Times New Roman" w:cs="Times New Roman" w:hAnsi="Times New Roman"/>
          <w:sz w:val="24"/>
          <w:szCs w:val="24"/>
        </w:rPr>
        <w:t>Following incubation, the zone of inhibition (ZOI) around each antibiotic disk was measured in millimeters, and breakpoints were interpreted based on the recommendations of the Clinical and Laboratory Standards Institute (CLSI) for disk diffusion assays. Isolates showing resistance to three or more classes of antimicrobials were categorized as multidrug-resistant (MDR). Isolates with an intermediate level of resistance were classified as susceptible to prevent the overestimation of resistance.</w:t>
      </w:r>
    </w:p>
    <w:p>
      <w:pPr>
        <w:pStyle w:val="style0"/>
        <w:autoSpaceDE w:val="false"/>
        <w:autoSpaceDN w:val="false"/>
        <w:adjustRightInd w:val="false"/>
        <w:spacing w:before="120" w:after="120" w:lineRule="auto" w:line="372"/>
        <w:ind w:firstLine="720"/>
        <w:jc w:val="both"/>
        <w:rPr>
          <w:rFonts w:ascii="Times New Roman" w:cs="Times New Roman" w:hAnsi="Times New Roman"/>
          <w:sz w:val="24"/>
          <w:szCs w:val="24"/>
        </w:rPr>
      </w:pPr>
      <w:r>
        <w:rPr>
          <w:rFonts w:ascii="Times New Roman" w:cs="Times New Roman" w:hAnsi="Times New Roman"/>
          <w:sz w:val="24"/>
          <w:szCs w:val="24"/>
        </w:rPr>
        <w:t xml:space="preserve">The prevalence data of </w:t>
      </w:r>
      <w:r>
        <w:rPr>
          <w:rFonts w:ascii="Times New Roman" w:cs="Times New Roman" w:hAnsi="Times New Roman"/>
          <w:i/>
          <w:sz w:val="24"/>
          <w:szCs w:val="24"/>
        </w:rPr>
        <w:t>Campylobacter spp.</w:t>
      </w:r>
      <w:r>
        <w:rPr>
          <w:rFonts w:ascii="Times New Roman" w:cs="Times New Roman" w:hAnsi="Times New Roman"/>
          <w:sz w:val="24"/>
          <w:szCs w:val="24"/>
        </w:rPr>
        <w:t xml:space="preserve"> recovered from each culture media was statistically compared by one way analysis of variance followed by least significance difference through Duncan’s Merit Range Teat (DMRT). The analyses were carried out using SPSS version 26 statistical programme. Data were </w:t>
      </w:r>
      <w:r>
        <w:rPr>
          <w:rFonts w:ascii="Times New Roman" w:cs="Times New Roman" w:hAnsi="Times New Roman"/>
          <w:sz w:val="24"/>
          <w:szCs w:val="24"/>
        </w:rPr>
        <w:t>analyzed</w:t>
      </w:r>
      <w:r>
        <w:rPr>
          <w:rFonts w:ascii="Times New Roman" w:cs="Times New Roman" w:hAnsi="Times New Roman"/>
          <w:sz w:val="24"/>
          <w:szCs w:val="24"/>
        </w:rPr>
        <w:t xml:space="preserve"> with</w:t>
      </w:r>
      <w:r>
        <w:rPr>
          <w:rFonts w:ascii="Times New Roman" w:cs="Times New Roman" w:hAnsi="Times New Roman"/>
          <w:sz w:val="24"/>
          <w:szCs w:val="24"/>
        </w:rPr>
        <w:t xml:space="preserve"> </w:t>
      </w:r>
      <w:r>
        <w:rPr>
          <w:rFonts w:ascii="Times New Roman" w:cs="Times New Roman" w:hAnsi="Times New Roman"/>
          <w:sz w:val="24"/>
          <w:szCs w:val="24"/>
        </w:rPr>
        <w:t>Pearson’s chi-square test (χ</w:t>
      </w:r>
      <w:r>
        <w:rPr>
          <w:rFonts w:ascii="Times New Roman" w:cs="Times New Roman" w:hAnsi="Times New Roman"/>
          <w:sz w:val="24"/>
          <w:szCs w:val="24"/>
          <w:vertAlign w:val="superscript"/>
        </w:rPr>
        <w:t>2</w:t>
      </w:r>
      <w:r>
        <w:rPr>
          <w:rFonts w:ascii="Times New Roman" w:cs="Times New Roman" w:hAnsi="Times New Roman"/>
          <w:sz w:val="24"/>
          <w:szCs w:val="24"/>
        </w:rPr>
        <w:t xml:space="preserve">) to known the significant differences among groups and </w:t>
      </w:r>
      <w:r>
        <w:rPr>
          <w:rFonts w:ascii="Times New Roman" w:cs="Times New Roman" w:hAnsi="Times New Roman"/>
          <w:i/>
          <w:sz w:val="24"/>
          <w:szCs w:val="24"/>
        </w:rPr>
        <w:t>Campylobacter</w:t>
      </w:r>
      <w:r>
        <w:rPr>
          <w:rFonts w:ascii="Times New Roman" w:cs="Times New Roman" w:hAnsi="Times New Roman"/>
          <w:sz w:val="24"/>
          <w:szCs w:val="24"/>
        </w:rPr>
        <w:t xml:space="preserve"> species detection by using R software version 3.6.1.</w:t>
      </w:r>
    </w:p>
    <w:p>
      <w:pPr>
        <w:pStyle w:val="style0"/>
        <w:autoSpaceDE w:val="false"/>
        <w:autoSpaceDN w:val="false"/>
        <w:adjustRightInd w:val="false"/>
        <w:spacing w:before="120" w:after="120" w:lineRule="auto" w:line="372"/>
        <w:jc w:val="both"/>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157"/>
        <w:spacing w:before="120" w:after="120" w:lineRule="auto" w:line="372"/>
        <w:ind w:firstLine="720"/>
        <w:jc w:val="both"/>
        <w:rPr>
          <w:rFonts w:ascii="Times New Roman" w:hAnsi="Times New Roman"/>
          <w:sz w:val="24"/>
          <w:szCs w:val="24"/>
        </w:rPr>
      </w:pPr>
      <w:r>
        <w:rPr>
          <w:rFonts w:ascii="Times New Roman" w:hAnsi="Times New Roman"/>
          <w:sz w:val="24"/>
          <w:szCs w:val="24"/>
        </w:rPr>
        <w:t>Out of 521 samples processed only 61</w:t>
      </w:r>
      <w:r>
        <w:rPr>
          <w:rFonts w:ascii="Times New Roman" w:cs="Times New Roman" w:eastAsia="TimesNewRomanPS-BoldMT" w:hAnsi="Times New Roman"/>
          <w:bCs/>
          <w:sz w:val="24"/>
          <w:szCs w:val="24"/>
        </w:rPr>
        <w:t>samples (</w:t>
      </w:r>
      <w:r>
        <w:rPr>
          <w:rFonts w:ascii="Times New Roman" w:cs="Times New Roman" w:eastAsia="TimesNewRomanPS-BoldMT" w:hAnsi="Times New Roman"/>
          <w:b/>
          <w:bCs/>
          <w:sz w:val="24"/>
          <w:szCs w:val="24"/>
        </w:rPr>
        <w:t>n=36-</w:t>
      </w:r>
      <w:r>
        <w:rPr>
          <w:rFonts w:ascii="Times New Roman" w:cs="Times New Roman" w:eastAsia="TimesNewRomanPS-BoldMT" w:hAnsi="Times New Roman"/>
          <w:b/>
          <w:bCs/>
          <w:i/>
          <w:sz w:val="24"/>
          <w:szCs w:val="24"/>
        </w:rPr>
        <w:t>Campylobacter jejuni</w:t>
      </w:r>
      <w:r>
        <w:rPr>
          <w:rFonts w:ascii="Times New Roman" w:cs="Times New Roman" w:eastAsia="TimesNewRomanPS-BoldMT" w:hAnsi="Times New Roman"/>
          <w:b/>
          <w:bCs/>
          <w:sz w:val="24"/>
          <w:szCs w:val="24"/>
        </w:rPr>
        <w:t xml:space="preserve"> and n=25 </w:t>
      </w:r>
      <w:r>
        <w:rPr>
          <w:rFonts w:ascii="Times New Roman" w:cs="Times New Roman" w:eastAsia="TimesNewRomanPS-BoldMT" w:hAnsi="Times New Roman"/>
          <w:b/>
          <w:bCs/>
          <w:i/>
          <w:sz w:val="24"/>
          <w:szCs w:val="24"/>
        </w:rPr>
        <w:t>Campylobacter coli</w:t>
      </w:r>
      <w:r>
        <w:rPr>
          <w:rFonts w:ascii="Times New Roman" w:cs="Times New Roman" w:eastAsia="TimesNewRomanPS-BoldMT" w:hAnsi="Times New Roman"/>
          <w:b/>
          <w:bCs/>
          <w:i/>
          <w:sz w:val="24"/>
          <w:szCs w:val="24"/>
        </w:rPr>
        <w:t>)</w:t>
      </w:r>
      <w:r>
        <w:rPr>
          <w:rFonts w:ascii="Times New Roman" w:cs="Times New Roman" w:eastAsia="TimesNewRomanPS-BoldMT" w:hAnsi="Times New Roman"/>
          <w:bCs/>
          <w:sz w:val="24"/>
          <w:szCs w:val="24"/>
        </w:rPr>
        <w:t xml:space="preserve"> were isolated on the basis of growth performances and colonies characteristics in selected media, biochemical tests and molecular test (multiplex PCR).</w:t>
      </w:r>
    </w:p>
    <w:p>
      <w:pPr>
        <w:pStyle w:val="style157"/>
        <w:spacing w:before="120" w:after="120" w:lineRule="auto" w:line="372"/>
        <w:ind w:firstLine="720"/>
        <w:jc w:val="both"/>
        <w:rPr>
          <w:rFonts w:ascii="Times New Roman" w:hAnsi="Times New Roman"/>
          <w:b/>
          <w:sz w:val="24"/>
          <w:szCs w:val="24"/>
        </w:rPr>
      </w:pPr>
      <w:r>
        <w:rPr>
          <w:rFonts w:ascii="Times New Roman" w:hAnsi="Times New Roman"/>
          <w:sz w:val="24"/>
          <w:szCs w:val="24"/>
        </w:rPr>
        <w:t xml:space="preserve">Since there is </w:t>
      </w:r>
      <w:commentRangeStart w:id="10"/>
      <w:r>
        <w:rPr>
          <w:rFonts w:ascii="Times New Roman" w:hAnsi="Times New Roman"/>
          <w:sz w:val="24"/>
          <w:szCs w:val="24"/>
        </w:rPr>
        <w:t>absence</w:t>
      </w:r>
      <w:commentRangeEnd w:id="10"/>
      <w:r>
        <w:rPr>
          <w:rStyle w:val="style39"/>
          <w:lang w:val="en-US" w:eastAsia="en-US"/>
        </w:rPr>
        <w:commentReference w:id="10"/>
      </w:r>
      <w:r>
        <w:rPr>
          <w:rFonts w:ascii="Times New Roman" w:hAnsi="Times New Roman"/>
          <w:sz w:val="24"/>
          <w:szCs w:val="24"/>
        </w:rPr>
        <w:t xml:space="preserve"> of performance standards for Antimicrobial Disk susceptibility tests of </w:t>
      </w:r>
      <w:r>
        <w:rPr>
          <w:rFonts w:ascii="Times New Roman" w:hAnsi="Times New Roman"/>
          <w:i/>
          <w:sz w:val="24"/>
          <w:szCs w:val="24"/>
        </w:rPr>
        <w:t>Campylobacter</w:t>
      </w:r>
      <w:r>
        <w:rPr>
          <w:rFonts w:ascii="Times New Roman" w:hAnsi="Times New Roman"/>
          <w:sz w:val="24"/>
          <w:szCs w:val="24"/>
        </w:rPr>
        <w:t xml:space="preserve"> species in CLSI (Clinical and Laboratory Standard Institute, USA) and EUCAST (The European Committee on Antimicrobial Susceptibility Testing, UK) </w:t>
      </w:r>
      <w:commentRangeStart w:id="11"/>
      <w:r>
        <w:rPr>
          <w:rFonts w:ascii="Times New Roman" w:hAnsi="Times New Roman"/>
          <w:sz w:val="24"/>
          <w:szCs w:val="24"/>
        </w:rPr>
        <w:t xml:space="preserve">hence </w:t>
      </w:r>
      <w:commentRangeEnd w:id="11"/>
      <w:r>
        <w:rPr>
          <w:rStyle w:val="style39"/>
          <w:lang w:val="en-US" w:eastAsia="en-US"/>
        </w:rPr>
        <w:commentReference w:id="11"/>
      </w:r>
      <w:r>
        <w:rPr>
          <w:rFonts w:ascii="Times New Roman" w:hAnsi="Times New Roman"/>
          <w:sz w:val="24"/>
          <w:szCs w:val="24"/>
        </w:rPr>
        <w:t xml:space="preserve">standard for </w:t>
      </w:r>
      <w:r>
        <w:rPr>
          <w:rFonts w:ascii="Times New Roman" w:hAnsi="Times New Roman"/>
          <w:i/>
          <w:sz w:val="24"/>
          <w:szCs w:val="24"/>
        </w:rPr>
        <w:t>Enterobacterales</w:t>
      </w:r>
      <w:r>
        <w:rPr>
          <w:rFonts w:ascii="Times New Roman" w:hAnsi="Times New Roman"/>
          <w:i/>
          <w:sz w:val="24"/>
          <w:szCs w:val="24"/>
        </w:rPr>
        <w:t xml:space="preserve"> </w:t>
      </w:r>
      <w:r>
        <w:rPr>
          <w:rFonts w:ascii="Times New Roman" w:hAnsi="Times New Roman"/>
          <w:sz w:val="24"/>
          <w:szCs w:val="24"/>
        </w:rPr>
        <w:t>(</w:t>
      </w:r>
      <w:r>
        <w:rPr>
          <w:rFonts w:ascii="Times New Roman" w:hAnsi="Times New Roman"/>
          <w:i/>
          <w:sz w:val="24"/>
          <w:szCs w:val="24"/>
        </w:rPr>
        <w:t>E. coli,</w:t>
      </w:r>
      <w:r>
        <w:rPr>
          <w:rFonts w:ascii="Times New Roman" w:hAnsi="Times New Roman"/>
          <w:sz w:val="24"/>
          <w:szCs w:val="24"/>
        </w:rPr>
        <w:t xml:space="preserve"> ATCC 25922) were used for </w:t>
      </w:r>
      <w:r>
        <w:rPr>
          <w:rFonts w:ascii="Times New Roman" w:hAnsi="Times New Roman"/>
          <w:i/>
          <w:sz w:val="24"/>
          <w:szCs w:val="24"/>
        </w:rPr>
        <w:t>Campylobacter</w:t>
      </w:r>
      <w:r>
        <w:rPr>
          <w:rFonts w:ascii="Times New Roman" w:hAnsi="Times New Roman"/>
          <w:sz w:val="24"/>
          <w:szCs w:val="24"/>
        </w:rPr>
        <w:t xml:space="preserve"> species. The details of antibiotics such as concentration of disc, class of antibiotics and their zone size interpretative value (in mm) are mentioned in </w:t>
      </w:r>
      <w:r>
        <w:rPr>
          <w:rFonts w:ascii="Times New Roman" w:hAnsi="Times New Roman"/>
          <w:b/>
          <w:sz w:val="24"/>
          <w:szCs w:val="24"/>
        </w:rPr>
        <w:t>Table-</w:t>
      </w:r>
      <w:r>
        <w:rPr>
          <w:rFonts w:ascii="Times New Roman" w:hAnsi="Times New Roman"/>
          <w:b/>
          <w:sz w:val="24"/>
          <w:szCs w:val="24"/>
        </w:rPr>
        <w:t>0</w:t>
      </w:r>
      <w:r>
        <w:rPr>
          <w:rFonts w:ascii="Times New Roman" w:hAnsi="Times New Roman"/>
          <w:b/>
          <w:sz w:val="24"/>
          <w:szCs w:val="24"/>
        </w:rPr>
        <w:t xml:space="preserve">2. </w:t>
      </w:r>
    </w:p>
    <w:p>
      <w:pPr>
        <w:pStyle w:val="style157"/>
        <w:spacing w:before="120" w:after="120" w:lineRule="auto" w:line="372"/>
        <w:rPr>
          <w:rFonts w:ascii="Times New Roman" w:hAnsi="Times New Roman"/>
          <w:b/>
          <w:sz w:val="24"/>
          <w:szCs w:val="24"/>
        </w:rPr>
      </w:pPr>
      <w:r>
        <w:rPr>
          <w:rFonts w:ascii="Times New Roman" w:hAnsi="Times New Roman"/>
          <w:b/>
          <w:sz w:val="24"/>
          <w:szCs w:val="24"/>
        </w:rPr>
        <w:t>Table</w:t>
      </w:r>
      <w:r>
        <w:rPr>
          <w:rFonts w:ascii="Times New Roman" w:hAnsi="Times New Roman"/>
          <w:b/>
          <w:sz w:val="24"/>
          <w:szCs w:val="24"/>
        </w:rPr>
        <w:t xml:space="preserve"> </w:t>
      </w:r>
      <w:r>
        <w:rPr>
          <w:rFonts w:ascii="Times New Roman" w:hAnsi="Times New Roman"/>
          <w:b/>
          <w:sz w:val="24"/>
          <w:szCs w:val="24"/>
        </w:rPr>
        <w:t>0</w:t>
      </w:r>
      <w:r>
        <w:rPr>
          <w:rFonts w:ascii="Times New Roman" w:hAnsi="Times New Roman"/>
          <w:b/>
          <w:sz w:val="24"/>
          <w:szCs w:val="24"/>
        </w:rPr>
        <w:t>2: Details of Antibiotics used in the present study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1869"/>
        <w:gridCol w:w="866"/>
        <w:gridCol w:w="1860"/>
        <w:gridCol w:w="1076"/>
        <w:gridCol w:w="1380"/>
        <w:gridCol w:w="1057"/>
        <w:gridCol w:w="876"/>
      </w:tblGrid>
      <w:tr>
        <w:trPr>
          <w:trHeight w:val="811" w:hRule="atLeast"/>
        </w:trPr>
        <w:tc>
          <w:tcPr>
            <w:tcW w:w="333" w:type="pct"/>
            <w:tcBorders/>
          </w:tcPr>
          <w:p>
            <w:pPr>
              <w:pStyle w:val="style0"/>
              <w:spacing w:before="120" w:after="120" w:lineRule="auto" w:line="240"/>
              <w:ind w:left="-58" w:right="-58"/>
              <w:rPr>
                <w:rFonts w:ascii="Times New Roman" w:hAnsi="Times New Roman"/>
                <w:b/>
                <w:szCs w:val="24"/>
              </w:rPr>
            </w:pPr>
            <w:r>
              <w:rPr>
                <w:rFonts w:ascii="Times New Roman" w:hAnsi="Times New Roman"/>
                <w:b/>
                <w:szCs w:val="24"/>
              </w:rPr>
              <w:t>S.N.</w:t>
            </w:r>
          </w:p>
        </w:tc>
        <w:tc>
          <w:tcPr>
            <w:tcW w:w="1019" w:type="pct"/>
            <w:tcBorders/>
          </w:tcPr>
          <w:p>
            <w:pPr>
              <w:pStyle w:val="style0"/>
              <w:spacing w:before="120" w:after="120" w:lineRule="auto" w:line="240"/>
              <w:ind w:left="-58" w:right="-58"/>
              <w:rPr>
                <w:rFonts w:ascii="Times New Roman" w:hAnsi="Times New Roman"/>
                <w:b/>
                <w:szCs w:val="24"/>
              </w:rPr>
            </w:pPr>
            <w:r>
              <w:rPr>
                <w:rFonts w:ascii="Times New Roman" w:hAnsi="Times New Roman"/>
                <w:b/>
                <w:szCs w:val="24"/>
              </w:rPr>
              <w:t>Antibiotics</w:t>
            </w:r>
          </w:p>
        </w:tc>
        <w:tc>
          <w:tcPr>
            <w:tcW w:w="485" w:type="pct"/>
            <w:tcBorders/>
          </w:tcPr>
          <w:p>
            <w:pPr>
              <w:pStyle w:val="style0"/>
              <w:spacing w:before="120" w:after="120" w:lineRule="auto" w:line="240"/>
              <w:ind w:left="-58" w:right="-58"/>
              <w:rPr>
                <w:rFonts w:ascii="Times New Roman" w:hAnsi="Times New Roman"/>
                <w:b/>
                <w:szCs w:val="24"/>
              </w:rPr>
            </w:pPr>
            <w:r>
              <w:rPr>
                <w:rFonts w:ascii="Times New Roman" w:hAnsi="Times New Roman"/>
                <w:b/>
                <w:szCs w:val="24"/>
              </w:rPr>
              <w:t>Conc./ disc</w:t>
            </w:r>
          </w:p>
        </w:tc>
        <w:tc>
          <w:tcPr>
            <w:tcW w:w="985" w:type="pct"/>
            <w:tcBorders/>
          </w:tcPr>
          <w:p>
            <w:pPr>
              <w:pStyle w:val="style0"/>
              <w:spacing w:before="120" w:after="120" w:lineRule="auto" w:line="240"/>
              <w:ind w:left="-58" w:right="-58"/>
              <w:rPr>
                <w:rFonts w:ascii="Times New Roman" w:hAnsi="Times New Roman"/>
                <w:b/>
                <w:szCs w:val="24"/>
              </w:rPr>
            </w:pPr>
            <w:r>
              <w:rPr>
                <w:rFonts w:ascii="Times New Roman" w:hAnsi="Times New Roman"/>
                <w:b/>
                <w:szCs w:val="24"/>
              </w:rPr>
              <w:t>Class</w:t>
            </w:r>
          </w:p>
        </w:tc>
        <w:tc>
          <w:tcPr>
            <w:tcW w:w="582" w:type="pct"/>
            <w:tcBorders/>
          </w:tcPr>
          <w:p>
            <w:pPr>
              <w:pStyle w:val="style157"/>
              <w:spacing w:before="120" w:after="120"/>
              <w:ind w:left="-58" w:right="-58"/>
              <w:jc w:val="center"/>
              <w:rPr>
                <w:rFonts w:ascii="Times New Roman" w:hAnsi="Times New Roman"/>
                <w:b/>
                <w:szCs w:val="24"/>
              </w:rPr>
            </w:pPr>
            <w:r>
              <w:rPr>
                <w:rFonts w:ascii="Times New Roman" w:hAnsi="Times New Roman"/>
                <w:b/>
                <w:szCs w:val="24"/>
              </w:rPr>
              <w:t>Sensitive</w:t>
            </w:r>
            <w:r>
              <w:rPr>
                <w:rFonts w:ascii="Times New Roman" w:hAnsi="Times New Roman"/>
                <w:b/>
                <w:szCs w:val="24"/>
              </w:rPr>
              <w:t xml:space="preserve"> </w:t>
            </w:r>
            <w:r>
              <w:rPr>
                <w:rFonts w:ascii="Times New Roman" w:hAnsi="Times New Roman"/>
                <w:b/>
                <w:szCs w:val="24"/>
              </w:rPr>
              <w:t>(mm or more)</w:t>
            </w:r>
          </w:p>
        </w:tc>
        <w:tc>
          <w:tcPr>
            <w:tcW w:w="533" w:type="pct"/>
            <w:tcBorders/>
          </w:tcPr>
          <w:p>
            <w:pPr>
              <w:pStyle w:val="style157"/>
              <w:spacing w:before="120" w:after="120"/>
              <w:ind w:left="-58" w:right="-58"/>
              <w:jc w:val="center"/>
              <w:rPr>
                <w:rFonts w:ascii="Times New Roman" w:hAnsi="Times New Roman"/>
                <w:b/>
                <w:szCs w:val="24"/>
              </w:rPr>
            </w:pPr>
            <w:r>
              <w:rPr>
                <w:rFonts w:ascii="Times New Roman" w:hAnsi="Times New Roman"/>
                <w:b/>
                <w:szCs w:val="24"/>
              </w:rPr>
              <w:t>Intermediate</w:t>
            </w:r>
            <w:r>
              <w:rPr>
                <w:rFonts w:ascii="Times New Roman" w:hAnsi="Times New Roman"/>
                <w:b/>
                <w:szCs w:val="24"/>
              </w:rPr>
              <w:t xml:space="preserve"> </w:t>
            </w:r>
            <w:r>
              <w:rPr>
                <w:rFonts w:ascii="Times New Roman" w:hAnsi="Times New Roman"/>
                <w:b/>
                <w:szCs w:val="24"/>
              </w:rPr>
              <w:t>(mm)</w:t>
            </w:r>
          </w:p>
        </w:tc>
        <w:tc>
          <w:tcPr>
            <w:tcW w:w="555" w:type="pct"/>
            <w:tcBorders/>
          </w:tcPr>
          <w:p>
            <w:pPr>
              <w:pStyle w:val="style157"/>
              <w:spacing w:before="120" w:after="120"/>
              <w:ind w:left="-58" w:right="-58"/>
              <w:jc w:val="center"/>
              <w:rPr>
                <w:rFonts w:ascii="Times New Roman" w:hAnsi="Times New Roman"/>
                <w:b/>
                <w:szCs w:val="24"/>
              </w:rPr>
            </w:pPr>
            <w:r>
              <w:rPr>
                <w:rFonts w:ascii="Times New Roman" w:hAnsi="Times New Roman"/>
                <w:b/>
                <w:szCs w:val="24"/>
              </w:rPr>
              <w:t>Resistant (mm or less)</w:t>
            </w:r>
          </w:p>
        </w:tc>
        <w:tc>
          <w:tcPr>
            <w:tcW w:w="508" w:type="pct"/>
            <w:tcBorders/>
          </w:tcPr>
          <w:p>
            <w:pPr>
              <w:pStyle w:val="style157"/>
              <w:spacing w:before="120" w:after="120"/>
              <w:ind w:left="-58" w:right="-58"/>
              <w:jc w:val="center"/>
              <w:rPr>
                <w:rFonts w:ascii="Times New Roman" w:hAnsi="Times New Roman"/>
                <w:b/>
                <w:szCs w:val="24"/>
              </w:rPr>
            </w:pPr>
            <w:r>
              <w:rPr>
                <w:rFonts w:ascii="Times New Roman" w:hAnsi="Times New Roman"/>
                <w:b/>
                <w:i/>
                <w:szCs w:val="24"/>
              </w:rPr>
              <w:t xml:space="preserve">E. </w:t>
            </w:r>
            <w:r>
              <w:rPr>
                <w:rFonts w:ascii="Times New Roman" w:hAnsi="Times New Roman"/>
                <w:b/>
                <w:i/>
                <w:szCs w:val="24"/>
              </w:rPr>
              <w:t>c</w:t>
            </w:r>
            <w:r>
              <w:rPr>
                <w:rFonts w:ascii="Times New Roman" w:hAnsi="Times New Roman"/>
                <w:b/>
                <w:i/>
                <w:szCs w:val="24"/>
              </w:rPr>
              <w:t>oli</w:t>
            </w:r>
            <w:r>
              <w:rPr>
                <w:rFonts w:ascii="Times New Roman" w:hAnsi="Times New Roman"/>
                <w:b/>
                <w:i/>
                <w:szCs w:val="24"/>
              </w:rPr>
              <w:t xml:space="preserve"> </w:t>
            </w:r>
            <w:r>
              <w:rPr>
                <w:rFonts w:ascii="Times New Roman" w:hAnsi="Times New Roman"/>
                <w:b/>
                <w:szCs w:val="24"/>
              </w:rPr>
              <w:t>ATCC</w:t>
            </w:r>
            <w:r>
              <w:rPr>
                <w:rFonts w:ascii="Times New Roman" w:hAnsi="Times New Roman"/>
                <w:b/>
                <w:szCs w:val="24"/>
              </w:rPr>
              <w:t xml:space="preserve"> </w:t>
            </w:r>
            <w:r>
              <w:rPr>
                <w:rFonts w:ascii="Times New Roman" w:hAnsi="Times New Roman"/>
                <w:b/>
                <w:szCs w:val="24"/>
              </w:rPr>
              <w:t>25922</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1.</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Sulphamethizole</w:t>
            </w:r>
            <w:r>
              <w:rPr>
                <w:rFonts w:ascii="Times New Roman" w:hAnsi="Times New Roman"/>
                <w:szCs w:val="24"/>
              </w:rPr>
              <w:t xml:space="preserve"> (SM)</w:t>
            </w:r>
          </w:p>
        </w:tc>
        <w:tc>
          <w:tcPr>
            <w:tcW w:w="485" w:type="pct"/>
            <w:tcBorders/>
          </w:tcPr>
          <w:p>
            <w:pPr>
              <w:pStyle w:val="style0"/>
              <w:tabs>
                <w:tab w:val="left" w:leader="none" w:pos="788"/>
              </w:tabs>
              <w:spacing w:before="120" w:after="120" w:lineRule="auto" w:line="240"/>
              <w:ind w:left="-58" w:right="-58"/>
              <w:jc w:val="both"/>
              <w:rPr>
                <w:rFonts w:ascii="Times New Roman" w:hAnsi="Times New Roman"/>
                <w:szCs w:val="24"/>
              </w:rPr>
            </w:pPr>
            <w:r>
              <w:rPr>
                <w:rFonts w:ascii="Times New Roman" w:hAnsi="Times New Roman"/>
                <w:szCs w:val="24"/>
              </w:rPr>
              <w:t>300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Sulphonamide</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26</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19-25</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18</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18-26</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2.</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Nalidixic acid (NA)</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30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Quinolone</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28</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23-27</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22-28</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3.</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Ciprofloxacillin</w:t>
            </w:r>
            <w:r>
              <w:rPr>
                <w:rFonts w:ascii="Times New Roman" w:hAnsi="Times New Roman"/>
                <w:szCs w:val="24"/>
              </w:rPr>
              <w:t xml:space="preserve"> (CIP)</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10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bCs/>
                <w:szCs w:val="24"/>
              </w:rPr>
              <w:t>Fluoroquinolones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26</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22-25</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21</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21-26</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4.</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Enrofloxacine</w:t>
            </w:r>
            <w:r>
              <w:rPr>
                <w:rFonts w:ascii="Times New Roman" w:hAnsi="Times New Roman"/>
                <w:szCs w:val="24"/>
              </w:rPr>
              <w:t xml:space="preserve"> (EX)</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5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bCs/>
                <w:szCs w:val="24"/>
              </w:rPr>
              <w:t>Fluoroquinolones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40</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29-39</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30</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30-40</w:t>
            </w:r>
          </w:p>
        </w:tc>
      </w:tr>
      <w:tr>
        <w:tblPrEx/>
        <w:trPr>
          <w:trHeight w:val="280"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5.</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Oxytetracycline (O)</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30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Tetracyclines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25</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19-24</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18</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18-25</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6.</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PenicillinG</w:t>
            </w:r>
            <w:r>
              <w:rPr>
                <w:rFonts w:ascii="Times New Roman" w:hAnsi="Times New Roman"/>
                <w:szCs w:val="24"/>
              </w:rPr>
              <w:t xml:space="preserve"> (</w:t>
            </w:r>
            <w:r>
              <w:rPr>
                <w:rFonts w:ascii="Times New Roman" w:hAnsi="Times New Roman"/>
                <w:szCs w:val="24"/>
              </w:rPr>
              <w:t>P</w:t>
            </w:r>
            <w:r>
              <w:rPr>
                <w:rFonts w:ascii="Times New Roman" w:hAnsi="Times New Roman"/>
                <w:szCs w:val="24"/>
                <w:vertAlign w:val="superscript"/>
              </w:rPr>
              <w:t>z</w:t>
            </w:r>
            <w:r>
              <w:rPr>
                <w:rFonts w:ascii="Times New Roman" w:hAnsi="Times New Roman"/>
                <w:szCs w:val="24"/>
              </w:rPr>
              <w:t>)</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10 unit</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Penicillin</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30</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25-29</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24</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24-30</w:t>
            </w:r>
          </w:p>
        </w:tc>
      </w:tr>
      <w:tr>
        <w:tblPrEx/>
        <w:trPr>
          <w:trHeight w:val="531"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7.</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Ampicillin/ cloxacillin (AX)</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10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Penicillin</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17-21</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16</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16-22</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8.</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Cefotaxim (CTX)</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30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Cephalosporins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26</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23-25</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22-26</w:t>
            </w:r>
          </w:p>
        </w:tc>
      </w:tr>
      <w:tr>
        <w:tblPrEx/>
        <w:trPr>
          <w:trHeight w:val="381" w:hRule="exac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9.</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Amikacin (AK)</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10 mcg</w:t>
            </w:r>
          </w:p>
          <w:p>
            <w:pPr>
              <w:pStyle w:val="style0"/>
              <w:spacing w:before="120" w:after="120" w:lineRule="auto" w:line="240"/>
              <w:ind w:left="-58" w:right="-58"/>
              <w:jc w:val="both"/>
              <w:rPr>
                <w:rFonts w:ascii="Times New Roman" w:hAnsi="Times New Roman"/>
                <w:szCs w:val="24"/>
              </w:rPr>
            </w:pP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Aminoglycosides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23</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17-22</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16</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16-23</w:t>
            </w:r>
          </w:p>
        </w:tc>
      </w:tr>
      <w:tr>
        <w:tblPrEx/>
        <w:trPr>
          <w:trHeight w:val="265" w:hRule="atLeast"/>
        </w:trPr>
        <w:tc>
          <w:tcPr>
            <w:tcW w:w="333"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10.</w:t>
            </w:r>
          </w:p>
        </w:tc>
        <w:tc>
          <w:tcPr>
            <w:tcW w:w="1019"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Gentamicin (GEN)</w:t>
            </w:r>
          </w:p>
        </w:tc>
        <w:tc>
          <w:tcPr>
            <w:tcW w:w="485" w:type="pct"/>
            <w:tcBorders/>
          </w:tcPr>
          <w:p>
            <w:pPr>
              <w:pStyle w:val="style0"/>
              <w:spacing w:before="120" w:after="120" w:lineRule="auto" w:line="240"/>
              <w:ind w:left="-58" w:right="-58"/>
              <w:jc w:val="both"/>
              <w:rPr>
                <w:rFonts w:ascii="Times New Roman" w:hAnsi="Times New Roman"/>
                <w:szCs w:val="24"/>
              </w:rPr>
            </w:pPr>
            <w:r>
              <w:rPr>
                <w:rFonts w:ascii="Times New Roman" w:hAnsi="Times New Roman"/>
                <w:szCs w:val="24"/>
              </w:rPr>
              <w:t>10 mcg</w:t>
            </w:r>
          </w:p>
        </w:tc>
        <w:tc>
          <w:tcPr>
            <w:tcW w:w="985" w:type="pct"/>
            <w:tcBorders/>
          </w:tcPr>
          <w:p>
            <w:pPr>
              <w:pStyle w:val="style0"/>
              <w:spacing w:before="120" w:after="120" w:lineRule="auto" w:line="240"/>
              <w:ind w:left="-58" w:right="-58"/>
              <w:rPr>
                <w:rFonts w:ascii="Times New Roman" w:hAnsi="Times New Roman"/>
                <w:szCs w:val="24"/>
              </w:rPr>
            </w:pPr>
            <w:r>
              <w:rPr>
                <w:rFonts w:ascii="Times New Roman" w:hAnsi="Times New Roman"/>
                <w:szCs w:val="24"/>
              </w:rPr>
              <w:t>Aminoglycosides</w:t>
            </w:r>
          </w:p>
        </w:tc>
        <w:tc>
          <w:tcPr>
            <w:tcW w:w="582"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26</w:t>
            </w:r>
          </w:p>
        </w:tc>
        <w:tc>
          <w:tcPr>
            <w:tcW w:w="533"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20-25</w:t>
            </w:r>
          </w:p>
        </w:tc>
        <w:tc>
          <w:tcPr>
            <w:tcW w:w="555"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19</w:t>
            </w:r>
          </w:p>
        </w:tc>
        <w:tc>
          <w:tcPr>
            <w:tcW w:w="508" w:type="pct"/>
            <w:tcBorders/>
          </w:tcPr>
          <w:p>
            <w:pPr>
              <w:pStyle w:val="style0"/>
              <w:spacing w:before="120" w:after="120" w:lineRule="auto" w:line="240"/>
              <w:ind w:left="-58" w:right="-58"/>
              <w:jc w:val="center"/>
              <w:rPr>
                <w:rFonts w:ascii="Times New Roman" w:hAnsi="Times New Roman"/>
                <w:szCs w:val="24"/>
              </w:rPr>
            </w:pPr>
            <w:r>
              <w:rPr>
                <w:rFonts w:ascii="Times New Roman" w:hAnsi="Times New Roman"/>
                <w:szCs w:val="24"/>
              </w:rPr>
              <w:t>19-26</w:t>
            </w:r>
          </w:p>
        </w:tc>
      </w:tr>
    </w:tbl>
    <w:p>
      <w:pPr>
        <w:pStyle w:val="style0"/>
        <w:spacing w:before="120" w:after="120" w:lineRule="auto" w:line="372"/>
        <w:rPr>
          <w:rFonts w:ascii="Times New Roman" w:hAnsi="Times New Roman"/>
          <w:sz w:val="24"/>
          <w:szCs w:val="24"/>
        </w:rPr>
      </w:pPr>
    </w:p>
    <w:p>
      <w:pPr>
        <w:pStyle w:val="style0"/>
        <w:spacing w:before="120" w:after="120" w:lineRule="auto" w:line="240"/>
        <w:ind w:left="1089" w:hanging="1089"/>
        <w:rPr>
          <w:rFonts w:ascii="Times New Roman" w:hAnsi="Times New Roman"/>
          <w:b/>
          <w:sz w:val="24"/>
          <w:szCs w:val="24"/>
        </w:rPr>
      </w:pPr>
      <w:r>
        <w:rPr>
          <w:rFonts w:ascii="Times New Roman" w:hAnsi="Times New Roman"/>
          <w:b/>
          <w:sz w:val="24"/>
          <w:szCs w:val="24"/>
        </w:rPr>
        <w:t>Table</w:t>
      </w:r>
      <w:r>
        <w:rPr>
          <w:rFonts w:ascii="Times New Roman" w:hAnsi="Times New Roman"/>
          <w:b/>
          <w:sz w:val="24"/>
          <w:szCs w:val="24"/>
        </w:rPr>
        <w:t xml:space="preserve"> </w:t>
      </w:r>
      <w:r>
        <w:rPr>
          <w:rFonts w:ascii="Times New Roman" w:hAnsi="Times New Roman"/>
          <w:b/>
          <w:sz w:val="24"/>
          <w:szCs w:val="24"/>
        </w:rPr>
        <w:t>03</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Antimicrobial susceptibility/resistance Pattern of C</w:t>
      </w:r>
      <w:r>
        <w:rPr>
          <w:rFonts w:ascii="Times New Roman" w:hAnsi="Times New Roman"/>
          <w:b/>
          <w:i/>
          <w:sz w:val="24"/>
          <w:szCs w:val="24"/>
        </w:rPr>
        <w:t>ampylobacter jejuni</w:t>
      </w:r>
      <w:r>
        <w:rPr>
          <w:rFonts w:ascii="Times New Roman" w:hAnsi="Times New Roman"/>
          <w:b/>
          <w:sz w:val="24"/>
          <w:szCs w:val="24"/>
        </w:rPr>
        <w:t xml:space="preserve"> (n=36)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669"/>
        <w:gridCol w:w="1880"/>
        <w:gridCol w:w="1310"/>
        <w:gridCol w:w="1593"/>
        <w:gridCol w:w="1327"/>
      </w:tblGrid>
      <w:tr>
        <w:trPr/>
        <w:tc>
          <w:tcPr>
            <w:tcW w:w="938"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Antibiotics</w:t>
            </w:r>
          </w:p>
        </w:tc>
        <w:tc>
          <w:tcPr>
            <w:tcW w:w="871"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Concentration per disc</w:t>
            </w:r>
          </w:p>
        </w:tc>
        <w:tc>
          <w:tcPr>
            <w:tcW w:w="981"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Class</w:t>
            </w:r>
          </w:p>
        </w:tc>
        <w:tc>
          <w:tcPr>
            <w:tcW w:w="684"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Sensitive (%)</w:t>
            </w:r>
          </w:p>
        </w:tc>
        <w:tc>
          <w:tcPr>
            <w:tcW w:w="832"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Intermediate (%)</w:t>
            </w:r>
          </w:p>
        </w:tc>
        <w:tc>
          <w:tcPr>
            <w:tcW w:w="693" w:type="pct"/>
            <w:tcBorders/>
          </w:tcPr>
          <w:p>
            <w:pPr>
              <w:pStyle w:val="style0"/>
              <w:spacing w:before="40" w:after="40" w:lineRule="auto" w:line="240"/>
              <w:ind w:left="-58" w:right="-58"/>
              <w:jc w:val="center"/>
              <w:rPr>
                <w:rFonts w:ascii="Times New Roman" w:hAnsi="Times New Roman"/>
                <w:b/>
                <w:sz w:val="21"/>
                <w:szCs w:val="21"/>
              </w:rPr>
            </w:pPr>
            <w:r>
              <w:rPr>
                <w:rFonts w:ascii="Times New Roman" w:hAnsi="Times New Roman"/>
                <w:b/>
                <w:sz w:val="21"/>
                <w:szCs w:val="21"/>
              </w:rPr>
              <w:t>Resistant (%)</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Sulphamethizole</w:t>
            </w:r>
            <w:r>
              <w:rPr>
                <w:rFonts w:ascii="Times New Roman" w:hAnsi="Times New Roman"/>
                <w:sz w:val="21"/>
                <w:szCs w:val="21"/>
              </w:rPr>
              <w:t xml:space="preserve"> (SM)</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300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Sulphonamide</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04 (11.11)</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9 (25.00)</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23 (</w:t>
            </w:r>
            <w:r>
              <w:rPr>
                <w:rFonts w:ascii="Times New Roman" w:hAnsi="Times New Roman"/>
                <w:b/>
                <w:sz w:val="21"/>
                <w:szCs w:val="21"/>
              </w:rPr>
              <w:t>64.00</w:t>
            </w:r>
            <w:r>
              <w:rPr>
                <w:rFonts w:ascii="Times New Roman" w:hAnsi="Times New Roman"/>
                <w:sz w:val="21"/>
                <w:szCs w:val="21"/>
              </w:rPr>
              <w:t>)</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Nalidixic acid (NA)</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30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Quinolone</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25 (69.45)</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6 (16.67)</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05 (13.88)</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Ciprofloxacillin</w:t>
            </w:r>
            <w:r>
              <w:rPr>
                <w:rFonts w:ascii="Times New Roman" w:hAnsi="Times New Roman"/>
                <w:sz w:val="21"/>
                <w:szCs w:val="21"/>
              </w:rPr>
              <w:t xml:space="preserve"> (CIP)</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bCs/>
                <w:sz w:val="21"/>
                <w:szCs w:val="21"/>
              </w:rPr>
              <w:t>Fluoroquinolones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06 (16.67)</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11 (30.56)</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19 (</w:t>
            </w:r>
            <w:r>
              <w:rPr>
                <w:rFonts w:ascii="Times New Roman" w:hAnsi="Times New Roman"/>
                <w:b/>
                <w:sz w:val="21"/>
                <w:szCs w:val="21"/>
              </w:rPr>
              <w:t>52.78</w:t>
            </w:r>
            <w:r>
              <w:rPr>
                <w:rFonts w:ascii="Times New Roman" w:hAnsi="Times New Roman"/>
                <w:sz w:val="21"/>
                <w:szCs w:val="21"/>
              </w:rPr>
              <w:t>)</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Enrofloxacine</w:t>
            </w:r>
            <w:r>
              <w:rPr>
                <w:rFonts w:ascii="Times New Roman" w:hAnsi="Times New Roman"/>
                <w:sz w:val="21"/>
                <w:szCs w:val="21"/>
              </w:rPr>
              <w:t xml:space="preserve"> (EX)</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5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bCs/>
                <w:sz w:val="21"/>
                <w:szCs w:val="21"/>
              </w:rPr>
              <w:t>Fluoroquinolones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24 (66.67)</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7 (19.45)</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05 (13.89)</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Oxytetracycline (O)</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30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Tetracyclines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16 (44.45)</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03 (8.33)</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17 (47.22)</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PenicillinG</w:t>
            </w:r>
            <w:r>
              <w:rPr>
                <w:rFonts w:ascii="Times New Roman" w:hAnsi="Times New Roman"/>
                <w:sz w:val="21"/>
                <w:szCs w:val="21"/>
              </w:rPr>
              <w:t xml:space="preserve"> (</w:t>
            </w:r>
            <w:r>
              <w:rPr>
                <w:rFonts w:ascii="Times New Roman" w:hAnsi="Times New Roman"/>
                <w:sz w:val="21"/>
                <w:szCs w:val="21"/>
              </w:rPr>
              <w:t>P</w:t>
            </w:r>
            <w:r>
              <w:rPr>
                <w:rFonts w:ascii="Times New Roman" w:hAnsi="Times New Roman"/>
                <w:sz w:val="21"/>
                <w:szCs w:val="21"/>
                <w:vertAlign w:val="superscript"/>
              </w:rPr>
              <w:t>z</w:t>
            </w:r>
            <w:r>
              <w:rPr>
                <w:rFonts w:ascii="Times New Roman" w:hAnsi="Times New Roman"/>
                <w:sz w:val="21"/>
                <w:szCs w:val="21"/>
              </w:rPr>
              <w:t>)</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10 unit</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Penicillin</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02 (05.56)</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04 (11.11)</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30 (</w:t>
            </w:r>
            <w:r>
              <w:rPr>
                <w:rFonts w:ascii="Times New Roman" w:hAnsi="Times New Roman"/>
                <w:b/>
                <w:sz w:val="21"/>
                <w:szCs w:val="21"/>
              </w:rPr>
              <w:t>83.33</w:t>
            </w:r>
            <w:r>
              <w:rPr>
                <w:rFonts w:ascii="Times New Roman" w:hAnsi="Times New Roman"/>
                <w:sz w:val="21"/>
                <w:szCs w:val="21"/>
              </w:rPr>
              <w:t>)</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Ampicillin/ cloxacillin (AX)</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Penicillin</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08 (22.23)</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07 (19.45)</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21 (58.33)</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Cefotaxim (CTX)</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30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Cephalosporins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25 (69.45)</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03 (08.34)</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08 (22.23)</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Amikacin (AK)</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Aminoglycosides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23 (63.89)</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06 (16.67)</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07 (19.45)</w:t>
            </w:r>
          </w:p>
        </w:tc>
      </w:tr>
      <w:tr>
        <w:tblPrEx/>
        <w:trPr/>
        <w:tc>
          <w:tcPr>
            <w:tcW w:w="938"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Gentamicin (GEN)</w:t>
            </w:r>
          </w:p>
        </w:tc>
        <w:tc>
          <w:tcPr>
            <w:tcW w:w="871"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10 mcg</w:t>
            </w:r>
          </w:p>
        </w:tc>
        <w:tc>
          <w:tcPr>
            <w:tcW w:w="981" w:type="pct"/>
            <w:tcBorders/>
          </w:tcPr>
          <w:p>
            <w:pPr>
              <w:pStyle w:val="style0"/>
              <w:spacing w:before="40" w:after="40" w:lineRule="auto" w:line="240"/>
              <w:ind w:left="-58" w:right="-58"/>
              <w:rPr>
                <w:rFonts w:ascii="Times New Roman" w:hAnsi="Times New Roman"/>
                <w:sz w:val="21"/>
                <w:szCs w:val="21"/>
              </w:rPr>
            </w:pPr>
            <w:r>
              <w:rPr>
                <w:rFonts w:ascii="Times New Roman" w:hAnsi="Times New Roman"/>
                <w:sz w:val="21"/>
                <w:szCs w:val="21"/>
              </w:rPr>
              <w:t>Aminoglycosides</w:t>
            </w:r>
          </w:p>
        </w:tc>
        <w:tc>
          <w:tcPr>
            <w:tcW w:w="684"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13 (36.11)</w:t>
            </w:r>
          </w:p>
        </w:tc>
        <w:tc>
          <w:tcPr>
            <w:tcW w:w="832"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09 (25.00)</w:t>
            </w:r>
          </w:p>
        </w:tc>
        <w:tc>
          <w:tcPr>
            <w:tcW w:w="693" w:type="pct"/>
            <w:tcBorders/>
          </w:tcPr>
          <w:p>
            <w:pPr>
              <w:pStyle w:val="style0"/>
              <w:spacing w:before="40" w:after="40" w:lineRule="auto" w:line="240"/>
              <w:ind w:left="-58" w:right="-58"/>
              <w:jc w:val="center"/>
              <w:rPr>
                <w:rFonts w:ascii="Times New Roman" w:hAnsi="Times New Roman"/>
                <w:sz w:val="21"/>
                <w:szCs w:val="21"/>
              </w:rPr>
            </w:pPr>
            <w:r>
              <w:rPr>
                <w:rFonts w:ascii="Times New Roman" w:hAnsi="Times New Roman"/>
                <w:sz w:val="21"/>
                <w:szCs w:val="21"/>
              </w:rPr>
              <w:t>14 (38.89)</w:t>
            </w:r>
          </w:p>
        </w:tc>
      </w:tr>
    </w:tbl>
    <w:p>
      <w:pPr>
        <w:pStyle w:val="style0"/>
        <w:spacing w:before="120" w:after="120" w:lineRule="auto" w:line="240"/>
        <w:rPr>
          <w:rFonts w:ascii="Times New Roman" w:hAnsi="Times New Roman"/>
          <w:sz w:val="14"/>
          <w:szCs w:val="24"/>
        </w:rPr>
      </w:pPr>
    </w:p>
    <w:p>
      <w:pPr>
        <w:pStyle w:val="style0"/>
        <w:spacing w:before="120" w:after="120" w:lineRule="auto" w:line="240"/>
        <w:ind w:left="1098" w:hanging="1098"/>
        <w:jc w:val="both"/>
        <w:rPr>
          <w:rFonts w:ascii="Times New Roman" w:hAnsi="Times New Roman"/>
          <w:b/>
          <w:sz w:val="24"/>
          <w:szCs w:val="24"/>
        </w:rPr>
      </w:pPr>
    </w:p>
    <w:p>
      <w:pPr>
        <w:pStyle w:val="style0"/>
        <w:spacing w:before="120" w:after="120" w:lineRule="auto" w:line="240"/>
        <w:ind w:left="1098" w:hanging="1098"/>
        <w:jc w:val="both"/>
        <w:rPr>
          <w:rFonts w:ascii="Times New Roman" w:hAnsi="Times New Roman"/>
          <w:b/>
          <w:sz w:val="24"/>
          <w:szCs w:val="24"/>
        </w:rPr>
      </w:pPr>
      <w:r>
        <w:rPr>
          <w:rFonts w:ascii="Times New Roman" w:hAnsi="Times New Roman"/>
          <w:b/>
          <w:sz w:val="24"/>
          <w:szCs w:val="24"/>
        </w:rPr>
        <w:t>Table-</w:t>
      </w:r>
      <w:r>
        <w:rPr>
          <w:rFonts w:ascii="Times New Roman" w:hAnsi="Times New Roman"/>
          <w:b/>
          <w:sz w:val="24"/>
          <w:szCs w:val="24"/>
        </w:rPr>
        <w:t>04</w:t>
      </w:r>
      <w:r>
        <w:rPr>
          <w:rFonts w:ascii="Times New Roman" w:hAnsi="Times New Roman"/>
          <w:b/>
          <w:sz w:val="24"/>
          <w:szCs w:val="24"/>
        </w:rPr>
        <w:t>: Antimicrobial susceptibility/resistance Pattern of C</w:t>
      </w:r>
      <w:r>
        <w:rPr>
          <w:rFonts w:ascii="Times New Roman" w:hAnsi="Times New Roman"/>
          <w:b/>
          <w:i/>
          <w:sz w:val="24"/>
          <w:szCs w:val="24"/>
        </w:rPr>
        <w:t xml:space="preserve">ampylobacter coli </w:t>
      </w:r>
      <w:r>
        <w:rPr>
          <w:rFonts w:ascii="Times New Roman" w:hAnsi="Times New Roman"/>
          <w:b/>
          <w:sz w:val="24"/>
          <w:szCs w:val="24"/>
        </w:rPr>
        <w:t>(n=25)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1700"/>
        <w:gridCol w:w="1913"/>
        <w:gridCol w:w="1245"/>
        <w:gridCol w:w="1622"/>
        <w:gridCol w:w="1262"/>
      </w:tblGrid>
      <w:tr>
        <w:trPr/>
        <w:tc>
          <w:tcPr>
            <w:tcW w:w="957" w:type="pct"/>
            <w:tcBorders/>
          </w:tcPr>
          <w:p>
            <w:pPr>
              <w:pStyle w:val="style0"/>
              <w:spacing w:before="40" w:after="40" w:lineRule="auto" w:line="240"/>
              <w:ind w:left="-50" w:right="-50"/>
              <w:rPr>
                <w:rFonts w:ascii="Times New Roman" w:hAnsi="Times New Roman"/>
                <w:b/>
                <w:sz w:val="21"/>
                <w:szCs w:val="21"/>
              </w:rPr>
            </w:pPr>
            <w:r>
              <w:rPr>
                <w:rFonts w:ascii="Times New Roman" w:hAnsi="Times New Roman"/>
                <w:b/>
                <w:sz w:val="21"/>
                <w:szCs w:val="21"/>
              </w:rPr>
              <w:t>Antibiotics</w:t>
            </w:r>
          </w:p>
        </w:tc>
        <w:tc>
          <w:tcPr>
            <w:tcW w:w="887" w:type="pct"/>
            <w:tcBorders/>
          </w:tcPr>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Concentration per disc</w:t>
            </w:r>
          </w:p>
        </w:tc>
        <w:tc>
          <w:tcPr>
            <w:tcW w:w="999" w:type="pct"/>
            <w:tcBorders/>
          </w:tcPr>
          <w:p>
            <w:pPr>
              <w:pStyle w:val="style0"/>
              <w:spacing w:before="40" w:after="40" w:lineRule="auto" w:line="240"/>
              <w:ind w:left="-50" w:right="-50"/>
              <w:rPr>
                <w:rFonts w:ascii="Times New Roman" w:hAnsi="Times New Roman"/>
                <w:b/>
                <w:sz w:val="21"/>
                <w:szCs w:val="21"/>
              </w:rPr>
            </w:pPr>
            <w:r>
              <w:rPr>
                <w:rFonts w:ascii="Times New Roman" w:hAnsi="Times New Roman"/>
                <w:b/>
                <w:sz w:val="21"/>
                <w:szCs w:val="21"/>
              </w:rPr>
              <w:t>Class</w:t>
            </w:r>
          </w:p>
        </w:tc>
        <w:tc>
          <w:tcPr>
            <w:tcW w:w="650" w:type="pct"/>
            <w:tcBorders/>
          </w:tcPr>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Sensitive</w:t>
            </w:r>
          </w:p>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w:t>
            </w:r>
          </w:p>
        </w:tc>
        <w:tc>
          <w:tcPr>
            <w:tcW w:w="847" w:type="pct"/>
            <w:tcBorders/>
          </w:tcPr>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Intermediate (%)</w:t>
            </w:r>
          </w:p>
        </w:tc>
        <w:tc>
          <w:tcPr>
            <w:tcW w:w="659" w:type="pct"/>
            <w:tcBorders/>
          </w:tcPr>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Resistant</w:t>
            </w:r>
          </w:p>
          <w:p>
            <w:pPr>
              <w:pStyle w:val="style0"/>
              <w:spacing w:before="40" w:after="40" w:lineRule="auto" w:line="240"/>
              <w:ind w:left="-50" w:right="-50"/>
              <w:jc w:val="center"/>
              <w:rPr>
                <w:rFonts w:ascii="Times New Roman" w:hAnsi="Times New Roman"/>
                <w:b/>
                <w:sz w:val="21"/>
                <w:szCs w:val="21"/>
              </w:rPr>
            </w:pPr>
            <w:r>
              <w:rPr>
                <w:rFonts w:ascii="Times New Roman" w:hAnsi="Times New Roman"/>
                <w:b/>
                <w:sz w:val="21"/>
                <w:szCs w:val="21"/>
              </w:rPr>
              <w:t>(%)</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Sulphamethizole</w:t>
            </w:r>
            <w:r>
              <w:rPr>
                <w:rFonts w:ascii="Times New Roman" w:hAnsi="Times New Roman"/>
                <w:sz w:val="21"/>
                <w:szCs w:val="21"/>
              </w:rPr>
              <w:t xml:space="preserve"> (SM)</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300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Sulphonamide</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5 (20.00)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4 (16.00)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16 (64.00)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Nalidixic acid (NA)</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30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Quinolone</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11 (44.00)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5 (20.00)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09 (36.00)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Ciprofloxacillin</w:t>
            </w:r>
            <w:r>
              <w:rPr>
                <w:rFonts w:ascii="Times New Roman" w:hAnsi="Times New Roman"/>
                <w:sz w:val="21"/>
                <w:szCs w:val="21"/>
              </w:rPr>
              <w:t xml:space="preserve"> (CIP)</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bCs/>
                <w:sz w:val="21"/>
                <w:szCs w:val="21"/>
              </w:rPr>
              <w:t>Fluoroquinolones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07 (28.00)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01 (04.00)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17 (68.00)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Enrofloxacine</w:t>
            </w:r>
            <w:r>
              <w:rPr>
                <w:rFonts w:ascii="Times New Roman" w:hAnsi="Times New Roman"/>
                <w:sz w:val="21"/>
                <w:szCs w:val="21"/>
              </w:rPr>
              <w:t xml:space="preserve"> (EX)</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5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bCs/>
                <w:sz w:val="21"/>
                <w:szCs w:val="21"/>
              </w:rPr>
              <w:t>Fluoroquinolones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13 (52.00)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2 (08.00)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(40.00)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Oxytetracycline (O)</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30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Tetracyclines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8 (32.00)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03 (12.00)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14 (56.00)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PenicillinG</w:t>
            </w:r>
            <w:r>
              <w:rPr>
                <w:rFonts w:ascii="Times New Roman" w:hAnsi="Times New Roman"/>
                <w:sz w:val="21"/>
                <w:szCs w:val="21"/>
              </w:rPr>
              <w:t xml:space="preserve"> (</w:t>
            </w:r>
            <w:r>
              <w:rPr>
                <w:rFonts w:ascii="Times New Roman" w:hAnsi="Times New Roman"/>
                <w:sz w:val="21"/>
                <w:szCs w:val="21"/>
              </w:rPr>
              <w:t>P</w:t>
            </w:r>
            <w:r>
              <w:rPr>
                <w:rFonts w:ascii="Times New Roman" w:hAnsi="Times New Roman"/>
                <w:sz w:val="21"/>
                <w:szCs w:val="21"/>
                <w:vertAlign w:val="superscript"/>
              </w:rPr>
              <w:t>z</w:t>
            </w:r>
            <w:r>
              <w:rPr>
                <w:rFonts w:ascii="Times New Roman" w:hAnsi="Times New Roman"/>
                <w:sz w:val="21"/>
                <w:szCs w:val="21"/>
              </w:rPr>
              <w:t>)</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unit</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Penicillin</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00 (00.00)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04 (16.00)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21 (</w:t>
            </w:r>
            <w:r>
              <w:rPr>
                <w:rFonts w:ascii="Times New Roman" w:hAnsi="Times New Roman"/>
                <w:b/>
                <w:sz w:val="21"/>
                <w:szCs w:val="21"/>
              </w:rPr>
              <w:t>84.00</w:t>
            </w:r>
            <w:r>
              <w:rPr>
                <w:rFonts w:ascii="Times New Roman" w:hAnsi="Times New Roman"/>
                <w:sz w:val="21"/>
                <w:szCs w:val="21"/>
              </w:rPr>
              <w:t>)</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Ampicillin/ cloxacillin (AX)</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Penicillin</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05 (20.00)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03 (12.00)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17 (68.00)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Cefotaxim (CTX)</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30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Cephalosporins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13 (52.00)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5 (20.00)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7 (28.00)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Amikacin (AK)</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Aminoglycosides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16 (64.00)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3 (12.00)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6 (24.00)</w:t>
            </w:r>
          </w:p>
        </w:tc>
      </w:tr>
      <w:tr>
        <w:tblPrEx/>
        <w:trPr/>
        <w:tc>
          <w:tcPr>
            <w:tcW w:w="957"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Gentamicin (GEN)</w:t>
            </w:r>
          </w:p>
        </w:tc>
        <w:tc>
          <w:tcPr>
            <w:tcW w:w="88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10 mcg</w:t>
            </w:r>
          </w:p>
        </w:tc>
        <w:tc>
          <w:tcPr>
            <w:tcW w:w="999" w:type="pct"/>
            <w:tcBorders/>
          </w:tcPr>
          <w:p>
            <w:pPr>
              <w:pStyle w:val="style0"/>
              <w:spacing w:before="40" w:after="40" w:lineRule="auto" w:line="240"/>
              <w:ind w:left="-50" w:right="-50"/>
              <w:rPr>
                <w:rFonts w:ascii="Times New Roman" w:hAnsi="Times New Roman"/>
                <w:sz w:val="21"/>
                <w:szCs w:val="21"/>
              </w:rPr>
            </w:pPr>
            <w:r>
              <w:rPr>
                <w:rFonts w:ascii="Times New Roman" w:hAnsi="Times New Roman"/>
                <w:sz w:val="21"/>
                <w:szCs w:val="21"/>
              </w:rPr>
              <w:t>Aminoglycosides</w:t>
            </w:r>
          </w:p>
        </w:tc>
        <w:tc>
          <w:tcPr>
            <w:tcW w:w="650"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15 (60.00)</w:t>
            </w:r>
          </w:p>
        </w:tc>
        <w:tc>
          <w:tcPr>
            <w:tcW w:w="847"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5 (20.00)</w:t>
            </w:r>
          </w:p>
        </w:tc>
        <w:tc>
          <w:tcPr>
            <w:tcW w:w="659" w:type="pct"/>
            <w:tcBorders/>
          </w:tcPr>
          <w:p>
            <w:pPr>
              <w:pStyle w:val="style0"/>
              <w:spacing w:before="40" w:after="40" w:lineRule="auto" w:line="240"/>
              <w:ind w:left="-50" w:right="-50"/>
              <w:jc w:val="center"/>
              <w:rPr>
                <w:rFonts w:ascii="Times New Roman" w:hAnsi="Times New Roman"/>
                <w:sz w:val="21"/>
                <w:szCs w:val="21"/>
              </w:rPr>
            </w:pPr>
            <w:r>
              <w:rPr>
                <w:rFonts w:ascii="Times New Roman" w:hAnsi="Times New Roman"/>
                <w:sz w:val="21"/>
                <w:szCs w:val="21"/>
              </w:rPr>
              <w:t>4 (16.00)</w:t>
            </w:r>
          </w:p>
        </w:tc>
      </w:tr>
    </w:tbl>
    <w:p>
      <w:pPr>
        <w:pStyle w:val="style0"/>
        <w:spacing w:before="120" w:after="120" w:lineRule="auto" w:line="372"/>
        <w:rPr>
          <w:rFonts w:ascii="Times New Roman" w:hAnsi="Times New Roman"/>
          <w:b/>
          <w:sz w:val="24"/>
          <w:szCs w:val="24"/>
        </w:rPr>
      </w:pPr>
      <w:r>
        <w:rPr>
          <w:rFonts w:ascii="Times New Roman" w:hAnsi="Times New Roman"/>
          <w:b/>
          <w:sz w:val="24"/>
          <w:szCs w:val="24"/>
        </w:rPr>
        <w:t>Table</w:t>
      </w:r>
      <w:r>
        <w:rPr>
          <w:rFonts w:ascii="Times New Roman" w:hAnsi="Times New Roman"/>
          <w:b/>
          <w:sz w:val="24"/>
          <w:szCs w:val="24"/>
        </w:rPr>
        <w:t xml:space="preserve"> </w:t>
      </w:r>
      <w:r>
        <w:rPr>
          <w:rFonts w:ascii="Times New Roman" w:hAnsi="Times New Roman"/>
          <w:b/>
          <w:sz w:val="24"/>
          <w:szCs w:val="24"/>
        </w:rPr>
        <w:t>0</w:t>
      </w:r>
      <w:r>
        <w:rPr>
          <w:rFonts w:ascii="Times New Roman" w:hAnsi="Times New Roman"/>
          <w:b/>
          <w:sz w:val="24"/>
          <w:szCs w:val="24"/>
        </w:rPr>
        <w:t>5</w:t>
      </w:r>
      <w:r>
        <w:rPr>
          <w:rFonts w:ascii="Times New Roman" w:hAnsi="Times New Roman"/>
          <w:b/>
          <w:sz w:val="24"/>
          <w:szCs w:val="24"/>
        </w:rPr>
        <w:t xml:space="preserve">: Comparative details of Resistant </w:t>
      </w:r>
      <w:r>
        <w:rPr>
          <w:rFonts w:ascii="Times New Roman" w:hAnsi="Times New Roman"/>
          <w:b/>
          <w:i/>
          <w:sz w:val="24"/>
          <w:szCs w:val="24"/>
        </w:rPr>
        <w:t>Campylobacter</w:t>
      </w:r>
      <w:r>
        <w:rPr>
          <w:rFonts w:ascii="Times New Roman" w:hAnsi="Times New Roman"/>
          <w:b/>
          <w:sz w:val="24"/>
          <w:szCs w:val="24"/>
        </w:rPr>
        <w:t xml:space="preserve"> isolates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700"/>
        <w:gridCol w:w="2520"/>
      </w:tblGrid>
      <w:tr>
        <w:trPr>
          <w:jc w:val="center"/>
        </w:trPr>
        <w:tc>
          <w:tcPr>
            <w:tcW w:w="3168" w:type="dxa"/>
            <w:tcBorders/>
          </w:tcPr>
          <w:p>
            <w:pPr>
              <w:pStyle w:val="style0"/>
              <w:spacing w:before="120" w:after="120" w:lineRule="auto" w:line="240"/>
              <w:rPr>
                <w:rFonts w:ascii="Times New Roman" w:hAnsi="Times New Roman"/>
                <w:b/>
                <w:sz w:val="24"/>
                <w:szCs w:val="24"/>
              </w:rPr>
            </w:pPr>
            <w:r>
              <w:rPr>
                <w:rFonts w:ascii="Times New Roman" w:hAnsi="Times New Roman"/>
                <w:b/>
                <w:sz w:val="24"/>
                <w:szCs w:val="24"/>
              </w:rPr>
              <w:t>Antibiotics</w:t>
            </w:r>
          </w:p>
        </w:tc>
        <w:tc>
          <w:tcPr>
            <w:tcW w:w="270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i/>
                <w:sz w:val="24"/>
                <w:szCs w:val="24"/>
              </w:rPr>
              <w:t>Resistant Percentage of C. jejuni</w:t>
            </w:r>
            <w:r>
              <w:rPr>
                <w:rFonts w:ascii="Times New Roman" w:hAnsi="Times New Roman"/>
                <w:b/>
                <w:sz w:val="24"/>
                <w:szCs w:val="24"/>
              </w:rPr>
              <w:t xml:space="preserve"> (n=36)</w:t>
            </w:r>
          </w:p>
        </w:tc>
        <w:tc>
          <w:tcPr>
            <w:tcW w:w="252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i/>
                <w:sz w:val="24"/>
                <w:szCs w:val="24"/>
              </w:rPr>
              <w:t>Resistant Percentage of C. coli</w:t>
            </w:r>
            <w:r>
              <w:rPr>
                <w:rFonts w:ascii="Times New Roman" w:hAnsi="Times New Roman"/>
                <w:b/>
                <w:sz w:val="24"/>
                <w:szCs w:val="24"/>
              </w:rPr>
              <w:t xml:space="preserve"> (n=25)</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Sulphamethizole</w:t>
            </w:r>
            <w:r>
              <w:rPr>
                <w:rFonts w:ascii="Times New Roman" w:hAnsi="Times New Roman"/>
                <w:sz w:val="24"/>
                <w:szCs w:val="24"/>
              </w:rPr>
              <w:t xml:space="preserve"> </w:t>
            </w:r>
          </w:p>
        </w:tc>
        <w:tc>
          <w:tcPr>
            <w:tcW w:w="270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64.00</w:t>
            </w:r>
          </w:p>
        </w:tc>
        <w:tc>
          <w:tcPr>
            <w:tcW w:w="2520" w:type="dxa"/>
            <w:tcBorders/>
          </w:tcPr>
          <w:p>
            <w:pPr>
              <w:pStyle w:val="style0"/>
              <w:spacing w:before="120" w:after="120" w:lineRule="auto" w:line="240"/>
              <w:ind w:right="-108"/>
              <w:jc w:val="center"/>
              <w:rPr>
                <w:rFonts w:ascii="Times New Roman" w:hAnsi="Times New Roman"/>
                <w:b/>
                <w:sz w:val="24"/>
                <w:szCs w:val="24"/>
              </w:rPr>
            </w:pPr>
            <w:r>
              <w:rPr>
                <w:rFonts w:ascii="Times New Roman" w:hAnsi="Times New Roman"/>
                <w:b/>
                <w:sz w:val="24"/>
                <w:szCs w:val="24"/>
              </w:rPr>
              <w:t>64.00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Nalidixic acid </w:t>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13.88</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36.00</w:t>
            </w:r>
          </w:p>
        </w:tc>
      </w:tr>
      <w:commentRangeStart w:id="12"/>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Ciprofloxacillin</w:t>
            </w:r>
            <w:r>
              <w:rPr>
                <w:rFonts w:ascii="Times New Roman" w:hAnsi="Times New Roman"/>
                <w:sz w:val="24"/>
                <w:szCs w:val="24"/>
              </w:rPr>
              <w:t xml:space="preserve"> </w:t>
            </w:r>
            <w:commentRangeEnd w:id="12"/>
            <w:r>
              <w:rPr>
                <w:rStyle w:val="style39"/>
              </w:rPr>
              <w:commentReference w:id="12"/>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52.78</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68.00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Enrofloxacin</w:t>
            </w:r>
            <w:commentRangeStart w:id="13"/>
            <w:r>
              <w:rPr>
                <w:rFonts w:ascii="Times New Roman" w:hAnsi="Times New Roman"/>
                <w:sz w:val="24"/>
                <w:szCs w:val="24"/>
              </w:rPr>
              <w:t>e</w:t>
            </w:r>
            <w:r>
              <w:rPr>
                <w:rFonts w:ascii="Times New Roman" w:hAnsi="Times New Roman"/>
                <w:sz w:val="24"/>
                <w:szCs w:val="24"/>
              </w:rPr>
              <w:t xml:space="preserve"> </w:t>
            </w:r>
            <w:commentRangeEnd w:id="13"/>
            <w:r>
              <w:rPr>
                <w:rStyle w:val="style39"/>
              </w:rPr>
              <w:commentReference w:id="13"/>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13.89</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40.00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Oxytetracycline </w:t>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47.22</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56.00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PenicillinG</w:t>
            </w:r>
            <w:r>
              <w:rPr>
                <w:rFonts w:ascii="Times New Roman" w:hAnsi="Times New Roman"/>
                <w:sz w:val="24"/>
                <w:szCs w:val="24"/>
              </w:rPr>
              <w:t xml:space="preserve"> </w:t>
            </w:r>
          </w:p>
        </w:tc>
        <w:tc>
          <w:tcPr>
            <w:tcW w:w="270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83.33</w:t>
            </w:r>
          </w:p>
        </w:tc>
        <w:tc>
          <w:tcPr>
            <w:tcW w:w="252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84.00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Ampicillin/ cloxacillin </w:t>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58.33</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68.00</w:t>
            </w:r>
          </w:p>
        </w:tc>
      </w:tr>
      <w:commentRangeStart w:id="14"/>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Cefotaxim </w:t>
            </w:r>
            <w:commentRangeEnd w:id="14"/>
            <w:r>
              <w:rPr>
                <w:rStyle w:val="style39"/>
              </w:rPr>
              <w:commentReference w:id="14"/>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22.23</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28.00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Amikacin </w:t>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19.45</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24.00</w:t>
            </w:r>
          </w:p>
        </w:tc>
      </w:tr>
      <w:tr>
        <w:tblPrEx/>
        <w:trPr>
          <w:jc w:val="center"/>
        </w:trPr>
        <w:tc>
          <w:tcPr>
            <w:tcW w:w="3168" w:type="dxa"/>
            <w:tcBorders/>
          </w:tcPr>
          <w:p>
            <w:pPr>
              <w:pStyle w:val="style0"/>
              <w:spacing w:before="120" w:after="120" w:lineRule="auto" w:line="240"/>
              <w:rPr>
                <w:rFonts w:ascii="Times New Roman" w:hAnsi="Times New Roman"/>
                <w:sz w:val="24"/>
                <w:szCs w:val="24"/>
              </w:rPr>
            </w:pPr>
            <w:r>
              <w:rPr>
                <w:rFonts w:ascii="Times New Roman" w:hAnsi="Times New Roman"/>
                <w:sz w:val="24"/>
                <w:szCs w:val="24"/>
              </w:rPr>
              <w:t xml:space="preserve">Gentamicin </w:t>
            </w:r>
          </w:p>
        </w:tc>
        <w:tc>
          <w:tcPr>
            <w:tcW w:w="270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38.89</w:t>
            </w:r>
          </w:p>
        </w:tc>
        <w:tc>
          <w:tcPr>
            <w:tcW w:w="2520" w:type="dxa"/>
            <w:tcBorders/>
          </w:tcPr>
          <w:p>
            <w:pPr>
              <w:pStyle w:val="style0"/>
              <w:spacing w:before="120" w:after="120" w:lineRule="auto" w:line="240"/>
              <w:jc w:val="center"/>
              <w:rPr>
                <w:rFonts w:ascii="Times New Roman" w:hAnsi="Times New Roman"/>
                <w:sz w:val="24"/>
                <w:szCs w:val="24"/>
              </w:rPr>
            </w:pPr>
            <w:r>
              <w:rPr>
                <w:rFonts w:ascii="Times New Roman" w:hAnsi="Times New Roman"/>
                <w:sz w:val="24"/>
                <w:szCs w:val="24"/>
              </w:rPr>
              <w:t>16.00</w:t>
            </w:r>
          </w:p>
        </w:tc>
      </w:tr>
    </w:tbl>
    <w:p>
      <w:pPr>
        <w:pStyle w:val="style0"/>
        <w:spacing w:before="120" w:after="120" w:lineRule="auto" w:line="372"/>
        <w:jc w:val="both"/>
        <w:rPr>
          <w:rFonts w:ascii="Times New Roman" w:hAnsi="Times New Roman"/>
          <w:b/>
          <w:sz w:val="24"/>
          <w:szCs w:val="24"/>
        </w:rPr>
      </w:pPr>
    </w:p>
    <w:p>
      <w:pPr>
        <w:pStyle w:val="style0"/>
        <w:spacing w:before="120" w:after="120" w:lineRule="auto" w:line="372"/>
        <w:jc w:val="right"/>
        <w:rPr>
          <w:rFonts w:ascii="Times New Roman" w:hAnsi="Times New Roman"/>
          <w:b/>
          <w:sz w:val="24"/>
          <w:szCs w:val="24"/>
        </w:rPr>
      </w:pPr>
      <w:r>
        <w:rPr>
          <w:rFonts w:ascii="Times New Roman" w:hAnsi="Times New Roman"/>
          <w:b/>
          <w:noProof/>
          <w:sz w:val="24"/>
          <w:szCs w:val="24"/>
        </w:rPr>
        <w:drawing>
          <wp:inline distL="0" distT="0" distB="0" distR="0">
            <wp:extent cx="5323840" cy="3082290"/>
            <wp:effectExtent l="1905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srcRect l="0" t="0" r="0" b="0"/>
                    <a:stretch/>
                  </pic:blipFill>
                  <pic:spPr>
                    <a:xfrm rot="0">
                      <a:off x="0" y="0"/>
                      <a:ext cx="5323840" cy="3082290"/>
                    </a:xfrm>
                    <a:prstGeom prst="rect"/>
                  </pic:spPr>
                </pic:pic>
              </a:graphicData>
            </a:graphic>
          </wp:inline>
        </w:drawing>
      </w:r>
    </w:p>
    <w:p>
      <w:pPr>
        <w:pStyle w:val="style0"/>
        <w:spacing w:before="120" w:after="120" w:lineRule="auto" w:line="372"/>
        <w:jc w:val="center"/>
        <w:rPr>
          <w:rFonts w:ascii="Times New Roman" w:hAnsi="Times New Roman"/>
          <w:b/>
          <w:sz w:val="24"/>
          <w:szCs w:val="24"/>
        </w:rPr>
      </w:pPr>
      <w:r>
        <w:rPr>
          <w:rFonts w:ascii="Times New Roman" w:hAnsi="Times New Roman"/>
          <w:b/>
          <w:sz w:val="24"/>
          <w:szCs w:val="24"/>
        </w:rPr>
        <w:t xml:space="preserve">Fig. </w:t>
      </w:r>
      <w:r>
        <w:rPr>
          <w:rFonts w:ascii="Times New Roman" w:hAnsi="Times New Roman"/>
          <w:b/>
          <w:sz w:val="24"/>
          <w:szCs w:val="24"/>
        </w:rPr>
        <w:t>1</w:t>
      </w:r>
      <w:r>
        <w:rPr>
          <w:rFonts w:ascii="Times New Roman" w:hAnsi="Times New Roman"/>
          <w:b/>
          <w:sz w:val="24"/>
          <w:szCs w:val="24"/>
        </w:rPr>
        <w:t xml:space="preserve">: Percentage of </w:t>
      </w:r>
      <w:r>
        <w:rPr>
          <w:rFonts w:ascii="Times New Roman" w:hAnsi="Times New Roman"/>
          <w:b/>
          <w:i/>
          <w:sz w:val="24"/>
          <w:szCs w:val="24"/>
        </w:rPr>
        <w:t>Campylobacter</w:t>
      </w:r>
      <w:r>
        <w:rPr>
          <w:rFonts w:ascii="Times New Roman" w:hAnsi="Times New Roman"/>
          <w:b/>
          <w:sz w:val="24"/>
          <w:szCs w:val="24"/>
        </w:rPr>
        <w:t xml:space="preserve"> isolates resistant to the antibiotics</w:t>
      </w:r>
    </w:p>
    <w:p>
      <w:pPr>
        <w:pStyle w:val="style0"/>
        <w:autoSpaceDE w:val="false"/>
        <w:autoSpaceDN w:val="false"/>
        <w:adjustRightInd w:val="false"/>
        <w:spacing w:before="120" w:after="120" w:lineRule="auto" w:line="372"/>
        <w:ind w:firstLine="720"/>
        <w:jc w:val="both"/>
        <w:rPr>
          <w:rFonts w:ascii="Times New Roman" w:hAnsi="Times New Roman"/>
          <w:sz w:val="24"/>
          <w:szCs w:val="24"/>
        </w:rPr>
      </w:pPr>
      <w:r>
        <w:rPr>
          <w:rFonts w:ascii="Times New Roman" w:hAnsi="Times New Roman"/>
          <w:sz w:val="24"/>
          <w:szCs w:val="24"/>
        </w:rPr>
        <w:t xml:space="preserve">Antibiotic susceptibility profile of all the 61 isolates (36 </w:t>
      </w:r>
      <w:r>
        <w:rPr>
          <w:rFonts w:ascii="Times New Roman" w:hAnsi="Times New Roman"/>
          <w:i/>
          <w:sz w:val="24"/>
          <w:szCs w:val="24"/>
        </w:rPr>
        <w:t>C. jejuni</w:t>
      </w:r>
      <w:r>
        <w:rPr>
          <w:rFonts w:ascii="Times New Roman" w:hAnsi="Times New Roman"/>
          <w:sz w:val="24"/>
          <w:szCs w:val="24"/>
        </w:rPr>
        <w:t xml:space="preserve"> and 25 </w:t>
      </w:r>
      <w:r>
        <w:rPr>
          <w:rFonts w:ascii="Times New Roman" w:hAnsi="Times New Roman"/>
          <w:i/>
          <w:sz w:val="24"/>
          <w:szCs w:val="24"/>
        </w:rPr>
        <w:t>C. coli</w:t>
      </w:r>
      <w:r>
        <w:rPr>
          <w:rFonts w:ascii="Times New Roman" w:hAnsi="Times New Roman"/>
          <w:sz w:val="24"/>
          <w:szCs w:val="24"/>
        </w:rPr>
        <w:t xml:space="preserve">) revealed more than 83% resistance to Penicillin G which was followed by </w:t>
      </w:r>
      <w:r>
        <w:rPr>
          <w:rFonts w:ascii="Times New Roman" w:hAnsi="Times New Roman"/>
          <w:sz w:val="24"/>
          <w:szCs w:val="24"/>
        </w:rPr>
        <w:t>Ciprofloxacillin</w:t>
      </w:r>
      <w:r>
        <w:rPr>
          <w:rFonts w:ascii="Times New Roman" w:hAnsi="Times New Roman"/>
          <w:sz w:val="24"/>
          <w:szCs w:val="24"/>
        </w:rPr>
        <w:t xml:space="preserve"> and Ampicillin/</w:t>
      </w:r>
      <w:r>
        <w:rPr>
          <w:rFonts w:ascii="Times New Roman" w:hAnsi="Times New Roman"/>
          <w:sz w:val="24"/>
          <w:szCs w:val="24"/>
        </w:rPr>
        <w:t>cloxacillin</w:t>
      </w:r>
      <w:r>
        <w:rPr>
          <w:rFonts w:ascii="Times New Roman" w:hAnsi="Times New Roman"/>
          <w:sz w:val="24"/>
          <w:szCs w:val="24"/>
        </w:rPr>
        <w:t xml:space="preserve"> (68% each) while </w:t>
      </w:r>
      <w:r>
        <w:rPr>
          <w:rFonts w:ascii="Times New Roman" w:hAnsi="Times New Roman"/>
          <w:sz w:val="24"/>
          <w:szCs w:val="24"/>
        </w:rPr>
        <w:t>Sulphamethizole</w:t>
      </w:r>
      <w:r>
        <w:rPr>
          <w:rFonts w:ascii="Times New Roman" w:hAnsi="Times New Roman"/>
          <w:sz w:val="24"/>
          <w:szCs w:val="24"/>
        </w:rPr>
        <w:t xml:space="preserve"> (64%), </w:t>
      </w:r>
      <w:r>
        <w:rPr>
          <w:rFonts w:ascii="Times New Roman" w:hAnsi="Times New Roman"/>
          <w:sz w:val="24"/>
          <w:szCs w:val="24"/>
        </w:rPr>
        <w:t>Oxytetracycline</w:t>
      </w:r>
      <w:r>
        <w:rPr>
          <w:rFonts w:ascii="Times New Roman" w:hAnsi="Times New Roman"/>
          <w:sz w:val="24"/>
          <w:szCs w:val="24"/>
        </w:rPr>
        <w:t xml:space="preserve"> (56%), Gentamicin (39.00%) and others are less than 36%. Among </w:t>
      </w:r>
      <w:r>
        <w:rPr>
          <w:rFonts w:ascii="Times New Roman" w:hAnsi="Times New Roman"/>
          <w:i/>
          <w:sz w:val="24"/>
          <w:szCs w:val="24"/>
        </w:rPr>
        <w:t xml:space="preserve">Campylobacter jejuni </w:t>
      </w:r>
      <w:r>
        <w:rPr>
          <w:rFonts w:ascii="Times New Roman" w:hAnsi="Times New Roman"/>
          <w:sz w:val="24"/>
          <w:szCs w:val="24"/>
        </w:rPr>
        <w:t>isolates, highest resistance (83.33%) were recorded in Penicillin G, while lowest (13.88%) in Nalidixic acid (</w:t>
      </w:r>
      <w:r>
        <w:rPr>
          <w:rFonts w:ascii="Times New Roman" w:hAnsi="Times New Roman"/>
          <w:sz w:val="24"/>
          <w:szCs w:val="24"/>
        </w:rPr>
        <w:t>Table-0</w:t>
      </w:r>
      <w:r>
        <w:rPr>
          <w:rFonts w:ascii="Times New Roman" w:hAnsi="Times New Roman"/>
          <w:sz w:val="24"/>
          <w:szCs w:val="24"/>
        </w:rPr>
        <w:t xml:space="preserve">3 &amp; Fig. </w:t>
      </w:r>
      <w:r>
        <w:rPr>
          <w:rFonts w:ascii="Times New Roman" w:hAnsi="Times New Roman"/>
          <w:sz w:val="24"/>
          <w:szCs w:val="24"/>
        </w:rPr>
        <w:t>1</w:t>
      </w:r>
      <w:r>
        <w:rPr>
          <w:rFonts w:ascii="Times New Roman" w:hAnsi="Times New Roman"/>
          <w:sz w:val="24"/>
          <w:szCs w:val="24"/>
        </w:rPr>
        <w:t xml:space="preserve">) and in </w:t>
      </w:r>
      <w:r>
        <w:rPr>
          <w:rFonts w:ascii="Times New Roman" w:hAnsi="Times New Roman"/>
          <w:i/>
          <w:sz w:val="24"/>
          <w:szCs w:val="24"/>
        </w:rPr>
        <w:t xml:space="preserve">Campylobacter coli </w:t>
      </w:r>
      <w:r>
        <w:rPr>
          <w:rFonts w:ascii="Times New Roman" w:hAnsi="Times New Roman"/>
          <w:sz w:val="24"/>
          <w:szCs w:val="24"/>
        </w:rPr>
        <w:t>isolate</w:t>
      </w:r>
      <w:r>
        <w:rPr>
          <w:rFonts w:ascii="Times New Roman" w:hAnsi="Times New Roman"/>
          <w:i/>
          <w:sz w:val="24"/>
          <w:szCs w:val="24"/>
        </w:rPr>
        <w:t>s</w:t>
      </w:r>
      <w:r>
        <w:rPr>
          <w:rFonts w:ascii="Times New Roman" w:hAnsi="Times New Roman"/>
          <w:sz w:val="24"/>
          <w:szCs w:val="24"/>
        </w:rPr>
        <w:t xml:space="preserve">, highest resistance (84%) were in Penicillin G, while lowest (16.00% in Gentamicin. </w:t>
      </w:r>
      <w:r>
        <w:rPr>
          <w:rFonts w:ascii="Times New Roman" w:hAnsi="Times New Roman"/>
          <w:sz w:val="24"/>
          <w:szCs w:val="24"/>
        </w:rPr>
        <w:t>Rajagunalan</w:t>
      </w:r>
      <w:r>
        <w:rPr>
          <w:rFonts w:ascii="Times New Roman" w:hAnsi="Times New Roman"/>
          <w:sz w:val="24"/>
          <w:szCs w:val="24"/>
        </w:rPr>
        <w:t xml:space="preserve"> (2010</w:t>
      </w:r>
      <w:r>
        <w:rPr>
          <w:rFonts w:ascii="Times New Roman" w:hAnsi="Times New Roman"/>
          <w:sz w:val="24"/>
          <w:szCs w:val="24"/>
        </w:rPr>
        <w:t>)</w:t>
      </w:r>
      <w:r>
        <w:rPr>
          <w:rFonts w:ascii="Times New Roman" w:hAnsi="Times New Roman"/>
          <w:sz w:val="24"/>
          <w:szCs w:val="24"/>
        </w:rPr>
        <w:t xml:space="preserve"> also observed 93.75% resistance towards Penicillin G. </w:t>
      </w:r>
      <w:commentRangeStart w:id="15"/>
      <w:r>
        <w:rPr>
          <w:rFonts w:ascii="Times New Roman" w:hAnsi="Times New Roman"/>
          <w:sz w:val="24"/>
          <w:szCs w:val="24"/>
        </w:rPr>
        <w:t xml:space="preserve">Except Gentamicin </w:t>
      </w:r>
      <w:r>
        <w:rPr>
          <w:rFonts w:ascii="Times New Roman" w:hAnsi="Times New Roman"/>
          <w:i/>
          <w:sz w:val="24"/>
          <w:szCs w:val="24"/>
        </w:rPr>
        <w:t>C. coli</w:t>
      </w:r>
      <w:r>
        <w:rPr>
          <w:rFonts w:ascii="Times New Roman" w:hAnsi="Times New Roman"/>
          <w:sz w:val="24"/>
          <w:szCs w:val="24"/>
        </w:rPr>
        <w:t xml:space="preserve"> isolates showed higher or equal to the resistant of </w:t>
      </w:r>
      <w:r>
        <w:rPr>
          <w:rFonts w:ascii="Times New Roman" w:hAnsi="Times New Roman"/>
          <w:i/>
          <w:sz w:val="24"/>
          <w:szCs w:val="24"/>
        </w:rPr>
        <w:t xml:space="preserve">C. </w:t>
      </w:r>
      <w:r>
        <w:rPr>
          <w:rFonts w:ascii="Times New Roman" w:hAnsi="Times New Roman"/>
          <w:i/>
          <w:sz w:val="24"/>
          <w:szCs w:val="24"/>
        </w:rPr>
        <w:t>jejuni</w:t>
      </w:r>
      <w:r>
        <w:rPr>
          <w:rFonts w:ascii="Times New Roman" w:hAnsi="Times New Roman"/>
          <w:i/>
          <w:sz w:val="24"/>
          <w:szCs w:val="24"/>
        </w:rPr>
        <w:t xml:space="preserve"> </w:t>
      </w:r>
      <w:commentRangeEnd w:id="15"/>
      <w:r>
        <w:rPr>
          <w:rStyle w:val="style39"/>
        </w:rPr>
        <w:commentReference w:id="15"/>
      </w:r>
      <w:r>
        <w:rPr>
          <w:rFonts w:ascii="Times New Roman" w:hAnsi="Times New Roman"/>
          <w:sz w:val="24"/>
          <w:szCs w:val="24"/>
        </w:rPr>
        <w:t xml:space="preserve">to most of the antibiotics which is in conformity with the findings of </w:t>
      </w:r>
      <w:r>
        <w:rPr>
          <w:rFonts w:ascii="Times New Roman" w:hAnsi="Times New Roman"/>
          <w:sz w:val="24"/>
          <w:szCs w:val="24"/>
        </w:rPr>
        <w:t>Upadhyay</w:t>
      </w:r>
      <w:r>
        <w:rPr>
          <w:rFonts w:ascii="Times New Roman" w:hAnsi="Times New Roman"/>
          <w:sz w:val="24"/>
          <w:szCs w:val="24"/>
        </w:rPr>
        <w:t xml:space="preserve"> and </w:t>
      </w:r>
      <w:r>
        <w:rPr>
          <w:rFonts w:ascii="Times New Roman" w:hAnsi="Times New Roman"/>
          <w:sz w:val="24"/>
          <w:szCs w:val="24"/>
        </w:rPr>
        <w:t>Ipshita</w:t>
      </w:r>
      <w:r>
        <w:rPr>
          <w:rFonts w:ascii="Times New Roman" w:hAnsi="Times New Roman"/>
          <w:sz w:val="24"/>
          <w:szCs w:val="24"/>
        </w:rPr>
        <w:t xml:space="preserve"> (2017); </w:t>
      </w:r>
      <w:r>
        <w:rPr>
          <w:rFonts w:ascii="Times New Roman" w:hAnsi="Times New Roman"/>
          <w:sz w:val="24"/>
          <w:szCs w:val="24"/>
        </w:rPr>
        <w:t>Adzitey</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(2012). It reveals that use of Penicillin G either in domestic or wild animals for treatment of </w:t>
      </w:r>
      <w:r>
        <w:rPr>
          <w:rFonts w:ascii="Times New Roman" w:hAnsi="Times New Roman"/>
          <w:i/>
          <w:sz w:val="24"/>
          <w:szCs w:val="24"/>
        </w:rPr>
        <w:t>Campylobacteriosis</w:t>
      </w:r>
      <w:r>
        <w:rPr>
          <w:rFonts w:ascii="Times New Roman" w:hAnsi="Times New Roman"/>
          <w:sz w:val="24"/>
          <w:szCs w:val="24"/>
        </w:rPr>
        <w:t xml:space="preserve"> has no therapeutic effect. The antibiotic sensitivity pattern of Amikacin (64.00%) and Cefotaxim (69.45%) against Campylobacters in this study may be the drug of choice for treatment of </w:t>
      </w:r>
      <w:r>
        <w:rPr>
          <w:rFonts w:ascii="Times New Roman" w:hAnsi="Times New Roman"/>
          <w:i/>
          <w:sz w:val="24"/>
          <w:szCs w:val="24"/>
        </w:rPr>
        <w:t xml:space="preserve">Campylobacteriosis. </w:t>
      </w:r>
      <w:r>
        <w:rPr>
          <w:rFonts w:ascii="Times New Roman" w:hAnsi="Times New Roman"/>
          <w:sz w:val="24"/>
          <w:szCs w:val="24"/>
        </w:rPr>
        <w:t xml:space="preserve">Generally, captive wild animals receive antibiotics through feed and water as growth promoters, for prophylaxis and therapeutic purposes while non-captive wild animals did not receive antibiotics. The misuse/overuse of antibiotics in captive wild animals </w:t>
      </w:r>
      <w:commentRangeStart w:id="16"/>
      <w:r>
        <w:rPr>
          <w:rFonts w:ascii="Times New Roman" w:hAnsi="Times New Roman"/>
          <w:sz w:val="24"/>
          <w:szCs w:val="24"/>
        </w:rPr>
        <w:t xml:space="preserve">may leads to development of resistant strain </w:t>
      </w:r>
      <w:commentRangeEnd w:id="16"/>
      <w:r>
        <w:rPr>
          <w:rStyle w:val="style39"/>
        </w:rPr>
        <w:commentReference w:id="16"/>
      </w:r>
      <w:r>
        <w:rPr>
          <w:rFonts w:ascii="Times New Roman" w:hAnsi="Times New Roman"/>
          <w:sz w:val="24"/>
          <w:szCs w:val="24"/>
        </w:rPr>
        <w:t>of Campylobacters</w:t>
      </w:r>
      <w:r>
        <w:rPr>
          <w:rFonts w:ascii="Times New Roman" w:hAnsi="Times New Roman"/>
          <w:i/>
          <w:sz w:val="24"/>
          <w:szCs w:val="24"/>
        </w:rPr>
        <w:t>.</w:t>
      </w:r>
      <w:r>
        <w:rPr>
          <w:rFonts w:ascii="Times New Roman" w:hAnsi="Times New Roman"/>
          <w:sz w:val="24"/>
          <w:szCs w:val="24"/>
        </w:rPr>
        <w:t xml:space="preserve"> Campylobacters contaminated feed and water might be the source of transmission (either horizontal or vertical) from animal to animal, animal to human and </w:t>
      </w:r>
      <w:r>
        <w:rPr>
          <w:rFonts w:ascii="Times New Roman" w:hAnsi="Times New Roman"/>
          <w:sz w:val="24"/>
          <w:szCs w:val="24"/>
        </w:rPr>
        <w:t xml:space="preserve">human to human. </w:t>
      </w:r>
      <w:commentRangeStart w:id="17"/>
      <w:r>
        <w:rPr>
          <w:rFonts w:ascii="Times New Roman" w:hAnsi="Times New Roman"/>
          <w:sz w:val="24"/>
          <w:szCs w:val="24"/>
        </w:rPr>
        <w:t xml:space="preserve">Although gastroenteritis due to </w:t>
      </w:r>
      <w:r>
        <w:rPr>
          <w:rFonts w:ascii="Times New Roman" w:hAnsi="Times New Roman"/>
          <w:i/>
          <w:sz w:val="24"/>
          <w:szCs w:val="24"/>
        </w:rPr>
        <w:t>Campylobacter</w:t>
      </w:r>
      <w:r>
        <w:rPr>
          <w:rFonts w:ascii="Times New Roman" w:hAnsi="Times New Roman"/>
          <w:sz w:val="24"/>
          <w:szCs w:val="24"/>
        </w:rPr>
        <w:t xml:space="preserve"> species is mostly mild and self-limiting in nature but occasionally severe dehydration become life-threatening</w:t>
      </w:r>
      <w:commentRangeEnd w:id="17"/>
      <w:r>
        <w:rPr>
          <w:rStyle w:val="style39"/>
        </w:rPr>
        <w:commentReference w:id="17"/>
      </w:r>
      <w:r>
        <w:rPr>
          <w:rFonts w:ascii="Times New Roman" w:hAnsi="Times New Roman"/>
          <w:sz w:val="24"/>
          <w:szCs w:val="24"/>
        </w:rPr>
        <w:t xml:space="preserve"> and requires antibacterial treatment. Sippy </w:t>
      </w:r>
      <w:r>
        <w:rPr>
          <w:rFonts w:ascii="Times New Roman" w:hAnsi="Times New Roman"/>
          <w:i/>
          <w:sz w:val="24"/>
          <w:szCs w:val="24"/>
        </w:rPr>
        <w:t>et al.</w:t>
      </w:r>
      <w:r>
        <w:rPr>
          <w:rFonts w:ascii="Times New Roman" w:hAnsi="Times New Roman"/>
          <w:sz w:val="24"/>
          <w:szCs w:val="24"/>
        </w:rPr>
        <w:t xml:space="preserve"> (2012) stated that wild birds may serve as vehicles and/or reservoirs for the transmission of pathogenic and antibiotic-resistant </w:t>
      </w:r>
      <w:r>
        <w:rPr>
          <w:rFonts w:ascii="Times New Roman" w:hAnsi="Times New Roman"/>
          <w:i/>
          <w:sz w:val="24"/>
          <w:szCs w:val="24"/>
        </w:rPr>
        <w:t>Campylobacter</w:t>
      </w:r>
      <w:r>
        <w:rPr>
          <w:rFonts w:ascii="Times New Roman" w:hAnsi="Times New Roman"/>
          <w:sz w:val="24"/>
          <w:szCs w:val="24"/>
        </w:rPr>
        <w:t xml:space="preserve"> to domestic livestock. The presence of antibiotic-resistant </w:t>
      </w:r>
      <w:r>
        <w:rPr>
          <w:rFonts w:ascii="Times New Roman" w:hAnsi="Times New Roman"/>
          <w:i/>
          <w:sz w:val="24"/>
          <w:szCs w:val="24"/>
        </w:rPr>
        <w:t>Campylobacter</w:t>
      </w:r>
      <w:r>
        <w:rPr>
          <w:rFonts w:ascii="Times New Roman" w:hAnsi="Times New Roman"/>
          <w:sz w:val="24"/>
          <w:szCs w:val="24"/>
        </w:rPr>
        <w:t xml:space="preserve"> in wild</w:t>
      </w:r>
      <w:r>
        <w:rPr>
          <w:rFonts w:ascii="Times New Roman" w:hAnsi="Times New Roman"/>
          <w:sz w:val="24"/>
          <w:szCs w:val="24"/>
        </w:rPr>
        <w:t xml:space="preserve"> </w:t>
      </w:r>
      <w:r>
        <w:rPr>
          <w:rFonts w:ascii="Times New Roman" w:hAnsi="Times New Roman"/>
          <w:sz w:val="24"/>
          <w:szCs w:val="24"/>
        </w:rPr>
        <w:t xml:space="preserve">life populations could have important implications for public health. This study also indicates that except Gentamicin (16%) other antibiotics had comparatively higher percentage (&gt;24%) of resistance to </w:t>
      </w:r>
      <w:r>
        <w:rPr>
          <w:rFonts w:ascii="Times New Roman" w:hAnsi="Times New Roman"/>
          <w:i/>
          <w:sz w:val="24"/>
          <w:szCs w:val="24"/>
        </w:rPr>
        <w:t>C. coli</w:t>
      </w:r>
      <w:r>
        <w:rPr>
          <w:rFonts w:ascii="Times New Roman" w:hAnsi="Times New Roman"/>
          <w:sz w:val="24"/>
          <w:szCs w:val="24"/>
        </w:rPr>
        <w:t xml:space="preserve"> isolates. </w:t>
      </w:r>
      <w:r>
        <w:rPr>
          <w:rFonts w:ascii="Times New Roman" w:hAnsi="Times New Roman"/>
          <w:sz w:val="24"/>
          <w:szCs w:val="24"/>
        </w:rPr>
        <w:t>The</w:t>
      </w:r>
      <w:r>
        <w:rPr>
          <w:rFonts w:ascii="Times New Roman" w:hAnsi="Times New Roman"/>
          <w:sz w:val="24"/>
          <w:szCs w:val="24"/>
        </w:rPr>
        <w:t xml:space="preserve"> isolates of </w:t>
      </w:r>
      <w:r>
        <w:rPr>
          <w:rFonts w:ascii="Times New Roman" w:hAnsi="Times New Roman"/>
          <w:i/>
          <w:sz w:val="24"/>
          <w:szCs w:val="24"/>
        </w:rPr>
        <w:t>C. coli</w:t>
      </w:r>
      <w:r>
        <w:rPr>
          <w:rFonts w:ascii="Times New Roman" w:hAnsi="Times New Roman"/>
          <w:sz w:val="24"/>
          <w:szCs w:val="24"/>
        </w:rPr>
        <w:t xml:space="preserve"> showed higher percentage of antimicrobials resistance than isolates of </w:t>
      </w:r>
      <w:r>
        <w:rPr>
          <w:rFonts w:ascii="Times New Roman" w:hAnsi="Times New Roman"/>
          <w:i/>
          <w:sz w:val="24"/>
          <w:szCs w:val="24"/>
        </w:rPr>
        <w:t>C. jejuni.</w:t>
      </w:r>
      <w:r>
        <w:rPr>
          <w:rFonts w:ascii="Times New Roman" w:hAnsi="Times New Roman"/>
          <w:sz w:val="24"/>
          <w:szCs w:val="24"/>
        </w:rPr>
        <w:t xml:space="preserve"> Variability in resistance rates and multi</w:t>
      </w:r>
      <w:r>
        <w:rPr>
          <w:rFonts w:ascii="Times New Roman" w:hAnsi="Times New Roman"/>
          <w:sz w:val="24"/>
          <w:szCs w:val="24"/>
        </w:rPr>
        <w:t xml:space="preserve"> </w:t>
      </w:r>
      <w:r>
        <w:rPr>
          <w:rFonts w:ascii="Times New Roman" w:hAnsi="Times New Roman"/>
          <w:sz w:val="24"/>
          <w:szCs w:val="24"/>
        </w:rPr>
        <w:t>resistant patterns were also observed in poultry carcasses and slaughter</w:t>
      </w:r>
      <w:r>
        <w:rPr>
          <w:rFonts w:ascii="Times New Roman" w:hAnsi="Times New Roman"/>
          <w:sz w:val="24"/>
          <w:szCs w:val="24"/>
        </w:rPr>
        <w:t xml:space="preserve"> </w:t>
      </w:r>
      <w:r>
        <w:rPr>
          <w:rFonts w:ascii="Times New Roman" w:hAnsi="Times New Roman"/>
          <w:sz w:val="24"/>
          <w:szCs w:val="24"/>
        </w:rPr>
        <w:t xml:space="preserve">houses by </w:t>
      </w:r>
      <w:r>
        <w:rPr>
          <w:rFonts w:ascii="Times New Roman" w:hAnsi="Times New Roman"/>
          <w:color w:val="000000"/>
          <w:sz w:val="24"/>
          <w:szCs w:val="24"/>
        </w:rPr>
        <w:t>Schreyer</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in which</w:t>
      </w:r>
      <w:r>
        <w:rPr>
          <w:rFonts w:ascii="Times New Roman" w:hAnsi="Times New Roman"/>
          <w:i/>
          <w:sz w:val="24"/>
          <w:szCs w:val="24"/>
        </w:rPr>
        <w:t xml:space="preserve"> C. coli </w:t>
      </w:r>
      <w:r>
        <w:rPr>
          <w:rFonts w:ascii="Times New Roman" w:hAnsi="Times New Roman"/>
          <w:sz w:val="24"/>
          <w:szCs w:val="24"/>
        </w:rPr>
        <w:t xml:space="preserve">exhibited significantly greater prevalence of antibiotic resistant than </w:t>
      </w:r>
      <w:r>
        <w:rPr>
          <w:rFonts w:ascii="Times New Roman" w:hAnsi="Times New Roman"/>
          <w:i/>
          <w:sz w:val="24"/>
          <w:szCs w:val="24"/>
        </w:rPr>
        <w:t xml:space="preserve">C. </w:t>
      </w:r>
      <w:r>
        <w:rPr>
          <w:rFonts w:ascii="Times New Roman" w:hAnsi="Times New Roman"/>
          <w:i/>
          <w:sz w:val="24"/>
          <w:szCs w:val="24"/>
        </w:rPr>
        <w:t>jejuni</w:t>
      </w:r>
      <w:r>
        <w:rPr>
          <w:rFonts w:ascii="Times New Roman" w:hAnsi="Times New Roman"/>
          <w:sz w:val="24"/>
          <w:szCs w:val="24"/>
        </w:rPr>
        <w:t xml:space="preserve"> to clindamycin, gentamicin and kanamycin but less resistance to florfenicol. Hence, identification of the specific species epithet is important for treatment success. Presence of antibiotic resistant Campylobacters in wild mammals and domestic grazing animals were also reported by Lee </w:t>
      </w:r>
      <w:r>
        <w:rPr>
          <w:rFonts w:ascii="Times New Roman" w:hAnsi="Times New Roman"/>
          <w:i/>
          <w:sz w:val="24"/>
          <w:szCs w:val="24"/>
        </w:rPr>
        <w:t>et al.</w:t>
      </w:r>
      <w:r>
        <w:rPr>
          <w:rFonts w:ascii="Times New Roman" w:hAnsi="Times New Roman"/>
          <w:sz w:val="24"/>
          <w:szCs w:val="24"/>
        </w:rPr>
        <w:t xml:space="preserve"> (2022), rather more abundance of Antibiotic-resistant microorganisms (ARMs) and antibiotic resistance genes (ARGs) compared to grazing cattle and the transmission of microorganisms occurs at the wildlife- livestock interface. </w:t>
      </w:r>
    </w:p>
    <w:p>
      <w:pPr>
        <w:pStyle w:val="style0"/>
        <w:autoSpaceDE w:val="false"/>
        <w:autoSpaceDN w:val="false"/>
        <w:adjustRightInd w:val="false"/>
        <w:spacing w:before="120" w:after="120" w:lineRule="auto" w:line="372"/>
        <w:ind w:firstLine="720"/>
        <w:jc w:val="both"/>
        <w:rPr>
          <w:rFonts w:ascii="Times New Roman" w:hAnsi="Times New Roman"/>
          <w:sz w:val="24"/>
          <w:szCs w:val="24"/>
        </w:rPr>
      </w:pPr>
      <w:r>
        <w:rPr>
          <w:rFonts w:ascii="Times New Roman" w:hAnsi="Times New Roman"/>
          <w:sz w:val="24"/>
          <w:szCs w:val="24"/>
        </w:rPr>
        <w:t xml:space="preserve">Among the 61 positive Campylobacter isolates in our study, 60% originated from ruminants, 30% from non-ruminants, and 10% from birds. Campylobacter jejuni was predominantly found in ruminants, with non-captive deer accounting for 80% of cases, while C. coli was more prevalent in captive non-ruminants and birds. This suggests that ruminants' guts harbor more Campylobacter than non-ruminants'. Ruminants possess a more diverse microbiota due to the metabolic potential and nutritional diversity of bacteria compared to monogastric animals. Lee </w:t>
      </w:r>
      <w:r>
        <w:rPr>
          <w:rFonts w:ascii="Times New Roman" w:hAnsi="Times New Roman"/>
          <w:i/>
          <w:sz w:val="24"/>
          <w:szCs w:val="24"/>
        </w:rPr>
        <w:t>et al.</w:t>
      </w:r>
      <w:r>
        <w:rPr>
          <w:rFonts w:ascii="Times New Roman" w:hAnsi="Times New Roman"/>
          <w:sz w:val="24"/>
          <w:szCs w:val="24"/>
        </w:rPr>
        <w:t xml:space="preserve"> (2022) additionally noted a higher prevalence of Cefotaxim-resistant bacteria in wildlife and environmental samples than in grazing cattle. The cohabitation of cattle and wildlife may influence antibiotic resistance prevalence and shape microbiota structure at the wildlife-livestock interface.</w:t>
      </w:r>
    </w:p>
    <w:p>
      <w:pPr>
        <w:pStyle w:val="style0"/>
        <w:autoSpaceDE w:val="false"/>
        <w:autoSpaceDN w:val="false"/>
        <w:adjustRightInd w:val="false"/>
        <w:spacing w:before="120" w:after="120" w:lineRule="auto" w:line="372"/>
        <w:jc w:val="both"/>
        <w:rPr>
          <w:rFonts w:ascii="Times New Roman" w:cs="Times New Roman" w:hAnsi="Times New Roman"/>
          <w:b/>
          <w:sz w:val="24"/>
          <w:szCs w:val="24"/>
        </w:rPr>
      </w:pPr>
      <w:r>
        <w:rPr>
          <w:rFonts w:ascii="Times New Roman" w:cs="Times New Roman" w:hAnsi="Times New Roman"/>
          <w:b/>
          <w:sz w:val="24"/>
          <w:szCs w:val="24"/>
        </w:rPr>
        <w:t>CONCLUSIONS</w:t>
      </w:r>
    </w:p>
    <w:p>
      <w:pPr>
        <w:pStyle w:val="style0"/>
        <w:autoSpaceDE w:val="false"/>
        <w:autoSpaceDN w:val="false"/>
        <w:adjustRightInd w:val="false"/>
        <w:spacing w:before="120" w:after="120" w:lineRule="auto" w:line="372"/>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antibiotic susceptibility profiles of all 61 isolates (36 </w:t>
      </w:r>
      <w:r>
        <w:rPr>
          <w:rFonts w:ascii="Times New Roman" w:cs="Times New Roman" w:hAnsi="Times New Roman"/>
          <w:i/>
          <w:color w:val="000000"/>
          <w:sz w:val="24"/>
          <w:szCs w:val="24"/>
        </w:rPr>
        <w:t>C. jejuni</w:t>
      </w:r>
      <w:r>
        <w:rPr>
          <w:rFonts w:ascii="Times New Roman" w:cs="Times New Roman" w:hAnsi="Times New Roman"/>
          <w:color w:val="000000"/>
          <w:sz w:val="24"/>
          <w:szCs w:val="24"/>
        </w:rPr>
        <w:t xml:space="preserve"> and 25 </w:t>
      </w:r>
      <w:r>
        <w:rPr>
          <w:rFonts w:ascii="Times New Roman" w:cs="Times New Roman" w:hAnsi="Times New Roman"/>
          <w:i/>
          <w:color w:val="000000"/>
          <w:sz w:val="24"/>
          <w:szCs w:val="24"/>
        </w:rPr>
        <w:t>C. coli</w:t>
      </w:r>
      <w:r>
        <w:rPr>
          <w:rFonts w:ascii="Times New Roman" w:cs="Times New Roman" w:hAnsi="Times New Roman"/>
          <w:color w:val="000000"/>
          <w:sz w:val="24"/>
          <w:szCs w:val="24"/>
        </w:rPr>
        <w:t xml:space="preserve">) revealed over 84% resistance to Penicillin G, followed by Ciprofloxacin and </w:t>
      </w:r>
      <w:r>
        <w:rPr>
          <w:rFonts w:ascii="Times New Roman" w:cs="Times New Roman" w:hAnsi="Times New Roman"/>
          <w:color w:val="000000"/>
          <w:sz w:val="24"/>
          <w:szCs w:val="24"/>
        </w:rPr>
        <w:t xml:space="preserve">Ampicillin/Cloxacillin (68% each), while </w:t>
      </w:r>
      <w:r>
        <w:rPr>
          <w:rFonts w:ascii="Times New Roman" w:cs="Times New Roman" w:hAnsi="Times New Roman"/>
          <w:color w:val="000000"/>
          <w:sz w:val="24"/>
          <w:szCs w:val="24"/>
        </w:rPr>
        <w:t>Sulphamethizole</w:t>
      </w:r>
      <w:r>
        <w:rPr>
          <w:rFonts w:ascii="Times New Roman" w:cs="Times New Roman" w:hAnsi="Times New Roman"/>
          <w:color w:val="000000"/>
          <w:sz w:val="24"/>
          <w:szCs w:val="24"/>
        </w:rPr>
        <w:t xml:space="preserve"> (64%), </w:t>
      </w:r>
      <w:r>
        <w:rPr>
          <w:rFonts w:ascii="Times New Roman" w:cs="Times New Roman" w:hAnsi="Times New Roman"/>
          <w:color w:val="000000"/>
          <w:sz w:val="24"/>
          <w:szCs w:val="24"/>
        </w:rPr>
        <w:t>Oxytetracycline</w:t>
      </w:r>
      <w:r>
        <w:rPr>
          <w:rFonts w:ascii="Times New Roman" w:cs="Times New Roman" w:hAnsi="Times New Roman"/>
          <w:color w:val="000000"/>
          <w:sz w:val="24"/>
          <w:szCs w:val="24"/>
        </w:rPr>
        <w:t xml:space="preserve"> (56%), and Gentamicin (39.00%) showed resistance levels below 36%. Among </w:t>
      </w:r>
      <w:r>
        <w:rPr>
          <w:rFonts w:ascii="Times New Roman" w:cs="Times New Roman" w:hAnsi="Times New Roman"/>
          <w:i/>
          <w:color w:val="000000"/>
          <w:sz w:val="24"/>
          <w:szCs w:val="24"/>
        </w:rPr>
        <w:t>Campylobacter jejuni</w:t>
      </w:r>
      <w:r>
        <w:rPr>
          <w:rFonts w:ascii="Times New Roman" w:cs="Times New Roman" w:hAnsi="Times New Roman"/>
          <w:color w:val="000000"/>
          <w:sz w:val="24"/>
          <w:szCs w:val="24"/>
        </w:rPr>
        <w:t xml:space="preserve"> isolates, the highest resistance (83.33%) was recorded against Penicillin G, while the lowest (13.88%) was against Nalidixic acid. For </w:t>
      </w:r>
      <w:r>
        <w:rPr>
          <w:rFonts w:ascii="Times New Roman" w:cs="Times New Roman" w:hAnsi="Times New Roman"/>
          <w:i/>
          <w:color w:val="000000"/>
          <w:sz w:val="24"/>
          <w:szCs w:val="24"/>
        </w:rPr>
        <w:t>Campylobacter coli</w:t>
      </w:r>
      <w:r>
        <w:rPr>
          <w:rFonts w:ascii="Times New Roman" w:cs="Times New Roman" w:hAnsi="Times New Roman"/>
          <w:color w:val="000000"/>
          <w:sz w:val="24"/>
          <w:szCs w:val="24"/>
        </w:rPr>
        <w:t xml:space="preserve"> isolates, the highest resistance (84%) was to Penicillin G, with the lowest (16.00%) against Gentamicin. Amikacin (64.00%) and Cefotaxim (69.45%) demonstrated favorable sensitivity against Campylobacters, suggesting </w:t>
      </w:r>
      <w:commentRangeStart w:id="18"/>
      <w:r>
        <w:rPr>
          <w:rFonts w:ascii="Times New Roman" w:cs="Times New Roman" w:hAnsi="Times New Roman"/>
          <w:color w:val="000000"/>
          <w:sz w:val="24"/>
          <w:szCs w:val="24"/>
        </w:rPr>
        <w:t xml:space="preserve">them as </w:t>
      </w:r>
      <w:commentRangeEnd w:id="18"/>
      <w:r>
        <w:rPr>
          <w:rStyle w:val="style39"/>
        </w:rPr>
        <w:commentReference w:id="18"/>
      </w:r>
      <w:r>
        <w:rPr>
          <w:rFonts w:ascii="Times New Roman" w:cs="Times New Roman" w:hAnsi="Times New Roman"/>
          <w:color w:val="000000"/>
          <w:sz w:val="24"/>
          <w:szCs w:val="24"/>
        </w:rPr>
        <w:t xml:space="preserve">preferred treatment options for Campylobacteriosis. Therefore, Gentamicin (60.00%), Amikacin (64.00%), and </w:t>
      </w:r>
      <w:r>
        <w:rPr>
          <w:rFonts w:ascii="Times New Roman" w:cs="Times New Roman" w:hAnsi="Times New Roman"/>
          <w:color w:val="000000"/>
          <w:sz w:val="24"/>
          <w:szCs w:val="24"/>
        </w:rPr>
        <w:t>Cefotaxim</w:t>
      </w:r>
      <w:r>
        <w:rPr>
          <w:rFonts w:ascii="Times New Roman" w:cs="Times New Roman" w:hAnsi="Times New Roman"/>
          <w:color w:val="000000"/>
          <w:sz w:val="24"/>
          <w:szCs w:val="24"/>
        </w:rPr>
        <w:t xml:space="preserve"> (69.45%) </w:t>
      </w:r>
      <w:r>
        <w:rPr>
          <w:rFonts w:ascii="Times New Roman" w:cs="Times New Roman" w:hAnsi="Times New Roman"/>
          <w:color w:val="000000"/>
          <w:sz w:val="24"/>
          <w:szCs w:val="24"/>
        </w:rPr>
        <w:t>may be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considered</w:t>
      </w:r>
      <w:r>
        <w:rPr>
          <w:rFonts w:ascii="Times New Roman" w:cs="Times New Roman" w:hAnsi="Times New Roman"/>
          <w:color w:val="000000"/>
          <w:sz w:val="24"/>
          <w:szCs w:val="24"/>
        </w:rPr>
        <w:t xml:space="preserve"> as drugs of choice for treating Campylobacteriosis in wild animals based on the study's findings.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REFERENCES-</w:t>
      </w:r>
    </w:p>
    <w:p>
      <w:pPr>
        <w:pStyle w:val="style179"/>
        <w:numPr>
          <w:ilvl w:val="0"/>
          <w:numId w:val="3"/>
        </w:numPr>
        <w:spacing w:before="280" w:after="120" w:lineRule="auto" w:line="324"/>
        <w:jc w:val="both"/>
        <w:rPr>
          <w:rFonts w:ascii="Times New Roman" w:cs="Times New Roman" w:hAnsi="Times New Roman"/>
          <w:color w:val="000000"/>
          <w:sz w:val="24"/>
          <w:szCs w:val="24"/>
        </w:rPr>
      </w:pPr>
      <w:r>
        <w:rPr>
          <w:rFonts w:ascii="Times New Roman" w:cs="Times New Roman" w:hAnsi="Times New Roman"/>
          <w:color w:val="000000"/>
          <w:sz w:val="24"/>
          <w:szCs w:val="24"/>
        </w:rPr>
        <w:t>Adzitey</w:t>
      </w:r>
      <w:r>
        <w:rPr>
          <w:rFonts w:ascii="Times New Roman" w:cs="Times New Roman" w:hAnsi="Times New Roman"/>
          <w:color w:val="000000"/>
          <w:sz w:val="24"/>
          <w:szCs w:val="24"/>
        </w:rPr>
        <w:t xml:space="preserve">, F., </w:t>
      </w:r>
      <w:r>
        <w:rPr>
          <w:rFonts w:ascii="Times New Roman" w:cs="Times New Roman" w:hAnsi="Times New Roman"/>
          <w:color w:val="000000"/>
          <w:sz w:val="24"/>
          <w:szCs w:val="24"/>
        </w:rPr>
        <w:t>Rusul</w:t>
      </w:r>
      <w:r>
        <w:rPr>
          <w:rFonts w:ascii="Times New Roman" w:cs="Times New Roman" w:hAnsi="Times New Roman"/>
          <w:color w:val="000000"/>
          <w:sz w:val="24"/>
          <w:szCs w:val="24"/>
        </w:rPr>
        <w:t xml:space="preserve">, G., Huda, N., Cogan, T., &amp; Corry, J. (2012). Prevalence, antibiotic resistance and RAPD typing of Campylobacter species isolated from ducks, their rearing and processing environments in Penang, Malaysia. International Journal of Food Microbiology, 154, 197–205. </w:t>
      </w:r>
      <w:r>
        <w:rPr/>
        <w:fldChar w:fldCharType="begin"/>
      </w:r>
      <w:r>
        <w:instrText xml:space="preserve"> HYPERLINK "https://doi.org/10.1016/j.ijfoodmicro.2012.01.006" </w:instrText>
      </w:r>
      <w:r>
        <w:rPr/>
        <w:fldChar w:fldCharType="separate"/>
      </w:r>
      <w:r>
        <w:rPr>
          <w:rStyle w:val="style85"/>
          <w:rFonts w:ascii="Times New Roman" w:cs="Times New Roman" w:hAnsi="Times New Roman"/>
          <w:sz w:val="24"/>
          <w:szCs w:val="24"/>
        </w:rPr>
        <w:t>https://doi.org/10.1016/j.ijfoodmicro.2012.01.006</w:t>
      </w:r>
      <w:r>
        <w:rPr/>
        <w:fldChar w:fldCharType="end"/>
      </w:r>
      <w:r>
        <w:rPr>
          <w:rFonts w:ascii="Times New Roman" w:cs="Times New Roman" w:hAnsi="Times New Roman"/>
          <w:color w:val="000000"/>
          <w:sz w:val="24"/>
          <w:szCs w:val="24"/>
        </w:rPr>
        <w:t xml:space="preserve"> </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hAnsi="Times New Roman"/>
          <w:bCs/>
          <w:color w:val="000000"/>
          <w:sz w:val="24"/>
          <w:szCs w:val="24"/>
        </w:rPr>
        <w:t xml:space="preserve">García-Sánchez, L., </w:t>
      </w:r>
      <w:r>
        <w:rPr>
          <w:rFonts w:ascii="Times New Roman" w:cs="Times New Roman" w:hAnsi="Times New Roman"/>
          <w:bCs/>
          <w:color w:val="000000"/>
          <w:sz w:val="24"/>
          <w:szCs w:val="24"/>
        </w:rPr>
        <w:t>Melero</w:t>
      </w:r>
      <w:r>
        <w:rPr>
          <w:rFonts w:ascii="Times New Roman" w:cs="Times New Roman" w:hAnsi="Times New Roman"/>
          <w:bCs/>
          <w:color w:val="000000"/>
          <w:sz w:val="24"/>
          <w:szCs w:val="24"/>
        </w:rPr>
        <w:t xml:space="preserve">, B., &amp; </w:t>
      </w:r>
      <w:r>
        <w:rPr>
          <w:rFonts w:ascii="Times New Roman" w:cs="Times New Roman" w:hAnsi="Times New Roman"/>
          <w:bCs/>
          <w:color w:val="000000"/>
          <w:sz w:val="24"/>
          <w:szCs w:val="24"/>
        </w:rPr>
        <w:t>Rovira</w:t>
      </w:r>
      <w:r>
        <w:rPr>
          <w:rFonts w:ascii="Times New Roman" w:cs="Times New Roman" w:hAnsi="Times New Roman"/>
          <w:bCs/>
          <w:color w:val="000000"/>
          <w:sz w:val="24"/>
          <w:szCs w:val="24"/>
        </w:rPr>
        <w:t xml:space="preserve">, J. (2018). Campylobacter in the food chain. Advances in Food and Nutrition Research, 86, 215–252. </w:t>
      </w:r>
      <w:r>
        <w:rPr/>
        <w:fldChar w:fldCharType="begin"/>
      </w:r>
      <w:r>
        <w:instrText xml:space="preserve"> HYPERLINK "https://doi.org/10.1016/bs.afnr.2018.04.005" </w:instrText>
      </w:r>
      <w:r>
        <w:rPr/>
        <w:fldChar w:fldCharType="separate"/>
      </w:r>
      <w:r>
        <w:rPr>
          <w:rStyle w:val="style85"/>
          <w:rFonts w:ascii="Times New Roman" w:cs="Times New Roman" w:hAnsi="Times New Roman"/>
          <w:bCs/>
          <w:sz w:val="24"/>
          <w:szCs w:val="24"/>
        </w:rPr>
        <w:t>https://doi.org/10.1016/bs.afnr.2018.04.005</w:t>
      </w:r>
      <w:r>
        <w:rPr/>
        <w:fldChar w:fldCharType="end"/>
      </w:r>
      <w:r>
        <w:rPr>
          <w:rFonts w:ascii="Times New Roman" w:cs="Times New Roman" w:hAnsi="Times New Roman"/>
          <w:bCs/>
          <w:color w:val="000000"/>
          <w:sz w:val="24"/>
          <w:szCs w:val="24"/>
        </w:rPr>
        <w:t xml:space="preserve"> </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eastAsia="MS Mincho" w:hAnsi="Times New Roman"/>
          <w:bCs/>
          <w:color w:val="000000"/>
          <w:sz w:val="24"/>
          <w:szCs w:val="24"/>
        </w:rPr>
        <w:t xml:space="preserve">GBD 2016 </w:t>
      </w:r>
      <w:r>
        <w:rPr>
          <w:rFonts w:ascii="Times New Roman" w:cs="Times New Roman" w:eastAsia="MS Mincho" w:hAnsi="Times New Roman"/>
          <w:bCs/>
          <w:color w:val="000000"/>
          <w:sz w:val="24"/>
          <w:szCs w:val="24"/>
        </w:rPr>
        <w:t>Diarrhoeal</w:t>
      </w:r>
      <w:r>
        <w:rPr>
          <w:rFonts w:ascii="Times New Roman" w:cs="Times New Roman" w:eastAsia="MS Mincho" w:hAnsi="Times New Roman"/>
          <w:bCs/>
          <w:color w:val="000000"/>
          <w:sz w:val="24"/>
          <w:szCs w:val="24"/>
        </w:rPr>
        <w:t xml:space="preserve"> Disease Collaborators. (2018). Estimates of the global, regional, and national morbidity, mortality, and </w:t>
      </w:r>
      <w:r>
        <w:rPr>
          <w:rFonts w:ascii="Times New Roman" w:cs="Times New Roman" w:eastAsia="MS Mincho" w:hAnsi="Times New Roman"/>
          <w:bCs/>
          <w:color w:val="000000"/>
          <w:sz w:val="24"/>
          <w:szCs w:val="24"/>
        </w:rPr>
        <w:t>aetiologies</w:t>
      </w:r>
      <w:r>
        <w:rPr>
          <w:rFonts w:ascii="Times New Roman" w:cs="Times New Roman" w:eastAsia="MS Mincho" w:hAnsi="Times New Roman"/>
          <w:bCs/>
          <w:color w:val="000000"/>
          <w:sz w:val="24"/>
          <w:szCs w:val="24"/>
        </w:rPr>
        <w:t xml:space="preserve"> of </w:t>
      </w:r>
      <w:r>
        <w:rPr>
          <w:rFonts w:ascii="Times New Roman" w:cs="Times New Roman" w:eastAsia="MS Mincho" w:hAnsi="Times New Roman"/>
          <w:bCs/>
          <w:color w:val="000000"/>
          <w:sz w:val="24"/>
          <w:szCs w:val="24"/>
        </w:rPr>
        <w:t>diarrhoea</w:t>
      </w:r>
      <w:r>
        <w:rPr>
          <w:rFonts w:ascii="Times New Roman" w:cs="Times New Roman" w:eastAsia="MS Mincho" w:hAnsi="Times New Roman"/>
          <w:bCs/>
          <w:color w:val="000000"/>
          <w:sz w:val="24"/>
          <w:szCs w:val="24"/>
        </w:rPr>
        <w:t xml:space="preserve"> in 195 countries: a systematic analysis for the Global Burden of Disease Study 2016. The Lancet Infectious Diseases, 18(11), 1211-1228. </w:t>
      </w:r>
      <w:r>
        <w:rPr/>
        <w:fldChar w:fldCharType="begin"/>
      </w:r>
      <w:r>
        <w:instrText xml:space="preserve"> HYPERLINK "https://doi.org/10.1016/S1473-3099(18)30362-1" </w:instrText>
      </w:r>
      <w:r>
        <w:rPr/>
        <w:fldChar w:fldCharType="separate"/>
      </w:r>
      <w:r>
        <w:rPr>
          <w:rStyle w:val="style85"/>
          <w:rFonts w:ascii="Times New Roman" w:cs="Times New Roman" w:eastAsia="MS Mincho" w:hAnsi="Times New Roman"/>
          <w:bCs/>
          <w:sz w:val="24"/>
          <w:szCs w:val="24"/>
        </w:rPr>
        <w:t>https://doi.org/10.1016/S1473-3099(18)30362-</w:t>
      </w:r>
      <w:r>
        <w:rPr>
          <w:rStyle w:val="style85"/>
        </w:rPr>
        <w:t>1</w:t>
      </w:r>
      <w:r>
        <w:rPr/>
        <w:fldChar w:fldCharType="end"/>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t>Gebreyes</w:t>
      </w:r>
      <w:r>
        <w:t xml:space="preserve">, W. A., Thakur, S., &amp; Morrow, W. E. M. (2005). Campylobacter coli: prevalence and antimicrobial resistance in antimicrobial-free (ABF) swine production systems. Journal of Antimicrobial Chemotherapy, 56(4), 765–768. </w:t>
      </w:r>
      <w:r>
        <w:rPr/>
        <w:fldChar w:fldCharType="begin"/>
      </w:r>
      <w:r>
        <w:instrText xml:space="preserve"> HYPERLINK "https://doi.org/10.1093/jac/dki305" </w:instrText>
      </w:r>
      <w:r>
        <w:rPr/>
        <w:fldChar w:fldCharType="separate"/>
      </w:r>
      <w:r>
        <w:rPr>
          <w:rStyle w:val="style85"/>
        </w:rPr>
        <w:t>https://doi.org/10.1093/jac/dki305</w:t>
      </w:r>
      <w:r>
        <w:rPr/>
        <w:fldChar w:fldCharType="end"/>
      </w:r>
    </w:p>
    <w:p>
      <w:pPr>
        <w:pStyle w:val="style179"/>
        <w:numPr>
          <w:ilvl w:val="0"/>
          <w:numId w:val="3"/>
        </w:numPr>
        <w:spacing w:before="280" w:after="120" w:lineRule="auto" w:line="324"/>
        <w:jc w:val="both"/>
        <w:rPr>
          <w:rFonts w:ascii="Times New Roman" w:cs="Times New Roman" w:eastAsia="Times New Roman" w:hAnsi="Times New Roman"/>
          <w:color w:val="000000"/>
          <w:sz w:val="24"/>
          <w:szCs w:val="24"/>
        </w:rPr>
      </w:pPr>
      <w:r>
        <w:t>Iovine</w:t>
      </w:r>
      <w:r>
        <w:t xml:space="preserve">, N. M. (2013). Resistance mechanisms in Campylobacter </w:t>
      </w:r>
      <w:r>
        <w:t>jejuni</w:t>
      </w:r>
      <w:r>
        <w:t xml:space="preserve">. Virulence, 4(3), 230–240. </w:t>
      </w:r>
      <w:r>
        <w:rPr/>
        <w:fldChar w:fldCharType="begin"/>
      </w:r>
      <w:r>
        <w:instrText xml:space="preserve"> HYPERLINK "https://doi.org/10.4161/viru.23753" </w:instrText>
      </w:r>
      <w:r>
        <w:rPr/>
        <w:fldChar w:fldCharType="separate"/>
      </w:r>
      <w:r>
        <w:rPr>
          <w:rStyle w:val="style85"/>
        </w:rPr>
        <w:t>https://doi.org/10.4161/viru.23753</w:t>
      </w:r>
      <w:r>
        <w:rPr/>
        <w:fldChar w:fldCharType="end"/>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t xml:space="preserve">ISO. (2017). Microbiology of the food chain — Horizontal method for detection and enumeration of Campylobacter spp. — Part 1: Detection method (ISO 10272-1:2017). </w:t>
      </w:r>
      <w:r>
        <w:rPr/>
        <w:fldChar w:fldCharType="begin"/>
      </w:r>
      <w:r>
        <w:instrText xml:space="preserve"> HYPERLINK "https://webstore.ansi.org/standards/iso/iso1027212017" </w:instrText>
      </w:r>
      <w:r>
        <w:rPr/>
        <w:fldChar w:fldCharType="separate"/>
      </w:r>
      <w:r>
        <w:rPr>
          <w:rStyle w:val="style85"/>
        </w:rPr>
        <w:t>https://webstore.ansi.org/standards/iso/iso1027212017</w:t>
      </w:r>
      <w:r>
        <w:rPr/>
        <w:fldChar w:fldCharType="end"/>
      </w:r>
      <w:r>
        <w:t xml:space="preserve"> </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eastAsia="MS Mincho" w:hAnsi="Times New Roman"/>
          <w:bCs/>
          <w:color w:val="000000"/>
          <w:sz w:val="24"/>
          <w:szCs w:val="24"/>
        </w:rPr>
        <w:t xml:space="preserve">Jain, D., Sinha, S., Prasad, K.N., &amp; Pandey, C.M. (2005). Campylobacter species and drug resistance in a north Indian rural community. Transactions of the Royal Society of Tropical Medicine and Hygiene, 99(3), 207–214. </w:t>
      </w:r>
      <w:r>
        <w:rPr/>
        <w:fldChar w:fldCharType="begin"/>
      </w:r>
      <w:r>
        <w:instrText xml:space="preserve"> HYPERLINK "https://doi.org/10.1016/j.trstmh.2004.09.006" </w:instrText>
      </w:r>
      <w:r>
        <w:rPr/>
        <w:fldChar w:fldCharType="separate"/>
      </w:r>
      <w:r>
        <w:rPr>
          <w:rStyle w:val="style85"/>
          <w:rFonts w:ascii="Times New Roman" w:cs="Times New Roman" w:eastAsia="MS Mincho" w:hAnsi="Times New Roman"/>
          <w:bCs/>
          <w:sz w:val="24"/>
          <w:szCs w:val="24"/>
        </w:rPr>
        <w:t>https://doi.org/10.1016/j.trstmh.2004.09.</w:t>
      </w:r>
      <w:r>
        <w:rPr>
          <w:rStyle w:val="style85"/>
        </w:rPr>
        <w:t>006</w:t>
      </w:r>
      <w:r>
        <w:rPr/>
        <w:fldChar w:fldCharType="end"/>
      </w:r>
    </w:p>
    <w:p>
      <w:pPr>
        <w:pStyle w:val="style179"/>
        <w:numPr>
          <w:ilvl w:val="0"/>
          <w:numId w:val="3"/>
        </w:numPr>
        <w:autoSpaceDE w:val="false"/>
        <w:autoSpaceDN w:val="false"/>
        <w:adjustRightInd w:val="false"/>
        <w:spacing w:before="280" w:after="120" w:lineRule="auto" w:line="324"/>
        <w:jc w:val="both"/>
        <w:rPr>
          <w:rFonts w:ascii="Times New Roman" w:cs="Times New Roman" w:hAnsi="Times New Roman"/>
          <w:i/>
          <w:color w:val="000000"/>
          <w:sz w:val="24"/>
          <w:szCs w:val="24"/>
        </w:rPr>
      </w:pPr>
      <w:r>
        <w:t xml:space="preserve">Lee, S., Fan, P., Liu, T., Yang, A., Boughton, R. K., Pepin, K. M., Miller, R. S., &amp; </w:t>
      </w:r>
      <w:r>
        <w:t>Jeong</w:t>
      </w:r>
      <w:r>
        <w:t xml:space="preserve">, K. C. (2022). Transmission of antibiotic resistance at the wildlife-livestock interface. Communications Biology, 5(1), 585. </w:t>
      </w:r>
      <w:r>
        <w:rPr/>
        <w:fldChar w:fldCharType="begin"/>
      </w:r>
      <w:r>
        <w:instrText xml:space="preserve"> HYPERLINK "https://doi.org/10.1038/s42003-022-03520-8" </w:instrText>
      </w:r>
      <w:r>
        <w:rPr/>
        <w:fldChar w:fldCharType="separate"/>
      </w:r>
      <w:r>
        <w:rPr>
          <w:rStyle w:val="style85"/>
        </w:rPr>
        <w:t>https://doi.org/10.1038/s42003-022-03520-8</w:t>
      </w:r>
      <w:r>
        <w:rPr/>
        <w:fldChar w:fldCharType="end"/>
      </w:r>
      <w:r>
        <w:t xml:space="preserve"> </w:t>
      </w:r>
    </w:p>
    <w:p>
      <w:pPr>
        <w:pStyle w:val="style179"/>
        <w:numPr>
          <w:ilvl w:val="0"/>
          <w:numId w:val="3"/>
        </w:numPr>
        <w:autoSpaceDE w:val="false"/>
        <w:autoSpaceDN w:val="false"/>
        <w:adjustRightInd w:val="false"/>
        <w:spacing w:before="280" w:after="120" w:lineRule="auto" w:line="324"/>
        <w:jc w:val="both"/>
        <w:rPr>
          <w:rFonts w:ascii="Times New Roman" w:cs="Times New Roman" w:hAnsi="Times New Roman"/>
          <w:i/>
          <w:color w:val="000000"/>
          <w:sz w:val="24"/>
          <w:szCs w:val="24"/>
        </w:rPr>
      </w:pPr>
      <w:r>
        <w:rPr>
          <w:rFonts w:ascii="Times New Roman" w:cs="Times New Roman" w:hAnsi="Times New Roman"/>
          <w:color w:val="000000"/>
          <w:sz w:val="24"/>
          <w:szCs w:val="24"/>
        </w:rPr>
        <w:t>Rajagunalan</w:t>
      </w:r>
      <w:r>
        <w:rPr>
          <w:rFonts w:ascii="Times New Roman" w:cs="Times New Roman" w:hAnsi="Times New Roman"/>
          <w:color w:val="000000"/>
          <w:sz w:val="24"/>
          <w:szCs w:val="24"/>
        </w:rPr>
        <w:t xml:space="preserve">, S. </w:t>
      </w:r>
      <w:r>
        <w:rPr>
          <w:rFonts w:ascii="Times New Roman" w:cs="Times New Roman" w:hAnsi="Times New Roman"/>
          <w:b/>
          <w:color w:val="000000"/>
          <w:sz w:val="24"/>
          <w:szCs w:val="24"/>
        </w:rPr>
        <w:t>2010</w:t>
      </w:r>
      <w:r>
        <w:rPr>
          <w:rFonts w:ascii="Times New Roman" w:cs="Times New Roman" w:hAnsi="Times New Roman"/>
          <w:color w:val="000000"/>
          <w:sz w:val="24"/>
          <w:szCs w:val="24"/>
        </w:rPr>
        <w:t xml:space="preserve">. Isolation, PCR based identification and </w:t>
      </w:r>
      <w:r>
        <w:rPr>
          <w:rFonts w:ascii="Times New Roman" w:cs="Times New Roman" w:hAnsi="Times New Roman"/>
          <w:i/>
          <w:color w:val="000000"/>
          <w:sz w:val="24"/>
          <w:szCs w:val="24"/>
        </w:rPr>
        <w:t>fla</w:t>
      </w:r>
      <w:r>
        <w:rPr>
          <w:rFonts w:ascii="Times New Roman" w:cs="Times New Roman" w:hAnsi="Times New Roman"/>
          <w:color w:val="000000"/>
          <w:sz w:val="24"/>
          <w:szCs w:val="24"/>
        </w:rPr>
        <w:t xml:space="preserve"> typing of thermophilic Campylobacters.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Thesis, </w:t>
      </w:r>
      <w:r>
        <w:rPr>
          <w:rFonts w:ascii="Times New Roman" w:cs="Times New Roman" w:eastAsia="TimesNewRomanPSMT" w:hAnsi="Times New Roman"/>
          <w:color w:val="000000"/>
          <w:sz w:val="24"/>
          <w:szCs w:val="24"/>
        </w:rPr>
        <w:t>Master of Veterinary Science, G. B. Pant University of Agriculture and Technology, Pantnagar, Uttarakhand, India</w:t>
      </w:r>
      <w:r>
        <w:rPr>
          <w:rFonts w:ascii="Times New Roman" w:cs="Times New Roman" w:hAnsi="Times New Roman"/>
          <w:color w:val="000000"/>
          <w:sz w:val="24"/>
          <w:szCs w:val="24"/>
        </w:rPr>
        <w:t>. pp 45-48.</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eastAsia="MS Mincho" w:hAnsi="Times New Roman"/>
          <w:bCs/>
          <w:color w:val="000000"/>
          <w:sz w:val="24"/>
          <w:szCs w:val="24"/>
        </w:rPr>
        <w:t>Sahin</w:t>
      </w:r>
      <w:r>
        <w:rPr>
          <w:rFonts w:ascii="Times New Roman" w:cs="Times New Roman" w:eastAsia="MS Mincho" w:hAnsi="Times New Roman"/>
          <w:bCs/>
          <w:color w:val="000000"/>
          <w:sz w:val="24"/>
          <w:szCs w:val="24"/>
        </w:rPr>
        <w:t xml:space="preserve">, O., Yaeger, M., Wu, Z., &amp; Zhang, Q. (2017). Campylobacter-associated diseases in animals. Annual Review of Animal Biosciences, 5, 21-42. </w:t>
      </w:r>
      <w:r>
        <w:rPr/>
        <w:fldChar w:fldCharType="begin"/>
      </w:r>
      <w:r>
        <w:instrText xml:space="preserve"> HYPERLINK "https://doi.org/10.1146/annurev-animal-022516-022826" </w:instrText>
      </w:r>
      <w:r>
        <w:rPr/>
        <w:fldChar w:fldCharType="separate"/>
      </w:r>
      <w:r>
        <w:rPr>
          <w:rStyle w:val="style85"/>
          <w:rFonts w:ascii="Times New Roman" w:cs="Times New Roman" w:eastAsia="MS Mincho" w:hAnsi="Times New Roman"/>
          <w:bCs/>
          <w:sz w:val="24"/>
          <w:szCs w:val="24"/>
        </w:rPr>
        <w:t>https://doi.org/10.1146/annurev-animal-022516-022826</w:t>
      </w:r>
      <w:r>
        <w:rPr/>
        <w:fldChar w:fldCharType="end"/>
      </w:r>
      <w:r>
        <w:rPr>
          <w:rFonts w:ascii="Times New Roman" w:cs="Times New Roman" w:eastAsia="MS Mincho" w:hAnsi="Times New Roman"/>
          <w:bCs/>
          <w:color w:val="000000"/>
          <w:sz w:val="24"/>
          <w:szCs w:val="24"/>
        </w:rPr>
        <w:t xml:space="preserve"> </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hAnsi="Times New Roman"/>
          <w:color w:val="000000"/>
          <w:sz w:val="24"/>
          <w:szCs w:val="24"/>
        </w:rPr>
        <w:t xml:space="preserve">Schreyer, M. E., Olivero, C. R., </w:t>
      </w:r>
      <w:r>
        <w:rPr>
          <w:rFonts w:ascii="Times New Roman" w:cs="Times New Roman" w:hAnsi="Times New Roman"/>
          <w:color w:val="000000"/>
          <w:sz w:val="24"/>
          <w:szCs w:val="24"/>
        </w:rPr>
        <w:t>Rossler</w:t>
      </w:r>
      <w:r>
        <w:rPr>
          <w:rFonts w:ascii="Times New Roman" w:cs="Times New Roman" w:hAnsi="Times New Roman"/>
          <w:color w:val="000000"/>
          <w:sz w:val="24"/>
          <w:szCs w:val="24"/>
        </w:rPr>
        <w:t xml:space="preserve">, E., Soto, L. P., </w:t>
      </w:r>
      <w:r>
        <w:rPr>
          <w:rFonts w:ascii="Times New Roman" w:cs="Times New Roman" w:hAnsi="Times New Roman"/>
          <w:color w:val="000000"/>
          <w:sz w:val="24"/>
          <w:szCs w:val="24"/>
        </w:rPr>
        <w:t>Frizzo</w:t>
      </w:r>
      <w:r>
        <w:rPr>
          <w:rFonts w:ascii="Times New Roman" w:cs="Times New Roman" w:hAnsi="Times New Roman"/>
          <w:color w:val="000000"/>
          <w:sz w:val="24"/>
          <w:szCs w:val="24"/>
        </w:rPr>
        <w:t xml:space="preserve">, L. S., Zimmermann, J. A., </w:t>
      </w:r>
      <w:r>
        <w:rPr>
          <w:rFonts w:ascii="Times New Roman" w:cs="Times New Roman" w:hAnsi="Times New Roman"/>
          <w:color w:val="000000"/>
          <w:sz w:val="24"/>
          <w:szCs w:val="24"/>
        </w:rPr>
        <w:t>Signorini</w:t>
      </w:r>
      <w:r>
        <w:rPr>
          <w:rFonts w:ascii="Times New Roman" w:cs="Times New Roman" w:hAnsi="Times New Roman"/>
          <w:color w:val="000000"/>
          <w:sz w:val="24"/>
          <w:szCs w:val="24"/>
        </w:rPr>
        <w:t xml:space="preserve">, M. L., &amp; </w:t>
      </w:r>
      <w:r>
        <w:rPr>
          <w:rFonts w:ascii="Times New Roman" w:cs="Times New Roman" w:hAnsi="Times New Roman"/>
          <w:color w:val="000000"/>
          <w:sz w:val="24"/>
          <w:szCs w:val="24"/>
        </w:rPr>
        <w:t>Zbrun</w:t>
      </w:r>
      <w:r>
        <w:rPr>
          <w:rFonts w:ascii="Times New Roman" w:cs="Times New Roman" w:hAnsi="Times New Roman"/>
          <w:color w:val="000000"/>
          <w:sz w:val="24"/>
          <w:szCs w:val="24"/>
        </w:rPr>
        <w:t xml:space="preserve">, M. V. (2022). Prevalence and antimicrobial resistance of Campylobacter </w:t>
      </w:r>
      <w:r>
        <w:rPr>
          <w:rFonts w:ascii="Times New Roman" w:cs="Times New Roman" w:hAnsi="Times New Roman"/>
          <w:color w:val="000000"/>
          <w:sz w:val="24"/>
          <w:szCs w:val="24"/>
        </w:rPr>
        <w:t>jejuni</w:t>
      </w:r>
      <w:r>
        <w:rPr>
          <w:rFonts w:ascii="Times New Roman" w:cs="Times New Roman" w:hAnsi="Times New Roman"/>
          <w:color w:val="000000"/>
          <w:sz w:val="24"/>
          <w:szCs w:val="24"/>
        </w:rPr>
        <w:t xml:space="preserve"> and C. coli identified in a slaughterhouse in Argentina. Current Research in Food Science, 5, 590–597. </w:t>
      </w:r>
      <w:r>
        <w:rPr/>
        <w:fldChar w:fldCharType="begin"/>
      </w:r>
      <w:r>
        <w:instrText xml:space="preserve"> HYPERLINK "https://doi.org/10.1016/j.crfs.2022.03.005" </w:instrText>
      </w:r>
      <w:r>
        <w:rPr/>
        <w:fldChar w:fldCharType="separate"/>
      </w:r>
      <w:r>
        <w:rPr>
          <w:rStyle w:val="style85"/>
          <w:rFonts w:ascii="Times New Roman" w:cs="Times New Roman" w:hAnsi="Times New Roman"/>
          <w:sz w:val="24"/>
          <w:szCs w:val="24"/>
        </w:rPr>
        <w:t>https://doi.org/10.1016/j.crfs.2022.03.005</w:t>
      </w:r>
      <w:r>
        <w:rPr/>
        <w:fldChar w:fldCharType="end"/>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hAnsi="Times New Roman"/>
          <w:color w:val="000000"/>
          <w:sz w:val="24"/>
          <w:szCs w:val="24"/>
        </w:rPr>
        <w:t xml:space="preserve">Singh, N.K., Upadhyay, A.K., </w:t>
      </w:r>
      <w:r>
        <w:rPr>
          <w:rFonts w:ascii="Times New Roman" w:cs="Times New Roman" w:hAnsi="Times New Roman"/>
          <w:color w:val="000000"/>
          <w:sz w:val="24"/>
          <w:szCs w:val="24"/>
        </w:rPr>
        <w:t xml:space="preserve">Masnsi., Kumar, R., Kamboj, A., </w:t>
      </w:r>
      <w:r>
        <w:rPr>
          <w:rFonts w:ascii="Times New Roman" w:cs="Times New Roman" w:hAnsi="Times New Roman"/>
          <w:color w:val="000000"/>
          <w:sz w:val="24"/>
          <w:szCs w:val="24"/>
        </w:rPr>
        <w:t>Ambwani</w:t>
      </w:r>
      <w:r>
        <w:rPr>
          <w:rFonts w:ascii="Times New Roman" w:cs="Times New Roman" w:hAnsi="Times New Roman"/>
          <w:color w:val="000000"/>
          <w:sz w:val="24"/>
          <w:szCs w:val="24"/>
        </w:rPr>
        <w:t>, T.K., Sharma, H.</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Shukla, N.</w:t>
      </w:r>
      <w:r>
        <w:rPr>
          <w:rFonts w:ascii="Times New Roman" w:cs="Times New Roman" w:hAnsi="Times New Roman"/>
          <w:color w:val="000000"/>
          <w:sz w:val="24"/>
          <w:szCs w:val="24"/>
        </w:rPr>
        <w:t xml:space="preserve"> and Kumar, A. </w:t>
      </w:r>
      <w:r>
        <w:rPr>
          <w:rFonts w:ascii="Times New Roman" w:cs="Times New Roman" w:hAnsi="Times New Roman"/>
          <w:b/>
          <w:color w:val="000000"/>
          <w:sz w:val="24"/>
          <w:szCs w:val="24"/>
        </w:rPr>
        <w:t>2022</w:t>
      </w:r>
      <w:r>
        <w:rPr>
          <w:rFonts w:ascii="Times New Roman" w:cs="Times New Roman" w:hAnsi="Times New Roman"/>
          <w:b/>
          <w:color w:val="000000"/>
          <w:sz w:val="24"/>
          <w:szCs w:val="24"/>
        </w:rPr>
        <w:t>b</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Comparative Studies on Growth Performance of Thermophilic Campylobacters Isolated from Wild animals on different culture media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Biological Forum-An International Journal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14</w:t>
      </w:r>
      <w:r>
        <w:rPr>
          <w:rFonts w:ascii="Times New Roman" w:cs="Times New Roman" w:hAnsi="Times New Roman"/>
          <w:color w:val="000000"/>
          <w:sz w:val="24"/>
          <w:szCs w:val="24"/>
        </w:rPr>
        <w:t>(</w:t>
      </w:r>
      <w:r>
        <w:rPr>
          <w:rFonts w:ascii="Times New Roman" w:cs="Times New Roman" w:hAnsi="Times New Roman"/>
          <w:color w:val="000000"/>
          <w:sz w:val="24"/>
          <w:szCs w:val="24"/>
        </w:rPr>
        <w:t>2</w:t>
      </w:r>
      <w:r>
        <w:rPr>
          <w:rFonts w:ascii="Times New Roman" w:cs="Times New Roman" w:hAnsi="Times New Roman"/>
          <w:color w:val="000000"/>
          <w:sz w:val="24"/>
          <w:szCs w:val="24"/>
        </w:rPr>
        <w:t>): 1</w:t>
      </w:r>
      <w:r>
        <w:rPr>
          <w:rFonts w:ascii="Times New Roman" w:cs="Times New Roman" w:hAnsi="Times New Roman"/>
          <w:color w:val="000000"/>
          <w:sz w:val="24"/>
          <w:szCs w:val="24"/>
        </w:rPr>
        <w:t>060</w:t>
      </w:r>
      <w:r>
        <w:rPr>
          <w:rFonts w:ascii="Times New Roman" w:cs="Times New Roman" w:hAnsi="Times New Roman"/>
          <w:color w:val="000000"/>
          <w:sz w:val="24"/>
          <w:szCs w:val="24"/>
        </w:rPr>
        <w:t>-1</w:t>
      </w:r>
      <w:r>
        <w:rPr>
          <w:rFonts w:ascii="Times New Roman" w:cs="Times New Roman" w:hAnsi="Times New Roman"/>
          <w:color w:val="000000"/>
          <w:sz w:val="24"/>
          <w:szCs w:val="24"/>
        </w:rPr>
        <w:t>063</w:t>
      </w:r>
      <w:r>
        <w:rPr>
          <w:rFonts w:ascii="Times New Roman" w:cs="Times New Roman" w:hAnsi="Times New Roman"/>
          <w:color w:val="000000"/>
          <w:sz w:val="24"/>
          <w:szCs w:val="24"/>
        </w:rPr>
        <w:t>.</w:t>
      </w:r>
    </w:p>
    <w:p>
      <w:pPr>
        <w:pStyle w:val="style179"/>
        <w:numPr>
          <w:ilvl w:val="0"/>
          <w:numId w:val="3"/>
        </w:numPr>
        <w:spacing w:before="280" w:after="120" w:lineRule="auto" w:line="312"/>
        <w:jc w:val="both"/>
        <w:rPr>
          <w:rFonts w:ascii="Times New Roman" w:cs="Times New Roman" w:hAnsi="Times New Roman"/>
          <w:color w:val="000000"/>
          <w:sz w:val="24"/>
          <w:szCs w:val="24"/>
        </w:rPr>
      </w:pPr>
      <w:r>
        <w:rPr>
          <w:rFonts w:ascii="Times New Roman" w:cs="Times New Roman" w:hAnsi="Times New Roman"/>
          <w:bCs/>
          <w:color w:val="000000"/>
          <w:sz w:val="24"/>
          <w:szCs w:val="24"/>
        </w:rPr>
        <w:t xml:space="preserve">Sippy, R., Sandoval-Green, C. M. J., </w:t>
      </w:r>
      <w:r>
        <w:rPr>
          <w:rFonts w:ascii="Times New Roman" w:cs="Times New Roman" w:hAnsi="Times New Roman"/>
          <w:bCs/>
          <w:color w:val="000000"/>
          <w:sz w:val="24"/>
          <w:szCs w:val="24"/>
        </w:rPr>
        <w:t>Sahin</w:t>
      </w:r>
      <w:r>
        <w:rPr>
          <w:rFonts w:ascii="Times New Roman" w:cs="Times New Roman" w:hAnsi="Times New Roman"/>
          <w:bCs/>
          <w:color w:val="000000"/>
          <w:sz w:val="24"/>
          <w:szCs w:val="24"/>
        </w:rPr>
        <w:t xml:space="preserve">, O., Plummer, P., Fairbanks, W. S., Zhang, Q., &amp; </w:t>
      </w:r>
      <w:r>
        <w:rPr>
          <w:rFonts w:ascii="Times New Roman" w:cs="Times New Roman" w:hAnsi="Times New Roman"/>
          <w:bCs/>
          <w:color w:val="000000"/>
          <w:sz w:val="24"/>
          <w:szCs w:val="24"/>
        </w:rPr>
        <w:t>Blanchong</w:t>
      </w:r>
      <w:r>
        <w:rPr>
          <w:rFonts w:ascii="Times New Roman" w:cs="Times New Roman" w:hAnsi="Times New Roman"/>
          <w:bCs/>
          <w:color w:val="000000"/>
          <w:sz w:val="24"/>
          <w:szCs w:val="24"/>
        </w:rPr>
        <w:t xml:space="preserve">, J. A. (2012). Occurrence and molecular analysis of Campylobacter in wildlife on livestock farms. Veterinary Microbiology, 157, 369-375. </w:t>
      </w:r>
      <w:r>
        <w:rPr/>
        <w:fldChar w:fldCharType="begin"/>
      </w:r>
      <w:r>
        <w:instrText xml:space="preserve"> HYPERLINK "https://doi.org/10.1016/j.vetmic.2011.12.026" </w:instrText>
      </w:r>
      <w:r>
        <w:rPr/>
        <w:fldChar w:fldCharType="separate"/>
      </w:r>
      <w:r>
        <w:rPr>
          <w:rStyle w:val="style85"/>
          <w:rFonts w:ascii="Times New Roman" w:cs="Times New Roman" w:hAnsi="Times New Roman"/>
          <w:bCs/>
          <w:sz w:val="24"/>
          <w:szCs w:val="24"/>
        </w:rPr>
        <w:t>https://doi.org/10.1016/j.vetmic.2011.12.</w:t>
      </w:r>
      <w:r>
        <w:rPr>
          <w:rStyle w:val="style85"/>
        </w:rPr>
        <w:t>026</w:t>
      </w:r>
      <w:r>
        <w:rPr/>
        <w:fldChar w:fldCharType="end"/>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t xml:space="preserve">Upadhyay, A. K., &amp; </w:t>
      </w:r>
      <w:r>
        <w:t>Ipshita</w:t>
      </w:r>
      <w:r>
        <w:t xml:space="preserve">. (2017). Studies </w:t>
      </w:r>
      <w:r>
        <w:t>On</w:t>
      </w:r>
      <w:r>
        <w:t xml:space="preserve"> Campylobacters Of </w:t>
      </w:r>
      <w:r>
        <w:t>Kumaun</w:t>
      </w:r>
      <w:r>
        <w:t xml:space="preserve"> Of </w:t>
      </w:r>
      <w:r>
        <w:t>Uttarakhand</w:t>
      </w:r>
      <w:r>
        <w:t xml:space="preserve">. International Journal of Research in Science and Technology. </w:t>
      </w:r>
      <w:r>
        <w:rPr/>
        <w:fldChar w:fldCharType="begin"/>
      </w:r>
      <w:r>
        <w:instrText xml:space="preserve"> HYPERLINK "https://doi.org/10.24327/ijrsr.2017.0806.0384" </w:instrText>
      </w:r>
      <w:r>
        <w:rPr/>
        <w:fldChar w:fldCharType="separate"/>
      </w:r>
      <w:r>
        <w:rPr>
          <w:rStyle w:val="style85"/>
        </w:rPr>
        <w:t>https://doi.org/10.24327/ijrsr.2017.0806.0384</w:t>
      </w:r>
      <w:r>
        <w:rPr/>
        <w:fldChar w:fldCharType="end"/>
      </w:r>
      <w:r>
        <w:t xml:space="preserve"> </w:t>
      </w:r>
    </w:p>
    <w:p>
      <w:pPr>
        <w:pStyle w:val="style179"/>
        <w:numPr>
          <w:ilvl w:val="0"/>
          <w:numId w:val="3"/>
        </w:numPr>
        <w:spacing w:before="280" w:after="120" w:lineRule="auto" w:line="324"/>
        <w:jc w:val="both"/>
        <w:rPr>
          <w:rFonts w:ascii="Times New Roman" w:cs="Times New Roman" w:eastAsia="MS Mincho" w:hAnsi="Times New Roman"/>
          <w:color w:val="000000"/>
          <w:sz w:val="24"/>
          <w:szCs w:val="24"/>
        </w:rPr>
      </w:pPr>
      <w:r>
        <w:rPr>
          <w:rFonts w:ascii="Times New Roman" w:cs="Times New Roman" w:hAnsi="Times New Roman"/>
          <w:bCs/>
          <w:color w:val="000000"/>
          <w:sz w:val="24"/>
          <w:szCs w:val="24"/>
        </w:rPr>
        <w:t xml:space="preserve">World Health Organization. (2020). Campylobacter. </w:t>
      </w:r>
      <w:r>
        <w:rPr/>
        <w:fldChar w:fldCharType="begin"/>
      </w:r>
      <w:r>
        <w:instrText xml:space="preserve"> HYPERLINK "https://www.who.int/news-room/fact-sheets/detail/campylobacter" </w:instrText>
      </w:r>
      <w:r>
        <w:rPr/>
        <w:fldChar w:fldCharType="separate"/>
      </w:r>
      <w:r>
        <w:rPr>
          <w:rStyle w:val="style85"/>
          <w:rFonts w:ascii="Times New Roman" w:cs="Times New Roman" w:hAnsi="Times New Roman"/>
          <w:bCs/>
          <w:sz w:val="24"/>
          <w:szCs w:val="24"/>
        </w:rPr>
        <w:t>https://www.who.int/news-room/fact-sheets/detail/campylobacter</w:t>
      </w:r>
      <w:r>
        <w:rPr/>
        <w:fldChar w:fldCharType="end"/>
      </w:r>
      <w:r>
        <w:rPr>
          <w:rFonts w:ascii="Times New Roman" w:cs="Times New Roman" w:hAnsi="Times New Roman"/>
          <w:bCs/>
          <w:color w:val="000000"/>
          <w:sz w:val="24"/>
          <w:szCs w:val="24"/>
        </w:rPr>
        <w:t xml:space="preserve"> </w:t>
      </w:r>
    </w:p>
    <w:p>
      <w:pPr>
        <w:pStyle w:val="style179"/>
        <w:spacing w:before="280" w:after="120" w:lineRule="auto" w:line="324"/>
        <w:jc w:val="both"/>
        <w:rPr>
          <w:rFonts w:ascii="Times New Roman" w:cs="Times New Roman" w:hAnsi="Times New Roman"/>
          <w:iCs/>
          <w:color w:val="000000"/>
          <w:sz w:val="24"/>
          <w:szCs w:val="24"/>
        </w:rPr>
      </w:pPr>
    </w:p>
    <w:sectPr>
      <w:headerReference w:type="even" r:id="rId5"/>
      <w:headerReference w:type="default" r:id="rId6"/>
      <w:footerReference w:type="even" r:id="rId7"/>
      <w:footerReference w:type="default" r:id="rId8"/>
      <w:headerReference w:type="first" r:id="rId9"/>
      <w:pgSz w:w="12240" w:h="15840" w:orient="portrait"/>
      <w:pgMar w:top="117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Maher" w:date="٢٠٢٥-١٢-١٢T٢١:٢٧:٠٠Z" w:initials="MF">
    <w:p w14:paraId="1">
      <w:pPr>
        <w:pStyle w:val="style30"/>
        <w:rPr/>
      </w:pPr>
      <w:r>
        <w:rPr>
          <w:rStyle w:val="style39"/>
        </w:rPr>
        <w:annotationRef/>
      </w:r>
      <w:r>
        <w:t>was</w:t>
      </w:r>
    </w:p>
  </w:comment>
  <w:comment w:id="2" w:author="Maher" w:date="٢٠٢٥-١٢-١٢T٢١:٢٧:٠٠Z" w:initials="MF">
    <w:p w14:paraId="2">
      <w:pPr>
        <w:pStyle w:val="style30"/>
        <w:rPr/>
      </w:pPr>
      <w:r>
        <w:rPr>
          <w:rStyle w:val="style39"/>
        </w:rPr>
        <w:annotationRef/>
      </w:r>
      <w:r>
        <w:rPr>
          <w:rFonts w:ascii="Times New Roman" w:cs="Times New Roman" w:hAnsi="Times New Roman"/>
          <w:bCs/>
          <w:color w:val="000000"/>
          <w:shd w:val="clear" w:color="auto" w:fill="ffffff"/>
        </w:rPr>
        <w:t>pattern</w:t>
      </w:r>
      <w:r>
        <w:rPr>
          <w:rFonts w:ascii="Times New Roman" w:cs="Times New Roman" w:hAnsi="Times New Roman"/>
          <w:bCs/>
          <w:color w:val="000000"/>
          <w:shd w:val="clear" w:color="auto" w:fill="ffffff"/>
        </w:rPr>
        <w:t>s</w:t>
      </w:r>
    </w:p>
  </w:comment>
  <w:comment w:id="3" w:author="Maher" w:date="٢٠٢٥-١٢-١٢T٢١:٢٩:٠٠Z" w:initials="MF">
    <w:p w14:paraId="3">
      <w:pPr>
        <w:pStyle w:val="style30"/>
        <w:rPr/>
      </w:pPr>
      <w:r>
        <w:rPr>
          <w:rStyle w:val="style39"/>
        </w:rPr>
        <w:annotationRef/>
      </w:r>
      <w:r>
        <w:rPr>
          <w:rFonts w:ascii="Times New Roman" w:cs="Times New Roman" w:eastAsia="TimesNewRomanPS-BoldMT" w:hAnsi="Times New Roman"/>
          <w:bCs/>
        </w:rPr>
        <w:t>(</w:t>
      </w:r>
      <w:r>
        <w:rPr>
          <w:rFonts w:ascii="Times New Roman" w:cs="Times New Roman" w:eastAsia="TimesNewRomanPS-BoldMT" w:hAnsi="Times New Roman"/>
          <w:bCs/>
        </w:rPr>
        <w:t>59.68%</w:t>
      </w:r>
      <w:r>
        <w:rPr>
          <w:rFonts w:ascii="Times New Roman" w:cs="Times New Roman" w:eastAsia="TimesNewRomanPS-BoldMT" w:hAnsi="Times New Roman"/>
          <w:bCs/>
        </w:rPr>
        <w:t>)</w:t>
      </w:r>
    </w:p>
  </w:comment>
  <w:comment w:id="4" w:author="Maher" w:date="٢٠٢٥-١٢-١٢T٢١:٣٥:٠٠Z" w:initials="MF">
    <w:p w14:paraId="4">
      <w:pPr>
        <w:pStyle w:val="style30"/>
        <w:rPr/>
      </w:pPr>
      <w:r>
        <w:rPr>
          <w:rStyle w:val="style39"/>
        </w:rPr>
        <w:annotationRef/>
      </w:r>
      <w:r>
        <w:t xml:space="preserve">Given their sensitivity exceeding 60%, Gentamicin (60.00%), </w:t>
      </w:r>
      <w:r>
        <w:t>Amikacin(</w:t>
      </w:r>
      <w:r>
        <w:t>64.00%), and Cefotaxime (69.45%) may be considered drugs of choice</w:t>
      </w:r>
    </w:p>
  </w:comment>
  <w:comment w:id="5" w:author="Maher" w:date="٢٠٢٥-١٢-١٢T٢٢:٠٦:٠٠Z" w:initials="MF">
    <w:p w14:paraId="5">
      <w:pPr>
        <w:pStyle w:val="style30"/>
        <w:rPr/>
      </w:pPr>
      <w:r>
        <w:rPr>
          <w:rStyle w:val="style39"/>
        </w:rPr>
        <w:annotationRef/>
      </w:r>
      <w:r>
        <w:rPr>
          <w:rFonts w:ascii="Times New Roman" w:cs="Times New Roman" w:hAnsi="Times New Roman"/>
          <w:bCs/>
          <w:color w:val="000000"/>
          <w:sz w:val="24"/>
          <w:szCs w:val="24"/>
        </w:rPr>
        <w:t>concern</w:t>
      </w:r>
    </w:p>
  </w:comment>
  <w:comment w:id="6" w:author="Maher" w:date="٢٠٢٥-١٢-١٢T٢٢:٠٩:٠٠Z" w:initials="MF">
    <w:p w14:paraId="6">
      <w:pPr>
        <w:pStyle w:val="style30"/>
        <w:rPr/>
      </w:pPr>
      <w:r>
        <w:rPr>
          <w:rStyle w:val="style39"/>
        </w:rPr>
        <w:annotationRef/>
      </w:r>
      <w:r>
        <w:t>and</w:t>
      </w:r>
      <w:r>
        <w:t xml:space="preserve"> their</w:t>
      </w:r>
    </w:p>
  </w:comment>
  <w:comment w:id="7" w:author="Maher" w:date="٢٠٢٥-١٢-١٢T٢٢:١١:٠٠Z" w:initials="MF">
    <w:p w14:paraId="7">
      <w:pPr>
        <w:pStyle w:val="style30"/>
        <w:rPr/>
      </w:pPr>
      <w:r>
        <w:rPr>
          <w:rStyle w:val="style39"/>
        </w:rPr>
        <w:annotationRef/>
      </w:r>
      <w:r>
        <w:t>are</w:t>
      </w:r>
      <w:r>
        <w:t xml:space="preserve"> </w:t>
      </w:r>
      <w:r>
        <w:rPr>
          <w:rFonts w:ascii="Times New Roman" w:cs="Times New Roman" w:hAnsi="Times New Roman"/>
          <w:color w:val="000000"/>
          <w:sz w:val="24"/>
          <w:szCs w:val="24"/>
          <w:lang w:val="en-IN" w:eastAsia="en-IN"/>
        </w:rPr>
        <w:t>frequently</w:t>
      </w:r>
    </w:p>
  </w:comment>
  <w:comment w:id="8" w:author="Maher" w:date="٢٠٢٥-١٢-١٢T٢٢:١٣:٠٠Z" w:initials="MF">
    <w:p w14:paraId="8">
      <w:pPr>
        <w:pStyle w:val="style30"/>
        <w:rPr/>
      </w:pPr>
      <w:r>
        <w:rPr>
          <w:rStyle w:val="style39"/>
        </w:rPr>
        <w:annotationRef/>
      </w:r>
      <w:r>
        <w:t>D</w:t>
      </w:r>
    </w:p>
  </w:comment>
  <w:comment w:id="9" w:author="Maher" w:date="٢٠٢٥-١٢-١٢T٢٢:١٦:٠٠Z" w:initials="MF">
    <w:p w14:paraId="9">
      <w:pPr>
        <w:pStyle w:val="style30"/>
        <w:rPr/>
      </w:pPr>
      <w:r>
        <w:rPr>
          <w:rStyle w:val="style39"/>
        </w:rPr>
        <w:annotationRef/>
      </w:r>
      <w:r>
        <w:t>was</w:t>
      </w:r>
    </w:p>
  </w:comment>
  <w:comment w:id="10" w:author="Maher" w:date="٢٠٢٥-١٢-١٢T٢٢:٤١:٠٠Z" w:initials="MF">
    <w:p w14:paraId="10">
      <w:pPr>
        <w:pStyle w:val="style30"/>
        <w:rPr/>
      </w:pPr>
      <w:r>
        <w:rPr>
          <w:rStyle w:val="style39"/>
        </w:rPr>
        <w:annotationRef/>
      </w:r>
      <w:r>
        <w:t>an</w:t>
      </w:r>
      <w:r>
        <w:t xml:space="preserve"> </w:t>
      </w:r>
      <w:r>
        <w:rPr>
          <w:rFonts w:ascii="Times New Roman" w:hAnsi="Times New Roman"/>
          <w:sz w:val="24"/>
          <w:szCs w:val="24"/>
        </w:rPr>
        <w:t>absence</w:t>
      </w:r>
    </w:p>
  </w:comment>
  <w:comment w:id="11" w:author="Maher" w:date="٢٠٢٥-١٢-١٢T٢٢:٤٣:٠٠Z" w:initials="MF">
    <w:p w14:paraId="11">
      <w:pPr>
        <w:pStyle w:val="style30"/>
        <w:rPr/>
      </w:pPr>
      <w:r>
        <w:rPr>
          <w:rStyle w:val="style39"/>
        </w:rPr>
        <w:annotationRef/>
      </w:r>
      <w:r>
        <w:t xml:space="preserve"> </w:t>
      </w:r>
      <w:r>
        <w:t>the</w:t>
      </w:r>
    </w:p>
  </w:comment>
  <w:comment w:id="12" w:author="Maher" w:date="٢٠٢٥-١٢-١٢T٢٢:٣٤:٠٠Z" w:initials="MF">
    <w:p w14:paraId="12">
      <w:pPr>
        <w:pStyle w:val="style30"/>
        <w:rPr/>
      </w:pPr>
      <w:r>
        <w:rPr>
          <w:rStyle w:val="style39"/>
        </w:rPr>
        <w:annotationRef/>
      </w:r>
      <w:r>
        <w:t>Ciprofloxacin</w:t>
      </w:r>
    </w:p>
  </w:comment>
  <w:comment w:id="13" w:author="Maher" w:date="٢٠٢٥-١٢-١٢T٢٢:٣٣:٠٠Z" w:initials="MF">
    <w:p w14:paraId="13">
      <w:pPr>
        <w:pStyle w:val="style30"/>
        <w:rPr/>
      </w:pPr>
      <w:r>
        <w:rPr>
          <w:rStyle w:val="style39"/>
        </w:rPr>
        <w:annotationRef/>
      </w:r>
      <w:r>
        <w:t>delet</w:t>
      </w:r>
    </w:p>
  </w:comment>
  <w:comment w:id="14" w:author="Maher" w:date="٢٠٢٥-١٢-١٢T٢٢:٣٥:٠٠Z" w:initials="MF">
    <w:p w14:paraId="14">
      <w:pPr>
        <w:pStyle w:val="style30"/>
        <w:rPr/>
      </w:pPr>
      <w:r>
        <w:rPr>
          <w:rStyle w:val="style39"/>
        </w:rPr>
        <w:annotationRef/>
      </w:r>
      <w:r>
        <w:rPr>
          <w:rFonts w:ascii="Times New Roman" w:hAnsi="Times New Roman"/>
          <w:sz w:val="24"/>
          <w:szCs w:val="24"/>
        </w:rPr>
        <w:t>Cefotaxim</w:t>
      </w:r>
      <w:r>
        <w:rPr>
          <w:rFonts w:ascii="Times New Roman" w:hAnsi="Times New Roman"/>
          <w:sz w:val="24"/>
          <w:szCs w:val="24"/>
        </w:rPr>
        <w:t>e</w:t>
      </w:r>
    </w:p>
  </w:comment>
  <w:comment w:id="15" w:author="Maher" w:date="٢٠٢٥-١٢-١٢T٢٢:٤٦:٠٠Z" w:initials="MF">
    <w:p w14:paraId="15">
      <w:pPr>
        <w:pStyle w:val="style30"/>
        <w:rPr/>
      </w:pPr>
      <w:r>
        <w:rPr>
          <w:rStyle w:val="style39"/>
        </w:rPr>
        <w:annotationRef/>
      </w:r>
      <w:r>
        <w:t xml:space="preserve"> </w:t>
      </w:r>
      <w:r>
        <w:br/>
      </w:r>
      <w:r>
        <w:t xml:space="preserve"> </w:t>
      </w:r>
      <w:r>
        <w:rPr>
          <w:rStyle w:val="style98"/>
          <w:rFonts w:eastAsia="宋体"/>
        </w:rPr>
        <w:t xml:space="preserve">Except for Gentamicin, C. coli isolates showed equal or higher resistance compared to C. </w:t>
      </w:r>
      <w:r>
        <w:rPr>
          <w:rStyle w:val="style98"/>
          <w:rFonts w:eastAsia="宋体"/>
        </w:rPr>
        <w:t>jejuni</w:t>
      </w:r>
    </w:p>
  </w:comment>
  <w:comment w:id="16" w:author="Maher" w:date="٢٠٢٥-١٢-١٢T٢٢:٤٨:٠٠Z" w:initials="MF">
    <w:p w14:paraId="16">
      <w:pPr>
        <w:pStyle w:val="style30"/>
        <w:rPr/>
      </w:pPr>
      <w:r>
        <w:rPr>
          <w:rStyle w:val="style39"/>
        </w:rPr>
        <w:annotationRef/>
      </w:r>
      <w:r>
        <w:t>may</w:t>
      </w:r>
      <w:r>
        <w:t xml:space="preserve"> lead to the development of resistant strain</w:t>
      </w:r>
      <w:r>
        <w:t>s</w:t>
      </w:r>
    </w:p>
  </w:comment>
  <w:comment w:id="17" w:author="Maher" w:date="٢٠٢٥-١٢-١٢T٢٢:٥٠:٠٠Z" w:initials="MF">
    <w:p w14:paraId="17">
      <w:pPr>
        <w:pStyle w:val="style30"/>
        <w:rPr/>
      </w:pPr>
      <w:r>
        <w:rPr>
          <w:rStyle w:val="style39"/>
        </w:rPr>
        <w:annotationRef/>
      </w:r>
      <w:r>
        <w:t>→</w:t>
      </w:r>
      <w:r>
        <w:br/>
      </w:r>
      <w:r>
        <w:t xml:space="preserve"> </w:t>
      </w:r>
      <w:r>
        <w:rPr>
          <w:rStyle w:val="style98"/>
          <w:rFonts w:eastAsia="宋体"/>
        </w:rPr>
        <w:t>Although gastroenteritis due to Campylobacter species is mostly mild and self-limiting, severe dehydration can occasionally become life-threatening</w:t>
      </w:r>
    </w:p>
  </w:comment>
  <w:comment w:id="18" w:author="Maher" w:date="٢٠٢٥-١٢-١٢T٢٢:٥٥:٠٠Z" w:initials="MF">
    <w:p w14:paraId="18">
      <w:pPr>
        <w:pStyle w:val="style30"/>
        <w:rPr/>
      </w:pPr>
      <w:r>
        <w:rPr>
          <w:rStyle w:val="style39"/>
        </w:rPr>
        <w:annotationRef/>
      </w:r>
      <w:r>
        <w:t>they</w:t>
      </w:r>
      <w:r>
        <w:t xml:space="preserve"> may be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Mangal">
    <w:altName w:val="Mangal"/>
    <w:panose1 w:val="02040503050002030202"/>
    <w:charset w:val="00"/>
    <w:family w:val="roman"/>
    <w:pitch w:val="variable"/>
    <w:sig w:usb0="00008003" w:usb1="00000000" w:usb2="00000000" w:usb3="00000000" w:csb0="00000001"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AFF" w:usb1="C0007843" w:usb2="00000009" w:usb3="00000000" w:csb0="000001FF" w:csb1="00000000"/>
  </w:font>
  <w:font w:name="TimesNewRomanPS-BoldMT">
    <w:altName w:val="MS Mincho"/>
    <w:panose1 w:val="00000000000000000000"/>
    <w:charset w:val="80"/>
    <w:family w:val="auto"/>
    <w:pitch w:val="default"/>
    <w:sig w:usb0="00000087" w:usb1="08070000" w:usb2="00000010" w:usb3="00000000" w:csb0="0002000B" w:csb1="00000000"/>
  </w:font>
  <w:font w:name="Segoe UI">
    <w:altName w:val="Segoe UI"/>
    <w:panose1 w:val="020b0502040002020203"/>
    <w:charset w:val="00"/>
    <w:family w:val="swiss"/>
    <w:pitch w:val="variable"/>
    <w:sig w:usb0="E10022FF" w:usb1="C000E47F" w:usb2="00000029" w:usb3="00000000" w:csb0="000001DF" w:csb1="00000000"/>
  </w:font>
  <w:font w:name="MS Mincho">
    <w:altName w:val="ＭＳ 明朝"/>
    <w:panose1 w:val="02020609040002080304"/>
    <w:charset w:val="80"/>
    <w:family w:val="modern"/>
    <w:pitch w:val="fixed"/>
    <w:sig w:usb0="E00002FF" w:usb1="6AC7FDFB" w:usb2="00000012" w:usb3="00000000" w:csb0="0002009F" w:csb1="00000000"/>
  </w:font>
  <w:font w:name="TimesNewRomanPSMT">
    <w:altName w:val="Times New Roman"/>
    <w:panose1 w:val="00000000000000000000"/>
    <w:charset w:val="b2"/>
    <w:family w:val="auto"/>
    <w:pitch w:val="default"/>
    <w:sig w:usb0="00002000"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F242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E46B180"/>
    <w:lvl w:ilvl="0" w:tplc="CE36A3A6">
      <w:start w:val="1"/>
      <w:numFmt w:val="decimal"/>
      <w:lvlText w:val="%1."/>
      <w:lvlJc w:val="left"/>
      <w:pPr>
        <w:ind w:left="720" w:hanging="360"/>
      </w:pPr>
      <w:rPr>
        <w:rFonts w:cs="Mangal"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4800192"/>
    <w:lvl w:ilvl="0" w:tplc="B9B61ECC">
      <w:start w:val="1"/>
      <w:numFmt w:val="decimal"/>
      <w:lvlText w:val="%1."/>
      <w:lvlJc w:val="left"/>
      <w:pPr>
        <w:ind w:left="720" w:hanging="360"/>
      </w:pPr>
      <w:rPr>
        <w:b/>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lang w:val="en-IN" w:eastAsia="en-IN"/>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customStyle="1" w:styleId="style4098">
    <w:name w:val="Pa15"/>
    <w:basedOn w:val="style0"/>
    <w:next w:val="style0"/>
    <w:uiPriority w:val="99"/>
    <w:pPr>
      <w:autoSpaceDE w:val="false"/>
      <w:autoSpaceDN w:val="false"/>
      <w:adjustRightInd w:val="false"/>
      <w:spacing w:after="0" w:lineRule="atLeast" w:line="211"/>
    </w:pPr>
    <w:rPr>
      <w:rFonts w:ascii="Times New Roman" w:cs="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9">
    <w:name w:val="authors-list-item"/>
    <w:basedOn w:val="style65"/>
    <w:next w:val="style4099"/>
  </w:style>
  <w:style w:type="character" w:customStyle="1" w:styleId="style4100">
    <w:name w:val="comma"/>
    <w:basedOn w:val="style65"/>
    <w:next w:val="style4100"/>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Unresolved Mention"/>
    <w:basedOn w:val="style65"/>
    <w:next w:val="style4101"/>
    <w:uiPriority w:val="99"/>
    <w:rPr>
      <w:color w:val="605e5c"/>
      <w:shd w:val="clear" w:color="auto" w:fill="e1dfdd"/>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c2e7681c-254a-4906-9179-adf694b6eef8"/>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c2ba5a8f-2c43-4d15-aefb-1f230b628758"/>
    <w:basedOn w:val="style65"/>
    <w:next w:val="style4103"/>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4"/>
    <w:uiPriority w:val="99"/>
    <w:pPr>
      <w:spacing w:lineRule="auto" w:line="240"/>
    </w:pPr>
    <w:rPr>
      <w:sz w:val="20"/>
      <w:szCs w:val="20"/>
    </w:rPr>
  </w:style>
  <w:style w:type="character" w:customStyle="1" w:styleId="style4104">
    <w:name w:val="Comment Text Char"/>
    <w:basedOn w:val="style65"/>
    <w:next w:val="style4104"/>
    <w:link w:val="style30"/>
    <w:uiPriority w:val="99"/>
    <w:rPr>
      <w:sz w:val="20"/>
      <w:szCs w:val="20"/>
    </w:rPr>
  </w:style>
  <w:style w:type="paragraph" w:styleId="style106">
    <w:name w:val="annotation subject"/>
    <w:basedOn w:val="style30"/>
    <w:next w:val="style30"/>
    <w:link w:val="style4105"/>
    <w:uiPriority w:val="99"/>
    <w:pPr/>
    <w:rPr>
      <w:b/>
      <w:bCs/>
    </w:rPr>
  </w:style>
  <w:style w:type="character" w:customStyle="1" w:styleId="style4105">
    <w:name w:val="Comment Subject Char"/>
    <w:basedOn w:val="style4104"/>
    <w:next w:val="style4105"/>
    <w:link w:val="style106"/>
    <w:uiPriority w:val="99"/>
    <w:rPr>
      <w:b/>
      <w:bCs/>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header" Target="header5.xml"/><Relationship Id="rId14" Type="http://schemas.openxmlformats.org/officeDocument/2006/relationships/customXml" Target="../customXml/item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142980f-bc4d-446c-b251-211992fa9816}">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Words>2923</Words>
  <Pages>10</Pages>
  <Characters>18686</Characters>
  <Application>WPS Office</Application>
  <DocSecurity>0</DocSecurity>
  <Paragraphs>455</Paragraphs>
  <ScaleCrop>false</ScaleCrop>
  <Company>SACC</Company>
  <LinksUpToDate>false</LinksUpToDate>
  <CharactersWithSpaces>21273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٢٠٢٥-١٢-١٣T٠٤:٥٢:٠٠Z</dcterms:created>
  <dc:creator>kk</dc:creator>
  <lastModifiedBy>SM-S928B</lastModifiedBy>
  <dcterms:modified xsi:type="dcterms:W3CDTF">٢٠٢٥-١٢-١٣T٠٨:٥٤:٤٢Z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b94e47c3997d443eadb7e6e3d47d83bc</vt:lpwstr>
  </property>
</Properties>
</file>