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F8966" w14:textId="272F9065" w:rsidR="002A4EBF" w:rsidRDefault="00622FED">
      <w:pPr>
        <w:spacing w:line="360" w:lineRule="auto"/>
        <w:ind w:firstLine="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Effect of Organic Amendments on Soil Health in Wetland Rice Growing Soils of Southern Kerala</w:t>
      </w:r>
      <w:r w:rsidR="00795370">
        <w:rPr>
          <w:rFonts w:ascii="Times New Roman" w:eastAsia="Times New Roman" w:hAnsi="Times New Roman" w:cs="Times New Roman"/>
          <w:b/>
          <w:sz w:val="24"/>
          <w:szCs w:val="24"/>
        </w:rPr>
        <w:t xml:space="preserve"> </w:t>
      </w:r>
      <w:r w:rsidR="00795370" w:rsidRPr="00795370">
        <w:rPr>
          <w:rFonts w:ascii="Times New Roman" w:eastAsia="Times New Roman" w:hAnsi="Times New Roman" w:cs="Times New Roman"/>
          <w:b/>
          <w:sz w:val="24"/>
          <w:szCs w:val="24"/>
          <w:highlight w:val="yellow"/>
        </w:rPr>
        <w:t xml:space="preserve">indicate </w:t>
      </w:r>
      <w:commentRangeStart w:id="1"/>
      <w:r w:rsidR="00795370" w:rsidRPr="00795370">
        <w:rPr>
          <w:rFonts w:ascii="Times New Roman" w:eastAsia="Times New Roman" w:hAnsi="Times New Roman" w:cs="Times New Roman"/>
          <w:b/>
          <w:sz w:val="24"/>
          <w:szCs w:val="24"/>
          <w:highlight w:val="yellow"/>
        </w:rPr>
        <w:t>country</w:t>
      </w:r>
      <w:commentRangeEnd w:id="1"/>
      <w:r w:rsidR="00F44CAB">
        <w:rPr>
          <w:rStyle w:val="CommentReference"/>
        </w:rPr>
        <w:commentReference w:id="1"/>
      </w:r>
    </w:p>
    <w:p w14:paraId="35C5E4A8" w14:textId="77777777" w:rsidR="00AE49A2" w:rsidRDefault="00AE49A2">
      <w:pPr>
        <w:spacing w:line="360" w:lineRule="auto"/>
        <w:ind w:firstLine="0"/>
        <w:jc w:val="left"/>
        <w:rPr>
          <w:rFonts w:ascii="Times New Roman" w:eastAsia="Times New Roman" w:hAnsi="Times New Roman" w:cs="Times New Roman"/>
          <w:b/>
          <w:sz w:val="24"/>
          <w:szCs w:val="24"/>
        </w:rPr>
      </w:pPr>
    </w:p>
    <w:p w14:paraId="4493E0B6" w14:textId="010EF47C" w:rsidR="002A4EBF" w:rsidRDefault="00622FED">
      <w:pPr>
        <w:spacing w:line="360" w:lineRule="auto"/>
        <w:ind w:firstLine="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78207803" w14:textId="60373E99" w:rsidR="002A4EBF" w:rsidRDefault="00622FE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Enhancing soil biological activity is vital for nutrient cycling and sustainability in wetland rice ecosystems. A field experiment was conducted to assess the impact of organic amendments on microbial biomass carbon (MBC), dehydrogenase activity (DHA), and acid phosphatase activity (APA) under soil-test-based recommended dose of nutrient management (STBRDN). Results showed that coconut husk biochar @ 5 t ha⁻¹ + STBRDN (T₆) produced the highest MBC (456.00 mg kg⁻¹), while vermicompost @ 2.5 t ha⁻¹ + STBRDN (T₃) enhanced DHA (76.03 μg TPF g⁻¹ 24 h⁻¹) and APA (37.73 μg p-nitrophenol g⁻¹ soil h⁻¹), resulting in almost 36, 39 and 50 per cent increase, respectively, from the initial soil biological activity. Both treatments significantly performed much better than the inorganic fertilizer application alone and the control, which recorded the lowest enzyme activities. Vermicompost provided labile carbon and microbial inoculants, whereas biochar enhanced microsite protection and nutrient retention, jointly stimulating microbial proliferation and enzymatic functioning. Organic amendments, particularly vermicompost and coconut husk biochar integrated with STBRDN, consistently improved soil microbial and enzymatic activities, underscoring their role as climate-smart strategies for sustainable rice cultivation.</w:t>
      </w:r>
    </w:p>
    <w:p w14:paraId="10A8F963" w14:textId="4A8613FC"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Soil microbial biomass carbon,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Organic manures, Dehydrogenase activity, Acid phosphatase activity, rice ecosystem  </w:t>
      </w:r>
    </w:p>
    <w:p w14:paraId="14B99852" w14:textId="18D2E59B" w:rsidR="00795370" w:rsidRDefault="00795370">
      <w:pPr>
        <w:spacing w:line="360" w:lineRule="auto"/>
        <w:ind w:firstLine="0"/>
        <w:rPr>
          <w:rFonts w:ascii="Times New Roman" w:eastAsia="Times New Roman" w:hAnsi="Times New Roman" w:cs="Times New Roman"/>
          <w:sz w:val="24"/>
          <w:szCs w:val="24"/>
        </w:rPr>
      </w:pPr>
      <w:r w:rsidRPr="00795370">
        <w:rPr>
          <w:rFonts w:ascii="Times New Roman" w:eastAsia="Times New Roman" w:hAnsi="Times New Roman" w:cs="Times New Roman"/>
          <w:sz w:val="24"/>
          <w:szCs w:val="24"/>
          <w:highlight w:val="yellow"/>
        </w:rPr>
        <w:t xml:space="preserve">Abstract should include </w:t>
      </w:r>
      <w:commentRangeStart w:id="2"/>
      <w:r w:rsidRPr="00795370">
        <w:rPr>
          <w:rFonts w:ascii="Times New Roman" w:eastAsia="Times New Roman" w:hAnsi="Times New Roman" w:cs="Times New Roman"/>
          <w:sz w:val="24"/>
          <w:szCs w:val="24"/>
          <w:highlight w:val="yellow"/>
        </w:rPr>
        <w:t>the</w:t>
      </w:r>
      <w:commentRangeEnd w:id="2"/>
      <w:r w:rsidR="006A5F23">
        <w:rPr>
          <w:rStyle w:val="CommentReference"/>
        </w:rPr>
        <w:commentReference w:id="2"/>
      </w:r>
      <w:r w:rsidR="008243A8">
        <w:rPr>
          <w:rFonts w:ascii="Times New Roman" w:eastAsia="Times New Roman" w:hAnsi="Times New Roman" w:cs="Times New Roman"/>
          <w:sz w:val="24"/>
          <w:szCs w:val="24"/>
          <w:highlight w:val="yellow"/>
        </w:rPr>
        <w:t xml:space="preserve"> objective of study,</w:t>
      </w:r>
      <w:r w:rsidRPr="00795370">
        <w:rPr>
          <w:rFonts w:ascii="Times New Roman" w:eastAsia="Times New Roman" w:hAnsi="Times New Roman" w:cs="Times New Roman"/>
          <w:sz w:val="24"/>
          <w:szCs w:val="24"/>
          <w:highlight w:val="yellow"/>
        </w:rPr>
        <w:t xml:space="preserve"> methodology used as well as the designed adopted for the study. In should also be one paragraph.</w:t>
      </w:r>
    </w:p>
    <w:p w14:paraId="3D740CD4" w14:textId="77777777" w:rsidR="002A4EBF" w:rsidRDefault="00622FED">
      <w:pPr>
        <w:spacing w:line="36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Introduction</w:t>
      </w:r>
    </w:p>
    <w:p w14:paraId="281CEDE5" w14:textId="77777777"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Wetland paddy soils represent one of the most biologically dynamic agroecosystems in tropical regions, where soil microbial activity and enzymatic processes play a pivotal role in nutrient cycling, organic matter turnover, and soil health. In Kerala, rice cultivation is traditionally practiced under waterlogged conditions, creating unique redox environments that strongly influence microbial metabolism and enzyme activity. These soils are particularly sensitive to management practices, including the addition of organic amendments such as </w:t>
      </w:r>
      <w:r>
        <w:rPr>
          <w:rFonts w:ascii="Times New Roman" w:eastAsia="Times New Roman" w:hAnsi="Times New Roman" w:cs="Times New Roman"/>
          <w:sz w:val="24"/>
          <w:szCs w:val="24"/>
        </w:rPr>
        <w:lastRenderedPageBreak/>
        <w:t xml:space="preserve">farmyard manure, compost, straw residues, and biochar, which can alter microbial community structure and functional diversity (Wichern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w:t>
      </w:r>
    </w:p>
    <w:p w14:paraId="78DF2B9A" w14:textId="77777777"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Organic amendments are widely regarded as sustainable alternatives to chemical fertilizers, as they not only improve soil fertility but also stimulate microbial processes that enhance nutrient availability. Similarly, Chahal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observed that organic materials enhanced microbial activity in saline soils depending on their rate of decomposition, highlighting the strong influence of nature of amendment on biological processes. Soil biological functioning is largely governed by the activity and abundance of soil microorganisms, which regulate organic matter decomposition and nutrient cycling through the production of extracellular enzymes (Burns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Nannipieri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The composition of the soil microbial community is significantly shaped by litter chemistry factors, such as the initial substrate and particular chemical components released during litter breakdown (Bray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2012). Long-term application of organic inputs has been linked to improved soil organic carbon sequestration and microbial resilience, thereby contributing to climate-smart agriculture in paddy systems (Ye</w:t>
      </w:r>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 xml:space="preserve">., 2025). However, the response of soil enzymes to organic amendments is highly site-specific, influenced by hydrological regimes, soil texture, and cropping intensity (Wang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p w14:paraId="2498A2BE" w14:textId="77777777" w:rsidR="002A4EBF" w:rsidRDefault="00622FE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Microbial biomass represents the living fraction of soil organic matter and acts as an immediate source and sink of nutrients as well as the main producer of soil enzymes. Conceptual and empirical work has identified microbial biomass, dehydrogenase activity and phosphatase activity among the most informative microbiological indicators for assessing the effects of management on soil ecological function (Semenov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2025). Dehydrogenase activity is widely used as an integrative measure of overall microbial respiratory metabolism, because dehydrogenase enzymes are involved in biological oxidation of organic substrates and occur only in viable cells (Kaur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In flooded rice soils, high dehydrogenase activity has been associated with enhanced organic matter decomposition and the strongly reducing conditions that develop under long-term submergence (George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Phosphatase enzymes, particularly acid phosphatase in acidic or poorly buffered soils, catalyse the hydrolysis of organically bound phosphorus to plant-available orthophosphate and thus play a central role in the P cycle. Acid phosphatase activity has frequently been proposed as a potential index of organic P mineralisation and P stress in paddy soils (Kumari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Bhavani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Together, microbial biomass, dehydrogenase and phosphatase activities form a </w:t>
      </w:r>
      <w:r>
        <w:rPr>
          <w:rFonts w:ascii="Times New Roman" w:eastAsia="Times New Roman" w:hAnsi="Times New Roman" w:cs="Times New Roman"/>
          <w:sz w:val="24"/>
          <w:szCs w:val="24"/>
        </w:rPr>
        <w:lastRenderedPageBreak/>
        <w:t xml:space="preserve">complementary set of soil biological indicators that respond rapidly to environmental change and management interventions (Bhaduri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14:paraId="0EA806CD" w14:textId="77777777" w:rsidR="002A4EBF" w:rsidRDefault="00622FE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Organic amendments such as farmyard manure, composts, green manures, crop residues and other locally available organic resources are widely promoted as sustainable strategies to maintain soil fertility and reduce dependence on mineral fertilisers in rice-based systems. Several studies have reported that application of organic inputs generally increases soil organic carbon, stimulate microbial biomass, and enhance key enzyme activities, including dehydrogenase and phosphatase, relative to mineral fertiliser alone (Liu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2023; Liu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2025). The integration of diverse organic manures along with inorganic nutrients resulted in much improvement in soil fertility and long-term agricultural sustainability (Chaudhary et al., 2025) In this context, the present study was undertaken to evaluate the effect of different organic sources including biochar and green leaf manure on soil microbial activity , physical properties and nutrient availability in the wetland rice soils of southern Kerala. </w:t>
      </w:r>
    </w:p>
    <w:p w14:paraId="5F19ADA7" w14:textId="77777777" w:rsidR="002A4EBF" w:rsidRDefault="00622FED">
      <w:pPr>
        <w:spacing w:line="36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Material and Methods</w:t>
      </w:r>
    </w:p>
    <w:p w14:paraId="7727CEEF"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experiment was carried out in the wetland farms of Integrated Farming System Research Station, Karamana, Thiruvananthapuram, Kerala during the rabi season of 2024. The site is located at 8. 4727</w:t>
      </w:r>
      <m:oMath>
        <m:r>
          <w:rPr>
            <w:rFonts w:ascii="Cambria Math" w:eastAsia="Cambria Math" w:hAnsi="Cambria Math" w:cs="Cambria Math"/>
            <w:sz w:val="24"/>
            <w:szCs w:val="24"/>
          </w:rPr>
          <m:t xml:space="preserve">° </m:t>
        </m:r>
      </m:oMath>
      <w:r>
        <w:rPr>
          <w:rFonts w:ascii="Times New Roman" w:eastAsia="Times New Roman" w:hAnsi="Times New Roman" w:cs="Times New Roman"/>
          <w:sz w:val="24"/>
          <w:szCs w:val="24"/>
        </w:rPr>
        <w:t>N latitude and 76. 9605</w:t>
      </w:r>
      <m:oMath>
        <m:r>
          <w:rPr>
            <w:rFonts w:ascii="Cambria Math" w:eastAsia="Cambria Math" w:hAnsi="Cambria Math" w:cs="Cambria Math"/>
            <w:sz w:val="24"/>
            <w:szCs w:val="24"/>
          </w:rPr>
          <m:t xml:space="preserve">° </m:t>
        </m:r>
      </m:oMath>
      <w:r>
        <w:rPr>
          <w:rFonts w:ascii="Times New Roman" w:eastAsia="Times New Roman" w:hAnsi="Times New Roman" w:cs="Times New Roman"/>
          <w:sz w:val="24"/>
          <w:szCs w:val="24"/>
        </w:rPr>
        <w:t>E longitude, at an altitude of 5m above mean sea level.</w:t>
      </w:r>
    </w:p>
    <w:p w14:paraId="4D3A9CE9"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Field experiment was laid out in completely randomized block design with eight treatments and replicated thrice using rice variety, Uma- highly popular and widely cultivated medium duration variety suited to rice growing tracts of Kerala with red kernels. The treatments consisted of : (1) KAU Organic PoP (FYM @ 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as basal + 700 kg neem cake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as basal and half as top dressing at active tillering stage), (2) FYM @5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Soil test based recommended dose of nutrients (STBRDN), (3) Vermicompost (VC) @ 2.5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 STBRDN, (4) Thermochemical Organic Fertilizer (TOF) @ 2.5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+STBRDN, (5) Green leaf manure @ 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 STBRDN, (6) Coconut husk biochar @ 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 STBRDN, (7) STBRDN alone ( no organic amendment) and (8) Absolute control. Recommended dose of fertilizers were applied during the growing stages as per KAU POP (2023) in rice </w:t>
      </w:r>
      <w:r>
        <w:rPr>
          <w:rFonts w:ascii="Times New Roman" w:eastAsia="Times New Roman" w:hAnsi="Times New Roman" w:cs="Times New Roman"/>
          <w:i/>
          <w:sz w:val="24"/>
          <w:szCs w:val="24"/>
        </w:rPr>
        <w:t>i.</w:t>
      </w:r>
      <w:r>
        <w:rPr>
          <w:rFonts w:ascii="Times New Roman" w:eastAsia="Times New Roman" w:hAnsi="Times New Roman" w:cs="Times New Roman"/>
          <w:sz w:val="24"/>
          <w:szCs w:val="24"/>
        </w:rPr>
        <w:t>e., in the ratio 90:45:45 for N: P</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kg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except that at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where only organic amendments were applied and T</w:t>
      </w:r>
      <w:r>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 which is absolute control.</w:t>
      </w:r>
    </w:p>
    <w:p w14:paraId="5CA27AAC" w14:textId="77777777" w:rsidR="002A4EBF" w:rsidRDefault="00622FE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Vermicompost was prepared from banana pseudostem as the resource material using </w:t>
      </w:r>
      <w:r>
        <w:rPr>
          <w:rFonts w:ascii="Times New Roman" w:eastAsia="Times New Roman" w:hAnsi="Times New Roman" w:cs="Times New Roman"/>
          <w:i/>
          <w:sz w:val="24"/>
          <w:szCs w:val="24"/>
        </w:rPr>
        <w:t>Eudrillus eugeniae</w:t>
      </w:r>
      <w:r>
        <w:rPr>
          <w:rFonts w:ascii="Times New Roman" w:eastAsia="Times New Roman" w:hAnsi="Times New Roman" w:cs="Times New Roman"/>
          <w:sz w:val="24"/>
          <w:szCs w:val="24"/>
        </w:rPr>
        <w:t xml:space="preserve">; Thermochemical organic fertilizer was obtained by digesting organic </w:t>
      </w:r>
      <w:r>
        <w:rPr>
          <w:rFonts w:ascii="Times New Roman" w:eastAsia="Times New Roman" w:hAnsi="Times New Roman" w:cs="Times New Roman"/>
          <w:sz w:val="24"/>
          <w:szCs w:val="24"/>
        </w:rPr>
        <w:lastRenderedPageBreak/>
        <w:t>wastes under controlled heating in the presence of mineral additives, allowing partial decomposition, dehydration, and nutrient enrichment; and Biochar from coconut husk by fast pyrolysis. Before start of the experiment, initial soil sample was collected to estimate the available nutrient status and accordingly, nutrient doses were scheduled.</w:t>
      </w:r>
    </w:p>
    <w:p w14:paraId="60490521" w14:textId="77777777" w:rsidR="002A4EBF" w:rsidRDefault="00622FE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Microbial biomass carbon (MBC) in the soil was determined by the fumigation extraction method (Joergensen, 1995) using fresh soil samples. Dehydrogenase activity was estimated following procedure by Casida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(1964) which is a simple, widely used assay where triphenyl tetrazolium chloride (TTC) was reduced to triphenyl formazan (TPF) during microbial respiration, extracted with methanol, and quantified spectrophotometrically. Acid phosphatase activity was determined following Tabatabai and Bremner (1969) method where soil acid phosphatase was measured by incubating soil with p-nitrophenyl phosphate in acidic buffer (pH 6.5) at 37 °C, then stopping the reaction with NaOH to release yellow p-nitrophenol (pNP). The absorbance of pNP was read at 400–420 nm, and activity is expressed as µmol pNP g⁻¹ soil h⁻¹.</w:t>
      </w:r>
    </w:p>
    <w:p w14:paraId="6C56AB5C" w14:textId="77777777" w:rsidR="002A4EBF" w:rsidRDefault="00622FE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Soil physical properties </w:t>
      </w:r>
      <w:r>
        <w:rPr>
          <w:rFonts w:ascii="Times New Roman" w:eastAsia="Times New Roman" w:hAnsi="Times New Roman" w:cs="Times New Roman"/>
          <w:i/>
          <w:sz w:val="24"/>
          <w:szCs w:val="24"/>
        </w:rPr>
        <w:t>viz</w:t>
      </w:r>
      <w:r>
        <w:rPr>
          <w:rFonts w:ascii="Times New Roman" w:eastAsia="Times New Roman" w:hAnsi="Times New Roman" w:cs="Times New Roman"/>
          <w:sz w:val="24"/>
          <w:szCs w:val="24"/>
        </w:rPr>
        <w:t>., bulk density and water holding capacity were estimated using undisturbed core sampler method (Black et al., 1965) for the initial and after harvest soil samples.  Nutrient availability of primary nutrients viz., nitrogen, phosphorous and potassium were estimated using standard procedures. ie., available N by Alkaline permanganate method (Subbiah and Asija, 1956); P by Bray No.1 extraction and estimation using spectrophotometer (Bray and Kurtz, 1945) and K by neutral normal ammonium acetate extraction and estimation using flame photometry (Jackson, 1973).</w:t>
      </w:r>
    </w:p>
    <w:p w14:paraId="53F8E999" w14:textId="548E1F25" w:rsidR="002A4EBF" w:rsidRDefault="00622FED">
      <w:pPr>
        <w:spacing w:line="36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3. Results and Discussion</w:t>
      </w:r>
    </w:p>
    <w:p w14:paraId="0F26721E" w14:textId="77777777" w:rsidR="002A4EBF" w:rsidRDefault="00622FED">
      <w:pPr>
        <w:spacing w:line="360" w:lineRule="auto"/>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3.1. Microbial biomass carbon</w:t>
      </w:r>
    </w:p>
    <w:p w14:paraId="50F4B314" w14:textId="7CF490C8"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soils collected after crop harvest, significantly higher soil microbial biomass carbon (456.00 mg kg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was observed in the treatment receiving coconut husk biochar @ 5 t ha⁻¹ along with soil </w:t>
      </w:r>
      <w:r w:rsidR="00795370">
        <w:rPr>
          <w:rFonts w:ascii="Times New Roman" w:eastAsia="Times New Roman" w:hAnsi="Times New Roman" w:cs="Times New Roman"/>
          <w:sz w:val="24"/>
          <w:szCs w:val="24"/>
        </w:rPr>
        <w:t>test-based</w:t>
      </w:r>
      <w:r>
        <w:rPr>
          <w:rFonts w:ascii="Times New Roman" w:eastAsia="Times New Roman" w:hAnsi="Times New Roman" w:cs="Times New Roman"/>
          <w:sz w:val="24"/>
          <w:szCs w:val="24"/>
        </w:rPr>
        <w:t xml:space="preserve"> recommendation of nutrients (T₆). The enhanced microbial biomass under biochar incorporation was likely due to the porous structure and large surface area of biochar, which offered protected microsites for microbial colonisation, improved soil aeration, and increased retention of nutrients and dissolved organic matter that support microbial proliferation (Joseph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Huang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The application of vermicompost @ 2.5 t ha⁻¹ along with soil </w:t>
      </w:r>
      <w:r w:rsidR="00795370">
        <w:rPr>
          <w:rFonts w:ascii="Times New Roman" w:eastAsia="Times New Roman" w:hAnsi="Times New Roman" w:cs="Times New Roman"/>
          <w:sz w:val="24"/>
          <w:szCs w:val="24"/>
        </w:rPr>
        <w:t>test-based</w:t>
      </w:r>
      <w:r>
        <w:rPr>
          <w:rFonts w:ascii="Times New Roman" w:eastAsia="Times New Roman" w:hAnsi="Times New Roman" w:cs="Times New Roman"/>
          <w:sz w:val="24"/>
          <w:szCs w:val="24"/>
        </w:rPr>
        <w:t xml:space="preserve"> recommendation of nutrients (T₃) also resulted in better performance revealing 442.00 mg kg⁻¹ MBC, while the absolute control (T₈) </w:t>
      </w:r>
      <w:r>
        <w:rPr>
          <w:rFonts w:ascii="Times New Roman" w:eastAsia="Times New Roman" w:hAnsi="Times New Roman" w:cs="Times New Roman"/>
          <w:sz w:val="24"/>
          <w:szCs w:val="24"/>
        </w:rPr>
        <w:lastRenderedPageBreak/>
        <w:t xml:space="preserve">recorded the lowest (307.00 mg kg⁻¹). Green </w:t>
      </w:r>
      <w:r w:rsidR="00795370">
        <w:rPr>
          <w:rFonts w:ascii="Times New Roman" w:eastAsia="Times New Roman" w:hAnsi="Times New Roman" w:cs="Times New Roman"/>
          <w:sz w:val="24"/>
          <w:szCs w:val="24"/>
        </w:rPr>
        <w:t>leaf manure</w:t>
      </w:r>
      <w:r>
        <w:rPr>
          <w:rFonts w:ascii="Times New Roman" w:eastAsia="Times New Roman" w:hAnsi="Times New Roman" w:cs="Times New Roman"/>
          <w:sz w:val="24"/>
          <w:szCs w:val="24"/>
        </w:rPr>
        <w:t xml:space="preserve"> also stimulated microbial activity as reflected by 16 per cent improvement compared to control. Application of different organic amendments produced considerable variations in MBC at the post-harvest stage relative to the initial soil (335.60 mg kg⁻¹).  The result was in conformity with the findings of Kuang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where effective increase in biomass of microorganisms was noticed. Vermicompost contains more labile C and humic substances than conventional compost, promoting microbial biomass growth (Lazcano &amp; Domínguez, 2011). Earthworm processed materials contain high microbial populations and enzyme activities, which increase MBC when added to soil (Aira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Similar patterns were reported by Das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 who observed that the highest microbial biomass C occurred in a biochar–manure treatment (goat manure + biochar) compared to vermicompost, FYM and other organic nutrient sources applied alone, indicating that biochar-based amendments can provide a more favourable habitat and substrate environment for microbial proliferation than individual organic manures.</w:t>
      </w:r>
    </w:p>
    <w:p w14:paraId="5686D95C" w14:textId="1D96BFD2"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Effect of organic amendments on soil biological activity</w:t>
      </w:r>
    </w:p>
    <w:tbl>
      <w:tblPr>
        <w:tblStyle w:val="a"/>
        <w:tblW w:w="8926" w:type="dxa"/>
        <w:tblBorders>
          <w:top w:val="single" w:sz="4" w:space="0" w:color="7F7F7F"/>
          <w:bottom w:val="single" w:sz="4" w:space="0" w:color="7F7F7F"/>
        </w:tblBorders>
        <w:tblLayout w:type="fixed"/>
        <w:tblLook w:val="0600" w:firstRow="0" w:lastRow="0" w:firstColumn="0" w:lastColumn="0" w:noHBand="1" w:noVBand="1"/>
      </w:tblPr>
      <w:tblGrid>
        <w:gridCol w:w="2232"/>
        <w:gridCol w:w="2256"/>
        <w:gridCol w:w="2270"/>
        <w:gridCol w:w="2168"/>
      </w:tblGrid>
      <w:tr w:rsidR="002A4EBF" w14:paraId="3E33BC6C" w14:textId="77777777" w:rsidTr="002A4EBF">
        <w:trPr>
          <w:trHeight w:val="1259"/>
        </w:trPr>
        <w:tc>
          <w:tcPr>
            <w:tcW w:w="2232" w:type="dxa"/>
            <w:tcBorders>
              <w:bottom w:val="single" w:sz="18" w:space="0" w:color="000000"/>
            </w:tcBorders>
            <w:vAlign w:val="center"/>
          </w:tcPr>
          <w:p w14:paraId="0E4D8920"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Treatments</w:t>
            </w:r>
          </w:p>
        </w:tc>
        <w:tc>
          <w:tcPr>
            <w:tcW w:w="2256" w:type="dxa"/>
            <w:tcBorders>
              <w:bottom w:val="single" w:sz="18" w:space="0" w:color="000000"/>
            </w:tcBorders>
            <w:vAlign w:val="center"/>
          </w:tcPr>
          <w:p w14:paraId="4F9236EA"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Microbial biomass carbon (mg kg</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tc>
        <w:tc>
          <w:tcPr>
            <w:tcW w:w="2270" w:type="dxa"/>
            <w:tcBorders>
              <w:bottom w:val="single" w:sz="18" w:space="0" w:color="000000"/>
            </w:tcBorders>
            <w:vAlign w:val="center"/>
          </w:tcPr>
          <w:p w14:paraId="375181E1"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Acid phosphatase activity (</w:t>
            </w:r>
            <m:oMath>
              <m:r>
                <w:rPr>
                  <w:rFonts w:ascii="Cambria Math" w:hAnsi="Cambria Math"/>
                </w:rPr>
                <m:t>μ</m:t>
              </m:r>
            </m:oMath>
            <w:r>
              <w:rPr>
                <w:rFonts w:ascii="Times New Roman" w:eastAsia="Times New Roman" w:hAnsi="Times New Roman" w:cs="Times New Roman"/>
                <w:b/>
                <w:sz w:val="24"/>
                <w:szCs w:val="24"/>
              </w:rPr>
              <w:t>g of p-nitrophenol g</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soil h</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tc>
        <w:tc>
          <w:tcPr>
            <w:tcW w:w="2168" w:type="dxa"/>
            <w:tcBorders>
              <w:bottom w:val="single" w:sz="18" w:space="0" w:color="000000"/>
            </w:tcBorders>
            <w:vAlign w:val="center"/>
          </w:tcPr>
          <w:p w14:paraId="4CF06A88"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Dehydrogenase activity (</w:t>
            </w:r>
            <m:oMath>
              <m:r>
                <w:rPr>
                  <w:rFonts w:ascii="Cambria Math" w:hAnsi="Cambria Math"/>
                </w:rPr>
                <m:t>μ</m:t>
              </m:r>
            </m:oMath>
            <w:r>
              <w:rPr>
                <w:rFonts w:ascii="Times New Roman" w:eastAsia="Times New Roman" w:hAnsi="Times New Roman" w:cs="Times New Roman"/>
                <w:b/>
                <w:sz w:val="24"/>
                <w:szCs w:val="24"/>
              </w:rPr>
              <w:t>g TPF g</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24 h</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tc>
      </w:tr>
      <w:tr w:rsidR="002A4EBF" w14:paraId="75A98C5B" w14:textId="77777777" w:rsidTr="002A4EBF">
        <w:trPr>
          <w:trHeight w:val="423"/>
        </w:trPr>
        <w:tc>
          <w:tcPr>
            <w:tcW w:w="2232" w:type="dxa"/>
            <w:tcBorders>
              <w:top w:val="single" w:sz="18" w:space="0" w:color="000000"/>
            </w:tcBorders>
          </w:tcPr>
          <w:p w14:paraId="61D04CFB"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1</w:t>
            </w:r>
          </w:p>
        </w:tc>
        <w:tc>
          <w:tcPr>
            <w:tcW w:w="2256" w:type="dxa"/>
            <w:tcBorders>
              <w:top w:val="single" w:sz="18" w:space="0" w:color="000000"/>
            </w:tcBorders>
            <w:vAlign w:val="center"/>
          </w:tcPr>
          <w:p w14:paraId="0F26198B"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388.00</w:t>
            </w:r>
            <w:r>
              <w:rPr>
                <w:rFonts w:ascii="Times New Roman" w:eastAsia="Times New Roman" w:hAnsi="Times New Roman" w:cs="Times New Roman"/>
                <w:sz w:val="24"/>
                <w:szCs w:val="24"/>
                <w:vertAlign w:val="superscript"/>
              </w:rPr>
              <w:t>c</w:t>
            </w:r>
          </w:p>
        </w:tc>
        <w:tc>
          <w:tcPr>
            <w:tcW w:w="2270" w:type="dxa"/>
            <w:tcBorders>
              <w:top w:val="single" w:sz="18" w:space="0" w:color="000000"/>
            </w:tcBorders>
          </w:tcPr>
          <w:p w14:paraId="43AEB39A"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35.57</w:t>
            </w:r>
            <w:r>
              <w:rPr>
                <w:rFonts w:ascii="Times New Roman" w:eastAsia="Times New Roman" w:hAnsi="Times New Roman" w:cs="Times New Roman"/>
                <w:sz w:val="24"/>
                <w:szCs w:val="24"/>
                <w:vertAlign w:val="superscript"/>
              </w:rPr>
              <w:t>d</w:t>
            </w:r>
          </w:p>
        </w:tc>
        <w:tc>
          <w:tcPr>
            <w:tcW w:w="2168" w:type="dxa"/>
            <w:tcBorders>
              <w:top w:val="single" w:sz="18" w:space="0" w:color="000000"/>
            </w:tcBorders>
          </w:tcPr>
          <w:p w14:paraId="202CE713"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73.95</w:t>
            </w:r>
            <w:r>
              <w:rPr>
                <w:rFonts w:ascii="Times New Roman" w:eastAsia="Times New Roman" w:hAnsi="Times New Roman" w:cs="Times New Roman"/>
                <w:sz w:val="24"/>
                <w:szCs w:val="24"/>
                <w:vertAlign w:val="superscript"/>
              </w:rPr>
              <w:t>ef</w:t>
            </w:r>
          </w:p>
        </w:tc>
      </w:tr>
      <w:tr w:rsidR="002A4EBF" w14:paraId="3A4A8404" w14:textId="77777777" w:rsidTr="002A4EBF">
        <w:trPr>
          <w:trHeight w:val="414"/>
        </w:trPr>
        <w:tc>
          <w:tcPr>
            <w:tcW w:w="2232" w:type="dxa"/>
          </w:tcPr>
          <w:p w14:paraId="047A71B4"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2</w:t>
            </w:r>
          </w:p>
        </w:tc>
        <w:tc>
          <w:tcPr>
            <w:tcW w:w="2256" w:type="dxa"/>
            <w:vAlign w:val="center"/>
          </w:tcPr>
          <w:p w14:paraId="6868B691"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378.00</w:t>
            </w:r>
            <w:r>
              <w:rPr>
                <w:rFonts w:ascii="Times New Roman" w:eastAsia="Times New Roman" w:hAnsi="Times New Roman" w:cs="Times New Roman"/>
                <w:sz w:val="24"/>
                <w:szCs w:val="24"/>
                <w:vertAlign w:val="superscript"/>
              </w:rPr>
              <w:t>c</w:t>
            </w:r>
          </w:p>
        </w:tc>
        <w:tc>
          <w:tcPr>
            <w:tcW w:w="2270" w:type="dxa"/>
          </w:tcPr>
          <w:p w14:paraId="1430D103"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35.49</w:t>
            </w:r>
            <w:r>
              <w:rPr>
                <w:rFonts w:ascii="Times New Roman" w:eastAsia="Times New Roman" w:hAnsi="Times New Roman" w:cs="Times New Roman"/>
                <w:sz w:val="24"/>
                <w:szCs w:val="24"/>
                <w:vertAlign w:val="superscript"/>
              </w:rPr>
              <w:t>d</w:t>
            </w:r>
          </w:p>
        </w:tc>
        <w:tc>
          <w:tcPr>
            <w:tcW w:w="2168" w:type="dxa"/>
          </w:tcPr>
          <w:p w14:paraId="2FCF2EFE"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74.11</w:t>
            </w:r>
            <w:r>
              <w:rPr>
                <w:rFonts w:ascii="Times New Roman" w:eastAsia="Times New Roman" w:hAnsi="Times New Roman" w:cs="Times New Roman"/>
                <w:sz w:val="24"/>
                <w:szCs w:val="24"/>
                <w:vertAlign w:val="superscript"/>
              </w:rPr>
              <w:t>e</w:t>
            </w:r>
          </w:p>
        </w:tc>
      </w:tr>
      <w:tr w:rsidR="002A4EBF" w14:paraId="44F179F0" w14:textId="77777777" w:rsidTr="002A4EBF">
        <w:trPr>
          <w:trHeight w:val="420"/>
        </w:trPr>
        <w:tc>
          <w:tcPr>
            <w:tcW w:w="2232" w:type="dxa"/>
          </w:tcPr>
          <w:p w14:paraId="57B75AB4"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3</w:t>
            </w:r>
          </w:p>
        </w:tc>
        <w:tc>
          <w:tcPr>
            <w:tcW w:w="2256" w:type="dxa"/>
            <w:vAlign w:val="center"/>
          </w:tcPr>
          <w:p w14:paraId="301F8FA5"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442.00</w:t>
            </w:r>
            <w:r>
              <w:rPr>
                <w:rFonts w:ascii="Times New Roman" w:eastAsia="Times New Roman" w:hAnsi="Times New Roman" w:cs="Times New Roman"/>
                <w:sz w:val="24"/>
                <w:szCs w:val="24"/>
                <w:vertAlign w:val="superscript"/>
              </w:rPr>
              <w:t>ab</w:t>
            </w:r>
          </w:p>
        </w:tc>
        <w:tc>
          <w:tcPr>
            <w:tcW w:w="2270" w:type="dxa"/>
          </w:tcPr>
          <w:p w14:paraId="45D68821"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37.73</w:t>
            </w:r>
            <w:r>
              <w:rPr>
                <w:rFonts w:ascii="Times New Roman" w:eastAsia="Times New Roman" w:hAnsi="Times New Roman" w:cs="Times New Roman"/>
                <w:sz w:val="24"/>
                <w:szCs w:val="24"/>
                <w:vertAlign w:val="superscript"/>
              </w:rPr>
              <w:t>a</w:t>
            </w:r>
          </w:p>
        </w:tc>
        <w:tc>
          <w:tcPr>
            <w:tcW w:w="2168" w:type="dxa"/>
          </w:tcPr>
          <w:p w14:paraId="52313600"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76.03</w:t>
            </w:r>
            <w:r>
              <w:rPr>
                <w:rFonts w:ascii="Times New Roman" w:eastAsia="Times New Roman" w:hAnsi="Times New Roman" w:cs="Times New Roman"/>
                <w:sz w:val="24"/>
                <w:szCs w:val="24"/>
                <w:vertAlign w:val="superscript"/>
              </w:rPr>
              <w:t>a</w:t>
            </w:r>
          </w:p>
        </w:tc>
      </w:tr>
      <w:tr w:rsidR="002A4EBF" w14:paraId="69818651" w14:textId="77777777" w:rsidTr="002A4EBF">
        <w:trPr>
          <w:trHeight w:val="413"/>
        </w:trPr>
        <w:tc>
          <w:tcPr>
            <w:tcW w:w="2232" w:type="dxa"/>
          </w:tcPr>
          <w:p w14:paraId="7EDFC127"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4</w:t>
            </w:r>
          </w:p>
        </w:tc>
        <w:tc>
          <w:tcPr>
            <w:tcW w:w="2256" w:type="dxa"/>
            <w:vAlign w:val="center"/>
          </w:tcPr>
          <w:p w14:paraId="6901F49E"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422.00</w:t>
            </w:r>
            <w:r>
              <w:rPr>
                <w:rFonts w:ascii="Times New Roman" w:eastAsia="Times New Roman" w:hAnsi="Times New Roman" w:cs="Times New Roman"/>
                <w:sz w:val="24"/>
                <w:szCs w:val="24"/>
                <w:vertAlign w:val="superscript"/>
              </w:rPr>
              <w:t>b</w:t>
            </w:r>
          </w:p>
        </w:tc>
        <w:tc>
          <w:tcPr>
            <w:tcW w:w="2270" w:type="dxa"/>
          </w:tcPr>
          <w:p w14:paraId="0B12508E"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35.77</w:t>
            </w:r>
            <w:r>
              <w:rPr>
                <w:rFonts w:ascii="Times New Roman" w:eastAsia="Times New Roman" w:hAnsi="Times New Roman" w:cs="Times New Roman"/>
                <w:sz w:val="24"/>
                <w:szCs w:val="24"/>
                <w:vertAlign w:val="superscript"/>
              </w:rPr>
              <w:t>c</w:t>
            </w:r>
          </w:p>
        </w:tc>
        <w:tc>
          <w:tcPr>
            <w:tcW w:w="2168" w:type="dxa"/>
          </w:tcPr>
          <w:p w14:paraId="58A9146D"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74.20</w:t>
            </w:r>
            <w:r>
              <w:rPr>
                <w:rFonts w:ascii="Times New Roman" w:eastAsia="Times New Roman" w:hAnsi="Times New Roman" w:cs="Times New Roman"/>
                <w:sz w:val="24"/>
                <w:szCs w:val="24"/>
                <w:vertAlign w:val="superscript"/>
              </w:rPr>
              <w:t>cd</w:t>
            </w:r>
          </w:p>
        </w:tc>
      </w:tr>
      <w:tr w:rsidR="002A4EBF" w14:paraId="45C3F01D" w14:textId="77777777" w:rsidTr="002A4EBF">
        <w:trPr>
          <w:trHeight w:val="419"/>
        </w:trPr>
        <w:tc>
          <w:tcPr>
            <w:tcW w:w="2232" w:type="dxa"/>
          </w:tcPr>
          <w:p w14:paraId="290AC0C5"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5</w:t>
            </w:r>
          </w:p>
        </w:tc>
        <w:tc>
          <w:tcPr>
            <w:tcW w:w="2256" w:type="dxa"/>
            <w:vAlign w:val="center"/>
          </w:tcPr>
          <w:p w14:paraId="1C921C43"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389.00</w:t>
            </w:r>
            <w:r>
              <w:rPr>
                <w:rFonts w:ascii="Times New Roman" w:eastAsia="Times New Roman" w:hAnsi="Times New Roman" w:cs="Times New Roman"/>
                <w:sz w:val="24"/>
                <w:szCs w:val="24"/>
                <w:vertAlign w:val="superscript"/>
              </w:rPr>
              <w:t>c</w:t>
            </w:r>
          </w:p>
        </w:tc>
        <w:tc>
          <w:tcPr>
            <w:tcW w:w="2270" w:type="dxa"/>
          </w:tcPr>
          <w:p w14:paraId="2C52EFE3"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35.00</w:t>
            </w:r>
            <w:r>
              <w:rPr>
                <w:rFonts w:ascii="Times New Roman" w:eastAsia="Times New Roman" w:hAnsi="Times New Roman" w:cs="Times New Roman"/>
                <w:sz w:val="24"/>
                <w:szCs w:val="24"/>
                <w:vertAlign w:val="superscript"/>
              </w:rPr>
              <w:t>e</w:t>
            </w:r>
          </w:p>
        </w:tc>
        <w:tc>
          <w:tcPr>
            <w:tcW w:w="2168" w:type="dxa"/>
          </w:tcPr>
          <w:p w14:paraId="04C99E20"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74.67</w:t>
            </w:r>
            <w:r>
              <w:rPr>
                <w:rFonts w:ascii="Times New Roman" w:eastAsia="Times New Roman" w:hAnsi="Times New Roman" w:cs="Times New Roman"/>
                <w:sz w:val="24"/>
                <w:szCs w:val="24"/>
                <w:vertAlign w:val="superscript"/>
              </w:rPr>
              <w:t>c</w:t>
            </w:r>
          </w:p>
        </w:tc>
      </w:tr>
      <w:tr w:rsidR="002A4EBF" w14:paraId="345D7132" w14:textId="77777777" w:rsidTr="002A4EBF">
        <w:trPr>
          <w:trHeight w:val="410"/>
        </w:trPr>
        <w:tc>
          <w:tcPr>
            <w:tcW w:w="2232" w:type="dxa"/>
          </w:tcPr>
          <w:p w14:paraId="08DF751C"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6</w:t>
            </w:r>
          </w:p>
        </w:tc>
        <w:tc>
          <w:tcPr>
            <w:tcW w:w="2256" w:type="dxa"/>
            <w:vAlign w:val="center"/>
          </w:tcPr>
          <w:p w14:paraId="7F9C6E36"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456.00</w:t>
            </w:r>
            <w:r>
              <w:rPr>
                <w:rFonts w:ascii="Times New Roman" w:eastAsia="Times New Roman" w:hAnsi="Times New Roman" w:cs="Times New Roman"/>
                <w:sz w:val="24"/>
                <w:szCs w:val="24"/>
                <w:vertAlign w:val="superscript"/>
              </w:rPr>
              <w:t>a</w:t>
            </w:r>
          </w:p>
        </w:tc>
        <w:tc>
          <w:tcPr>
            <w:tcW w:w="2270" w:type="dxa"/>
          </w:tcPr>
          <w:p w14:paraId="2F3D12EA"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36.73</w:t>
            </w:r>
            <w:r>
              <w:rPr>
                <w:rFonts w:ascii="Times New Roman" w:eastAsia="Times New Roman" w:hAnsi="Times New Roman" w:cs="Times New Roman"/>
                <w:sz w:val="24"/>
                <w:szCs w:val="24"/>
                <w:vertAlign w:val="superscript"/>
              </w:rPr>
              <w:t>b</w:t>
            </w:r>
          </w:p>
        </w:tc>
        <w:tc>
          <w:tcPr>
            <w:tcW w:w="2168" w:type="dxa"/>
          </w:tcPr>
          <w:p w14:paraId="550B7A3E"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75.47</w:t>
            </w:r>
            <w:r>
              <w:rPr>
                <w:rFonts w:ascii="Times New Roman" w:eastAsia="Times New Roman" w:hAnsi="Times New Roman" w:cs="Times New Roman"/>
                <w:sz w:val="24"/>
                <w:szCs w:val="24"/>
                <w:vertAlign w:val="superscript"/>
              </w:rPr>
              <w:t>b</w:t>
            </w:r>
          </w:p>
        </w:tc>
      </w:tr>
      <w:tr w:rsidR="002A4EBF" w14:paraId="0774CC90" w14:textId="77777777" w:rsidTr="002A4EBF">
        <w:trPr>
          <w:trHeight w:val="418"/>
        </w:trPr>
        <w:tc>
          <w:tcPr>
            <w:tcW w:w="2232" w:type="dxa"/>
          </w:tcPr>
          <w:p w14:paraId="7FCC4860"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7</w:t>
            </w:r>
          </w:p>
        </w:tc>
        <w:tc>
          <w:tcPr>
            <w:tcW w:w="2256" w:type="dxa"/>
            <w:vAlign w:val="center"/>
          </w:tcPr>
          <w:p w14:paraId="5B019A70"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341.00</w:t>
            </w:r>
            <w:r>
              <w:rPr>
                <w:rFonts w:ascii="Times New Roman" w:eastAsia="Times New Roman" w:hAnsi="Times New Roman" w:cs="Times New Roman"/>
                <w:sz w:val="24"/>
                <w:szCs w:val="24"/>
                <w:vertAlign w:val="superscript"/>
              </w:rPr>
              <w:t>d</w:t>
            </w:r>
          </w:p>
        </w:tc>
        <w:tc>
          <w:tcPr>
            <w:tcW w:w="2270" w:type="dxa"/>
          </w:tcPr>
          <w:p w14:paraId="678E956C"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35.10</w:t>
            </w:r>
            <w:r>
              <w:rPr>
                <w:rFonts w:ascii="Times New Roman" w:eastAsia="Times New Roman" w:hAnsi="Times New Roman" w:cs="Times New Roman"/>
                <w:sz w:val="24"/>
                <w:szCs w:val="24"/>
                <w:vertAlign w:val="superscript"/>
              </w:rPr>
              <w:t>e</w:t>
            </w:r>
          </w:p>
        </w:tc>
        <w:tc>
          <w:tcPr>
            <w:tcW w:w="2168" w:type="dxa"/>
          </w:tcPr>
          <w:p w14:paraId="64074F29"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73.74</w:t>
            </w:r>
            <w:r>
              <w:rPr>
                <w:rFonts w:ascii="Times New Roman" w:eastAsia="Times New Roman" w:hAnsi="Times New Roman" w:cs="Times New Roman"/>
                <w:sz w:val="24"/>
                <w:szCs w:val="24"/>
                <w:vertAlign w:val="superscript"/>
              </w:rPr>
              <w:t>g</w:t>
            </w:r>
          </w:p>
        </w:tc>
      </w:tr>
      <w:tr w:rsidR="002A4EBF" w14:paraId="3FB4208F" w14:textId="77777777" w:rsidTr="002A4EBF">
        <w:trPr>
          <w:trHeight w:val="435"/>
        </w:trPr>
        <w:tc>
          <w:tcPr>
            <w:tcW w:w="2232" w:type="dxa"/>
          </w:tcPr>
          <w:p w14:paraId="26D85CAC"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8</w:t>
            </w:r>
          </w:p>
        </w:tc>
        <w:tc>
          <w:tcPr>
            <w:tcW w:w="2256" w:type="dxa"/>
            <w:vAlign w:val="center"/>
          </w:tcPr>
          <w:p w14:paraId="5567FA57"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307.00</w:t>
            </w:r>
            <w:r>
              <w:rPr>
                <w:rFonts w:ascii="Times New Roman" w:eastAsia="Times New Roman" w:hAnsi="Times New Roman" w:cs="Times New Roman"/>
                <w:sz w:val="24"/>
                <w:szCs w:val="24"/>
                <w:vertAlign w:val="superscript"/>
              </w:rPr>
              <w:t>e</w:t>
            </w:r>
          </w:p>
        </w:tc>
        <w:tc>
          <w:tcPr>
            <w:tcW w:w="2270" w:type="dxa"/>
          </w:tcPr>
          <w:p w14:paraId="10FBBCDE"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24.90</w:t>
            </w:r>
            <w:r>
              <w:rPr>
                <w:rFonts w:ascii="Times New Roman" w:eastAsia="Times New Roman" w:hAnsi="Times New Roman" w:cs="Times New Roman"/>
                <w:sz w:val="24"/>
                <w:szCs w:val="24"/>
                <w:vertAlign w:val="superscript"/>
              </w:rPr>
              <w:t>f</w:t>
            </w:r>
          </w:p>
        </w:tc>
        <w:tc>
          <w:tcPr>
            <w:tcW w:w="2168" w:type="dxa"/>
          </w:tcPr>
          <w:p w14:paraId="24893B49"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72.74</w:t>
            </w:r>
            <w:r>
              <w:rPr>
                <w:rFonts w:ascii="Times New Roman" w:eastAsia="Times New Roman" w:hAnsi="Times New Roman" w:cs="Times New Roman"/>
                <w:sz w:val="24"/>
                <w:szCs w:val="24"/>
                <w:vertAlign w:val="superscript"/>
              </w:rPr>
              <w:t>h</w:t>
            </w:r>
          </w:p>
        </w:tc>
      </w:tr>
      <w:tr w:rsidR="002A4EBF" w14:paraId="4A33D0CC" w14:textId="77777777" w:rsidTr="002A4EBF">
        <w:trPr>
          <w:trHeight w:val="435"/>
        </w:trPr>
        <w:tc>
          <w:tcPr>
            <w:tcW w:w="2232" w:type="dxa"/>
          </w:tcPr>
          <w:p w14:paraId="7C51DAE6"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 (</w:t>
            </w:r>
            <m:oMath>
              <m:r>
                <w:rPr>
                  <w:rFonts w:ascii="Cambria Math" w:hAnsi="Cambria Math"/>
                </w:rPr>
                <m:t>±</m:t>
              </m:r>
            </m:oMath>
            <w:r>
              <w:rPr>
                <w:rFonts w:ascii="Times New Roman" w:eastAsia="Times New Roman" w:hAnsi="Times New Roman" w:cs="Times New Roman"/>
                <w:b/>
                <w:sz w:val="24"/>
                <w:szCs w:val="24"/>
              </w:rPr>
              <w:t>)</w:t>
            </w:r>
          </w:p>
        </w:tc>
        <w:tc>
          <w:tcPr>
            <w:tcW w:w="2256" w:type="dxa"/>
            <w:vAlign w:val="center"/>
          </w:tcPr>
          <w:p w14:paraId="6B47984C"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7.613</w:t>
            </w:r>
          </w:p>
        </w:tc>
        <w:tc>
          <w:tcPr>
            <w:tcW w:w="2270" w:type="dxa"/>
          </w:tcPr>
          <w:p w14:paraId="34AA876F"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0.101</w:t>
            </w:r>
          </w:p>
        </w:tc>
        <w:tc>
          <w:tcPr>
            <w:tcW w:w="2168" w:type="dxa"/>
          </w:tcPr>
          <w:p w14:paraId="0D1A6F7D"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0.059</w:t>
            </w:r>
          </w:p>
        </w:tc>
      </w:tr>
      <w:tr w:rsidR="002A4EBF" w14:paraId="44712A8A" w14:textId="77777777" w:rsidTr="002A4EBF">
        <w:trPr>
          <w:trHeight w:val="435"/>
        </w:trPr>
        <w:tc>
          <w:tcPr>
            <w:tcW w:w="2232" w:type="dxa"/>
          </w:tcPr>
          <w:p w14:paraId="40DDF967"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(0.05)</w:t>
            </w:r>
          </w:p>
        </w:tc>
        <w:tc>
          <w:tcPr>
            <w:tcW w:w="2256" w:type="dxa"/>
            <w:vAlign w:val="center"/>
          </w:tcPr>
          <w:p w14:paraId="1EB5AF59"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22.824</w:t>
            </w:r>
          </w:p>
        </w:tc>
        <w:tc>
          <w:tcPr>
            <w:tcW w:w="2270" w:type="dxa"/>
          </w:tcPr>
          <w:p w14:paraId="3B14B563"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0.303</w:t>
            </w:r>
          </w:p>
        </w:tc>
        <w:tc>
          <w:tcPr>
            <w:tcW w:w="2168" w:type="dxa"/>
          </w:tcPr>
          <w:p w14:paraId="247F5874"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0.176</w:t>
            </w:r>
          </w:p>
        </w:tc>
      </w:tr>
      <w:tr w:rsidR="002A4EBF" w14:paraId="499A7A2A" w14:textId="77777777" w:rsidTr="002A4EBF">
        <w:trPr>
          <w:trHeight w:val="367"/>
        </w:trPr>
        <w:tc>
          <w:tcPr>
            <w:tcW w:w="2232" w:type="dxa"/>
          </w:tcPr>
          <w:p w14:paraId="4479C627"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Initial</w:t>
            </w:r>
          </w:p>
        </w:tc>
        <w:tc>
          <w:tcPr>
            <w:tcW w:w="2256" w:type="dxa"/>
            <w:vAlign w:val="center"/>
          </w:tcPr>
          <w:p w14:paraId="0EB38DBA"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335.60</w:t>
            </w:r>
          </w:p>
        </w:tc>
        <w:tc>
          <w:tcPr>
            <w:tcW w:w="2270" w:type="dxa"/>
          </w:tcPr>
          <w:p w14:paraId="1950DDF5"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25.09</w:t>
            </w:r>
          </w:p>
        </w:tc>
        <w:tc>
          <w:tcPr>
            <w:tcW w:w="2168" w:type="dxa"/>
          </w:tcPr>
          <w:p w14:paraId="4E5FBB1F"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54.56</w:t>
            </w:r>
          </w:p>
        </w:tc>
      </w:tr>
    </w:tbl>
    <w:p w14:paraId="464D784C" w14:textId="77777777" w:rsidR="002A4EBF" w:rsidRDefault="002A4EBF">
      <w:pPr>
        <w:spacing w:line="360" w:lineRule="auto"/>
        <w:ind w:firstLine="0"/>
        <w:rPr>
          <w:rFonts w:ascii="Times New Roman" w:eastAsia="Times New Roman" w:hAnsi="Times New Roman" w:cs="Times New Roman"/>
          <w:i/>
          <w:sz w:val="24"/>
          <w:szCs w:val="24"/>
        </w:rPr>
      </w:pPr>
    </w:p>
    <w:p w14:paraId="250CC9B0" w14:textId="77777777" w:rsidR="002A4EBF" w:rsidRDefault="00622FED">
      <w:pPr>
        <w:spacing w:line="360" w:lineRule="auto"/>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T</w:t>
      </w:r>
      <w:r>
        <w:rPr>
          <w:rFonts w:ascii="Times New Roman" w:eastAsia="Times New Roman" w:hAnsi="Times New Roman" w:cs="Times New Roman"/>
          <w:i/>
          <w:sz w:val="24"/>
          <w:szCs w:val="24"/>
          <w:vertAlign w:val="subscript"/>
        </w:rPr>
        <w:t>1</w:t>
      </w:r>
      <w:r>
        <w:rPr>
          <w:rFonts w:ascii="Times New Roman" w:eastAsia="Times New Roman" w:hAnsi="Times New Roman" w:cs="Times New Roman"/>
          <w:i/>
          <w:sz w:val="24"/>
          <w:szCs w:val="24"/>
        </w:rPr>
        <w:t>: KAU Organic PoP (FYM @ 5 t ha</w:t>
      </w: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 xml:space="preserve"> + 700 kg neem cake), T</w:t>
      </w:r>
      <w:r>
        <w:rPr>
          <w:rFonts w:ascii="Times New Roman" w:eastAsia="Times New Roman" w:hAnsi="Times New Roman" w:cs="Times New Roman"/>
          <w:i/>
          <w:sz w:val="24"/>
          <w:szCs w:val="24"/>
          <w:vertAlign w:val="subscript"/>
        </w:rPr>
        <w:t>2</w:t>
      </w:r>
      <w:r>
        <w:rPr>
          <w:rFonts w:ascii="Times New Roman" w:eastAsia="Times New Roman" w:hAnsi="Times New Roman" w:cs="Times New Roman"/>
          <w:i/>
          <w:sz w:val="24"/>
          <w:szCs w:val="24"/>
        </w:rPr>
        <w:t>: FYM @5 t ha</w:t>
      </w: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 (STBRDN), T</w:t>
      </w:r>
      <w:r>
        <w:rPr>
          <w:rFonts w:ascii="Times New Roman" w:eastAsia="Times New Roman" w:hAnsi="Times New Roman" w:cs="Times New Roman"/>
          <w:i/>
          <w:sz w:val="24"/>
          <w:szCs w:val="24"/>
          <w:vertAlign w:val="subscript"/>
        </w:rPr>
        <w:t>3</w:t>
      </w:r>
      <w:r>
        <w:rPr>
          <w:rFonts w:ascii="Times New Roman" w:eastAsia="Times New Roman" w:hAnsi="Times New Roman" w:cs="Times New Roman"/>
          <w:i/>
          <w:sz w:val="24"/>
          <w:szCs w:val="24"/>
        </w:rPr>
        <w:t>: Vermicompost @ 2.5 t ha</w:t>
      </w: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 xml:space="preserve"> + STBRDN, T</w:t>
      </w:r>
      <w:r>
        <w:rPr>
          <w:rFonts w:ascii="Times New Roman" w:eastAsia="Times New Roman" w:hAnsi="Times New Roman" w:cs="Times New Roman"/>
          <w:i/>
          <w:sz w:val="24"/>
          <w:szCs w:val="24"/>
          <w:vertAlign w:val="subscript"/>
        </w:rPr>
        <w:t>4</w:t>
      </w:r>
      <w:r>
        <w:rPr>
          <w:rFonts w:ascii="Times New Roman" w:eastAsia="Times New Roman" w:hAnsi="Times New Roman" w:cs="Times New Roman"/>
          <w:i/>
          <w:sz w:val="24"/>
          <w:szCs w:val="24"/>
        </w:rPr>
        <w:t>: TOF @ 2.5 t ha</w:t>
      </w: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 xml:space="preserve"> +STBRDN, T</w:t>
      </w:r>
      <w:r>
        <w:rPr>
          <w:rFonts w:ascii="Times New Roman" w:eastAsia="Times New Roman" w:hAnsi="Times New Roman" w:cs="Times New Roman"/>
          <w:i/>
          <w:sz w:val="24"/>
          <w:szCs w:val="24"/>
          <w:vertAlign w:val="subscript"/>
        </w:rPr>
        <w:t>5</w:t>
      </w:r>
      <w:r>
        <w:rPr>
          <w:rFonts w:ascii="Times New Roman" w:eastAsia="Times New Roman" w:hAnsi="Times New Roman" w:cs="Times New Roman"/>
          <w:i/>
          <w:sz w:val="24"/>
          <w:szCs w:val="24"/>
        </w:rPr>
        <w:t xml:space="preserve">: Green leaf </w:t>
      </w:r>
      <w:r>
        <w:rPr>
          <w:rFonts w:ascii="Times New Roman" w:eastAsia="Times New Roman" w:hAnsi="Times New Roman" w:cs="Times New Roman"/>
          <w:i/>
          <w:sz w:val="24"/>
          <w:szCs w:val="24"/>
        </w:rPr>
        <w:lastRenderedPageBreak/>
        <w:t>manure @ 5 t ha</w:t>
      </w: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 xml:space="preserve"> + STBRDN, T</w:t>
      </w:r>
      <w:r>
        <w:rPr>
          <w:rFonts w:ascii="Times New Roman" w:eastAsia="Times New Roman" w:hAnsi="Times New Roman" w:cs="Times New Roman"/>
          <w:i/>
          <w:sz w:val="24"/>
          <w:szCs w:val="24"/>
          <w:vertAlign w:val="subscript"/>
        </w:rPr>
        <w:t>6</w:t>
      </w:r>
      <w:r>
        <w:rPr>
          <w:rFonts w:ascii="Times New Roman" w:eastAsia="Times New Roman" w:hAnsi="Times New Roman" w:cs="Times New Roman"/>
          <w:i/>
          <w:sz w:val="24"/>
          <w:szCs w:val="24"/>
        </w:rPr>
        <w:t>: Coconut husk biochar @ 5 t ha</w:t>
      </w: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 xml:space="preserve"> + STBRDN, T</w:t>
      </w:r>
      <w:r>
        <w:rPr>
          <w:rFonts w:ascii="Times New Roman" w:eastAsia="Times New Roman" w:hAnsi="Times New Roman" w:cs="Times New Roman"/>
          <w:i/>
          <w:sz w:val="24"/>
          <w:szCs w:val="24"/>
          <w:vertAlign w:val="subscript"/>
        </w:rPr>
        <w:t>7</w:t>
      </w:r>
      <w:r>
        <w:rPr>
          <w:rFonts w:ascii="Times New Roman" w:eastAsia="Times New Roman" w:hAnsi="Times New Roman" w:cs="Times New Roman"/>
          <w:i/>
          <w:sz w:val="24"/>
          <w:szCs w:val="24"/>
        </w:rPr>
        <w:t>: STBRDN alone, T</w:t>
      </w:r>
      <w:r>
        <w:rPr>
          <w:rFonts w:ascii="Times New Roman" w:eastAsia="Times New Roman" w:hAnsi="Times New Roman" w:cs="Times New Roman"/>
          <w:i/>
          <w:sz w:val="24"/>
          <w:szCs w:val="24"/>
          <w:vertAlign w:val="subscript"/>
        </w:rPr>
        <w:t>8</w:t>
      </w:r>
      <w:r>
        <w:rPr>
          <w:rFonts w:ascii="Times New Roman" w:eastAsia="Times New Roman" w:hAnsi="Times New Roman" w:cs="Times New Roman"/>
          <w:i/>
          <w:sz w:val="24"/>
          <w:szCs w:val="24"/>
        </w:rPr>
        <w:t>: Absolute control.</w:t>
      </w:r>
    </w:p>
    <w:p w14:paraId="76A222C0" w14:textId="77777777" w:rsidR="002A4EBF" w:rsidRDefault="00622FED">
      <w:pPr>
        <w:spacing w:line="360" w:lineRule="auto"/>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3.2 Dehydrogenase activity</w:t>
      </w:r>
    </w:p>
    <w:p w14:paraId="451C1A55" w14:textId="77777777" w:rsidR="002A4EBF" w:rsidRDefault="00622FE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Soil dehydrogenase activity is an indicator of total soil microbial activity as it reflects the fertility status of soil. Dehydrogenase activity, was significantly affected by the organic amendments. Among the treatments, the highest activity (76.03 </w:t>
      </w:r>
      <m:oMath>
        <m:r>
          <w:rPr>
            <w:rFonts w:ascii="Cambria Math" w:hAnsi="Cambria Math"/>
          </w:rPr>
          <m:t>μ</m:t>
        </m:r>
      </m:oMath>
      <w:r>
        <w:rPr>
          <w:rFonts w:ascii="Times New Roman" w:eastAsia="Times New Roman" w:hAnsi="Times New Roman" w:cs="Times New Roman"/>
          <w:sz w:val="24"/>
          <w:szCs w:val="24"/>
        </w:rPr>
        <w:t>g TPF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24 h</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was observed with the application of vermicompost @ 2.5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alongwith soil test based recommended application of nutrients.  Vermicompost supplies abundant labile organic carbon, diverse microbial inoculants, and essential nutrients that directly stimulate microbial respiration. This creates a biologically rich environment where oxidative enzymes like dehydrogenase are strongly expressed (Gazi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Shah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2024).</w:t>
      </w:r>
    </w:p>
    <w:p w14:paraId="622B0F03" w14:textId="77777777"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Biochar application also resulted in improved dehydrogenase activity (75.47 </w:t>
      </w:r>
      <m:oMath>
        <m:r>
          <w:rPr>
            <w:rFonts w:ascii="Cambria Math" w:hAnsi="Cambria Math"/>
          </w:rPr>
          <m:t>μ</m:t>
        </m:r>
      </m:oMath>
      <w:r>
        <w:rPr>
          <w:rFonts w:ascii="Times New Roman" w:eastAsia="Times New Roman" w:hAnsi="Times New Roman" w:cs="Times New Roman"/>
          <w:sz w:val="24"/>
          <w:szCs w:val="24"/>
        </w:rPr>
        <w:t>g TPF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24 h</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while the lowest (72.74 </w:t>
      </w:r>
      <m:oMath>
        <m:r>
          <w:rPr>
            <w:rFonts w:ascii="Cambria Math" w:hAnsi="Cambria Math"/>
          </w:rPr>
          <m:t>μ</m:t>
        </m:r>
      </m:oMath>
      <w:r>
        <w:rPr>
          <w:rFonts w:ascii="Times New Roman" w:eastAsia="Times New Roman" w:hAnsi="Times New Roman" w:cs="Times New Roman"/>
          <w:sz w:val="24"/>
          <w:szCs w:val="24"/>
        </w:rPr>
        <w:t>g TPF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24 h</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was recorded for control.  Root exudates are known to increase microbial respiration and DHA in paddy systems (Ladha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Biochar enhances habitat quality and electron transfer (Sarfraz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The use of various fertilizers including mineral fertilizers, green manure, FYM, compost, and vermicompost exerts distinct influence on soil dehydrogenase activity. Compost application @ 540 kg N ha⁻¹ yr⁻¹ had shown to enhance both dehydrogenase activity and microbial community abundance relative to untreated soils (Chang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2007). Similarly, soils amended with cattle manure and vermicompost exhibit greater dehydrogenase activity than control (Saha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2008). </w:t>
      </w:r>
    </w:p>
    <w:p w14:paraId="28EBC1A7" w14:textId="77777777"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3.3 Acid phosphatase activity</w:t>
      </w:r>
    </w:p>
    <w:p w14:paraId="7770FC28"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Acid phosphatase is a soil enzyme involved in the mineralization of organic phosphorus, thereby playing a crucial role in nutrient cycling and sustaining crop productivity in flooded paddy ecosystems. In the present study, notable differences in acid phosphatase activity were observed among the treatments. Vermicompost application @ 2.5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along with soil test based recommended nutrients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recorded the highest activity (37.73 </w:t>
      </w:r>
      <m:oMath>
        <m:r>
          <w:rPr>
            <w:rFonts w:ascii="Cambria Math" w:hAnsi="Cambria Math"/>
          </w:rPr>
          <m:t>μ</m:t>
        </m:r>
      </m:oMath>
      <w:r>
        <w:rPr>
          <w:rFonts w:ascii="Times New Roman" w:eastAsia="Times New Roman" w:hAnsi="Times New Roman" w:cs="Times New Roman"/>
          <w:sz w:val="24"/>
          <w:szCs w:val="24"/>
        </w:rPr>
        <w:t>g of p-nitrophenol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soil h</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followed by coconut husk biochar at 5 t ha⁻¹ with STBRDN (36.73 μg p-nitrophenol g⁻¹ soil h⁻¹). Vermicompost contains abundant beneficial microorganisms that directly secrete phosphatases and provide easily decomposable organic matter that fuels microbial metabolism. This energy source promotes microbial growth and enzyme synthesis, leading to higher acid phosphatase activity (Pooja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Yang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According </w:t>
      </w:r>
      <w:r>
        <w:rPr>
          <w:rFonts w:ascii="Times New Roman" w:eastAsia="Times New Roman" w:hAnsi="Times New Roman" w:cs="Times New Roman"/>
          <w:sz w:val="24"/>
          <w:szCs w:val="24"/>
        </w:rPr>
        <w:lastRenderedPageBreak/>
        <w:t xml:space="preserve">to Zhang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 vermicompost significantly increased phosphatase activity and improved phosphorus transformation in paddy soils.</w:t>
      </w:r>
    </w:p>
    <w:p w14:paraId="4486783A" w14:textId="77777777" w:rsidR="002A4EBF" w:rsidRDefault="00622FED">
      <w:pPr>
        <w:spacing w:line="360" w:lineRule="auto"/>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3.4 Bulk density and water holding capacity</w:t>
      </w:r>
    </w:p>
    <w:p w14:paraId="75BF1FE9" w14:textId="77777777"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root growth, nutrient transport, and microbial activity are influenced by the soil structure, soil aeration and water retention capacity, These properties are strongly governed by soil bulk density and its capacity to store water. Elevated bulk density can hinder root penetration, decrease pore continuity, limit aeration, and reduce water infiltration, ultimately impairing plant growth and overall soil functioning. Incorporation of organic amendments enhances soil aggregation and porosity, thereby improving both the physical and chemical quality of soil (Haque et al., 2021).</w:t>
      </w:r>
    </w:p>
    <w:p w14:paraId="40381B7D" w14:textId="77777777" w:rsidR="002A4EBF" w:rsidRDefault="00622FE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the present study (Table 2), the application of organic manures significantly influenced bulk density, water-holding capacity, and the availability of nitrogen, phosphorus, and potassium. Vermicompost and biochar, in particular, produced notable reductions in bulk density and increased the soil’s water-holding capacity relative to the initial values. Overall, the application of organic amendments led to marked improvement in soil moisture retention. The addition of stabilized organic matter introduces lighter organic fractions into the soil matrix, which is especially effective in reducing bulk density in paddy soils (Hussain and Abbasi, 2018). This change promotes a more favourable distribution of macro- and micropores, enhancing the soil’s ability to retain water (Castellini et al., 2024). Furthermore, the remarkable porosity of biochar and large internal surface area help restructure inter-particle pore arrangement, thereby improving total porosity and water-holding capacity (Libutti et al., 2019).</w:t>
      </w:r>
    </w:p>
    <w:p w14:paraId="43836F57" w14:textId="77777777" w:rsidR="002A4EBF" w:rsidRDefault="00622FED">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Effect of organic amendments on soil physical properties and nutrient availability</w:t>
      </w:r>
    </w:p>
    <w:tbl>
      <w:tblPr>
        <w:tblStyle w:val="a0"/>
        <w:tblW w:w="9026" w:type="dxa"/>
        <w:jc w:val="center"/>
        <w:tblBorders>
          <w:top w:val="nil"/>
          <w:bottom w:val="nil"/>
          <w:insideH w:val="single" w:sz="4" w:space="0" w:color="000000"/>
          <w:insideV w:val="single" w:sz="4" w:space="0" w:color="000000"/>
        </w:tblBorders>
        <w:tblLayout w:type="fixed"/>
        <w:tblLook w:val="0600" w:firstRow="0" w:lastRow="0" w:firstColumn="0" w:lastColumn="0" w:noHBand="1" w:noVBand="1"/>
      </w:tblPr>
      <w:tblGrid>
        <w:gridCol w:w="1413"/>
        <w:gridCol w:w="1701"/>
        <w:gridCol w:w="1701"/>
        <w:gridCol w:w="1417"/>
        <w:gridCol w:w="1418"/>
        <w:gridCol w:w="1376"/>
      </w:tblGrid>
      <w:tr w:rsidR="002A4EBF" w14:paraId="34B71F47" w14:textId="77777777" w:rsidTr="002A4EBF">
        <w:trPr>
          <w:trHeight w:val="765"/>
          <w:jc w:val="center"/>
        </w:trPr>
        <w:tc>
          <w:tcPr>
            <w:tcW w:w="1413" w:type="dxa"/>
            <w:vMerge w:val="restart"/>
          </w:tcPr>
          <w:p w14:paraId="245329C9"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Treatments</w:t>
            </w:r>
          </w:p>
        </w:tc>
        <w:tc>
          <w:tcPr>
            <w:tcW w:w="1701" w:type="dxa"/>
            <w:vMerge w:val="restart"/>
          </w:tcPr>
          <w:p w14:paraId="2576BAF2"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Bulk density</w:t>
            </w:r>
          </w:p>
          <w:p w14:paraId="56EE8EDC"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(Mg 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701" w:type="dxa"/>
            <w:vMerge w:val="restart"/>
          </w:tcPr>
          <w:p w14:paraId="18EB6990"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Water holding capacity (%)</w:t>
            </w:r>
          </w:p>
        </w:tc>
        <w:tc>
          <w:tcPr>
            <w:tcW w:w="4211" w:type="dxa"/>
            <w:gridSpan w:val="3"/>
          </w:tcPr>
          <w:p w14:paraId="1A3D7269"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Available primary nutrients</w:t>
            </w:r>
          </w:p>
          <w:p w14:paraId="425AE95B"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(kg ha</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tc>
      </w:tr>
      <w:tr w:rsidR="002A4EBF" w14:paraId="4388F9B4" w14:textId="77777777" w:rsidTr="002A4EBF">
        <w:trPr>
          <w:trHeight w:val="485"/>
          <w:jc w:val="center"/>
        </w:trPr>
        <w:tc>
          <w:tcPr>
            <w:tcW w:w="1413" w:type="dxa"/>
            <w:vMerge/>
          </w:tcPr>
          <w:p w14:paraId="7037AAC0" w14:textId="77777777" w:rsidR="002A4EBF" w:rsidRDefault="002A4EBF">
            <w:pPr>
              <w:widowControl w:val="0"/>
              <w:pBdr>
                <w:top w:val="nil"/>
                <w:left w:val="nil"/>
                <w:bottom w:val="nil"/>
                <w:right w:val="nil"/>
                <w:between w:val="nil"/>
              </w:pBdr>
              <w:spacing w:line="276" w:lineRule="auto"/>
              <w:ind w:firstLine="0"/>
              <w:jc w:val="left"/>
              <w:rPr>
                <w:rFonts w:ascii="Times New Roman" w:eastAsia="Times New Roman" w:hAnsi="Times New Roman" w:cs="Times New Roman"/>
                <w:b/>
                <w:sz w:val="24"/>
                <w:szCs w:val="24"/>
              </w:rPr>
            </w:pPr>
          </w:p>
        </w:tc>
        <w:tc>
          <w:tcPr>
            <w:tcW w:w="1701" w:type="dxa"/>
            <w:vMerge/>
          </w:tcPr>
          <w:p w14:paraId="229E7E4A" w14:textId="77777777" w:rsidR="002A4EBF" w:rsidRDefault="002A4EBF">
            <w:pPr>
              <w:widowControl w:val="0"/>
              <w:pBdr>
                <w:top w:val="nil"/>
                <w:left w:val="nil"/>
                <w:bottom w:val="nil"/>
                <w:right w:val="nil"/>
                <w:between w:val="nil"/>
              </w:pBdr>
              <w:spacing w:line="276" w:lineRule="auto"/>
              <w:ind w:firstLine="0"/>
              <w:jc w:val="left"/>
              <w:rPr>
                <w:rFonts w:ascii="Times New Roman" w:eastAsia="Times New Roman" w:hAnsi="Times New Roman" w:cs="Times New Roman"/>
                <w:b/>
                <w:sz w:val="24"/>
                <w:szCs w:val="24"/>
              </w:rPr>
            </w:pPr>
          </w:p>
        </w:tc>
        <w:tc>
          <w:tcPr>
            <w:tcW w:w="1701" w:type="dxa"/>
            <w:vMerge/>
          </w:tcPr>
          <w:p w14:paraId="355F9E25" w14:textId="77777777" w:rsidR="002A4EBF" w:rsidRDefault="002A4EBF">
            <w:pPr>
              <w:widowControl w:val="0"/>
              <w:pBdr>
                <w:top w:val="nil"/>
                <w:left w:val="nil"/>
                <w:bottom w:val="nil"/>
                <w:right w:val="nil"/>
                <w:between w:val="nil"/>
              </w:pBdr>
              <w:spacing w:line="276" w:lineRule="auto"/>
              <w:ind w:firstLine="0"/>
              <w:jc w:val="left"/>
              <w:rPr>
                <w:rFonts w:ascii="Times New Roman" w:eastAsia="Times New Roman" w:hAnsi="Times New Roman" w:cs="Times New Roman"/>
                <w:b/>
                <w:sz w:val="24"/>
                <w:szCs w:val="24"/>
              </w:rPr>
            </w:pPr>
          </w:p>
        </w:tc>
        <w:tc>
          <w:tcPr>
            <w:tcW w:w="1417" w:type="dxa"/>
          </w:tcPr>
          <w:p w14:paraId="3042D34D"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1418" w:type="dxa"/>
          </w:tcPr>
          <w:p w14:paraId="0EB0ECFE"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O</w:t>
            </w:r>
            <w:r>
              <w:rPr>
                <w:rFonts w:ascii="Times New Roman" w:eastAsia="Times New Roman" w:hAnsi="Times New Roman" w:cs="Times New Roman"/>
                <w:b/>
                <w:sz w:val="24"/>
                <w:szCs w:val="24"/>
                <w:vertAlign w:val="subscript"/>
              </w:rPr>
              <w:t>5</w:t>
            </w:r>
          </w:p>
        </w:tc>
        <w:tc>
          <w:tcPr>
            <w:tcW w:w="1376" w:type="dxa"/>
          </w:tcPr>
          <w:p w14:paraId="348092B5"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O</w:t>
            </w:r>
          </w:p>
        </w:tc>
      </w:tr>
      <w:tr w:rsidR="002A4EBF" w14:paraId="22D7EE44" w14:textId="77777777" w:rsidTr="002A4EBF">
        <w:trPr>
          <w:trHeight w:val="423"/>
          <w:jc w:val="center"/>
        </w:trPr>
        <w:tc>
          <w:tcPr>
            <w:tcW w:w="1413" w:type="dxa"/>
          </w:tcPr>
          <w:p w14:paraId="78E040F5"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1</w:t>
            </w:r>
          </w:p>
        </w:tc>
        <w:tc>
          <w:tcPr>
            <w:tcW w:w="1701" w:type="dxa"/>
          </w:tcPr>
          <w:p w14:paraId="4E28FDA6"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r>
              <w:rPr>
                <w:rFonts w:ascii="Times New Roman" w:eastAsia="Times New Roman" w:hAnsi="Times New Roman" w:cs="Times New Roman"/>
                <w:sz w:val="24"/>
                <w:szCs w:val="24"/>
                <w:vertAlign w:val="superscript"/>
              </w:rPr>
              <w:t>cd</w:t>
            </w:r>
          </w:p>
        </w:tc>
        <w:tc>
          <w:tcPr>
            <w:tcW w:w="1701" w:type="dxa"/>
          </w:tcPr>
          <w:p w14:paraId="1597B2E2"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48.72</w:t>
            </w:r>
            <w:r>
              <w:rPr>
                <w:rFonts w:ascii="Times New Roman" w:eastAsia="Times New Roman" w:hAnsi="Times New Roman" w:cs="Times New Roman"/>
                <w:sz w:val="24"/>
                <w:szCs w:val="24"/>
                <w:vertAlign w:val="superscript"/>
              </w:rPr>
              <w:t>c</w:t>
            </w:r>
          </w:p>
        </w:tc>
        <w:tc>
          <w:tcPr>
            <w:tcW w:w="1417" w:type="dxa"/>
          </w:tcPr>
          <w:p w14:paraId="77B638F4"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359.59</w:t>
            </w:r>
            <w:r>
              <w:rPr>
                <w:rFonts w:ascii="Times New Roman" w:eastAsia="Times New Roman" w:hAnsi="Times New Roman" w:cs="Times New Roman"/>
                <w:sz w:val="24"/>
                <w:szCs w:val="24"/>
                <w:vertAlign w:val="superscript"/>
              </w:rPr>
              <w:t>abc</w:t>
            </w:r>
          </w:p>
        </w:tc>
        <w:tc>
          <w:tcPr>
            <w:tcW w:w="1418" w:type="dxa"/>
            <w:vAlign w:val="center"/>
          </w:tcPr>
          <w:p w14:paraId="24B3D2F7"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34.34</w:t>
            </w:r>
            <w:r>
              <w:rPr>
                <w:rFonts w:ascii="Times New Roman" w:eastAsia="Times New Roman" w:hAnsi="Times New Roman" w:cs="Times New Roman"/>
                <w:sz w:val="24"/>
                <w:szCs w:val="24"/>
                <w:vertAlign w:val="superscript"/>
              </w:rPr>
              <w:t>cd</w:t>
            </w:r>
          </w:p>
        </w:tc>
        <w:tc>
          <w:tcPr>
            <w:tcW w:w="1376" w:type="dxa"/>
            <w:vAlign w:val="center"/>
          </w:tcPr>
          <w:p w14:paraId="21B11DFB"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73.77</w:t>
            </w:r>
            <w:r>
              <w:rPr>
                <w:rFonts w:ascii="Times New Roman" w:eastAsia="Times New Roman" w:hAnsi="Times New Roman" w:cs="Times New Roman"/>
                <w:sz w:val="24"/>
                <w:szCs w:val="24"/>
                <w:vertAlign w:val="superscript"/>
              </w:rPr>
              <w:t>bc</w:t>
            </w:r>
          </w:p>
        </w:tc>
      </w:tr>
      <w:tr w:rsidR="002A4EBF" w14:paraId="5929D0FE" w14:textId="77777777" w:rsidTr="002A4EBF">
        <w:trPr>
          <w:trHeight w:val="414"/>
          <w:jc w:val="center"/>
        </w:trPr>
        <w:tc>
          <w:tcPr>
            <w:tcW w:w="1413" w:type="dxa"/>
          </w:tcPr>
          <w:p w14:paraId="50DC7680"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2</w:t>
            </w:r>
          </w:p>
        </w:tc>
        <w:tc>
          <w:tcPr>
            <w:tcW w:w="1701" w:type="dxa"/>
          </w:tcPr>
          <w:p w14:paraId="34BAF780"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r>
              <w:rPr>
                <w:rFonts w:ascii="Times New Roman" w:eastAsia="Times New Roman" w:hAnsi="Times New Roman" w:cs="Times New Roman"/>
                <w:sz w:val="24"/>
                <w:szCs w:val="24"/>
                <w:vertAlign w:val="superscript"/>
              </w:rPr>
              <w:t>bc</w:t>
            </w:r>
          </w:p>
        </w:tc>
        <w:tc>
          <w:tcPr>
            <w:tcW w:w="1701" w:type="dxa"/>
          </w:tcPr>
          <w:p w14:paraId="03B5ABAA"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45.39</w:t>
            </w:r>
            <w:r>
              <w:rPr>
                <w:rFonts w:ascii="Times New Roman" w:eastAsia="Times New Roman" w:hAnsi="Times New Roman" w:cs="Times New Roman"/>
                <w:sz w:val="24"/>
                <w:szCs w:val="24"/>
                <w:vertAlign w:val="superscript"/>
              </w:rPr>
              <w:t>d</w:t>
            </w:r>
          </w:p>
        </w:tc>
        <w:tc>
          <w:tcPr>
            <w:tcW w:w="1417" w:type="dxa"/>
          </w:tcPr>
          <w:p w14:paraId="6B875B24"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326.14</w:t>
            </w:r>
            <w:r>
              <w:rPr>
                <w:rFonts w:ascii="Times New Roman" w:eastAsia="Times New Roman" w:hAnsi="Times New Roman" w:cs="Times New Roman"/>
                <w:sz w:val="24"/>
                <w:szCs w:val="24"/>
                <w:vertAlign w:val="superscript"/>
              </w:rPr>
              <w:t>d</w:t>
            </w:r>
          </w:p>
        </w:tc>
        <w:tc>
          <w:tcPr>
            <w:tcW w:w="1418" w:type="dxa"/>
            <w:vAlign w:val="center"/>
          </w:tcPr>
          <w:p w14:paraId="42C071BC"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37.52</w:t>
            </w:r>
            <w:r>
              <w:rPr>
                <w:rFonts w:ascii="Times New Roman" w:eastAsia="Times New Roman" w:hAnsi="Times New Roman" w:cs="Times New Roman"/>
                <w:sz w:val="24"/>
                <w:szCs w:val="24"/>
                <w:vertAlign w:val="superscript"/>
              </w:rPr>
              <w:t>bc</w:t>
            </w:r>
          </w:p>
        </w:tc>
        <w:tc>
          <w:tcPr>
            <w:tcW w:w="1376" w:type="dxa"/>
            <w:vAlign w:val="center"/>
          </w:tcPr>
          <w:p w14:paraId="6BD8044C"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84.89</w:t>
            </w:r>
            <w:r>
              <w:rPr>
                <w:rFonts w:ascii="Times New Roman" w:eastAsia="Times New Roman" w:hAnsi="Times New Roman" w:cs="Times New Roman"/>
                <w:sz w:val="24"/>
                <w:szCs w:val="24"/>
                <w:vertAlign w:val="superscript"/>
              </w:rPr>
              <w:t>bc</w:t>
            </w:r>
          </w:p>
        </w:tc>
      </w:tr>
      <w:tr w:rsidR="002A4EBF" w14:paraId="1D659978" w14:textId="77777777" w:rsidTr="002A4EBF">
        <w:trPr>
          <w:trHeight w:val="420"/>
          <w:jc w:val="center"/>
        </w:trPr>
        <w:tc>
          <w:tcPr>
            <w:tcW w:w="1413" w:type="dxa"/>
          </w:tcPr>
          <w:p w14:paraId="34438401"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3</w:t>
            </w:r>
          </w:p>
        </w:tc>
        <w:tc>
          <w:tcPr>
            <w:tcW w:w="1701" w:type="dxa"/>
          </w:tcPr>
          <w:p w14:paraId="1D2BEB23"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r>
              <w:rPr>
                <w:rFonts w:ascii="Times New Roman" w:eastAsia="Times New Roman" w:hAnsi="Times New Roman" w:cs="Times New Roman"/>
                <w:sz w:val="24"/>
                <w:szCs w:val="24"/>
                <w:vertAlign w:val="superscript"/>
              </w:rPr>
              <w:t>e</w:t>
            </w:r>
          </w:p>
        </w:tc>
        <w:tc>
          <w:tcPr>
            <w:tcW w:w="1701" w:type="dxa"/>
          </w:tcPr>
          <w:p w14:paraId="38E87036"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50.74</w:t>
            </w:r>
            <w:r>
              <w:rPr>
                <w:rFonts w:ascii="Times New Roman" w:eastAsia="Times New Roman" w:hAnsi="Times New Roman" w:cs="Times New Roman"/>
                <w:sz w:val="24"/>
                <w:szCs w:val="24"/>
                <w:vertAlign w:val="superscript"/>
              </w:rPr>
              <w:t>b</w:t>
            </w:r>
          </w:p>
        </w:tc>
        <w:tc>
          <w:tcPr>
            <w:tcW w:w="1417" w:type="dxa"/>
          </w:tcPr>
          <w:p w14:paraId="4825A0EE"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376.32</w:t>
            </w:r>
            <w:r>
              <w:rPr>
                <w:rFonts w:ascii="Times New Roman" w:eastAsia="Times New Roman" w:hAnsi="Times New Roman" w:cs="Times New Roman"/>
                <w:sz w:val="24"/>
                <w:szCs w:val="24"/>
                <w:vertAlign w:val="superscript"/>
              </w:rPr>
              <w:t>a</w:t>
            </w:r>
          </w:p>
        </w:tc>
        <w:tc>
          <w:tcPr>
            <w:tcW w:w="1418" w:type="dxa"/>
            <w:vAlign w:val="center"/>
          </w:tcPr>
          <w:p w14:paraId="669BB814"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42.74</w:t>
            </w:r>
            <w:r>
              <w:rPr>
                <w:rFonts w:ascii="Times New Roman" w:eastAsia="Times New Roman" w:hAnsi="Times New Roman" w:cs="Times New Roman"/>
                <w:sz w:val="24"/>
                <w:szCs w:val="24"/>
                <w:vertAlign w:val="superscript"/>
              </w:rPr>
              <w:t>a</w:t>
            </w:r>
          </w:p>
        </w:tc>
        <w:tc>
          <w:tcPr>
            <w:tcW w:w="1376" w:type="dxa"/>
            <w:vAlign w:val="center"/>
          </w:tcPr>
          <w:p w14:paraId="7EF1CD80"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122.56</w:t>
            </w:r>
            <w:r>
              <w:rPr>
                <w:rFonts w:ascii="Times New Roman" w:eastAsia="Times New Roman" w:hAnsi="Times New Roman" w:cs="Times New Roman"/>
                <w:sz w:val="24"/>
                <w:szCs w:val="24"/>
                <w:vertAlign w:val="superscript"/>
              </w:rPr>
              <w:t>a</w:t>
            </w:r>
          </w:p>
        </w:tc>
      </w:tr>
      <w:tr w:rsidR="002A4EBF" w14:paraId="7206B7B7" w14:textId="77777777" w:rsidTr="002A4EBF">
        <w:trPr>
          <w:trHeight w:val="413"/>
          <w:jc w:val="center"/>
        </w:trPr>
        <w:tc>
          <w:tcPr>
            <w:tcW w:w="1413" w:type="dxa"/>
          </w:tcPr>
          <w:p w14:paraId="5DBD4EB5"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4</w:t>
            </w:r>
          </w:p>
        </w:tc>
        <w:tc>
          <w:tcPr>
            <w:tcW w:w="1701" w:type="dxa"/>
          </w:tcPr>
          <w:p w14:paraId="428165D9"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r>
              <w:rPr>
                <w:rFonts w:ascii="Times New Roman" w:eastAsia="Times New Roman" w:hAnsi="Times New Roman" w:cs="Times New Roman"/>
                <w:sz w:val="24"/>
                <w:szCs w:val="24"/>
                <w:vertAlign w:val="superscript"/>
              </w:rPr>
              <w:t>d</w:t>
            </w:r>
          </w:p>
        </w:tc>
        <w:tc>
          <w:tcPr>
            <w:tcW w:w="1701" w:type="dxa"/>
          </w:tcPr>
          <w:p w14:paraId="792D057A"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52.39</w:t>
            </w:r>
            <w:r>
              <w:rPr>
                <w:rFonts w:ascii="Times New Roman" w:eastAsia="Times New Roman" w:hAnsi="Times New Roman" w:cs="Times New Roman"/>
                <w:sz w:val="24"/>
                <w:szCs w:val="24"/>
                <w:vertAlign w:val="superscript"/>
              </w:rPr>
              <w:t>a</w:t>
            </w:r>
          </w:p>
        </w:tc>
        <w:tc>
          <w:tcPr>
            <w:tcW w:w="1417" w:type="dxa"/>
          </w:tcPr>
          <w:p w14:paraId="4F381CBE"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347.05</w:t>
            </w:r>
            <w:r>
              <w:rPr>
                <w:rFonts w:ascii="Times New Roman" w:eastAsia="Times New Roman" w:hAnsi="Times New Roman" w:cs="Times New Roman"/>
                <w:sz w:val="24"/>
                <w:szCs w:val="24"/>
                <w:vertAlign w:val="superscript"/>
              </w:rPr>
              <w:t>bc</w:t>
            </w:r>
          </w:p>
        </w:tc>
        <w:tc>
          <w:tcPr>
            <w:tcW w:w="1418" w:type="dxa"/>
            <w:vAlign w:val="center"/>
          </w:tcPr>
          <w:p w14:paraId="36B395F1"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40.78</w:t>
            </w:r>
            <w:r>
              <w:rPr>
                <w:rFonts w:ascii="Times New Roman" w:eastAsia="Times New Roman" w:hAnsi="Times New Roman" w:cs="Times New Roman"/>
                <w:sz w:val="24"/>
                <w:szCs w:val="24"/>
                <w:vertAlign w:val="superscript"/>
              </w:rPr>
              <w:t>ab</w:t>
            </w:r>
          </w:p>
        </w:tc>
        <w:tc>
          <w:tcPr>
            <w:tcW w:w="1376" w:type="dxa"/>
            <w:vAlign w:val="center"/>
          </w:tcPr>
          <w:p w14:paraId="228C0E20"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93.70</w:t>
            </w:r>
            <w:r>
              <w:rPr>
                <w:rFonts w:ascii="Times New Roman" w:eastAsia="Times New Roman" w:hAnsi="Times New Roman" w:cs="Times New Roman"/>
                <w:sz w:val="24"/>
                <w:szCs w:val="24"/>
                <w:vertAlign w:val="superscript"/>
              </w:rPr>
              <w:t>abc</w:t>
            </w:r>
          </w:p>
        </w:tc>
      </w:tr>
      <w:tr w:rsidR="002A4EBF" w14:paraId="7065E128" w14:textId="77777777" w:rsidTr="002A4EBF">
        <w:trPr>
          <w:trHeight w:val="419"/>
          <w:jc w:val="center"/>
        </w:trPr>
        <w:tc>
          <w:tcPr>
            <w:tcW w:w="1413" w:type="dxa"/>
          </w:tcPr>
          <w:p w14:paraId="06C2DC5F"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5</w:t>
            </w:r>
          </w:p>
        </w:tc>
        <w:tc>
          <w:tcPr>
            <w:tcW w:w="1701" w:type="dxa"/>
          </w:tcPr>
          <w:p w14:paraId="7C8CE9C5"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r>
              <w:rPr>
                <w:rFonts w:ascii="Times New Roman" w:eastAsia="Times New Roman" w:hAnsi="Times New Roman" w:cs="Times New Roman"/>
                <w:sz w:val="24"/>
                <w:szCs w:val="24"/>
                <w:vertAlign w:val="superscript"/>
              </w:rPr>
              <w:t>b</w:t>
            </w:r>
          </w:p>
        </w:tc>
        <w:tc>
          <w:tcPr>
            <w:tcW w:w="1701" w:type="dxa"/>
          </w:tcPr>
          <w:p w14:paraId="44F132C9"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46.48</w:t>
            </w:r>
            <w:r>
              <w:rPr>
                <w:rFonts w:ascii="Times New Roman" w:eastAsia="Times New Roman" w:hAnsi="Times New Roman" w:cs="Times New Roman"/>
                <w:sz w:val="24"/>
                <w:szCs w:val="24"/>
                <w:vertAlign w:val="superscript"/>
              </w:rPr>
              <w:t>d</w:t>
            </w:r>
          </w:p>
        </w:tc>
        <w:tc>
          <w:tcPr>
            <w:tcW w:w="1417" w:type="dxa"/>
          </w:tcPr>
          <w:p w14:paraId="74362B8C"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292.69</w:t>
            </w:r>
            <w:r>
              <w:rPr>
                <w:rFonts w:ascii="Times New Roman" w:eastAsia="Times New Roman" w:hAnsi="Times New Roman" w:cs="Times New Roman"/>
                <w:sz w:val="24"/>
                <w:szCs w:val="24"/>
                <w:vertAlign w:val="superscript"/>
              </w:rPr>
              <w:t>e</w:t>
            </w:r>
          </w:p>
        </w:tc>
        <w:tc>
          <w:tcPr>
            <w:tcW w:w="1418" w:type="dxa"/>
            <w:vAlign w:val="center"/>
          </w:tcPr>
          <w:p w14:paraId="5D319497"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39.29</w:t>
            </w:r>
            <w:r>
              <w:rPr>
                <w:rFonts w:ascii="Times New Roman" w:eastAsia="Times New Roman" w:hAnsi="Times New Roman" w:cs="Times New Roman"/>
                <w:sz w:val="24"/>
                <w:szCs w:val="24"/>
                <w:vertAlign w:val="superscript"/>
              </w:rPr>
              <w:t>ab</w:t>
            </w:r>
          </w:p>
        </w:tc>
        <w:tc>
          <w:tcPr>
            <w:tcW w:w="1376" w:type="dxa"/>
            <w:vAlign w:val="center"/>
          </w:tcPr>
          <w:p w14:paraId="521E5313"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96.35</w:t>
            </w:r>
            <w:r>
              <w:rPr>
                <w:rFonts w:ascii="Times New Roman" w:eastAsia="Times New Roman" w:hAnsi="Times New Roman" w:cs="Times New Roman"/>
                <w:sz w:val="24"/>
                <w:szCs w:val="24"/>
                <w:vertAlign w:val="superscript"/>
              </w:rPr>
              <w:t>ab</w:t>
            </w:r>
          </w:p>
        </w:tc>
      </w:tr>
      <w:tr w:rsidR="002A4EBF" w14:paraId="1CF2CE5D" w14:textId="77777777" w:rsidTr="002A4EBF">
        <w:trPr>
          <w:trHeight w:val="410"/>
          <w:jc w:val="center"/>
        </w:trPr>
        <w:tc>
          <w:tcPr>
            <w:tcW w:w="1413" w:type="dxa"/>
          </w:tcPr>
          <w:p w14:paraId="0F7BB2E5"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w:t>
            </w:r>
            <w:r>
              <w:rPr>
                <w:rFonts w:ascii="Times New Roman" w:eastAsia="Times New Roman" w:hAnsi="Times New Roman" w:cs="Times New Roman"/>
                <w:b/>
                <w:sz w:val="24"/>
                <w:szCs w:val="24"/>
                <w:vertAlign w:val="subscript"/>
              </w:rPr>
              <w:t>6</w:t>
            </w:r>
          </w:p>
        </w:tc>
        <w:tc>
          <w:tcPr>
            <w:tcW w:w="1701" w:type="dxa"/>
          </w:tcPr>
          <w:p w14:paraId="178ABC4F"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r>
              <w:rPr>
                <w:rFonts w:ascii="Times New Roman" w:eastAsia="Times New Roman" w:hAnsi="Times New Roman" w:cs="Times New Roman"/>
                <w:sz w:val="24"/>
                <w:szCs w:val="24"/>
                <w:vertAlign w:val="superscript"/>
              </w:rPr>
              <w:t>f</w:t>
            </w:r>
          </w:p>
        </w:tc>
        <w:tc>
          <w:tcPr>
            <w:tcW w:w="1701" w:type="dxa"/>
          </w:tcPr>
          <w:p w14:paraId="4066D042"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53.11</w:t>
            </w:r>
            <w:r>
              <w:rPr>
                <w:rFonts w:ascii="Times New Roman" w:eastAsia="Times New Roman" w:hAnsi="Times New Roman" w:cs="Times New Roman"/>
                <w:sz w:val="24"/>
                <w:szCs w:val="24"/>
                <w:vertAlign w:val="superscript"/>
              </w:rPr>
              <w:t>a</w:t>
            </w:r>
          </w:p>
        </w:tc>
        <w:tc>
          <w:tcPr>
            <w:tcW w:w="1417" w:type="dxa"/>
          </w:tcPr>
          <w:p w14:paraId="4350383D"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363.77</w:t>
            </w:r>
            <w:r>
              <w:rPr>
                <w:rFonts w:ascii="Times New Roman" w:eastAsia="Times New Roman" w:hAnsi="Times New Roman" w:cs="Times New Roman"/>
                <w:sz w:val="24"/>
                <w:szCs w:val="24"/>
                <w:vertAlign w:val="superscript"/>
              </w:rPr>
              <w:t>ab</w:t>
            </w:r>
          </w:p>
        </w:tc>
        <w:tc>
          <w:tcPr>
            <w:tcW w:w="1418" w:type="dxa"/>
            <w:vAlign w:val="center"/>
          </w:tcPr>
          <w:p w14:paraId="778A41D7"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40.97</w:t>
            </w:r>
            <w:r>
              <w:rPr>
                <w:rFonts w:ascii="Times New Roman" w:eastAsia="Times New Roman" w:hAnsi="Times New Roman" w:cs="Times New Roman"/>
                <w:sz w:val="24"/>
                <w:szCs w:val="24"/>
                <w:vertAlign w:val="superscript"/>
              </w:rPr>
              <w:t>ab</w:t>
            </w:r>
          </w:p>
        </w:tc>
        <w:tc>
          <w:tcPr>
            <w:tcW w:w="1376" w:type="dxa"/>
            <w:vAlign w:val="center"/>
          </w:tcPr>
          <w:p w14:paraId="0E0CD277"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93.63</w:t>
            </w:r>
            <w:r>
              <w:rPr>
                <w:rFonts w:ascii="Times New Roman" w:eastAsia="Times New Roman" w:hAnsi="Times New Roman" w:cs="Times New Roman"/>
                <w:sz w:val="24"/>
                <w:szCs w:val="24"/>
                <w:vertAlign w:val="superscript"/>
              </w:rPr>
              <w:t>abc</w:t>
            </w:r>
          </w:p>
        </w:tc>
      </w:tr>
      <w:tr w:rsidR="002A4EBF" w14:paraId="7ED423B6" w14:textId="77777777" w:rsidTr="002A4EBF">
        <w:trPr>
          <w:trHeight w:val="418"/>
          <w:jc w:val="center"/>
        </w:trPr>
        <w:tc>
          <w:tcPr>
            <w:tcW w:w="1413" w:type="dxa"/>
          </w:tcPr>
          <w:p w14:paraId="29E382EE"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7</w:t>
            </w:r>
          </w:p>
        </w:tc>
        <w:tc>
          <w:tcPr>
            <w:tcW w:w="1701" w:type="dxa"/>
          </w:tcPr>
          <w:p w14:paraId="1822A055"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r>
              <w:rPr>
                <w:rFonts w:ascii="Times New Roman" w:eastAsia="Times New Roman" w:hAnsi="Times New Roman" w:cs="Times New Roman"/>
                <w:sz w:val="24"/>
                <w:szCs w:val="24"/>
                <w:vertAlign w:val="superscript"/>
              </w:rPr>
              <w:t>d</w:t>
            </w:r>
          </w:p>
        </w:tc>
        <w:tc>
          <w:tcPr>
            <w:tcW w:w="1701" w:type="dxa"/>
          </w:tcPr>
          <w:p w14:paraId="036D9561"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41.99</w:t>
            </w:r>
            <w:r>
              <w:rPr>
                <w:rFonts w:ascii="Times New Roman" w:eastAsia="Times New Roman" w:hAnsi="Times New Roman" w:cs="Times New Roman"/>
                <w:sz w:val="24"/>
                <w:szCs w:val="24"/>
                <w:vertAlign w:val="superscript"/>
              </w:rPr>
              <w:t>e</w:t>
            </w:r>
          </w:p>
        </w:tc>
        <w:tc>
          <w:tcPr>
            <w:tcW w:w="1417" w:type="dxa"/>
          </w:tcPr>
          <w:p w14:paraId="1E085C11"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284.33</w:t>
            </w:r>
            <w:r>
              <w:rPr>
                <w:rFonts w:ascii="Times New Roman" w:eastAsia="Times New Roman" w:hAnsi="Times New Roman" w:cs="Times New Roman"/>
                <w:sz w:val="24"/>
                <w:szCs w:val="24"/>
                <w:vertAlign w:val="superscript"/>
              </w:rPr>
              <w:t>e</w:t>
            </w:r>
          </w:p>
        </w:tc>
        <w:tc>
          <w:tcPr>
            <w:tcW w:w="1418" w:type="dxa"/>
            <w:vAlign w:val="center"/>
          </w:tcPr>
          <w:p w14:paraId="41C0C9FF"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33.41</w:t>
            </w:r>
            <w:r>
              <w:rPr>
                <w:rFonts w:ascii="Times New Roman" w:eastAsia="Times New Roman" w:hAnsi="Times New Roman" w:cs="Times New Roman"/>
                <w:sz w:val="24"/>
                <w:szCs w:val="24"/>
                <w:vertAlign w:val="superscript"/>
              </w:rPr>
              <w:t>cde</w:t>
            </w:r>
          </w:p>
        </w:tc>
        <w:tc>
          <w:tcPr>
            <w:tcW w:w="1376" w:type="dxa"/>
            <w:vAlign w:val="center"/>
          </w:tcPr>
          <w:p w14:paraId="1C1222F7"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84.00</w:t>
            </w:r>
            <w:r>
              <w:rPr>
                <w:rFonts w:ascii="Times New Roman" w:eastAsia="Times New Roman" w:hAnsi="Times New Roman" w:cs="Times New Roman"/>
                <w:sz w:val="24"/>
                <w:szCs w:val="24"/>
                <w:vertAlign w:val="superscript"/>
              </w:rPr>
              <w:t>bc</w:t>
            </w:r>
          </w:p>
        </w:tc>
      </w:tr>
      <w:tr w:rsidR="002A4EBF" w14:paraId="7EAB0CAA" w14:textId="77777777" w:rsidTr="002A4EBF">
        <w:trPr>
          <w:trHeight w:val="435"/>
          <w:jc w:val="center"/>
        </w:trPr>
        <w:tc>
          <w:tcPr>
            <w:tcW w:w="1413" w:type="dxa"/>
          </w:tcPr>
          <w:p w14:paraId="2B6AEFFC"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8</w:t>
            </w:r>
          </w:p>
        </w:tc>
        <w:tc>
          <w:tcPr>
            <w:tcW w:w="1701" w:type="dxa"/>
          </w:tcPr>
          <w:p w14:paraId="40855B8E"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r>
              <w:rPr>
                <w:rFonts w:ascii="Times New Roman" w:eastAsia="Times New Roman" w:hAnsi="Times New Roman" w:cs="Times New Roman"/>
                <w:sz w:val="24"/>
                <w:szCs w:val="24"/>
                <w:vertAlign w:val="superscript"/>
              </w:rPr>
              <w:t>a</w:t>
            </w:r>
          </w:p>
        </w:tc>
        <w:tc>
          <w:tcPr>
            <w:tcW w:w="1701" w:type="dxa"/>
          </w:tcPr>
          <w:p w14:paraId="57163B97"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40.24</w:t>
            </w:r>
            <w:r>
              <w:rPr>
                <w:rFonts w:ascii="Times New Roman" w:eastAsia="Times New Roman" w:hAnsi="Times New Roman" w:cs="Times New Roman"/>
                <w:sz w:val="24"/>
                <w:szCs w:val="24"/>
                <w:vertAlign w:val="superscript"/>
              </w:rPr>
              <w:t>f</w:t>
            </w:r>
          </w:p>
        </w:tc>
        <w:tc>
          <w:tcPr>
            <w:tcW w:w="1417" w:type="dxa"/>
          </w:tcPr>
          <w:p w14:paraId="0AF8E401"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250.88</w:t>
            </w:r>
            <w:r>
              <w:rPr>
                <w:rFonts w:ascii="Times New Roman" w:eastAsia="Times New Roman" w:hAnsi="Times New Roman" w:cs="Times New Roman"/>
                <w:sz w:val="24"/>
                <w:szCs w:val="24"/>
                <w:vertAlign w:val="superscript"/>
              </w:rPr>
              <w:t>f</w:t>
            </w:r>
          </w:p>
        </w:tc>
        <w:tc>
          <w:tcPr>
            <w:tcW w:w="1418" w:type="dxa"/>
            <w:vAlign w:val="center"/>
          </w:tcPr>
          <w:p w14:paraId="094FAD2B"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29.49</w:t>
            </w:r>
            <w:r>
              <w:rPr>
                <w:rFonts w:ascii="Times New Roman" w:eastAsia="Times New Roman" w:hAnsi="Times New Roman" w:cs="Times New Roman"/>
                <w:sz w:val="24"/>
                <w:szCs w:val="24"/>
                <w:vertAlign w:val="superscript"/>
              </w:rPr>
              <w:t>e</w:t>
            </w:r>
          </w:p>
        </w:tc>
        <w:tc>
          <w:tcPr>
            <w:tcW w:w="1376" w:type="dxa"/>
            <w:vAlign w:val="center"/>
          </w:tcPr>
          <w:p w14:paraId="50B303F1"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66.90</w:t>
            </w:r>
            <w:r>
              <w:rPr>
                <w:rFonts w:ascii="Times New Roman" w:eastAsia="Times New Roman" w:hAnsi="Times New Roman" w:cs="Times New Roman"/>
                <w:sz w:val="24"/>
                <w:szCs w:val="24"/>
                <w:vertAlign w:val="superscript"/>
              </w:rPr>
              <w:t>c</w:t>
            </w:r>
          </w:p>
        </w:tc>
      </w:tr>
      <w:tr w:rsidR="002A4EBF" w14:paraId="3BEB1FAF" w14:textId="77777777" w:rsidTr="002A4EBF">
        <w:trPr>
          <w:trHeight w:val="435"/>
          <w:jc w:val="center"/>
        </w:trPr>
        <w:tc>
          <w:tcPr>
            <w:tcW w:w="1413" w:type="dxa"/>
          </w:tcPr>
          <w:p w14:paraId="0311C6FA"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 (</w:t>
            </w:r>
            <m:oMath>
              <m:r>
                <w:rPr>
                  <w:rFonts w:ascii="Cambria Math" w:hAnsi="Cambria Math"/>
                </w:rPr>
                <m:t>±</m:t>
              </m:r>
            </m:oMath>
            <w:r>
              <w:rPr>
                <w:rFonts w:ascii="Times New Roman" w:eastAsia="Times New Roman" w:hAnsi="Times New Roman" w:cs="Times New Roman"/>
                <w:b/>
                <w:sz w:val="24"/>
                <w:szCs w:val="24"/>
              </w:rPr>
              <w:t>)</w:t>
            </w:r>
          </w:p>
        </w:tc>
        <w:tc>
          <w:tcPr>
            <w:tcW w:w="1701" w:type="dxa"/>
          </w:tcPr>
          <w:p w14:paraId="5C0B29FA"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0.027</w:t>
            </w:r>
          </w:p>
        </w:tc>
        <w:tc>
          <w:tcPr>
            <w:tcW w:w="1701" w:type="dxa"/>
          </w:tcPr>
          <w:p w14:paraId="33564EC4"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0.443</w:t>
            </w:r>
          </w:p>
        </w:tc>
        <w:tc>
          <w:tcPr>
            <w:tcW w:w="1417" w:type="dxa"/>
          </w:tcPr>
          <w:p w14:paraId="111871C0"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5.893</w:t>
            </w:r>
          </w:p>
        </w:tc>
        <w:tc>
          <w:tcPr>
            <w:tcW w:w="1418" w:type="dxa"/>
            <w:vAlign w:val="center"/>
          </w:tcPr>
          <w:p w14:paraId="71D07D3B"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1.546</w:t>
            </w:r>
          </w:p>
        </w:tc>
        <w:tc>
          <w:tcPr>
            <w:tcW w:w="1376" w:type="dxa"/>
            <w:vAlign w:val="center"/>
          </w:tcPr>
          <w:p w14:paraId="66614042"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9.811</w:t>
            </w:r>
          </w:p>
        </w:tc>
      </w:tr>
      <w:tr w:rsidR="002A4EBF" w14:paraId="31B7CFCB" w14:textId="77777777" w:rsidTr="002A4EBF">
        <w:trPr>
          <w:trHeight w:val="435"/>
          <w:jc w:val="center"/>
        </w:trPr>
        <w:tc>
          <w:tcPr>
            <w:tcW w:w="1413" w:type="dxa"/>
          </w:tcPr>
          <w:p w14:paraId="462B5224"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(0.05)</w:t>
            </w:r>
          </w:p>
        </w:tc>
        <w:tc>
          <w:tcPr>
            <w:tcW w:w="1701" w:type="dxa"/>
          </w:tcPr>
          <w:p w14:paraId="06FB198E"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0.009</w:t>
            </w:r>
          </w:p>
        </w:tc>
        <w:tc>
          <w:tcPr>
            <w:tcW w:w="1701" w:type="dxa"/>
          </w:tcPr>
          <w:p w14:paraId="6A101455"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1.328</w:t>
            </w:r>
          </w:p>
        </w:tc>
        <w:tc>
          <w:tcPr>
            <w:tcW w:w="1417" w:type="dxa"/>
          </w:tcPr>
          <w:p w14:paraId="05E8E01E"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17.666</w:t>
            </w:r>
          </w:p>
        </w:tc>
        <w:tc>
          <w:tcPr>
            <w:tcW w:w="1418" w:type="dxa"/>
            <w:vAlign w:val="center"/>
          </w:tcPr>
          <w:p w14:paraId="51EA8D34"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4.635</w:t>
            </w:r>
          </w:p>
        </w:tc>
        <w:tc>
          <w:tcPr>
            <w:tcW w:w="1376" w:type="dxa"/>
            <w:vAlign w:val="center"/>
          </w:tcPr>
          <w:p w14:paraId="2E37E779"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29.415</w:t>
            </w:r>
          </w:p>
        </w:tc>
      </w:tr>
      <w:tr w:rsidR="002A4EBF" w14:paraId="49B45F7C" w14:textId="77777777" w:rsidTr="002A4EBF">
        <w:trPr>
          <w:trHeight w:val="367"/>
          <w:jc w:val="center"/>
        </w:trPr>
        <w:tc>
          <w:tcPr>
            <w:tcW w:w="1413" w:type="dxa"/>
          </w:tcPr>
          <w:p w14:paraId="73AB797B"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Initial</w:t>
            </w:r>
          </w:p>
        </w:tc>
        <w:tc>
          <w:tcPr>
            <w:tcW w:w="1701" w:type="dxa"/>
          </w:tcPr>
          <w:p w14:paraId="1460629D"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1701" w:type="dxa"/>
          </w:tcPr>
          <w:p w14:paraId="50B3EF7C"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36.64</w:t>
            </w:r>
          </w:p>
        </w:tc>
        <w:tc>
          <w:tcPr>
            <w:tcW w:w="1417" w:type="dxa"/>
          </w:tcPr>
          <w:p w14:paraId="21F748B5"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251.18</w:t>
            </w:r>
          </w:p>
        </w:tc>
        <w:tc>
          <w:tcPr>
            <w:tcW w:w="1418" w:type="dxa"/>
            <w:vAlign w:val="center"/>
          </w:tcPr>
          <w:p w14:paraId="26AD075F"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29.88</w:t>
            </w:r>
          </w:p>
        </w:tc>
        <w:tc>
          <w:tcPr>
            <w:tcW w:w="1376" w:type="dxa"/>
            <w:vAlign w:val="center"/>
          </w:tcPr>
          <w:p w14:paraId="57008327"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94.68</w:t>
            </w:r>
          </w:p>
        </w:tc>
      </w:tr>
    </w:tbl>
    <w:p w14:paraId="27BFFC9A" w14:textId="77777777" w:rsidR="002A4EBF" w:rsidRDefault="002A4EBF">
      <w:pPr>
        <w:spacing w:line="360" w:lineRule="auto"/>
        <w:ind w:firstLine="0"/>
        <w:rPr>
          <w:rFonts w:ascii="Times New Roman" w:eastAsia="Times New Roman" w:hAnsi="Times New Roman" w:cs="Times New Roman"/>
          <w:b/>
          <w:sz w:val="24"/>
          <w:szCs w:val="24"/>
        </w:rPr>
      </w:pPr>
    </w:p>
    <w:p w14:paraId="74597864" w14:textId="2C87F1AA" w:rsidR="00795370" w:rsidRPr="00795370" w:rsidRDefault="00795370">
      <w:pPr>
        <w:spacing w:line="360" w:lineRule="auto"/>
        <w:ind w:firstLine="0"/>
        <w:rPr>
          <w:rFonts w:ascii="Times New Roman" w:eastAsia="Times New Roman" w:hAnsi="Times New Roman" w:cs="Times New Roman"/>
          <w:iCs/>
          <w:sz w:val="24"/>
          <w:szCs w:val="24"/>
        </w:rPr>
      </w:pPr>
      <w:r w:rsidRPr="00DA1DCD">
        <w:rPr>
          <w:rFonts w:ascii="Times New Roman" w:eastAsia="Times New Roman" w:hAnsi="Times New Roman" w:cs="Times New Roman"/>
          <w:iCs/>
          <w:sz w:val="24"/>
          <w:szCs w:val="24"/>
          <w:highlight w:val="yellow"/>
        </w:rPr>
        <w:t>A table showing the initial soil physical properties of the soil</w:t>
      </w:r>
      <w:r w:rsidR="00DA1DCD" w:rsidRPr="00DA1DCD">
        <w:rPr>
          <w:rFonts w:ascii="Times New Roman" w:eastAsia="Times New Roman" w:hAnsi="Times New Roman" w:cs="Times New Roman"/>
          <w:iCs/>
          <w:sz w:val="24"/>
          <w:szCs w:val="24"/>
          <w:highlight w:val="yellow"/>
        </w:rPr>
        <w:t xml:space="preserve"> before the start of </w:t>
      </w:r>
      <w:commentRangeStart w:id="3"/>
      <w:r w:rsidR="00DA1DCD" w:rsidRPr="00DA1DCD">
        <w:rPr>
          <w:rFonts w:ascii="Times New Roman" w:eastAsia="Times New Roman" w:hAnsi="Times New Roman" w:cs="Times New Roman"/>
          <w:iCs/>
          <w:sz w:val="24"/>
          <w:szCs w:val="24"/>
          <w:highlight w:val="yellow"/>
        </w:rPr>
        <w:t>the</w:t>
      </w:r>
      <w:commentRangeEnd w:id="3"/>
      <w:r w:rsidR="00114FC9">
        <w:rPr>
          <w:rStyle w:val="CommentReference"/>
        </w:rPr>
        <w:commentReference w:id="3"/>
      </w:r>
      <w:r w:rsidR="00DA1DCD" w:rsidRPr="00DA1DCD">
        <w:rPr>
          <w:rFonts w:ascii="Times New Roman" w:eastAsia="Times New Roman" w:hAnsi="Times New Roman" w:cs="Times New Roman"/>
          <w:iCs/>
          <w:sz w:val="24"/>
          <w:szCs w:val="24"/>
          <w:highlight w:val="yellow"/>
        </w:rPr>
        <w:t xml:space="preserve"> experiment must be presented in order to appreciate the increase or otherwise in the </w:t>
      </w:r>
      <w:r w:rsidR="00114FC9" w:rsidRPr="00DA1DCD">
        <w:rPr>
          <w:rFonts w:ascii="Times New Roman" w:eastAsia="Times New Roman" w:hAnsi="Times New Roman" w:cs="Times New Roman"/>
          <w:iCs/>
          <w:sz w:val="24"/>
          <w:szCs w:val="24"/>
          <w:highlight w:val="yellow"/>
        </w:rPr>
        <w:t>values of</w:t>
      </w:r>
      <w:r w:rsidR="00DA1DCD" w:rsidRPr="00DA1DCD">
        <w:rPr>
          <w:rFonts w:ascii="Times New Roman" w:eastAsia="Times New Roman" w:hAnsi="Times New Roman" w:cs="Times New Roman"/>
          <w:iCs/>
          <w:sz w:val="24"/>
          <w:szCs w:val="24"/>
          <w:highlight w:val="yellow"/>
        </w:rPr>
        <w:t xml:space="preserve"> the properties as affected by the treatments.</w:t>
      </w:r>
    </w:p>
    <w:p w14:paraId="0B4A70A6" w14:textId="4D6344F6" w:rsidR="002A4EBF" w:rsidRDefault="00622FED">
      <w:pPr>
        <w:spacing w:line="360" w:lineRule="auto"/>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3.5 Availability of nitrogen, phosphorous and potassium</w:t>
      </w:r>
    </w:p>
    <w:p w14:paraId="41D03578" w14:textId="77777777"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The incorporation of organic amendments, particularly, vermicompost and biochar, led to a marked increase in the availability of major nutrients such as nitrogen, phosphorus and potassium (Table 2). Vermicompost functions as a nutrient-rich organic input, supplying significant amount of mineralized N, P and K that directly enhance the soil nutrient pool after incorporation (Yeasmin et al., 2025). Its elevated cation-exchange capacity supports the retention of cations by providing abundant exchange sites on clay–humus complexes, thereby minimizing nutrient losses through leaching (Gebrekidan et al., 2025). Singh et al. (2024) similarly reported that the combined use of vermicompost with recommended fertilizer doses improved soil fertility and crop productivity in green gram. In the present study, available nitrogen increased by approximately 40% and 45% under vermicompost and biochar treatments, respectively. Enhancements in available phosphorus ranged between 36% and 42% with the application of either amendment. The porous nature and high adsorption capacity of biochar reveal its ability to retain nutrients, improve soil fertility, and create a favourable environment for microbial proliferation and nutrient turnover (Zhao et al., 2023). Green-leaf manuring also contributed to improved nutrient availability. Incorporation of </w:t>
      </w:r>
      <w:r>
        <w:rPr>
          <w:rFonts w:ascii="Times New Roman" w:eastAsia="Times New Roman" w:hAnsi="Times New Roman" w:cs="Times New Roman"/>
          <w:i/>
          <w:sz w:val="24"/>
          <w:szCs w:val="24"/>
        </w:rPr>
        <w:t xml:space="preserve">Glyricidia </w:t>
      </w:r>
      <w:r>
        <w:rPr>
          <w:rFonts w:ascii="Times New Roman" w:eastAsia="Times New Roman" w:hAnsi="Times New Roman" w:cs="Times New Roman"/>
          <w:sz w:val="24"/>
          <w:szCs w:val="24"/>
        </w:rPr>
        <w:t xml:space="preserve">leaves resulted in a 31% increase in available soil phosphorus. The nutrient-dense biomass of </w:t>
      </w:r>
      <w:r>
        <w:rPr>
          <w:rFonts w:ascii="Times New Roman" w:eastAsia="Times New Roman" w:hAnsi="Times New Roman" w:cs="Times New Roman"/>
          <w:i/>
          <w:sz w:val="24"/>
          <w:szCs w:val="24"/>
        </w:rPr>
        <w:t>Glyricidia</w:t>
      </w:r>
      <w:r>
        <w:rPr>
          <w:rFonts w:ascii="Times New Roman" w:eastAsia="Times New Roman" w:hAnsi="Times New Roman" w:cs="Times New Roman"/>
          <w:sz w:val="24"/>
          <w:szCs w:val="24"/>
        </w:rPr>
        <w:t xml:space="preserve"> releases considerable quantities of macro-nutrients as it decomposes, enriching the soil nutrient pool. Moreover, its decomposition products can reduce phosphorus fixation, thereby improving P availability (Jadhao et al., 2019).</w:t>
      </w:r>
    </w:p>
    <w:p w14:paraId="6BA01A07" w14:textId="77777777" w:rsidR="002A4EBF" w:rsidRDefault="00622FED">
      <w:pPr>
        <w:spacing w:line="36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Conclusions</w:t>
      </w:r>
    </w:p>
    <w:p w14:paraId="78136BC9" w14:textId="77777777"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sz w:val="24"/>
          <w:szCs w:val="24"/>
        </w:rPr>
        <w:t xml:space="preserve">From the present study, it is clear that organic manure application has got significant impact on stimulating soil microbial activity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microbial biomass carbon, dehydrogenase and acid phosphatase activity and also improving the physical properties and macronutrient availability. The consistent enhancement of soil enzyme activities through vermicompost, biochar, farmyard manure and green leaf manure highlights their ability to energize microbial communities even under the anaerobic and reduced conditions typical of paddy soils. Their integration with soil-test-based fertilizer recommendations offers a practical pathway for reducing dependency on chemical inputs while improving soil health. Overall, the study concludes that organic amendments like vermicompost and coconut husk biochar play a pivotal role in revitalizing soil biological health and enzymatic functioning in wetland paddy soils, making them essential components for climate-smart and sustainable rice cultivation strategies.</w:t>
      </w:r>
    </w:p>
    <w:p w14:paraId="1C1AF7EE" w14:textId="77777777" w:rsidR="002A4EBF" w:rsidRDefault="00622FED">
      <w:pPr>
        <w:spacing w:line="36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47C0C678" w14:textId="62D241DD" w:rsidR="00431AC3" w:rsidRPr="006C3F0C" w:rsidRDefault="00431AC3" w:rsidP="006C3F0C">
      <w:pPr>
        <w:spacing w:line="360" w:lineRule="auto"/>
        <w:ind w:firstLine="0"/>
        <w:rPr>
          <w:rFonts w:ascii="Times New Roman" w:eastAsia="Times New Roman" w:hAnsi="Times New Roman" w:cs="Times New Roman"/>
          <w:sz w:val="24"/>
          <w:szCs w:val="24"/>
        </w:rPr>
      </w:pPr>
      <w:bookmarkStart w:id="4" w:name="_gjdgxs" w:colFirst="0" w:colLast="0"/>
      <w:bookmarkEnd w:id="4"/>
      <w:r w:rsidRPr="006C3F0C">
        <w:rPr>
          <w:rFonts w:ascii="Times New Roman" w:eastAsia="Times New Roman" w:hAnsi="Times New Roman" w:cs="Times New Roman"/>
          <w:sz w:val="24"/>
          <w:szCs w:val="24"/>
        </w:rPr>
        <w:t>Aira, M., Monroy, F., &amp; Domínguez, J. (</w:t>
      </w:r>
      <w:commentRangeStart w:id="5"/>
      <w:r w:rsidRPr="006C3F0C">
        <w:rPr>
          <w:rFonts w:ascii="Times New Roman" w:eastAsia="Times New Roman" w:hAnsi="Times New Roman" w:cs="Times New Roman"/>
          <w:sz w:val="24"/>
          <w:szCs w:val="24"/>
        </w:rPr>
        <w:t xml:space="preserve">2007). </w:t>
      </w:r>
      <w:commentRangeEnd w:id="5"/>
      <w:r w:rsidR="00D60C14">
        <w:rPr>
          <w:rStyle w:val="CommentReference"/>
        </w:rPr>
        <w:commentReference w:id="5"/>
      </w:r>
      <w:r w:rsidRPr="006C3F0C">
        <w:rPr>
          <w:rFonts w:ascii="Times New Roman" w:eastAsia="Times New Roman" w:hAnsi="Times New Roman" w:cs="Times New Roman"/>
          <w:sz w:val="24"/>
          <w:szCs w:val="24"/>
        </w:rPr>
        <w:t xml:space="preserve">Earthworms strongly modify microbial biomass and activity triggering enzymatic activities during vermicomposting independently of the application rates of pig slurry. Science of the Total Environment, 385(1-3), 252-261. </w:t>
      </w:r>
      <w:hyperlink r:id="rId11" w:history="1">
        <w:r w:rsidRPr="006C3F0C">
          <w:rPr>
            <w:rStyle w:val="Hyperlink"/>
            <w:rFonts w:ascii="Times New Roman" w:eastAsia="Times New Roman" w:hAnsi="Times New Roman" w:cs="Times New Roman"/>
            <w:sz w:val="24"/>
            <w:szCs w:val="24"/>
          </w:rPr>
          <w:t>https://doi.org/10.1016/j.scitotenv.2007.06.031</w:t>
        </w:r>
      </w:hyperlink>
    </w:p>
    <w:p w14:paraId="550DB358" w14:textId="632DA58F"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Bhaduri, D., Sihi, D., Bhowmik, A., Verma, B. C., Munda, S., &amp; Dari, B. (2022). A review on effective soil health bio-indicators for ecosystem restoration and sustainability. Frontiers in Microbiology, 13, 938481. </w:t>
      </w:r>
      <w:hyperlink r:id="rId12" w:history="1">
        <w:r w:rsidRPr="006C3F0C">
          <w:rPr>
            <w:rStyle w:val="Hyperlink"/>
            <w:rFonts w:ascii="Times New Roman" w:eastAsia="Times New Roman" w:hAnsi="Times New Roman" w:cs="Times New Roman"/>
            <w:sz w:val="24"/>
            <w:szCs w:val="24"/>
          </w:rPr>
          <w:t>https://doi.org/10.3389/fmicb.2022.938481</w:t>
        </w:r>
      </w:hyperlink>
    </w:p>
    <w:p w14:paraId="5BD60CF3" w14:textId="59544123" w:rsidR="00431AC3" w:rsidRPr="006C3F0C" w:rsidRDefault="00431AC3" w:rsidP="006C3F0C">
      <w:pPr>
        <w:spacing w:line="360" w:lineRule="auto"/>
        <w:ind w:firstLine="0"/>
        <w:rPr>
          <w:rFonts w:ascii="Times New Roman" w:eastAsia="Times New Roman" w:hAnsi="Times New Roman" w:cs="Times New Roman"/>
          <w:color w:val="0D0D0D" w:themeColor="text1" w:themeTint="F2"/>
          <w:sz w:val="24"/>
          <w:szCs w:val="24"/>
        </w:rPr>
      </w:pPr>
      <w:r w:rsidRPr="006C3F0C">
        <w:rPr>
          <w:rFonts w:ascii="Times New Roman" w:eastAsia="Times New Roman" w:hAnsi="Times New Roman" w:cs="Times New Roman"/>
          <w:sz w:val="24"/>
          <w:szCs w:val="24"/>
        </w:rPr>
        <w:t xml:space="preserve">Bhavani, S., Shaker, K. C., Jayasree, G., &amp; Padmaja, B. (2017). Effects of long term application of inorganic and organic fertilizers on soil biological properties of rice. Journal of Pharmacognosy and Phytochemistry, 6(5), 1107-1110. </w:t>
      </w:r>
      <w:hyperlink r:id="rId13" w:history="1">
        <w:r w:rsidRPr="006C3F0C">
          <w:rPr>
            <w:rStyle w:val="Hyperlink"/>
            <w:rFonts w:ascii="Times New Roman" w:eastAsia="Times New Roman" w:hAnsi="Times New Roman" w:cs="Times New Roman"/>
            <w:sz w:val="24"/>
            <w:szCs w:val="24"/>
          </w:rPr>
          <w:t>https://www.phytojournal.com/archives/2017/vol6issue5/PartR/6-5-10-700.pdf</w:t>
        </w:r>
      </w:hyperlink>
    </w:p>
    <w:p w14:paraId="0B7165D4" w14:textId="7FCD1675" w:rsidR="00431AC3" w:rsidRPr="006C3F0C" w:rsidRDefault="00431AC3" w:rsidP="006C3F0C">
      <w:pPr>
        <w:spacing w:line="360" w:lineRule="auto"/>
        <w:ind w:firstLine="0"/>
        <w:rPr>
          <w:rFonts w:ascii="Times New Roman" w:eastAsia="Times New Roman" w:hAnsi="Times New Roman" w:cs="Times New Roman"/>
          <w:color w:val="0D0D0D" w:themeColor="text1" w:themeTint="F2"/>
          <w:sz w:val="24"/>
          <w:szCs w:val="24"/>
        </w:rPr>
      </w:pPr>
      <w:r w:rsidRPr="006C3F0C">
        <w:rPr>
          <w:rFonts w:ascii="Times New Roman" w:eastAsia="Times New Roman" w:hAnsi="Times New Roman" w:cs="Times New Roman"/>
          <w:color w:val="0D0D0D" w:themeColor="text1" w:themeTint="F2"/>
          <w:sz w:val="24"/>
          <w:szCs w:val="24"/>
        </w:rPr>
        <w:t xml:space="preserve">Black, C. A., Evans, D. D., White, J. L., Ensminger, L. E., &amp; Clark, F. E. (1965). Methods of soil analysis. Part I: Physical and mineralogical properties, including statistics of measurement and sampling. American Society of Agronomy, Inc. </w:t>
      </w:r>
      <w:hyperlink r:id="rId14" w:history="1">
        <w:r w:rsidRPr="006C3F0C">
          <w:rPr>
            <w:rStyle w:val="Hyperlink"/>
            <w:rFonts w:ascii="Times New Roman" w:eastAsia="Times New Roman" w:hAnsi="Times New Roman" w:cs="Times New Roman"/>
            <w:sz w:val="24"/>
            <w:szCs w:val="24"/>
          </w:rPr>
          <w:t>https://doi.org/10.2134/agronmonogr9.1</w:t>
        </w:r>
      </w:hyperlink>
    </w:p>
    <w:p w14:paraId="04074577" w14:textId="222638D8" w:rsidR="00431AC3" w:rsidRPr="006C3F0C" w:rsidRDefault="00431AC3" w:rsidP="006C3F0C">
      <w:pPr>
        <w:spacing w:line="360" w:lineRule="auto"/>
        <w:ind w:firstLine="0"/>
        <w:rPr>
          <w:rFonts w:ascii="Times New Roman" w:eastAsia="Times New Roman" w:hAnsi="Times New Roman" w:cs="Times New Roman"/>
          <w:color w:val="0D0D0D" w:themeColor="text1" w:themeTint="F2"/>
          <w:sz w:val="24"/>
          <w:szCs w:val="24"/>
        </w:rPr>
      </w:pPr>
      <w:r w:rsidRPr="006C3F0C">
        <w:rPr>
          <w:rFonts w:ascii="Times New Roman" w:eastAsia="Times New Roman" w:hAnsi="Times New Roman" w:cs="Times New Roman"/>
          <w:color w:val="0D0D0D" w:themeColor="text1" w:themeTint="F2"/>
          <w:sz w:val="24"/>
          <w:szCs w:val="24"/>
        </w:rPr>
        <w:t xml:space="preserve">Bray, R. H., &amp; Kurtz, L. T. (1945). Determination of total, organic, and available forms of phosphorus in soils. Soil Science, 59(1), 39–46. </w:t>
      </w:r>
      <w:hyperlink r:id="rId15" w:history="1">
        <w:r w:rsidRPr="006C3F0C">
          <w:rPr>
            <w:rStyle w:val="Hyperlink"/>
            <w:rFonts w:ascii="Times New Roman" w:eastAsia="Times New Roman" w:hAnsi="Times New Roman" w:cs="Times New Roman"/>
            <w:sz w:val="24"/>
            <w:szCs w:val="24"/>
          </w:rPr>
          <w:t>https://doi.org/10.1097/00010694-194501000-00006</w:t>
        </w:r>
      </w:hyperlink>
    </w:p>
    <w:p w14:paraId="611D7BCC" w14:textId="7484B9A1"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lastRenderedPageBreak/>
        <w:t xml:space="preserve">Bray, S. R., Kitajima, K., &amp; Mack, M. C. (2012). Temporal dynamics of microbial communities on decomposing leaf litter of 10 plant species in relation to decomposition rate. Soil Biology and Biochemistry, 49, 30–37. </w:t>
      </w:r>
      <w:hyperlink r:id="rId16" w:history="1">
        <w:r w:rsidRPr="006C3F0C">
          <w:rPr>
            <w:rStyle w:val="Hyperlink"/>
            <w:rFonts w:ascii="Times New Roman" w:eastAsia="Times New Roman" w:hAnsi="Times New Roman" w:cs="Times New Roman"/>
            <w:sz w:val="24"/>
            <w:szCs w:val="24"/>
          </w:rPr>
          <w:t>https://doi.org/10.1016/j.soilbio.2012.02.009</w:t>
        </w:r>
      </w:hyperlink>
    </w:p>
    <w:p w14:paraId="667D8AE8" w14:textId="6299FCC8"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Burns, R. G., DeForest, J. L., Marxsen, J., Sinsabaugh, R. L., Stromberger, M. E., Wallenstein, M. D., Weintraub, M. N., &amp; Zoppini, A. (2013). Soil enzymes in a changing environment: current knowledge and future directions. Soil Biology and Biochemistry, 58, 216-234. </w:t>
      </w:r>
      <w:hyperlink r:id="rId17" w:history="1">
        <w:r w:rsidRPr="006C3F0C">
          <w:rPr>
            <w:rStyle w:val="Hyperlink"/>
            <w:rFonts w:ascii="Times New Roman" w:eastAsia="Times New Roman" w:hAnsi="Times New Roman" w:cs="Times New Roman"/>
            <w:sz w:val="24"/>
            <w:szCs w:val="24"/>
          </w:rPr>
          <w:t>https://doi.org/10.1016/j.soilbio.2012.11.009</w:t>
        </w:r>
      </w:hyperlink>
    </w:p>
    <w:p w14:paraId="1ECE001A" w14:textId="674A245E" w:rsidR="00431AC3" w:rsidRPr="006C3F0C" w:rsidRDefault="00431AC3" w:rsidP="006C3F0C">
      <w:pPr>
        <w:spacing w:line="360" w:lineRule="auto"/>
        <w:ind w:firstLine="0"/>
        <w:rPr>
          <w:rFonts w:ascii="Times New Roman" w:eastAsia="Times New Roman" w:hAnsi="Times New Roman" w:cs="Times New Roman"/>
          <w:sz w:val="24"/>
          <w:szCs w:val="24"/>
        </w:rPr>
      </w:pPr>
      <w:commentRangeStart w:id="6"/>
      <w:r w:rsidRPr="006C3F0C">
        <w:rPr>
          <w:rFonts w:ascii="Times New Roman" w:eastAsia="Times New Roman" w:hAnsi="Times New Roman" w:cs="Times New Roman"/>
          <w:sz w:val="24"/>
          <w:szCs w:val="24"/>
        </w:rPr>
        <w:t xml:space="preserve">Casida, L. E., Klein, D. A., &amp; Santoro, T. (1964). Soil dehydrogenase activity. Soil Science, 98(6), 371–376. </w:t>
      </w:r>
      <w:hyperlink r:id="rId18" w:history="1">
        <w:r w:rsidRPr="006C3F0C">
          <w:rPr>
            <w:rStyle w:val="Hyperlink"/>
            <w:rFonts w:ascii="Times New Roman" w:eastAsia="Times New Roman" w:hAnsi="Times New Roman" w:cs="Times New Roman"/>
            <w:sz w:val="24"/>
            <w:szCs w:val="24"/>
          </w:rPr>
          <w:t>https://doi.org/10.1097/00010694-196412000-00004</w:t>
        </w:r>
      </w:hyperlink>
    </w:p>
    <w:p w14:paraId="100ECCC8" w14:textId="2E4C1D81"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Castellini, M., Bondì, C., Giglio, L., &amp; Iovino, M. (2024). Impact of vermicompost addition on water availability of differently textured soils. Heliyon, 10(15), e35699. </w:t>
      </w:r>
      <w:hyperlink r:id="rId19" w:history="1">
        <w:r w:rsidRPr="006C3F0C">
          <w:rPr>
            <w:rStyle w:val="Hyperlink"/>
            <w:rFonts w:ascii="Times New Roman" w:eastAsia="Times New Roman" w:hAnsi="Times New Roman" w:cs="Times New Roman"/>
            <w:sz w:val="24"/>
            <w:szCs w:val="24"/>
          </w:rPr>
          <w:t>https://doi.org/10.1016/j.heliyon.2024.e35699</w:t>
        </w:r>
      </w:hyperlink>
      <w:commentRangeEnd w:id="6"/>
      <w:r w:rsidR="00D60C14">
        <w:rPr>
          <w:rStyle w:val="CommentReference"/>
        </w:rPr>
        <w:commentReference w:id="6"/>
      </w:r>
    </w:p>
    <w:p w14:paraId="6FBB9ADA" w14:textId="38A3FD64" w:rsidR="00431AC3" w:rsidRPr="006C3F0C" w:rsidRDefault="00431AC3" w:rsidP="006C3F0C">
      <w:pPr>
        <w:spacing w:line="360" w:lineRule="auto"/>
        <w:ind w:firstLine="0"/>
        <w:rPr>
          <w:rFonts w:ascii="Times New Roman" w:eastAsia="Times New Roman" w:hAnsi="Times New Roman" w:cs="Times New Roman"/>
          <w:sz w:val="24"/>
          <w:szCs w:val="24"/>
        </w:rPr>
      </w:pPr>
      <w:commentRangeStart w:id="7"/>
      <w:r w:rsidRPr="006C3F0C">
        <w:rPr>
          <w:rFonts w:ascii="Times New Roman" w:eastAsia="Times New Roman" w:hAnsi="Times New Roman" w:cs="Times New Roman"/>
          <w:sz w:val="24"/>
          <w:szCs w:val="24"/>
        </w:rPr>
        <w:t xml:space="preserve">Chahal, S. S., Choudhary, O. P., &amp; Mavi, M. S. (2017). Organic amendments decomposability influences microbial activity in saline soils. Archives of Agronomy and Soil Science, 63(13), 1875-1888. </w:t>
      </w:r>
      <w:hyperlink r:id="rId20" w:history="1">
        <w:r w:rsidRPr="006C3F0C">
          <w:rPr>
            <w:rStyle w:val="Hyperlink"/>
            <w:rFonts w:ascii="Times New Roman" w:eastAsia="Times New Roman" w:hAnsi="Times New Roman" w:cs="Times New Roman"/>
            <w:sz w:val="24"/>
            <w:szCs w:val="24"/>
          </w:rPr>
          <w:t>https://doi.org/10.1080/03650340.2017.1308491</w:t>
        </w:r>
      </w:hyperlink>
    </w:p>
    <w:p w14:paraId="79F5E1F3" w14:textId="785A4CBF"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Chahal, S. S., Choudhary, O. P., &amp; Mavi, M. S. (2017). Organic amendments decomposability influences microbial activity in saline soils. Archives of Agronomy and Soil Science, 63(13), 1875-1888. </w:t>
      </w:r>
      <w:hyperlink r:id="rId21" w:history="1">
        <w:r w:rsidRPr="006C3F0C">
          <w:rPr>
            <w:rStyle w:val="Hyperlink"/>
            <w:rFonts w:ascii="Times New Roman" w:eastAsia="Times New Roman" w:hAnsi="Times New Roman" w:cs="Times New Roman"/>
            <w:sz w:val="24"/>
            <w:szCs w:val="24"/>
          </w:rPr>
          <w:t>https://doi.org/10.1080/03650340.2017.1308491</w:t>
        </w:r>
      </w:hyperlink>
      <w:commentRangeEnd w:id="7"/>
      <w:r w:rsidR="00D60C14">
        <w:rPr>
          <w:rStyle w:val="CommentReference"/>
        </w:rPr>
        <w:commentReference w:id="7"/>
      </w:r>
    </w:p>
    <w:p w14:paraId="00EB08FA" w14:textId="33439134"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Chang, E. H., Chung, R. S., &amp; Tsai, Y. H. (2007). Effect of different application rates of organic fertilizer on soil enzyme activity and microbial population. Soil Science and Plant Nutrition, 53(2), 132-140. </w:t>
      </w:r>
      <w:hyperlink r:id="rId22" w:history="1">
        <w:r w:rsidRPr="006C3F0C">
          <w:rPr>
            <w:rStyle w:val="Hyperlink"/>
            <w:rFonts w:ascii="Times New Roman" w:eastAsia="Times New Roman" w:hAnsi="Times New Roman" w:cs="Times New Roman"/>
            <w:sz w:val="24"/>
            <w:szCs w:val="24"/>
          </w:rPr>
          <w:t>https://doi.org/10.1111/j.1747-0765.2007.00122.x</w:t>
        </w:r>
      </w:hyperlink>
    </w:p>
    <w:p w14:paraId="10B1C111" w14:textId="3E937A1F"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Chaudhary, N., Lal, S., Singh, R., Meena, M., Meena, S. S., Meena, R. D., Aishwath, O. P., Sharma, Y. K., Jangir, C. K., Bhardwaj, V., et al. (2025). Effect of organic amendments on sustainable production, quality and soil fertility in nigella (Nigella sativa L.). Discover Agriculture, 3(1), 39. </w:t>
      </w:r>
      <w:hyperlink r:id="rId23" w:history="1">
        <w:r w:rsidRPr="006C3F0C">
          <w:rPr>
            <w:rStyle w:val="Hyperlink"/>
            <w:rFonts w:ascii="Times New Roman" w:eastAsia="Times New Roman" w:hAnsi="Times New Roman" w:cs="Times New Roman"/>
            <w:sz w:val="24"/>
            <w:szCs w:val="24"/>
          </w:rPr>
          <w:t>https://doi.org/10.1007/s44279-025-00183-x</w:t>
        </w:r>
      </w:hyperlink>
    </w:p>
    <w:p w14:paraId="5AC727BA" w14:textId="2CF3B7EF"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Das, S. K., Ghosh, G. K., Avasthe, R., Choudhury, B. U., Mishra, V. K., Kundu, M. C., Roy, A., Mondal, T., Lama, A., &amp; Dhakre, D. S. (2023). Organic nutrient sources and biochar technology on microbial biomass carbon and soil enzyme activity in maize-black gram cropping system. Biomass Conversion and Biorefinery, 13(10), 9277-9287. </w:t>
      </w:r>
      <w:hyperlink r:id="rId24" w:history="1">
        <w:r w:rsidRPr="006C3F0C">
          <w:rPr>
            <w:rStyle w:val="Hyperlink"/>
            <w:rFonts w:ascii="Times New Roman" w:eastAsia="Times New Roman" w:hAnsi="Times New Roman" w:cs="Times New Roman"/>
            <w:sz w:val="24"/>
            <w:szCs w:val="24"/>
          </w:rPr>
          <w:t>https://doi.org/10.1007/s13399-021-01625-4</w:t>
        </w:r>
      </w:hyperlink>
    </w:p>
    <w:p w14:paraId="35FD3732" w14:textId="63EB3DA0"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lastRenderedPageBreak/>
        <w:t xml:space="preserve">Gazi, A., Maity, A., Khatua, N., Sengupta, S., Kundu, S., &amp; Sarkar, T. (2024). Effect of vermicompost on soil quality and crop productivity. International Journal of Agriculture Extension and Social Development, 7, 13-23. </w:t>
      </w:r>
      <w:hyperlink r:id="rId25" w:history="1">
        <w:r w:rsidRPr="006C3F0C">
          <w:rPr>
            <w:rStyle w:val="Hyperlink"/>
            <w:rFonts w:ascii="Times New Roman" w:eastAsia="Times New Roman" w:hAnsi="Times New Roman" w:cs="Times New Roman"/>
            <w:sz w:val="24"/>
            <w:szCs w:val="24"/>
          </w:rPr>
          <w:t>https://doi.org/10.33545/26180723.2024.v7.i4Sa.517</w:t>
        </w:r>
      </w:hyperlink>
    </w:p>
    <w:p w14:paraId="50FBF499" w14:textId="7433C3BE"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Gebrekidan, L., Wogi, L., &amp; Chimdi, A. (2025). Integrated effect of NPS and vermicompost addition on the selected soil properties at the Bako Agricultural Research Center in Gobu Sayo District Western Oromia, Ethiopia. Discov Agric, 3, 27. </w:t>
      </w:r>
      <w:hyperlink r:id="rId26" w:history="1">
        <w:r w:rsidRPr="006C3F0C">
          <w:rPr>
            <w:rStyle w:val="Hyperlink"/>
            <w:rFonts w:ascii="Times New Roman" w:eastAsia="Times New Roman" w:hAnsi="Times New Roman" w:cs="Times New Roman"/>
            <w:sz w:val="24"/>
            <w:szCs w:val="24"/>
          </w:rPr>
          <w:t>https://doi.org/10.1007/s44279-024-00129-9</w:t>
        </w:r>
      </w:hyperlink>
    </w:p>
    <w:p w14:paraId="30C19070" w14:textId="2FE1F088"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George, B. S., Ashique, T. K., &amp; Binitha, N. K. (2017). Assessment of microbial properties of Pokkali soil in Kerala, India. International Journal of Current Microbiology and Applied Sciences, 6(12), 1964-1967. </w:t>
      </w:r>
      <w:hyperlink r:id="rId27" w:history="1">
        <w:r w:rsidRPr="006C3F0C">
          <w:rPr>
            <w:rStyle w:val="Hyperlink"/>
            <w:rFonts w:ascii="Times New Roman" w:eastAsia="Times New Roman" w:hAnsi="Times New Roman" w:cs="Times New Roman"/>
            <w:sz w:val="24"/>
            <w:szCs w:val="24"/>
          </w:rPr>
          <w:t>https://doi.org/10.20546/ijcmas.2017.612.224</w:t>
        </w:r>
      </w:hyperlink>
    </w:p>
    <w:p w14:paraId="31D3EA5F" w14:textId="74350303" w:rsidR="002A4EBF" w:rsidRPr="006C3F0C" w:rsidRDefault="00622FED"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Haque, A. N. A., Uddin, M. K., Sulaiman, M. F., Amin, A. M., Hossain, M., Zaibon, S., &amp; Mosharrof, M. 2021. Assessing the increase in soil moisture storage capacity and nutrient enhancement of different organic amendments in paddy soil. </w:t>
      </w:r>
      <w:r w:rsidRPr="006C3F0C">
        <w:rPr>
          <w:rFonts w:ascii="Times New Roman" w:eastAsia="Times New Roman" w:hAnsi="Times New Roman" w:cs="Times New Roman"/>
          <w:i/>
          <w:sz w:val="24"/>
          <w:szCs w:val="24"/>
        </w:rPr>
        <w:t>Agriculture</w:t>
      </w:r>
      <w:r w:rsidRPr="006C3F0C">
        <w:rPr>
          <w:rFonts w:ascii="Times New Roman" w:eastAsia="Times New Roman" w:hAnsi="Times New Roman" w:cs="Times New Roman"/>
          <w:sz w:val="24"/>
          <w:szCs w:val="24"/>
        </w:rPr>
        <w:t> </w:t>
      </w:r>
      <w:r w:rsidRPr="006C3F0C">
        <w:rPr>
          <w:rFonts w:ascii="Times New Roman" w:eastAsia="Times New Roman" w:hAnsi="Times New Roman" w:cs="Times New Roman"/>
          <w:i/>
          <w:sz w:val="24"/>
          <w:szCs w:val="24"/>
        </w:rPr>
        <w:t>11</w:t>
      </w:r>
      <w:r w:rsidRPr="006C3F0C">
        <w:rPr>
          <w:rFonts w:ascii="Times New Roman" w:eastAsia="Times New Roman" w:hAnsi="Times New Roman" w:cs="Times New Roman"/>
          <w:sz w:val="24"/>
          <w:szCs w:val="24"/>
        </w:rPr>
        <w:t>(1): 44. https://doi.org/10.3390/agriculture11010044</w:t>
      </w:r>
    </w:p>
    <w:p w14:paraId="4E64072A" w14:textId="6B3C47E5"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Huang, K., Zhang, J., Tang, G., Bao, D., Wang, T., &amp; Kong, D. (2023). Impacts and mechanisms of biochar on soil microorganisms. Plant, Soil and Environment, 69(2), 45-54. </w:t>
      </w:r>
      <w:hyperlink r:id="rId28" w:history="1">
        <w:r w:rsidRPr="006C3F0C">
          <w:rPr>
            <w:rStyle w:val="Hyperlink"/>
            <w:rFonts w:ascii="Times New Roman" w:eastAsia="Times New Roman" w:hAnsi="Times New Roman" w:cs="Times New Roman"/>
            <w:sz w:val="24"/>
            <w:szCs w:val="24"/>
          </w:rPr>
          <w:t>https://doi.org/10.17221/348/2022-PSE</w:t>
        </w:r>
      </w:hyperlink>
    </w:p>
    <w:p w14:paraId="002FF62D" w14:textId="3D8CEC3A" w:rsidR="00431AC3" w:rsidRPr="006C3F0C" w:rsidRDefault="00431AC3" w:rsidP="006C3F0C">
      <w:pPr>
        <w:spacing w:line="360" w:lineRule="auto"/>
        <w:ind w:firstLine="0"/>
        <w:rPr>
          <w:rFonts w:ascii="Times New Roman" w:eastAsia="Times New Roman" w:hAnsi="Times New Roman" w:cs="Times New Roman"/>
          <w:color w:val="0D0D0D" w:themeColor="text1" w:themeTint="F2"/>
          <w:sz w:val="24"/>
          <w:szCs w:val="24"/>
        </w:rPr>
      </w:pPr>
      <w:r w:rsidRPr="006C3F0C">
        <w:rPr>
          <w:rFonts w:ascii="Times New Roman" w:eastAsia="Times New Roman" w:hAnsi="Times New Roman" w:cs="Times New Roman"/>
          <w:sz w:val="24"/>
          <w:szCs w:val="24"/>
        </w:rPr>
        <w:t xml:space="preserve">Hussain, N., &amp; Abbasi, S. A. (2018). Efficacy of the Vermicomposts of Different Organic Wastes as “Clean” Fertilizers: State-of-the-Art. Sustainability, 10(4), 1205. </w:t>
      </w:r>
      <w:hyperlink r:id="rId29" w:history="1">
        <w:r w:rsidRPr="006C3F0C">
          <w:rPr>
            <w:rStyle w:val="Hyperlink"/>
            <w:rFonts w:ascii="Times New Roman" w:eastAsia="Times New Roman" w:hAnsi="Times New Roman" w:cs="Times New Roman"/>
            <w:sz w:val="24"/>
            <w:szCs w:val="24"/>
          </w:rPr>
          <w:t>https://doi.org/10.3390/su10041205</w:t>
        </w:r>
      </w:hyperlink>
    </w:p>
    <w:p w14:paraId="2675703B" w14:textId="658D7E37" w:rsidR="002A4EBF" w:rsidRPr="006C3F0C" w:rsidRDefault="00622FED" w:rsidP="006C3F0C">
      <w:pPr>
        <w:spacing w:line="360" w:lineRule="auto"/>
        <w:ind w:firstLine="0"/>
        <w:rPr>
          <w:rFonts w:ascii="Times New Roman" w:eastAsia="Times New Roman" w:hAnsi="Times New Roman" w:cs="Times New Roman"/>
          <w:color w:val="0D0D0D" w:themeColor="text1" w:themeTint="F2"/>
          <w:sz w:val="24"/>
          <w:szCs w:val="24"/>
        </w:rPr>
      </w:pPr>
      <w:r w:rsidRPr="006C3F0C">
        <w:rPr>
          <w:rFonts w:ascii="Times New Roman" w:eastAsia="Times New Roman" w:hAnsi="Times New Roman" w:cs="Times New Roman"/>
          <w:color w:val="0D0D0D" w:themeColor="text1" w:themeTint="F2"/>
          <w:sz w:val="24"/>
          <w:szCs w:val="24"/>
        </w:rPr>
        <w:t>Jackson,</w:t>
      </w:r>
      <w:r w:rsidR="0043128A" w:rsidRPr="006C3F0C">
        <w:rPr>
          <w:rFonts w:ascii="Times New Roman" w:eastAsia="Times New Roman" w:hAnsi="Times New Roman" w:cs="Times New Roman"/>
          <w:color w:val="0D0D0D" w:themeColor="text1" w:themeTint="F2"/>
          <w:sz w:val="24"/>
          <w:szCs w:val="24"/>
        </w:rPr>
        <w:t xml:space="preserve"> M.L.</w:t>
      </w:r>
      <w:r w:rsidRPr="006C3F0C">
        <w:rPr>
          <w:rFonts w:ascii="Times New Roman" w:eastAsia="Times New Roman" w:hAnsi="Times New Roman" w:cs="Times New Roman"/>
          <w:color w:val="0D0D0D" w:themeColor="text1" w:themeTint="F2"/>
          <w:sz w:val="24"/>
          <w:szCs w:val="24"/>
        </w:rPr>
        <w:t xml:space="preserve"> 1973</w:t>
      </w:r>
      <w:r w:rsidR="0043128A" w:rsidRPr="006C3F0C">
        <w:rPr>
          <w:rFonts w:ascii="Times New Roman" w:eastAsia="Times New Roman" w:hAnsi="Times New Roman" w:cs="Times New Roman"/>
          <w:color w:val="0D0D0D" w:themeColor="text1" w:themeTint="F2"/>
          <w:sz w:val="24"/>
          <w:szCs w:val="24"/>
        </w:rPr>
        <w:t>. Soil Chemical analysis (2</w:t>
      </w:r>
      <w:r w:rsidR="0043128A" w:rsidRPr="006C3F0C">
        <w:rPr>
          <w:rFonts w:ascii="Times New Roman" w:eastAsia="Times New Roman" w:hAnsi="Times New Roman" w:cs="Times New Roman"/>
          <w:color w:val="0D0D0D" w:themeColor="text1" w:themeTint="F2"/>
          <w:sz w:val="24"/>
          <w:szCs w:val="24"/>
          <w:vertAlign w:val="superscript"/>
        </w:rPr>
        <w:t>nd</w:t>
      </w:r>
      <w:r w:rsidR="0043128A" w:rsidRPr="006C3F0C">
        <w:rPr>
          <w:rFonts w:ascii="Times New Roman" w:eastAsia="Times New Roman" w:hAnsi="Times New Roman" w:cs="Times New Roman"/>
          <w:color w:val="0D0D0D" w:themeColor="text1" w:themeTint="F2"/>
          <w:sz w:val="24"/>
          <w:szCs w:val="24"/>
        </w:rPr>
        <w:t xml:space="preserve"> edition). Prentice Hall of India (Pvt) Ltd. New Delhi, 148p.</w:t>
      </w:r>
    </w:p>
    <w:p w14:paraId="59BC8F78" w14:textId="098B83E3"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Jadhao, V. H., Gabhane, V. V., Chandel, A., &amp; Satpute, U. (2019). Effect of potash management through gliricidia green leaf manuring on physico-chemical and biological properties of vertisols. Journal of Pharmacognosy and Phytochemistry, 8(6), 2162-2166. </w:t>
      </w:r>
      <w:hyperlink r:id="rId30" w:history="1">
        <w:r w:rsidRPr="006C3F0C">
          <w:rPr>
            <w:rStyle w:val="Hyperlink"/>
            <w:rFonts w:ascii="Times New Roman" w:eastAsia="Times New Roman" w:hAnsi="Times New Roman" w:cs="Times New Roman"/>
            <w:sz w:val="24"/>
            <w:szCs w:val="24"/>
          </w:rPr>
          <w:t>https://www.phytojournal.com/archives/2019/vol8issue6/PartAD/8-6-112-376.pdf</w:t>
        </w:r>
      </w:hyperlink>
    </w:p>
    <w:p w14:paraId="06F529A5" w14:textId="2EFE5B06"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Joergensen, R. G. (1995). Microbial biomass. In K. Alef &amp; P. Nannipieri (Eds.), Methods in applied soil microbiology and biochemistry (pp. 382–386). Academic Press. </w:t>
      </w:r>
      <w:hyperlink r:id="rId31" w:history="1">
        <w:r w:rsidRPr="006C3F0C">
          <w:rPr>
            <w:rStyle w:val="Hyperlink"/>
            <w:rFonts w:ascii="Times New Roman" w:eastAsia="Times New Roman" w:hAnsi="Times New Roman" w:cs="Times New Roman"/>
            <w:sz w:val="24"/>
            <w:szCs w:val="24"/>
          </w:rPr>
          <w:t>https://www.elsevier.com/books/methods-in-applied-soil-microbiology-and-biochemistry/alef/978-0-12-513840-6</w:t>
        </w:r>
      </w:hyperlink>
    </w:p>
    <w:p w14:paraId="0991A458" w14:textId="76EF8A5F"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Joseph, S., Cowie, A. L., Van Zwieten, L., Bolan, N., Budai, A., Buss, W., Cayuela, M. L., Graber, E. R., Ippolito, J. A., Kuzyakov, Y., Luo, Y., Ok, Y. S., Palansooriya, K. N., Shepherd, J., Stephens, S., Weng, Z., &amp; Lehmann, J. (2021). How biochar works, and when it doesn't: A review of mechanisms controlling soil and plant responses to biochar. GCB Bioenergy, 13(11), 1731-1764. </w:t>
      </w:r>
      <w:hyperlink r:id="rId32" w:history="1">
        <w:r w:rsidRPr="006C3F0C">
          <w:rPr>
            <w:rStyle w:val="Hyperlink"/>
            <w:rFonts w:ascii="Times New Roman" w:eastAsia="Times New Roman" w:hAnsi="Times New Roman" w:cs="Times New Roman"/>
            <w:sz w:val="24"/>
            <w:szCs w:val="24"/>
          </w:rPr>
          <w:t>https://doi.org/10.1111/gcbb.12885</w:t>
        </w:r>
      </w:hyperlink>
    </w:p>
    <w:p w14:paraId="6E88210A" w14:textId="7191AA20"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Kaur, J., &amp; Kaur, G. (2021). Dehydrogenase activity as a biological indicator of soil health. Chemical Science Review and Letters, 10(39), 326-329. </w:t>
      </w:r>
      <w:hyperlink r:id="rId33" w:history="1">
        <w:r w:rsidRPr="006C3F0C">
          <w:rPr>
            <w:rStyle w:val="Hyperlink"/>
            <w:rFonts w:ascii="Times New Roman" w:eastAsia="Times New Roman" w:hAnsi="Times New Roman" w:cs="Times New Roman"/>
            <w:sz w:val="24"/>
            <w:szCs w:val="24"/>
          </w:rPr>
          <w:t>https://doi.org/10.37273/chesci.cs205205338</w:t>
        </w:r>
      </w:hyperlink>
    </w:p>
    <w:p w14:paraId="5BE87327" w14:textId="36C2E997" w:rsidR="002A4EBF" w:rsidRPr="006C3F0C" w:rsidRDefault="00622FED"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Kuang C.T., Jiang C.Y., Li P.Z., Hu F. (2012): Effects of biochar amendments on soil organic carbon mineralisation and microbial biomass in red paddy soils. Soils, 44: 570–575.</w:t>
      </w:r>
    </w:p>
    <w:p w14:paraId="16D341F4" w14:textId="47A5F49C"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Kumari, J. A., Rao, P. C., Padmaja, G., &amp; Madhavi, M. (2017). Effect of physico-chemical properties on soil enzyme acid phosphatase activity of some soils in vegetable growing soils of Ranga Reddy District of Telangana State, India. International Journal of Current Microbiology and Applied Sciences, 6(10), 3496-3503. </w:t>
      </w:r>
      <w:hyperlink r:id="rId34" w:history="1">
        <w:r w:rsidRPr="006C3F0C">
          <w:rPr>
            <w:rStyle w:val="Hyperlink"/>
            <w:rFonts w:ascii="Times New Roman" w:eastAsia="Times New Roman" w:hAnsi="Times New Roman" w:cs="Times New Roman"/>
            <w:sz w:val="24"/>
            <w:szCs w:val="24"/>
          </w:rPr>
          <w:t>https://doi.org/10.20546/ijcmas.2017.610.412</w:t>
        </w:r>
      </w:hyperlink>
    </w:p>
    <w:p w14:paraId="2B167D7D" w14:textId="1AC07EC3"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Ladha, J. K., &amp; Reddy, P. M. (2019). The soil microbiome and crop nitrogen nutrition in anaerobic system: a case study in rice. In R. S. Zeigler (Ed.), Sustaining Global Food Security (pp. 278–302). CSIRO Publishing. </w:t>
      </w:r>
      <w:hyperlink r:id="rId35" w:history="1">
        <w:r w:rsidRPr="006C3F0C">
          <w:rPr>
            <w:rStyle w:val="Hyperlink"/>
            <w:rFonts w:ascii="Times New Roman" w:eastAsia="Times New Roman" w:hAnsi="Times New Roman" w:cs="Times New Roman"/>
            <w:sz w:val="24"/>
            <w:szCs w:val="24"/>
          </w:rPr>
          <w:t>https://www.publish.csiro.au/book/7833</w:t>
        </w:r>
      </w:hyperlink>
      <w:r w:rsidRPr="006C3F0C">
        <w:rPr>
          <w:rFonts w:ascii="Times New Roman" w:eastAsia="Times New Roman" w:hAnsi="Times New Roman" w:cs="Times New Roman"/>
          <w:sz w:val="24"/>
          <w:szCs w:val="24"/>
        </w:rPr>
        <w:t>.</w:t>
      </w:r>
    </w:p>
    <w:p w14:paraId="00F65020" w14:textId="5E6C1397"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Lazcano, C., &amp; Domínguez, J. (2011). The use of vermicompost in sustainable agriculture: impact on plant growth and soil fertility. In M. Miransari (Ed.), Soil Nutrients (p. 187). Nova Science Publishers. </w:t>
      </w:r>
      <w:hyperlink r:id="rId36" w:history="1">
        <w:r w:rsidRPr="006C3F0C">
          <w:rPr>
            <w:rStyle w:val="Hyperlink"/>
            <w:rFonts w:ascii="Times New Roman" w:eastAsia="Times New Roman" w:hAnsi="Times New Roman" w:cs="Times New Roman"/>
            <w:sz w:val="24"/>
            <w:szCs w:val="24"/>
          </w:rPr>
          <w:t>https://www.novapublishers.com/catalog/product_info.php?products_id=26000</w:t>
        </w:r>
      </w:hyperlink>
    </w:p>
    <w:p w14:paraId="0FA48813" w14:textId="1587E873"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Libutti, A., Cammerino, A. R. B., Francavilla, M., &amp; Monteleone, M. (2019). Soil amendment with biochar affects water drainage and nutrient losses by leaching: Experimental evidence under field-grown conditions. Agronomy, 9(11), 758. </w:t>
      </w:r>
      <w:hyperlink r:id="rId37" w:history="1">
        <w:r w:rsidRPr="006C3F0C">
          <w:rPr>
            <w:rStyle w:val="Hyperlink"/>
            <w:rFonts w:ascii="Times New Roman" w:eastAsia="Times New Roman" w:hAnsi="Times New Roman" w:cs="Times New Roman"/>
            <w:sz w:val="24"/>
            <w:szCs w:val="24"/>
          </w:rPr>
          <w:t>https://doi.org/10.3390/agronomy9110758</w:t>
        </w:r>
      </w:hyperlink>
    </w:p>
    <w:p w14:paraId="09A271E1" w14:textId="2BC71605" w:rsidR="002A4EBF" w:rsidRPr="006C3F0C" w:rsidRDefault="00622FED"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lastRenderedPageBreak/>
        <w:t>Liu, S., Liang, C., Zhang, J., Chen, S., Cheng, J., Chang, M. and Xu, J., 2025. Effects of manure application on paddy soil phosphorus in China based on a meta-analysis. </w:t>
      </w:r>
      <w:r w:rsidRPr="006C3F0C">
        <w:rPr>
          <w:rFonts w:ascii="Times New Roman" w:eastAsia="Times New Roman" w:hAnsi="Times New Roman" w:cs="Times New Roman"/>
          <w:i/>
          <w:sz w:val="24"/>
          <w:szCs w:val="24"/>
        </w:rPr>
        <w:t>Scientific Reports</w:t>
      </w:r>
      <w:r w:rsidRPr="006C3F0C">
        <w:rPr>
          <w:rFonts w:ascii="Times New Roman" w:eastAsia="Times New Roman" w:hAnsi="Times New Roman" w:cs="Times New Roman"/>
          <w:sz w:val="24"/>
          <w:szCs w:val="24"/>
        </w:rPr>
        <w:t>, </w:t>
      </w:r>
      <w:r w:rsidRPr="006C3F0C">
        <w:rPr>
          <w:rFonts w:ascii="Times New Roman" w:eastAsia="Times New Roman" w:hAnsi="Times New Roman" w:cs="Times New Roman"/>
          <w:i/>
          <w:sz w:val="24"/>
          <w:szCs w:val="24"/>
        </w:rPr>
        <w:t>15</w:t>
      </w:r>
      <w:r w:rsidRPr="006C3F0C">
        <w:rPr>
          <w:rFonts w:ascii="Times New Roman" w:eastAsia="Times New Roman" w:hAnsi="Times New Roman" w:cs="Times New Roman"/>
          <w:sz w:val="24"/>
          <w:szCs w:val="24"/>
        </w:rPr>
        <w:t>(1), p.36272.</w:t>
      </w:r>
    </w:p>
    <w:p w14:paraId="4CEFE639" w14:textId="1C1DFAF9"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Liu, W., Yang, Z., Ye, Q., Peng, Z., Zhu, S., Chen, H., Liu, D., Li, Y., Deng, L., Shu, X., &amp; Huang, H. (2023). Positive effects of organic amendments on soil microbes and their functionality in agro-ecosystems. *Plants*, *12*(22), 3790. </w:t>
      </w:r>
      <w:hyperlink r:id="rId38" w:history="1">
        <w:r w:rsidRPr="006C3F0C">
          <w:rPr>
            <w:rStyle w:val="Hyperlink"/>
            <w:rFonts w:ascii="Times New Roman" w:eastAsia="Times New Roman" w:hAnsi="Times New Roman" w:cs="Times New Roman"/>
            <w:sz w:val="24"/>
            <w:szCs w:val="24"/>
          </w:rPr>
          <w:t>https://doi.org/10.3390/plants12223790</w:t>
        </w:r>
      </w:hyperlink>
    </w:p>
    <w:p w14:paraId="4B15AC23" w14:textId="3D383D2C"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Nannipieri, P., Giagnoni, L., Renella, G., Puglisi, E., Ceccanti, B., Masciandaro, G., Fornasier, F., Moscatelli, M.C., &amp; Marinari, S. (2012). Soil enzymology: classical and molecular approaches. Biology and Fertility of Soils, 48(7), 743-762. </w:t>
      </w:r>
      <w:hyperlink r:id="rId39" w:history="1">
        <w:r w:rsidRPr="006C3F0C">
          <w:rPr>
            <w:rStyle w:val="Hyperlink"/>
            <w:rFonts w:ascii="Times New Roman" w:eastAsia="Times New Roman" w:hAnsi="Times New Roman" w:cs="Times New Roman"/>
            <w:sz w:val="24"/>
            <w:szCs w:val="24"/>
          </w:rPr>
          <w:t>https://doi.org/10.1007/s00374-012-0723-0</w:t>
        </w:r>
      </w:hyperlink>
    </w:p>
    <w:p w14:paraId="33661FCC" w14:textId="3F47B994"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Pooja, Rana, M. K., Sharma, A., Mehla, O. P., Singh, D., Singh, A., &amp; Verma, </w:t>
      </w:r>
      <w:commentRangeStart w:id="8"/>
      <w:r w:rsidRPr="006C3F0C">
        <w:rPr>
          <w:rFonts w:ascii="Times New Roman" w:eastAsia="Times New Roman" w:hAnsi="Times New Roman" w:cs="Times New Roman"/>
          <w:sz w:val="24"/>
          <w:szCs w:val="24"/>
        </w:rPr>
        <w:t>S</w:t>
      </w:r>
      <w:commentRangeEnd w:id="8"/>
      <w:r w:rsidR="00D60C14">
        <w:rPr>
          <w:rStyle w:val="CommentReference"/>
        </w:rPr>
        <w:commentReference w:id="8"/>
      </w:r>
      <w:r w:rsidRPr="006C3F0C">
        <w:rPr>
          <w:rFonts w:ascii="Times New Roman" w:eastAsia="Times New Roman" w:hAnsi="Times New Roman" w:cs="Times New Roman"/>
          <w:sz w:val="24"/>
          <w:szCs w:val="24"/>
        </w:rPr>
        <w:t xml:space="preserve">. (2022). Vermicompost effect on soil and field crops: A review. The Pharma Innovation Journal, 11(11), 2565-2569. </w:t>
      </w:r>
      <w:hyperlink r:id="rId40" w:history="1">
        <w:r w:rsidRPr="006C3F0C">
          <w:rPr>
            <w:rStyle w:val="Hyperlink"/>
            <w:rFonts w:ascii="Times New Roman" w:eastAsia="Times New Roman" w:hAnsi="Times New Roman" w:cs="Times New Roman"/>
            <w:sz w:val="24"/>
            <w:szCs w:val="24"/>
          </w:rPr>
          <w:t>https://doi.org/10.22271/tpi.2022.v11.i11ae.17113</w:t>
        </w:r>
      </w:hyperlink>
    </w:p>
    <w:p w14:paraId="0A8614C3" w14:textId="56FF8F6D"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Saha, S., Mina, B. L., Gopinath, K. A., Kundu, S., &amp; Gupta, H. S. (2008). Organic amendments affect biochemical properties of a subtemperate soil of the Indian Himalayas. *Nutrient Cycling in Agroecosystems*, *80*(3), 233-242. </w:t>
      </w:r>
      <w:hyperlink r:id="rId41" w:history="1">
        <w:r w:rsidRPr="006C3F0C">
          <w:rPr>
            <w:rStyle w:val="Hyperlink"/>
            <w:rFonts w:ascii="Times New Roman" w:eastAsia="Times New Roman" w:hAnsi="Times New Roman" w:cs="Times New Roman"/>
            <w:sz w:val="24"/>
            <w:szCs w:val="24"/>
          </w:rPr>
          <w:t>https://doi.org/10.1007/s10705-007-9139-x</w:t>
        </w:r>
      </w:hyperlink>
    </w:p>
    <w:p w14:paraId="160CEF9E" w14:textId="58A808D1"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Sarfraz, R., Nadeem, F., Yang, W., Tayyab, M., Khan, M. I., Mahmood, R., Guo, X., Xing, S., &amp; Kim, G. W. </w:t>
      </w:r>
      <w:commentRangeStart w:id="9"/>
      <w:r w:rsidRPr="006C3F0C">
        <w:rPr>
          <w:rFonts w:ascii="Times New Roman" w:eastAsia="Times New Roman" w:hAnsi="Times New Roman" w:cs="Times New Roman"/>
          <w:sz w:val="24"/>
          <w:szCs w:val="24"/>
        </w:rPr>
        <w:t xml:space="preserve">(2023). </w:t>
      </w:r>
      <w:commentRangeEnd w:id="9"/>
      <w:r w:rsidR="00F44CAB">
        <w:rPr>
          <w:rStyle w:val="CommentReference"/>
        </w:rPr>
        <w:commentReference w:id="9"/>
      </w:r>
      <w:r w:rsidRPr="006C3F0C">
        <w:rPr>
          <w:rFonts w:ascii="Times New Roman" w:eastAsia="Times New Roman" w:hAnsi="Times New Roman" w:cs="Times New Roman"/>
          <w:sz w:val="24"/>
          <w:szCs w:val="24"/>
        </w:rPr>
        <w:t xml:space="preserve">Evaluation of biochar and inorganic fertilizer on soil available phosphorus and bacterial community dynamics in acidic paddy soils for different incubation temperatures. Agronomy, 14(1), 26. </w:t>
      </w:r>
      <w:hyperlink r:id="rId42" w:history="1">
        <w:r w:rsidRPr="006C3F0C">
          <w:rPr>
            <w:rStyle w:val="Hyperlink"/>
            <w:rFonts w:ascii="Times New Roman" w:eastAsia="Times New Roman" w:hAnsi="Times New Roman" w:cs="Times New Roman"/>
            <w:sz w:val="24"/>
            <w:szCs w:val="24"/>
          </w:rPr>
          <w:t>https://doi.org/10.3390/agronomy14010026</w:t>
        </w:r>
      </w:hyperlink>
    </w:p>
    <w:p w14:paraId="3467981C" w14:textId="2E5C628E"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Semenov, M. V., Zhelezova, A. D., Ksenofontova, N. A., Ivanova, E. A., Nikitin, D. A., &amp; Semenov, V. M. (2025). Microbiological Indicators for Assessing the Effects of Agricultural Practices on Soil Health: A Review. Agronomy, 15(2), 335. </w:t>
      </w:r>
      <w:hyperlink r:id="rId43" w:history="1">
        <w:r w:rsidRPr="006C3F0C">
          <w:rPr>
            <w:rStyle w:val="Hyperlink"/>
            <w:rFonts w:ascii="Times New Roman" w:eastAsia="Times New Roman" w:hAnsi="Times New Roman" w:cs="Times New Roman"/>
            <w:sz w:val="24"/>
            <w:szCs w:val="24"/>
          </w:rPr>
          <w:t>https://doi.org/10.3390/agronomy15020335</w:t>
        </w:r>
      </w:hyperlink>
    </w:p>
    <w:p w14:paraId="7FD9FD8F" w14:textId="63DFC65E" w:rsidR="00431AC3" w:rsidRPr="006C3F0C" w:rsidRDefault="00431AC3" w:rsidP="006C3F0C">
      <w:pPr>
        <w:spacing w:line="360" w:lineRule="auto"/>
        <w:ind w:firstLine="0"/>
        <w:rPr>
          <w:rFonts w:ascii="Times New Roman" w:eastAsia="Times New Roman" w:hAnsi="Times New Roman" w:cs="Times New Roman"/>
          <w:sz w:val="24"/>
          <w:szCs w:val="24"/>
        </w:rPr>
      </w:pPr>
      <w:commentRangeStart w:id="10"/>
      <w:r w:rsidRPr="006C3F0C">
        <w:rPr>
          <w:rFonts w:ascii="Times New Roman" w:eastAsia="Times New Roman" w:hAnsi="Times New Roman" w:cs="Times New Roman"/>
          <w:sz w:val="24"/>
          <w:szCs w:val="24"/>
        </w:rPr>
        <w:t xml:space="preserve">Patel, K. K., Priya, Tekam, Y., Shah, A. K., Kumar, K., Kumhare, A., &amp; Dwarka. (2024). Effect of Vermicompost on Soil Properties, Plant Growth and Environmental Sustainability: A Review. International Journal of Plant &amp; Soil Science, 36(12), 688-693. </w:t>
      </w:r>
      <w:hyperlink r:id="rId44" w:history="1">
        <w:r w:rsidRPr="006C3F0C">
          <w:rPr>
            <w:rStyle w:val="Hyperlink"/>
            <w:rFonts w:ascii="Times New Roman" w:eastAsia="Times New Roman" w:hAnsi="Times New Roman" w:cs="Times New Roman"/>
            <w:sz w:val="24"/>
            <w:szCs w:val="24"/>
          </w:rPr>
          <w:t>https://doi.org/10.9734/ijpss/2024/v36i125244</w:t>
        </w:r>
      </w:hyperlink>
      <w:commentRangeEnd w:id="10"/>
      <w:r w:rsidR="00F44CAB">
        <w:rPr>
          <w:rStyle w:val="CommentReference"/>
        </w:rPr>
        <w:commentReference w:id="10"/>
      </w:r>
    </w:p>
    <w:p w14:paraId="7D3F3E45" w14:textId="6C023347" w:rsidR="00431AC3" w:rsidRPr="006C3F0C" w:rsidRDefault="00431AC3" w:rsidP="006C3F0C">
      <w:pPr>
        <w:spacing w:line="360" w:lineRule="auto"/>
        <w:ind w:firstLine="0"/>
        <w:rPr>
          <w:rFonts w:ascii="Times New Roman" w:eastAsia="Times New Roman" w:hAnsi="Times New Roman" w:cs="Times New Roman"/>
          <w:color w:val="0D0D0D" w:themeColor="text1" w:themeTint="F2"/>
          <w:sz w:val="24"/>
          <w:szCs w:val="24"/>
        </w:rPr>
      </w:pPr>
      <w:r w:rsidRPr="006C3F0C">
        <w:rPr>
          <w:rFonts w:ascii="Times New Roman" w:eastAsia="Times New Roman" w:hAnsi="Times New Roman" w:cs="Times New Roman"/>
          <w:sz w:val="24"/>
          <w:szCs w:val="24"/>
        </w:rPr>
        <w:lastRenderedPageBreak/>
        <w:t xml:space="preserve">Singh, M., Swaroop, N., Thomas, T., Mohanta, S. R., &amp; Thomas, A. (2024). Effect of different level of NPK and vermicompost on physico-chemical properties of soil growth and yield of green gram (Vigna radiata L.) Nandi-mungo. Intl. J. Res. Agron., 7(6), 740-744. </w:t>
      </w:r>
      <w:hyperlink r:id="rId45" w:history="1">
        <w:r w:rsidRPr="006C3F0C">
          <w:rPr>
            <w:rStyle w:val="Hyperlink"/>
            <w:rFonts w:ascii="Times New Roman" w:eastAsia="Times New Roman" w:hAnsi="Times New Roman" w:cs="Times New Roman"/>
            <w:sz w:val="24"/>
            <w:szCs w:val="24"/>
          </w:rPr>
          <w:t>https://doi.org/10.33545/2618060X.2024.v7.i6j.966</w:t>
        </w:r>
      </w:hyperlink>
    </w:p>
    <w:p w14:paraId="6B4EEB4F" w14:textId="2EC99757"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color w:val="0D0D0D" w:themeColor="text1" w:themeTint="F2"/>
          <w:sz w:val="24"/>
          <w:szCs w:val="24"/>
        </w:rPr>
        <w:t xml:space="preserve">Subbiah, B. V., &amp; Asija, G. L. (1956). A rapid procedure for the estimation of available nitrogen in soils. *Current Science*, *25*, 259–260. </w:t>
      </w:r>
      <w:hyperlink r:id="rId46" w:history="1">
        <w:r w:rsidRPr="006C3F0C">
          <w:rPr>
            <w:rStyle w:val="Hyperlink"/>
            <w:rFonts w:ascii="Times New Roman" w:eastAsia="Times New Roman" w:hAnsi="Times New Roman" w:cs="Times New Roman"/>
            <w:sz w:val="24"/>
            <w:szCs w:val="24"/>
          </w:rPr>
          <w:t>https://www.currentscience.ac.in/archive.htm</w:t>
        </w:r>
      </w:hyperlink>
    </w:p>
    <w:p w14:paraId="44E25938" w14:textId="609F3394"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Tabatabai, M. A., &amp; Bremner, J. M. (1969). Use of p-nitrophenyl phosphate for assay of soil phosphatase activity. Soil Biology and Biochemistry, 1(4), 301–307. </w:t>
      </w:r>
      <w:hyperlink r:id="rId47" w:history="1">
        <w:r w:rsidRPr="006C3F0C">
          <w:rPr>
            <w:rStyle w:val="Hyperlink"/>
            <w:rFonts w:ascii="Times New Roman" w:eastAsia="Times New Roman" w:hAnsi="Times New Roman" w:cs="Times New Roman"/>
            <w:sz w:val="24"/>
            <w:szCs w:val="24"/>
          </w:rPr>
          <w:t>https://doi.org/10.1016/0038-0717(69)90012-1</w:t>
        </w:r>
      </w:hyperlink>
    </w:p>
    <w:p w14:paraId="6D373F83" w14:textId="44EA58A8"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Wang, L., Yan, B., Prasher, S. O., Ou, Y., Bian, Y., &amp; Cui, H. (2019). The response of microbial composition and enzyme activities to hydrological gradients in a riparian wetland. Journal of Soils and Sediments, 19(12), 4031-4041. </w:t>
      </w:r>
      <w:hyperlink r:id="rId48" w:history="1">
        <w:r w:rsidRPr="006C3F0C">
          <w:rPr>
            <w:rStyle w:val="Hyperlink"/>
            <w:rFonts w:ascii="Times New Roman" w:eastAsia="Times New Roman" w:hAnsi="Times New Roman" w:cs="Times New Roman"/>
            <w:sz w:val="24"/>
            <w:szCs w:val="24"/>
          </w:rPr>
          <w:t>https://doi.org/10.1007/s11368-019-02373-9</w:t>
        </w:r>
      </w:hyperlink>
    </w:p>
    <w:p w14:paraId="0656D1F0" w14:textId="50627619"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Wichern, F., Islam, M. R., Hemkemeyer, M., Watson, C., &amp; Joergensen, R. G. (2020). Organic amendments alleviate salinity effects on soil microorganisms and mineralisation processes in aerobic and anaerobic paddy rice soils. Frontiers in Sustainable Food Systems. </w:t>
      </w:r>
      <w:hyperlink r:id="rId49" w:history="1">
        <w:r w:rsidRPr="006C3F0C">
          <w:rPr>
            <w:rStyle w:val="Hyperlink"/>
            <w:rFonts w:ascii="Times New Roman" w:eastAsia="Times New Roman" w:hAnsi="Times New Roman" w:cs="Times New Roman"/>
            <w:sz w:val="24"/>
            <w:szCs w:val="24"/>
          </w:rPr>
          <w:t>https://doi.org/10.3389/fsufs.2020.00030</w:t>
        </w:r>
      </w:hyperlink>
    </w:p>
    <w:p w14:paraId="60B79BFB" w14:textId="4AC1C00D"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Yang, Z., Luo, Y., Chen, H., Zhang, Y., Wu, S., Yang, M., Jia, J., Zhou, C., &amp; Zhou, Y. (2024). Vermicompost addition improved soil aggregate stability, enzyme activity, and soil nutrient status. Journal of Soil Science and Plant Nutrition, 24(4), 6760-6774. </w:t>
      </w:r>
      <w:hyperlink r:id="rId50" w:history="1">
        <w:r w:rsidRPr="006C3F0C">
          <w:rPr>
            <w:rStyle w:val="Hyperlink"/>
            <w:rFonts w:ascii="Times New Roman" w:eastAsia="Times New Roman" w:hAnsi="Times New Roman" w:cs="Times New Roman"/>
            <w:sz w:val="24"/>
            <w:szCs w:val="24"/>
          </w:rPr>
          <w:t>https://doi.org/10.1007/s42729-024-02002-6</w:t>
        </w:r>
      </w:hyperlink>
    </w:p>
    <w:p w14:paraId="259E9365" w14:textId="493BA0B4"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Ye, J., Chen, Z., Ma, J., Ma, J., Zou, P., Sun, W., Wang, F., Yu, Q., &amp; Wang, Q. (2025). The Effect of Long-Term Organic Amendments on Soil Organic Carbon Accumulation via Regulating Microbial Traits in a Paddy Soil. Agriculture, 15(21), 2308. </w:t>
      </w:r>
      <w:hyperlink r:id="rId51" w:history="1">
        <w:r w:rsidRPr="006C3F0C">
          <w:rPr>
            <w:rStyle w:val="Hyperlink"/>
            <w:rFonts w:ascii="Times New Roman" w:eastAsia="Times New Roman" w:hAnsi="Times New Roman" w:cs="Times New Roman"/>
            <w:sz w:val="24"/>
            <w:szCs w:val="24"/>
          </w:rPr>
          <w:t>https://doi.org/10.3390/agriculture15212308</w:t>
        </w:r>
      </w:hyperlink>
    </w:p>
    <w:p w14:paraId="1595B573" w14:textId="651E861F"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Yeasmin, S., Noman, M., Betto, Z. S., Rahman, T., Sarly, S. P., Islam, A. K. M. M., &amp; Anwar, M. P. (2025). Impact of organic and inorganic sources of nitrogen on soil fertility, nitrogen use efficiency, and carbon accumulation potential under subtropical rice-based cropping patterns in farmers’ fields. Nitrogen, 6(3), 86. </w:t>
      </w:r>
      <w:hyperlink r:id="rId52" w:history="1">
        <w:r w:rsidRPr="006C3F0C">
          <w:rPr>
            <w:rStyle w:val="Hyperlink"/>
            <w:rFonts w:ascii="Times New Roman" w:eastAsia="Times New Roman" w:hAnsi="Times New Roman" w:cs="Times New Roman"/>
            <w:sz w:val="24"/>
            <w:szCs w:val="24"/>
          </w:rPr>
          <w:t>https://doi.org/10.3390/nitrogen6030086</w:t>
        </w:r>
      </w:hyperlink>
    </w:p>
    <w:p w14:paraId="45CF5DED" w14:textId="1E9E1DE6"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lastRenderedPageBreak/>
        <w:t xml:space="preserve">Zhao, Y., Lu, Y., Zhuang, H., &amp; Shan, S. (2023). In-situ retention of nitrogen, phosphorus in agricultural drainage and soil nutrients by biochar at different temperatures and the effects on soil microbial response. Sci Total Environ, 904, 166292. </w:t>
      </w:r>
      <w:hyperlink r:id="rId53" w:history="1">
        <w:r w:rsidRPr="006C3F0C">
          <w:rPr>
            <w:rStyle w:val="Hyperlink"/>
            <w:rFonts w:ascii="Times New Roman" w:eastAsia="Times New Roman" w:hAnsi="Times New Roman" w:cs="Times New Roman"/>
            <w:sz w:val="24"/>
            <w:szCs w:val="24"/>
          </w:rPr>
          <w:t>https://doi.org/10.1016/j.scitotenv.2023.166292</w:t>
        </w:r>
      </w:hyperlink>
    </w:p>
    <w:p w14:paraId="6ADA795A" w14:textId="77777777" w:rsidR="00E34716" w:rsidRDefault="006C3F0C" w:rsidP="006C3F0C">
      <w:pPr>
        <w:spacing w:line="360" w:lineRule="auto"/>
        <w:ind w:firstLine="0"/>
        <w:rPr>
          <w:rStyle w:val="Hyperlink"/>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Zhang, F., Wang, R., Yu, W., Liang, J., &amp; Liao, X. (2020). Influences of a vermicompost application on the phosphorus transformation and microbial activity in a paddy soil. Soil &amp; Water Research, 15(4), 199–210. </w:t>
      </w:r>
      <w:hyperlink r:id="rId54" w:history="1">
        <w:r w:rsidRPr="006C3F0C">
          <w:rPr>
            <w:rStyle w:val="Hyperlink"/>
            <w:rFonts w:ascii="Times New Roman" w:eastAsia="Times New Roman" w:hAnsi="Times New Roman" w:cs="Times New Roman"/>
            <w:sz w:val="24"/>
            <w:szCs w:val="24"/>
          </w:rPr>
          <w:t>https://doi.org/10.17221/91/2019-SWR</w:t>
        </w:r>
      </w:hyperlink>
    </w:p>
    <w:p w14:paraId="10CDA34C" w14:textId="77777777" w:rsidR="00327C52" w:rsidRDefault="00327C52" w:rsidP="006C3F0C">
      <w:pPr>
        <w:spacing w:line="360" w:lineRule="auto"/>
        <w:ind w:firstLine="0"/>
        <w:rPr>
          <w:rStyle w:val="Hyperlink"/>
          <w:rFonts w:ascii="Times New Roman" w:eastAsia="Times New Roman" w:hAnsi="Times New Roman" w:cs="Times New Roman"/>
          <w:sz w:val="24"/>
          <w:szCs w:val="24"/>
        </w:rPr>
      </w:pPr>
    </w:p>
    <w:p w14:paraId="32664F6D" w14:textId="77777777" w:rsidR="00327C52" w:rsidRPr="00327C52" w:rsidRDefault="00327C52" w:rsidP="00327C52">
      <w:pPr>
        <w:rPr>
          <w:rStyle w:val="Hyperlink"/>
          <w:rFonts w:ascii="Times New Roman" w:eastAsia="Times New Roman" w:hAnsi="Times New Roman" w:cs="Times New Roman"/>
          <w:sz w:val="24"/>
          <w:szCs w:val="24"/>
          <w:u w:val="none"/>
        </w:rPr>
      </w:pPr>
      <w:r w:rsidRPr="00327C52">
        <w:rPr>
          <w:rStyle w:val="Hyperlink"/>
          <w:rFonts w:ascii="Times New Roman" w:eastAsia="Times New Roman" w:hAnsi="Times New Roman" w:cs="Times New Roman"/>
          <w:sz w:val="24"/>
          <w:szCs w:val="24"/>
          <w:u w:val="none"/>
        </w:rPr>
        <w:t>References with conflicting dates in text and reference list</w:t>
      </w:r>
    </w:p>
    <w:p w14:paraId="494C024D" w14:textId="77777777" w:rsidR="00327C52"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ab/>
      </w:r>
      <w:commentRangeStart w:id="11"/>
      <w:r w:rsidR="00327C52">
        <w:rPr>
          <w:rFonts w:ascii="Times New Roman" w:eastAsia="Times New Roman" w:hAnsi="Times New Roman" w:cs="Times New Roman"/>
          <w:sz w:val="24"/>
          <w:szCs w:val="24"/>
        </w:rPr>
        <w:t>Reference                                                                        date in text           date in ref. list</w:t>
      </w:r>
    </w:p>
    <w:p w14:paraId="3D657299" w14:textId="77777777" w:rsidR="00327C52" w:rsidRDefault="00327C52" w:rsidP="006C3F0C">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Aira et al.,                                                                                          2010                         2007</w:t>
      </w:r>
    </w:p>
    <w:p w14:paraId="182F9B3F" w14:textId="2D3EF086" w:rsidR="002A4EBF" w:rsidRPr="006C3F0C" w:rsidRDefault="00327C52" w:rsidP="006C3F0C">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Pooja et al.,                                                                                         2020                         2022        </w:t>
      </w:r>
      <w:commentRangeEnd w:id="11"/>
      <w:r>
        <w:rPr>
          <w:rStyle w:val="CommentReference"/>
        </w:rPr>
        <w:commentReference w:id="11"/>
      </w:r>
      <w:r>
        <w:rPr>
          <w:rFonts w:ascii="Times New Roman" w:eastAsia="Times New Roman" w:hAnsi="Times New Roman" w:cs="Times New Roman"/>
          <w:sz w:val="24"/>
          <w:szCs w:val="24"/>
        </w:rPr>
        <w:t xml:space="preserve">                             </w:t>
      </w:r>
    </w:p>
    <w:sectPr w:rsidR="002A4EBF" w:rsidRPr="006C3F0C">
      <w:headerReference w:type="even" r:id="rId55"/>
      <w:headerReference w:type="default" r:id="rId56"/>
      <w:headerReference w:type="first" r:id="rId57"/>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Dr. Tanko" w:date="2025-12-04T19:35:00Z" w:initials="DT">
    <w:p w14:paraId="388EC240" w14:textId="3C4AC780" w:rsidR="00F44CAB" w:rsidRDefault="00F44CAB">
      <w:pPr>
        <w:pStyle w:val="CommentText"/>
      </w:pPr>
      <w:r>
        <w:rPr>
          <w:rStyle w:val="CommentReference"/>
        </w:rPr>
        <w:annotationRef/>
      </w:r>
      <w:r w:rsidR="006A5F23">
        <w:t xml:space="preserve">It </w:t>
      </w:r>
      <w:r w:rsidR="00E464B5">
        <w:t>necessary because it’s</w:t>
      </w:r>
      <w:r w:rsidR="006A5F23">
        <w:t xml:space="preserve"> an international </w:t>
      </w:r>
      <w:r w:rsidR="00E464B5">
        <w:t>journal.</w:t>
      </w:r>
    </w:p>
  </w:comment>
  <w:comment w:id="2" w:author="Dr. Tanko" w:date="2025-12-04T19:37:00Z" w:initials="DT">
    <w:p w14:paraId="465D99F6" w14:textId="12056FDC" w:rsidR="006A5F23" w:rsidRDefault="006A5F23">
      <w:pPr>
        <w:pStyle w:val="CommentText"/>
      </w:pPr>
      <w:r>
        <w:rPr>
          <w:rStyle w:val="CommentReference"/>
        </w:rPr>
        <w:annotationRef/>
      </w:r>
      <w:r>
        <w:t xml:space="preserve">Your abstract can stand as </w:t>
      </w:r>
      <w:r w:rsidR="00ED6A04">
        <w:t>a substitute for entire report to the</w:t>
      </w:r>
      <w:r>
        <w:t xml:space="preserve"> busy </w:t>
      </w:r>
      <w:r w:rsidR="00ED6A04">
        <w:t>reader. (it is always good to start stating what necessitated the study in the first place – 1 or 2 sentences is what you need. Then move to a brief review of your methodology. What population of the thing(s) you studied</w:t>
      </w:r>
      <w:r w:rsidR="00756690">
        <w:t>?  How did you generate or collect the data? How were the data analysed? What were your findings or observations</w:t>
      </w:r>
      <w:r w:rsidR="008243A8">
        <w:t xml:space="preserve">, in other words what picture did the analysis of the data paint? What do the findings mean in practical terms? To what conclusion (s) did the findings lead you?) </w:t>
      </w:r>
    </w:p>
  </w:comment>
  <w:comment w:id="3" w:author="Dr. Tanko" w:date="2025-12-04T20:19:00Z" w:initials="DT">
    <w:p w14:paraId="764ED4FB" w14:textId="5687FC74" w:rsidR="00114FC9" w:rsidRDefault="00114FC9">
      <w:pPr>
        <w:pStyle w:val="CommentText"/>
      </w:pPr>
      <w:r>
        <w:rPr>
          <w:rStyle w:val="CommentReference"/>
        </w:rPr>
        <w:annotationRef/>
      </w:r>
      <w:r>
        <w:t xml:space="preserve">Its also important to </w:t>
      </w:r>
      <w:r w:rsidR="00E464B5">
        <w:t>present</w:t>
      </w:r>
      <w:r>
        <w:t xml:space="preserve"> the table</w:t>
      </w:r>
      <w:r w:rsidR="00E464B5">
        <w:t xml:space="preserve"> that guide you in</w:t>
      </w:r>
      <w:r>
        <w:t xml:space="preserve"> reporting high or low values</w:t>
      </w:r>
      <w:r w:rsidR="00E464B5">
        <w:t xml:space="preserve"> of the properties</w:t>
      </w:r>
      <w:r w:rsidR="00E34716">
        <w:t xml:space="preserve"> – see Esu, 1991.</w:t>
      </w:r>
    </w:p>
  </w:comment>
  <w:comment w:id="5" w:author="Dr. Tanko" w:date="2025-12-04T19:16:00Z" w:initials="DT">
    <w:p w14:paraId="4B0818BC" w14:textId="0A93351E" w:rsidR="00D60C14" w:rsidRDefault="00D60C14">
      <w:pPr>
        <w:pStyle w:val="CommentText"/>
      </w:pPr>
      <w:r>
        <w:rPr>
          <w:rStyle w:val="CommentReference"/>
        </w:rPr>
        <w:annotationRef/>
      </w:r>
      <w:r>
        <w:t>Cited as 2010 in text (reconcile)</w:t>
      </w:r>
    </w:p>
  </w:comment>
  <w:comment w:id="6" w:author="Dr. Tanko" w:date="2025-12-04T19:19:00Z" w:initials="DT">
    <w:p w14:paraId="11A435BD" w14:textId="593B761A" w:rsidR="00D60C14" w:rsidRDefault="00D60C14">
      <w:pPr>
        <w:pStyle w:val="CommentText"/>
      </w:pPr>
      <w:r>
        <w:rPr>
          <w:rStyle w:val="CommentReference"/>
        </w:rPr>
        <w:annotationRef/>
      </w:r>
      <w:r>
        <w:t>Write in alphabetical order</w:t>
      </w:r>
    </w:p>
  </w:comment>
  <w:comment w:id="7" w:author="Dr. Tanko" w:date="2025-12-04T19:20:00Z" w:initials="DT">
    <w:p w14:paraId="592EB376" w14:textId="30ECFD58" w:rsidR="00D60C14" w:rsidRDefault="00D60C14">
      <w:pPr>
        <w:pStyle w:val="CommentText"/>
      </w:pPr>
      <w:r>
        <w:rPr>
          <w:rStyle w:val="CommentReference"/>
        </w:rPr>
        <w:annotationRef/>
      </w:r>
      <w:r>
        <w:t>Repeated (delete one)</w:t>
      </w:r>
    </w:p>
  </w:comment>
  <w:comment w:id="8" w:author="Dr. Tanko" w:date="2025-12-04T19:23:00Z" w:initials="DT">
    <w:p w14:paraId="0EBFE313" w14:textId="4BC1AD5E" w:rsidR="00D60C14" w:rsidRDefault="00D60C14">
      <w:pPr>
        <w:pStyle w:val="CommentText"/>
      </w:pPr>
      <w:r>
        <w:rPr>
          <w:rStyle w:val="CommentReference"/>
        </w:rPr>
        <w:annotationRef/>
      </w:r>
      <w:r>
        <w:t>Cited as 2020 in text (reconcile)</w:t>
      </w:r>
    </w:p>
  </w:comment>
  <w:comment w:id="9" w:author="Dr. Tanko" w:date="2025-12-04T19:31:00Z" w:initials="DT">
    <w:p w14:paraId="7F93B38C" w14:textId="46CC9CD1" w:rsidR="00F44CAB" w:rsidRDefault="00F44CAB">
      <w:pPr>
        <w:pStyle w:val="CommentText"/>
      </w:pPr>
      <w:r>
        <w:rPr>
          <w:rStyle w:val="CommentReference"/>
        </w:rPr>
        <w:annotationRef/>
      </w:r>
      <w:r>
        <w:t>Cited as 2024 in text (reconcile)</w:t>
      </w:r>
    </w:p>
  </w:comment>
  <w:comment w:id="10" w:author="Dr. Tanko" w:date="2025-12-04T19:32:00Z" w:initials="DT">
    <w:p w14:paraId="32A8D0F3" w14:textId="4ACDB084" w:rsidR="00F44CAB" w:rsidRDefault="00F44CAB">
      <w:pPr>
        <w:pStyle w:val="CommentText"/>
      </w:pPr>
      <w:r>
        <w:rPr>
          <w:rStyle w:val="CommentReference"/>
        </w:rPr>
        <w:annotationRef/>
      </w:r>
      <w:r w:rsidR="00E464B5">
        <w:t>Note cited</w:t>
      </w:r>
      <w:r>
        <w:t xml:space="preserve"> and is not written in chronological order (check and reconcile)</w:t>
      </w:r>
    </w:p>
  </w:comment>
  <w:comment w:id="11" w:author="Dr. Tanko" w:date="2025-12-04T20:37:00Z" w:initials="DT">
    <w:p w14:paraId="629E0438" w14:textId="4442F92B" w:rsidR="00327C52" w:rsidRDefault="00327C52">
      <w:pPr>
        <w:pStyle w:val="CommentText"/>
      </w:pPr>
      <w:r>
        <w:rPr>
          <w:rStyle w:val="CommentReference"/>
        </w:rPr>
        <w:annotationRef/>
      </w:r>
      <w:r>
        <w:t>Check and reconcile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8EC240" w15:done="0"/>
  <w15:commentEx w15:paraId="465D99F6" w15:done="0"/>
  <w15:commentEx w15:paraId="764ED4FB" w15:done="0"/>
  <w15:commentEx w15:paraId="4B0818BC" w15:done="0"/>
  <w15:commentEx w15:paraId="11A435BD" w15:done="0"/>
  <w15:commentEx w15:paraId="592EB376" w15:done="0"/>
  <w15:commentEx w15:paraId="0EBFE313" w15:done="0"/>
  <w15:commentEx w15:paraId="7F93B38C" w15:done="0"/>
  <w15:commentEx w15:paraId="32A8D0F3" w15:done="0"/>
  <w15:commentEx w15:paraId="629E04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DC60F8" w16cex:dateUtc="2025-12-04T18:35:00Z"/>
  <w16cex:commentExtensible w16cex:durableId="2CDC616A" w16cex:dateUtc="2025-12-04T18:37:00Z"/>
  <w16cex:commentExtensible w16cex:durableId="2CDC6B35" w16cex:dateUtc="2025-12-04T19:19:00Z"/>
  <w16cex:commentExtensible w16cex:durableId="2CDC5C76" w16cex:dateUtc="2025-12-04T18:16:00Z"/>
  <w16cex:commentExtensible w16cex:durableId="2CDC5D27" w16cex:dateUtc="2025-12-04T18:19:00Z"/>
  <w16cex:commentExtensible w16cex:durableId="2CDC5D8A" w16cex:dateUtc="2025-12-04T18:20:00Z"/>
  <w16cex:commentExtensible w16cex:durableId="2CDC5E26" w16cex:dateUtc="2025-12-04T18:23:00Z"/>
  <w16cex:commentExtensible w16cex:durableId="2CDC5FF7" w16cex:dateUtc="2025-12-04T18:31:00Z"/>
  <w16cex:commentExtensible w16cex:durableId="2CDC6039" w16cex:dateUtc="2025-12-04T18:32:00Z"/>
  <w16cex:commentExtensible w16cex:durableId="2CDC6F85" w16cex:dateUtc="2025-12-04T1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8EC240" w16cid:durableId="2CDC60F8"/>
  <w16cid:commentId w16cid:paraId="465D99F6" w16cid:durableId="2CDC616A"/>
  <w16cid:commentId w16cid:paraId="764ED4FB" w16cid:durableId="2CDC6B35"/>
  <w16cid:commentId w16cid:paraId="4B0818BC" w16cid:durableId="2CDC5C76"/>
  <w16cid:commentId w16cid:paraId="11A435BD" w16cid:durableId="2CDC5D27"/>
  <w16cid:commentId w16cid:paraId="592EB376" w16cid:durableId="2CDC5D8A"/>
  <w16cid:commentId w16cid:paraId="0EBFE313" w16cid:durableId="2CDC5E26"/>
  <w16cid:commentId w16cid:paraId="7F93B38C" w16cid:durableId="2CDC5FF7"/>
  <w16cid:commentId w16cid:paraId="32A8D0F3" w16cid:durableId="2CDC6039"/>
  <w16cid:commentId w16cid:paraId="629E0438" w16cid:durableId="2CDC6F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4861D" w14:textId="77777777" w:rsidR="00622FED" w:rsidRDefault="00622FED" w:rsidP="00AE49A2">
      <w:pPr>
        <w:spacing w:after="0"/>
      </w:pPr>
      <w:r>
        <w:separator/>
      </w:r>
    </w:p>
  </w:endnote>
  <w:endnote w:type="continuationSeparator" w:id="0">
    <w:p w14:paraId="029E323A" w14:textId="77777777" w:rsidR="00622FED" w:rsidRDefault="00622FED" w:rsidP="00AE49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E7662" w14:textId="77777777" w:rsidR="00622FED" w:rsidRDefault="00622FED" w:rsidP="00AE49A2">
      <w:pPr>
        <w:spacing w:after="0"/>
      </w:pPr>
      <w:r>
        <w:separator/>
      </w:r>
    </w:p>
  </w:footnote>
  <w:footnote w:type="continuationSeparator" w:id="0">
    <w:p w14:paraId="10BAAD47" w14:textId="77777777" w:rsidR="00622FED" w:rsidRDefault="00622FED" w:rsidP="00AE49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38CCE" w14:textId="65DC8E77" w:rsidR="00AE49A2" w:rsidRDefault="009E4F04">
    <w:pPr>
      <w:pStyle w:val="Header"/>
    </w:pPr>
    <w:r>
      <w:rPr>
        <w:noProof/>
      </w:rPr>
      <w:pict w14:anchorId="3DAB0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6438"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37A14" w14:textId="22D9CA65" w:rsidR="00AE49A2" w:rsidRDefault="009E4F04">
    <w:pPr>
      <w:pStyle w:val="Header"/>
    </w:pPr>
    <w:r>
      <w:rPr>
        <w:noProof/>
      </w:rPr>
      <w:pict w14:anchorId="39559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6439"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CB1F0" w14:textId="6F4499BB" w:rsidR="00AE49A2" w:rsidRDefault="009E4F04">
    <w:pPr>
      <w:pStyle w:val="Header"/>
    </w:pPr>
    <w:r>
      <w:rPr>
        <w:noProof/>
      </w:rPr>
      <w:pict w14:anchorId="08102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6437"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4417"/>
    <w:multiLevelType w:val="hybridMultilevel"/>
    <w:tmpl w:val="FE106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2E1B5C"/>
    <w:multiLevelType w:val="hybridMultilevel"/>
    <w:tmpl w:val="8AB4B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r. Tanko">
    <w15:presenceInfo w15:providerId="None" w15:userId="Dr. Ta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EBF"/>
    <w:rsid w:val="00114FC9"/>
    <w:rsid w:val="002A4EBF"/>
    <w:rsid w:val="00327C52"/>
    <w:rsid w:val="0043128A"/>
    <w:rsid w:val="00431AC3"/>
    <w:rsid w:val="00462E4F"/>
    <w:rsid w:val="005A7748"/>
    <w:rsid w:val="00622FED"/>
    <w:rsid w:val="006A5F23"/>
    <w:rsid w:val="006C3F0C"/>
    <w:rsid w:val="00756690"/>
    <w:rsid w:val="00795370"/>
    <w:rsid w:val="008243A8"/>
    <w:rsid w:val="00992E64"/>
    <w:rsid w:val="009E4F04"/>
    <w:rsid w:val="00A26619"/>
    <w:rsid w:val="00AE49A2"/>
    <w:rsid w:val="00D60C14"/>
    <w:rsid w:val="00DA1DCD"/>
    <w:rsid w:val="00DD1578"/>
    <w:rsid w:val="00E34716"/>
    <w:rsid w:val="00E464B5"/>
    <w:rsid w:val="00ED6A04"/>
    <w:rsid w:val="00F44C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0EF9CD"/>
  <w15:docId w15:val="{9B28360C-84DF-4F1E-B287-1510389F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ptos" w:eastAsia="Aptos" w:hAnsi="Aptos" w:cs="Aptos"/>
        <w:sz w:val="22"/>
        <w:szCs w:val="22"/>
        <w:lang w:val="en-IN" w:eastAsia="en-IN" w:bidi="ar-SA"/>
      </w:rPr>
    </w:rPrDefault>
    <w:pPrDefault>
      <w:pPr>
        <w:spacing w:after="160"/>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
    <w:pPr>
      <w:spacing w:after="0"/>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pPr>
      <w:spacing w:after="0"/>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sid w:val="0043128A"/>
    <w:rPr>
      <w:color w:val="0000FF" w:themeColor="hyperlink"/>
      <w:u w:val="single"/>
    </w:rPr>
  </w:style>
  <w:style w:type="character" w:styleId="UnresolvedMention">
    <w:name w:val="Unresolved Mention"/>
    <w:basedOn w:val="DefaultParagraphFont"/>
    <w:uiPriority w:val="99"/>
    <w:semiHidden/>
    <w:unhideWhenUsed/>
    <w:rsid w:val="0043128A"/>
    <w:rPr>
      <w:color w:val="605E5C"/>
      <w:shd w:val="clear" w:color="auto" w:fill="E1DFDD"/>
    </w:rPr>
  </w:style>
  <w:style w:type="paragraph" w:styleId="ListParagraph">
    <w:name w:val="List Paragraph"/>
    <w:basedOn w:val="Normal"/>
    <w:uiPriority w:val="34"/>
    <w:qFormat/>
    <w:rsid w:val="00431AC3"/>
    <w:pPr>
      <w:ind w:left="720"/>
      <w:contextualSpacing/>
    </w:pPr>
  </w:style>
  <w:style w:type="paragraph" w:styleId="Header">
    <w:name w:val="header"/>
    <w:basedOn w:val="Normal"/>
    <w:link w:val="HeaderChar"/>
    <w:uiPriority w:val="99"/>
    <w:unhideWhenUsed/>
    <w:rsid w:val="00AE49A2"/>
    <w:pPr>
      <w:tabs>
        <w:tab w:val="center" w:pos="4680"/>
        <w:tab w:val="right" w:pos="9360"/>
      </w:tabs>
      <w:spacing w:after="0"/>
    </w:pPr>
  </w:style>
  <w:style w:type="character" w:customStyle="1" w:styleId="HeaderChar">
    <w:name w:val="Header Char"/>
    <w:basedOn w:val="DefaultParagraphFont"/>
    <w:link w:val="Header"/>
    <w:uiPriority w:val="99"/>
    <w:rsid w:val="00AE49A2"/>
  </w:style>
  <w:style w:type="paragraph" w:styleId="Footer">
    <w:name w:val="footer"/>
    <w:basedOn w:val="Normal"/>
    <w:link w:val="FooterChar"/>
    <w:uiPriority w:val="99"/>
    <w:unhideWhenUsed/>
    <w:rsid w:val="00AE49A2"/>
    <w:pPr>
      <w:tabs>
        <w:tab w:val="center" w:pos="4680"/>
        <w:tab w:val="right" w:pos="9360"/>
      </w:tabs>
      <w:spacing w:after="0"/>
    </w:pPr>
  </w:style>
  <w:style w:type="character" w:customStyle="1" w:styleId="FooterChar">
    <w:name w:val="Footer Char"/>
    <w:basedOn w:val="DefaultParagraphFont"/>
    <w:link w:val="Footer"/>
    <w:uiPriority w:val="99"/>
    <w:rsid w:val="00AE49A2"/>
  </w:style>
  <w:style w:type="character" w:styleId="CommentReference">
    <w:name w:val="annotation reference"/>
    <w:basedOn w:val="DefaultParagraphFont"/>
    <w:uiPriority w:val="99"/>
    <w:semiHidden/>
    <w:unhideWhenUsed/>
    <w:rsid w:val="00D60C14"/>
    <w:rPr>
      <w:sz w:val="16"/>
      <w:szCs w:val="16"/>
    </w:rPr>
  </w:style>
  <w:style w:type="paragraph" w:styleId="CommentText">
    <w:name w:val="annotation text"/>
    <w:basedOn w:val="Normal"/>
    <w:link w:val="CommentTextChar"/>
    <w:uiPriority w:val="99"/>
    <w:semiHidden/>
    <w:unhideWhenUsed/>
    <w:rsid w:val="00D60C14"/>
    <w:rPr>
      <w:sz w:val="20"/>
      <w:szCs w:val="20"/>
    </w:rPr>
  </w:style>
  <w:style w:type="character" w:customStyle="1" w:styleId="CommentTextChar">
    <w:name w:val="Comment Text Char"/>
    <w:basedOn w:val="DefaultParagraphFont"/>
    <w:link w:val="CommentText"/>
    <w:uiPriority w:val="99"/>
    <w:semiHidden/>
    <w:rsid w:val="00D60C14"/>
    <w:rPr>
      <w:sz w:val="20"/>
      <w:szCs w:val="20"/>
    </w:rPr>
  </w:style>
  <w:style w:type="paragraph" w:styleId="CommentSubject">
    <w:name w:val="annotation subject"/>
    <w:basedOn w:val="CommentText"/>
    <w:next w:val="CommentText"/>
    <w:link w:val="CommentSubjectChar"/>
    <w:uiPriority w:val="99"/>
    <w:semiHidden/>
    <w:unhideWhenUsed/>
    <w:rsid w:val="00D60C14"/>
    <w:rPr>
      <w:b/>
      <w:bCs/>
    </w:rPr>
  </w:style>
  <w:style w:type="character" w:customStyle="1" w:styleId="CommentSubjectChar">
    <w:name w:val="Comment Subject Char"/>
    <w:basedOn w:val="CommentTextChar"/>
    <w:link w:val="CommentSubject"/>
    <w:uiPriority w:val="99"/>
    <w:semiHidden/>
    <w:rsid w:val="00D60C14"/>
    <w:rPr>
      <w:b/>
      <w:bCs/>
      <w:sz w:val="20"/>
      <w:szCs w:val="20"/>
    </w:rPr>
  </w:style>
  <w:style w:type="paragraph" w:styleId="BalloonText">
    <w:name w:val="Balloon Text"/>
    <w:basedOn w:val="Normal"/>
    <w:link w:val="BalloonTextChar"/>
    <w:uiPriority w:val="99"/>
    <w:semiHidden/>
    <w:unhideWhenUsed/>
    <w:rsid w:val="00D60C1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C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phytojournal.com/archives/2017/vol6issue5/PartR/6-5-10-700.pdf" TargetMode="External"/><Relationship Id="rId18" Type="http://schemas.openxmlformats.org/officeDocument/2006/relationships/hyperlink" Target="https://doi.org/10.1097/00010694-196412000-00004" TargetMode="External"/><Relationship Id="rId26" Type="http://schemas.openxmlformats.org/officeDocument/2006/relationships/hyperlink" Target="https://doi.org/10.1007/s44279-024-00129-9" TargetMode="External"/><Relationship Id="rId39" Type="http://schemas.openxmlformats.org/officeDocument/2006/relationships/hyperlink" Target="https://doi.org/10.1007/s00374-012-0723-0" TargetMode="External"/><Relationship Id="rId21" Type="http://schemas.openxmlformats.org/officeDocument/2006/relationships/hyperlink" Target="https://doi.org/10.1080/03650340.2017.1308491" TargetMode="External"/><Relationship Id="rId34" Type="http://schemas.openxmlformats.org/officeDocument/2006/relationships/hyperlink" Target="https://doi.org/10.20546/ijcmas.2017.610.412" TargetMode="External"/><Relationship Id="rId42" Type="http://schemas.openxmlformats.org/officeDocument/2006/relationships/hyperlink" Target="https://doi.org/10.3390/agronomy14010026" TargetMode="External"/><Relationship Id="rId47" Type="http://schemas.openxmlformats.org/officeDocument/2006/relationships/hyperlink" Target="https://doi.org/10.1016/0038-0717(69)90012-1" TargetMode="External"/><Relationship Id="rId50" Type="http://schemas.openxmlformats.org/officeDocument/2006/relationships/hyperlink" Target="https://doi.org/10.1007/s42729-024-02002-6" TargetMode="External"/><Relationship Id="rId55" Type="http://schemas.openxmlformats.org/officeDocument/2006/relationships/header" Target="header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016/j.soilbio.2012.02.009" TargetMode="External"/><Relationship Id="rId29" Type="http://schemas.openxmlformats.org/officeDocument/2006/relationships/hyperlink" Target="https://doi.org/10.3390/su10041205" TargetMode="External"/><Relationship Id="rId11" Type="http://schemas.openxmlformats.org/officeDocument/2006/relationships/hyperlink" Target="https://doi.org/10.1016/j.scitotenv.2007.06.031" TargetMode="External"/><Relationship Id="rId24" Type="http://schemas.openxmlformats.org/officeDocument/2006/relationships/hyperlink" Target="https://doi.org/10.1007/s13399-021-01625-4" TargetMode="External"/><Relationship Id="rId32" Type="http://schemas.openxmlformats.org/officeDocument/2006/relationships/hyperlink" Target="https://doi.org/10.1111/gcbb.12885" TargetMode="External"/><Relationship Id="rId37" Type="http://schemas.openxmlformats.org/officeDocument/2006/relationships/hyperlink" Target="https://doi.org/10.3390/agronomy9110758" TargetMode="External"/><Relationship Id="rId40" Type="http://schemas.openxmlformats.org/officeDocument/2006/relationships/hyperlink" Target="https://doi.org/10.22271/tpi.2022.v11.i11ae.17113" TargetMode="External"/><Relationship Id="rId45" Type="http://schemas.openxmlformats.org/officeDocument/2006/relationships/hyperlink" Target="https://doi.org/10.33545/2618060X.2024.v7.i6j.966" TargetMode="External"/><Relationship Id="rId53" Type="http://schemas.openxmlformats.org/officeDocument/2006/relationships/hyperlink" Target="https://doi.org/10.1016/j.scitotenv.2023.166292"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oi.org/10.1016/j.heliyon.2024.e35699"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2134/agronmonogr9.1" TargetMode="External"/><Relationship Id="rId22" Type="http://schemas.openxmlformats.org/officeDocument/2006/relationships/hyperlink" Target="https://doi.org/10.1111/j.1747-0765.2007.00122.x" TargetMode="External"/><Relationship Id="rId27" Type="http://schemas.openxmlformats.org/officeDocument/2006/relationships/hyperlink" Target="https://doi.org/10.20546/ijcmas.2017.612.224" TargetMode="External"/><Relationship Id="rId30" Type="http://schemas.openxmlformats.org/officeDocument/2006/relationships/hyperlink" Target="https://www.phytojournal.com/archives/2019/vol8issue6/PartAD/8-6-112-376.pdf" TargetMode="External"/><Relationship Id="rId35" Type="http://schemas.openxmlformats.org/officeDocument/2006/relationships/hyperlink" Target="https://www.publish.csiro.au/book/7833" TargetMode="External"/><Relationship Id="rId43" Type="http://schemas.openxmlformats.org/officeDocument/2006/relationships/hyperlink" Target="https://doi.org/10.3390/agronomy15020335" TargetMode="External"/><Relationship Id="rId48" Type="http://schemas.openxmlformats.org/officeDocument/2006/relationships/hyperlink" Target="https://doi.org/10.1007/s11368-019-02373-9" TargetMode="External"/><Relationship Id="rId56" Type="http://schemas.openxmlformats.org/officeDocument/2006/relationships/header" Target="header2.xml"/><Relationship Id="rId8" Type="http://schemas.microsoft.com/office/2011/relationships/commentsExtended" Target="commentsExtended.xml"/><Relationship Id="rId51" Type="http://schemas.openxmlformats.org/officeDocument/2006/relationships/hyperlink" Target="https://doi.org/10.3390/agriculture15212308" TargetMode="External"/><Relationship Id="rId3" Type="http://schemas.openxmlformats.org/officeDocument/2006/relationships/settings" Target="settings.xml"/><Relationship Id="rId12" Type="http://schemas.openxmlformats.org/officeDocument/2006/relationships/hyperlink" Target="https://doi.org/10.3389/fmicb.2022.938481" TargetMode="External"/><Relationship Id="rId17" Type="http://schemas.openxmlformats.org/officeDocument/2006/relationships/hyperlink" Target="https://doi.org/10.1016/j.soilbio.2012.11.009" TargetMode="External"/><Relationship Id="rId25" Type="http://schemas.openxmlformats.org/officeDocument/2006/relationships/hyperlink" Target="https://doi.org/10.33545/26180723.2024.v7.i4Sa.517" TargetMode="External"/><Relationship Id="rId33" Type="http://schemas.openxmlformats.org/officeDocument/2006/relationships/hyperlink" Target="https://doi.org/10.37273/chesci.cs205205338" TargetMode="External"/><Relationship Id="rId38" Type="http://schemas.openxmlformats.org/officeDocument/2006/relationships/hyperlink" Target="https://doi.org/10.3390/plants12223790" TargetMode="External"/><Relationship Id="rId46" Type="http://schemas.openxmlformats.org/officeDocument/2006/relationships/hyperlink" Target="https://www.currentscience.ac.in/archive.htm" TargetMode="External"/><Relationship Id="rId59" Type="http://schemas.microsoft.com/office/2011/relationships/people" Target="people.xml"/><Relationship Id="rId20" Type="http://schemas.openxmlformats.org/officeDocument/2006/relationships/hyperlink" Target="https://doi.org/10.1080/03650340.2017.1308491" TargetMode="External"/><Relationship Id="rId41" Type="http://schemas.openxmlformats.org/officeDocument/2006/relationships/hyperlink" Target="https://doi.org/10.1007/s10705-007-9139-x" TargetMode="External"/><Relationship Id="rId54" Type="http://schemas.openxmlformats.org/officeDocument/2006/relationships/hyperlink" Target="https://doi.org/10.17221/91/2019-SW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97/00010694-194501000-00006" TargetMode="External"/><Relationship Id="rId23" Type="http://schemas.openxmlformats.org/officeDocument/2006/relationships/hyperlink" Target="https://doi.org/10.1007/s44279-025-00183-x" TargetMode="External"/><Relationship Id="rId28" Type="http://schemas.openxmlformats.org/officeDocument/2006/relationships/hyperlink" Target="https://doi.org/10.17221/348/2022-PSE" TargetMode="External"/><Relationship Id="rId36" Type="http://schemas.openxmlformats.org/officeDocument/2006/relationships/hyperlink" Target="https://www.novapublishers.com/catalog/product_info.php?products_id=26000" TargetMode="External"/><Relationship Id="rId49" Type="http://schemas.openxmlformats.org/officeDocument/2006/relationships/hyperlink" Target="https://doi.org/10.3389/fsufs.2020.00030" TargetMode="External"/><Relationship Id="rId57" Type="http://schemas.openxmlformats.org/officeDocument/2006/relationships/header" Target="header3.xml"/><Relationship Id="rId10" Type="http://schemas.microsoft.com/office/2018/08/relationships/commentsExtensible" Target="commentsExtensible.xml"/><Relationship Id="rId31" Type="http://schemas.openxmlformats.org/officeDocument/2006/relationships/hyperlink" Target="https://www.elsevier.com/books/methods-in-applied-soil-microbiology-and-biochemistry/alef/978-0-12-513840-6" TargetMode="External"/><Relationship Id="rId44" Type="http://schemas.openxmlformats.org/officeDocument/2006/relationships/hyperlink" Target="https://doi.org/10.9734/ijpss/2024/v36i125244" TargetMode="External"/><Relationship Id="rId52" Type="http://schemas.openxmlformats.org/officeDocument/2006/relationships/hyperlink" Target="https://doi.org/10.3390/nitrogen6030086"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15</Pages>
  <Words>5449</Words>
  <Characters>31062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Dell2</dc:creator>
  <cp:lastModifiedBy>Dr. Tanko</cp:lastModifiedBy>
  <cp:revision>10</cp:revision>
  <cp:lastPrinted>2025-12-02T05:52:00Z</cp:lastPrinted>
  <dcterms:created xsi:type="dcterms:W3CDTF">2025-12-02T05:52:00Z</dcterms:created>
  <dcterms:modified xsi:type="dcterms:W3CDTF">2025-12-05T05:09:00Z</dcterms:modified>
</cp:coreProperties>
</file>