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96" w:rsidRDefault="00792AD1">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Comparative Analysis of Institutional Credit Flow to Agriculture and Horticulture Sector: A Case Study in Mysuru District</w:t>
      </w:r>
    </w:p>
    <w:p w:rsidR="00815C43" w:rsidRDefault="00815C43">
      <w:pPr>
        <w:pStyle w:val="NormalWeb"/>
        <w:spacing w:line="276" w:lineRule="auto"/>
        <w:jc w:val="both"/>
        <w:rPr>
          <w:rStyle w:val="Strong"/>
          <w:rFonts w:eastAsiaTheme="majorEastAsia"/>
          <w:color w:val="000000"/>
        </w:rPr>
      </w:pPr>
    </w:p>
    <w:p w:rsidR="00626896" w:rsidRDefault="00792AD1">
      <w:pPr>
        <w:pStyle w:val="NormalWeb"/>
        <w:spacing w:line="276" w:lineRule="auto"/>
        <w:jc w:val="both"/>
        <w:rPr>
          <w:color w:val="000000"/>
        </w:rPr>
      </w:pPr>
      <w:bookmarkStart w:id="0" w:name="_GoBack"/>
      <w:bookmarkEnd w:id="0"/>
      <w:r>
        <w:rPr>
          <w:rStyle w:val="Strong"/>
          <w:rFonts w:eastAsiaTheme="majorEastAsia"/>
          <w:color w:val="000000"/>
        </w:rPr>
        <w:t>Abstract</w:t>
      </w:r>
    </w:p>
    <w:p w:rsidR="00626896" w:rsidRDefault="00792AD1">
      <w:pPr>
        <w:pStyle w:val="NormalWeb"/>
        <w:spacing w:line="276" w:lineRule="auto"/>
        <w:ind w:firstLine="720"/>
        <w:jc w:val="both"/>
        <w:rPr>
          <w:rFonts w:eastAsiaTheme="majorEastAsia"/>
          <w:b/>
          <w:bCs/>
          <w:color w:val="000000"/>
        </w:rPr>
      </w:pPr>
      <w:r>
        <w:rPr>
          <w:color w:val="000000"/>
        </w:rPr>
        <w:t>Agriculture and horticulture farming require substantial investments, which are generally met through various sources of credit. Among these, institutional credit is regarded as the most effective and reliable source for the farming community. Credit is considered a crucial input for agricultural development, enabling farmers to make new investments and adopt improved technologies, thereby enhancing their socio-economic status. The study revealed that horticulture farmers earn a higher average annual income (₹1, 19,416) compared to agriculture farmers (₹74,567). It was also observed that a majority of horticulture farmers belong to the small (45%) and medium (40%) categories, indicating that horticulture contributes significantly to both income generation and nutritional security.</w:t>
      </w:r>
    </w:p>
    <w:p w:rsidR="00626896" w:rsidRDefault="00792AD1">
      <w:pPr>
        <w:pStyle w:val="NormalWeb"/>
        <w:spacing w:line="276" w:lineRule="auto"/>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Institutional credit, Agriculture, Horticulture, Farming, Socio-economic status</w:t>
      </w:r>
    </w:p>
    <w:p w:rsidR="00626896" w:rsidRDefault="00792AD1">
      <w:pPr>
        <w:pStyle w:val="NormalWeb"/>
        <w:spacing w:line="276" w:lineRule="auto"/>
        <w:jc w:val="both"/>
        <w:rPr>
          <w:color w:val="000000"/>
        </w:rPr>
      </w:pPr>
      <w:r>
        <w:rPr>
          <w:rStyle w:val="Strong"/>
          <w:rFonts w:eastAsiaTheme="majorEastAsia"/>
          <w:color w:val="000000"/>
        </w:rPr>
        <w:t>Introduction</w:t>
      </w:r>
    </w:p>
    <w:p w:rsidR="00626896" w:rsidRDefault="00792AD1">
      <w:pPr>
        <w:pStyle w:val="NormalWeb"/>
        <w:spacing w:line="276" w:lineRule="auto"/>
        <w:ind w:firstLine="720"/>
        <w:jc w:val="both"/>
        <w:rPr>
          <w:color w:val="000000"/>
        </w:rPr>
      </w:pPr>
      <w:r>
        <w:rPr>
          <w:color w:val="000000"/>
        </w:rPr>
        <w:t>Credit is considered as one of the most critical inputs for agricultural development as it enables farmers to undertake new investments and adopt improved technologies, thereby enhancing productivity and socio-economic well-</w:t>
      </w:r>
      <w:r w:rsidRPr="0020791B">
        <w:rPr>
          <w:color w:val="000000"/>
        </w:rPr>
        <w:t>being (Ademola Ayodele, 2019).</w:t>
      </w:r>
      <w:r>
        <w:rPr>
          <w:color w:val="000000"/>
        </w:rPr>
        <w:t xml:space="preserve"> However, in practice, credit itself has often become a source of concern for farmers due to issues related to poor repayment and mounting debt. To address these challenges, several institutional agencies have been actively involved in providing credit to the farming community, which has generally proven to be </w:t>
      </w:r>
      <w:r w:rsidRPr="0020791B">
        <w:rPr>
          <w:color w:val="000000"/>
        </w:rPr>
        <w:t>satisfactory (WakilurRahaman, 2011). D</w:t>
      </w:r>
      <w:r>
        <w:rPr>
          <w:color w:val="000000"/>
        </w:rPr>
        <w:t>espite this, the continued dominance of moneylenders in rural areas remains a serious issue, undermining the effectiveness of institutional credit systems.</w:t>
      </w:r>
    </w:p>
    <w:p w:rsidR="00626896" w:rsidRDefault="00792AD1">
      <w:pPr>
        <w:pStyle w:val="NormalWeb"/>
        <w:spacing w:line="276" w:lineRule="auto"/>
        <w:ind w:firstLine="720"/>
        <w:jc w:val="both"/>
        <w:rPr>
          <w:color w:val="000000"/>
        </w:rPr>
      </w:pPr>
      <w:r>
        <w:rPr>
          <w:color w:val="000000"/>
        </w:rPr>
        <w:t>In this context, the present study aims to analyze the flow of institutional credit to the agriculture and horticulture sectors in Mysuru district. Since both agriculture and horticulture require substantial investment, access to adequate and timely credit plays a crucial role in improving farm productivity and sustainability. The study specifically seeks to estimate the quantum of loans issued to the agricultural and horticultural sectors and to assess the disbursement pattern of credit across various farm activities in Mysuru district.</w:t>
      </w:r>
    </w:p>
    <w:p w:rsidR="00626896" w:rsidRDefault="00792AD1">
      <w:pPr>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Methodology</w:t>
      </w: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is based on both primary and secondary data. Secondary data on credit disbursement for the Mysuru district were collected from the Lead Bank of </w:t>
      </w:r>
      <w:r w:rsidRPr="006B416D">
        <w:rPr>
          <w:rFonts w:ascii="Times New Roman" w:hAnsi="Times New Roman" w:cs="Times New Roman"/>
          <w:color w:val="000000"/>
          <w:sz w:val="24"/>
          <w:szCs w:val="24"/>
        </w:rPr>
        <w:t xml:space="preserve">Mysuru (State Bank </w:t>
      </w:r>
      <w:r w:rsidRPr="006B416D">
        <w:rPr>
          <w:rFonts w:ascii="Times New Roman" w:hAnsi="Times New Roman" w:cs="Times New Roman"/>
          <w:color w:val="000000"/>
          <w:sz w:val="24"/>
          <w:szCs w:val="24"/>
        </w:rPr>
        <w:lastRenderedPageBreak/>
        <w:t>of Mysuru). Primary</w:t>
      </w:r>
      <w:r>
        <w:rPr>
          <w:rFonts w:ascii="Times New Roman" w:hAnsi="Times New Roman" w:cs="Times New Roman"/>
          <w:color w:val="000000"/>
          <w:sz w:val="24"/>
          <w:szCs w:val="24"/>
        </w:rPr>
        <w:t xml:space="preserve"> data were obtained from a sample of 66 farmers to assess the disbursement of credit across various farm activities, repayment patterns and the problems encountered in loan repayment. Based on their cropping patterns, the respondents were categorized into two groups: agriculture farmers and horticulture farmers. The collected data were analyzed using simple statistical tools such as frequency, percentages and averages to derive meaningful conclusions.</w:t>
      </w:r>
    </w:p>
    <w:p w:rsidR="00626896" w:rsidRDefault="00792AD1">
      <w:pPr>
        <w:jc w:val="both"/>
        <w:rPr>
          <w:rFonts w:ascii="Times New Roman" w:hAnsi="Times New Roman" w:cs="Times New Roman"/>
          <w:b/>
          <w:sz w:val="24"/>
          <w:szCs w:val="24"/>
        </w:rPr>
      </w:pPr>
      <w:r>
        <w:rPr>
          <w:rFonts w:ascii="Times New Roman" w:hAnsi="Times New Roman" w:cs="Times New Roman"/>
          <w:b/>
          <w:sz w:val="24"/>
          <w:szCs w:val="24"/>
        </w:rPr>
        <w:t xml:space="preserve">Results &amp; Discussion: </w:t>
      </w:r>
      <w:r>
        <w:rPr>
          <w:rFonts w:ascii="Times New Roman" w:hAnsi="Times New Roman" w:cs="Times New Roman"/>
          <w:color w:val="000000"/>
          <w:sz w:val="24"/>
          <w:szCs w:val="24"/>
        </w:rPr>
        <w:t>The findings from the credit plan analysis and the assessment of farmers’ status are presented below.</w:t>
      </w:r>
    </w:p>
    <w:p w:rsidR="00626896" w:rsidRDefault="00792AD1">
      <w:pPr>
        <w:pStyle w:val="NoSpacing"/>
        <w:spacing w:line="276" w:lineRule="auto"/>
        <w:ind w:left="1080" w:hanging="1080"/>
        <w:jc w:val="both"/>
        <w:rPr>
          <w:rFonts w:ascii="Times New Roman" w:hAnsi="Times New Roman" w:cs="Times New Roman"/>
          <w:b/>
          <w:sz w:val="24"/>
          <w:szCs w:val="24"/>
        </w:rPr>
      </w:pPr>
      <w:r>
        <w:rPr>
          <w:rFonts w:ascii="Times New Roman" w:hAnsi="Times New Roman" w:cs="Times New Roman"/>
          <w:b/>
          <w:sz w:val="24"/>
          <w:szCs w:val="24"/>
        </w:rPr>
        <w:t>Table 1: Total Credit Allocation to Agriculture, Small-Scale Industries, Trade, and Servicesin Mysore District</w:t>
      </w:r>
    </w:p>
    <w:tbl>
      <w:tblPr>
        <w:tblW w:w="10008" w:type="dxa"/>
        <w:tblLook w:val="04A0"/>
      </w:tblPr>
      <w:tblGrid>
        <w:gridCol w:w="648"/>
        <w:gridCol w:w="2628"/>
        <w:gridCol w:w="1193"/>
        <w:gridCol w:w="1110"/>
        <w:gridCol w:w="1110"/>
        <w:gridCol w:w="1076"/>
        <w:gridCol w:w="1110"/>
        <w:gridCol w:w="1133"/>
      </w:tblGrid>
      <w:tr w:rsidR="00626896">
        <w:trPr>
          <w:trHeight w:val="315"/>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Sl. #</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Subject</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2012-13</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2013-14</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2014-15</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2015-16</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2016-17</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2017-18</w:t>
            </w:r>
          </w:p>
        </w:tc>
      </w:tr>
      <w:tr w:rsidR="00626896">
        <w:trPr>
          <w:trHeight w:val="955"/>
        </w:trPr>
        <w:tc>
          <w:tcPr>
            <w:tcW w:w="6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jc w:val="center"/>
              <w:rPr>
                <w:rFonts w:ascii="Times New Roman" w:eastAsia="Times New Roman" w:hAnsi="Times New Roman" w:cs="Times New Roman"/>
                <w:b/>
                <w:bCs/>
                <w:color w:val="000000"/>
                <w:sz w:val="24"/>
                <w:szCs w:val="24"/>
              </w:rPr>
            </w:pPr>
          </w:p>
        </w:tc>
        <w:tc>
          <w:tcPr>
            <w:tcW w:w="26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jc w:val="center"/>
              <w:rPr>
                <w:rFonts w:ascii="Times New Roman" w:eastAsia="Times New Roman" w:hAnsi="Times New Roman" w:cs="Times New Roman"/>
                <w:b/>
                <w:bCs/>
                <w:color w:val="000000"/>
                <w:sz w:val="24"/>
                <w:szCs w:val="24"/>
              </w:rPr>
            </w:pP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r>
      <w:tr w:rsidR="00626896">
        <w:trPr>
          <w:trHeight w:val="315"/>
        </w:trPr>
        <w:tc>
          <w:tcPr>
            <w:tcW w:w="648" w:type="dxa"/>
            <w:tcBorders>
              <w:top w:val="nil"/>
              <w:left w:val="single" w:sz="4" w:space="0" w:color="auto"/>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28" w:type="dxa"/>
            <w:tcBorders>
              <w:top w:val="single" w:sz="4" w:space="0" w:color="auto"/>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Outlay</w:t>
            </w:r>
          </w:p>
        </w:tc>
        <w:tc>
          <w:tcPr>
            <w:tcW w:w="1193"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3123.62</w:t>
            </w:r>
          </w:p>
        </w:tc>
        <w:tc>
          <w:tcPr>
            <w:tcW w:w="1110"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3802.6</w:t>
            </w:r>
          </w:p>
        </w:tc>
        <w:tc>
          <w:tcPr>
            <w:tcW w:w="1110"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4454.40</w:t>
            </w:r>
          </w:p>
        </w:tc>
        <w:tc>
          <w:tcPr>
            <w:tcW w:w="1076"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5183.80</w:t>
            </w:r>
          </w:p>
        </w:tc>
        <w:tc>
          <w:tcPr>
            <w:tcW w:w="1110"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6233.00</w:t>
            </w:r>
          </w:p>
        </w:tc>
        <w:tc>
          <w:tcPr>
            <w:tcW w:w="1133" w:type="dxa"/>
            <w:tcBorders>
              <w:top w:val="single" w:sz="4" w:space="0" w:color="auto"/>
              <w:left w:val="nil"/>
              <w:bottom w:val="single" w:sz="4" w:space="0" w:color="auto"/>
              <w:right w:val="single" w:sz="4" w:space="0" w:color="auto"/>
            </w:tcBorders>
          </w:tcPr>
          <w:p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7357.00</w:t>
            </w:r>
          </w:p>
        </w:tc>
      </w:tr>
      <w:tr w:rsidR="00626896">
        <w:trPr>
          <w:trHeight w:val="267"/>
        </w:trPr>
        <w:tc>
          <w:tcPr>
            <w:tcW w:w="648" w:type="dxa"/>
            <w:vMerge w:val="restart"/>
            <w:tcBorders>
              <w:top w:val="nil"/>
              <w:left w:val="single" w:sz="4" w:space="0" w:color="auto"/>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60" w:type="dxa"/>
            <w:gridSpan w:val="7"/>
            <w:tcBorders>
              <w:top w:val="single" w:sz="4" w:space="0" w:color="auto"/>
              <w:left w:val="nil"/>
              <w:bottom w:val="single" w:sz="4" w:space="0" w:color="auto"/>
              <w:right w:val="single" w:sz="4" w:space="0" w:color="auto"/>
            </w:tcBorders>
          </w:tcPr>
          <w:p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Sector-wise Allocation </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Agriculture</w:t>
            </w:r>
          </w:p>
        </w:tc>
        <w:tc>
          <w:tcPr>
            <w:tcW w:w="1193"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w:t>
            </w:r>
          </w:p>
        </w:tc>
        <w:tc>
          <w:tcPr>
            <w:tcW w:w="1110"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76"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3" w:type="dxa"/>
            <w:tcBorders>
              <w:top w:val="nil"/>
              <w:left w:val="nil"/>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 Crop Loans</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1059.55</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1360.40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1472.44</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1822.97</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2187.00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2520.00</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ii) Term Loans</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280.50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376.00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657.72</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676.75</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792.00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969.00</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Total </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1340.05</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1736.40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2130.16</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2499.72</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2979.00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3489.00</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S.S.I.</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686.62</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829.60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955.80</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1157.45</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1414.00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1704.00</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spacing w:after="0"/>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Trade and Services</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1096.95</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1236.60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1368.44</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1526.63</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1840.00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2164.00</w:t>
            </w:r>
          </w:p>
        </w:tc>
      </w:tr>
      <w:tr w:rsidR="00626896">
        <w:trPr>
          <w:trHeight w:val="315"/>
        </w:trPr>
        <w:tc>
          <w:tcPr>
            <w:tcW w:w="648" w:type="dxa"/>
            <w:vMerge/>
            <w:tcBorders>
              <w:top w:val="nil"/>
              <w:left w:val="single" w:sz="4" w:space="0" w:color="auto"/>
              <w:bottom w:val="single" w:sz="4" w:space="0" w:color="auto"/>
              <w:right w:val="single" w:sz="4" w:space="0" w:color="auto"/>
            </w:tcBorders>
          </w:tcPr>
          <w:p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19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3123.62</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3802.60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4454.40</w:t>
            </w:r>
          </w:p>
        </w:tc>
        <w:tc>
          <w:tcPr>
            <w:tcW w:w="1076"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5183.80</w:t>
            </w:r>
          </w:p>
        </w:tc>
        <w:tc>
          <w:tcPr>
            <w:tcW w:w="1110"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6233.00</w:t>
            </w:r>
          </w:p>
        </w:tc>
        <w:tc>
          <w:tcPr>
            <w:tcW w:w="1133" w:type="dxa"/>
            <w:tcBorders>
              <w:top w:val="nil"/>
              <w:left w:val="nil"/>
              <w:bottom w:val="single" w:sz="4" w:space="0" w:color="auto"/>
              <w:right w:val="single" w:sz="4" w:space="0" w:color="auto"/>
            </w:tcBorders>
          </w:tcPr>
          <w:p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7357.00</w:t>
            </w:r>
          </w:p>
        </w:tc>
      </w:tr>
    </w:tbl>
    <w:p w:rsidR="00626896" w:rsidRDefault="00792AD1">
      <w:pPr>
        <w:jc w:val="both"/>
        <w:rPr>
          <w:rFonts w:ascii="Times New Roman" w:hAnsi="Times New Roman" w:cs="Times New Roman"/>
          <w:b/>
          <w:sz w:val="24"/>
          <w:szCs w:val="24"/>
        </w:rPr>
      </w:pPr>
      <w:r w:rsidRPr="0020791B">
        <w:rPr>
          <w:rFonts w:ascii="Times New Roman" w:hAnsi="Times New Roman" w:cs="Times New Roman"/>
          <w:b/>
          <w:i/>
          <w:sz w:val="24"/>
          <w:szCs w:val="24"/>
        </w:rPr>
        <w:t>Source</w:t>
      </w:r>
      <w:r w:rsidRPr="0020791B">
        <w:rPr>
          <w:rFonts w:ascii="Times New Roman" w:hAnsi="Times New Roman" w:cs="Times New Roman"/>
          <w:sz w:val="24"/>
          <w:szCs w:val="24"/>
        </w:rPr>
        <w:t>: District Credit Plan Mysore District at a Glance, Lead Bank Mysuru</w:t>
      </w: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1 that the total amount of credit allocated to the agriculture sector, small-scale industries, trade and service sectors in Mysuru district has shown a consistent increase over the years. This trend reflects the growing dependence of people on credit for various economic activities, thereby encouraging greater investment across sectors. Within the agricultural sector, credit is primarily categorized into crop loans and term loans, both of which exhibit a rising trend over the study period. Notably, following the implementation of the</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Farm Credit Package</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by the Government of India in 2004, the flow of institutional credit to agriculture has witnessed a significant upsurge. This is evident from the increase in total agricultural credit from ₹1,340 crore in 2012–13 to ₹3,489 crore in 2017–</w:t>
      </w:r>
      <w:r w:rsidRPr="0020791B">
        <w:rPr>
          <w:rFonts w:ascii="Times New Roman" w:hAnsi="Times New Roman" w:cs="Times New Roman"/>
          <w:color w:val="000000"/>
          <w:sz w:val="24"/>
          <w:szCs w:val="24"/>
        </w:rPr>
        <w:t>18 (Anjani Kumar</w:t>
      </w:r>
      <w:r w:rsidRPr="0020791B">
        <w:rPr>
          <w:rStyle w:val="apple-converted-space"/>
          <w:rFonts w:ascii="Times New Roman" w:hAnsi="Times New Roman" w:cs="Times New Roman"/>
          <w:color w:val="000000"/>
          <w:sz w:val="24"/>
          <w:szCs w:val="24"/>
        </w:rPr>
        <w:t> </w:t>
      </w:r>
      <w:r w:rsidRPr="0020791B">
        <w:rPr>
          <w:rStyle w:val="Emphasis"/>
          <w:rFonts w:ascii="Times New Roman" w:hAnsi="Times New Roman" w:cs="Times New Roman"/>
          <w:color w:val="000000"/>
          <w:sz w:val="24"/>
          <w:szCs w:val="24"/>
        </w:rPr>
        <w:t>et al.</w:t>
      </w:r>
      <w:r w:rsidRPr="0020791B">
        <w:rPr>
          <w:rFonts w:ascii="Times New Roman" w:hAnsi="Times New Roman" w:cs="Times New Roman"/>
          <w:color w:val="000000"/>
          <w:sz w:val="24"/>
          <w:szCs w:val="24"/>
        </w:rPr>
        <w:t>, 2013). The</w:t>
      </w:r>
      <w:r>
        <w:rPr>
          <w:rFonts w:ascii="Times New Roman" w:hAnsi="Times New Roman" w:cs="Times New Roman"/>
          <w:color w:val="000000"/>
          <w:sz w:val="24"/>
          <w:szCs w:val="24"/>
        </w:rPr>
        <w:t xml:space="preserve"> enhanced disbursement of agricultural credit has played a crucial role in enabling farmers to adopt innovative technologies, improve agricultural practices and undertake farm development activities, thereby contributing to higher productivity and income levels.</w:t>
      </w:r>
    </w:p>
    <w:p w:rsidR="00626896" w:rsidRDefault="00792AD1">
      <w:pPr>
        <w:pStyle w:val="NoSpacing"/>
        <w:spacing w:line="276" w:lineRule="auto"/>
        <w:ind w:left="990" w:hanging="990"/>
        <w:jc w:val="both"/>
        <w:rPr>
          <w:rFonts w:ascii="Times New Roman" w:hAnsi="Times New Roman" w:cs="Times New Roman"/>
          <w:b/>
          <w:sz w:val="24"/>
          <w:szCs w:val="24"/>
        </w:rPr>
      </w:pPr>
      <w:r>
        <w:rPr>
          <w:rFonts w:ascii="Times New Roman" w:hAnsi="Times New Roman" w:cs="Times New Roman"/>
          <w:b/>
          <w:sz w:val="24"/>
          <w:szCs w:val="24"/>
        </w:rPr>
        <w:t>Table 2: Sector-wise Disbursement and Share of Agricultural and Horticultural Credit in Mysuru District</w:t>
      </w:r>
    </w:p>
    <w:tbl>
      <w:tblPr>
        <w:tblpPr w:leftFromText="180" w:rightFromText="180" w:vertAnchor="text" w:horzAnchor="margin" w:tblpY="168"/>
        <w:tblW w:w="10275" w:type="dxa"/>
        <w:tblLayout w:type="fixed"/>
        <w:tblLook w:val="04A0"/>
      </w:tblPr>
      <w:tblGrid>
        <w:gridCol w:w="614"/>
        <w:gridCol w:w="2743"/>
        <w:gridCol w:w="1134"/>
        <w:gridCol w:w="1172"/>
        <w:gridCol w:w="1258"/>
        <w:gridCol w:w="1118"/>
        <w:gridCol w:w="1118"/>
        <w:gridCol w:w="1118"/>
      </w:tblGrid>
      <w:tr w:rsidR="00626896">
        <w:trPr>
          <w:trHeight w:val="320"/>
        </w:trPr>
        <w:tc>
          <w:tcPr>
            <w:tcW w:w="6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Sl. #</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Sector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ind w:right="-12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2012-13</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ind w:right="-134" w:hanging="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2013-14</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ind w:left="-82" w:right="-1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2014-15</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2015-16</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2016-17</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2017-18</w:t>
            </w:r>
          </w:p>
        </w:tc>
      </w:tr>
      <w:tr w:rsidR="00626896">
        <w:trPr>
          <w:trHeight w:val="32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ind w:left="-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626896">
        <w:trPr>
          <w:trHeight w:val="63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9661" w:type="dxa"/>
            <w:gridSpan w:val="7"/>
            <w:tcBorders>
              <w:top w:val="nil"/>
              <w:left w:val="nil"/>
              <w:bottom w:val="single" w:sz="4" w:space="0" w:color="auto"/>
              <w:right w:val="single" w:sz="4" w:space="0" w:color="auto"/>
            </w:tcBorders>
            <w:vAlign w:val="center"/>
          </w:tcPr>
          <w:p w:rsidR="00626896" w:rsidRDefault="00792AD1">
            <w:pPr>
              <w:pStyle w:val="NoSpacing"/>
              <w:rPr>
                <w:rFonts w:ascii="Times New Roman" w:hAnsi="Times New Roman" w:cs="Times New Roman"/>
              </w:rPr>
            </w:pPr>
            <w:r>
              <w:rPr>
                <w:rFonts w:ascii="Times New Roman" w:eastAsia="Times New Roman" w:hAnsi="Times New Roman" w:cs="Times New Roman"/>
                <w:b/>
                <w:color w:val="000000"/>
              </w:rPr>
              <w:t>Term Loan</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Minor Irrigation</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3347.68</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3408.40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3865.90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5500.00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Land Development</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5539.68</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7950.40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9624.20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11500.00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13800.00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Farm Mechanization</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4086.40</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5672.00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7133.10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10500.00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Plantation/Horticulture</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6335.84</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7730.80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9561.04</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10000.00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11700.00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14000.00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Husbandry/Dairy</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3662.20</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2725.60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4884.00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10500.00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17800.00</w:t>
            </w:r>
          </w:p>
        </w:tc>
      </w:tr>
      <w:tr w:rsidR="00626896">
        <w:trPr>
          <w:trHeight w:val="63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Husbandry/Poultry &amp; other birds</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1072.08</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1958.56</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7050.42</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9800.00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Husbandry/others</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3463.00</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7181.64</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1419.66</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2700.00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Fisheries</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52.72</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83.20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511.20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800.00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Forestry and Wasteland</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221.60</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340.00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446.00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700.00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Sheep Rearing</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268.80</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549.40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9600.00</w:t>
            </w:r>
          </w:p>
        </w:tc>
      </w:tr>
      <w:tr w:rsidR="00626896">
        <w:trPr>
          <w:trHeight w:val="305"/>
        </w:trPr>
        <w:tc>
          <w:tcPr>
            <w:tcW w:w="614"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43"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Storage &amp; Godown</w:t>
            </w:r>
          </w:p>
        </w:tc>
        <w:tc>
          <w:tcPr>
            <w:tcW w:w="1134"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15163.00</w:t>
            </w:r>
          </w:p>
        </w:tc>
        <w:tc>
          <w:tcPr>
            <w:tcW w:w="1118"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9000.00</w:t>
            </w:r>
          </w:p>
        </w:tc>
        <w:tc>
          <w:tcPr>
            <w:tcW w:w="1118" w:type="dxa"/>
            <w:vMerge w:val="restart"/>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single" w:sz="4" w:space="0" w:color="auto"/>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2200.00</w:t>
            </w:r>
          </w:p>
        </w:tc>
      </w:tr>
      <w:tr w:rsidR="00626896">
        <w:trPr>
          <w:trHeight w:val="305"/>
        </w:trPr>
        <w:tc>
          <w:tcPr>
            <w:tcW w:w="614"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right"/>
              <w:rPr>
                <w:rFonts w:ascii="Times New Roman" w:eastAsia="Times New Roman" w:hAnsi="Times New Roman" w:cs="Times New Roman"/>
                <w:color w:val="000000"/>
              </w:rPr>
            </w:pPr>
          </w:p>
        </w:tc>
        <w:tc>
          <w:tcPr>
            <w:tcW w:w="1172"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right"/>
              <w:rPr>
                <w:rFonts w:ascii="Times New Roman" w:eastAsia="Times New Roman" w:hAnsi="Times New Roman" w:cs="Times New Roman"/>
                <w:color w:val="000000"/>
              </w:rPr>
            </w:pPr>
          </w:p>
        </w:tc>
        <w:tc>
          <w:tcPr>
            <w:tcW w:w="1258"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right"/>
              <w:rPr>
                <w:rFonts w:ascii="Times New Roman" w:eastAsia="Times New Roman" w:hAnsi="Times New Roman" w:cs="Times New Roman"/>
                <w:color w:val="000000"/>
              </w:rPr>
            </w:pPr>
          </w:p>
        </w:tc>
        <w:tc>
          <w:tcPr>
            <w:tcW w:w="1118" w:type="dxa"/>
            <w:tcBorders>
              <w:top w:val="nil"/>
              <w:left w:val="single" w:sz="4" w:space="0" w:color="auto"/>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9500.00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Agriculture Term loan</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6113.69</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6875.00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rPr>
            </w:pPr>
            <w:r>
              <w:rPr>
                <w:rFonts w:ascii="Times New Roman" w:hAnsi="Times New Roman" w:cs="Times New Roman"/>
              </w:rPr>
              <w:t>-</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Term Loan  Total</w:t>
            </w:r>
          </w:p>
        </w:tc>
        <w:tc>
          <w:tcPr>
            <w:tcW w:w="1134"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28050.00</w:t>
            </w:r>
          </w:p>
        </w:tc>
        <w:tc>
          <w:tcPr>
            <w:tcW w:w="1172"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37600.00</w:t>
            </w:r>
          </w:p>
        </w:tc>
        <w:tc>
          <w:tcPr>
            <w:tcW w:w="125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65772.21</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67675.00</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79200.00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Cs/>
              </w:rPr>
            </w:pPr>
            <w:r>
              <w:rPr>
                <w:rFonts w:ascii="Times New Roman" w:hAnsi="Times New Roman" w:cs="Times New Roman"/>
                <w:bCs/>
              </w:rPr>
              <w:t>96900.00</w:t>
            </w:r>
          </w:p>
        </w:tc>
      </w:tr>
      <w:tr w:rsidR="00626896">
        <w:trPr>
          <w:trHeight w:val="320"/>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Crop Loan</w:t>
            </w:r>
          </w:p>
        </w:tc>
        <w:tc>
          <w:tcPr>
            <w:tcW w:w="1134"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105955.00</w:t>
            </w:r>
          </w:p>
        </w:tc>
        <w:tc>
          <w:tcPr>
            <w:tcW w:w="1172"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136040.00</w:t>
            </w:r>
          </w:p>
        </w:tc>
        <w:tc>
          <w:tcPr>
            <w:tcW w:w="125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147245.00</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182297.00</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218700.00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Cs/>
                <w:color w:val="000000" w:themeColor="text1"/>
              </w:rPr>
            </w:pPr>
            <w:r>
              <w:rPr>
                <w:rFonts w:ascii="Times New Roman" w:hAnsi="Times New Roman" w:cs="Times New Roman"/>
                <w:bCs/>
                <w:color w:val="000000" w:themeColor="text1"/>
              </w:rPr>
              <w:t>252000.00</w:t>
            </w:r>
          </w:p>
        </w:tc>
      </w:tr>
      <w:tr w:rsidR="00626896">
        <w:trPr>
          <w:trHeight w:val="756"/>
        </w:trPr>
        <w:tc>
          <w:tcPr>
            <w:tcW w:w="614" w:type="dxa"/>
            <w:tcBorders>
              <w:top w:val="nil"/>
              <w:left w:val="single" w:sz="4" w:space="0" w:color="auto"/>
              <w:bottom w:val="single" w:sz="4" w:space="0" w:color="auto"/>
              <w:right w:val="single" w:sz="4" w:space="0" w:color="auto"/>
            </w:tcBorders>
            <w:vAlign w:val="center"/>
          </w:tcPr>
          <w:p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w:t>
            </w: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Term loan+CropLoan=</w:t>
            </w:r>
          </w:p>
          <w:p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 (In lakhs)</w:t>
            </w:r>
          </w:p>
        </w:tc>
        <w:tc>
          <w:tcPr>
            <w:tcW w:w="1134"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134005.00</w:t>
            </w:r>
          </w:p>
        </w:tc>
        <w:tc>
          <w:tcPr>
            <w:tcW w:w="1172"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173640.00</w:t>
            </w:r>
          </w:p>
        </w:tc>
        <w:tc>
          <w:tcPr>
            <w:tcW w:w="125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213017.21</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249972.00</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348900.00</w:t>
            </w:r>
          </w:p>
        </w:tc>
      </w:tr>
      <w:tr w:rsidR="00626896">
        <w:trPr>
          <w:trHeight w:val="507"/>
        </w:trPr>
        <w:tc>
          <w:tcPr>
            <w:tcW w:w="614" w:type="dxa"/>
            <w:tcBorders>
              <w:top w:val="nil"/>
              <w:left w:val="single" w:sz="4" w:space="0" w:color="auto"/>
              <w:bottom w:val="single" w:sz="4" w:space="0" w:color="auto"/>
              <w:right w:val="single" w:sz="4" w:space="0" w:color="auto"/>
            </w:tcBorders>
            <w:noWrap/>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w:t>
            </w:r>
          </w:p>
          <w:p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color w:val="000000"/>
              </w:rPr>
              <w:t>(In crores)</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2130.16</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w:t>
            </w:r>
          </w:p>
        </w:tc>
      </w:tr>
      <w:tr w:rsidR="00626896">
        <w:trPr>
          <w:trHeight w:val="507"/>
        </w:trPr>
        <w:tc>
          <w:tcPr>
            <w:tcW w:w="614" w:type="dxa"/>
            <w:tcBorders>
              <w:top w:val="nil"/>
              <w:left w:val="single" w:sz="4" w:space="0" w:color="auto"/>
              <w:bottom w:val="single" w:sz="4" w:space="0" w:color="auto"/>
              <w:right w:val="single" w:sz="4" w:space="0" w:color="auto"/>
            </w:tcBorders>
            <w:noWrap/>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Total Outlay of Credit (crores)</w:t>
            </w:r>
          </w:p>
        </w:tc>
        <w:tc>
          <w:tcPr>
            <w:tcW w:w="1134"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3123.62</w:t>
            </w:r>
          </w:p>
        </w:tc>
        <w:tc>
          <w:tcPr>
            <w:tcW w:w="1172"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3802.60</w:t>
            </w:r>
          </w:p>
        </w:tc>
        <w:tc>
          <w:tcPr>
            <w:tcW w:w="125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4454.40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5183.80</w:t>
            </w:r>
          </w:p>
        </w:tc>
        <w:tc>
          <w:tcPr>
            <w:tcW w:w="1118" w:type="dxa"/>
            <w:tcBorders>
              <w:top w:val="nil"/>
              <w:left w:val="nil"/>
              <w:bottom w:val="single" w:sz="4" w:space="0" w:color="auto"/>
              <w:right w:val="single" w:sz="4" w:space="0" w:color="auto"/>
            </w:tcBorders>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6233.00</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7357.00</w:t>
            </w:r>
          </w:p>
        </w:tc>
      </w:tr>
      <w:tr w:rsidR="00626896">
        <w:trPr>
          <w:trHeight w:val="349"/>
        </w:trPr>
        <w:tc>
          <w:tcPr>
            <w:tcW w:w="614" w:type="dxa"/>
            <w:tcBorders>
              <w:top w:val="nil"/>
              <w:left w:val="single" w:sz="4" w:space="0" w:color="auto"/>
              <w:bottom w:val="single" w:sz="4" w:space="0" w:color="auto"/>
              <w:right w:val="single" w:sz="4" w:space="0" w:color="auto"/>
            </w:tcBorders>
            <w:noWrap/>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Share of Agril. Loan</w:t>
            </w:r>
          </w:p>
        </w:tc>
        <w:tc>
          <w:tcPr>
            <w:tcW w:w="1134"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42.90</w:t>
            </w:r>
          </w:p>
        </w:tc>
        <w:tc>
          <w:tcPr>
            <w:tcW w:w="1172"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45.66</w:t>
            </w:r>
          </w:p>
        </w:tc>
        <w:tc>
          <w:tcPr>
            <w:tcW w:w="125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47.82</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48.22</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47.79</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47.42</w:t>
            </w:r>
          </w:p>
        </w:tc>
      </w:tr>
      <w:tr w:rsidR="00626896">
        <w:trPr>
          <w:trHeight w:val="517"/>
        </w:trPr>
        <w:tc>
          <w:tcPr>
            <w:tcW w:w="614" w:type="dxa"/>
            <w:tcBorders>
              <w:top w:val="nil"/>
              <w:left w:val="single" w:sz="4" w:space="0" w:color="auto"/>
              <w:bottom w:val="single" w:sz="4" w:space="0" w:color="auto"/>
              <w:right w:val="single" w:sz="4" w:space="0" w:color="auto"/>
            </w:tcBorders>
            <w:noWrap/>
            <w:vAlign w:val="center"/>
          </w:tcPr>
          <w:p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Share of Plantation / Horticulture Loan</w:t>
            </w:r>
          </w:p>
        </w:tc>
        <w:tc>
          <w:tcPr>
            <w:tcW w:w="1134"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22.59</w:t>
            </w:r>
          </w:p>
        </w:tc>
        <w:tc>
          <w:tcPr>
            <w:tcW w:w="1172"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20.56</w:t>
            </w:r>
          </w:p>
        </w:tc>
        <w:tc>
          <w:tcPr>
            <w:tcW w:w="125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14.54</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14.78</w:t>
            </w:r>
          </w:p>
        </w:tc>
        <w:tc>
          <w:tcPr>
            <w:tcW w:w="1118" w:type="dxa"/>
            <w:tcBorders>
              <w:top w:val="nil"/>
              <w:left w:val="nil"/>
              <w:bottom w:val="single" w:sz="4" w:space="0" w:color="auto"/>
              <w:right w:val="single" w:sz="4" w:space="0" w:color="auto"/>
            </w:tcBorders>
            <w:noWrap/>
            <w:vAlign w:val="center"/>
          </w:tcPr>
          <w:p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14.77</w:t>
            </w:r>
          </w:p>
        </w:tc>
        <w:tc>
          <w:tcPr>
            <w:tcW w:w="1118" w:type="dxa"/>
            <w:tcBorders>
              <w:top w:val="nil"/>
              <w:left w:val="nil"/>
              <w:bottom w:val="single" w:sz="4" w:space="0" w:color="auto"/>
              <w:right w:val="single" w:sz="4" w:space="0" w:color="auto"/>
            </w:tcBorders>
            <w:vAlign w:val="center"/>
          </w:tcPr>
          <w:p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14.45</w:t>
            </w:r>
          </w:p>
        </w:tc>
      </w:tr>
    </w:tbl>
    <w:p w:rsidR="00626896" w:rsidRDefault="00626896">
      <w:pPr>
        <w:jc w:val="both"/>
        <w:rPr>
          <w:rFonts w:ascii="Times New Roman" w:hAnsi="Times New Roman" w:cs="Times New Roman"/>
          <w:sz w:val="24"/>
          <w:szCs w:val="24"/>
        </w:rPr>
      </w:pP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observed from Table 2 that the share of credit allocated to the agriculture sector has been increasing steadily over the years, accounting for around 48 per cent of the total credit outlay during the last four years. This upward trend highlights the growing demand for agricultural credit to meet farmers’ requirements for essential inputs such as seeds, fertilizers, pesticides and labour costs. In contrast, the disbursement of credit to the plantation and horticulture sectors has shown a declining trend. This may be attributed to the fact that horticultural and plantation loans are typically categorized as investment loans, which often </w:t>
      </w:r>
      <w:r>
        <w:rPr>
          <w:rFonts w:ascii="Times New Roman" w:hAnsi="Times New Roman" w:cs="Times New Roman"/>
          <w:color w:val="000000"/>
          <w:sz w:val="24"/>
          <w:szCs w:val="24"/>
        </w:rPr>
        <w:lastRenderedPageBreak/>
        <w:t>involve delayed returns and a lower repayment capacity. Consequently, financial institutions tend to limit credit flow to these sectors. This issue warrants attention, as strengthening institutional credit support to horticulture could enhance farmers’ income levels and contribute to nutritional security through diversified crop cultivation.</w:t>
      </w:r>
    </w:p>
    <w:p w:rsidR="00626896" w:rsidRDefault="00792AD1">
      <w:pPr>
        <w:ind w:left="1080" w:hanging="1080"/>
        <w:jc w:val="both"/>
        <w:rPr>
          <w:rFonts w:ascii="Times New Roman" w:hAnsi="Times New Roman" w:cs="Times New Roman"/>
          <w:b/>
          <w:sz w:val="24"/>
          <w:szCs w:val="24"/>
        </w:rPr>
      </w:pPr>
      <w:r>
        <w:rPr>
          <w:rFonts w:ascii="Times New Roman" w:hAnsi="Times New Roman" w:cs="Times New Roman"/>
          <w:b/>
          <w:sz w:val="24"/>
          <w:szCs w:val="24"/>
        </w:rPr>
        <w:t>Table 3: Socio-Economic Characteristics of Agriculture and Horticulture Farmers in Mysuru District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3250"/>
        <w:gridCol w:w="2160"/>
        <w:gridCol w:w="1800"/>
      </w:tblGrid>
      <w:tr w:rsidR="00626896">
        <w:trPr>
          <w:jc w:val="center"/>
        </w:trPr>
        <w:tc>
          <w:tcPr>
            <w:tcW w:w="890" w:type="dxa"/>
            <w:shd w:val="clear" w:color="auto" w:fill="D9D9D9" w:themeFill="background1" w:themeFillShade="D9"/>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Sl. #</w:t>
            </w:r>
          </w:p>
        </w:tc>
        <w:tc>
          <w:tcPr>
            <w:tcW w:w="3250" w:type="dxa"/>
            <w:shd w:val="clear" w:color="auto" w:fill="D9D9D9" w:themeFill="background1" w:themeFillShade="D9"/>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Details</w:t>
            </w:r>
          </w:p>
        </w:tc>
        <w:tc>
          <w:tcPr>
            <w:tcW w:w="2160" w:type="dxa"/>
            <w:shd w:val="clear" w:color="auto" w:fill="D9D9D9" w:themeFill="background1" w:themeFillShade="D9"/>
            <w:vAlign w:val="center"/>
          </w:tcPr>
          <w:p w:rsidR="00626896" w:rsidRDefault="00792AD1">
            <w:pPr>
              <w:pStyle w:val="NoSpacing"/>
              <w:jc w:val="center"/>
              <w:rPr>
                <w:rFonts w:ascii="Times New Roman" w:hAnsi="Times New Roman" w:cs="Times New Roman"/>
                <w:b/>
                <w:sz w:val="24"/>
                <w:szCs w:val="24"/>
              </w:rPr>
            </w:pPr>
            <w:bookmarkStart w:id="1" w:name="_Toc103789621"/>
            <w:bookmarkStart w:id="2" w:name="_Toc103834335"/>
            <w:r>
              <w:rPr>
                <w:rFonts w:ascii="Times New Roman" w:hAnsi="Times New Roman" w:cs="Times New Roman"/>
                <w:b/>
                <w:sz w:val="24"/>
                <w:szCs w:val="24"/>
              </w:rPr>
              <w:t>Horticulture</w:t>
            </w:r>
          </w:p>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Farmers</w:t>
            </w:r>
            <w:bookmarkEnd w:id="1"/>
            <w:bookmarkEnd w:id="2"/>
          </w:p>
        </w:tc>
        <w:tc>
          <w:tcPr>
            <w:tcW w:w="1800" w:type="dxa"/>
            <w:shd w:val="clear" w:color="auto" w:fill="D9D9D9" w:themeFill="background1" w:themeFillShade="D9"/>
            <w:vAlign w:val="center"/>
          </w:tcPr>
          <w:p w:rsidR="00626896" w:rsidRDefault="00792AD1">
            <w:pPr>
              <w:pStyle w:val="NoSpacing"/>
              <w:jc w:val="center"/>
              <w:rPr>
                <w:rFonts w:ascii="Times New Roman" w:hAnsi="Times New Roman" w:cs="Times New Roman"/>
                <w:b/>
                <w:sz w:val="24"/>
                <w:szCs w:val="24"/>
              </w:rPr>
            </w:pPr>
            <w:bookmarkStart w:id="3" w:name="_Toc103834336"/>
            <w:bookmarkStart w:id="4" w:name="_Toc103789622"/>
            <w:r>
              <w:rPr>
                <w:rFonts w:ascii="Times New Roman" w:hAnsi="Times New Roman" w:cs="Times New Roman"/>
                <w:b/>
                <w:sz w:val="24"/>
                <w:szCs w:val="24"/>
              </w:rPr>
              <w:t>Agriculture Farmers</w:t>
            </w:r>
            <w:bookmarkEnd w:id="3"/>
            <w:bookmarkEnd w:id="4"/>
          </w:p>
        </w:tc>
      </w:tr>
      <w:tr w:rsidR="00626896">
        <w:trPr>
          <w:trHeight w:val="224"/>
          <w:jc w:val="center"/>
        </w:trPr>
        <w:tc>
          <w:tcPr>
            <w:tcW w:w="890" w:type="dxa"/>
            <w:vAlign w:val="center"/>
          </w:tcPr>
          <w:p w:rsidR="00626896" w:rsidRDefault="00626896">
            <w:pPr>
              <w:pStyle w:val="NoSpacing"/>
              <w:jc w:val="center"/>
              <w:rPr>
                <w:rFonts w:ascii="Times New Roman" w:hAnsi="Times New Roman" w:cs="Times New Roman"/>
                <w:sz w:val="24"/>
                <w:szCs w:val="24"/>
              </w:rPr>
            </w:pPr>
          </w:p>
        </w:tc>
        <w:tc>
          <w:tcPr>
            <w:tcW w:w="3250" w:type="dxa"/>
            <w:vAlign w:val="center"/>
          </w:tcPr>
          <w:p w:rsidR="00626896" w:rsidRDefault="00792AD1">
            <w:pPr>
              <w:pStyle w:val="NoSpacing"/>
              <w:rPr>
                <w:rFonts w:ascii="Times New Roman" w:hAnsi="Times New Roman" w:cs="Times New Roman"/>
                <w:sz w:val="24"/>
                <w:szCs w:val="24"/>
              </w:rPr>
            </w:pPr>
            <w:bookmarkStart w:id="5" w:name="_Toc103834337"/>
            <w:bookmarkStart w:id="6" w:name="_Toc103789623"/>
            <w:r>
              <w:rPr>
                <w:rFonts w:ascii="Times New Roman" w:hAnsi="Times New Roman" w:cs="Times New Roman"/>
                <w:sz w:val="24"/>
                <w:szCs w:val="24"/>
              </w:rPr>
              <w:t>Number of farmers</w:t>
            </w:r>
            <w:bookmarkEnd w:id="5"/>
            <w:bookmarkEnd w:id="6"/>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Age (Yrs)</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48</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Literate (%)</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Family size (Nos)</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Total land holding size (Acres)</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Irrigated land</w:t>
            </w: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Dry land</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3.0</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2.5</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Bore wells per farmer</w:t>
            </w:r>
          </w:p>
        </w:tc>
        <w:tc>
          <w:tcPr>
            <w:tcW w:w="216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26896">
        <w:trPr>
          <w:trHeight w:val="278"/>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Average annual income (Rs.)</w:t>
            </w:r>
          </w:p>
        </w:tc>
        <w:tc>
          <w:tcPr>
            <w:tcW w:w="2160" w:type="dxa"/>
            <w:vAlign w:val="center"/>
          </w:tcPr>
          <w:p w:rsidR="00626896" w:rsidRDefault="00792AD1">
            <w:pPr>
              <w:pStyle w:val="NoSpacing"/>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1,19,416</w:t>
            </w:r>
          </w:p>
        </w:tc>
        <w:tc>
          <w:tcPr>
            <w:tcW w:w="180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74,567</w:t>
            </w:r>
          </w:p>
        </w:tc>
      </w:tr>
      <w:tr w:rsidR="00626896">
        <w:trPr>
          <w:jc w:val="center"/>
        </w:trPr>
        <w:tc>
          <w:tcPr>
            <w:tcW w:w="89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3250"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Category of farmers</w:t>
            </w: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Small</w:t>
            </w: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(1.25 to 2.5 acres wet land)</w:t>
            </w:r>
          </w:p>
          <w:p w:rsidR="00626896" w:rsidRDefault="00626896">
            <w:pPr>
              <w:pStyle w:val="NoSpacing"/>
              <w:rPr>
                <w:rFonts w:ascii="Times New Roman" w:hAnsi="Times New Roman" w:cs="Times New Roman"/>
                <w:sz w:val="24"/>
                <w:szCs w:val="24"/>
              </w:rPr>
            </w:pP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Medium</w:t>
            </w: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(2.5 to 5.0 acres wet land)</w:t>
            </w:r>
          </w:p>
          <w:p w:rsidR="00626896" w:rsidRDefault="00626896">
            <w:pPr>
              <w:pStyle w:val="NoSpacing"/>
              <w:rPr>
                <w:rFonts w:ascii="Times New Roman" w:hAnsi="Times New Roman" w:cs="Times New Roman"/>
                <w:sz w:val="24"/>
                <w:szCs w:val="24"/>
              </w:rPr>
            </w:pP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 Large</w:t>
            </w:r>
          </w:p>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(&gt;  5.0 acres wet land)</w:t>
            </w:r>
          </w:p>
        </w:tc>
        <w:tc>
          <w:tcPr>
            <w:tcW w:w="2160" w:type="dxa"/>
            <w:vAlign w:val="center"/>
          </w:tcPr>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13</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(39.39)</w:t>
            </w:r>
          </w:p>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05</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(15.15)</w:t>
            </w:r>
          </w:p>
        </w:tc>
        <w:tc>
          <w:tcPr>
            <w:tcW w:w="1800" w:type="dxa"/>
            <w:vAlign w:val="center"/>
          </w:tcPr>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(21.21)</w:t>
            </w:r>
          </w:p>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rsidR="00626896" w:rsidRDefault="00626896">
            <w:pPr>
              <w:pStyle w:val="NoSpacing"/>
              <w:jc w:val="center"/>
              <w:rPr>
                <w:rFonts w:ascii="Times New Roman" w:hAnsi="Times New Roman" w:cs="Times New Roman"/>
                <w:sz w:val="24"/>
                <w:szCs w:val="24"/>
              </w:rPr>
            </w:pP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11</w:t>
            </w:r>
          </w:p>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(33.33)</w:t>
            </w:r>
          </w:p>
        </w:tc>
      </w:tr>
    </w:tbl>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socio-economic status of farmers, as presented in Table 3, reveals that horticulture farmers earn a higher average annual income (₹1,19,416) compared to agriculture farmers (₹74,567). This suggests that horticultural activities not only generate greater income but also contribute to ensuring nutritional security for farming households. Furthermore, the data indicate that a majority of horticulture farmers belong to the small (45%) and </w:t>
      </w:r>
      <w:r w:rsidRPr="0020791B">
        <w:rPr>
          <w:rFonts w:ascii="Times New Roman" w:hAnsi="Times New Roman" w:cs="Times New Roman"/>
          <w:sz w:val="24"/>
          <w:szCs w:val="24"/>
          <w:highlight w:val="yellow"/>
        </w:rPr>
        <w:t>medium (</w:t>
      </w:r>
      <w:commentRangeStart w:id="7"/>
      <w:r w:rsidRPr="0020791B">
        <w:rPr>
          <w:rFonts w:ascii="Times New Roman" w:hAnsi="Times New Roman" w:cs="Times New Roman"/>
          <w:sz w:val="24"/>
          <w:szCs w:val="24"/>
          <w:highlight w:val="yellow"/>
        </w:rPr>
        <w:t>40</w:t>
      </w:r>
      <w:commentRangeEnd w:id="7"/>
      <w:r w:rsidR="0020791B">
        <w:rPr>
          <w:rStyle w:val="CommentReference"/>
        </w:rPr>
        <w:commentReference w:id="7"/>
      </w:r>
      <w:r w:rsidRPr="0020791B">
        <w:rPr>
          <w:rFonts w:ascii="Times New Roman" w:hAnsi="Times New Roman" w:cs="Times New Roman"/>
          <w:sz w:val="24"/>
          <w:szCs w:val="24"/>
          <w:highlight w:val="yellow"/>
        </w:rPr>
        <w:t>%)</w:t>
      </w:r>
      <w:r>
        <w:rPr>
          <w:rFonts w:ascii="Times New Roman" w:hAnsi="Times New Roman" w:cs="Times New Roman"/>
          <w:color w:val="000000"/>
          <w:sz w:val="24"/>
          <w:szCs w:val="24"/>
        </w:rPr>
        <w:t xml:space="preserve"> categories, whereas a comparatively lower proportion of agriculture farmers fall under these groups. This implies that horticulture farmers tend to practice more intensive and diversified farming systems, leading to improved socio-economic conditions over time.</w:t>
      </w:r>
    </w:p>
    <w:p w:rsidR="00626896" w:rsidRDefault="00626896">
      <w:pPr>
        <w:pStyle w:val="NormalWeb"/>
        <w:rPr>
          <w:b/>
        </w:rPr>
      </w:pPr>
    </w:p>
    <w:p w:rsidR="00626896" w:rsidRDefault="00626896">
      <w:pPr>
        <w:pStyle w:val="NormalWeb"/>
        <w:rPr>
          <w:b/>
        </w:rPr>
      </w:pPr>
    </w:p>
    <w:p w:rsidR="00626896" w:rsidRDefault="00792AD1">
      <w:pPr>
        <w:pStyle w:val="NormalWeb"/>
        <w:rPr>
          <w:b/>
        </w:rPr>
      </w:pPr>
      <w:r>
        <w:rPr>
          <w:b/>
        </w:rPr>
        <w:t>Table 4:  Crop Diversity and Crops Cultivated by Agriculture and Horticulture Farmers</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0"/>
        <w:gridCol w:w="4050"/>
      </w:tblGrid>
      <w:tr w:rsidR="00626896">
        <w:trPr>
          <w:cantSplit/>
          <w:trHeight w:val="70"/>
          <w:jc w:val="center"/>
        </w:trPr>
        <w:tc>
          <w:tcPr>
            <w:tcW w:w="4320" w:type="dxa"/>
            <w:shd w:val="clear" w:color="auto" w:fill="D9D9D9" w:themeFill="background1" w:themeFillShade="D9"/>
            <w:vAlign w:val="center"/>
          </w:tcPr>
          <w:p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Horticulture Farmers</w:t>
            </w:r>
          </w:p>
        </w:tc>
        <w:tc>
          <w:tcPr>
            <w:tcW w:w="4050" w:type="dxa"/>
            <w:shd w:val="clear" w:color="auto" w:fill="D9D9D9" w:themeFill="background1" w:themeFillShade="D9"/>
          </w:tcPr>
          <w:p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trPr>
          <w:cantSplit/>
          <w:trHeight w:val="70"/>
          <w:jc w:val="center"/>
        </w:trPr>
        <w:tc>
          <w:tcPr>
            <w:tcW w:w="4320" w:type="dxa"/>
          </w:tcPr>
          <w:p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Tomato, Cabbage, Cucumber, Brinjal (egg plant), Okra, yard long bean, Ridge gourd, Bittergourd, Beans, Green Chillies, Banana, Papaya, </w:t>
            </w:r>
            <w:commentRangeStart w:id="8"/>
            <w:r w:rsidRPr="0020791B">
              <w:rPr>
                <w:rFonts w:ascii="Times New Roman" w:hAnsi="Times New Roman" w:cs="Times New Roman"/>
                <w:sz w:val="24"/>
                <w:szCs w:val="24"/>
                <w:highlight w:val="yellow"/>
              </w:rPr>
              <w:t>Zhukni</w:t>
            </w:r>
            <w:commentRangeEnd w:id="8"/>
            <w:r w:rsidR="0020791B">
              <w:rPr>
                <w:rStyle w:val="CommentReference"/>
              </w:rPr>
              <w:commentReference w:id="8"/>
            </w:r>
            <w:r w:rsidRPr="0020791B">
              <w:rPr>
                <w:rFonts w:ascii="Times New Roman" w:hAnsi="Times New Roman" w:cs="Times New Roman"/>
                <w:sz w:val="24"/>
                <w:szCs w:val="24"/>
                <w:highlight w:val="yellow"/>
              </w:rPr>
              <w:t>,</w:t>
            </w:r>
            <w:r>
              <w:rPr>
                <w:rFonts w:ascii="Times New Roman" w:hAnsi="Times New Roman" w:cs="Times New Roman"/>
                <w:sz w:val="24"/>
                <w:szCs w:val="24"/>
              </w:rPr>
              <w:t xml:space="preserve"> Chinese cabbage.</w:t>
            </w:r>
          </w:p>
        </w:tc>
        <w:tc>
          <w:tcPr>
            <w:tcW w:w="4050" w:type="dxa"/>
          </w:tcPr>
          <w:p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Paddy, Ragi, Horse gram, cowpea, green gram, Black gram, Sesamum</w:t>
            </w:r>
          </w:p>
        </w:tc>
      </w:tr>
    </w:tbl>
    <w:p w:rsidR="00626896" w:rsidRDefault="00626896">
      <w:pPr>
        <w:jc w:val="both"/>
        <w:rPr>
          <w:rFonts w:ascii="Times New Roman" w:hAnsi="Times New Roman" w:cs="Times New Roman"/>
          <w:sz w:val="24"/>
          <w:szCs w:val="24"/>
        </w:rPr>
      </w:pP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4 that horticulture farmers cultivate a greater number of crops per year and exhibit higher crop diversity compared to agriculture farmers. Greater crop diversification inherently requires higher input use, thereby increasing the credit requirements of horticulture farmers. Moreover, many horticulture farmers are adopting exotic varieties of vegetables and fruits, which generally command higher market prices and contribute significantly to enhancing farm income and overall economic stability within the farming community.</w:t>
      </w:r>
    </w:p>
    <w:p w:rsidR="00626896" w:rsidRDefault="00792AD1">
      <w:pPr>
        <w:pStyle w:val="NoSpacing"/>
        <w:spacing w:line="276" w:lineRule="auto"/>
        <w:ind w:left="900" w:hanging="900"/>
        <w:jc w:val="both"/>
        <w:rPr>
          <w:rFonts w:ascii="Times New Roman" w:hAnsi="Times New Roman" w:cs="Times New Roman"/>
          <w:b/>
          <w:sz w:val="24"/>
          <w:szCs w:val="24"/>
        </w:rPr>
      </w:pPr>
      <w:r>
        <w:rPr>
          <w:rFonts w:ascii="Times New Roman" w:hAnsi="Times New Roman" w:cs="Times New Roman"/>
          <w:b/>
          <w:sz w:val="24"/>
          <w:szCs w:val="24"/>
        </w:rPr>
        <w:t>Table 5: Details of Credit Availed by Agriculture and Horticulture Farmers, Loan Purpose and Repayment Pattern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610"/>
        <w:gridCol w:w="2970"/>
      </w:tblGrid>
      <w:tr w:rsidR="00626896">
        <w:trPr>
          <w:cantSplit/>
          <w:trHeight w:val="52"/>
        </w:trPr>
        <w:tc>
          <w:tcPr>
            <w:tcW w:w="3510" w:type="dxa"/>
            <w:shd w:val="clear" w:color="auto" w:fill="D9D9D9" w:themeFill="background1" w:themeFillShade="D9"/>
            <w:vAlign w:val="center"/>
          </w:tcPr>
          <w:p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2610" w:type="dxa"/>
            <w:shd w:val="clear" w:color="auto" w:fill="D9D9D9" w:themeFill="background1" w:themeFillShade="D9"/>
            <w:vAlign w:val="center"/>
          </w:tcPr>
          <w:p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2970" w:type="dxa"/>
            <w:shd w:val="clear" w:color="auto" w:fill="D9D9D9" w:themeFill="background1" w:themeFillShade="D9"/>
            <w:vAlign w:val="center"/>
          </w:tcPr>
          <w:p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trPr>
          <w:cantSplit/>
          <w:trHeight w:val="52"/>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Source of loan :</w:t>
            </w:r>
          </w:p>
          <w:p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Co-operative banks</w:t>
            </w:r>
          </w:p>
          <w:p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Commercial banks</w:t>
            </w:r>
          </w:p>
        </w:tc>
        <w:tc>
          <w:tcPr>
            <w:tcW w:w="2610" w:type="dxa"/>
          </w:tcPr>
          <w:p w:rsidR="00626896" w:rsidRDefault="00626896">
            <w:pPr>
              <w:spacing w:after="0"/>
              <w:jc w:val="center"/>
              <w:rPr>
                <w:rFonts w:ascii="Times New Roman" w:hAnsi="Times New Roman" w:cs="Times New Roman"/>
                <w:sz w:val="24"/>
                <w:szCs w:val="24"/>
              </w:rPr>
            </w:pP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11 (33)</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22 (77)</w:t>
            </w:r>
          </w:p>
        </w:tc>
        <w:tc>
          <w:tcPr>
            <w:tcW w:w="2970" w:type="dxa"/>
          </w:tcPr>
          <w:p w:rsidR="00626896" w:rsidRDefault="00626896">
            <w:pPr>
              <w:spacing w:after="0"/>
              <w:jc w:val="center"/>
              <w:rPr>
                <w:rFonts w:ascii="Times New Roman" w:hAnsi="Times New Roman" w:cs="Times New Roman"/>
                <w:sz w:val="24"/>
                <w:szCs w:val="24"/>
              </w:rPr>
            </w:pP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7 (21)</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27 (79)</w:t>
            </w:r>
          </w:p>
        </w:tc>
      </w:tr>
      <w:tr w:rsidR="00626896">
        <w:trPr>
          <w:cantSplit/>
          <w:trHeight w:val="52"/>
        </w:trPr>
        <w:tc>
          <w:tcPr>
            <w:tcW w:w="3510" w:type="dxa"/>
          </w:tcPr>
          <w:p w:rsidR="00626896" w:rsidRDefault="00792AD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Reasons for choosing the particular bank</w:t>
            </w:r>
          </w:p>
        </w:tc>
        <w:tc>
          <w:tcPr>
            <w:tcW w:w="2610" w:type="dxa"/>
          </w:tcPr>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c>
          <w:tcPr>
            <w:tcW w:w="2970" w:type="dxa"/>
          </w:tcPr>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r>
      <w:tr w:rsidR="00626896">
        <w:trPr>
          <w:cantSplit/>
          <w:trHeight w:val="1583"/>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Purpose of Loan </w:t>
            </w:r>
          </w:p>
          <w:p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Agriculture/ crop loan</w:t>
            </w:r>
          </w:p>
          <w:p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Purchase of livestock </w:t>
            </w:r>
          </w:p>
          <w:p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Drip irrigation</w:t>
            </w:r>
          </w:p>
          <w:p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Bore well</w:t>
            </w:r>
          </w:p>
          <w:p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Tractor</w:t>
            </w:r>
          </w:p>
        </w:tc>
        <w:tc>
          <w:tcPr>
            <w:tcW w:w="2610" w:type="dxa"/>
          </w:tcPr>
          <w:p w:rsidR="00626896" w:rsidRDefault="00626896">
            <w:pPr>
              <w:spacing w:after="0"/>
              <w:jc w:val="center"/>
              <w:rPr>
                <w:rFonts w:ascii="Times New Roman" w:hAnsi="Times New Roman" w:cs="Times New Roman"/>
                <w:sz w:val="24"/>
                <w:szCs w:val="24"/>
              </w:rPr>
            </w:pP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21 (64)</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05 (15)</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tc>
        <w:tc>
          <w:tcPr>
            <w:tcW w:w="2970" w:type="dxa"/>
          </w:tcPr>
          <w:p w:rsidR="00626896" w:rsidRDefault="00626896">
            <w:pPr>
              <w:spacing w:after="0"/>
              <w:jc w:val="center"/>
              <w:rPr>
                <w:rFonts w:ascii="Times New Roman" w:hAnsi="Times New Roman" w:cs="Times New Roman"/>
                <w:sz w:val="24"/>
                <w:szCs w:val="24"/>
              </w:rPr>
            </w:pP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26 (79)</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04 (12)</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w:t>
            </w:r>
          </w:p>
          <w:p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tc>
      </w:tr>
      <w:tr w:rsidR="00626896">
        <w:trPr>
          <w:cantSplit/>
          <w:trHeight w:val="395"/>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Average loan amount taken (Rs.)</w:t>
            </w:r>
          </w:p>
        </w:tc>
        <w:tc>
          <w:tcPr>
            <w:tcW w:w="261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162975.00</w:t>
            </w:r>
          </w:p>
        </w:tc>
        <w:tc>
          <w:tcPr>
            <w:tcW w:w="297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107222.00</w:t>
            </w:r>
          </w:p>
        </w:tc>
      </w:tr>
      <w:tr w:rsidR="00626896">
        <w:trPr>
          <w:cantSplit/>
          <w:trHeight w:val="395"/>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Rate of Interest up to 3 lakh</w:t>
            </w:r>
          </w:p>
        </w:tc>
        <w:tc>
          <w:tcPr>
            <w:tcW w:w="261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c>
          <w:tcPr>
            <w:tcW w:w="297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r>
      <w:tr w:rsidR="00626896">
        <w:trPr>
          <w:cantSplit/>
          <w:trHeight w:val="395"/>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Transaction cost incurred by the farmer in obtaining the loan (Rs.)</w:t>
            </w:r>
          </w:p>
        </w:tc>
        <w:tc>
          <w:tcPr>
            <w:tcW w:w="261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2156.50</w:t>
            </w:r>
          </w:p>
        </w:tc>
        <w:tc>
          <w:tcPr>
            <w:tcW w:w="2970" w:type="dxa"/>
          </w:tcPr>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2240.00</w:t>
            </w:r>
          </w:p>
        </w:tc>
      </w:tr>
      <w:tr w:rsidR="00626896">
        <w:trPr>
          <w:cantSplit/>
          <w:trHeight w:val="395"/>
        </w:trPr>
        <w:tc>
          <w:tcPr>
            <w:tcW w:w="3510" w:type="dxa"/>
          </w:tcPr>
          <w:p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No of farmers:</w:t>
            </w:r>
          </w:p>
          <w:p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repaid the loan</w:t>
            </w:r>
          </w:p>
          <w:p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Not paid</w:t>
            </w:r>
          </w:p>
        </w:tc>
        <w:tc>
          <w:tcPr>
            <w:tcW w:w="2610" w:type="dxa"/>
          </w:tcPr>
          <w:p w:rsidR="00626896" w:rsidRDefault="00626896">
            <w:pPr>
              <w:spacing w:after="0"/>
              <w:jc w:val="center"/>
              <w:rPr>
                <w:rFonts w:ascii="Times New Roman" w:hAnsi="Times New Roman" w:cs="Times New Roman"/>
                <w:bCs/>
                <w:color w:val="000000" w:themeColor="text1"/>
                <w:sz w:val="24"/>
                <w:szCs w:val="24"/>
              </w:rPr>
            </w:pPr>
          </w:p>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 (73)</w:t>
            </w:r>
          </w:p>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 (27)</w:t>
            </w:r>
          </w:p>
        </w:tc>
        <w:tc>
          <w:tcPr>
            <w:tcW w:w="2970" w:type="dxa"/>
          </w:tcPr>
          <w:p w:rsidR="00626896" w:rsidRDefault="00626896">
            <w:pPr>
              <w:spacing w:after="0"/>
              <w:jc w:val="center"/>
              <w:rPr>
                <w:rFonts w:ascii="Times New Roman" w:hAnsi="Times New Roman" w:cs="Times New Roman"/>
                <w:bCs/>
                <w:color w:val="000000" w:themeColor="text1"/>
                <w:sz w:val="24"/>
                <w:szCs w:val="24"/>
              </w:rPr>
            </w:pPr>
          </w:p>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(45.5)</w:t>
            </w:r>
          </w:p>
          <w:p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(54.5)</w:t>
            </w:r>
          </w:p>
        </w:tc>
      </w:tr>
    </w:tbl>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rsidR="00626896" w:rsidRDefault="00792AD1">
      <w:pPr>
        <w:pStyle w:val="NormalWeb"/>
        <w:spacing w:line="276" w:lineRule="auto"/>
        <w:ind w:firstLine="720"/>
        <w:jc w:val="both"/>
        <w:rPr>
          <w:color w:val="000000"/>
        </w:rPr>
      </w:pPr>
      <w:r>
        <w:rPr>
          <w:color w:val="000000"/>
        </w:rPr>
        <w:lastRenderedPageBreak/>
        <w:t>Table 5 presents the credit details of farmers, indicating that the average loan amount availed by horticulture farmers (₹1,62,975) is higher than that of agriculture farmers (₹1,07,222), with both categories receiving loans at an interest rate of 7 per cent. The loans were primarily utilized for purposes such as crop cultivation, livestock rearing, borewell construction, tractor purchase and installation of drip irrigation systems these being the major areas of credit utilization. A majority of farmers availed crop loans, accounting for 79 per cent among agriculture farmers and 64 per cent among horticulture farmers. Notably, around 9 per cent of horticulture farmers accessed credit specifically for drip irrigation, which was not observed among agriculture farmers.</w:t>
      </w:r>
    </w:p>
    <w:p w:rsidR="00626896" w:rsidRDefault="00792AD1">
      <w:pPr>
        <w:pStyle w:val="NormalWeb"/>
        <w:spacing w:line="276" w:lineRule="auto"/>
        <w:ind w:firstLine="720"/>
        <w:jc w:val="both"/>
        <w:rPr>
          <w:color w:val="000000"/>
        </w:rPr>
      </w:pPr>
      <w:r>
        <w:rPr>
          <w:color w:val="000000"/>
        </w:rPr>
        <w:t>In recent years, horticulture farmers have increasingly adopted high-value crops along with drip irrigation systems, which have contributed to higher income levels and improved resource use efficiency. The data also reveal that 73 per cent of horticulture farmers successfully repaid their loans, compared to only 45.5 per cent among agriculture farmers. The incidence of overdues is therefore higher in the agriculture sector, likely due to their dependence on monocropping and lower crop diversification (as indicated in Table 4). This highlights the need for strategic measures to address the growing issue of loan overdues, particularly among agriculture farmers.</w:t>
      </w:r>
    </w:p>
    <w:p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6: Farmers’ Perceived Reasons for Indebtedness in Agriculture and Horticulture</w:t>
      </w:r>
    </w:p>
    <w:p w:rsidR="00626896" w:rsidRDefault="00626896">
      <w:pPr>
        <w:pStyle w:val="NoSpacing"/>
        <w:spacing w:line="276" w:lineRule="auto"/>
        <w:ind w:left="-360" w:firstLine="360"/>
        <w:jc w:val="both"/>
        <w:rPr>
          <w:rFonts w:ascii="Times New Roman" w:hAnsi="Times New Roman" w:cs="Times New Roman"/>
          <w:b/>
          <w:sz w:val="24"/>
          <w:szCs w:val="24"/>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8"/>
        <w:gridCol w:w="1846"/>
        <w:gridCol w:w="1624"/>
      </w:tblGrid>
      <w:tr w:rsidR="00626896">
        <w:trPr>
          <w:cantSplit/>
          <w:trHeight w:val="49"/>
          <w:jc w:val="center"/>
        </w:trPr>
        <w:tc>
          <w:tcPr>
            <w:tcW w:w="3668" w:type="dxa"/>
            <w:shd w:val="clear" w:color="auto" w:fill="D9D9D9" w:themeFill="background1" w:themeFillShade="D9"/>
            <w:vAlign w:val="center"/>
          </w:tcPr>
          <w:p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6" w:type="dxa"/>
            <w:shd w:val="clear" w:color="auto" w:fill="D9D9D9" w:themeFill="background1" w:themeFillShade="D9"/>
            <w:vAlign w:val="center"/>
          </w:tcPr>
          <w:p w:rsidR="00626896" w:rsidRPr="000F660F" w:rsidRDefault="00792AD1">
            <w:pPr>
              <w:spacing w:before="60" w:after="60" w:line="240" w:lineRule="auto"/>
              <w:jc w:val="center"/>
              <w:rPr>
                <w:rFonts w:ascii="Times New Roman" w:hAnsi="Times New Roman" w:cs="Times New Roman"/>
                <w:b/>
                <w:color w:val="FF0000"/>
                <w:sz w:val="24"/>
                <w:szCs w:val="24"/>
              </w:rPr>
            </w:pPr>
            <w:r w:rsidRPr="000F660F">
              <w:rPr>
                <w:rFonts w:ascii="Times New Roman" w:hAnsi="Times New Roman" w:cs="Times New Roman"/>
                <w:b/>
                <w:color w:val="FF0000"/>
                <w:sz w:val="24"/>
                <w:szCs w:val="24"/>
              </w:rPr>
              <w:t xml:space="preserve">Horticulture </w:t>
            </w:r>
            <w:commentRangeStart w:id="9"/>
            <w:r w:rsidRPr="000F660F">
              <w:rPr>
                <w:rFonts w:ascii="Times New Roman" w:hAnsi="Times New Roman" w:cs="Times New Roman"/>
                <w:b/>
                <w:color w:val="FF0000"/>
                <w:sz w:val="24"/>
                <w:szCs w:val="24"/>
              </w:rPr>
              <w:t>Farmers</w:t>
            </w:r>
            <w:commentRangeEnd w:id="9"/>
            <w:r w:rsidR="00AA6B1B">
              <w:rPr>
                <w:rStyle w:val="CommentReference"/>
              </w:rPr>
              <w:commentReference w:id="9"/>
            </w:r>
          </w:p>
        </w:tc>
        <w:tc>
          <w:tcPr>
            <w:tcW w:w="1624" w:type="dxa"/>
            <w:shd w:val="clear" w:color="auto" w:fill="D9D9D9" w:themeFill="background1" w:themeFillShade="D9"/>
            <w:vAlign w:val="center"/>
          </w:tcPr>
          <w:p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trPr>
          <w:cantSplit/>
          <w:trHeight w:val="464"/>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price of farm produce</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profit margin</w:t>
            </w:r>
          </w:p>
        </w:tc>
        <w:tc>
          <w:tcPr>
            <w:tcW w:w="1846" w:type="dxa"/>
            <w:vAlign w:val="center"/>
          </w:tcPr>
          <w:p w:rsidR="00626896" w:rsidRPr="000F660F" w:rsidRDefault="00792AD1">
            <w:pPr>
              <w:pStyle w:val="NoSpacing"/>
              <w:jc w:val="center"/>
              <w:rPr>
                <w:rFonts w:ascii="Times New Roman" w:hAnsi="Times New Roman" w:cs="Times New Roman"/>
                <w:color w:val="FF0000"/>
                <w:sz w:val="24"/>
                <w:szCs w:val="24"/>
              </w:rPr>
            </w:pPr>
            <w:r w:rsidRPr="000F660F">
              <w:rPr>
                <w:rFonts w:ascii="Times New Roman" w:hAnsi="Times New Roman" w:cs="Times New Roman"/>
                <w:color w:val="FF0000"/>
                <w:sz w:val="24"/>
                <w:szCs w:val="24"/>
              </w:rPr>
              <w:t>21 (64 %)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Increased cost of cultivation</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Instability in yield</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Crop loss</w:t>
            </w:r>
          </w:p>
        </w:tc>
        <w:tc>
          <w:tcPr>
            <w:tcW w:w="1846" w:type="dxa"/>
            <w:vAlign w:val="center"/>
          </w:tcPr>
          <w:p w:rsidR="00626896" w:rsidRPr="000F660F" w:rsidRDefault="00792AD1">
            <w:pPr>
              <w:pStyle w:val="NoSpacing"/>
              <w:jc w:val="center"/>
              <w:rPr>
                <w:rFonts w:ascii="Times New Roman" w:hAnsi="Times New Roman" w:cs="Times New Roman"/>
                <w:color w:val="FF0000"/>
                <w:sz w:val="24"/>
                <w:szCs w:val="24"/>
              </w:rPr>
            </w:pPr>
            <w:r w:rsidRPr="000F660F">
              <w:rPr>
                <w:rFonts w:ascii="Times New Roman" w:hAnsi="Times New Roman" w:cs="Times New Roman"/>
                <w:color w:val="FF0000"/>
                <w:sz w:val="24"/>
                <w:szCs w:val="24"/>
              </w:rPr>
              <w:t>21 (64 %)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Natural Calamity</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 (09 %)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Loan waiver scheme</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Higher household expenditure</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Willful default</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 (0%)</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Laziness and lack of hard work</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03(09 %)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trPr>
          <w:cantSplit/>
          <w:trHeight w:val="49"/>
          <w:jc w:val="center"/>
        </w:trPr>
        <w:tc>
          <w:tcPr>
            <w:tcW w:w="3668" w:type="dxa"/>
            <w:vAlign w:val="center"/>
          </w:tcPr>
          <w:p w:rsidR="00626896" w:rsidRDefault="00792AD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06 (18 %)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w:t>
            </w:r>
          </w:p>
        </w:tc>
      </w:tr>
      <w:tr w:rsidR="00626896">
        <w:trPr>
          <w:cantSplit/>
          <w:trHeight w:val="49"/>
          <w:jc w:val="center"/>
        </w:trPr>
        <w:tc>
          <w:tcPr>
            <w:tcW w:w="3668" w:type="dxa"/>
            <w:vAlign w:val="center"/>
          </w:tcPr>
          <w:p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Not diversified the activities</w:t>
            </w:r>
          </w:p>
        </w:tc>
        <w:tc>
          <w:tcPr>
            <w:tcW w:w="1846"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26 (79 %)</w:t>
            </w:r>
          </w:p>
        </w:tc>
        <w:tc>
          <w:tcPr>
            <w:tcW w:w="1624" w:type="dxa"/>
            <w:vAlign w:val="center"/>
          </w:tcPr>
          <w:p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w:t>
            </w:r>
          </w:p>
        </w:tc>
      </w:tr>
    </w:tbl>
    <w:p w:rsidR="00626896" w:rsidRDefault="00626896">
      <w:pPr>
        <w:jc w:val="both"/>
        <w:rPr>
          <w:rFonts w:ascii="Times New Roman" w:hAnsi="Times New Roman" w:cs="Times New Roman"/>
          <w:sz w:val="24"/>
          <w:szCs w:val="24"/>
        </w:rPr>
      </w:pPr>
    </w:p>
    <w:p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presents the reasons for farmers’ indebtedness, with responses ranked according to the proportion of farmers reporting each factor. Indebtedness is observed in </w:t>
      </w:r>
      <w:r w:rsidRPr="00AA6B1B">
        <w:rPr>
          <w:rFonts w:ascii="Times New Roman" w:hAnsi="Times New Roman" w:cs="Times New Roman"/>
          <w:sz w:val="24"/>
          <w:szCs w:val="24"/>
        </w:rPr>
        <w:t>both horticulture and agriculture farming, with</w:t>
      </w:r>
      <w:r>
        <w:rPr>
          <w:rFonts w:ascii="Times New Roman" w:hAnsi="Times New Roman" w:cs="Times New Roman"/>
          <w:color w:val="000000"/>
          <w:sz w:val="24"/>
          <w:szCs w:val="24"/>
        </w:rPr>
        <w:t xml:space="preserve"> the primary cause being the lack of diversification in farm activities (79%), followed by increased cost of production (73%), low prices of farm produce </w:t>
      </w:r>
      <w:r>
        <w:rPr>
          <w:rFonts w:ascii="Times New Roman" w:hAnsi="Times New Roman" w:cs="Times New Roman"/>
          <w:color w:val="000000"/>
          <w:sz w:val="24"/>
          <w:szCs w:val="24"/>
        </w:rPr>
        <w:lastRenderedPageBreak/>
        <w:t xml:space="preserve">(73%), </w:t>
      </w:r>
      <w:commentRangeStart w:id="10"/>
      <w:r w:rsidRPr="000F660F">
        <w:rPr>
          <w:rFonts w:ascii="Times New Roman" w:hAnsi="Times New Roman" w:cs="Times New Roman"/>
          <w:color w:val="FF0000"/>
          <w:sz w:val="24"/>
          <w:szCs w:val="24"/>
        </w:rPr>
        <w:t>and</w:t>
      </w:r>
      <w:commentRangeEnd w:id="10"/>
      <w:r w:rsidR="00AA6B1B">
        <w:rPr>
          <w:rStyle w:val="CommentReference"/>
        </w:rPr>
        <w:commentReference w:id="10"/>
      </w:r>
      <w:r w:rsidRPr="000F660F">
        <w:rPr>
          <w:rFonts w:ascii="Times New Roman" w:hAnsi="Times New Roman" w:cs="Times New Roman"/>
          <w:color w:val="FF0000"/>
          <w:sz w:val="24"/>
          <w:szCs w:val="24"/>
        </w:rPr>
        <w:t xml:space="preserve"> crop losses (64%).</w:t>
      </w:r>
      <w:r>
        <w:rPr>
          <w:rFonts w:ascii="Times New Roman" w:hAnsi="Times New Roman" w:cs="Times New Roman"/>
          <w:color w:val="000000"/>
          <w:sz w:val="24"/>
          <w:szCs w:val="24"/>
        </w:rPr>
        <w:t xml:space="preserve"> These findings underscore the critical role of farm diversification and cost management in mitigating the risk of indebtedness among farmers.</w:t>
      </w:r>
    </w:p>
    <w:p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7: Constraints Faced by Farmers in Accessing Institutional Credit</w:t>
      </w:r>
    </w:p>
    <w:p w:rsidR="00626896" w:rsidRDefault="00626896">
      <w:pPr>
        <w:pStyle w:val="NoSpacing"/>
        <w:spacing w:line="276" w:lineRule="auto"/>
        <w:ind w:left="-360" w:firstLine="360"/>
        <w:jc w:val="both"/>
        <w:rPr>
          <w:rFonts w:ascii="Times New Roman" w:hAnsi="Times New Roman" w:cs="Times New Roman"/>
          <w:b/>
          <w:sz w:val="24"/>
          <w:szCs w:val="24"/>
        </w:rPr>
      </w:pP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6"/>
        <w:gridCol w:w="1840"/>
        <w:gridCol w:w="1620"/>
      </w:tblGrid>
      <w:tr w:rsidR="00626896">
        <w:trPr>
          <w:cantSplit/>
          <w:trHeight w:val="40"/>
          <w:jc w:val="center"/>
        </w:trPr>
        <w:tc>
          <w:tcPr>
            <w:tcW w:w="2856" w:type="dxa"/>
            <w:shd w:val="clear" w:color="auto" w:fill="D9D9D9" w:themeFill="background1" w:themeFillShade="D9"/>
            <w:vAlign w:val="center"/>
          </w:tcPr>
          <w:p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0" w:type="dxa"/>
            <w:shd w:val="clear" w:color="auto" w:fill="D9D9D9" w:themeFill="background1" w:themeFillShade="D9"/>
            <w:vAlign w:val="center"/>
          </w:tcPr>
          <w:p w:rsidR="00626896" w:rsidRDefault="00792AD1">
            <w:pPr>
              <w:spacing w:after="0" w:line="240" w:lineRule="auto"/>
              <w:jc w:val="center"/>
              <w:rPr>
                <w:rFonts w:ascii="Times New Roman" w:hAnsi="Times New Roman" w:cs="Times New Roman"/>
                <w:b/>
                <w:sz w:val="24"/>
                <w:szCs w:val="24"/>
              </w:rPr>
            </w:pPr>
            <w:r w:rsidRPr="00AA6B1B">
              <w:rPr>
                <w:rFonts w:ascii="Times New Roman" w:hAnsi="Times New Roman" w:cs="Times New Roman"/>
                <w:b/>
                <w:sz w:val="24"/>
                <w:szCs w:val="24"/>
                <w:highlight w:val="yellow"/>
              </w:rPr>
              <w:t xml:space="preserve">Horticulture </w:t>
            </w:r>
            <w:commentRangeStart w:id="11"/>
            <w:r w:rsidRPr="00AA6B1B">
              <w:rPr>
                <w:rFonts w:ascii="Times New Roman" w:hAnsi="Times New Roman" w:cs="Times New Roman"/>
                <w:b/>
                <w:sz w:val="24"/>
                <w:szCs w:val="24"/>
                <w:highlight w:val="yellow"/>
              </w:rPr>
              <w:t>Farmers</w:t>
            </w:r>
            <w:commentRangeEnd w:id="11"/>
            <w:r w:rsidR="00AA6B1B">
              <w:rPr>
                <w:rStyle w:val="CommentReference"/>
              </w:rPr>
              <w:commentReference w:id="11"/>
            </w:r>
          </w:p>
        </w:tc>
        <w:tc>
          <w:tcPr>
            <w:tcW w:w="1620" w:type="dxa"/>
            <w:shd w:val="clear" w:color="auto" w:fill="D9D9D9" w:themeFill="background1" w:themeFillShade="D9"/>
            <w:vAlign w:val="center"/>
          </w:tcPr>
          <w:p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trPr>
          <w:cantSplit/>
          <w:trHeight w:val="5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Transaction Cost</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trPr>
          <w:cantSplit/>
          <w:trHeight w:val="4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Time Consuming</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27 (81 %)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w:t>
            </w:r>
          </w:p>
        </w:tc>
      </w:tr>
      <w:tr w:rsidR="00626896">
        <w:trPr>
          <w:cantSplit/>
          <w:trHeight w:val="4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security/collateral</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IV</w:t>
            </w:r>
          </w:p>
        </w:tc>
      </w:tr>
      <w:tr w:rsidR="00626896">
        <w:trPr>
          <w:cantSplit/>
          <w:trHeight w:val="4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Complicated procedure</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trPr>
          <w:cantSplit/>
          <w:trHeight w:val="4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Untimely</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V</w:t>
            </w:r>
          </w:p>
        </w:tc>
      </w:tr>
      <w:tr w:rsidR="00626896">
        <w:trPr>
          <w:cantSplit/>
          <w:trHeight w:val="40"/>
          <w:jc w:val="center"/>
        </w:trPr>
        <w:tc>
          <w:tcPr>
            <w:tcW w:w="2856" w:type="dxa"/>
            <w:vAlign w:val="center"/>
          </w:tcPr>
          <w:p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banks at village level</w:t>
            </w:r>
          </w:p>
        </w:tc>
        <w:tc>
          <w:tcPr>
            <w:tcW w:w="184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16 (48 %)</w:t>
            </w:r>
          </w:p>
        </w:tc>
        <w:tc>
          <w:tcPr>
            <w:tcW w:w="1620" w:type="dxa"/>
            <w:vAlign w:val="center"/>
          </w:tcPr>
          <w:p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III</w:t>
            </w:r>
          </w:p>
        </w:tc>
      </w:tr>
    </w:tbl>
    <w:p w:rsidR="00626896" w:rsidRDefault="00626896">
      <w:pPr>
        <w:jc w:val="both"/>
        <w:rPr>
          <w:rFonts w:ascii="Times New Roman" w:hAnsi="Times New Roman" w:cs="Times New Roman"/>
          <w:sz w:val="24"/>
          <w:szCs w:val="24"/>
        </w:rPr>
      </w:pPr>
    </w:p>
    <w:p w:rsidR="00626896" w:rsidRDefault="00792AD1">
      <w:pPr>
        <w:pStyle w:val="NormalWeb"/>
        <w:spacing w:line="276" w:lineRule="auto"/>
        <w:ind w:firstLine="720"/>
        <w:jc w:val="both"/>
        <w:rPr>
          <w:color w:val="000000"/>
        </w:rPr>
      </w:pPr>
      <w:r>
        <w:rPr>
          <w:color w:val="000000"/>
        </w:rPr>
        <w:t>Table 7 indicates that the most significant constraint faced by farmers in accessing institutional credit is the time-consuming process, reported by 81 per cent of respondents, followed by high transaction costs (73%) and complicated procedures (73%). Farmers engaged in year-round agricultural activities emphasized the need to simplify loan application procedures to facilitate timely access to credit.</w:t>
      </w:r>
    </w:p>
    <w:p w:rsidR="00626896" w:rsidRDefault="00792AD1">
      <w:pPr>
        <w:pStyle w:val="NormalWeb"/>
        <w:spacing w:line="276" w:lineRule="auto"/>
        <w:jc w:val="both"/>
        <w:rPr>
          <w:color w:val="000000"/>
        </w:rPr>
      </w:pPr>
      <w:r>
        <w:rPr>
          <w:rStyle w:val="Strong"/>
          <w:rFonts w:eastAsiaTheme="majorEastAsia"/>
          <w:color w:val="000000"/>
        </w:rPr>
        <w:t>Conclusion</w:t>
      </w:r>
      <w:r>
        <w:rPr>
          <w:color w:val="000000"/>
        </w:rPr>
        <w:br/>
      </w:r>
      <w:r>
        <w:rPr>
          <w:color w:val="000000"/>
        </w:rPr>
        <w:tab/>
        <w:t>The study reveals that the overall disbursement of credit towards crop loans and term loans has increased over the years; however, the flow of credit to the horticulture and plantation sectors has shown a declining trend. This decline is primarily due to the classification of horticulture and plantation loans as investment loans, which involve delayed returns and lower repayment capacity.</w:t>
      </w:r>
    </w:p>
    <w:p w:rsidR="00626896" w:rsidRDefault="00792AD1">
      <w:pPr>
        <w:pStyle w:val="NormalWeb"/>
        <w:spacing w:line="276" w:lineRule="auto"/>
        <w:ind w:firstLine="720"/>
        <w:jc w:val="both"/>
        <w:rPr>
          <w:color w:val="000000"/>
        </w:rPr>
      </w:pPr>
      <w:r>
        <w:rPr>
          <w:color w:val="000000"/>
        </w:rPr>
        <w:t>Considering the socio-economic status of farmers, horticulture farmers earn a higher average annual income (₹1,19,416) compared to agriculture farmers (₹74,567). The majority of horticulture farmers belong to the small (45%) and medium (40%) farm categories, indicating that horticulture contributes significantly to both income generation and nutritional security.</w:t>
      </w:r>
    </w:p>
    <w:p w:rsidR="00626896" w:rsidRDefault="00792AD1">
      <w:pPr>
        <w:pStyle w:val="NormalWeb"/>
        <w:spacing w:line="276" w:lineRule="auto"/>
        <w:ind w:firstLine="709"/>
        <w:jc w:val="both"/>
        <w:rPr>
          <w:color w:val="000000"/>
        </w:rPr>
      </w:pPr>
      <w:r>
        <w:rPr>
          <w:color w:val="000000"/>
        </w:rPr>
        <w:t>The average loan amount availed by horticulture farmers (₹1,62,975) is higher than that of agriculture farmers (₹1,07,222), with the funds primarily utilized for crop cultivation, livestock rearing, borewell construction, tractor purchase, and drip irrigation. The major causes of indebtedness include lack of diversification in farm activities (79%), increased cost of production (73%), low prices of farm produce (73%), and crop losses (64%). Furthermore, farmers identified time-consuming procedures (81%), high transaction costs (73%), and complex loan processes (73%) as key constraints in accessing credit. These findings highlight the need for targeted interventions to streamline loan procedures and enhance financial support, particularly for horticulture farmers, to improve income and resource-use efficiency.</w:t>
      </w:r>
    </w:p>
    <w:p w:rsidR="00626896" w:rsidRDefault="00792AD1">
      <w:pPr>
        <w:autoSpaceDE w:val="0"/>
        <w:autoSpaceDN w:val="0"/>
        <w:adjustRightInd w:val="0"/>
        <w:spacing w:before="240" w:after="120"/>
        <w:ind w:left="709" w:hanging="709"/>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References</w:t>
      </w:r>
    </w:p>
    <w:p w:rsidR="00626896" w:rsidRDefault="00792AD1">
      <w:pPr>
        <w:ind w:left="900" w:hanging="900"/>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rPr>
        <w:t>Ayodele E Ademola, 2019, Impact of agricultural financing on Nigerian Economy,</w:t>
      </w:r>
      <w:r>
        <w:rPr>
          <w:rStyle w:val="Emphasis"/>
          <w:rFonts w:ascii="Times New Roman" w:hAnsi="Times New Roman" w:cs="Times New Roman"/>
          <w:bCs/>
          <w:sz w:val="24"/>
          <w:szCs w:val="24"/>
          <w:shd w:val="clear" w:color="auto" w:fill="FFFFFF"/>
        </w:rPr>
        <w:t>Asian Journal of Agricultural Extension, Economics &amp; Sociology</w:t>
      </w:r>
      <w:r>
        <w:rPr>
          <w:rFonts w:ascii="Times New Roman" w:hAnsi="Times New Roman" w:cs="Times New Roman"/>
          <w:bCs/>
          <w:i/>
          <w:sz w:val="24"/>
          <w:szCs w:val="24"/>
          <w:shd w:val="clear" w:color="auto" w:fill="FFFFFF"/>
        </w:rPr>
        <w:t xml:space="preserve">, </w:t>
      </w:r>
      <w:r>
        <w:rPr>
          <w:rFonts w:ascii="Times New Roman" w:hAnsi="Times New Roman" w:cs="Times New Roman"/>
          <w:b/>
          <w:bCs/>
          <w:sz w:val="24"/>
          <w:szCs w:val="24"/>
          <w:shd w:val="clear" w:color="auto" w:fill="FFFFFF"/>
        </w:rPr>
        <w:t>31</w:t>
      </w:r>
      <w:r>
        <w:rPr>
          <w:rFonts w:ascii="Times New Roman" w:hAnsi="Times New Roman" w:cs="Times New Roman"/>
          <w:bCs/>
          <w:sz w:val="24"/>
          <w:szCs w:val="24"/>
          <w:shd w:val="clear" w:color="auto" w:fill="FFFFFF"/>
        </w:rPr>
        <w:t>(2): 1-13</w:t>
      </w:r>
      <w:r>
        <w:rPr>
          <w:rFonts w:ascii="Times New Roman" w:hAnsi="Times New Roman" w:cs="Times New Roman"/>
          <w:bCs/>
          <w:sz w:val="24"/>
          <w:szCs w:val="24"/>
          <w:shd w:val="clear" w:color="auto" w:fill="FFFFFF"/>
          <w:lang w:val="en-US"/>
        </w:rPr>
        <w:t>.</w:t>
      </w:r>
    </w:p>
    <w:p w:rsidR="00626896" w:rsidRDefault="00792AD1">
      <w:pPr>
        <w:ind w:left="900" w:hanging="900"/>
        <w:jc w:val="both"/>
        <w:rPr>
          <w:rFonts w:ascii="Times New Roman" w:hAnsi="Times New Roman" w:cs="Times New Roman"/>
          <w:bCs/>
          <w:color w:val="111111"/>
          <w:sz w:val="24"/>
          <w:szCs w:val="24"/>
          <w:shd w:val="clear" w:color="auto" w:fill="FFFFFF"/>
          <w:lang w:val="en-US"/>
        </w:rPr>
      </w:pPr>
      <w:r w:rsidRPr="0020791B">
        <w:rPr>
          <w:rFonts w:ascii="Times New Roman" w:hAnsi="Times New Roman" w:cs="Times New Roman"/>
          <w:bCs/>
          <w:color w:val="111111"/>
          <w:sz w:val="24"/>
          <w:szCs w:val="24"/>
          <w:highlight w:val="yellow"/>
          <w:shd w:val="clear" w:color="auto" w:fill="FFFFFF"/>
        </w:rPr>
        <w:t>Das Abhiman, SenapathiManjusha and John Joice, 2009, Impact of agricultural credit on agriculture production: an empirical analysis in India,</w:t>
      </w:r>
      <w:r w:rsidRPr="0020791B">
        <w:rPr>
          <w:rFonts w:ascii="Times New Roman" w:hAnsi="Times New Roman" w:cs="Times New Roman"/>
          <w:i/>
          <w:sz w:val="24"/>
          <w:szCs w:val="24"/>
          <w:highlight w:val="yellow"/>
          <w:shd w:val="clear" w:color="auto" w:fill="FFFFFF"/>
        </w:rPr>
        <w:t xml:space="preserve">Reserve Bank of India Occasional Papers, </w:t>
      </w:r>
      <w:r w:rsidRPr="0020791B">
        <w:rPr>
          <w:rFonts w:ascii="Times New Roman" w:hAnsi="Times New Roman" w:cs="Times New Roman"/>
          <w:b/>
          <w:sz w:val="24"/>
          <w:szCs w:val="24"/>
          <w:highlight w:val="yellow"/>
          <w:shd w:val="clear" w:color="auto" w:fill="FFFFFF"/>
        </w:rPr>
        <w:t xml:space="preserve">30 </w:t>
      </w:r>
      <w:r w:rsidRPr="0020791B">
        <w:rPr>
          <w:rFonts w:ascii="Times New Roman" w:hAnsi="Times New Roman" w:cs="Times New Roman"/>
          <w:sz w:val="24"/>
          <w:szCs w:val="24"/>
          <w:highlight w:val="yellow"/>
          <w:shd w:val="clear" w:color="auto" w:fill="FFFFFF"/>
        </w:rPr>
        <w:t>(2)</w:t>
      </w:r>
      <w:r w:rsidRPr="0020791B">
        <w:rPr>
          <w:rFonts w:ascii="Times New Roman" w:hAnsi="Times New Roman" w:cs="Times New Roman"/>
          <w:sz w:val="24"/>
          <w:szCs w:val="24"/>
          <w:highlight w:val="yellow"/>
          <w:shd w:val="clear" w:color="auto" w:fill="FFFFFF"/>
          <w:lang w:val="en-US"/>
        </w:rPr>
        <w:t>: 75-</w:t>
      </w:r>
      <w:commentRangeStart w:id="12"/>
      <w:r w:rsidRPr="0020791B">
        <w:rPr>
          <w:rFonts w:ascii="Times New Roman" w:hAnsi="Times New Roman" w:cs="Times New Roman"/>
          <w:sz w:val="24"/>
          <w:szCs w:val="24"/>
          <w:highlight w:val="yellow"/>
          <w:shd w:val="clear" w:color="auto" w:fill="FFFFFF"/>
          <w:lang w:val="en-US"/>
        </w:rPr>
        <w:t>107</w:t>
      </w:r>
      <w:commentRangeEnd w:id="12"/>
      <w:r w:rsidR="00AA6B1B">
        <w:rPr>
          <w:rStyle w:val="CommentReference"/>
        </w:rPr>
        <w:commentReference w:id="12"/>
      </w:r>
      <w:r w:rsidRPr="0020791B">
        <w:rPr>
          <w:rFonts w:ascii="Times New Roman" w:hAnsi="Times New Roman" w:cs="Times New Roman"/>
          <w:sz w:val="24"/>
          <w:szCs w:val="24"/>
          <w:highlight w:val="yellow"/>
          <w:shd w:val="clear" w:color="auto" w:fill="FFFFFF"/>
          <w:lang w:val="en-US"/>
        </w:rPr>
        <w:t>.</w:t>
      </w:r>
    </w:p>
    <w:p w:rsidR="00626896" w:rsidRDefault="00792AD1">
      <w:pPr>
        <w:ind w:left="900" w:hanging="900"/>
        <w:jc w:val="both"/>
        <w:rPr>
          <w:rFonts w:ascii="Times New Roman" w:hAnsi="Times New Roman" w:cs="Times New Roman"/>
          <w:sz w:val="24"/>
          <w:szCs w:val="24"/>
          <w:shd w:val="clear" w:color="auto" w:fill="FFFFFF"/>
        </w:rPr>
      </w:pPr>
      <w:r>
        <w:rPr>
          <w:rFonts w:ascii="Times New Roman" w:hAnsi="Times New Roman" w:cs="Times New Roman"/>
          <w:bCs/>
          <w:color w:val="111111"/>
          <w:sz w:val="24"/>
          <w:szCs w:val="24"/>
          <w:shd w:val="clear" w:color="auto" w:fill="FFFFFF"/>
        </w:rPr>
        <w:t xml:space="preserve">Kumar Anjani, Singh KM and Sinha Sharadhanjali, 2013, Institutional Credit to Agriculture Sector in India: Status, Performance and Determinants, </w:t>
      </w:r>
      <w:r>
        <w:rPr>
          <w:rFonts w:ascii="Times New Roman" w:hAnsi="Times New Roman" w:cs="Times New Roman"/>
          <w:i/>
          <w:sz w:val="24"/>
          <w:szCs w:val="24"/>
          <w:shd w:val="clear" w:color="auto" w:fill="FFFFFF"/>
        </w:rPr>
        <w:t>Agricultural Economics </w:t>
      </w:r>
      <w:r>
        <w:rPr>
          <w:rStyle w:val="Emphasis"/>
          <w:rFonts w:ascii="Times New Roman" w:hAnsi="Times New Roman" w:cs="Times New Roman"/>
          <w:bCs/>
          <w:i w:val="0"/>
          <w:iCs w:val="0"/>
          <w:sz w:val="24"/>
          <w:szCs w:val="24"/>
          <w:shd w:val="clear" w:color="auto" w:fill="FFFFFF"/>
        </w:rPr>
        <w:t>Research</w:t>
      </w:r>
      <w:r>
        <w:rPr>
          <w:rFonts w:ascii="Times New Roman" w:hAnsi="Times New Roman" w:cs="Times New Roman"/>
          <w:i/>
          <w:sz w:val="24"/>
          <w:szCs w:val="24"/>
          <w:shd w:val="clear" w:color="auto" w:fill="FFFFFF"/>
        </w:rPr>
        <w:t> Review</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23</w:t>
      </w:r>
      <w:r>
        <w:rPr>
          <w:rFonts w:ascii="Times New Roman" w:hAnsi="Times New Roman" w:cs="Times New Roman"/>
          <w:sz w:val="24"/>
          <w:szCs w:val="24"/>
          <w:shd w:val="clear" w:color="auto" w:fill="FFFFFF"/>
        </w:rPr>
        <w:t>(2):253-264.</w:t>
      </w:r>
    </w:p>
    <w:p w:rsidR="00667C1A" w:rsidRPr="00667C1A" w:rsidRDefault="00667C1A" w:rsidP="00667C1A">
      <w:pPr>
        <w:ind w:left="900" w:hanging="900"/>
        <w:jc w:val="both"/>
        <w:rPr>
          <w:rFonts w:ascii="Times New Roman" w:hAnsi="Times New Roman" w:cs="Times New Roman"/>
          <w:i/>
          <w:sz w:val="24"/>
          <w:szCs w:val="24"/>
        </w:rPr>
      </w:pPr>
      <w:r w:rsidRPr="0020791B">
        <w:rPr>
          <w:rFonts w:ascii="Times New Roman" w:hAnsi="Times New Roman" w:cs="Times New Roman"/>
          <w:sz w:val="24"/>
          <w:szCs w:val="24"/>
          <w:highlight w:val="yellow"/>
          <w:shd w:val="clear" w:color="auto" w:fill="FFFFFF"/>
        </w:rPr>
        <w:t xml:space="preserve">Lucky Verma &amp; Ajay Suneja, 2024, Constraints encountered by the farmers in accessing </w:t>
      </w:r>
      <w:r w:rsidR="007238B2" w:rsidRPr="0020791B">
        <w:rPr>
          <w:rFonts w:ascii="Times New Roman" w:hAnsi="Times New Roman" w:cs="Times New Roman"/>
          <w:sz w:val="24"/>
          <w:szCs w:val="24"/>
          <w:highlight w:val="yellow"/>
          <w:shd w:val="clear" w:color="auto" w:fill="FFFFFF"/>
        </w:rPr>
        <w:t>Institutional credit i</w:t>
      </w:r>
      <w:r w:rsidRPr="0020791B">
        <w:rPr>
          <w:rFonts w:ascii="Times New Roman" w:hAnsi="Times New Roman" w:cs="Times New Roman"/>
          <w:sz w:val="24"/>
          <w:szCs w:val="24"/>
          <w:highlight w:val="yellow"/>
          <w:shd w:val="clear" w:color="auto" w:fill="FFFFFF"/>
        </w:rPr>
        <w:t xml:space="preserve">n Haryana: </w:t>
      </w:r>
      <w:r w:rsidRPr="0020791B">
        <w:rPr>
          <w:rFonts w:ascii="Times New Roman" w:hAnsi="Times New Roman" w:cs="Times New Roman"/>
          <w:i/>
          <w:sz w:val="24"/>
          <w:szCs w:val="24"/>
          <w:highlight w:val="yellow"/>
          <w:shd w:val="clear" w:color="auto" w:fill="FFFFFF"/>
        </w:rPr>
        <w:t xml:space="preserve">Journal of Visual and PerformingArts, </w:t>
      </w:r>
      <w:r w:rsidRPr="0020791B">
        <w:rPr>
          <w:rFonts w:ascii="Times New Roman" w:hAnsi="Times New Roman" w:cs="Times New Roman"/>
          <w:sz w:val="24"/>
          <w:szCs w:val="24"/>
          <w:highlight w:val="yellow"/>
          <w:shd w:val="clear" w:color="auto" w:fill="FFFFFF"/>
        </w:rPr>
        <w:t>5(6),1938-</w:t>
      </w:r>
      <w:commentRangeStart w:id="13"/>
      <w:r w:rsidRPr="0020791B">
        <w:rPr>
          <w:rFonts w:ascii="Times New Roman" w:hAnsi="Times New Roman" w:cs="Times New Roman"/>
          <w:sz w:val="24"/>
          <w:szCs w:val="24"/>
          <w:highlight w:val="yellow"/>
          <w:shd w:val="clear" w:color="auto" w:fill="FFFFFF"/>
        </w:rPr>
        <w:t>1949</w:t>
      </w:r>
      <w:commentRangeEnd w:id="13"/>
      <w:r w:rsidR="00AA6B1B">
        <w:rPr>
          <w:rStyle w:val="CommentReference"/>
        </w:rPr>
        <w:commentReference w:id="13"/>
      </w:r>
      <w:r w:rsidRPr="0020791B">
        <w:rPr>
          <w:rFonts w:ascii="Times New Roman" w:hAnsi="Times New Roman" w:cs="Times New Roman"/>
          <w:sz w:val="24"/>
          <w:szCs w:val="24"/>
          <w:highlight w:val="yellow"/>
          <w:shd w:val="clear" w:color="auto" w:fill="FFFFFF"/>
        </w:rPr>
        <w:t>.</w:t>
      </w:r>
      <w:r w:rsidR="00AA6B1B">
        <w:rPr>
          <w:rFonts w:ascii="Times New Roman" w:hAnsi="Times New Roman" w:cs="Times New Roman"/>
          <w:sz w:val="24"/>
          <w:szCs w:val="24"/>
          <w:shd w:val="clear" w:color="auto" w:fill="FFFFFF"/>
        </w:rPr>
        <w:t xml:space="preserve"> </w:t>
      </w:r>
    </w:p>
    <w:p w:rsidR="00626896" w:rsidRDefault="00792AD1">
      <w:pPr>
        <w:ind w:left="900" w:hanging="900"/>
        <w:jc w:val="both"/>
        <w:rPr>
          <w:rFonts w:ascii="Times New Roman" w:hAnsi="Times New Roman" w:cs="Times New Roman"/>
          <w:i/>
          <w:sz w:val="24"/>
          <w:szCs w:val="24"/>
        </w:rPr>
      </w:pPr>
      <w:r>
        <w:rPr>
          <w:rFonts w:ascii="Times New Roman" w:hAnsi="Times New Roman" w:cs="Times New Roman"/>
          <w:sz w:val="24"/>
          <w:szCs w:val="24"/>
        </w:rPr>
        <w:t>Rahaman M Wakilur,</w:t>
      </w:r>
      <w:r>
        <w:rPr>
          <w:rFonts w:ascii="Times New Roman" w:hAnsi="Times New Roman" w:cs="Times New Roman"/>
          <w:sz w:val="24"/>
          <w:szCs w:val="24"/>
          <w:shd w:val="clear" w:color="auto" w:fill="FFFFFF"/>
        </w:rPr>
        <w:t xml:space="preserve">LuoJianchao and Cheng Enjiang, </w:t>
      </w:r>
      <w:r>
        <w:rPr>
          <w:rFonts w:ascii="Times New Roman" w:hAnsi="Times New Roman" w:cs="Times New Roman"/>
          <w:sz w:val="24"/>
          <w:szCs w:val="24"/>
        </w:rPr>
        <w:t xml:space="preserve">2011, </w:t>
      </w:r>
      <w:r>
        <w:rPr>
          <w:rFonts w:ascii="Times New Roman" w:hAnsi="Times New Roman" w:cs="Times New Roman"/>
          <w:sz w:val="24"/>
          <w:szCs w:val="24"/>
          <w:shd w:val="clear" w:color="auto" w:fill="FFFFFF"/>
        </w:rPr>
        <w:t>Policies and performances of agricultural/rural credit in Bangladesh: What is the influence on agriculturalproduction?,</w:t>
      </w:r>
      <w:r>
        <w:rPr>
          <w:rFonts w:ascii="Times New Roman" w:hAnsi="Times New Roman" w:cs="Times New Roman"/>
          <w:i/>
          <w:sz w:val="24"/>
          <w:szCs w:val="24"/>
          <w:shd w:val="clear" w:color="auto" w:fill="FFFFFF"/>
        </w:rPr>
        <w:t>African Journal of Agricultural Research</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(31): 6440-6452.</w:t>
      </w:r>
    </w:p>
    <w:p w:rsidR="00626896" w:rsidRDefault="00626896">
      <w:pPr>
        <w:jc w:val="both"/>
        <w:rPr>
          <w:rFonts w:ascii="Times New Roman" w:hAnsi="Times New Roman" w:cs="Times New Roman"/>
          <w:sz w:val="24"/>
          <w:szCs w:val="24"/>
        </w:rPr>
      </w:pPr>
    </w:p>
    <w:sectPr w:rsidR="00626896" w:rsidSect="006268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Windows" w:date="2025-11-17T14:20:00Z" w:initials="W">
    <w:p w:rsidR="0020791B" w:rsidRDefault="0020791B">
      <w:pPr>
        <w:pStyle w:val="CommentText"/>
      </w:pPr>
      <w:r>
        <w:rPr>
          <w:rStyle w:val="CommentReference"/>
        </w:rPr>
        <w:annotationRef/>
      </w:r>
      <w:r>
        <w:t>The value is not matching with the table value (39%)</w:t>
      </w:r>
    </w:p>
  </w:comment>
  <w:comment w:id="8" w:author="Windows" w:date="2025-11-17T14:20:00Z" w:initials="W">
    <w:p w:rsidR="0020791B" w:rsidRDefault="0020791B">
      <w:pPr>
        <w:pStyle w:val="CommentText"/>
      </w:pPr>
      <w:r>
        <w:rPr>
          <w:rStyle w:val="CommentReference"/>
        </w:rPr>
        <w:annotationRef/>
      </w:r>
      <w:r>
        <w:t>Please check the spelling.</w:t>
      </w:r>
    </w:p>
  </w:comment>
  <w:comment w:id="9" w:author="Windows" w:date="2025-11-17T14:26:00Z" w:initials="W">
    <w:p w:rsidR="00AA6B1B" w:rsidRDefault="00AA6B1B">
      <w:pPr>
        <w:pStyle w:val="CommentText"/>
      </w:pPr>
      <w:r>
        <w:rPr>
          <w:rStyle w:val="CommentReference"/>
        </w:rPr>
        <w:annotationRef/>
      </w:r>
      <w:r>
        <w:t xml:space="preserve">Is this only Horticulture farmers or both Agriculture and Horticulture Farmers? </w:t>
      </w:r>
    </w:p>
    <w:p w:rsidR="00AA6B1B" w:rsidRDefault="00AA6B1B">
      <w:pPr>
        <w:pStyle w:val="CommentText"/>
      </w:pPr>
      <w:r>
        <w:t>If both add ‘Agriculture’ and Horticulture Farmers.</w:t>
      </w:r>
    </w:p>
  </w:comment>
  <w:comment w:id="10" w:author="Windows" w:date="2025-11-17T14:24:00Z" w:initials="W">
    <w:p w:rsidR="00AA6B1B" w:rsidRDefault="00AA6B1B">
      <w:pPr>
        <w:pStyle w:val="CommentText"/>
      </w:pPr>
      <w:r>
        <w:rPr>
          <w:rStyle w:val="CommentReference"/>
        </w:rPr>
        <w:annotationRef/>
      </w:r>
      <w:r>
        <w:t>Low profit margin is also 64%. Kindly cross check the Table 6</w:t>
      </w:r>
    </w:p>
  </w:comment>
  <w:comment w:id="11" w:author="Windows" w:date="2025-11-17T14:27:00Z" w:initials="W">
    <w:p w:rsidR="00AA6B1B" w:rsidRDefault="00AA6B1B" w:rsidP="00AA6B1B">
      <w:pPr>
        <w:pStyle w:val="CommentText"/>
      </w:pPr>
      <w:r>
        <w:rPr>
          <w:rStyle w:val="CommentReference"/>
        </w:rPr>
        <w:annotationRef/>
      </w:r>
      <w:r>
        <w:t xml:space="preserve">Is this only Horticulture farmers or both Agriculture and Horticulture Farmers? </w:t>
      </w:r>
    </w:p>
    <w:p w:rsidR="00AA6B1B" w:rsidRDefault="00AA6B1B">
      <w:pPr>
        <w:pStyle w:val="CommentText"/>
      </w:pPr>
      <w:r>
        <w:t>If both add ‘Agriculture’ and Horticulture Farmers.</w:t>
      </w:r>
    </w:p>
  </w:comment>
  <w:comment w:id="12" w:author="Windows" w:date="2025-11-17T14:28:00Z" w:initials="W">
    <w:p w:rsidR="00AA6B1B" w:rsidRDefault="00AA6B1B">
      <w:pPr>
        <w:pStyle w:val="CommentText"/>
      </w:pPr>
      <w:r>
        <w:rPr>
          <w:rStyle w:val="CommentReference"/>
        </w:rPr>
        <w:annotationRef/>
      </w:r>
      <w:r>
        <w:t>Not cited anywhere in the text body.</w:t>
      </w:r>
    </w:p>
  </w:comment>
  <w:comment w:id="13" w:author="Windows" w:date="2025-11-17T14:30:00Z" w:initials="W">
    <w:p w:rsidR="00AA6B1B" w:rsidRDefault="00AA6B1B">
      <w:pPr>
        <w:pStyle w:val="CommentText"/>
      </w:pPr>
      <w:r>
        <w:rPr>
          <w:rStyle w:val="CommentReference"/>
        </w:rPr>
        <w:annotationRef/>
      </w:r>
      <w:r>
        <w:t>Not cited anywhere in the text body.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88C" w:rsidRDefault="0076288C">
      <w:pPr>
        <w:spacing w:line="240" w:lineRule="auto"/>
      </w:pPr>
      <w:r>
        <w:separator/>
      </w:r>
    </w:p>
  </w:endnote>
  <w:endnote w:type="continuationSeparator" w:id="1">
    <w:p w:rsidR="0076288C" w:rsidRDefault="007628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88C" w:rsidRDefault="0076288C">
      <w:pPr>
        <w:spacing w:after="0"/>
      </w:pPr>
      <w:r>
        <w:separator/>
      </w:r>
    </w:p>
  </w:footnote>
  <w:footnote w:type="continuationSeparator" w:id="1">
    <w:p w:rsidR="0076288C" w:rsidRDefault="007628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Header"/>
    </w:pPr>
    <w:r w:rsidRPr="00A402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Header"/>
    </w:pPr>
    <w:r w:rsidRPr="00A402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6D" w:rsidRDefault="006B416D">
    <w:pPr>
      <w:pStyle w:val="Header"/>
    </w:pPr>
    <w:r w:rsidRPr="00A402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1ECD"/>
    <w:multiLevelType w:val="multilevel"/>
    <w:tmpl w:val="1B251EC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8D7F54"/>
    <w:multiLevelType w:val="multilevel"/>
    <w:tmpl w:val="458D7F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B64E7B"/>
    <w:multiLevelType w:val="multilevel"/>
    <w:tmpl w:val="56B64E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22F4E"/>
    <w:rsid w:val="0000020F"/>
    <w:rsid w:val="000E46CB"/>
    <w:rsid w:val="000F660F"/>
    <w:rsid w:val="00153B10"/>
    <w:rsid w:val="0020791B"/>
    <w:rsid w:val="00344F90"/>
    <w:rsid w:val="003870A8"/>
    <w:rsid w:val="00392A9C"/>
    <w:rsid w:val="003B66E7"/>
    <w:rsid w:val="003E65A5"/>
    <w:rsid w:val="00480610"/>
    <w:rsid w:val="004E02FE"/>
    <w:rsid w:val="00626896"/>
    <w:rsid w:val="00634034"/>
    <w:rsid w:val="00667C1A"/>
    <w:rsid w:val="006B3CE5"/>
    <w:rsid w:val="006B416D"/>
    <w:rsid w:val="00702289"/>
    <w:rsid w:val="007238B2"/>
    <w:rsid w:val="00746969"/>
    <w:rsid w:val="0076288C"/>
    <w:rsid w:val="00792AD1"/>
    <w:rsid w:val="00815C43"/>
    <w:rsid w:val="00915D97"/>
    <w:rsid w:val="00967813"/>
    <w:rsid w:val="00970A1B"/>
    <w:rsid w:val="00986983"/>
    <w:rsid w:val="00A32533"/>
    <w:rsid w:val="00A40213"/>
    <w:rsid w:val="00A60BDD"/>
    <w:rsid w:val="00AA6B1B"/>
    <w:rsid w:val="00AC4200"/>
    <w:rsid w:val="00AE2E4D"/>
    <w:rsid w:val="00AF4123"/>
    <w:rsid w:val="00BB73E2"/>
    <w:rsid w:val="00CB1B0D"/>
    <w:rsid w:val="00CE3972"/>
    <w:rsid w:val="00D22F4E"/>
    <w:rsid w:val="00D23534"/>
    <w:rsid w:val="00D424FD"/>
    <w:rsid w:val="00ED068A"/>
    <w:rsid w:val="00F1370F"/>
    <w:rsid w:val="00F9313F"/>
    <w:rsid w:val="25A00A06"/>
    <w:rsid w:val="6C184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96"/>
    <w:pPr>
      <w:spacing w:after="200" w:line="276" w:lineRule="auto"/>
    </w:pPr>
    <w:rPr>
      <w:sz w:val="22"/>
      <w:szCs w:val="22"/>
      <w:lang w:val="en-IN"/>
    </w:rPr>
  </w:style>
  <w:style w:type="paragraph" w:styleId="Heading1">
    <w:name w:val="heading 1"/>
    <w:basedOn w:val="Normal"/>
    <w:next w:val="Normal"/>
    <w:link w:val="Heading1Char"/>
    <w:uiPriority w:val="9"/>
    <w:qFormat/>
    <w:rsid w:val="0062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6896"/>
    <w:rPr>
      <w:i/>
      <w:iCs/>
    </w:rPr>
  </w:style>
  <w:style w:type="paragraph" w:styleId="NormalWeb">
    <w:name w:val="Normal (Web)"/>
    <w:basedOn w:val="Normal"/>
    <w:uiPriority w:val="99"/>
    <w:semiHidden/>
    <w:unhideWhenUsed/>
    <w:qFormat/>
    <w:rsid w:val="006268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6896"/>
    <w:rPr>
      <w:b/>
      <w:bCs/>
    </w:rPr>
  </w:style>
  <w:style w:type="paragraph" w:styleId="Subtitle">
    <w:name w:val="Subtitle"/>
    <w:basedOn w:val="Normal"/>
    <w:next w:val="Normal"/>
    <w:link w:val="SubtitleChar"/>
    <w:uiPriority w:val="11"/>
    <w:qFormat/>
    <w:rsid w:val="0062689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2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2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2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26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26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26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2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2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2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2689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2689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2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9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26896"/>
    <w:rPr>
      <w:i/>
      <w:iCs/>
      <w:color w:val="404040" w:themeColor="text1" w:themeTint="BF"/>
    </w:rPr>
  </w:style>
  <w:style w:type="paragraph" w:styleId="ListParagraph">
    <w:name w:val="List Paragraph"/>
    <w:basedOn w:val="Normal"/>
    <w:link w:val="ListParagraphChar"/>
    <w:uiPriority w:val="34"/>
    <w:qFormat/>
    <w:rsid w:val="00626896"/>
    <w:pPr>
      <w:ind w:left="720"/>
      <w:contextualSpacing/>
    </w:pPr>
  </w:style>
  <w:style w:type="character" w:customStyle="1" w:styleId="IntenseEmphasis1">
    <w:name w:val="Intense Emphasis1"/>
    <w:basedOn w:val="DefaultParagraphFont"/>
    <w:uiPriority w:val="21"/>
    <w:qFormat/>
    <w:rsid w:val="00626896"/>
    <w:rPr>
      <w:i/>
      <w:iCs/>
      <w:color w:val="0F4761" w:themeColor="accent1" w:themeShade="BF"/>
    </w:rPr>
  </w:style>
  <w:style w:type="paragraph" w:styleId="IntenseQuote">
    <w:name w:val="Intense Quote"/>
    <w:basedOn w:val="Normal"/>
    <w:next w:val="Normal"/>
    <w:link w:val="IntenseQuoteChar"/>
    <w:uiPriority w:val="30"/>
    <w:qFormat/>
    <w:rsid w:val="0062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26896"/>
    <w:rPr>
      <w:i/>
      <w:iCs/>
      <w:color w:val="0F4761" w:themeColor="accent1" w:themeShade="BF"/>
    </w:rPr>
  </w:style>
  <w:style w:type="character" w:customStyle="1" w:styleId="IntenseReference1">
    <w:name w:val="Intense Reference1"/>
    <w:basedOn w:val="DefaultParagraphFont"/>
    <w:uiPriority w:val="32"/>
    <w:qFormat/>
    <w:rsid w:val="00626896"/>
    <w:rPr>
      <w:b/>
      <w:bCs/>
      <w:smallCaps/>
      <w:color w:val="0F4761" w:themeColor="accent1" w:themeShade="BF"/>
      <w:spacing w:val="5"/>
    </w:rPr>
  </w:style>
  <w:style w:type="character" w:customStyle="1" w:styleId="apple-converted-space">
    <w:name w:val="apple-converted-space"/>
    <w:basedOn w:val="DefaultParagraphFont"/>
    <w:qFormat/>
    <w:rsid w:val="00626896"/>
  </w:style>
  <w:style w:type="paragraph" w:styleId="NoSpacing">
    <w:name w:val="No Spacing"/>
    <w:uiPriority w:val="1"/>
    <w:qFormat/>
    <w:rsid w:val="00626896"/>
    <w:rPr>
      <w:sz w:val="22"/>
      <w:szCs w:val="22"/>
      <w:lang w:val="en-IN" w:eastAsia="en-IN"/>
    </w:rPr>
  </w:style>
  <w:style w:type="character" w:customStyle="1" w:styleId="ListParagraphChar">
    <w:name w:val="List Paragraph Char"/>
    <w:basedOn w:val="DefaultParagraphFont"/>
    <w:link w:val="ListParagraph"/>
    <w:uiPriority w:val="34"/>
    <w:qFormat/>
    <w:locked/>
    <w:rsid w:val="00626896"/>
  </w:style>
  <w:style w:type="character" w:styleId="Hyperlink">
    <w:name w:val="Hyperlink"/>
    <w:basedOn w:val="DefaultParagraphFont"/>
    <w:uiPriority w:val="99"/>
    <w:unhideWhenUsed/>
    <w:rsid w:val="00967813"/>
    <w:rPr>
      <w:color w:val="467886" w:themeColor="hyperlink"/>
      <w:u w:val="single"/>
    </w:rPr>
  </w:style>
  <w:style w:type="character" w:customStyle="1" w:styleId="UnresolvedMention">
    <w:name w:val="Unresolved Mention"/>
    <w:basedOn w:val="DefaultParagraphFont"/>
    <w:uiPriority w:val="99"/>
    <w:semiHidden/>
    <w:unhideWhenUsed/>
    <w:rsid w:val="00967813"/>
    <w:rPr>
      <w:color w:val="605E5C"/>
      <w:shd w:val="clear" w:color="auto" w:fill="E1DFDD"/>
    </w:rPr>
  </w:style>
  <w:style w:type="paragraph" w:styleId="Header">
    <w:name w:val="header"/>
    <w:basedOn w:val="Normal"/>
    <w:link w:val="HeaderChar"/>
    <w:uiPriority w:val="99"/>
    <w:unhideWhenUsed/>
    <w:rsid w:val="00815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43"/>
    <w:rPr>
      <w:sz w:val="22"/>
      <w:szCs w:val="22"/>
      <w:lang w:val="en-IN"/>
    </w:rPr>
  </w:style>
  <w:style w:type="paragraph" w:styleId="Footer">
    <w:name w:val="footer"/>
    <w:basedOn w:val="Normal"/>
    <w:link w:val="FooterChar"/>
    <w:uiPriority w:val="99"/>
    <w:unhideWhenUsed/>
    <w:rsid w:val="00815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43"/>
    <w:rPr>
      <w:sz w:val="22"/>
      <w:szCs w:val="22"/>
      <w:lang w:val="en-IN"/>
    </w:rPr>
  </w:style>
  <w:style w:type="character" w:styleId="CommentReference">
    <w:name w:val="annotation reference"/>
    <w:basedOn w:val="DefaultParagraphFont"/>
    <w:uiPriority w:val="99"/>
    <w:semiHidden/>
    <w:unhideWhenUsed/>
    <w:rsid w:val="0020791B"/>
    <w:rPr>
      <w:sz w:val="16"/>
      <w:szCs w:val="16"/>
    </w:rPr>
  </w:style>
  <w:style w:type="paragraph" w:styleId="CommentText">
    <w:name w:val="annotation text"/>
    <w:basedOn w:val="Normal"/>
    <w:link w:val="CommentTextChar"/>
    <w:uiPriority w:val="99"/>
    <w:semiHidden/>
    <w:unhideWhenUsed/>
    <w:rsid w:val="0020791B"/>
    <w:pPr>
      <w:spacing w:line="240" w:lineRule="auto"/>
    </w:pPr>
    <w:rPr>
      <w:sz w:val="20"/>
      <w:szCs w:val="20"/>
    </w:rPr>
  </w:style>
  <w:style w:type="character" w:customStyle="1" w:styleId="CommentTextChar">
    <w:name w:val="Comment Text Char"/>
    <w:basedOn w:val="DefaultParagraphFont"/>
    <w:link w:val="CommentText"/>
    <w:uiPriority w:val="99"/>
    <w:semiHidden/>
    <w:rsid w:val="0020791B"/>
    <w:rPr>
      <w:lang w:val="en-IN"/>
    </w:rPr>
  </w:style>
  <w:style w:type="paragraph" w:styleId="CommentSubject">
    <w:name w:val="annotation subject"/>
    <w:basedOn w:val="CommentText"/>
    <w:next w:val="CommentText"/>
    <w:link w:val="CommentSubjectChar"/>
    <w:uiPriority w:val="99"/>
    <w:semiHidden/>
    <w:unhideWhenUsed/>
    <w:rsid w:val="0020791B"/>
    <w:rPr>
      <w:b/>
      <w:bCs/>
    </w:rPr>
  </w:style>
  <w:style w:type="character" w:customStyle="1" w:styleId="CommentSubjectChar">
    <w:name w:val="Comment Subject Char"/>
    <w:basedOn w:val="CommentTextChar"/>
    <w:link w:val="CommentSubject"/>
    <w:uiPriority w:val="99"/>
    <w:semiHidden/>
    <w:rsid w:val="0020791B"/>
    <w:rPr>
      <w:b/>
      <w:bCs/>
    </w:rPr>
  </w:style>
  <w:style w:type="paragraph" w:styleId="BalloonText">
    <w:name w:val="Balloon Text"/>
    <w:basedOn w:val="Normal"/>
    <w:link w:val="BalloonTextChar"/>
    <w:uiPriority w:val="99"/>
    <w:semiHidden/>
    <w:unhideWhenUsed/>
    <w:rsid w:val="0020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91B"/>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dc:creator>
  <cp:lastModifiedBy>Windows</cp:lastModifiedBy>
  <cp:revision>13</cp:revision>
  <dcterms:created xsi:type="dcterms:W3CDTF">2025-10-16T04:32:00Z</dcterms:created>
  <dcterms:modified xsi:type="dcterms:W3CDTF">2025-11-17T09:06:00Z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1F1F3147ECF448AC8461B5DD1DC56C99_12</vt:lpwstr>
  </property>
</Properties>
</file>