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D3EA5" w14:textId="03B14662" w:rsidR="00203A7D" w:rsidRPr="00B24721" w:rsidRDefault="00A20834" w:rsidP="00B24721">
      <w:pPr>
        <w:pStyle w:val="a3"/>
        <w:jc w:val="center"/>
        <w:rPr>
          <w:rFonts w:ascii="Arial" w:hAnsi="Arial" w:cs="Arial"/>
          <w:b/>
          <w:bCs/>
          <w:sz w:val="32"/>
          <w:szCs w:val="32"/>
        </w:rPr>
      </w:pPr>
      <w:r w:rsidRPr="00B24721">
        <w:rPr>
          <w:rFonts w:ascii="Arial" w:hAnsi="Arial" w:cs="Arial"/>
          <w:b/>
          <w:bCs/>
          <w:sz w:val="32"/>
          <w:szCs w:val="32"/>
        </w:rPr>
        <w:t>Therapeutic Potential of</w:t>
      </w:r>
      <w:r w:rsidRPr="00B24721">
        <w:rPr>
          <w:rFonts w:ascii="Arial" w:hAnsi="Arial" w:cs="Arial"/>
          <w:b/>
          <w:bCs/>
          <w:i/>
          <w:iCs/>
          <w:sz w:val="32"/>
          <w:szCs w:val="32"/>
        </w:rPr>
        <w:t> </w:t>
      </w:r>
      <w:proofErr w:type="spellStart"/>
      <w:r w:rsidRPr="00B24721">
        <w:rPr>
          <w:rFonts w:ascii="Arial" w:hAnsi="Arial" w:cs="Arial"/>
          <w:b/>
          <w:bCs/>
          <w:i/>
          <w:iCs/>
          <w:sz w:val="32"/>
          <w:szCs w:val="32"/>
        </w:rPr>
        <w:t>Diospyros</w:t>
      </w:r>
      <w:proofErr w:type="spellEnd"/>
      <w:r w:rsidRPr="00B24721">
        <w:rPr>
          <w:rFonts w:ascii="Arial" w:hAnsi="Arial" w:cs="Arial"/>
          <w:b/>
          <w:bCs/>
          <w:i/>
          <w:iCs/>
          <w:sz w:val="32"/>
          <w:szCs w:val="32"/>
        </w:rPr>
        <w:t xml:space="preserve"> </w:t>
      </w:r>
      <w:proofErr w:type="spellStart"/>
      <w:r w:rsidRPr="00B24721">
        <w:rPr>
          <w:rFonts w:ascii="Arial" w:hAnsi="Arial" w:cs="Arial"/>
          <w:b/>
          <w:bCs/>
          <w:i/>
          <w:iCs/>
          <w:sz w:val="32"/>
          <w:szCs w:val="32"/>
        </w:rPr>
        <w:t>malabarica</w:t>
      </w:r>
      <w:proofErr w:type="spellEnd"/>
      <w:r w:rsidRPr="00B24721">
        <w:rPr>
          <w:rFonts w:ascii="Arial" w:hAnsi="Arial" w:cs="Arial"/>
          <w:b/>
          <w:bCs/>
          <w:sz w:val="32"/>
          <w:szCs w:val="32"/>
        </w:rPr>
        <w:t xml:space="preserve">: Significant Anticancer, Antimicrobial, </w:t>
      </w:r>
      <w:proofErr w:type="spellStart"/>
      <w:r w:rsidRPr="00B24721">
        <w:rPr>
          <w:rFonts w:ascii="Arial" w:hAnsi="Arial" w:cs="Arial"/>
          <w:b/>
          <w:bCs/>
          <w:sz w:val="32"/>
          <w:szCs w:val="32"/>
        </w:rPr>
        <w:t>Antisickling</w:t>
      </w:r>
      <w:proofErr w:type="spellEnd"/>
      <w:r w:rsidRPr="00B24721">
        <w:rPr>
          <w:rFonts w:ascii="Arial" w:hAnsi="Arial" w:cs="Arial"/>
          <w:b/>
          <w:bCs/>
          <w:sz w:val="32"/>
          <w:szCs w:val="32"/>
        </w:rPr>
        <w:t>, and Sedative Effects of Its Methanolic Extract</w:t>
      </w:r>
    </w:p>
    <w:p w14:paraId="423FFBE0" w14:textId="77777777" w:rsidR="00AB1B6A" w:rsidRDefault="00AB1B6A" w:rsidP="004D3542">
      <w:pPr>
        <w:pStyle w:val="a3"/>
        <w:jc w:val="both"/>
        <w:rPr>
          <w:rFonts w:ascii="Arial" w:hAnsi="Arial" w:cs="Arial"/>
          <w:b/>
          <w:bCs/>
          <w:sz w:val="28"/>
          <w:szCs w:val="28"/>
        </w:rPr>
      </w:pPr>
    </w:p>
    <w:p w14:paraId="0D9A67BA" w14:textId="33EA6561" w:rsidR="00C127ED" w:rsidRPr="001F7B7B" w:rsidRDefault="00C127ED" w:rsidP="004D3542">
      <w:pPr>
        <w:pStyle w:val="a3"/>
        <w:jc w:val="both"/>
        <w:rPr>
          <w:rFonts w:ascii="Arial" w:hAnsi="Arial" w:cs="Arial"/>
          <w:sz w:val="28"/>
          <w:szCs w:val="28"/>
        </w:rPr>
      </w:pPr>
      <w:r w:rsidRPr="001F7B7B">
        <w:rPr>
          <w:rFonts w:ascii="Arial" w:hAnsi="Arial" w:cs="Arial"/>
          <w:b/>
          <w:bCs/>
          <w:sz w:val="28"/>
          <w:szCs w:val="28"/>
        </w:rPr>
        <w:t>Abstract</w:t>
      </w:r>
    </w:p>
    <w:p w14:paraId="7C83F132" w14:textId="487AEF4E" w:rsidR="002D78F0" w:rsidRPr="00B24721" w:rsidRDefault="00C127ED" w:rsidP="004D3542">
      <w:pPr>
        <w:pStyle w:val="a3"/>
        <w:jc w:val="both"/>
        <w:rPr>
          <w:rFonts w:ascii="Arial" w:hAnsi="Arial" w:cs="Arial"/>
        </w:rPr>
      </w:pPr>
      <w:commentRangeStart w:id="0"/>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rPr>
        <w:t xml:space="preserve">, more commonly referred to as the Gaub tree, is known for its ethnomedicine applications, though there is inadequate research regarding its physical capabilities. Herein is described the full study investigating the anticancer, antimicrobial, </w:t>
      </w:r>
      <w:proofErr w:type="spellStart"/>
      <w:r w:rsidRPr="00B24721">
        <w:rPr>
          <w:rFonts w:ascii="Arial" w:hAnsi="Arial" w:cs="Arial"/>
        </w:rPr>
        <w:t>antisickling</w:t>
      </w:r>
      <w:proofErr w:type="spellEnd"/>
      <w:r w:rsidRPr="00B24721">
        <w:rPr>
          <w:rFonts w:ascii="Arial" w:hAnsi="Arial" w:cs="Arial"/>
        </w:rPr>
        <w:t xml:space="preserve"> and </w:t>
      </w:r>
      <w:proofErr w:type="spellStart"/>
      <w:r w:rsidRPr="00B24721">
        <w:rPr>
          <w:rFonts w:ascii="Arial" w:hAnsi="Arial" w:cs="Arial"/>
        </w:rPr>
        <w:t>neuropharmacological</w:t>
      </w:r>
      <w:proofErr w:type="spellEnd"/>
      <w:r w:rsidRPr="00B24721">
        <w:rPr>
          <w:rFonts w:ascii="Arial" w:hAnsi="Arial" w:cs="Arial"/>
        </w:rPr>
        <w:t xml:space="preserve"> activities of a methanol extract of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xml:space="preserve"> leaves (MEDM).</w:t>
      </w:r>
      <w:commentRangeEnd w:id="0"/>
      <w:r w:rsidR="00320B38">
        <w:rPr>
          <w:rStyle w:val="a9"/>
          <w:rFonts w:asciiTheme="minorHAnsi" w:eastAsiaTheme="minorHAnsi" w:hAnsiTheme="minorHAnsi" w:cstheme="minorBidi"/>
        </w:rPr>
        <w:commentReference w:id="0"/>
      </w:r>
      <w:r w:rsidRPr="00B24721">
        <w:rPr>
          <w:rFonts w:ascii="Arial" w:hAnsi="Arial" w:cs="Arial"/>
        </w:rPr>
        <w:t xml:space="preserve"> </w:t>
      </w:r>
      <w:commentRangeStart w:id="1"/>
      <w:r w:rsidRPr="00B24721">
        <w:rPr>
          <w:rFonts w:ascii="Arial" w:hAnsi="Arial" w:cs="Arial"/>
        </w:rPr>
        <w:t xml:space="preserve">MEDM was prepared by cold maceration, and subjected to standardized </w:t>
      </w:r>
      <w:commentRangeStart w:id="2"/>
      <w:r w:rsidRPr="00B24721">
        <w:rPr>
          <w:rFonts w:ascii="Arial" w:hAnsi="Arial" w:cs="Arial"/>
        </w:rPr>
        <w:t>bioassays</w:t>
      </w:r>
      <w:commentRangeEnd w:id="2"/>
      <w:r w:rsidR="00320B38">
        <w:rPr>
          <w:rStyle w:val="a9"/>
          <w:rFonts w:asciiTheme="minorHAnsi" w:eastAsiaTheme="minorHAnsi" w:hAnsiTheme="minorHAnsi" w:cstheme="minorBidi"/>
        </w:rPr>
        <w:commentReference w:id="2"/>
      </w:r>
      <w:r w:rsidRPr="00B24721">
        <w:rPr>
          <w:rFonts w:ascii="Arial" w:hAnsi="Arial" w:cs="Arial"/>
        </w:rPr>
        <w:t>.</w:t>
      </w:r>
      <w:commentRangeEnd w:id="1"/>
      <w:r w:rsidR="00320B38">
        <w:rPr>
          <w:rStyle w:val="a9"/>
          <w:rFonts w:asciiTheme="minorHAnsi" w:eastAsiaTheme="minorHAnsi" w:hAnsiTheme="minorHAnsi" w:cstheme="minorBidi"/>
        </w:rPr>
        <w:commentReference w:id="1"/>
      </w:r>
      <w:r w:rsidRPr="00B24721">
        <w:rPr>
          <w:rFonts w:ascii="Arial" w:hAnsi="Arial" w:cs="Arial"/>
          <w:sz w:val="21"/>
          <w:szCs w:val="21"/>
        </w:rPr>
        <w:t xml:space="preserve"> </w:t>
      </w:r>
      <w:commentRangeStart w:id="3"/>
      <w:r w:rsidRPr="00B24721">
        <w:rPr>
          <w:rFonts w:ascii="Arial" w:hAnsi="Arial" w:cs="Arial"/>
        </w:rPr>
        <w:t xml:space="preserve">MEDM showed considerable anticancer activity with a clear dose-dependent effect against the cervical cancer cell line HeLa, inhibiting cell growth by 49.16 (1000 µg/mL), in conjunction with unequivocal morphological evidence of apoptosis. In a disc diffusion test of antimicrobial properties, MEDM showed broad-spectrum activity against Gram-positive (Bacillus cereus and Staphylococcus aureus) and Gram-negative bacteria (Vibrio cholerae and Klebsiella pneumoniae), as well as several fungi, and inhibition zones increased in a concentration-dependent manner. A unique and notable finding was the validated potent </w:t>
      </w:r>
      <w:proofErr w:type="spellStart"/>
      <w:r w:rsidRPr="00B24721">
        <w:rPr>
          <w:rFonts w:ascii="Arial" w:hAnsi="Arial" w:cs="Arial"/>
        </w:rPr>
        <w:t>antisickling</w:t>
      </w:r>
      <w:proofErr w:type="spellEnd"/>
      <w:r w:rsidRPr="00B24721">
        <w:rPr>
          <w:rFonts w:ascii="Arial" w:hAnsi="Arial" w:cs="Arial"/>
        </w:rPr>
        <w:t xml:space="preserve"> activity where MEDM (500 µg/mL) reversed sickled red blood cells by 72.49% after 120 minutes and was found to be superior to the standard drug phenylalanine at several different time points. The neuropharmacological study suggested obvious effects, and in the sleep test with thiopental sodium, 400 mg/kg of MEDM significantly reduced the time to sleep and increased asleep time. Also, in the forced swimming test, MEDM significantly increased immobility time in a dose-dependent manner, suggesting a sedative effect. </w:t>
      </w:r>
      <w:commentRangeEnd w:id="3"/>
      <w:r w:rsidR="00320B38">
        <w:rPr>
          <w:rStyle w:val="a9"/>
          <w:rFonts w:asciiTheme="minorHAnsi" w:eastAsiaTheme="minorHAnsi" w:hAnsiTheme="minorHAnsi" w:cstheme="minorBidi"/>
        </w:rPr>
        <w:commentReference w:id="3"/>
      </w:r>
      <w:commentRangeStart w:id="4"/>
      <w:r w:rsidRPr="00B24721">
        <w:rPr>
          <w:rFonts w:ascii="Arial" w:hAnsi="Arial" w:cs="Arial"/>
        </w:rPr>
        <w:t xml:space="preserve">The findings clearly show that </w:t>
      </w:r>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rPr>
        <w:t xml:space="preserve"> has a range of therapeutic effects. The bioactivities seen are probably due to its unique and abundant phytochemical profile characterized by flavonoids, tannins, and terpenoids, which are known to induce effects such as apoptosis, disrupt microbial membranes, block hemoglobin S polymerization and influence GABAergic neurotransmission. This work provides solid science to bolster the traditional uses of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These findings suggest a potential avenue for discovering future therapeutics for cancer, sickle cell disease, microbial infections, and/or neurological disorders.</w:t>
      </w:r>
      <w:commentRangeEnd w:id="4"/>
      <w:r w:rsidR="00320B38">
        <w:rPr>
          <w:rStyle w:val="a9"/>
          <w:rFonts w:asciiTheme="minorHAnsi" w:eastAsiaTheme="minorHAnsi" w:hAnsiTheme="minorHAnsi" w:cstheme="minorBidi"/>
        </w:rPr>
        <w:commentReference w:id="4"/>
      </w:r>
    </w:p>
    <w:p w14:paraId="3179D374" w14:textId="26D36CE0" w:rsidR="00203A7D" w:rsidRPr="00B24721" w:rsidRDefault="00203A7D" w:rsidP="004D3542">
      <w:pPr>
        <w:pStyle w:val="a3"/>
        <w:jc w:val="both"/>
        <w:rPr>
          <w:rFonts w:ascii="Arial" w:hAnsi="Arial" w:cs="Arial"/>
        </w:rPr>
      </w:pPr>
      <w:r w:rsidRPr="00B24721">
        <w:rPr>
          <w:rFonts w:ascii="Arial" w:hAnsi="Arial" w:cs="Arial"/>
          <w:b/>
          <w:bCs/>
        </w:rPr>
        <w:t>Keywords:</w:t>
      </w:r>
      <w:r w:rsidRPr="00B24721">
        <w:rPr>
          <w:rFonts w:ascii="Arial" w:hAnsi="Arial" w:cs="Arial"/>
        </w:rPr>
        <w:t> </w:t>
      </w:r>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rPr>
        <w:t xml:space="preserve">, anticancer, antimicrobial, </w:t>
      </w:r>
      <w:proofErr w:type="spellStart"/>
      <w:r w:rsidRPr="00B24721">
        <w:rPr>
          <w:rFonts w:ascii="Arial" w:hAnsi="Arial" w:cs="Arial"/>
        </w:rPr>
        <w:t>antisickling</w:t>
      </w:r>
      <w:proofErr w:type="spellEnd"/>
      <w:r w:rsidRPr="00B24721">
        <w:rPr>
          <w:rFonts w:ascii="Arial" w:hAnsi="Arial" w:cs="Arial"/>
        </w:rPr>
        <w:t>, neuropharmacological, phytochemicals.</w:t>
      </w:r>
    </w:p>
    <w:p w14:paraId="67DFEC43" w14:textId="128B13D1" w:rsidR="004D3542" w:rsidRPr="00B24721" w:rsidRDefault="004D3542" w:rsidP="004D3542">
      <w:pPr>
        <w:pStyle w:val="a3"/>
        <w:jc w:val="both"/>
        <w:rPr>
          <w:rFonts w:ascii="Arial" w:hAnsi="Arial" w:cs="Arial"/>
          <w:b/>
          <w:bCs/>
          <w:sz w:val="28"/>
          <w:szCs w:val="28"/>
        </w:rPr>
      </w:pPr>
      <w:r w:rsidRPr="00B24721">
        <w:rPr>
          <w:rFonts w:ascii="Arial" w:hAnsi="Arial" w:cs="Arial"/>
          <w:b/>
          <w:bCs/>
          <w:sz w:val="28"/>
          <w:szCs w:val="28"/>
        </w:rPr>
        <w:t>Introduction</w:t>
      </w:r>
    </w:p>
    <w:p w14:paraId="28D81A0A" w14:textId="3A9E1DBA" w:rsidR="004D3542" w:rsidRPr="00B24721" w:rsidRDefault="004D3542" w:rsidP="004D3542">
      <w:pPr>
        <w:pStyle w:val="a3"/>
        <w:jc w:val="both"/>
        <w:rPr>
          <w:rFonts w:ascii="Arial" w:hAnsi="Arial" w:cs="Arial"/>
          <w:b/>
          <w:bCs/>
          <w:sz w:val="28"/>
          <w:szCs w:val="28"/>
        </w:rPr>
      </w:pPr>
      <w:r w:rsidRPr="00B24721">
        <w:rPr>
          <w:rFonts w:ascii="Arial" w:hAnsi="Arial" w:cs="Arial"/>
        </w:rPr>
        <w:br/>
        <w:t xml:space="preserve">Medicinal plants have been used for centuries as a natural source of healing, providing remedies for a wide variety of diseases. They are known to contain bioactive compounds that form the basis of many modern pharmaceuticals. </w:t>
      </w:r>
      <w:r w:rsidR="00756E1E" w:rsidRPr="00B24721">
        <w:rPr>
          <w:rFonts w:ascii="Arial" w:hAnsi="Arial" w:cs="Arial"/>
        </w:rPr>
        <w:t xml:space="preserve">The rising prevalence </w:t>
      </w:r>
      <w:r w:rsidR="00756E1E" w:rsidRPr="00B24721">
        <w:rPr>
          <w:rFonts w:ascii="Arial" w:hAnsi="Arial" w:cs="Arial"/>
        </w:rPr>
        <w:lastRenderedPageBreak/>
        <w:t>of cancer, infectious diseases, and neurological disorders has created an urgent need for new treatments. However, limitations of existing therapies have intensified the global search for plant-derived compounds with novel therapeutic properties.</w:t>
      </w:r>
    </w:p>
    <w:p w14:paraId="056BC183" w14:textId="46BF81C6" w:rsidR="004D3542" w:rsidRPr="00B24721" w:rsidRDefault="004D3542" w:rsidP="004D3542">
      <w:pPr>
        <w:pStyle w:val="a3"/>
        <w:jc w:val="both"/>
        <w:rPr>
          <w:rFonts w:ascii="Arial" w:hAnsi="Arial" w:cs="Arial"/>
        </w:rPr>
      </w:pPr>
      <w:bookmarkStart w:id="5" w:name="_Hlk210856080"/>
      <w:proofErr w:type="spellStart"/>
      <w:r w:rsidRPr="00B24721">
        <w:rPr>
          <w:rStyle w:val="a4"/>
          <w:rFonts w:ascii="Arial" w:hAnsi="Arial" w:cs="Arial"/>
        </w:rPr>
        <w:t>Diospyros</w:t>
      </w:r>
      <w:proofErr w:type="spellEnd"/>
      <w:r w:rsidRPr="00B24721">
        <w:rPr>
          <w:rStyle w:val="a4"/>
          <w:rFonts w:ascii="Arial" w:hAnsi="Arial" w:cs="Arial"/>
        </w:rPr>
        <w:t xml:space="preserve"> </w:t>
      </w:r>
      <w:proofErr w:type="spellStart"/>
      <w:r w:rsidRPr="00B24721">
        <w:rPr>
          <w:rStyle w:val="a4"/>
          <w:rFonts w:ascii="Arial" w:hAnsi="Arial" w:cs="Arial"/>
        </w:rPr>
        <w:t>malabarica</w:t>
      </w:r>
      <w:proofErr w:type="spellEnd"/>
      <w:r w:rsidRPr="00B24721">
        <w:rPr>
          <w:rFonts w:ascii="Arial" w:hAnsi="Arial" w:cs="Arial"/>
        </w:rPr>
        <w:t xml:space="preserve"> </w:t>
      </w:r>
      <w:bookmarkEnd w:id="5"/>
      <w:r w:rsidRPr="00B24721">
        <w:rPr>
          <w:rFonts w:ascii="Arial" w:hAnsi="Arial" w:cs="Arial"/>
        </w:rPr>
        <w:t xml:space="preserve">commonly known as the Gaub tree, is traditionally used in South and Southeast Asia for the treatment of diarrhea, dysentery, wounds, fever, and microbial infections. Several phytochemical analyses have revealed that it contains flavonoids, tannins, terpenoids, and alkaloids, which may contribute to its pharmacological potential. While its ethnomedicinal importance is well recognized, critical pharmacological properties such as anticancer, </w:t>
      </w:r>
      <w:proofErr w:type="spellStart"/>
      <w:r w:rsidRPr="00B24721">
        <w:rPr>
          <w:rFonts w:ascii="Arial" w:hAnsi="Arial" w:cs="Arial"/>
        </w:rPr>
        <w:t>antisickling</w:t>
      </w:r>
      <w:proofErr w:type="spellEnd"/>
      <w:r w:rsidRPr="00B24721">
        <w:rPr>
          <w:rFonts w:ascii="Arial" w:hAnsi="Arial" w:cs="Arial"/>
        </w:rPr>
        <w:t xml:space="preserve">, antimicrobial, and </w:t>
      </w:r>
      <w:proofErr w:type="spellStart"/>
      <w:r w:rsidRPr="00B24721">
        <w:rPr>
          <w:rFonts w:ascii="Arial" w:hAnsi="Arial" w:cs="Arial"/>
        </w:rPr>
        <w:t>neuropharmacological</w:t>
      </w:r>
      <w:proofErr w:type="spellEnd"/>
      <w:r w:rsidRPr="00B24721">
        <w:rPr>
          <w:rFonts w:ascii="Arial" w:hAnsi="Arial" w:cs="Arial"/>
        </w:rPr>
        <w:t xml:space="preserve"> activities remain poorly studied in the scientific literature.</w:t>
      </w:r>
    </w:p>
    <w:p w14:paraId="69C53983" w14:textId="542F6F12" w:rsidR="00497870" w:rsidRPr="00B24721" w:rsidRDefault="00497870" w:rsidP="00497870">
      <w:pPr>
        <w:pStyle w:val="a3"/>
        <w:jc w:val="both"/>
        <w:rPr>
          <w:rFonts w:ascii="Arial" w:hAnsi="Arial" w:cs="Arial"/>
        </w:rPr>
      </w:pPr>
      <w:r w:rsidRPr="00B24721">
        <w:rPr>
          <w:rFonts w:ascii="Arial" w:hAnsi="Arial" w:cs="Arial"/>
        </w:rPr>
        <w:t xml:space="preserve">One of the most pressing areas where plant-derived compounds are needed is in cancer therapy. Anticancer activity refers to the ability of bioactive compounds to inhibit tumor growth, trigger apoptosis, or suppress the spread of malignant cells. With cancer being one of the leading causes of global mortality, the investigation of natural anticancer agents from </w:t>
      </w:r>
      <w:r w:rsidRPr="00B24721">
        <w:rPr>
          <w:rFonts w:ascii="Arial" w:hAnsi="Arial" w:cs="Arial"/>
          <w:i/>
          <w:iCs/>
        </w:rPr>
        <w:t xml:space="preserve">D. </w:t>
      </w:r>
      <w:proofErr w:type="spellStart"/>
      <w:r w:rsidRPr="00B24721">
        <w:rPr>
          <w:rFonts w:ascii="Arial" w:hAnsi="Arial" w:cs="Arial"/>
          <w:i/>
          <w:iCs/>
        </w:rPr>
        <w:t>malabarica</w:t>
      </w:r>
      <w:proofErr w:type="spellEnd"/>
      <w:r w:rsidRPr="00B24721">
        <w:rPr>
          <w:rFonts w:ascii="Arial" w:hAnsi="Arial" w:cs="Arial"/>
        </w:rPr>
        <w:t xml:space="preserve"> may reveal safer and more affordable therapeutic options.</w:t>
      </w:r>
    </w:p>
    <w:p w14:paraId="78510427" w14:textId="59B0ACCC" w:rsidR="00497870" w:rsidRPr="00B24721" w:rsidRDefault="00497870" w:rsidP="00497870">
      <w:pPr>
        <w:pStyle w:val="a3"/>
        <w:jc w:val="both"/>
        <w:rPr>
          <w:rFonts w:ascii="Arial" w:hAnsi="Arial" w:cs="Arial"/>
        </w:rPr>
      </w:pPr>
      <w:r w:rsidRPr="00B24721">
        <w:rPr>
          <w:rFonts w:ascii="Arial" w:hAnsi="Arial" w:cs="Arial"/>
        </w:rPr>
        <w:t xml:space="preserve">Closely linked to this is the search for agents that can improve blood-related disorders, particularly sickle cell disease. </w:t>
      </w:r>
      <w:proofErr w:type="spellStart"/>
      <w:r w:rsidRPr="00B24721">
        <w:rPr>
          <w:rFonts w:ascii="Arial" w:hAnsi="Arial" w:cs="Arial"/>
        </w:rPr>
        <w:t>Antisickling</w:t>
      </w:r>
      <w:proofErr w:type="spellEnd"/>
      <w:r w:rsidRPr="00B24721">
        <w:rPr>
          <w:rFonts w:ascii="Arial" w:hAnsi="Arial" w:cs="Arial"/>
        </w:rPr>
        <w:t xml:space="preserve"> activity involves preventing or reversing the deformation of red blood cells, a condition that leads to severe anemia and life-threatening complications. Since both cancer and sickle cell disease pose major global health burdens and often lack accessible treatments in developing regions, natural alternatives from medicinal plants like D. </w:t>
      </w:r>
      <w:proofErr w:type="spellStart"/>
      <w:r w:rsidRPr="00B24721">
        <w:rPr>
          <w:rFonts w:ascii="Arial" w:hAnsi="Arial" w:cs="Arial"/>
        </w:rPr>
        <w:t>malabarica</w:t>
      </w:r>
      <w:proofErr w:type="spellEnd"/>
      <w:r w:rsidRPr="00B24721">
        <w:rPr>
          <w:rFonts w:ascii="Arial" w:hAnsi="Arial" w:cs="Arial"/>
        </w:rPr>
        <w:t xml:space="preserve"> could be of significant value.</w:t>
      </w:r>
    </w:p>
    <w:p w14:paraId="7F93D5D7" w14:textId="45C96190" w:rsidR="00497870" w:rsidRPr="00B24721" w:rsidRDefault="00497870" w:rsidP="00497870">
      <w:pPr>
        <w:pStyle w:val="a3"/>
        <w:jc w:val="both"/>
        <w:rPr>
          <w:rFonts w:ascii="Arial" w:hAnsi="Arial" w:cs="Arial"/>
        </w:rPr>
      </w:pPr>
      <w:r w:rsidRPr="00B24721">
        <w:rPr>
          <w:rFonts w:ascii="Arial" w:hAnsi="Arial" w:cs="Arial"/>
        </w:rPr>
        <w:t>In addition to these systemic diseases, microbial infections remain a persistent challenge. The plant’s potential antimicrobial activity, through suppression of harmful bacteria and fungi, is especially important at a time when antimicrobial resistance is emerging as a serious global threat. This connection highlights the multifaceted role medicinal plants can play in addressing both chronic and infectious diseases.</w:t>
      </w:r>
    </w:p>
    <w:p w14:paraId="73B16D77" w14:textId="6AA7E357" w:rsidR="004D3542" w:rsidRPr="00B24721" w:rsidRDefault="00497870" w:rsidP="00497870">
      <w:pPr>
        <w:pStyle w:val="a3"/>
        <w:jc w:val="both"/>
        <w:rPr>
          <w:rFonts w:ascii="Arial" w:hAnsi="Arial" w:cs="Arial"/>
        </w:rPr>
      </w:pPr>
      <w:r w:rsidRPr="00B24721">
        <w:rPr>
          <w:rFonts w:ascii="Arial" w:hAnsi="Arial" w:cs="Arial"/>
        </w:rPr>
        <w:t xml:space="preserve">Finally, another growing concern is the rise of neurological disorders such as Alzheimer’s disease, Parkinson’s disease, and depression. Neuropharmacological activity, which encompasses protective and regulatory effects on the nervous system, is a promising field where plant-derived compounds may contribute to future therapies. Given the antioxidant and anti-inflammatory properties already reported in Diospyros species, exploring the neuroprotective potential of D. </w:t>
      </w:r>
      <w:proofErr w:type="spellStart"/>
      <w:r w:rsidRPr="00B24721">
        <w:rPr>
          <w:rFonts w:ascii="Arial" w:hAnsi="Arial" w:cs="Arial"/>
        </w:rPr>
        <w:t>malabarica</w:t>
      </w:r>
      <w:proofErr w:type="spellEnd"/>
      <w:r w:rsidRPr="00B24721">
        <w:rPr>
          <w:rFonts w:ascii="Arial" w:hAnsi="Arial" w:cs="Arial"/>
        </w:rPr>
        <w:t xml:space="preserve"> is particularly relevant. </w:t>
      </w:r>
      <w:r w:rsidR="004D3542" w:rsidRPr="00B24721">
        <w:rPr>
          <w:rFonts w:ascii="Arial" w:hAnsi="Arial" w:cs="Arial"/>
        </w:rPr>
        <w:t xml:space="preserve">This study aims to address these critical literature gaps by examining the anticancer, </w:t>
      </w:r>
      <w:proofErr w:type="spellStart"/>
      <w:r w:rsidR="004D3542" w:rsidRPr="00B24721">
        <w:rPr>
          <w:rFonts w:ascii="Arial" w:hAnsi="Arial" w:cs="Arial"/>
        </w:rPr>
        <w:t>antisickling</w:t>
      </w:r>
      <w:proofErr w:type="spellEnd"/>
      <w:r w:rsidR="004D3542" w:rsidRPr="00B24721">
        <w:rPr>
          <w:rFonts w:ascii="Arial" w:hAnsi="Arial" w:cs="Arial"/>
        </w:rPr>
        <w:t xml:space="preserve">, antimicrobial, and </w:t>
      </w:r>
      <w:proofErr w:type="spellStart"/>
      <w:r w:rsidR="004D3542" w:rsidRPr="00B24721">
        <w:rPr>
          <w:rFonts w:ascii="Arial" w:hAnsi="Arial" w:cs="Arial"/>
        </w:rPr>
        <w:t>neuropharmacological</w:t>
      </w:r>
      <w:proofErr w:type="spellEnd"/>
      <w:r w:rsidR="004D3542" w:rsidRPr="00B24721">
        <w:rPr>
          <w:rFonts w:ascii="Arial" w:hAnsi="Arial" w:cs="Arial"/>
        </w:rPr>
        <w:t xml:space="preserve"> effects of </w:t>
      </w:r>
      <w:proofErr w:type="spellStart"/>
      <w:r w:rsidR="004D3542" w:rsidRPr="00B24721">
        <w:rPr>
          <w:rStyle w:val="a4"/>
          <w:rFonts w:ascii="Arial" w:hAnsi="Arial" w:cs="Arial"/>
        </w:rPr>
        <w:t>Diospyros</w:t>
      </w:r>
      <w:proofErr w:type="spellEnd"/>
      <w:r w:rsidR="004D3542" w:rsidRPr="00B24721">
        <w:rPr>
          <w:rStyle w:val="a4"/>
          <w:rFonts w:ascii="Arial" w:hAnsi="Arial" w:cs="Arial"/>
        </w:rPr>
        <w:t xml:space="preserve"> </w:t>
      </w:r>
      <w:proofErr w:type="spellStart"/>
      <w:r w:rsidR="004D3542" w:rsidRPr="00B24721">
        <w:rPr>
          <w:rStyle w:val="a4"/>
          <w:rFonts w:ascii="Arial" w:hAnsi="Arial" w:cs="Arial"/>
        </w:rPr>
        <w:t>malabarica</w:t>
      </w:r>
      <w:proofErr w:type="spellEnd"/>
      <w:r w:rsidR="004D3542" w:rsidRPr="00B24721">
        <w:rPr>
          <w:rFonts w:ascii="Arial" w:hAnsi="Arial" w:cs="Arial"/>
        </w:rPr>
        <w:t xml:space="preserve">. Examining these properties will not only contribute to the current scientific understanding of its bioactive compounds but may also help in the treatment of conditions such as cancer, sickle cell disease, microbial infections, and neurological disorders. </w:t>
      </w:r>
      <w:commentRangeStart w:id="6"/>
      <w:r w:rsidR="004D3542" w:rsidRPr="00B24721">
        <w:rPr>
          <w:rFonts w:ascii="Arial" w:hAnsi="Arial" w:cs="Arial"/>
        </w:rPr>
        <w:t xml:space="preserve">The results of this work may inspire the development of novel medications based on </w:t>
      </w:r>
      <w:proofErr w:type="spellStart"/>
      <w:r w:rsidR="004D3542" w:rsidRPr="00B24721">
        <w:rPr>
          <w:rStyle w:val="a4"/>
          <w:rFonts w:ascii="Arial" w:hAnsi="Arial" w:cs="Arial"/>
        </w:rPr>
        <w:t>Diospyros</w:t>
      </w:r>
      <w:proofErr w:type="spellEnd"/>
      <w:r w:rsidR="004D3542" w:rsidRPr="00B24721">
        <w:rPr>
          <w:rStyle w:val="a4"/>
          <w:rFonts w:ascii="Arial" w:hAnsi="Arial" w:cs="Arial"/>
        </w:rPr>
        <w:t xml:space="preserve"> </w:t>
      </w:r>
      <w:proofErr w:type="spellStart"/>
      <w:r w:rsidR="004D3542" w:rsidRPr="00B24721">
        <w:rPr>
          <w:rStyle w:val="a4"/>
          <w:rFonts w:ascii="Arial" w:hAnsi="Arial" w:cs="Arial"/>
        </w:rPr>
        <w:t>malabarica</w:t>
      </w:r>
      <w:proofErr w:type="spellEnd"/>
      <w:r w:rsidR="004D3542" w:rsidRPr="00B24721">
        <w:rPr>
          <w:rFonts w:ascii="Arial" w:hAnsi="Arial" w:cs="Arial"/>
        </w:rPr>
        <w:t>, thereby extending its role in modern medicine.</w:t>
      </w:r>
      <w:commentRangeEnd w:id="6"/>
      <w:r w:rsidR="00320B38">
        <w:rPr>
          <w:rStyle w:val="a9"/>
          <w:rFonts w:asciiTheme="minorHAnsi" w:eastAsiaTheme="minorHAnsi" w:hAnsiTheme="minorHAnsi" w:cstheme="minorBidi"/>
        </w:rPr>
        <w:commentReference w:id="6"/>
      </w:r>
    </w:p>
    <w:p w14:paraId="1E0CDBA8" w14:textId="16ABFE38" w:rsidR="00AD6FFC" w:rsidRPr="00B24721" w:rsidRDefault="00327EAF" w:rsidP="00497870">
      <w:pPr>
        <w:pStyle w:val="a3"/>
        <w:jc w:val="both"/>
        <w:rPr>
          <w:rFonts w:ascii="Arial" w:hAnsi="Arial" w:cs="Arial"/>
          <w:b/>
          <w:bCs/>
        </w:rPr>
      </w:pPr>
      <w:r w:rsidRPr="00B24721">
        <w:rPr>
          <w:rFonts w:ascii="Arial" w:hAnsi="Arial" w:cs="Arial"/>
          <w:b/>
          <w:bCs/>
        </w:rPr>
        <w:lastRenderedPageBreak/>
        <w:t>2</w:t>
      </w:r>
      <w:commentRangeStart w:id="7"/>
      <w:r w:rsidRPr="00B24721">
        <w:rPr>
          <w:rFonts w:ascii="Arial" w:hAnsi="Arial" w:cs="Arial"/>
          <w:b/>
          <w:bCs/>
        </w:rPr>
        <w:t xml:space="preserve">. </w:t>
      </w:r>
      <w:r w:rsidR="00AD6FFC" w:rsidRPr="00B24721">
        <w:rPr>
          <w:rFonts w:ascii="Arial" w:hAnsi="Arial" w:cs="Arial"/>
          <w:b/>
          <w:bCs/>
        </w:rPr>
        <w:t>MATERIAL AND METHOD</w:t>
      </w:r>
      <w:commentRangeEnd w:id="7"/>
      <w:r w:rsidR="00F40E46">
        <w:rPr>
          <w:rStyle w:val="a9"/>
          <w:rFonts w:asciiTheme="minorHAnsi" w:eastAsiaTheme="minorHAnsi" w:hAnsiTheme="minorHAnsi" w:cstheme="minorBidi"/>
        </w:rPr>
        <w:commentReference w:id="7"/>
      </w:r>
    </w:p>
    <w:p w14:paraId="17FF1DF2" w14:textId="2AD686C9" w:rsidR="00AD6FFC" w:rsidRPr="00B24721" w:rsidRDefault="00327EAF" w:rsidP="00497870">
      <w:pPr>
        <w:pStyle w:val="a3"/>
        <w:jc w:val="both"/>
        <w:rPr>
          <w:rFonts w:ascii="Arial" w:hAnsi="Arial" w:cs="Arial"/>
          <w:b/>
          <w:bCs/>
        </w:rPr>
      </w:pPr>
      <w:r w:rsidRPr="00B24721">
        <w:rPr>
          <w:rFonts w:ascii="Arial" w:hAnsi="Arial" w:cs="Arial"/>
          <w:b/>
          <w:bCs/>
        </w:rPr>
        <w:t xml:space="preserve">2.1 </w:t>
      </w:r>
      <w:r w:rsidR="00AD6FFC" w:rsidRPr="00B24721">
        <w:rPr>
          <w:rFonts w:ascii="Arial" w:hAnsi="Arial" w:cs="Arial"/>
          <w:b/>
          <w:bCs/>
        </w:rPr>
        <w:t>Plant Material</w:t>
      </w:r>
    </w:p>
    <w:p w14:paraId="798A6116" w14:textId="5B78C607" w:rsidR="00AD6FFC" w:rsidRPr="00B24721" w:rsidRDefault="00AD6FFC" w:rsidP="00AD6FFC">
      <w:pPr>
        <w:pStyle w:val="a3"/>
        <w:jc w:val="both"/>
        <w:rPr>
          <w:rFonts w:ascii="Arial" w:hAnsi="Arial" w:cs="Arial"/>
        </w:rPr>
      </w:pPr>
      <w:r w:rsidRPr="00B24721">
        <w:rPr>
          <w:rFonts w:ascii="Arial" w:hAnsi="Arial" w:cs="Arial"/>
        </w:rPr>
        <w:t xml:space="preserve">Leaves from the </w:t>
      </w:r>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rPr>
        <w:t xml:space="preserve"> plant was gathered in August 2024 in </w:t>
      </w:r>
      <w:proofErr w:type="spellStart"/>
      <w:r w:rsidRPr="00B24721">
        <w:rPr>
          <w:rFonts w:ascii="Arial" w:hAnsi="Arial" w:cs="Arial"/>
        </w:rPr>
        <w:t>Monohorganj</w:t>
      </w:r>
      <w:proofErr w:type="spellEnd"/>
      <w:r w:rsidRPr="00B24721">
        <w:rPr>
          <w:rFonts w:ascii="Arial" w:hAnsi="Arial" w:cs="Arial"/>
        </w:rPr>
        <w:t xml:space="preserve">, </w:t>
      </w:r>
      <w:proofErr w:type="spellStart"/>
      <w:r w:rsidRPr="00B24721">
        <w:rPr>
          <w:rFonts w:ascii="Arial" w:hAnsi="Arial" w:cs="Arial"/>
        </w:rPr>
        <w:t>Cumilla</w:t>
      </w:r>
      <w:proofErr w:type="spellEnd"/>
      <w:r w:rsidRPr="00B24721">
        <w:rPr>
          <w:rFonts w:ascii="Arial" w:hAnsi="Arial" w:cs="Arial"/>
        </w:rPr>
        <w:t>, Bangladesh. A Scientific Officer from Bangladesh's Botany Department at the University of Dhaka brought the specimens in for identification. It was submitted to the Herbarium as a voucher specimen (10816) for preservation for research purposes.</w:t>
      </w:r>
    </w:p>
    <w:p w14:paraId="3E8858BA" w14:textId="77777777" w:rsidR="00AD6FFC" w:rsidRPr="00B24721" w:rsidRDefault="00AD6FFC" w:rsidP="00AD6FFC">
      <w:pPr>
        <w:pStyle w:val="a3"/>
        <w:rPr>
          <w:rFonts w:ascii="Arial" w:hAnsi="Arial" w:cs="Arial"/>
          <w:b/>
          <w:bCs/>
        </w:rPr>
      </w:pPr>
      <w:r w:rsidRPr="00B24721">
        <w:rPr>
          <w:rFonts w:ascii="Arial" w:hAnsi="Arial" w:cs="Arial"/>
          <w:b/>
          <w:bCs/>
        </w:rPr>
        <w:t>2.2 Preparation of plant extract</w:t>
      </w:r>
    </w:p>
    <w:p w14:paraId="0338647D" w14:textId="0A341F3E" w:rsidR="00C02151" w:rsidRPr="00B24721" w:rsidRDefault="00C02151" w:rsidP="00C02151">
      <w:pPr>
        <w:pStyle w:val="a3"/>
        <w:jc w:val="both"/>
        <w:rPr>
          <w:rFonts w:ascii="Arial" w:hAnsi="Arial" w:cs="Arial"/>
        </w:rPr>
      </w:pPr>
      <w:r w:rsidRPr="00B24721">
        <w:rPr>
          <w:rFonts w:ascii="Arial" w:hAnsi="Arial" w:cs="Arial"/>
        </w:rPr>
        <w:t>Cold maceration was selected as the extraction procedure</w:t>
      </w:r>
      <w:r w:rsidR="00184B4F" w:rsidRPr="00B24721">
        <w:rPr>
          <w:rFonts w:ascii="Arial" w:hAnsi="Arial" w:cs="Arial"/>
        </w:rPr>
        <w:t xml:space="preserve"> </w:t>
      </w:r>
      <w:r w:rsidR="00184B4F" w:rsidRPr="00B24721">
        <w:rPr>
          <w:rFonts w:ascii="Arial" w:hAnsi="Arial" w:cs="Arial"/>
        </w:rPr>
        <w:fldChar w:fldCharType="begin" w:fldLock="1"/>
      </w:r>
      <w:r w:rsidR="00291D5E" w:rsidRPr="00B24721">
        <w:rPr>
          <w:rFonts w:ascii="Arial" w:hAnsi="Arial" w:cs="Arial"/>
        </w:rPr>
        <w:instrText>ADDIN CSL_CITATION {"citationItems":[{"id":"ITEM-1","itemData":{"DOI":"10.9734/ajrb/2024/v14i1274","abstract":"The objective of this investigations was to evaluate in Vitro anti-arthritic, anti-inflammatory, thrombolytic, membrane stabilizing, antifungal and cytotoxic activities from the methanolic leaf extract of Polyscias scutellaria. Primary evaluation of methanolic extract of Polyscias scutellaria leaf (MEPSL) was performed via phytochemical screening. Presence of Alkaloids, flavonoids, saponins, glycosides, carbohydrates and reducing sugars were observed by phytochemical screening, among other secondary compounds. Using in vitro methods of protein denaturation, the anti-arthritic and anti-inflammatory properties of MEPSL was investigated. The results showed that the extracts significantly slowed down arthritis and inflammation with the percent inhibition of 94.59% and 86.33% at the conc. of 1000 µg/mL compared to the standard diclofenac sodium (98.19%) and acetyle salicylic acid (98.56%) at same concentration respectively. The thrombolytic activity of the extracts was additionally examined by clotlysis method, and the results showed that the ability to break up blood clots increased with the amount of extract used with the value of 97.32% which is very significant compared to the standard streptokinase which showed clotlysis of 91.304%. MEPSL was also showed action that stabilized membranes by using heat induced hemolysis method, which could be helpful in treating conditions like bleeding and swelling with the percent of protection value of 58.87% when compared to standard diclofenac sodium with the percent of protection value 73.63%. Antifungal action was also seen, which shows that it could be used to treat diseases caused by fungi with the zone of inhibition 7-36 mm varying on the type of fungi. Lastly, in vitro method was used to investigate the extracts' damaging effect on Artemia salina by using shrimp lethality assay. The results showed significant cytotoxicity with the LC50 value of 1.057 µg/mL compared to the standard vincristine sulphate (LC50 value of 0.608 µg/mL). To sum up, it is clear that the phytochemical found in this plant can be used for wide range of drug discovery field due to its potent pharmacological actions.","author":[{"dropping-particle":"","family":"Akter","given":"Jakiya","non-dropping-particle":"","parse-names":false,"suffix":""},{"dropping-particle":"","family":"Shomudro","given":"Hasib K.","non-dropping-particle":"","parse-names":false,"suffix":""},{"dropping-particle":"","family":"Chowdhury","given":"Sadia A.","non-dropping-particle":"","parse-names":false,"suffix":""}],"container-title":"Asian Journal of Research in Biochemistry","id":"ITEM-1","issue":"1","issued":{"date-parts":[["2024"]]},"page":"19-29","title":"Anti-Arthritic, Anti-Inflammatory, Thrombolytic, Membrane Stabilizing, Antifungal and Cytotoxic Activity of Polyscias scutellaria Leaf Extract: An In-vitro Analysis","type":"article-journal","volume":"14"},"uris":["http://www.mendeley.com/documents/?uuid=dd27bdfa-dbee-46d5-84ed-91655a081826"]}],"mendeley":{"formattedCitation":"(Akter, Shomudro, et al., 2024)","plainTextFormattedCitation":"(Akter, Shomudro, et al., 2024)","previouslyFormattedCitation":"(Akter, Shomudro, et al., 2024)"},"properties":{"noteIndex":0},"schema":"https://github.com/citation-style-language/schema/raw/master/csl-citation.json"}</w:instrText>
      </w:r>
      <w:r w:rsidR="00184B4F" w:rsidRPr="00B24721">
        <w:rPr>
          <w:rFonts w:ascii="Arial" w:hAnsi="Arial" w:cs="Arial"/>
        </w:rPr>
        <w:fldChar w:fldCharType="separate"/>
      </w:r>
      <w:r w:rsidR="00291D5E" w:rsidRPr="00B24721">
        <w:rPr>
          <w:rFonts w:ascii="Arial" w:hAnsi="Arial" w:cs="Arial"/>
          <w:noProof/>
        </w:rPr>
        <w:t>(Akter, Shomudro, et al., 2024)</w:t>
      </w:r>
      <w:r w:rsidR="00184B4F" w:rsidRPr="00B24721">
        <w:rPr>
          <w:rFonts w:ascii="Arial" w:hAnsi="Arial" w:cs="Arial"/>
        </w:rPr>
        <w:fldChar w:fldCharType="end"/>
      </w:r>
      <w:r w:rsidRPr="00B24721">
        <w:rPr>
          <w:rFonts w:ascii="Arial" w:hAnsi="Arial" w:cs="Arial"/>
        </w:rPr>
        <w:t>. After soaking in 800 mL of methanol for 12 days, 430g of plant-leaf powder was filtered out of the mixture. The extract was collected and they were dried using a rotary evaporator. The total amount of crude extracts after all drying procedures was 29g.</w:t>
      </w:r>
    </w:p>
    <w:p w14:paraId="09B42F36" w14:textId="5C1FA469" w:rsidR="00184B4F" w:rsidRPr="00B24721" w:rsidRDefault="008D2C65" w:rsidP="008D2C65">
      <w:pPr>
        <w:pStyle w:val="a3"/>
        <w:rPr>
          <w:rFonts w:ascii="Arial" w:hAnsi="Arial" w:cs="Arial"/>
          <w:b/>
          <w:bCs/>
          <w:lang w:val="en-GB"/>
        </w:rPr>
      </w:pPr>
      <w:r w:rsidRPr="00B24721">
        <w:rPr>
          <w:rFonts w:ascii="Arial" w:hAnsi="Arial" w:cs="Arial"/>
          <w:b/>
          <w:bCs/>
          <w:lang w:val="en-GB"/>
        </w:rPr>
        <w:t>2.</w:t>
      </w:r>
      <w:r w:rsidR="00184B4F" w:rsidRPr="00B24721">
        <w:rPr>
          <w:rFonts w:ascii="Arial" w:hAnsi="Arial" w:cs="Arial"/>
          <w:b/>
          <w:bCs/>
          <w:lang w:val="en-GB"/>
        </w:rPr>
        <w:t>3 Antimicrobial test</w:t>
      </w:r>
    </w:p>
    <w:p w14:paraId="333BD2ED" w14:textId="6040D9DF" w:rsidR="008D2C65" w:rsidRPr="00B24721" w:rsidRDefault="00184B4F" w:rsidP="008D2C65">
      <w:pPr>
        <w:pStyle w:val="a3"/>
        <w:rPr>
          <w:rFonts w:ascii="Arial" w:hAnsi="Arial" w:cs="Arial"/>
          <w:b/>
          <w:bCs/>
          <w:lang w:val="en-GB"/>
        </w:rPr>
      </w:pPr>
      <w:r w:rsidRPr="00B24721">
        <w:rPr>
          <w:rFonts w:ascii="Arial" w:hAnsi="Arial" w:cs="Arial"/>
          <w:b/>
          <w:bCs/>
          <w:lang w:val="en-GB"/>
        </w:rPr>
        <w:t>2.3.1</w:t>
      </w:r>
      <w:r w:rsidR="008D2C65" w:rsidRPr="00B24721">
        <w:rPr>
          <w:rFonts w:ascii="Arial" w:hAnsi="Arial" w:cs="Arial"/>
          <w:b/>
          <w:bCs/>
          <w:lang w:val="en-GB"/>
        </w:rPr>
        <w:t xml:space="preserve"> Test Microorganisms</w:t>
      </w:r>
    </w:p>
    <w:p w14:paraId="19178CBE" w14:textId="6604F048" w:rsidR="008D2C65" w:rsidRPr="00B24721" w:rsidRDefault="008D2C65" w:rsidP="008D2C65">
      <w:pPr>
        <w:pStyle w:val="a3"/>
        <w:rPr>
          <w:rFonts w:ascii="Arial" w:hAnsi="Arial" w:cs="Arial"/>
          <w:lang w:val="en-GB"/>
        </w:rPr>
      </w:pPr>
      <w:r w:rsidRPr="00B24721">
        <w:rPr>
          <w:rFonts w:ascii="Arial" w:hAnsi="Arial" w:cs="Arial"/>
          <w:lang w:val="en-GB"/>
        </w:rPr>
        <w:t xml:space="preserve"> 4 bacteria named </w:t>
      </w:r>
      <w:r w:rsidRPr="00B24721">
        <w:rPr>
          <w:rFonts w:ascii="Arial" w:hAnsi="Arial" w:cs="Arial"/>
          <w:i/>
          <w:iCs/>
          <w:lang w:val="en-GB"/>
        </w:rPr>
        <w:t xml:space="preserve">Bacillus cereus, Klebsiella pneumoniae, Vibrio cholerae, Streptococcus aureus </w:t>
      </w:r>
      <w:r w:rsidRPr="00B24721">
        <w:rPr>
          <w:rFonts w:ascii="Arial" w:hAnsi="Arial" w:cs="Arial"/>
          <w:lang w:val="en-GB"/>
        </w:rPr>
        <w:t xml:space="preserve">and 4 fungi named </w:t>
      </w:r>
      <w:proofErr w:type="spellStart"/>
      <w:r w:rsidRPr="00B24721">
        <w:rPr>
          <w:rFonts w:ascii="Arial" w:hAnsi="Arial" w:cs="Arial"/>
          <w:i/>
          <w:iCs/>
          <w:lang w:val="en-GB"/>
        </w:rPr>
        <w:t>Penicillium</w:t>
      </w:r>
      <w:proofErr w:type="spellEnd"/>
      <w:r w:rsidRPr="00B24721">
        <w:rPr>
          <w:rFonts w:ascii="Arial" w:hAnsi="Arial" w:cs="Arial"/>
          <w:i/>
          <w:iCs/>
          <w:lang w:val="en-GB"/>
        </w:rPr>
        <w:t xml:space="preserve"> </w:t>
      </w:r>
      <w:proofErr w:type="spellStart"/>
      <w:r w:rsidRPr="00B24721">
        <w:rPr>
          <w:rFonts w:ascii="Arial" w:hAnsi="Arial" w:cs="Arial"/>
          <w:i/>
          <w:iCs/>
          <w:lang w:val="en-GB"/>
        </w:rPr>
        <w:t>chrysogenum</w:t>
      </w:r>
      <w:proofErr w:type="spellEnd"/>
      <w:r w:rsidRPr="00B24721">
        <w:rPr>
          <w:rFonts w:ascii="Arial" w:hAnsi="Arial" w:cs="Arial"/>
          <w:i/>
          <w:iCs/>
          <w:lang w:val="en-GB"/>
        </w:rPr>
        <w:t xml:space="preserve">, </w:t>
      </w:r>
      <w:proofErr w:type="spellStart"/>
      <w:r w:rsidRPr="00B24721">
        <w:rPr>
          <w:rFonts w:ascii="Arial" w:hAnsi="Arial" w:cs="Arial"/>
          <w:i/>
          <w:iCs/>
          <w:lang w:val="en-GB"/>
        </w:rPr>
        <w:t>Aspergillus</w:t>
      </w:r>
      <w:proofErr w:type="spellEnd"/>
      <w:r w:rsidRPr="00B24721">
        <w:rPr>
          <w:rFonts w:ascii="Arial" w:hAnsi="Arial" w:cs="Arial"/>
          <w:i/>
          <w:iCs/>
          <w:lang w:val="en-GB"/>
        </w:rPr>
        <w:t xml:space="preserve"> </w:t>
      </w:r>
      <w:proofErr w:type="spellStart"/>
      <w:r w:rsidRPr="00B24721">
        <w:rPr>
          <w:rFonts w:ascii="Arial" w:hAnsi="Arial" w:cs="Arial"/>
          <w:i/>
          <w:iCs/>
          <w:lang w:val="en-GB"/>
        </w:rPr>
        <w:t>niger</w:t>
      </w:r>
      <w:proofErr w:type="spellEnd"/>
      <w:r w:rsidRPr="00B24721">
        <w:rPr>
          <w:rFonts w:ascii="Arial" w:hAnsi="Arial" w:cs="Arial"/>
          <w:i/>
          <w:iCs/>
          <w:lang w:val="en-GB"/>
        </w:rPr>
        <w:t xml:space="preserve">, Yeast budding </w:t>
      </w:r>
      <w:r w:rsidRPr="00B24721">
        <w:rPr>
          <w:rFonts w:ascii="Arial" w:hAnsi="Arial" w:cs="Arial"/>
          <w:lang w:val="en-GB"/>
        </w:rPr>
        <w:t>and</w:t>
      </w:r>
      <w:r w:rsidRPr="00B24721">
        <w:rPr>
          <w:rFonts w:ascii="Arial" w:hAnsi="Arial" w:cs="Arial"/>
          <w:i/>
          <w:iCs/>
          <w:lang w:val="en-GB"/>
        </w:rPr>
        <w:t xml:space="preserve"> </w:t>
      </w:r>
      <w:proofErr w:type="spellStart"/>
      <w:r w:rsidRPr="00B24721">
        <w:rPr>
          <w:rFonts w:ascii="Arial" w:hAnsi="Arial" w:cs="Arial"/>
          <w:i/>
          <w:iCs/>
          <w:lang w:val="en-GB"/>
        </w:rPr>
        <w:t>Mucor</w:t>
      </w:r>
      <w:proofErr w:type="spellEnd"/>
      <w:r w:rsidRPr="00B24721">
        <w:rPr>
          <w:rFonts w:ascii="Arial" w:hAnsi="Arial" w:cs="Arial"/>
          <w:i/>
          <w:iCs/>
          <w:lang w:val="en-GB"/>
        </w:rPr>
        <w:t xml:space="preserve"> </w:t>
      </w:r>
      <w:proofErr w:type="spellStart"/>
      <w:r w:rsidRPr="00B24721">
        <w:rPr>
          <w:rFonts w:ascii="Arial" w:hAnsi="Arial" w:cs="Arial"/>
          <w:i/>
          <w:iCs/>
          <w:lang w:val="en-GB"/>
        </w:rPr>
        <w:t>hiemalis</w:t>
      </w:r>
      <w:proofErr w:type="spellEnd"/>
      <w:r w:rsidRPr="00B24721">
        <w:rPr>
          <w:rFonts w:ascii="Arial" w:hAnsi="Arial" w:cs="Arial"/>
          <w:i/>
          <w:iCs/>
          <w:lang w:val="en-GB"/>
        </w:rPr>
        <w:t xml:space="preserve"> </w:t>
      </w:r>
      <w:r w:rsidRPr="00B24721">
        <w:rPr>
          <w:rFonts w:ascii="Arial" w:hAnsi="Arial" w:cs="Arial"/>
          <w:lang w:val="en-GB"/>
        </w:rPr>
        <w:t>was collected from laboratory of microbiology, University of Dhaka.</w:t>
      </w:r>
    </w:p>
    <w:p w14:paraId="377F02CE" w14:textId="61641DE8" w:rsidR="008D2C65" w:rsidRPr="00B24721" w:rsidRDefault="008D2C65" w:rsidP="008D2C65">
      <w:pPr>
        <w:pStyle w:val="a3"/>
        <w:rPr>
          <w:rFonts w:ascii="Arial" w:hAnsi="Arial" w:cs="Arial"/>
          <w:b/>
          <w:bCs/>
          <w:lang w:val="en-GB"/>
        </w:rPr>
      </w:pPr>
      <w:r w:rsidRPr="00B24721">
        <w:rPr>
          <w:rFonts w:ascii="Arial" w:hAnsi="Arial" w:cs="Arial"/>
          <w:b/>
          <w:bCs/>
          <w:lang w:val="en-GB"/>
        </w:rPr>
        <w:t>2.</w:t>
      </w:r>
      <w:r w:rsidR="00184B4F" w:rsidRPr="00B24721">
        <w:rPr>
          <w:rFonts w:ascii="Arial" w:hAnsi="Arial" w:cs="Arial"/>
          <w:b/>
          <w:bCs/>
          <w:lang w:val="en-GB"/>
        </w:rPr>
        <w:t>3</w:t>
      </w:r>
      <w:r w:rsidRPr="00B24721">
        <w:rPr>
          <w:rFonts w:ascii="Arial" w:hAnsi="Arial" w:cs="Arial"/>
          <w:b/>
          <w:bCs/>
          <w:lang w:val="en-GB"/>
        </w:rPr>
        <w:t>.2 Antimicrobial susceptibility test</w:t>
      </w:r>
    </w:p>
    <w:p w14:paraId="21F26CF6" w14:textId="77772B48" w:rsidR="008D2C65" w:rsidRPr="00B24721" w:rsidRDefault="008D2C65" w:rsidP="00C02151">
      <w:pPr>
        <w:pStyle w:val="a3"/>
        <w:jc w:val="both"/>
        <w:rPr>
          <w:rFonts w:ascii="Arial" w:hAnsi="Arial" w:cs="Arial"/>
          <w:lang w:val="en-GB"/>
        </w:rPr>
      </w:pPr>
      <w:r w:rsidRPr="00B24721">
        <w:rPr>
          <w:rFonts w:ascii="Arial" w:hAnsi="Arial" w:cs="Arial"/>
          <w:lang w:val="en-GB"/>
        </w:rPr>
        <w:t xml:space="preserve">Microorganisms were placed into Mueller Hinton Agar (MHA) added petri dishes, and then sterilized discs (6 mm in diameter) were inserted into the agar plates as part of the disc diffusion process </w:t>
      </w:r>
      <w:r w:rsidR="00184B4F" w:rsidRPr="00B24721">
        <w:rPr>
          <w:rFonts w:ascii="Arial" w:hAnsi="Arial" w:cs="Arial"/>
          <w:lang w:val="en-GB"/>
        </w:rPr>
        <w:fldChar w:fldCharType="begin" w:fldLock="1"/>
      </w:r>
      <w:r w:rsidR="00184B4F" w:rsidRPr="00B24721">
        <w:rPr>
          <w:rFonts w:ascii="Arial" w:hAnsi="Arial" w:cs="Arial"/>
          <w:lang w:val="en-GB"/>
        </w:rPr>
        <w:instrText>ADDIN CSL_CITATION {"citationItems":[{"id":"ITEM-1","itemData":{"DOI":"10.9734/jpri/2023/v35i77338","abstract":"Aims: The purpose of this research was to examine the effects of methanol-prepared leaf extracts from the Solanum americanum Mill. plant on a variety of in vitro activities, including antioxidant, anti-Arthritis, anti-inflammatory, thrombolysis, anti-bacterial, and in-vivo neuropharmacological activities.\r Study Design: Methanolic extract of Solanum americanum leaf (MESAL) was primarily evaluated via phytochemical screening. The potential for in vitro activities, including antioxidant, anti-arthritis, anti-inflammatory, thrombolysis, and anti-bacterial activity were determined to study due to the pharmacological interest in the plant's chemical constituent. Whether there is statistical significance to the changes seen in its in vivo neuropharmacological characteristics when tested in experimental animals.\r Place and Duration of Study: This research was carried out between November 2022 to January 2023 at the Laboratory of Phytochemistry and Pharmacology in the Department of Pharmacy and Laboratory of Microbiology, Stamford University Bangladesh and Bangladesh Council of Scientific and Industrial Research, Dhaka.\r Methodology: The plant was subjected to phytochemical screening utilizing a variety of test reagents and potential antioxidant, anti-arthritis, anti-inflammatory, thrombolytic, anti-bacterial, and neuropharmacological activities of MESAL were investigated.  Antioxidant, anti-arthritic, anti-inflammatory, thrombolytic, and antibacterial activities were tested at different doses utilizing the DPPH Free Radical Scavenging Assay, Protein Denaturation Assays, Clot Lysis, and the Disk Diffusion Method. Swiss albino mice were tested using open-field and hole-cross methods to measure their locomotion as part of the neuropharmacological study.\r Results: The MESAL phytochemical screening findings demonstrated that the plants' chemical compositions varied. Most antioxidant activities were found in MESA, with an IC50 of 11.73 µg/mL compared to Ascorbic acid's IC50 of 28.86 µg/mL. When compared to the standard, the percent inhibition value of MESAL's anti-arthritis activity was significantly higher. With a maximum protein denaturation value of 94.03% at a concentration of 1000µg/mL, MESAL possesses potent anti-inflammatory activity. The value of MESAL in terms of clot lysis is very significant which is 90.257%. While MESAL's antibacterial value is moderate, it is still worth considering. However, the extract was proven to be less effective than Diazepam in …","author":[{"dropping-particle":"","family":"Shomudro","given":"Hasib Khan","non-dropping-particle":"","parse-names":false,"suffix":""},{"dropping-particle":"","family":"Aboni","given":"Anan Mahabub","non-dropping-particle":"","parse-names":false,"suffix":""},{"dropping-particle":"","family":"Jasmeen","given":"Tasbira","non-dropping-particle":"","parse-names":false,"suffix":""},{"dropping-particle":"","family":"Sanam","given":"Sherejad","non-dropping-particle":"","parse-names":false,"suffix":""}],"container-title":"Journal of Pharmaceutical Research International","id":"ITEM-1","issue":"7","issued":{"date-parts":[["2023"]]},"page":"29-39","title":"In-Vitro Antioxidant, Anti-Arthritis, Anti-inflammatory, Thrombolysis, Anti-bacterial, and in-Vivo Neuropharmacological Activities of Bioactive Metabolites of Solanum americanum Mill.","type":"article-journal","volume":"35"},"uris":["http://www.mendeley.com/documents/?uuid=efa07d89-b992-4140-93b7-c10e47bd36f5"]}],"mendeley":{"formattedCitation":"(Shomudro et al., 2023)","plainTextFormattedCitation":"(Shomudro et al., 2023)","previouslyFormattedCitation":"(Shomudro et al., 2023)"},"properties":{"noteIndex":0},"schema":"https://github.com/citation-style-language/schema/raw/master/csl-citation.json"}</w:instrText>
      </w:r>
      <w:r w:rsidR="00184B4F" w:rsidRPr="00B24721">
        <w:rPr>
          <w:rFonts w:ascii="Arial" w:hAnsi="Arial" w:cs="Arial"/>
          <w:lang w:val="en-GB"/>
        </w:rPr>
        <w:fldChar w:fldCharType="separate"/>
      </w:r>
      <w:r w:rsidR="00184B4F" w:rsidRPr="00B24721">
        <w:rPr>
          <w:rFonts w:ascii="Arial" w:hAnsi="Arial" w:cs="Arial"/>
          <w:noProof/>
          <w:lang w:val="en-GB"/>
        </w:rPr>
        <w:t>(Shomudro et al., 2023)</w:t>
      </w:r>
      <w:r w:rsidR="00184B4F" w:rsidRPr="00B24721">
        <w:rPr>
          <w:rFonts w:ascii="Arial" w:hAnsi="Arial" w:cs="Arial"/>
          <w:lang w:val="en-GB"/>
        </w:rPr>
        <w:fldChar w:fldCharType="end"/>
      </w:r>
      <w:r w:rsidRPr="00B24721">
        <w:rPr>
          <w:rFonts w:ascii="Arial" w:hAnsi="Arial" w:cs="Arial"/>
          <w:lang w:val="en-GB"/>
        </w:rPr>
        <w:t>. MEDM was dissolved in the appropriate solvent volumes to prepare solutions with known concentrations (300, 500 and 700 µg/mL). The petri dishes were then incubated at 4 °C for 2 hours, allowing for diffusion of the extracts into the agar. The inhibition zones around the discs were recorded after incubating the petri dishes back at 37 °C for 1 day. After 24 hours, the zone of inhibition was measured in cm.</w:t>
      </w:r>
    </w:p>
    <w:p w14:paraId="367D2A3D" w14:textId="419B4354" w:rsidR="00C02151" w:rsidRPr="00B24721" w:rsidRDefault="00C02151" w:rsidP="00C02151">
      <w:pPr>
        <w:pStyle w:val="a3"/>
        <w:rPr>
          <w:rFonts w:ascii="Arial" w:hAnsi="Arial" w:cs="Arial"/>
          <w:b/>
          <w:bCs/>
          <w:lang w:val="en-AU"/>
        </w:rPr>
      </w:pPr>
      <w:r w:rsidRPr="00B24721">
        <w:rPr>
          <w:rFonts w:ascii="Arial" w:hAnsi="Arial" w:cs="Arial"/>
          <w:b/>
          <w:bCs/>
          <w:lang w:val="en-AU"/>
        </w:rPr>
        <w:t>2.</w:t>
      </w:r>
      <w:r w:rsidR="00184B4F" w:rsidRPr="00B24721">
        <w:rPr>
          <w:rFonts w:ascii="Arial" w:hAnsi="Arial" w:cs="Arial"/>
          <w:b/>
          <w:bCs/>
          <w:lang w:val="en-AU"/>
        </w:rPr>
        <w:t>4</w:t>
      </w:r>
      <w:r w:rsidRPr="00B24721">
        <w:rPr>
          <w:rFonts w:ascii="Arial" w:hAnsi="Arial" w:cs="Arial"/>
          <w:b/>
          <w:bCs/>
          <w:lang w:val="en-AU"/>
        </w:rPr>
        <w:t xml:space="preserve"> Anticancer Test</w:t>
      </w:r>
    </w:p>
    <w:p w14:paraId="7ACA458A" w14:textId="5A316169" w:rsidR="00C02151" w:rsidRPr="00B24721" w:rsidRDefault="00C02151" w:rsidP="00C02151">
      <w:pPr>
        <w:pStyle w:val="a3"/>
        <w:rPr>
          <w:rFonts w:ascii="Arial" w:hAnsi="Arial" w:cs="Arial"/>
          <w:b/>
          <w:bCs/>
          <w:lang w:val="en-AU"/>
        </w:rPr>
      </w:pPr>
      <w:r w:rsidRPr="00B24721">
        <w:rPr>
          <w:rFonts w:ascii="Arial" w:hAnsi="Arial" w:cs="Arial"/>
          <w:b/>
          <w:bCs/>
          <w:lang w:val="en-AU"/>
        </w:rPr>
        <w:t>2.</w:t>
      </w:r>
      <w:r w:rsidR="00184B4F" w:rsidRPr="00B24721">
        <w:rPr>
          <w:rFonts w:ascii="Arial" w:hAnsi="Arial" w:cs="Arial"/>
          <w:b/>
          <w:bCs/>
          <w:lang w:val="en-AU"/>
        </w:rPr>
        <w:t>4</w:t>
      </w:r>
      <w:r w:rsidRPr="00B24721">
        <w:rPr>
          <w:rFonts w:ascii="Arial" w:hAnsi="Arial" w:cs="Arial"/>
          <w:b/>
          <w:bCs/>
          <w:lang w:val="en-AU"/>
        </w:rPr>
        <w:t>.1 Cell viability assay</w:t>
      </w:r>
    </w:p>
    <w:p w14:paraId="3CDAC81A" w14:textId="14797DF9" w:rsidR="00C02151" w:rsidRPr="00B24721" w:rsidRDefault="00C02151" w:rsidP="00C02151">
      <w:pPr>
        <w:pStyle w:val="a3"/>
        <w:rPr>
          <w:rFonts w:ascii="Arial" w:hAnsi="Arial" w:cs="Arial"/>
        </w:rPr>
      </w:pPr>
      <w:r w:rsidRPr="00B24721">
        <w:rPr>
          <w:rFonts w:ascii="Arial" w:hAnsi="Arial" w:cs="Arial"/>
        </w:rPr>
        <w:t xml:space="preserve">Cells were grown in the appropriate media in 96-well plates until ~70% confluency had been achieved. The cells were then incubated for ~24 hours with the extract and controls at different concentrations (vehicle / DMSO control). Following extract treatment, the media was removed from the wells and cells were washed with PBS. MTT (0.5 mg/ml) was added to each well and the plate was incubated for 4 hours at 37 </w:t>
      </w:r>
      <w:r w:rsidRPr="00B24721">
        <w:rPr>
          <w:rFonts w:ascii="Arial" w:hAnsi="Arial" w:cs="Arial"/>
        </w:rPr>
        <w:lastRenderedPageBreak/>
        <w:t xml:space="preserve">°C in a dark room. After incubation, the MTT solution was replaced with 200 </w:t>
      </w:r>
      <w:proofErr w:type="spellStart"/>
      <w:r w:rsidRPr="00B24721">
        <w:rPr>
          <w:rFonts w:ascii="Arial" w:hAnsi="Arial" w:cs="Arial"/>
        </w:rPr>
        <w:t>μl</w:t>
      </w:r>
      <w:proofErr w:type="spellEnd"/>
      <w:r w:rsidRPr="00B24721">
        <w:rPr>
          <w:rFonts w:ascii="Arial" w:hAnsi="Arial" w:cs="Arial"/>
        </w:rPr>
        <w:t xml:space="preserve"> of DMSO and the plate was shaken for 5 mins at 150 rpm prior to using a plate reader (ELx800; </w:t>
      </w:r>
      <w:proofErr w:type="spellStart"/>
      <w:r w:rsidRPr="00B24721">
        <w:rPr>
          <w:rFonts w:ascii="Arial" w:hAnsi="Arial" w:cs="Arial"/>
        </w:rPr>
        <w:t>Biotek</w:t>
      </w:r>
      <w:proofErr w:type="spellEnd"/>
      <w:r w:rsidRPr="00B24721">
        <w:rPr>
          <w:rFonts w:ascii="Arial" w:hAnsi="Arial" w:cs="Arial"/>
        </w:rPr>
        <w:t xml:space="preserve">, Winooski, VT, USA) to measure OD at 490 nm. This experiment was repeated for reliable data to plot in figures. </w:t>
      </w:r>
      <w:r w:rsidRPr="00B24721">
        <w:rPr>
          <w:rFonts w:ascii="Arial" w:hAnsi="Arial" w:cs="Arial"/>
        </w:rPr>
        <w:fldChar w:fldCharType="begin" w:fldLock="1"/>
      </w:r>
      <w:r w:rsidRPr="00B24721">
        <w:rPr>
          <w:rFonts w:ascii="Arial" w:hAnsi="Arial" w:cs="Arial"/>
        </w:rPr>
        <w:instrText>ADDIN CSL_CITATION {"citationItems":[{"id":"ITEM-1","itemData":{"DOI":"10.9734/jabb/2024/v27i7974","abstract":"The present research investigated Ludwigia adscendens crude methanol extract invitro anticancer anthelminthic, and invivo anti-nociceptive, antidiabetic and toxicological properties. The coarsely dried plant powder was extracted using methanol. The methanolic extract (MELA) was further tested for anticancer, anthelminthic, anti-nociceptive, antidiabetic and toxicological activities. Cell Viability Assay was used for anticancer testing, and the earthworm assay was used for anthelminthic testing using different concentrations. Antinociceptive tests were done on Swiss albino mice at 200 and 400 mg/kg utilizing a hot plate, acetic acid induced writhing &amp; formalin-induced paw licking tests. Antidiabetic test was done using Blood Glucose Determination test using the dose of 150 mg/kg and 300 mg/kg. Acute toxicity was tested utilizing cinnamon oil-induced toxicological tests at 3000, 5000 and 7000 mg/kg. The MELA demonstrated 39.16% inhibition at 1000µg/mL in the Cell Viability Assay. The earthworm died after 6 minutes and 4 seconds in the 100 mg/mL anthelminthic test, whereas Albendazole killed it in 4 minutes and 20 seconds. Hot plate test results were substantial. The formalin-induced nociception test demonstrated strong inhibition rates of 79.54% in the early phase and 74.54% in the late phase at 400 mg/kg, compared to 62.99% and 68.18% for diclofenac sodium. Acetic acid-induced writhing test showed 77.66% of pain inhibition where’s Diclofenac sodium showed 79.61%. MELA inhibited blood glucose level very significantly compared to the standard Glibenclamide. In toxicological testing, 7000 mg/kg killed mice 2/5, whereas cinnamon oil killed 5/5 within 24 hours. The study shows that MELA has moderate anticancer, significant anthelmintic, anti-nociceptive, antidiabetic and mild toxicological properties. They may support the plant's use in conventional medicine to relieve pain, minimize drug intoxication, and prevent cancer, control diabetes and parasitic disorders.","author":[{"dropping-particle":"","family":"Ritu","given":"Tajmim Jahan","non-dropping-particle":"","parse-names":false,"suffix":""},{"dropping-particle":"","family":"Shomudro","given":"Hasib Khan","non-dropping-particle":"","parse-names":false,"suffix":""},{"dropping-particle":"","family":"Noor","given":"Samia","non-dropping-particle":"","parse-names":false,"suffix":""},{"dropping-particle":"","family":"Tahsin","given":"Homaira","non-dropping-particle":"","parse-names":false,"suffix":""},{"dropping-particle":"","family":"Uddin","given":"Md. Salah","non-dropping-particle":"","parse-names":false,"suffix":""}],"container-title":"Journal of Advances in Biology &amp; Biotechnology","id":"ITEM-1","issue":"7","issued":{"date-parts":[["2024"]]},"page":"140-155","title":"Evaluation of Anticancer, Anthelminthic, Anti-Nociceptive, Antidiabetic and Toxicological Investigation of Ludwigia adscendens","type":"article-journal","volume":"27"},"uris":["http://www.mendeley.com/documents/?uuid=ced8da7f-99a4-4ae6-b3aa-bc6e88835892"]}],"mendeley":{"formattedCitation":"(Ritu et al., 2024)","plainTextFormattedCitation":"(Ritu et al., 2024)","previouslyFormattedCitation":"(Ritu et al., 2024)"},"properties":{"noteIndex":0},"schema":"https://github.com/citation-style-language/schema/raw/master/csl-citation.json"}</w:instrText>
      </w:r>
      <w:r w:rsidRPr="00B24721">
        <w:rPr>
          <w:rFonts w:ascii="Arial" w:hAnsi="Arial" w:cs="Arial"/>
        </w:rPr>
        <w:fldChar w:fldCharType="separate"/>
      </w:r>
      <w:r w:rsidRPr="00B24721">
        <w:rPr>
          <w:rFonts w:ascii="Arial" w:hAnsi="Arial" w:cs="Arial"/>
          <w:noProof/>
        </w:rPr>
        <w:t>(Ritu et al., 2024)</w:t>
      </w:r>
      <w:r w:rsidRPr="00B24721">
        <w:rPr>
          <w:rFonts w:ascii="Arial" w:hAnsi="Arial" w:cs="Arial"/>
        </w:rPr>
        <w:fldChar w:fldCharType="end"/>
      </w:r>
      <w:r w:rsidRPr="00B24721">
        <w:rPr>
          <w:rFonts w:ascii="Arial" w:hAnsi="Arial" w:cs="Arial"/>
        </w:rPr>
        <w:t xml:space="preserve">. </w:t>
      </w:r>
    </w:p>
    <w:p w14:paraId="303B68C9" w14:textId="594E059C" w:rsidR="00C02151" w:rsidRPr="00B24721" w:rsidRDefault="00C02151" w:rsidP="00C02151">
      <w:pPr>
        <w:pStyle w:val="a3"/>
        <w:rPr>
          <w:rFonts w:ascii="Arial" w:hAnsi="Arial" w:cs="Arial"/>
          <w:b/>
          <w:bCs/>
        </w:rPr>
      </w:pPr>
      <w:r w:rsidRPr="00B24721">
        <w:rPr>
          <w:rFonts w:ascii="Arial" w:hAnsi="Arial" w:cs="Arial"/>
          <w:b/>
          <w:bCs/>
        </w:rPr>
        <w:t>2.</w:t>
      </w:r>
      <w:r w:rsidR="00184B4F" w:rsidRPr="00B24721">
        <w:rPr>
          <w:rFonts w:ascii="Arial" w:hAnsi="Arial" w:cs="Arial"/>
          <w:b/>
          <w:bCs/>
        </w:rPr>
        <w:t>4</w:t>
      </w:r>
      <w:r w:rsidRPr="00B24721">
        <w:rPr>
          <w:rFonts w:ascii="Arial" w:hAnsi="Arial" w:cs="Arial"/>
          <w:b/>
          <w:bCs/>
        </w:rPr>
        <w:t>.2 Morphology study</w:t>
      </w:r>
    </w:p>
    <w:p w14:paraId="370DF119" w14:textId="3CEC02A1" w:rsidR="00AD6FFC" w:rsidRPr="00B24721" w:rsidRDefault="00C02151" w:rsidP="00AD6FFC">
      <w:pPr>
        <w:pStyle w:val="a3"/>
        <w:jc w:val="both"/>
        <w:rPr>
          <w:rFonts w:ascii="Arial" w:hAnsi="Arial" w:cs="Arial"/>
        </w:rPr>
      </w:pPr>
      <w:r w:rsidRPr="00B24721">
        <w:rPr>
          <w:rFonts w:ascii="Arial" w:hAnsi="Arial" w:cs="Arial"/>
        </w:rPr>
        <w:t>Cells were placed in 24-well plates and treated with DMSO or extract at the IC</w:t>
      </w:r>
      <w:r w:rsidRPr="00B24721">
        <w:rPr>
          <w:rFonts w:ascii="Arial" w:hAnsi="Arial" w:cs="Arial"/>
          <w:vertAlign w:val="subscript"/>
        </w:rPr>
        <w:t xml:space="preserve">50 </w:t>
      </w:r>
      <w:r w:rsidRPr="00B24721">
        <w:rPr>
          <w:rFonts w:ascii="Arial" w:hAnsi="Arial" w:cs="Arial"/>
        </w:rPr>
        <w:t>concentration for 24 hours. After the treatment was done, the image was obtained using phase contrast microscopy.</w:t>
      </w:r>
    </w:p>
    <w:p w14:paraId="6370A0BE" w14:textId="33FA17C7" w:rsidR="008D2C65" w:rsidRPr="00B24721" w:rsidRDefault="008D2C65" w:rsidP="008D2C65">
      <w:pPr>
        <w:pStyle w:val="a3"/>
        <w:rPr>
          <w:rFonts w:ascii="Arial" w:hAnsi="Arial" w:cs="Arial"/>
          <w:b/>
          <w:bCs/>
        </w:rPr>
      </w:pPr>
      <w:r w:rsidRPr="00B24721">
        <w:rPr>
          <w:rFonts w:ascii="Arial" w:hAnsi="Arial" w:cs="Arial"/>
          <w:b/>
          <w:bCs/>
        </w:rPr>
        <w:t>2.</w:t>
      </w:r>
      <w:r w:rsidR="00184B4F" w:rsidRPr="00B24721">
        <w:rPr>
          <w:rFonts w:ascii="Arial" w:hAnsi="Arial" w:cs="Arial"/>
          <w:b/>
          <w:bCs/>
        </w:rPr>
        <w:t>5</w:t>
      </w:r>
      <w:r w:rsidRPr="00B24721">
        <w:rPr>
          <w:rFonts w:ascii="Arial" w:hAnsi="Arial" w:cs="Arial"/>
          <w:b/>
          <w:bCs/>
        </w:rPr>
        <w:t xml:space="preserve"> Anti-sickling activity (Emmel Test)</w:t>
      </w:r>
    </w:p>
    <w:p w14:paraId="72D3801F" w14:textId="082C6297" w:rsidR="008D2C65" w:rsidRPr="00B24721" w:rsidRDefault="008D2C65" w:rsidP="00412B9A">
      <w:pPr>
        <w:pStyle w:val="a3"/>
        <w:jc w:val="both"/>
        <w:rPr>
          <w:rFonts w:ascii="Arial" w:hAnsi="Arial" w:cs="Arial"/>
        </w:rPr>
      </w:pPr>
      <w:r w:rsidRPr="00B24721">
        <w:rPr>
          <w:rFonts w:ascii="Arial" w:hAnsi="Arial" w:cs="Arial"/>
        </w:rPr>
        <w:t xml:space="preserve">Blood samples were obtained from a 14-year-old patient under treatment at the Sickle Cell Institute in Raipur after informed, written consent was obtained from the parents. Sickle blood was diluted with a 150mM Phosphate Buffered saline solution, which contained 30 </w:t>
      </w:r>
      <w:proofErr w:type="spellStart"/>
      <w:r w:rsidRPr="00B24721">
        <w:rPr>
          <w:rFonts w:ascii="Arial" w:hAnsi="Arial" w:cs="Arial"/>
        </w:rPr>
        <w:t>mM</w:t>
      </w:r>
      <w:proofErr w:type="spellEnd"/>
      <w:r w:rsidRPr="00B24721">
        <w:rPr>
          <w:rFonts w:ascii="Arial" w:hAnsi="Arial" w:cs="Arial"/>
        </w:rPr>
        <w:t xml:space="preserve"> </w:t>
      </w:r>
      <w:proofErr w:type="spellStart"/>
      <w:r w:rsidRPr="00B24721">
        <w:rPr>
          <w:rFonts w:ascii="Arial" w:hAnsi="Arial" w:cs="Arial"/>
        </w:rPr>
        <w:t>NaH</w:t>
      </w:r>
      <w:r w:rsidRPr="00B24721">
        <w:rPr>
          <w:rFonts w:ascii="Cambria Math" w:hAnsi="Cambria Math" w:cs="Cambria Math"/>
        </w:rPr>
        <w:t>₂</w:t>
      </w:r>
      <w:r w:rsidRPr="00B24721">
        <w:rPr>
          <w:rFonts w:ascii="Arial" w:hAnsi="Arial" w:cs="Arial"/>
        </w:rPr>
        <w:t>PO</w:t>
      </w:r>
      <w:proofErr w:type="spellEnd"/>
      <w:r w:rsidRPr="00B24721">
        <w:rPr>
          <w:rFonts w:ascii="Cambria Math" w:hAnsi="Cambria Math" w:cs="Cambria Math"/>
        </w:rPr>
        <w:t>₄</w:t>
      </w:r>
      <w:r w:rsidRPr="00B24721">
        <w:rPr>
          <w:rFonts w:ascii="Arial" w:hAnsi="Arial" w:cs="Arial"/>
        </w:rPr>
        <w:t xml:space="preserve">, 120mM </w:t>
      </w:r>
      <w:proofErr w:type="spellStart"/>
      <w:r w:rsidRPr="00B24721">
        <w:rPr>
          <w:rFonts w:ascii="Arial" w:hAnsi="Arial" w:cs="Arial"/>
        </w:rPr>
        <w:t>Na</w:t>
      </w:r>
      <w:r w:rsidRPr="00B24721">
        <w:rPr>
          <w:rFonts w:ascii="Cambria Math" w:hAnsi="Cambria Math" w:cs="Cambria Math"/>
        </w:rPr>
        <w:t>₂</w:t>
      </w:r>
      <w:r w:rsidRPr="00B24721">
        <w:rPr>
          <w:rFonts w:ascii="Arial" w:hAnsi="Arial" w:cs="Arial"/>
        </w:rPr>
        <w:t>HPO</w:t>
      </w:r>
      <w:proofErr w:type="spellEnd"/>
      <w:r w:rsidRPr="00B24721">
        <w:rPr>
          <w:rFonts w:ascii="Cambria Math" w:hAnsi="Cambria Math" w:cs="Cambria Math"/>
        </w:rPr>
        <w:t>₄</w:t>
      </w:r>
      <w:r w:rsidRPr="00B24721">
        <w:rPr>
          <w:rFonts w:ascii="Arial" w:hAnsi="Arial" w:cs="Arial"/>
        </w:rPr>
        <w:t>, and 150mM NaCl. To this diluted blood, equal amounts of 2% sodium metabisulfite were added. A small volume of this solution was placed on a microscope glass slide along with anthocyanin extracts and covered with a cover slip. The edges of the covers slip were sealed with paraffin wax, to create a hypoxic condition with no air</w:t>
      </w:r>
      <w:r w:rsidR="00412B9A" w:rsidRPr="00B24721">
        <w:rPr>
          <w:rFonts w:ascii="Arial" w:hAnsi="Arial" w:cs="Arial"/>
        </w:rPr>
        <w:t xml:space="preserve"> (Pauline et al., 2013)</w:t>
      </w:r>
      <w:r w:rsidRPr="00B24721">
        <w:rPr>
          <w:rFonts w:ascii="Arial" w:hAnsi="Arial" w:cs="Arial"/>
        </w:rPr>
        <w:t xml:space="preserve">. </w:t>
      </w:r>
    </w:p>
    <w:p w14:paraId="158921E0" w14:textId="77777777" w:rsidR="008D2C65" w:rsidRPr="00B24721" w:rsidRDefault="008D2C65" w:rsidP="00412B9A">
      <w:pPr>
        <w:pStyle w:val="a3"/>
        <w:jc w:val="both"/>
        <w:rPr>
          <w:rFonts w:ascii="Arial" w:hAnsi="Arial" w:cs="Arial"/>
        </w:rPr>
      </w:pPr>
      <w:r w:rsidRPr="00B24721">
        <w:rPr>
          <w:rFonts w:ascii="Arial" w:hAnsi="Arial" w:cs="Arial"/>
        </w:rPr>
        <w:t>To assess the anti-sickling properties of the plant extracts, a reversal experiment was performed. In the reversal experiment, the erythrocytes were treated with sodium metabisulfite and subsequently incubated for 2 h.</w:t>
      </w:r>
    </w:p>
    <w:p w14:paraId="5C391C1D" w14:textId="3190A7FB" w:rsidR="008D2C65" w:rsidRPr="00B24721" w:rsidRDefault="008D2C65" w:rsidP="00412B9A">
      <w:pPr>
        <w:pStyle w:val="a3"/>
        <w:jc w:val="both"/>
        <w:rPr>
          <w:rFonts w:ascii="Arial" w:hAnsi="Arial" w:cs="Arial"/>
        </w:rPr>
      </w:pPr>
      <w:r w:rsidRPr="00B24721">
        <w:rPr>
          <w:rFonts w:ascii="Arial" w:hAnsi="Arial" w:cs="Arial"/>
        </w:rPr>
        <w:t>Following the incubation period, the cells were observed under a microscope, and the percentage of sickling was determined using the provided formula.</w:t>
      </w:r>
    </w:p>
    <w:p w14:paraId="15F875AE" w14:textId="23C8760B" w:rsidR="008D2C65" w:rsidRPr="00B24721" w:rsidRDefault="008D2C65" w:rsidP="00412B9A">
      <w:pPr>
        <w:pStyle w:val="a3"/>
        <w:jc w:val="both"/>
        <w:rPr>
          <w:rFonts w:ascii="Arial" w:hAnsi="Arial" w:cs="Arial"/>
        </w:rPr>
      </w:pPr>
      <w:r w:rsidRPr="00B24721">
        <w:rPr>
          <w:rFonts w:ascii="Arial" w:hAnsi="Arial" w:cs="Arial"/>
        </w:rPr>
        <w:t>% of Sickling</w:t>
      </w:r>
      <w:bookmarkStart w:id="8" w:name="_Hlk202251806"/>
      <w:r w:rsidRPr="00B24721">
        <w:rPr>
          <w:rFonts w:ascii="Arial" w:hAnsi="Arial" w:cs="Arial"/>
        </w:rPr>
        <w:t>=</w:t>
      </w:r>
      <m:oMath>
        <m:r>
          <w:rPr>
            <w:rFonts w:ascii="Cambria Math" w:hAnsi="Cambria Math" w:cs="Arial"/>
          </w:rPr>
          <m:t xml:space="preserve">  </m:t>
        </m:r>
        <w:bookmarkStart w:id="9" w:name="_Hlk202252001"/>
        <m:f>
          <m:fPr>
            <m:ctrlPr>
              <w:rPr>
                <w:rFonts w:ascii="Cambria Math" w:hAnsi="Cambria Math" w:cs="Arial"/>
                <w:i/>
              </w:rPr>
            </m:ctrlPr>
          </m:fPr>
          <m:num>
            <m:r>
              <m:rPr>
                <m:sty m:val="p"/>
              </m:rPr>
              <w:rPr>
                <w:rFonts w:ascii="Cambria Math" w:hAnsi="Cambria Math" w:cs="Arial"/>
              </w:rPr>
              <m:t>Number of sickling</m:t>
            </m:r>
          </m:num>
          <m:den>
            <m:r>
              <m:rPr>
                <m:sty m:val="p"/>
              </m:rPr>
              <w:rPr>
                <w:rFonts w:ascii="Cambria Math" w:hAnsi="Cambria Math" w:cs="Arial"/>
              </w:rPr>
              <m:t xml:space="preserve">Total number of cells </m:t>
            </m:r>
          </m:den>
        </m:f>
      </m:oMath>
      <w:r w:rsidRPr="00B24721">
        <w:rPr>
          <w:rFonts w:ascii="Arial" w:hAnsi="Arial" w:cs="Arial"/>
        </w:rPr>
        <w:t xml:space="preserve"> x 100</w:t>
      </w:r>
      <w:bookmarkEnd w:id="8"/>
      <w:bookmarkEnd w:id="9"/>
    </w:p>
    <w:p w14:paraId="77C75253" w14:textId="77777777" w:rsidR="008D2C65" w:rsidRPr="00B24721" w:rsidRDefault="008D2C65" w:rsidP="00412B9A">
      <w:pPr>
        <w:pStyle w:val="a3"/>
        <w:jc w:val="both"/>
        <w:rPr>
          <w:rFonts w:ascii="Arial" w:hAnsi="Arial" w:cs="Arial"/>
        </w:rPr>
      </w:pPr>
      <w:r w:rsidRPr="00B24721">
        <w:rPr>
          <w:rFonts w:ascii="Arial" w:hAnsi="Arial" w:cs="Arial"/>
        </w:rPr>
        <w:t>If sickling percentage is less than 100%, time will have been adjusted accordingly to obtain 100% sickling. In our work, we obtained 100% sickling after incubating for 2 hours.</w:t>
      </w:r>
    </w:p>
    <w:p w14:paraId="34AE2A3F" w14:textId="77777777" w:rsidR="008D2C65" w:rsidRPr="00B24721" w:rsidRDefault="008D2C65" w:rsidP="00412B9A">
      <w:pPr>
        <w:pStyle w:val="a3"/>
        <w:jc w:val="both"/>
        <w:rPr>
          <w:rFonts w:ascii="Arial" w:hAnsi="Arial" w:cs="Arial"/>
        </w:rPr>
      </w:pPr>
    </w:p>
    <w:p w14:paraId="1897828A" w14:textId="6996FEDA" w:rsidR="008D2C65" w:rsidRPr="00B24721" w:rsidRDefault="008D2C65" w:rsidP="00412B9A">
      <w:pPr>
        <w:pStyle w:val="a3"/>
        <w:jc w:val="both"/>
        <w:rPr>
          <w:rFonts w:ascii="Arial" w:hAnsi="Arial" w:cs="Arial"/>
          <w:b/>
          <w:bCs/>
        </w:rPr>
      </w:pPr>
      <w:r w:rsidRPr="00B24721">
        <w:rPr>
          <w:rFonts w:ascii="Arial" w:hAnsi="Arial" w:cs="Arial"/>
          <w:b/>
          <w:bCs/>
        </w:rPr>
        <w:t>2.</w:t>
      </w:r>
      <w:r w:rsidR="00184B4F" w:rsidRPr="00B24721">
        <w:rPr>
          <w:rFonts w:ascii="Arial" w:hAnsi="Arial" w:cs="Arial"/>
          <w:b/>
          <w:bCs/>
        </w:rPr>
        <w:t>6</w:t>
      </w:r>
      <w:r w:rsidRPr="00B24721">
        <w:rPr>
          <w:rFonts w:ascii="Arial" w:hAnsi="Arial" w:cs="Arial"/>
          <w:b/>
          <w:bCs/>
        </w:rPr>
        <w:t xml:space="preserve"> Reversibility Test</w:t>
      </w:r>
    </w:p>
    <w:p w14:paraId="218E309E" w14:textId="77777777" w:rsidR="008D2C65" w:rsidRPr="00B24721" w:rsidRDefault="008D2C65" w:rsidP="00412B9A">
      <w:pPr>
        <w:pStyle w:val="a3"/>
        <w:jc w:val="both"/>
        <w:rPr>
          <w:rFonts w:ascii="Arial" w:hAnsi="Arial" w:cs="Arial"/>
        </w:rPr>
      </w:pPr>
      <w:r w:rsidRPr="00B24721">
        <w:rPr>
          <w:rFonts w:ascii="Arial" w:hAnsi="Arial" w:cs="Arial"/>
        </w:rPr>
        <w:t>Plant extracts were prepared in an aqueous saline solution consisting of 0.86% NaCl at a range of concentrations from 50 µg/ml to 10 mg/ml and evaluated against sickle cells at different time points. For each of the assays, following pre-incubation of the blood sample for two hours with sodium metabisulfite, 150 µl of the individual extract were combined with 150 µl of the blood sample. The same was done for the respective positive control (phenylalanine) and the negative control.</w:t>
      </w:r>
    </w:p>
    <w:p w14:paraId="13151BC9" w14:textId="12780616" w:rsidR="008D2C65" w:rsidRPr="00B24721" w:rsidRDefault="008D2C65" w:rsidP="00412B9A">
      <w:pPr>
        <w:pStyle w:val="a3"/>
        <w:jc w:val="both"/>
        <w:rPr>
          <w:rFonts w:ascii="Arial" w:hAnsi="Arial" w:cs="Arial"/>
        </w:rPr>
      </w:pPr>
      <w:r w:rsidRPr="00B24721">
        <w:rPr>
          <w:rFonts w:ascii="Arial" w:hAnsi="Arial" w:cs="Arial"/>
        </w:rPr>
        <w:lastRenderedPageBreak/>
        <w:t>The correlation between the percentage of sickle cells remaining with time was described by the following expression:</w:t>
      </w:r>
    </w:p>
    <w:p w14:paraId="2BD7AFA9" w14:textId="4D359E44" w:rsidR="008D2C65" w:rsidRPr="00B24721" w:rsidRDefault="008D2C65" w:rsidP="00412B9A">
      <w:pPr>
        <w:pStyle w:val="a3"/>
        <w:jc w:val="both"/>
        <w:rPr>
          <w:rFonts w:ascii="Arial" w:hAnsi="Arial" w:cs="Arial"/>
        </w:rPr>
      </w:pPr>
      <w:r w:rsidRPr="00B24721">
        <w:rPr>
          <w:rFonts w:ascii="Arial" w:hAnsi="Arial" w:cs="Arial"/>
        </w:rPr>
        <w:t>Percentage of residual sickle cell =</w:t>
      </w:r>
      <m:oMath>
        <m:r>
          <w:rPr>
            <w:rFonts w:ascii="Cambria Math" w:hAnsi="Cambria Math" w:cs="Arial"/>
          </w:rPr>
          <m:t xml:space="preserve">  </m:t>
        </m:r>
        <m:f>
          <m:fPr>
            <m:ctrlPr>
              <w:rPr>
                <w:rFonts w:ascii="Cambria Math" w:hAnsi="Cambria Math" w:cs="Arial"/>
                <w:i/>
              </w:rPr>
            </m:ctrlPr>
          </m:fPr>
          <m:num>
            <m:r>
              <m:rPr>
                <m:sty m:val="p"/>
              </m:rPr>
              <w:rPr>
                <w:rFonts w:ascii="Cambria Math" w:hAnsi="Cambria Math" w:cs="Arial"/>
              </w:rPr>
              <m:t>Sickle cell Average at Tx</m:t>
            </m:r>
          </m:num>
          <m:den>
            <m:r>
              <m:rPr>
                <m:sty m:val="p"/>
              </m:rPr>
              <w:rPr>
                <w:rFonts w:ascii="Cambria Math" w:hAnsi="Cambria Math" w:cs="Arial"/>
              </w:rPr>
              <m:t>Sickle cell average at T0</m:t>
            </m:r>
          </m:den>
        </m:f>
      </m:oMath>
      <w:r w:rsidRPr="00B24721">
        <w:rPr>
          <w:rFonts w:ascii="Arial" w:hAnsi="Arial" w:cs="Arial"/>
        </w:rPr>
        <w:t xml:space="preserve"> x 100</w:t>
      </w:r>
    </w:p>
    <w:p w14:paraId="0C7A9E5F" w14:textId="77777777" w:rsidR="008D2C65" w:rsidRPr="00B24721" w:rsidRDefault="008D2C65" w:rsidP="00412B9A">
      <w:pPr>
        <w:pStyle w:val="a3"/>
        <w:jc w:val="both"/>
        <w:rPr>
          <w:rFonts w:ascii="Arial" w:hAnsi="Arial" w:cs="Arial"/>
        </w:rPr>
      </w:pPr>
      <w:r w:rsidRPr="00B24721">
        <w:rPr>
          <w:rFonts w:ascii="Arial" w:hAnsi="Arial" w:cs="Arial"/>
        </w:rPr>
        <w:t>T</w:t>
      </w:r>
      <w:r w:rsidRPr="00B24721">
        <w:rPr>
          <w:rFonts w:ascii="Arial" w:hAnsi="Arial" w:cs="Arial"/>
          <w:vertAlign w:val="subscript"/>
        </w:rPr>
        <w:t>x</w:t>
      </w:r>
      <w:r w:rsidRPr="00B24721">
        <w:rPr>
          <w:rFonts w:ascii="Arial" w:hAnsi="Arial" w:cs="Arial"/>
        </w:rPr>
        <w:t xml:space="preserve"> = 0, 30, 60, 90, 120, and 150 minutes </w:t>
      </w:r>
    </w:p>
    <w:p w14:paraId="571A49EC" w14:textId="77777777" w:rsidR="008D2C65" w:rsidRPr="00B24721" w:rsidRDefault="008D2C65" w:rsidP="00412B9A">
      <w:pPr>
        <w:pStyle w:val="a3"/>
        <w:jc w:val="both"/>
        <w:rPr>
          <w:rFonts w:ascii="Arial" w:hAnsi="Arial" w:cs="Arial"/>
        </w:rPr>
      </w:pPr>
      <w:r w:rsidRPr="00B24721">
        <w:rPr>
          <w:rFonts w:ascii="Arial" w:hAnsi="Arial" w:cs="Arial"/>
        </w:rPr>
        <w:t>T</w:t>
      </w:r>
      <w:r w:rsidRPr="00B24721">
        <w:rPr>
          <w:rFonts w:ascii="Arial" w:hAnsi="Arial" w:cs="Arial"/>
          <w:vertAlign w:val="subscript"/>
        </w:rPr>
        <w:t>0</w:t>
      </w:r>
      <w:r w:rsidRPr="00B24721">
        <w:rPr>
          <w:rFonts w:ascii="Arial" w:hAnsi="Arial" w:cs="Arial"/>
        </w:rPr>
        <w:t xml:space="preserve"> = temperature initial</w:t>
      </w:r>
    </w:p>
    <w:p w14:paraId="2692D168" w14:textId="77777777" w:rsidR="008D2C65" w:rsidRPr="00B24721" w:rsidRDefault="008D2C65" w:rsidP="00412B9A">
      <w:pPr>
        <w:pStyle w:val="a3"/>
        <w:jc w:val="both"/>
        <w:rPr>
          <w:rFonts w:ascii="Arial" w:hAnsi="Arial" w:cs="Arial"/>
        </w:rPr>
      </w:pPr>
      <w:r w:rsidRPr="00B24721">
        <w:rPr>
          <w:rFonts w:ascii="Arial" w:hAnsi="Arial" w:cs="Arial"/>
        </w:rPr>
        <w:t>The percentage of reversibility of sickle cell was calculated by the given formula:</w:t>
      </w:r>
    </w:p>
    <w:p w14:paraId="6978411F" w14:textId="39CC73CB" w:rsidR="008D2C65" w:rsidRPr="00B24721" w:rsidRDefault="00A57ED3" w:rsidP="008D2C65">
      <w:pPr>
        <w:pStyle w:val="a3"/>
        <w:rPr>
          <w:rFonts w:ascii="Arial" w:hAnsi="Arial" w:cs="Arial"/>
        </w:rPr>
      </w:pPr>
      <m:oMath>
        <m:f>
          <m:fPr>
            <m:ctrlPr>
              <w:rPr>
                <w:rFonts w:ascii="Cambria Math" w:hAnsi="Cambria Math" w:cs="Arial"/>
                <w:i/>
              </w:rPr>
            </m:ctrlPr>
          </m:fPr>
          <m:num>
            <m:r>
              <m:rPr>
                <m:sty m:val="p"/>
              </m:rPr>
              <w:rPr>
                <w:rFonts w:ascii="Cambria Math" w:hAnsi="Cambria Math" w:cs="Arial"/>
              </w:rPr>
              <m:t>Total number of normal cells</m:t>
            </m:r>
          </m:num>
          <m:den>
            <m:r>
              <m:rPr>
                <m:sty m:val="p"/>
              </m:rPr>
              <w:rPr>
                <w:rFonts w:ascii="Cambria Math" w:hAnsi="Cambria Math" w:cs="Arial"/>
              </w:rPr>
              <m:t xml:space="preserve">Total number of  sickled cells </m:t>
            </m:r>
          </m:den>
        </m:f>
      </m:oMath>
      <w:r w:rsidR="008D2C65" w:rsidRPr="00B24721">
        <w:rPr>
          <w:rFonts w:ascii="Arial" w:hAnsi="Arial" w:cs="Arial"/>
        </w:rPr>
        <w:t xml:space="preserve"> x 100</w:t>
      </w:r>
    </w:p>
    <w:p w14:paraId="599424C3" w14:textId="2C97EB0A"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2.7</w:t>
      </w:r>
      <w:r w:rsidR="009219F5" w:rsidRPr="00B24721">
        <w:rPr>
          <w:rFonts w:ascii="Arial" w:eastAsia="Calibri" w:hAnsi="Arial" w:cs="Arial"/>
          <w:b/>
          <w:bCs/>
          <w:sz w:val="24"/>
        </w:rPr>
        <w:t xml:space="preserve"> Neuropharmacological Test</w:t>
      </w:r>
    </w:p>
    <w:p w14:paraId="235328EE" w14:textId="58791D27"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w:t>
      </w:r>
      <w:r w:rsidR="009219F5" w:rsidRPr="00B24721">
        <w:rPr>
          <w:rFonts w:ascii="Arial" w:eastAsia="Calibri" w:hAnsi="Arial" w:cs="Arial"/>
          <w:b/>
          <w:bCs/>
          <w:sz w:val="24"/>
        </w:rPr>
        <w:t>.</w:t>
      </w:r>
      <w:r w:rsidRPr="00B24721">
        <w:rPr>
          <w:rFonts w:ascii="Arial" w:eastAsia="Calibri" w:hAnsi="Arial" w:cs="Arial"/>
          <w:b/>
          <w:bCs/>
          <w:sz w:val="24"/>
        </w:rPr>
        <w:t>7</w:t>
      </w:r>
      <w:r w:rsidR="009219F5" w:rsidRPr="00B24721">
        <w:rPr>
          <w:rFonts w:ascii="Arial" w:eastAsia="Calibri" w:hAnsi="Arial" w:cs="Arial"/>
          <w:b/>
          <w:bCs/>
          <w:sz w:val="24"/>
        </w:rPr>
        <w:t>.1 Evaluation of Sleep Duration Induced by Thiopental Sodium</w:t>
      </w:r>
    </w:p>
    <w:p w14:paraId="4855EF01" w14:textId="145764B6" w:rsidR="009219F5" w:rsidRPr="00B24721" w:rsidRDefault="009219F5" w:rsidP="009219F5">
      <w:pPr>
        <w:jc w:val="both"/>
        <w:rPr>
          <w:rFonts w:ascii="Arial" w:eastAsia="Calibri" w:hAnsi="Arial" w:cs="Arial"/>
          <w:sz w:val="24"/>
        </w:rPr>
      </w:pPr>
      <w:r w:rsidRPr="00B24721">
        <w:rPr>
          <w:rFonts w:ascii="Arial" w:eastAsia="Calibri" w:hAnsi="Arial" w:cs="Arial"/>
          <w:sz w:val="24"/>
        </w:rPr>
        <w:t xml:space="preserve">The subjects were divided into five groups of five mice by random selection. Each group of mice received different treatments and were then placed in circular pens. After 30 minutes each mouse received an intraperitoneal injection of thiopental sodium (40 mg/kg) in order to induce sleep. Data were collected on the time from when thiopental was given to the loss of the righting response and the total time from loss of the righting response to regaining the righting response </w:t>
      </w:r>
      <w:r w:rsidRPr="00B24721">
        <w:rPr>
          <w:rFonts w:ascii="Arial" w:eastAsia="Calibri" w:hAnsi="Arial" w:cs="Arial"/>
          <w:sz w:val="24"/>
        </w:rPr>
        <w:fldChar w:fldCharType="begin" w:fldLock="1"/>
      </w:r>
      <w:r w:rsidRPr="00B24721">
        <w:rPr>
          <w:rFonts w:ascii="Arial" w:eastAsia="Calibri" w:hAnsi="Arial" w:cs="Arial"/>
          <w:sz w:val="24"/>
        </w:rPr>
        <w:instrText>ADDIN CSL_CITATION {"citationItems":[{"id":"ITEM-1","itemData":{"DOI":"10.1016/j.pbb.2012.01.013","ISSN":"00913057","PMID":"22289689","abstract":"The role of peripheral and spinal 5-HT 3 receptors in formalin-induced secondary allodynia and hyperalgesia in rats was assessed. Formalin produced acute nociceptive behaviors (flinching and licking/lifting) followed by long-term secondary mechanical allodynia and hyperalgesia in both paws. In experiments where the test drug was anticipated to augment or antagonize the response, 0.5 or 1% formalin, respectively, was used for injection. Peripheral ipsilateral, but not contralateral, pre-treatment (- 10 min) with serotonin (5-HT, 10-100 nmol/paw) and the selective 5-HT 3 receptor agonist 1-(m-chlorophenyl)-biguanide (m-CPBG, 10-300 nmol/paw) increased 0.5% formalin-induced secondary allodynia and hyperalgesia in both paws. Moreover, spinal pre-treatment with m-CPBG (10-300 nmol/rat) increased 0.5% formalin-induced secondary hyperalgesia but not allodynia in both paws. Accordingly, peripheral ipsilateral (30-300 nmol/paw), but not contralateral (300 nmol/paw), and spinal (10-100 nmol) pre-treatment with the selective 5-HT 3 receptor antagonist ondansetron prevented 1% formalin-induced secondary mechanical allodynia and hyperalgesia in both paws. The peripheral pronociceptive effects of 5-HT (100 nmol/paw) and m-CPBG (300 nmol/paw) as well as the spinal effect of m-CPBG (300 nmol/rat) were completely prevented by the peripheral (10 nmol/paw) and spinal (1 nmol/rat) injection, respectively, of ondansetron. At these doses, ondansetron did not modify per se formalin-induced nociceptive behaviors. Spinal (30-300 nmol/rat), but not peripheral (300 nmol/paw), post-treatment (on day 6) with ondansetron reversed established formalin-induced secondary mechanical allodynia and hyperalgesia in both paws. Results suggest that a barrage of afferent input induced by 5-HT at peripheral 5-HT 3 receptors participates in the development of formalin-induced long-term secondary allodynia and hyperalgesia in the rat. In addition, our data suggest that spinal 5-HT 3 receptors play an important role during development and maintenance of these evoked long-term behaviors. © 2012 Elsevier Inc.","author":[{"dropping-particle":"","family":"Bravo-Hernández","given":"Mariana","non-dropping-particle":"","parse-names":false,"suffix":""},{"dropping-particle":"","family":"Cervantes-Durán","given":"Claudia","non-dropping-particle":"","parse-names":false,"suffix":""},{"dropping-particle":"","family":"Pineda-Farias","given":"Jorge Baruch","non-dropping-particle":"","parse-names":false,"suffix":""},{"dropping-particle":"","family":"Barragán-Iglesias","given":"Paulino","non-dropping-particle":"","parse-names":false,"suffix":""},{"dropping-particle":"","family":"López-Sánchez","given":"Pedro","non-dropping-particle":"","parse-names":false,"suffix":""},{"dropping-particle":"","family":"Granados-Soto","given":"Vinicio","non-dropping-particle":"","parse-names":false,"suffix":""}],"container-title":"Pharmacology Biochemistry and Behavior","id":"ITEM-1","issue":"2","issued":{"date-parts":[["2012"]]},"page":"246-257","publisher":"Elsevier Inc.","title":"Role of peripheral and spinal 5-HT 3 receptors in development and maintenance of formalin-induced long-term secondary allodynia and hyperalgesia","type":"article-journal","volume":"101"},"uris":["http://www.mendeley.com/documents/?uuid=f43fae63-0c23-438a-9707-80c2e8832592"]}],"mendeley":{"formattedCitation":"(Bravo-Hernández et al., 2012)","plainTextFormattedCitation":"(Bravo-Hernández et al., 2012)","previouslyFormattedCitation":"(Bravo-Hernández et al., 2012)"},"properties":{"noteIndex":0},"schema":"https://github.com/citation-style-language/schema/raw/master/csl-citation.json"}</w:instrText>
      </w:r>
      <w:r w:rsidRPr="00B24721">
        <w:rPr>
          <w:rFonts w:ascii="Arial" w:eastAsia="Calibri" w:hAnsi="Arial" w:cs="Arial"/>
          <w:sz w:val="24"/>
        </w:rPr>
        <w:fldChar w:fldCharType="separate"/>
      </w:r>
      <w:r w:rsidRPr="00B24721">
        <w:rPr>
          <w:rFonts w:ascii="Arial" w:eastAsia="Calibri" w:hAnsi="Arial" w:cs="Arial"/>
          <w:noProof/>
          <w:sz w:val="24"/>
        </w:rPr>
        <w:t>(Bravo-Hernández et al., 2012)</w:t>
      </w:r>
      <w:r w:rsidRPr="00B24721">
        <w:rPr>
          <w:rFonts w:ascii="Arial" w:eastAsia="Calibri" w:hAnsi="Arial" w:cs="Arial"/>
          <w:sz w:val="24"/>
        </w:rPr>
        <w:fldChar w:fldCharType="end"/>
      </w:r>
      <w:r w:rsidRPr="00B24721">
        <w:rPr>
          <w:rFonts w:ascii="Arial" w:eastAsia="Calibri" w:hAnsi="Arial" w:cs="Arial"/>
          <w:sz w:val="24"/>
        </w:rPr>
        <w:t>.</w:t>
      </w:r>
    </w:p>
    <w:p w14:paraId="23BECA37" w14:textId="140AA293" w:rsidR="009219F5" w:rsidRPr="00B24721" w:rsidRDefault="00184B4F" w:rsidP="009219F5">
      <w:pPr>
        <w:jc w:val="both"/>
        <w:rPr>
          <w:rFonts w:ascii="Arial" w:eastAsia="Calibri" w:hAnsi="Arial" w:cs="Arial"/>
          <w:b/>
          <w:bCs/>
          <w:sz w:val="24"/>
        </w:rPr>
      </w:pPr>
      <w:r w:rsidRPr="00B24721">
        <w:rPr>
          <w:rFonts w:ascii="Arial" w:eastAsia="Calibri" w:hAnsi="Arial" w:cs="Arial"/>
          <w:b/>
          <w:bCs/>
          <w:sz w:val="24"/>
        </w:rPr>
        <w:t>2.7</w:t>
      </w:r>
      <w:r w:rsidR="009219F5" w:rsidRPr="00B24721">
        <w:rPr>
          <w:rFonts w:ascii="Arial" w:eastAsia="Calibri" w:hAnsi="Arial" w:cs="Arial"/>
          <w:b/>
          <w:bCs/>
          <w:sz w:val="24"/>
        </w:rPr>
        <w:t>.2 Forced Swimming Test</w:t>
      </w:r>
    </w:p>
    <w:p w14:paraId="6680D546" w14:textId="7DB73C3C" w:rsidR="009219F5" w:rsidRPr="00B24721" w:rsidRDefault="009219F5" w:rsidP="009219F5">
      <w:pPr>
        <w:jc w:val="both"/>
        <w:rPr>
          <w:rFonts w:ascii="Arial" w:eastAsia="Calibri" w:hAnsi="Arial" w:cs="Arial"/>
          <w:sz w:val="24"/>
        </w:rPr>
      </w:pPr>
      <w:r w:rsidRPr="00B24721">
        <w:rPr>
          <w:rFonts w:ascii="Arial" w:eastAsia="Calibri" w:hAnsi="Arial" w:cs="Arial"/>
          <w:sz w:val="24"/>
        </w:rPr>
        <w:t xml:space="preserve">The methodology was similar to that used in previous experiments. Following some modifications, we carried out the forced swimming test with the mice being divided into five groups of five. Each group received either control, Imipramine hydrochloride, or the extract in three different doses. The experimental procedure was performed in a cylindrical glass container 45 cm high and 20 cm in diameter. This container was filled with water at 25 ± 1ºC and 17 cm deep. A mouse is scored as immobile when it is floating in the water and makes very little movement to keep its head above the water. The experiment occurred from 1 P.M. to 3 P.M. for a duration of 5 minutes </w:t>
      </w:r>
      <w:r w:rsidRPr="00B24721">
        <w:rPr>
          <w:rFonts w:ascii="Arial" w:eastAsia="Calibri" w:hAnsi="Arial" w:cs="Arial"/>
          <w:sz w:val="24"/>
        </w:rPr>
        <w:fldChar w:fldCharType="begin" w:fldLock="1"/>
      </w:r>
      <w:r w:rsidRPr="00B24721">
        <w:rPr>
          <w:rFonts w:ascii="Arial" w:eastAsia="Calibri" w:hAnsi="Arial" w:cs="Arial"/>
          <w:sz w:val="24"/>
        </w:rPr>
        <w:instrText>ADDIN CSL_CITATION {"citationItems":[{"id":"ITEM-1","itemData":{"DOI":"10.4236/pp.2019.106023","ISSN":"2157-9423","abstract":"Diclipteracolorata C. B. Clarke, Euphorbia hirta L. and Sorghum bicolor (L.) Moench are reported among plant spe-cies used in Congolese traditional medicine to treat Sickle Cell Disease. These medicinal plants have been investigated for their inhibitory effect on the induced sickling process of red blood cells using Emmel's test. Aqueous plant extracts showed good antisickling activity as revealed by the observed normal biconcave form of sickle red blood cells in anoxic conditions. The calculated radius of treated red blood cells by Euphorbia hirta L., Diclipteracolorata C. B. Clarke and Sorghum biocolor (L.) Moench extracts are 3.31 ± 0.55; 3.34 ± 0.53; 3.17 ± 0.52, respectively. Euphorbia hirta L. is the most active with a normalization rate, more than 70%. The chemical screening performed on these plants showed the presence of anthocyanins which were then extracted. The test carried out with anthocyanin extracts showed that these phenolic compounds have a good antisickling activity and, additionally, possess an anti-hemolytic effect on SS blood. This suggests that the evidenced biological activity of these plants would be due to anthocyanins. The results hence ob-tained justify the use of these plants in Congolese traditional medicine.","author":[{"dropping-particle":"","family":"Rahman","given":"S. M. Mushiur","non-dropping-particle":"","parse-names":false,"suffix":""},{"dropping-particle":"","family":"Rana","given":"Sohel","non-dropping-particle":"","parse-names":false,"suffix":""},{"dropping-particle":"","family":"Islam","given":"Md. Nahinul","non-dropping-particle":"","parse-names":false,"suffix":""},{"dropping-particle":"","family":"Kumer","given":"Alok","non-dropping-particle":"","parse-names":false,"suffix":""},{"dropping-particle":"","family":"Hassan","given":"Md. Mehedi","non-dropping-particle":"","parse-names":false,"suffix":""},{"dropping-particle":"","family":"Biswas","given":"Tonmoy Kumar","non-dropping-particle":"","parse-names":false,"suffix":""},{"dropping-particle":"","family":"Atikullah","given":"Md.","non-dropping-particle":"","parse-names":false,"suffix":""}],"container-title":"Pharmacology &amp;amp; Pharmacy","id":"ITEM-1","issue":"06","issued":{"date-parts":[["2019"]]},"page":"283-297","title":"Evaluation of Anxiolytic and Sedative-Like Activities of Methanolic Extract of &amp;lt;i&amp;gt;Euphorbia hirta&amp;lt;/i&amp;gt; Leaves in Mice","type":"article-journal","volume":"10"},"uris":["http://www.mendeley.com/documents/?uuid=b876dcee-4586-438b-a333-4a75931ba0c4"]}],"mendeley":{"formattedCitation":"(Rahman et al., 2019)","plainTextFormattedCitation":"(Rahman et al., 2019)","previouslyFormattedCitation":"(Rahman et al., 2019)"},"properties":{"noteIndex":0},"schema":"https://github.com/citation-style-language/schema/raw/master/csl-citation.json"}</w:instrText>
      </w:r>
      <w:r w:rsidRPr="00B24721">
        <w:rPr>
          <w:rFonts w:ascii="Arial" w:eastAsia="Calibri" w:hAnsi="Arial" w:cs="Arial"/>
          <w:sz w:val="24"/>
        </w:rPr>
        <w:fldChar w:fldCharType="separate"/>
      </w:r>
      <w:r w:rsidRPr="00B24721">
        <w:rPr>
          <w:rFonts w:ascii="Arial" w:eastAsia="Calibri" w:hAnsi="Arial" w:cs="Arial"/>
          <w:noProof/>
          <w:sz w:val="24"/>
        </w:rPr>
        <w:t>(Rahman et al., 2019)</w:t>
      </w:r>
      <w:r w:rsidRPr="00B24721">
        <w:rPr>
          <w:rFonts w:ascii="Arial" w:eastAsia="Calibri" w:hAnsi="Arial" w:cs="Arial"/>
          <w:sz w:val="24"/>
        </w:rPr>
        <w:fldChar w:fldCharType="end"/>
      </w:r>
      <w:r w:rsidRPr="00B24721">
        <w:rPr>
          <w:rFonts w:ascii="Arial" w:eastAsia="Calibri" w:hAnsi="Arial" w:cs="Arial"/>
          <w:sz w:val="24"/>
        </w:rPr>
        <w:t>.</w:t>
      </w:r>
    </w:p>
    <w:p w14:paraId="41AD58CA" w14:textId="3E7E2062" w:rsidR="009219F5" w:rsidRPr="00B24721" w:rsidRDefault="00184B4F" w:rsidP="009219F5">
      <w:pPr>
        <w:pStyle w:val="a3"/>
        <w:rPr>
          <w:rFonts w:ascii="Arial" w:hAnsi="Arial" w:cs="Arial"/>
          <w:b/>
          <w:bCs/>
        </w:rPr>
      </w:pPr>
      <w:r w:rsidRPr="00B24721">
        <w:rPr>
          <w:rFonts w:ascii="Arial" w:hAnsi="Arial" w:cs="Arial"/>
          <w:b/>
          <w:bCs/>
        </w:rPr>
        <w:t>3.</w:t>
      </w:r>
      <w:r w:rsidR="009219F5" w:rsidRPr="00B24721">
        <w:rPr>
          <w:rFonts w:ascii="Arial" w:hAnsi="Arial" w:cs="Arial"/>
          <w:b/>
          <w:bCs/>
        </w:rPr>
        <w:t xml:space="preserve"> Statistical Analysis </w:t>
      </w:r>
    </w:p>
    <w:p w14:paraId="32341D84" w14:textId="77777777" w:rsidR="009219F5" w:rsidRPr="00B24721" w:rsidRDefault="009219F5" w:rsidP="009219F5">
      <w:pPr>
        <w:pStyle w:val="a3"/>
        <w:rPr>
          <w:rFonts w:ascii="Arial" w:hAnsi="Arial" w:cs="Arial"/>
        </w:rPr>
      </w:pPr>
      <w:r w:rsidRPr="00B24721">
        <w:rPr>
          <w:rFonts w:ascii="Arial" w:hAnsi="Arial" w:cs="Arial"/>
        </w:rPr>
        <w:t>The experimental data was replicated three times, and the mean and standard deviation were used to represent the results. Excel is commonly utilized for conducting statistical analyses.</w:t>
      </w:r>
    </w:p>
    <w:p w14:paraId="41DE646D" w14:textId="169202F4" w:rsidR="009219F5" w:rsidRPr="00B24721" w:rsidRDefault="00184B4F" w:rsidP="009219F5">
      <w:pPr>
        <w:pStyle w:val="a3"/>
        <w:rPr>
          <w:rFonts w:ascii="Arial" w:hAnsi="Arial" w:cs="Arial"/>
          <w:b/>
          <w:bCs/>
        </w:rPr>
      </w:pPr>
      <w:r w:rsidRPr="00B24721">
        <w:rPr>
          <w:rFonts w:ascii="Arial" w:hAnsi="Arial" w:cs="Arial"/>
          <w:b/>
          <w:bCs/>
        </w:rPr>
        <w:t>4</w:t>
      </w:r>
      <w:r w:rsidR="009219F5" w:rsidRPr="00B24721">
        <w:rPr>
          <w:rFonts w:ascii="Arial" w:hAnsi="Arial" w:cs="Arial"/>
          <w:b/>
          <w:bCs/>
        </w:rPr>
        <w:t>. Results</w:t>
      </w:r>
    </w:p>
    <w:p w14:paraId="0BBF858A" w14:textId="4FB384FB" w:rsidR="009219F5" w:rsidRPr="00B24721" w:rsidRDefault="00184B4F" w:rsidP="009219F5">
      <w:pPr>
        <w:pStyle w:val="a3"/>
        <w:rPr>
          <w:rFonts w:ascii="Arial" w:hAnsi="Arial" w:cs="Arial"/>
          <w:b/>
          <w:bCs/>
        </w:rPr>
      </w:pPr>
      <w:r w:rsidRPr="00B24721">
        <w:rPr>
          <w:rFonts w:ascii="Arial" w:hAnsi="Arial" w:cs="Arial"/>
          <w:b/>
          <w:bCs/>
        </w:rPr>
        <w:t>4</w:t>
      </w:r>
      <w:r w:rsidR="009219F5" w:rsidRPr="00B24721">
        <w:rPr>
          <w:rFonts w:ascii="Arial" w:hAnsi="Arial" w:cs="Arial"/>
          <w:b/>
          <w:bCs/>
        </w:rPr>
        <w:t>.1 Anticancer activity</w:t>
      </w:r>
    </w:p>
    <w:p w14:paraId="118076B4" w14:textId="77777777" w:rsidR="009219F5" w:rsidRPr="00B24721" w:rsidRDefault="009219F5" w:rsidP="009219F5">
      <w:pPr>
        <w:pStyle w:val="a3"/>
        <w:jc w:val="both"/>
        <w:rPr>
          <w:rFonts w:ascii="Arial" w:hAnsi="Arial" w:cs="Arial"/>
        </w:rPr>
      </w:pPr>
      <w:commentRangeStart w:id="10"/>
      <w:r w:rsidRPr="00B24721">
        <w:rPr>
          <w:rFonts w:ascii="Arial" w:hAnsi="Arial" w:cs="Arial"/>
        </w:rPr>
        <w:lastRenderedPageBreak/>
        <w:t xml:space="preserve">The alcoholic extract (MEDM) of the plant materials was standardized according to standard methods, and its anticancer potential was tested in HeLa cell lines. The methanolic extract of </w:t>
      </w:r>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rPr>
        <w:t xml:space="preserve"> showed significant results as summarized in Table 1.</w:t>
      </w:r>
      <w:commentRangeEnd w:id="10"/>
      <w:r w:rsidR="00F40E46">
        <w:rPr>
          <w:rStyle w:val="a9"/>
          <w:rFonts w:asciiTheme="minorHAnsi" w:eastAsiaTheme="minorHAnsi" w:hAnsiTheme="minorHAnsi" w:cstheme="minorBidi"/>
        </w:rPr>
        <w:commentReference w:id="10"/>
      </w:r>
    </w:p>
    <w:p w14:paraId="438004C0" w14:textId="3D7B39DA" w:rsidR="009219F5" w:rsidRPr="00B24721" w:rsidRDefault="009219F5" w:rsidP="009219F5">
      <w:pPr>
        <w:pStyle w:val="a3"/>
        <w:jc w:val="both"/>
        <w:rPr>
          <w:rFonts w:ascii="Arial" w:hAnsi="Arial" w:cs="Arial"/>
        </w:rPr>
      </w:pPr>
      <w:r w:rsidRPr="00B24721">
        <w:rPr>
          <w:rFonts w:ascii="Arial" w:hAnsi="Arial" w:cs="Arial"/>
          <w:b/>
          <w:bCs/>
          <w:lang w:val="en-AU"/>
        </w:rPr>
        <w:t>Table 1. Anticancer activity of ME</w:t>
      </w:r>
      <w:r w:rsidR="00E606AB" w:rsidRPr="00B24721">
        <w:rPr>
          <w:rFonts w:ascii="Arial" w:hAnsi="Arial" w:cs="Arial"/>
          <w:b/>
          <w:bCs/>
          <w:lang w:val="en-AU"/>
        </w:rPr>
        <w:t>DM</w:t>
      </w:r>
    </w:p>
    <w:tbl>
      <w:tblPr>
        <w:tblStyle w:val="a5"/>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095"/>
        <w:gridCol w:w="2629"/>
      </w:tblGrid>
      <w:tr w:rsidR="009219F5" w:rsidRPr="00B24721" w14:paraId="6BC6E281" w14:textId="77777777" w:rsidTr="00E05C20">
        <w:trPr>
          <w:trHeight w:val="20"/>
          <w:jc w:val="center"/>
        </w:trPr>
        <w:tc>
          <w:tcPr>
            <w:tcW w:w="1417" w:type="pct"/>
            <w:tcBorders>
              <w:top w:val="single" w:sz="4" w:space="0" w:color="auto"/>
              <w:bottom w:val="single" w:sz="4" w:space="0" w:color="auto"/>
            </w:tcBorders>
          </w:tcPr>
          <w:p w14:paraId="21431278" w14:textId="77777777" w:rsidR="009219F5" w:rsidRPr="00B24721" w:rsidRDefault="009219F5" w:rsidP="009219F5">
            <w:pPr>
              <w:pStyle w:val="a3"/>
              <w:jc w:val="both"/>
              <w:rPr>
                <w:rFonts w:ascii="Arial" w:hAnsi="Arial" w:cs="Arial"/>
                <w:b/>
                <w:bCs/>
              </w:rPr>
            </w:pPr>
            <w:r w:rsidRPr="00B24721">
              <w:rPr>
                <w:rFonts w:ascii="Arial" w:hAnsi="Arial" w:cs="Arial"/>
                <w:b/>
                <w:bCs/>
              </w:rPr>
              <w:t>Concentration (µm/mL)</w:t>
            </w:r>
          </w:p>
        </w:tc>
        <w:tc>
          <w:tcPr>
            <w:tcW w:w="2182" w:type="pct"/>
            <w:tcBorders>
              <w:top w:val="single" w:sz="4" w:space="0" w:color="auto"/>
              <w:bottom w:val="single" w:sz="4" w:space="0" w:color="auto"/>
            </w:tcBorders>
          </w:tcPr>
          <w:p w14:paraId="25283B78" w14:textId="77777777" w:rsidR="009219F5" w:rsidRPr="00B24721" w:rsidRDefault="009219F5" w:rsidP="009219F5">
            <w:pPr>
              <w:pStyle w:val="a3"/>
              <w:jc w:val="both"/>
              <w:rPr>
                <w:rFonts w:ascii="Arial" w:hAnsi="Arial" w:cs="Arial"/>
                <w:b/>
                <w:bCs/>
              </w:rPr>
            </w:pPr>
            <w:r w:rsidRPr="00B24721">
              <w:rPr>
                <w:rFonts w:ascii="Arial" w:hAnsi="Arial" w:cs="Arial"/>
                <w:b/>
                <w:bCs/>
              </w:rPr>
              <w:t>Survival of the cell (%)</w:t>
            </w:r>
          </w:p>
        </w:tc>
        <w:tc>
          <w:tcPr>
            <w:tcW w:w="1401" w:type="pct"/>
            <w:tcBorders>
              <w:top w:val="single" w:sz="4" w:space="0" w:color="auto"/>
              <w:bottom w:val="single" w:sz="4" w:space="0" w:color="auto"/>
            </w:tcBorders>
          </w:tcPr>
          <w:p w14:paraId="137E3513" w14:textId="77777777" w:rsidR="009219F5" w:rsidRPr="00B24721" w:rsidRDefault="009219F5" w:rsidP="009219F5">
            <w:pPr>
              <w:pStyle w:val="a3"/>
              <w:jc w:val="both"/>
              <w:rPr>
                <w:rFonts w:ascii="Arial" w:hAnsi="Arial" w:cs="Arial"/>
                <w:b/>
                <w:bCs/>
              </w:rPr>
            </w:pPr>
            <w:r w:rsidRPr="00B24721">
              <w:rPr>
                <w:rFonts w:ascii="Arial" w:hAnsi="Arial" w:cs="Arial"/>
                <w:b/>
                <w:bCs/>
              </w:rPr>
              <w:t>% of Inhibition</w:t>
            </w:r>
          </w:p>
        </w:tc>
      </w:tr>
      <w:tr w:rsidR="009219F5" w:rsidRPr="00B24721" w14:paraId="5C113FF2" w14:textId="77777777" w:rsidTr="00E05C20">
        <w:trPr>
          <w:trHeight w:val="20"/>
          <w:jc w:val="center"/>
        </w:trPr>
        <w:tc>
          <w:tcPr>
            <w:tcW w:w="1417" w:type="pct"/>
            <w:tcBorders>
              <w:top w:val="single" w:sz="4" w:space="0" w:color="auto"/>
            </w:tcBorders>
          </w:tcPr>
          <w:p w14:paraId="47EC6F71" w14:textId="77777777" w:rsidR="009219F5" w:rsidRPr="00B24721" w:rsidRDefault="009219F5" w:rsidP="009219F5">
            <w:pPr>
              <w:pStyle w:val="a3"/>
              <w:jc w:val="both"/>
              <w:rPr>
                <w:rFonts w:ascii="Arial" w:hAnsi="Arial" w:cs="Arial"/>
              </w:rPr>
            </w:pPr>
            <w:r w:rsidRPr="00B24721">
              <w:rPr>
                <w:rFonts w:ascii="Arial" w:hAnsi="Arial" w:cs="Arial"/>
              </w:rPr>
              <w:t>125</w:t>
            </w:r>
          </w:p>
        </w:tc>
        <w:tc>
          <w:tcPr>
            <w:tcW w:w="2182" w:type="pct"/>
            <w:tcBorders>
              <w:top w:val="single" w:sz="4" w:space="0" w:color="auto"/>
            </w:tcBorders>
          </w:tcPr>
          <w:p w14:paraId="547C1033" w14:textId="656468E2" w:rsidR="009219F5" w:rsidRPr="00B24721" w:rsidRDefault="00E606AB" w:rsidP="009219F5">
            <w:pPr>
              <w:pStyle w:val="a3"/>
              <w:jc w:val="both"/>
              <w:rPr>
                <w:rFonts w:ascii="Arial" w:hAnsi="Arial" w:cs="Arial"/>
              </w:rPr>
            </w:pPr>
            <w:r w:rsidRPr="00B24721">
              <w:rPr>
                <w:rFonts w:ascii="Arial" w:hAnsi="Arial" w:cs="Arial"/>
              </w:rPr>
              <w:t>90</w:t>
            </w:r>
            <w:r w:rsidR="009219F5" w:rsidRPr="00B24721">
              <w:rPr>
                <w:rFonts w:ascii="Arial" w:hAnsi="Arial" w:cs="Arial"/>
              </w:rPr>
              <w:t>.69</w:t>
            </w:r>
          </w:p>
        </w:tc>
        <w:tc>
          <w:tcPr>
            <w:tcW w:w="1401" w:type="pct"/>
            <w:tcBorders>
              <w:top w:val="single" w:sz="4" w:space="0" w:color="auto"/>
            </w:tcBorders>
          </w:tcPr>
          <w:p w14:paraId="36865FAD" w14:textId="18562B2F" w:rsidR="009219F5" w:rsidRPr="00B24721" w:rsidRDefault="00E36BE9" w:rsidP="009219F5">
            <w:pPr>
              <w:pStyle w:val="a3"/>
              <w:jc w:val="both"/>
              <w:rPr>
                <w:rFonts w:ascii="Arial" w:hAnsi="Arial" w:cs="Arial"/>
              </w:rPr>
            </w:pPr>
            <w:r w:rsidRPr="00B24721">
              <w:rPr>
                <w:rFonts w:ascii="Arial" w:hAnsi="Arial" w:cs="Arial"/>
              </w:rPr>
              <w:t>9.31</w:t>
            </w:r>
          </w:p>
        </w:tc>
      </w:tr>
      <w:tr w:rsidR="009219F5" w:rsidRPr="00B24721" w14:paraId="6F69E96A" w14:textId="77777777" w:rsidTr="00E05C20">
        <w:trPr>
          <w:trHeight w:val="20"/>
          <w:jc w:val="center"/>
        </w:trPr>
        <w:tc>
          <w:tcPr>
            <w:tcW w:w="1417" w:type="pct"/>
          </w:tcPr>
          <w:p w14:paraId="1CCF076D" w14:textId="77777777" w:rsidR="009219F5" w:rsidRPr="00B24721" w:rsidRDefault="009219F5" w:rsidP="009219F5">
            <w:pPr>
              <w:pStyle w:val="a3"/>
              <w:jc w:val="both"/>
              <w:rPr>
                <w:rFonts w:ascii="Arial" w:hAnsi="Arial" w:cs="Arial"/>
              </w:rPr>
            </w:pPr>
            <w:r w:rsidRPr="00B24721">
              <w:rPr>
                <w:rFonts w:ascii="Arial" w:hAnsi="Arial" w:cs="Arial"/>
              </w:rPr>
              <w:t>250</w:t>
            </w:r>
          </w:p>
        </w:tc>
        <w:tc>
          <w:tcPr>
            <w:tcW w:w="2182" w:type="pct"/>
          </w:tcPr>
          <w:p w14:paraId="4D5C9246" w14:textId="31F0AD78" w:rsidR="009219F5" w:rsidRPr="00B24721" w:rsidRDefault="00E36BE9" w:rsidP="009219F5">
            <w:pPr>
              <w:pStyle w:val="a3"/>
              <w:jc w:val="both"/>
              <w:rPr>
                <w:rFonts w:ascii="Arial" w:hAnsi="Arial" w:cs="Arial"/>
              </w:rPr>
            </w:pPr>
            <w:r w:rsidRPr="00B24721">
              <w:rPr>
                <w:rFonts w:ascii="Arial" w:hAnsi="Arial" w:cs="Arial"/>
              </w:rPr>
              <w:t>7</w:t>
            </w:r>
            <w:r w:rsidR="00E606AB" w:rsidRPr="00B24721">
              <w:rPr>
                <w:rFonts w:ascii="Arial" w:hAnsi="Arial" w:cs="Arial"/>
              </w:rPr>
              <w:t>1</w:t>
            </w:r>
            <w:r w:rsidR="009219F5" w:rsidRPr="00B24721">
              <w:rPr>
                <w:rFonts w:ascii="Arial" w:hAnsi="Arial" w:cs="Arial"/>
              </w:rPr>
              <w:t>.94</w:t>
            </w:r>
          </w:p>
        </w:tc>
        <w:tc>
          <w:tcPr>
            <w:tcW w:w="1401" w:type="pct"/>
          </w:tcPr>
          <w:p w14:paraId="736471AD" w14:textId="7E4FB025" w:rsidR="009219F5" w:rsidRPr="00B24721" w:rsidRDefault="009219F5" w:rsidP="009219F5">
            <w:pPr>
              <w:pStyle w:val="a3"/>
              <w:jc w:val="both"/>
              <w:rPr>
                <w:rFonts w:ascii="Arial" w:hAnsi="Arial" w:cs="Arial"/>
              </w:rPr>
            </w:pPr>
            <w:r w:rsidRPr="00B24721">
              <w:rPr>
                <w:rFonts w:ascii="Arial" w:hAnsi="Arial" w:cs="Arial"/>
              </w:rPr>
              <w:t>2</w:t>
            </w:r>
            <w:r w:rsidR="00E36BE9" w:rsidRPr="00B24721">
              <w:rPr>
                <w:rFonts w:ascii="Arial" w:hAnsi="Arial" w:cs="Arial"/>
              </w:rPr>
              <w:t>8</w:t>
            </w:r>
            <w:r w:rsidRPr="00B24721">
              <w:rPr>
                <w:rFonts w:ascii="Arial" w:hAnsi="Arial" w:cs="Arial"/>
              </w:rPr>
              <w:t>.06</w:t>
            </w:r>
          </w:p>
        </w:tc>
      </w:tr>
      <w:tr w:rsidR="009219F5" w:rsidRPr="00B24721" w14:paraId="6BACA47C" w14:textId="77777777" w:rsidTr="00E05C20">
        <w:trPr>
          <w:trHeight w:val="20"/>
          <w:jc w:val="center"/>
        </w:trPr>
        <w:tc>
          <w:tcPr>
            <w:tcW w:w="1417" w:type="pct"/>
          </w:tcPr>
          <w:p w14:paraId="4D2C732E" w14:textId="77777777" w:rsidR="009219F5" w:rsidRPr="00B24721" w:rsidRDefault="009219F5" w:rsidP="009219F5">
            <w:pPr>
              <w:pStyle w:val="a3"/>
              <w:jc w:val="both"/>
              <w:rPr>
                <w:rFonts w:ascii="Arial" w:hAnsi="Arial" w:cs="Arial"/>
              </w:rPr>
            </w:pPr>
            <w:r w:rsidRPr="00B24721">
              <w:rPr>
                <w:rFonts w:ascii="Arial" w:hAnsi="Arial" w:cs="Arial"/>
              </w:rPr>
              <w:t>500</w:t>
            </w:r>
          </w:p>
        </w:tc>
        <w:tc>
          <w:tcPr>
            <w:tcW w:w="2182" w:type="pct"/>
          </w:tcPr>
          <w:p w14:paraId="3D4B864D" w14:textId="012DCFE7" w:rsidR="009219F5" w:rsidRPr="00B24721" w:rsidRDefault="00E36BE9" w:rsidP="009219F5">
            <w:pPr>
              <w:pStyle w:val="a3"/>
              <w:jc w:val="both"/>
              <w:rPr>
                <w:rFonts w:ascii="Arial" w:hAnsi="Arial" w:cs="Arial"/>
              </w:rPr>
            </w:pPr>
            <w:r w:rsidRPr="00B24721">
              <w:rPr>
                <w:rFonts w:ascii="Arial" w:hAnsi="Arial" w:cs="Arial"/>
              </w:rPr>
              <w:t>6</w:t>
            </w:r>
            <w:r w:rsidR="00E606AB" w:rsidRPr="00B24721">
              <w:rPr>
                <w:rFonts w:ascii="Arial" w:hAnsi="Arial" w:cs="Arial"/>
              </w:rPr>
              <w:t>5</w:t>
            </w:r>
            <w:r w:rsidR="009219F5" w:rsidRPr="00B24721">
              <w:rPr>
                <w:rFonts w:ascii="Arial" w:hAnsi="Arial" w:cs="Arial"/>
              </w:rPr>
              <w:t>.63</w:t>
            </w:r>
          </w:p>
        </w:tc>
        <w:tc>
          <w:tcPr>
            <w:tcW w:w="1401" w:type="pct"/>
          </w:tcPr>
          <w:p w14:paraId="156C029B" w14:textId="455124BB" w:rsidR="009219F5" w:rsidRPr="00B24721" w:rsidRDefault="00E36BE9" w:rsidP="009219F5">
            <w:pPr>
              <w:pStyle w:val="a3"/>
              <w:jc w:val="both"/>
              <w:rPr>
                <w:rFonts w:ascii="Arial" w:hAnsi="Arial" w:cs="Arial"/>
              </w:rPr>
            </w:pPr>
            <w:r w:rsidRPr="00B24721">
              <w:rPr>
                <w:rFonts w:ascii="Arial" w:hAnsi="Arial" w:cs="Arial"/>
              </w:rPr>
              <w:t>34.37</w:t>
            </w:r>
          </w:p>
        </w:tc>
      </w:tr>
      <w:tr w:rsidR="009219F5" w:rsidRPr="00B24721" w14:paraId="6E52F857" w14:textId="77777777" w:rsidTr="00E05C20">
        <w:trPr>
          <w:trHeight w:val="20"/>
          <w:jc w:val="center"/>
        </w:trPr>
        <w:tc>
          <w:tcPr>
            <w:tcW w:w="1417" w:type="pct"/>
          </w:tcPr>
          <w:p w14:paraId="592F2161" w14:textId="77777777" w:rsidR="009219F5" w:rsidRPr="00B24721" w:rsidRDefault="009219F5" w:rsidP="009219F5">
            <w:pPr>
              <w:pStyle w:val="a3"/>
              <w:jc w:val="both"/>
              <w:rPr>
                <w:rFonts w:ascii="Arial" w:hAnsi="Arial" w:cs="Arial"/>
              </w:rPr>
            </w:pPr>
            <w:r w:rsidRPr="00B24721">
              <w:rPr>
                <w:rFonts w:ascii="Arial" w:hAnsi="Arial" w:cs="Arial"/>
              </w:rPr>
              <w:t>1000</w:t>
            </w:r>
          </w:p>
        </w:tc>
        <w:tc>
          <w:tcPr>
            <w:tcW w:w="2182" w:type="pct"/>
          </w:tcPr>
          <w:p w14:paraId="00207BA8" w14:textId="395890C2" w:rsidR="009219F5" w:rsidRPr="00B24721" w:rsidRDefault="00E36BE9" w:rsidP="009219F5">
            <w:pPr>
              <w:pStyle w:val="a3"/>
              <w:jc w:val="both"/>
              <w:rPr>
                <w:rFonts w:ascii="Arial" w:hAnsi="Arial" w:cs="Arial"/>
              </w:rPr>
            </w:pPr>
            <w:r w:rsidRPr="00B24721">
              <w:rPr>
                <w:rFonts w:ascii="Arial" w:hAnsi="Arial" w:cs="Arial"/>
              </w:rPr>
              <w:t>5</w:t>
            </w:r>
            <w:r w:rsidR="009219F5" w:rsidRPr="00B24721">
              <w:rPr>
                <w:rFonts w:ascii="Arial" w:hAnsi="Arial" w:cs="Arial"/>
              </w:rPr>
              <w:t>0.84</w:t>
            </w:r>
          </w:p>
        </w:tc>
        <w:tc>
          <w:tcPr>
            <w:tcW w:w="1401" w:type="pct"/>
          </w:tcPr>
          <w:p w14:paraId="79348158" w14:textId="0BB33B69" w:rsidR="009219F5" w:rsidRPr="00B24721" w:rsidRDefault="00E36BE9" w:rsidP="009219F5">
            <w:pPr>
              <w:pStyle w:val="a3"/>
              <w:jc w:val="both"/>
              <w:rPr>
                <w:rFonts w:ascii="Arial" w:hAnsi="Arial" w:cs="Arial"/>
              </w:rPr>
            </w:pPr>
            <w:bookmarkStart w:id="11" w:name="_Hlk166572227"/>
            <w:r w:rsidRPr="00B24721">
              <w:rPr>
                <w:rFonts w:ascii="Arial" w:hAnsi="Arial" w:cs="Arial"/>
              </w:rPr>
              <w:t>4</w:t>
            </w:r>
            <w:r w:rsidR="009219F5" w:rsidRPr="00B24721">
              <w:rPr>
                <w:rFonts w:ascii="Arial" w:hAnsi="Arial" w:cs="Arial"/>
              </w:rPr>
              <w:t>9.16</w:t>
            </w:r>
            <w:bookmarkEnd w:id="11"/>
          </w:p>
        </w:tc>
      </w:tr>
    </w:tbl>
    <w:p w14:paraId="374B29EF" w14:textId="77777777" w:rsidR="009219F5" w:rsidRPr="00B24721" w:rsidRDefault="009219F5" w:rsidP="009219F5">
      <w:pPr>
        <w:pStyle w:val="a3"/>
        <w:rPr>
          <w:rFonts w:ascii="Arial" w:hAnsi="Arial" w:cs="Arial"/>
        </w:rPr>
      </w:pPr>
    </w:p>
    <w:p w14:paraId="599479DC" w14:textId="0DB782AC" w:rsidR="009219F5" w:rsidRPr="00B24721" w:rsidRDefault="00D4077D" w:rsidP="00D4077D">
      <w:pPr>
        <w:pStyle w:val="a3"/>
        <w:jc w:val="center"/>
        <w:rPr>
          <w:rFonts w:ascii="Arial" w:hAnsi="Arial" w:cs="Arial"/>
        </w:rPr>
      </w:pPr>
      <w:r>
        <w:rPr>
          <w:rFonts w:ascii="Arial" w:hAnsi="Arial" w:cs="Arial"/>
          <w:noProof/>
        </w:rPr>
        <w:drawing>
          <wp:inline distT="0" distB="0" distL="0" distR="0" wp14:anchorId="658CF9ED" wp14:editId="16579893">
            <wp:extent cx="4683915" cy="2529840"/>
            <wp:effectExtent l="0" t="0" r="2540" b="3810"/>
            <wp:docPr id="1651130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8329" cy="2559230"/>
                    </a:xfrm>
                    <a:prstGeom prst="rect">
                      <a:avLst/>
                    </a:prstGeom>
                    <a:noFill/>
                  </pic:spPr>
                </pic:pic>
              </a:graphicData>
            </a:graphic>
          </wp:inline>
        </w:drawing>
      </w:r>
    </w:p>
    <w:p w14:paraId="5B5081FA" w14:textId="344AE6E7" w:rsidR="00AD6FFC" w:rsidRPr="00B24721" w:rsidRDefault="009219F5" w:rsidP="009219F5">
      <w:pPr>
        <w:pStyle w:val="a3"/>
        <w:jc w:val="both"/>
        <w:rPr>
          <w:rFonts w:ascii="Arial" w:hAnsi="Arial" w:cs="Arial"/>
        </w:rPr>
      </w:pPr>
      <w:r w:rsidRPr="00B24721">
        <w:rPr>
          <w:rFonts w:ascii="Arial" w:hAnsi="Arial" w:cs="Arial"/>
        </w:rPr>
        <w:t xml:space="preserve">Figure </w:t>
      </w:r>
      <w:r w:rsidR="00D4077D">
        <w:rPr>
          <w:rFonts w:ascii="Arial" w:hAnsi="Arial" w:cs="Arial"/>
        </w:rPr>
        <w:t>1</w:t>
      </w:r>
      <w:r w:rsidRPr="00B24721">
        <w:rPr>
          <w:rFonts w:ascii="Arial" w:hAnsi="Arial" w:cs="Arial"/>
        </w:rPr>
        <w:t xml:space="preserve"> presents a phase contrast image that illustrates significant and clear morphological changes. The serial numbers 1, 2, 3, and 4 denote the concentrations of M</w:t>
      </w:r>
      <w:r w:rsidR="00E606AB" w:rsidRPr="00B24721">
        <w:rPr>
          <w:rFonts w:ascii="Arial" w:hAnsi="Arial" w:cs="Arial"/>
        </w:rPr>
        <w:t>EDM</w:t>
      </w:r>
      <w:r w:rsidRPr="00B24721">
        <w:rPr>
          <w:rFonts w:ascii="Arial" w:hAnsi="Arial" w:cs="Arial"/>
        </w:rPr>
        <w:t xml:space="preserve">, which vary from 125 to 1000 </w:t>
      </w:r>
      <w:proofErr w:type="spellStart"/>
      <w:r w:rsidRPr="00B24721">
        <w:rPr>
          <w:rFonts w:ascii="Arial" w:hAnsi="Arial" w:cs="Arial"/>
        </w:rPr>
        <w:t>μm</w:t>
      </w:r>
      <w:proofErr w:type="spellEnd"/>
      <w:r w:rsidRPr="00B24721">
        <w:rPr>
          <w:rFonts w:ascii="Arial" w:hAnsi="Arial" w:cs="Arial"/>
        </w:rPr>
        <w:t>/mL, as outlined in Table 1.</w:t>
      </w:r>
    </w:p>
    <w:p w14:paraId="4F870CF5" w14:textId="7F306A75" w:rsidR="00A56122" w:rsidRPr="00B24721" w:rsidRDefault="00184B4F" w:rsidP="004D3542">
      <w:pPr>
        <w:jc w:val="both"/>
        <w:rPr>
          <w:rFonts w:ascii="Arial" w:hAnsi="Arial" w:cs="Arial"/>
          <w:b/>
          <w:bCs/>
        </w:rPr>
      </w:pPr>
      <w:r w:rsidRPr="00B24721">
        <w:rPr>
          <w:rFonts w:ascii="Arial" w:hAnsi="Arial" w:cs="Arial"/>
          <w:b/>
          <w:bCs/>
        </w:rPr>
        <w:t xml:space="preserve">4.2 </w:t>
      </w:r>
      <w:commentRangeStart w:id="12"/>
      <w:r w:rsidR="00E606AB" w:rsidRPr="00B24721">
        <w:rPr>
          <w:rFonts w:ascii="Arial" w:hAnsi="Arial" w:cs="Arial"/>
          <w:b/>
          <w:bCs/>
        </w:rPr>
        <w:t>Antimicrobial Activity</w:t>
      </w:r>
      <w:commentRangeEnd w:id="12"/>
      <w:r w:rsidR="00F40E46">
        <w:rPr>
          <w:rStyle w:val="a9"/>
        </w:rPr>
        <w:commentReference w:id="12"/>
      </w:r>
    </w:p>
    <w:p w14:paraId="4D736D04" w14:textId="647E0F17" w:rsidR="00E606AB" w:rsidRPr="00B24721" w:rsidRDefault="00E606AB" w:rsidP="004D3542">
      <w:pPr>
        <w:jc w:val="both"/>
        <w:rPr>
          <w:rFonts w:ascii="Arial" w:hAnsi="Arial" w:cs="Arial"/>
        </w:rPr>
      </w:pPr>
      <w:r w:rsidRPr="00B24721">
        <w:rPr>
          <w:rFonts w:ascii="Arial" w:hAnsi="Arial" w:cs="Arial"/>
        </w:rPr>
        <w:t xml:space="preserve">The antibacterial and antifungal activity of the various degrees of plant extract was evaluated against gram-positive and gram-negative bacteria and four varieties of fungi (mm) by quantifying the zone of growth inhibition in mm. As can be observed in the results higher concentrations of the plant extract increased the size of the inhibition zone (Table 6, 7). The zone of inhibition for the antibacterial activity was 08-18 where zone of inhibition of the fungi was 06-14 mm. The next result shows that MEDM is responsible for the highest antibacterial activity against Escherichia coli and </w:t>
      </w:r>
      <w:r w:rsidRPr="00B24721">
        <w:rPr>
          <w:rFonts w:ascii="Arial" w:hAnsi="Arial" w:cs="Arial"/>
          <w:i/>
          <w:iCs/>
        </w:rPr>
        <w:t>Bacillus cereus</w:t>
      </w:r>
      <w:r w:rsidRPr="00B24721">
        <w:rPr>
          <w:rFonts w:ascii="Arial" w:hAnsi="Arial" w:cs="Arial"/>
        </w:rPr>
        <w:t xml:space="preserve"> which causes harmful diseases such as urinary tract infections, respiratory illness, </w:t>
      </w:r>
      <w:r w:rsidRPr="00B24721">
        <w:rPr>
          <w:rFonts w:ascii="Arial" w:hAnsi="Arial" w:cs="Arial"/>
          <w:i/>
          <w:iCs/>
        </w:rPr>
        <w:t>pneumonia gastrointestinal</w:t>
      </w:r>
      <w:r w:rsidRPr="00B24721">
        <w:rPr>
          <w:rFonts w:ascii="Arial" w:hAnsi="Arial" w:cs="Arial"/>
        </w:rPr>
        <w:t xml:space="preserve"> illness diarrhea etc.</w:t>
      </w:r>
    </w:p>
    <w:p w14:paraId="7FD48832" w14:textId="03830DE1" w:rsidR="00E606AB" w:rsidRPr="00B24721" w:rsidRDefault="00E606AB" w:rsidP="00E606AB">
      <w:pPr>
        <w:spacing w:after="0" w:line="240" w:lineRule="auto"/>
        <w:jc w:val="center"/>
        <w:rPr>
          <w:rFonts w:ascii="Arial" w:eastAsia="Times New Roman" w:hAnsi="Arial" w:cs="Arial"/>
          <w:b/>
          <w:bCs/>
          <w:sz w:val="20"/>
          <w:szCs w:val="20"/>
          <w:lang w:val="en-IN" w:eastAsia="ja-JP"/>
        </w:rPr>
      </w:pPr>
      <w:r w:rsidRPr="00B24721">
        <w:rPr>
          <w:rFonts w:ascii="Arial" w:eastAsia="Times New Roman" w:hAnsi="Arial" w:cs="Arial"/>
          <w:b/>
          <w:bCs/>
          <w:sz w:val="20"/>
          <w:szCs w:val="20"/>
          <w:lang w:val="en-IN" w:eastAsia="ja-JP"/>
        </w:rPr>
        <w:t xml:space="preserve">Table </w:t>
      </w:r>
      <w:r w:rsidR="00CA699B">
        <w:rPr>
          <w:rFonts w:ascii="Arial" w:eastAsia="Times New Roman" w:hAnsi="Arial" w:cs="Arial"/>
          <w:b/>
          <w:bCs/>
          <w:sz w:val="20"/>
          <w:szCs w:val="20"/>
          <w:lang w:val="en-IN" w:eastAsia="ja-JP"/>
        </w:rPr>
        <w:t>2</w:t>
      </w:r>
      <w:r w:rsidRPr="00B24721">
        <w:rPr>
          <w:rFonts w:ascii="Arial" w:eastAsia="Times New Roman" w:hAnsi="Arial" w:cs="Arial"/>
          <w:b/>
          <w:bCs/>
          <w:sz w:val="20"/>
          <w:szCs w:val="20"/>
          <w:lang w:val="en-IN" w:eastAsia="ja-JP"/>
        </w:rPr>
        <w:t xml:space="preserve">. </w:t>
      </w:r>
      <w:bookmarkStart w:id="13" w:name="_Hlk130037208"/>
      <w:r w:rsidRPr="00B24721">
        <w:rPr>
          <w:rFonts w:ascii="Arial" w:eastAsia="Times New Roman" w:hAnsi="Arial" w:cs="Arial"/>
          <w:b/>
          <w:bCs/>
          <w:sz w:val="20"/>
          <w:szCs w:val="20"/>
          <w:lang w:val="en-IN" w:eastAsia="ja-JP"/>
        </w:rPr>
        <w:t>Inhibition zone of ME</w:t>
      </w:r>
      <w:r w:rsidR="00E36BE9" w:rsidRPr="00B24721">
        <w:rPr>
          <w:rFonts w:ascii="Arial" w:eastAsia="Times New Roman" w:hAnsi="Arial" w:cs="Arial"/>
          <w:b/>
          <w:bCs/>
          <w:sz w:val="20"/>
          <w:szCs w:val="20"/>
          <w:lang w:val="en-IN" w:eastAsia="ja-JP"/>
        </w:rPr>
        <w:t>DM</w:t>
      </w:r>
      <w:r w:rsidRPr="00B24721">
        <w:rPr>
          <w:rFonts w:ascii="Arial" w:eastAsia="Times New Roman" w:hAnsi="Arial" w:cs="Arial"/>
          <w:b/>
          <w:bCs/>
          <w:sz w:val="20"/>
          <w:szCs w:val="20"/>
          <w:lang w:val="en-IN" w:eastAsia="ja-JP"/>
        </w:rPr>
        <w:t xml:space="preserve"> against different bacteria</w:t>
      </w:r>
    </w:p>
    <w:tbl>
      <w:tblPr>
        <w:tblStyle w:val="TableGrid1"/>
        <w:tblW w:w="490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1784"/>
        <w:gridCol w:w="1784"/>
        <w:gridCol w:w="1683"/>
        <w:gridCol w:w="1735"/>
      </w:tblGrid>
      <w:tr w:rsidR="00E606AB" w:rsidRPr="00B24721" w14:paraId="38990C24" w14:textId="77777777" w:rsidTr="00E05C20">
        <w:trPr>
          <w:trHeight w:val="20"/>
          <w:jc w:val="center"/>
        </w:trPr>
        <w:tc>
          <w:tcPr>
            <w:tcW w:w="5000" w:type="pct"/>
            <w:gridSpan w:val="5"/>
            <w:tcBorders>
              <w:bottom w:val="single" w:sz="4" w:space="0" w:color="auto"/>
            </w:tcBorders>
          </w:tcPr>
          <w:p w14:paraId="1779D97B" w14:textId="77777777" w:rsidR="00E606AB" w:rsidRPr="00B24721" w:rsidRDefault="00E606AB" w:rsidP="00E606AB">
            <w:pPr>
              <w:spacing w:before="12"/>
              <w:rPr>
                <w:rFonts w:ascii="Arial" w:eastAsia="Times New Roman" w:hAnsi="Arial" w:cs="Arial"/>
                <w:b/>
                <w:sz w:val="20"/>
                <w:szCs w:val="20"/>
              </w:rPr>
            </w:pPr>
            <w:bookmarkStart w:id="14" w:name="_Hlk117022897"/>
            <w:bookmarkEnd w:id="13"/>
            <w:r w:rsidRPr="00B24721">
              <w:rPr>
                <w:rFonts w:ascii="Arial" w:eastAsia="Times New Roman" w:hAnsi="Arial" w:cs="Arial"/>
                <w:b/>
                <w:sz w:val="20"/>
                <w:szCs w:val="20"/>
              </w:rPr>
              <w:lastRenderedPageBreak/>
              <w:t>Diameter of Zone of Inhibition (mm)</w:t>
            </w:r>
          </w:p>
        </w:tc>
      </w:tr>
      <w:tr w:rsidR="00E606AB" w:rsidRPr="00B24721" w14:paraId="0112A14B" w14:textId="77777777" w:rsidTr="00E05C20">
        <w:trPr>
          <w:trHeight w:val="20"/>
          <w:jc w:val="center"/>
        </w:trPr>
        <w:tc>
          <w:tcPr>
            <w:tcW w:w="1284" w:type="pct"/>
            <w:tcBorders>
              <w:top w:val="single" w:sz="4" w:space="0" w:color="auto"/>
              <w:bottom w:val="single" w:sz="4" w:space="0" w:color="auto"/>
            </w:tcBorders>
          </w:tcPr>
          <w:p w14:paraId="62738D5A"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Test organisms</w:t>
            </w:r>
          </w:p>
        </w:tc>
        <w:tc>
          <w:tcPr>
            <w:tcW w:w="949" w:type="pct"/>
            <w:tcBorders>
              <w:top w:val="single" w:sz="4" w:space="0" w:color="auto"/>
              <w:bottom w:val="single" w:sz="4" w:space="0" w:color="auto"/>
            </w:tcBorders>
          </w:tcPr>
          <w:p w14:paraId="0602B274" w14:textId="4CFEC7E0"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3084D02D" w14:textId="66B1D7AA"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w:t>
            </w:r>
            <w:r w:rsidR="00E36BE9" w:rsidRPr="00B24721">
              <w:rPr>
                <w:rFonts w:ascii="Arial" w:eastAsia="Times New Roman" w:hAnsi="Arial" w:cs="Arial"/>
                <w:sz w:val="20"/>
                <w:szCs w:val="20"/>
              </w:rPr>
              <w:t>1</w:t>
            </w:r>
            <w:r w:rsidRPr="00B24721">
              <w:rPr>
                <w:rFonts w:ascii="Arial" w:eastAsia="Times New Roman" w:hAnsi="Arial" w:cs="Arial"/>
                <w:sz w:val="20"/>
                <w:szCs w:val="20"/>
              </w:rPr>
              <w:t>00 µg/disc)</w:t>
            </w:r>
          </w:p>
        </w:tc>
        <w:tc>
          <w:tcPr>
            <w:tcW w:w="949" w:type="pct"/>
            <w:tcBorders>
              <w:top w:val="single" w:sz="4" w:space="0" w:color="auto"/>
              <w:bottom w:val="single" w:sz="4" w:space="0" w:color="auto"/>
            </w:tcBorders>
          </w:tcPr>
          <w:p w14:paraId="7233257D" w14:textId="2B1C740C"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2F320FC4"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(500 µg/disc)</w:t>
            </w:r>
          </w:p>
        </w:tc>
        <w:tc>
          <w:tcPr>
            <w:tcW w:w="895" w:type="pct"/>
            <w:tcBorders>
              <w:top w:val="single" w:sz="4" w:space="0" w:color="auto"/>
              <w:bottom w:val="single" w:sz="4" w:space="0" w:color="auto"/>
            </w:tcBorders>
          </w:tcPr>
          <w:p w14:paraId="2E93A6A6" w14:textId="3ED965F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w:t>
            </w:r>
            <w:r w:rsidR="00E36BE9" w:rsidRPr="00B24721">
              <w:rPr>
                <w:rFonts w:ascii="Arial" w:eastAsia="Times New Roman" w:hAnsi="Arial" w:cs="Arial"/>
                <w:sz w:val="20"/>
                <w:szCs w:val="20"/>
              </w:rPr>
              <w:t>DM</w:t>
            </w:r>
          </w:p>
          <w:p w14:paraId="716CFCFA"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(700 µg/disc)</w:t>
            </w:r>
          </w:p>
        </w:tc>
        <w:tc>
          <w:tcPr>
            <w:tcW w:w="923" w:type="pct"/>
            <w:tcBorders>
              <w:top w:val="single" w:sz="4" w:space="0" w:color="auto"/>
              <w:bottom w:val="single" w:sz="4" w:space="0" w:color="auto"/>
            </w:tcBorders>
          </w:tcPr>
          <w:p w14:paraId="7D31F86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Ciprofloxacin</w:t>
            </w:r>
          </w:p>
        </w:tc>
      </w:tr>
      <w:tr w:rsidR="00E606AB" w:rsidRPr="00B24721" w14:paraId="3A6AC7B0" w14:textId="77777777" w:rsidTr="00E05C20">
        <w:trPr>
          <w:trHeight w:val="20"/>
          <w:jc w:val="center"/>
        </w:trPr>
        <w:tc>
          <w:tcPr>
            <w:tcW w:w="5000" w:type="pct"/>
            <w:gridSpan w:val="5"/>
            <w:tcBorders>
              <w:top w:val="single" w:sz="4" w:space="0" w:color="auto"/>
              <w:bottom w:val="single" w:sz="4" w:space="0" w:color="auto"/>
            </w:tcBorders>
          </w:tcPr>
          <w:p w14:paraId="42C27E0E"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Gram Positive Bacteria</w:t>
            </w:r>
          </w:p>
        </w:tc>
      </w:tr>
      <w:tr w:rsidR="00E606AB" w:rsidRPr="00B24721" w14:paraId="5E435649" w14:textId="77777777" w:rsidTr="00E05C20">
        <w:trPr>
          <w:trHeight w:val="20"/>
          <w:jc w:val="center"/>
        </w:trPr>
        <w:tc>
          <w:tcPr>
            <w:tcW w:w="1284" w:type="pct"/>
            <w:tcBorders>
              <w:top w:val="single" w:sz="4" w:space="0" w:color="auto"/>
              <w:bottom w:val="nil"/>
            </w:tcBorders>
          </w:tcPr>
          <w:p w14:paraId="2D7B7FC2" w14:textId="77777777" w:rsidR="00E606AB" w:rsidRPr="00B24721" w:rsidRDefault="00E606AB" w:rsidP="00E606AB">
            <w:pPr>
              <w:spacing w:before="12"/>
              <w:rPr>
                <w:rFonts w:ascii="Arial" w:eastAsia="Times New Roman" w:hAnsi="Arial" w:cs="Arial"/>
                <w:i/>
                <w:iCs/>
                <w:sz w:val="20"/>
                <w:szCs w:val="20"/>
              </w:rPr>
            </w:pPr>
            <w:bookmarkStart w:id="15" w:name="_Hlk130038247"/>
            <w:r w:rsidRPr="00B24721">
              <w:rPr>
                <w:rFonts w:ascii="Arial" w:eastAsia="Times New Roman" w:hAnsi="Arial" w:cs="Arial"/>
                <w:i/>
                <w:iCs/>
                <w:sz w:val="20"/>
                <w:szCs w:val="20"/>
              </w:rPr>
              <w:t>Bacillus cereus</w:t>
            </w:r>
            <w:bookmarkEnd w:id="15"/>
          </w:p>
        </w:tc>
        <w:tc>
          <w:tcPr>
            <w:tcW w:w="949" w:type="pct"/>
            <w:tcBorders>
              <w:top w:val="single" w:sz="4" w:space="0" w:color="auto"/>
              <w:bottom w:val="nil"/>
            </w:tcBorders>
          </w:tcPr>
          <w:p w14:paraId="75E100A0" w14:textId="1E1A3941"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1</w:t>
            </w:r>
          </w:p>
        </w:tc>
        <w:tc>
          <w:tcPr>
            <w:tcW w:w="949" w:type="pct"/>
            <w:tcBorders>
              <w:top w:val="single" w:sz="4" w:space="0" w:color="auto"/>
              <w:bottom w:val="nil"/>
            </w:tcBorders>
          </w:tcPr>
          <w:p w14:paraId="53E20172" w14:textId="41B6EFF9"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6</w:t>
            </w:r>
          </w:p>
        </w:tc>
        <w:tc>
          <w:tcPr>
            <w:tcW w:w="895" w:type="pct"/>
            <w:tcBorders>
              <w:top w:val="single" w:sz="4" w:space="0" w:color="auto"/>
              <w:bottom w:val="nil"/>
            </w:tcBorders>
          </w:tcPr>
          <w:p w14:paraId="205E4E0E" w14:textId="6440B9B2"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9</w:t>
            </w:r>
          </w:p>
        </w:tc>
        <w:tc>
          <w:tcPr>
            <w:tcW w:w="923" w:type="pct"/>
            <w:tcBorders>
              <w:top w:val="single" w:sz="4" w:space="0" w:color="auto"/>
              <w:bottom w:val="nil"/>
            </w:tcBorders>
          </w:tcPr>
          <w:p w14:paraId="5CE5282E" w14:textId="7DD434F0"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6</w:t>
            </w:r>
          </w:p>
        </w:tc>
      </w:tr>
      <w:tr w:rsidR="00E606AB" w:rsidRPr="00B24721" w14:paraId="03FE1C74" w14:textId="77777777" w:rsidTr="00E05C20">
        <w:trPr>
          <w:trHeight w:val="20"/>
          <w:jc w:val="center"/>
        </w:trPr>
        <w:tc>
          <w:tcPr>
            <w:tcW w:w="1284" w:type="pct"/>
            <w:tcBorders>
              <w:top w:val="nil"/>
              <w:bottom w:val="single" w:sz="4" w:space="0" w:color="auto"/>
            </w:tcBorders>
          </w:tcPr>
          <w:p w14:paraId="585205BC"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Staphylococcus aureus</w:t>
            </w:r>
          </w:p>
        </w:tc>
        <w:tc>
          <w:tcPr>
            <w:tcW w:w="949" w:type="pct"/>
            <w:tcBorders>
              <w:top w:val="nil"/>
              <w:bottom w:val="single" w:sz="4" w:space="0" w:color="auto"/>
            </w:tcBorders>
          </w:tcPr>
          <w:p w14:paraId="5DB2E79E" w14:textId="512C579E"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09</w:t>
            </w:r>
          </w:p>
        </w:tc>
        <w:tc>
          <w:tcPr>
            <w:tcW w:w="949" w:type="pct"/>
            <w:tcBorders>
              <w:top w:val="nil"/>
              <w:bottom w:val="single" w:sz="4" w:space="0" w:color="auto"/>
            </w:tcBorders>
          </w:tcPr>
          <w:p w14:paraId="336C8EF0" w14:textId="42BB637D"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5</w:t>
            </w:r>
          </w:p>
        </w:tc>
        <w:tc>
          <w:tcPr>
            <w:tcW w:w="895" w:type="pct"/>
            <w:tcBorders>
              <w:top w:val="nil"/>
              <w:bottom w:val="single" w:sz="4" w:space="0" w:color="auto"/>
            </w:tcBorders>
          </w:tcPr>
          <w:p w14:paraId="66B44E4C" w14:textId="61272319"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6</w:t>
            </w:r>
          </w:p>
        </w:tc>
        <w:tc>
          <w:tcPr>
            <w:tcW w:w="923" w:type="pct"/>
            <w:tcBorders>
              <w:top w:val="nil"/>
              <w:bottom w:val="single" w:sz="4" w:space="0" w:color="auto"/>
            </w:tcBorders>
          </w:tcPr>
          <w:p w14:paraId="2E2CB3E5" w14:textId="30E2DC33"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7</w:t>
            </w:r>
          </w:p>
        </w:tc>
      </w:tr>
      <w:tr w:rsidR="00E606AB" w:rsidRPr="00B24721" w14:paraId="101A9CA6" w14:textId="77777777" w:rsidTr="00E05C20">
        <w:trPr>
          <w:trHeight w:val="20"/>
          <w:jc w:val="center"/>
        </w:trPr>
        <w:tc>
          <w:tcPr>
            <w:tcW w:w="5000" w:type="pct"/>
            <w:gridSpan w:val="5"/>
            <w:tcBorders>
              <w:top w:val="single" w:sz="4" w:space="0" w:color="auto"/>
              <w:bottom w:val="single" w:sz="4" w:space="0" w:color="auto"/>
            </w:tcBorders>
          </w:tcPr>
          <w:p w14:paraId="469653D3"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Gram Negative Bacteria</w:t>
            </w:r>
          </w:p>
        </w:tc>
      </w:tr>
      <w:tr w:rsidR="00E606AB" w:rsidRPr="00B24721" w14:paraId="59812871" w14:textId="77777777" w:rsidTr="00E05C20">
        <w:trPr>
          <w:trHeight w:val="20"/>
          <w:jc w:val="center"/>
        </w:trPr>
        <w:tc>
          <w:tcPr>
            <w:tcW w:w="1284" w:type="pct"/>
            <w:tcBorders>
              <w:top w:val="nil"/>
            </w:tcBorders>
          </w:tcPr>
          <w:p w14:paraId="2C0379BE" w14:textId="53FD9DBC"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 xml:space="preserve">Vibrio </w:t>
            </w:r>
            <w:r w:rsidR="00F40E46">
              <w:rPr>
                <w:rFonts w:ascii="Arial" w:eastAsia="Times New Roman" w:hAnsi="Arial" w:cs="Arial"/>
                <w:i/>
                <w:iCs/>
                <w:sz w:val="20"/>
                <w:szCs w:val="20"/>
              </w:rPr>
              <w:t>cholera</w:t>
            </w:r>
          </w:p>
        </w:tc>
        <w:tc>
          <w:tcPr>
            <w:tcW w:w="949" w:type="pct"/>
            <w:tcBorders>
              <w:top w:val="nil"/>
            </w:tcBorders>
          </w:tcPr>
          <w:p w14:paraId="1C622639" w14:textId="33780FF0"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09</w:t>
            </w:r>
          </w:p>
        </w:tc>
        <w:tc>
          <w:tcPr>
            <w:tcW w:w="949" w:type="pct"/>
            <w:tcBorders>
              <w:top w:val="nil"/>
            </w:tcBorders>
          </w:tcPr>
          <w:p w14:paraId="7C611505" w14:textId="41CD1D30"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11</w:t>
            </w:r>
          </w:p>
        </w:tc>
        <w:tc>
          <w:tcPr>
            <w:tcW w:w="895" w:type="pct"/>
            <w:tcBorders>
              <w:top w:val="nil"/>
            </w:tcBorders>
          </w:tcPr>
          <w:p w14:paraId="3370697D" w14:textId="2ED38CCE"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5</w:t>
            </w:r>
          </w:p>
        </w:tc>
        <w:tc>
          <w:tcPr>
            <w:tcW w:w="923" w:type="pct"/>
            <w:tcBorders>
              <w:top w:val="nil"/>
            </w:tcBorders>
          </w:tcPr>
          <w:p w14:paraId="7A8B9FDF" w14:textId="4DDBFC7A"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6</w:t>
            </w:r>
          </w:p>
        </w:tc>
      </w:tr>
      <w:tr w:rsidR="00E606AB" w:rsidRPr="00B24721" w14:paraId="411EF589" w14:textId="77777777" w:rsidTr="00E05C20">
        <w:trPr>
          <w:trHeight w:val="20"/>
          <w:jc w:val="center"/>
        </w:trPr>
        <w:tc>
          <w:tcPr>
            <w:tcW w:w="1284" w:type="pct"/>
          </w:tcPr>
          <w:p w14:paraId="4AF96FC3"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Klebsiella pneumonia</w:t>
            </w:r>
          </w:p>
        </w:tc>
        <w:tc>
          <w:tcPr>
            <w:tcW w:w="949" w:type="pct"/>
          </w:tcPr>
          <w:p w14:paraId="5E415737" w14:textId="7865CF5E"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w:t>
            </w:r>
            <w:r w:rsidR="00E36BE9" w:rsidRPr="00B24721">
              <w:rPr>
                <w:rFonts w:ascii="Arial" w:eastAsia="Times New Roman" w:hAnsi="Arial" w:cs="Arial"/>
                <w:sz w:val="20"/>
                <w:szCs w:val="20"/>
              </w:rPr>
              <w:t>5</w:t>
            </w:r>
          </w:p>
        </w:tc>
        <w:tc>
          <w:tcPr>
            <w:tcW w:w="949" w:type="pct"/>
          </w:tcPr>
          <w:p w14:paraId="0BBBCED9" w14:textId="1377499E" w:rsidR="00E606AB" w:rsidRPr="00B24721" w:rsidRDefault="00E36BE9"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Pr>
          <w:p w14:paraId="3EFB0398" w14:textId="5DA54454"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w:t>
            </w:r>
            <w:r w:rsidR="00E36BE9" w:rsidRPr="00B24721">
              <w:rPr>
                <w:rFonts w:ascii="Arial" w:eastAsia="Times New Roman" w:hAnsi="Arial" w:cs="Arial"/>
                <w:sz w:val="20"/>
                <w:szCs w:val="20"/>
              </w:rPr>
              <w:t>2</w:t>
            </w:r>
          </w:p>
        </w:tc>
        <w:tc>
          <w:tcPr>
            <w:tcW w:w="923" w:type="pct"/>
          </w:tcPr>
          <w:p w14:paraId="3EC5B0DD" w14:textId="02C2E825"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w:t>
            </w:r>
            <w:r w:rsidR="00E36BE9" w:rsidRPr="00B24721">
              <w:rPr>
                <w:rFonts w:ascii="Arial" w:eastAsia="Times New Roman" w:hAnsi="Arial" w:cs="Arial"/>
                <w:sz w:val="20"/>
                <w:szCs w:val="20"/>
              </w:rPr>
              <w:t>5</w:t>
            </w:r>
          </w:p>
        </w:tc>
      </w:tr>
      <w:bookmarkEnd w:id="14"/>
    </w:tbl>
    <w:p w14:paraId="5BBE6E25" w14:textId="77777777" w:rsidR="00E606AB" w:rsidRPr="00B24721" w:rsidRDefault="00E606AB" w:rsidP="00E606AB">
      <w:pPr>
        <w:jc w:val="both"/>
        <w:rPr>
          <w:rFonts w:ascii="Arial" w:eastAsiaTheme="minorEastAsia" w:hAnsi="Arial" w:cs="Arial"/>
          <w:sz w:val="20"/>
          <w:szCs w:val="20"/>
          <w:lang w:val="en-GB"/>
        </w:rPr>
      </w:pPr>
    </w:p>
    <w:p w14:paraId="3394786E" w14:textId="122A3C7C" w:rsidR="00E606AB" w:rsidRPr="00B24721" w:rsidRDefault="00E606AB" w:rsidP="00E606AB">
      <w:pPr>
        <w:jc w:val="both"/>
        <w:rPr>
          <w:rFonts w:ascii="Arial" w:eastAsiaTheme="minorEastAsia" w:hAnsi="Arial" w:cs="Arial"/>
          <w:b/>
          <w:bCs/>
          <w:sz w:val="20"/>
          <w:szCs w:val="20"/>
          <w:lang w:val="en-IN"/>
        </w:rPr>
      </w:pPr>
      <w:r w:rsidRPr="00B24721">
        <w:rPr>
          <w:rFonts w:ascii="Arial" w:eastAsiaTheme="minorEastAsia" w:hAnsi="Arial" w:cs="Arial"/>
          <w:b/>
          <w:bCs/>
          <w:sz w:val="20"/>
          <w:szCs w:val="20"/>
          <w:lang w:val="en-GB"/>
        </w:rPr>
        <w:t xml:space="preserve">Table </w:t>
      </w:r>
      <w:r w:rsidR="00CA699B">
        <w:rPr>
          <w:rFonts w:ascii="Arial" w:eastAsiaTheme="minorEastAsia" w:hAnsi="Arial" w:cs="Arial"/>
          <w:b/>
          <w:bCs/>
          <w:sz w:val="20"/>
          <w:szCs w:val="20"/>
          <w:lang w:val="en-GB"/>
        </w:rPr>
        <w:t>3</w:t>
      </w:r>
      <w:r w:rsidRPr="00B24721">
        <w:rPr>
          <w:rFonts w:ascii="Arial" w:eastAsiaTheme="minorEastAsia" w:hAnsi="Arial" w:cs="Arial"/>
          <w:b/>
          <w:bCs/>
          <w:sz w:val="20"/>
          <w:szCs w:val="20"/>
          <w:lang w:val="en-GB"/>
        </w:rPr>
        <w:t>.</w:t>
      </w:r>
      <w:r w:rsidRPr="00B24721">
        <w:rPr>
          <w:rFonts w:ascii="Arial" w:eastAsia="Times New Roman" w:hAnsi="Arial" w:cs="Arial"/>
          <w:b/>
          <w:bCs/>
          <w:sz w:val="20"/>
          <w:szCs w:val="20"/>
          <w:lang w:val="en-IN" w:eastAsia="ja-JP"/>
        </w:rPr>
        <w:t xml:space="preserve"> </w:t>
      </w:r>
      <w:r w:rsidRPr="00B24721">
        <w:rPr>
          <w:rFonts w:ascii="Arial" w:eastAsiaTheme="minorEastAsia" w:hAnsi="Arial" w:cs="Arial"/>
          <w:b/>
          <w:bCs/>
          <w:sz w:val="20"/>
          <w:szCs w:val="20"/>
          <w:lang w:val="en-IN"/>
        </w:rPr>
        <w:t>Inhibition zone of ME</w:t>
      </w:r>
      <w:r w:rsidR="00E36BE9" w:rsidRPr="00B24721">
        <w:rPr>
          <w:rFonts w:ascii="Arial" w:eastAsiaTheme="minorEastAsia" w:hAnsi="Arial" w:cs="Arial"/>
          <w:b/>
          <w:bCs/>
          <w:sz w:val="20"/>
          <w:szCs w:val="20"/>
          <w:lang w:val="en-IN"/>
        </w:rPr>
        <w:t>DM</w:t>
      </w:r>
      <w:r w:rsidRPr="00B24721">
        <w:rPr>
          <w:rFonts w:ascii="Arial" w:eastAsiaTheme="minorEastAsia" w:hAnsi="Arial" w:cs="Arial"/>
          <w:b/>
          <w:bCs/>
          <w:sz w:val="20"/>
          <w:szCs w:val="20"/>
          <w:lang w:val="en-IN"/>
        </w:rPr>
        <w:t xml:space="preserve"> against different fungi</w:t>
      </w:r>
    </w:p>
    <w:tbl>
      <w:tblPr>
        <w:tblStyle w:val="TableGrid1"/>
        <w:tblW w:w="490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1784"/>
        <w:gridCol w:w="1784"/>
        <w:gridCol w:w="1683"/>
        <w:gridCol w:w="1735"/>
      </w:tblGrid>
      <w:tr w:rsidR="00E606AB" w:rsidRPr="00B24721" w14:paraId="706B47DF" w14:textId="77777777" w:rsidTr="00E05C20">
        <w:trPr>
          <w:trHeight w:val="20"/>
          <w:jc w:val="center"/>
        </w:trPr>
        <w:tc>
          <w:tcPr>
            <w:tcW w:w="5000" w:type="pct"/>
            <w:gridSpan w:val="5"/>
            <w:tcBorders>
              <w:bottom w:val="single" w:sz="4" w:space="0" w:color="auto"/>
            </w:tcBorders>
          </w:tcPr>
          <w:p w14:paraId="61DCD885"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Diameter of Zone of Inhibition (mm)</w:t>
            </w:r>
          </w:p>
        </w:tc>
      </w:tr>
      <w:tr w:rsidR="00E606AB" w:rsidRPr="00B24721" w14:paraId="0E8E5FCD" w14:textId="77777777" w:rsidTr="00E05C20">
        <w:trPr>
          <w:trHeight w:val="20"/>
          <w:jc w:val="center"/>
        </w:trPr>
        <w:tc>
          <w:tcPr>
            <w:tcW w:w="1284" w:type="pct"/>
            <w:tcBorders>
              <w:top w:val="single" w:sz="4" w:space="0" w:color="auto"/>
              <w:bottom w:val="single" w:sz="4" w:space="0" w:color="auto"/>
            </w:tcBorders>
          </w:tcPr>
          <w:p w14:paraId="5EB122E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Test organisms</w:t>
            </w:r>
          </w:p>
        </w:tc>
        <w:tc>
          <w:tcPr>
            <w:tcW w:w="949" w:type="pct"/>
            <w:tcBorders>
              <w:top w:val="single" w:sz="4" w:space="0" w:color="auto"/>
              <w:bottom w:val="single" w:sz="4" w:space="0" w:color="auto"/>
            </w:tcBorders>
          </w:tcPr>
          <w:p w14:paraId="4C940F18"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6713E123"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(300 µg/disc)</w:t>
            </w:r>
          </w:p>
        </w:tc>
        <w:tc>
          <w:tcPr>
            <w:tcW w:w="949" w:type="pct"/>
            <w:tcBorders>
              <w:top w:val="single" w:sz="4" w:space="0" w:color="auto"/>
              <w:bottom w:val="single" w:sz="4" w:space="0" w:color="auto"/>
            </w:tcBorders>
          </w:tcPr>
          <w:p w14:paraId="00B0D84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1B64F59B"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(500 µg/disc)</w:t>
            </w:r>
          </w:p>
        </w:tc>
        <w:tc>
          <w:tcPr>
            <w:tcW w:w="895" w:type="pct"/>
            <w:tcBorders>
              <w:top w:val="single" w:sz="4" w:space="0" w:color="auto"/>
              <w:bottom w:val="single" w:sz="4" w:space="0" w:color="auto"/>
            </w:tcBorders>
          </w:tcPr>
          <w:p w14:paraId="0B2EF36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MELA</w:t>
            </w:r>
          </w:p>
          <w:p w14:paraId="233DAA2D"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(700 µg/disc)</w:t>
            </w:r>
          </w:p>
        </w:tc>
        <w:tc>
          <w:tcPr>
            <w:tcW w:w="923" w:type="pct"/>
            <w:tcBorders>
              <w:top w:val="single" w:sz="4" w:space="0" w:color="auto"/>
              <w:bottom w:val="single" w:sz="4" w:space="0" w:color="auto"/>
            </w:tcBorders>
          </w:tcPr>
          <w:p w14:paraId="0FB64F1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 xml:space="preserve">Griseofulvin </w:t>
            </w:r>
          </w:p>
          <w:p w14:paraId="6003D85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(50 µg/disk)</w:t>
            </w:r>
          </w:p>
        </w:tc>
      </w:tr>
      <w:tr w:rsidR="00E606AB" w:rsidRPr="00B24721" w14:paraId="5831C186" w14:textId="77777777" w:rsidTr="00E05C20">
        <w:trPr>
          <w:trHeight w:val="20"/>
          <w:jc w:val="center"/>
        </w:trPr>
        <w:tc>
          <w:tcPr>
            <w:tcW w:w="5000" w:type="pct"/>
            <w:gridSpan w:val="5"/>
            <w:tcBorders>
              <w:top w:val="single" w:sz="4" w:space="0" w:color="auto"/>
              <w:bottom w:val="single" w:sz="4" w:space="0" w:color="auto"/>
            </w:tcBorders>
          </w:tcPr>
          <w:p w14:paraId="06FDF878" w14:textId="77777777" w:rsidR="00E606AB" w:rsidRPr="00B24721" w:rsidRDefault="00E606AB" w:rsidP="00E606AB">
            <w:pPr>
              <w:spacing w:before="12"/>
              <w:rPr>
                <w:rFonts w:ascii="Arial" w:eastAsia="Times New Roman" w:hAnsi="Arial" w:cs="Arial"/>
                <w:b/>
                <w:sz w:val="20"/>
                <w:szCs w:val="20"/>
              </w:rPr>
            </w:pPr>
            <w:r w:rsidRPr="00B24721">
              <w:rPr>
                <w:rFonts w:ascii="Arial" w:eastAsia="Times New Roman" w:hAnsi="Arial" w:cs="Arial"/>
                <w:b/>
                <w:sz w:val="20"/>
                <w:szCs w:val="20"/>
              </w:rPr>
              <w:t>Fungi</w:t>
            </w:r>
          </w:p>
        </w:tc>
      </w:tr>
      <w:tr w:rsidR="00E606AB" w:rsidRPr="00B24721" w14:paraId="6AC88D92" w14:textId="77777777" w:rsidTr="00E05C20">
        <w:trPr>
          <w:trHeight w:val="20"/>
          <w:jc w:val="center"/>
        </w:trPr>
        <w:tc>
          <w:tcPr>
            <w:tcW w:w="1284" w:type="pct"/>
            <w:tcBorders>
              <w:top w:val="single" w:sz="4" w:space="0" w:color="auto"/>
              <w:bottom w:val="nil"/>
            </w:tcBorders>
          </w:tcPr>
          <w:p w14:paraId="07DA18C9" w14:textId="77777777" w:rsidR="00E606AB" w:rsidRPr="00B24721" w:rsidRDefault="00E606AB" w:rsidP="00E606AB">
            <w:pPr>
              <w:spacing w:before="12"/>
              <w:rPr>
                <w:rFonts w:ascii="Arial" w:eastAsia="Times New Roman" w:hAnsi="Arial" w:cs="Arial"/>
                <w:i/>
                <w:iCs/>
                <w:sz w:val="20"/>
                <w:szCs w:val="20"/>
              </w:rPr>
            </w:pPr>
            <w:proofErr w:type="spellStart"/>
            <w:r w:rsidRPr="00B24721">
              <w:rPr>
                <w:rFonts w:ascii="Arial" w:eastAsia="Times New Roman" w:hAnsi="Arial" w:cs="Arial"/>
                <w:i/>
                <w:iCs/>
                <w:sz w:val="20"/>
                <w:szCs w:val="20"/>
              </w:rPr>
              <w:t>Penicillium</w:t>
            </w:r>
            <w:proofErr w:type="spellEnd"/>
            <w:r w:rsidRPr="00B24721">
              <w:rPr>
                <w:rFonts w:ascii="Arial" w:eastAsia="Times New Roman" w:hAnsi="Arial" w:cs="Arial"/>
                <w:i/>
                <w:iCs/>
                <w:sz w:val="20"/>
                <w:szCs w:val="20"/>
              </w:rPr>
              <w:t xml:space="preserve"> </w:t>
            </w:r>
            <w:proofErr w:type="spellStart"/>
            <w:r w:rsidRPr="00B24721">
              <w:rPr>
                <w:rFonts w:ascii="Arial" w:eastAsia="Times New Roman" w:hAnsi="Arial" w:cs="Arial"/>
                <w:i/>
                <w:iCs/>
                <w:sz w:val="20"/>
                <w:szCs w:val="20"/>
              </w:rPr>
              <w:t>chrysogenum</w:t>
            </w:r>
            <w:proofErr w:type="spellEnd"/>
          </w:p>
        </w:tc>
        <w:tc>
          <w:tcPr>
            <w:tcW w:w="949" w:type="pct"/>
            <w:tcBorders>
              <w:top w:val="single" w:sz="4" w:space="0" w:color="auto"/>
              <w:bottom w:val="nil"/>
            </w:tcBorders>
          </w:tcPr>
          <w:p w14:paraId="54F58819"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06</w:t>
            </w:r>
          </w:p>
        </w:tc>
        <w:tc>
          <w:tcPr>
            <w:tcW w:w="949" w:type="pct"/>
            <w:tcBorders>
              <w:top w:val="single" w:sz="4" w:space="0" w:color="auto"/>
              <w:bottom w:val="nil"/>
            </w:tcBorders>
          </w:tcPr>
          <w:p w14:paraId="6A72FFF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Borders>
              <w:top w:val="single" w:sz="4" w:space="0" w:color="auto"/>
              <w:bottom w:val="nil"/>
            </w:tcBorders>
          </w:tcPr>
          <w:p w14:paraId="58D1D116"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14</w:t>
            </w:r>
          </w:p>
        </w:tc>
        <w:tc>
          <w:tcPr>
            <w:tcW w:w="923" w:type="pct"/>
            <w:tcBorders>
              <w:top w:val="single" w:sz="4" w:space="0" w:color="auto"/>
              <w:bottom w:val="nil"/>
            </w:tcBorders>
          </w:tcPr>
          <w:p w14:paraId="044F2199"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19</w:t>
            </w:r>
          </w:p>
        </w:tc>
      </w:tr>
      <w:tr w:rsidR="00E606AB" w:rsidRPr="00B24721" w14:paraId="14D35D71" w14:textId="77777777" w:rsidTr="00E05C20">
        <w:trPr>
          <w:trHeight w:val="20"/>
          <w:jc w:val="center"/>
        </w:trPr>
        <w:tc>
          <w:tcPr>
            <w:tcW w:w="1284" w:type="pct"/>
            <w:tcBorders>
              <w:top w:val="nil"/>
              <w:bottom w:val="single" w:sz="4" w:space="0" w:color="auto"/>
            </w:tcBorders>
          </w:tcPr>
          <w:p w14:paraId="2AEC1393" w14:textId="77777777" w:rsidR="00E606AB" w:rsidRPr="00B24721" w:rsidRDefault="00E606AB" w:rsidP="00E606AB">
            <w:pPr>
              <w:spacing w:before="12"/>
              <w:rPr>
                <w:rFonts w:ascii="Arial" w:eastAsia="Times New Roman" w:hAnsi="Arial" w:cs="Arial"/>
                <w:i/>
                <w:iCs/>
                <w:sz w:val="20"/>
                <w:szCs w:val="20"/>
              </w:rPr>
            </w:pPr>
            <w:proofErr w:type="spellStart"/>
            <w:r w:rsidRPr="00B24721">
              <w:rPr>
                <w:rFonts w:ascii="Arial" w:eastAsia="Times New Roman" w:hAnsi="Arial" w:cs="Arial"/>
                <w:i/>
                <w:iCs/>
                <w:sz w:val="20"/>
                <w:szCs w:val="20"/>
              </w:rPr>
              <w:t>Aspergillus</w:t>
            </w:r>
            <w:proofErr w:type="spellEnd"/>
            <w:r w:rsidRPr="00B24721">
              <w:rPr>
                <w:rFonts w:ascii="Arial" w:eastAsia="Times New Roman" w:hAnsi="Arial" w:cs="Arial"/>
                <w:i/>
                <w:iCs/>
                <w:sz w:val="20"/>
                <w:szCs w:val="20"/>
              </w:rPr>
              <w:t xml:space="preserve"> </w:t>
            </w:r>
            <w:proofErr w:type="spellStart"/>
            <w:r w:rsidRPr="00B24721">
              <w:rPr>
                <w:rFonts w:ascii="Arial" w:eastAsia="Times New Roman" w:hAnsi="Arial" w:cs="Arial"/>
                <w:i/>
                <w:iCs/>
                <w:sz w:val="20"/>
                <w:szCs w:val="20"/>
              </w:rPr>
              <w:t>niger</w:t>
            </w:r>
            <w:proofErr w:type="spellEnd"/>
          </w:p>
          <w:p w14:paraId="3DB7B9DB" w14:textId="77777777" w:rsidR="00E606AB" w:rsidRPr="00B24721" w:rsidRDefault="00E606AB" w:rsidP="00E606AB">
            <w:pPr>
              <w:spacing w:before="12"/>
              <w:rPr>
                <w:rFonts w:ascii="Arial" w:eastAsia="Times New Roman" w:hAnsi="Arial" w:cs="Arial"/>
                <w:i/>
                <w:iCs/>
                <w:sz w:val="20"/>
                <w:szCs w:val="20"/>
              </w:rPr>
            </w:pPr>
            <w:r w:rsidRPr="00B24721">
              <w:rPr>
                <w:rFonts w:ascii="Arial" w:eastAsia="Times New Roman" w:hAnsi="Arial" w:cs="Arial"/>
                <w:i/>
                <w:iCs/>
                <w:sz w:val="20"/>
                <w:szCs w:val="20"/>
              </w:rPr>
              <w:t>Yeast budding</w:t>
            </w:r>
          </w:p>
          <w:p w14:paraId="4C61DD07" w14:textId="77777777" w:rsidR="00E606AB" w:rsidRPr="00B24721" w:rsidRDefault="00E606AB" w:rsidP="00E606AB">
            <w:pPr>
              <w:spacing w:before="12"/>
              <w:rPr>
                <w:rFonts w:ascii="Arial" w:eastAsia="Times New Roman" w:hAnsi="Arial" w:cs="Arial"/>
                <w:i/>
                <w:iCs/>
                <w:sz w:val="20"/>
                <w:szCs w:val="20"/>
              </w:rPr>
            </w:pPr>
            <w:proofErr w:type="spellStart"/>
            <w:r w:rsidRPr="00B24721">
              <w:rPr>
                <w:rFonts w:ascii="Arial" w:eastAsia="Times New Roman" w:hAnsi="Arial" w:cs="Arial"/>
                <w:i/>
                <w:iCs/>
                <w:sz w:val="20"/>
                <w:szCs w:val="20"/>
              </w:rPr>
              <w:t>Mucor</w:t>
            </w:r>
            <w:proofErr w:type="spellEnd"/>
            <w:r w:rsidRPr="00B24721">
              <w:rPr>
                <w:rFonts w:ascii="Arial" w:eastAsia="Times New Roman" w:hAnsi="Arial" w:cs="Arial"/>
                <w:i/>
                <w:iCs/>
                <w:sz w:val="20"/>
                <w:szCs w:val="20"/>
              </w:rPr>
              <w:t xml:space="preserve"> </w:t>
            </w:r>
            <w:proofErr w:type="spellStart"/>
            <w:r w:rsidRPr="00B24721">
              <w:rPr>
                <w:rFonts w:ascii="Arial" w:eastAsia="Times New Roman" w:hAnsi="Arial" w:cs="Arial"/>
                <w:i/>
                <w:iCs/>
                <w:sz w:val="20"/>
                <w:szCs w:val="20"/>
              </w:rPr>
              <w:t>hiemalis</w:t>
            </w:r>
            <w:proofErr w:type="spellEnd"/>
          </w:p>
        </w:tc>
        <w:tc>
          <w:tcPr>
            <w:tcW w:w="949" w:type="pct"/>
            <w:tcBorders>
              <w:top w:val="nil"/>
              <w:bottom w:val="single" w:sz="4" w:space="0" w:color="auto"/>
            </w:tcBorders>
          </w:tcPr>
          <w:p w14:paraId="6169208B"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08</w:t>
            </w:r>
          </w:p>
          <w:p w14:paraId="19126DE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p w14:paraId="730E3477"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07</w:t>
            </w:r>
          </w:p>
        </w:tc>
        <w:tc>
          <w:tcPr>
            <w:tcW w:w="949" w:type="pct"/>
            <w:tcBorders>
              <w:top w:val="nil"/>
              <w:bottom w:val="single" w:sz="4" w:space="0" w:color="auto"/>
            </w:tcBorders>
          </w:tcPr>
          <w:p w14:paraId="02FFB05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09</w:t>
            </w:r>
          </w:p>
          <w:p w14:paraId="261DD8CC"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11</w:t>
            </w:r>
          </w:p>
          <w:p w14:paraId="6212CAFF"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tc>
        <w:tc>
          <w:tcPr>
            <w:tcW w:w="895" w:type="pct"/>
            <w:tcBorders>
              <w:top w:val="nil"/>
              <w:bottom w:val="single" w:sz="4" w:space="0" w:color="auto"/>
            </w:tcBorders>
          </w:tcPr>
          <w:p w14:paraId="06029506"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10</w:t>
            </w:r>
          </w:p>
          <w:p w14:paraId="2C1BA860"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14</w:t>
            </w:r>
          </w:p>
          <w:p w14:paraId="3C173042"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13</w:t>
            </w:r>
          </w:p>
        </w:tc>
        <w:tc>
          <w:tcPr>
            <w:tcW w:w="923" w:type="pct"/>
            <w:tcBorders>
              <w:top w:val="nil"/>
              <w:bottom w:val="single" w:sz="4" w:space="0" w:color="auto"/>
            </w:tcBorders>
          </w:tcPr>
          <w:p w14:paraId="60A33575"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20</w:t>
            </w:r>
          </w:p>
          <w:p w14:paraId="7046AF67"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21</w:t>
            </w:r>
          </w:p>
          <w:p w14:paraId="62C403D1" w14:textId="77777777" w:rsidR="00E606AB" w:rsidRPr="00B24721" w:rsidRDefault="00E606AB" w:rsidP="00E606AB">
            <w:pPr>
              <w:spacing w:before="12"/>
              <w:rPr>
                <w:rFonts w:ascii="Arial" w:eastAsia="Times New Roman" w:hAnsi="Arial" w:cs="Arial"/>
                <w:sz w:val="20"/>
                <w:szCs w:val="20"/>
              </w:rPr>
            </w:pPr>
            <w:r w:rsidRPr="00B24721">
              <w:rPr>
                <w:rFonts w:ascii="Arial" w:eastAsia="Times New Roman" w:hAnsi="Arial" w:cs="Arial"/>
                <w:sz w:val="20"/>
                <w:szCs w:val="20"/>
              </w:rPr>
              <w:t>21</w:t>
            </w:r>
          </w:p>
        </w:tc>
      </w:tr>
    </w:tbl>
    <w:p w14:paraId="0BB47CD7" w14:textId="77777777" w:rsidR="00E606AB" w:rsidRPr="00B24721" w:rsidRDefault="00E606AB" w:rsidP="00E606AB">
      <w:pPr>
        <w:jc w:val="both"/>
        <w:rPr>
          <w:rFonts w:ascii="Arial" w:eastAsiaTheme="minorEastAsia" w:hAnsi="Arial" w:cs="Arial"/>
          <w:sz w:val="20"/>
          <w:szCs w:val="20"/>
          <w:lang w:val="en-GB"/>
        </w:rPr>
      </w:pPr>
    </w:p>
    <w:p w14:paraId="3A5EAEA7" w14:textId="025E7D97" w:rsidR="007253B4" w:rsidRPr="00B24721" w:rsidRDefault="00184B4F" w:rsidP="00E606AB">
      <w:pPr>
        <w:jc w:val="both"/>
        <w:rPr>
          <w:rFonts w:ascii="Arial" w:eastAsiaTheme="minorEastAsia" w:hAnsi="Arial" w:cs="Arial"/>
          <w:b/>
          <w:bCs/>
          <w:sz w:val="24"/>
          <w:szCs w:val="24"/>
          <w:lang w:val="en-GB"/>
        </w:rPr>
      </w:pPr>
      <w:commentRangeStart w:id="16"/>
      <w:r w:rsidRPr="00B24721">
        <w:rPr>
          <w:rFonts w:ascii="Arial" w:eastAsiaTheme="minorEastAsia" w:hAnsi="Arial" w:cs="Arial"/>
          <w:b/>
          <w:bCs/>
          <w:sz w:val="24"/>
          <w:szCs w:val="24"/>
          <w:lang w:val="en-GB"/>
        </w:rPr>
        <w:t xml:space="preserve">4.3 </w:t>
      </w:r>
      <w:r w:rsidR="007253B4" w:rsidRPr="00B24721">
        <w:rPr>
          <w:rFonts w:ascii="Arial" w:eastAsiaTheme="minorEastAsia" w:hAnsi="Arial" w:cs="Arial"/>
          <w:b/>
          <w:bCs/>
          <w:sz w:val="24"/>
          <w:szCs w:val="24"/>
          <w:lang w:val="en-GB"/>
        </w:rPr>
        <w:t xml:space="preserve">Anti-sickling </w:t>
      </w:r>
      <w:r w:rsidR="00970BE1" w:rsidRPr="00B24721">
        <w:rPr>
          <w:rFonts w:ascii="Arial" w:eastAsiaTheme="minorEastAsia" w:hAnsi="Arial" w:cs="Arial"/>
          <w:b/>
          <w:bCs/>
          <w:sz w:val="24"/>
          <w:szCs w:val="24"/>
          <w:lang w:val="en-GB"/>
        </w:rPr>
        <w:t>Activity:</w:t>
      </w:r>
      <w:commentRangeEnd w:id="16"/>
      <w:r w:rsidR="00F40E46">
        <w:rPr>
          <w:rStyle w:val="a9"/>
        </w:rPr>
        <w:commentReference w:id="16"/>
      </w:r>
    </w:p>
    <w:p w14:paraId="71F2CDD2" w14:textId="24B38EF2" w:rsidR="00793CD7" w:rsidRPr="00B24721" w:rsidRDefault="00793CD7" w:rsidP="007253B4">
      <w:pPr>
        <w:jc w:val="both"/>
        <w:rPr>
          <w:rFonts w:ascii="Arial" w:eastAsiaTheme="minorEastAsia" w:hAnsi="Arial" w:cs="Arial"/>
          <w:sz w:val="20"/>
          <w:szCs w:val="20"/>
        </w:rPr>
      </w:pPr>
      <w:r w:rsidRPr="00B24721">
        <w:rPr>
          <w:rFonts w:ascii="Arial" w:eastAsiaTheme="minorEastAsia" w:hAnsi="Arial" w:cs="Arial"/>
          <w:sz w:val="20"/>
          <w:szCs w:val="20"/>
        </w:rPr>
        <w:t xml:space="preserve">The plant extract exhibited considerable anti-sickling activity and demonstrated more activity than the standard medication, phenylalanine. As illustrated in Figures </w:t>
      </w:r>
      <w:r w:rsidR="00C42934">
        <w:rPr>
          <w:rFonts w:ascii="Arial" w:eastAsiaTheme="minorEastAsia" w:hAnsi="Arial" w:cs="Arial"/>
          <w:sz w:val="20"/>
          <w:szCs w:val="20"/>
        </w:rPr>
        <w:t>2</w:t>
      </w:r>
      <w:r w:rsidRPr="00B24721">
        <w:rPr>
          <w:rFonts w:ascii="Arial" w:eastAsiaTheme="minorEastAsia" w:hAnsi="Arial" w:cs="Arial"/>
          <w:sz w:val="20"/>
          <w:szCs w:val="20"/>
        </w:rPr>
        <w:t xml:space="preserve"> to </w:t>
      </w:r>
      <w:r w:rsidR="00C42934">
        <w:rPr>
          <w:rFonts w:ascii="Arial" w:eastAsiaTheme="minorEastAsia" w:hAnsi="Arial" w:cs="Arial"/>
          <w:sz w:val="20"/>
          <w:szCs w:val="20"/>
        </w:rPr>
        <w:t>3</w:t>
      </w:r>
      <w:r w:rsidRPr="00B24721">
        <w:rPr>
          <w:rFonts w:ascii="Arial" w:eastAsiaTheme="minorEastAsia" w:hAnsi="Arial" w:cs="Arial"/>
          <w:sz w:val="20"/>
          <w:szCs w:val="20"/>
        </w:rPr>
        <w:t>, the plant extract treatment resulted in 25.66 ± 1.50% sickling cell reversal after 30 minutes of incubation, while after 2 hours of incubation at a concentration of 50 µg/ml a reversal of 41.08 ± 1.50 % of sickled cells was noted. A positive correlation was observed in reversibility with increasing concentrations of the extract and at the concentration of 500 µg/ml the reversibility was noted at 42.89 ± 2.51 %, 50.13 ± 1.07 %. The results suggested that rates of sickle cell reversal may increase over time. Lastly, table 4 revealed that after 150 minutes of incubation, the plant extract and the standard drug had the highest percentage sickle cell reversal among various concentrations.</w:t>
      </w:r>
    </w:p>
    <w:p w14:paraId="545F41C6" w14:textId="5329C1BE" w:rsidR="007253B4" w:rsidRPr="00B24721" w:rsidRDefault="007253B4" w:rsidP="007253B4">
      <w:pPr>
        <w:jc w:val="both"/>
        <w:rPr>
          <w:rFonts w:ascii="Arial" w:eastAsiaTheme="minorEastAsia" w:hAnsi="Arial" w:cs="Arial"/>
          <w:sz w:val="20"/>
          <w:szCs w:val="20"/>
        </w:rPr>
      </w:pPr>
      <w:r w:rsidRPr="00B24721">
        <w:rPr>
          <w:rFonts w:ascii="Arial" w:eastAsiaTheme="minorEastAsia" w:hAnsi="Arial" w:cs="Arial"/>
          <w:sz w:val="20"/>
          <w:szCs w:val="20"/>
        </w:rPr>
        <w:t xml:space="preserve">Table </w:t>
      </w:r>
      <w:r w:rsidR="00CA699B">
        <w:rPr>
          <w:rFonts w:ascii="Arial" w:eastAsiaTheme="minorEastAsia" w:hAnsi="Arial" w:cs="Arial"/>
          <w:sz w:val="20"/>
          <w:szCs w:val="20"/>
        </w:rPr>
        <w:t>4</w:t>
      </w:r>
      <w:r w:rsidRPr="00B24721">
        <w:rPr>
          <w:rFonts w:ascii="Arial" w:eastAsiaTheme="minorEastAsia" w:hAnsi="Arial" w:cs="Arial"/>
          <w:sz w:val="20"/>
          <w:szCs w:val="20"/>
        </w:rPr>
        <w:t xml:space="preserve">. Percentage of reversal of sickle cells at different concentrations of </w:t>
      </w:r>
      <w:r w:rsidRPr="00B24721">
        <w:rPr>
          <w:rFonts w:ascii="Arial" w:eastAsiaTheme="minorEastAsia" w:hAnsi="Arial" w:cs="Arial"/>
          <w:i/>
          <w:iCs/>
          <w:sz w:val="20"/>
          <w:szCs w:val="20"/>
        </w:rPr>
        <w:t xml:space="preserve">S. </w:t>
      </w:r>
      <w:proofErr w:type="spellStart"/>
      <w:r w:rsidRPr="00B24721">
        <w:rPr>
          <w:rFonts w:ascii="Arial" w:eastAsiaTheme="minorEastAsia" w:hAnsi="Arial" w:cs="Arial"/>
          <w:i/>
          <w:iCs/>
          <w:sz w:val="20"/>
          <w:szCs w:val="20"/>
        </w:rPr>
        <w:t>amaricanam</w:t>
      </w:r>
      <w:proofErr w:type="spellEnd"/>
      <w:r w:rsidRPr="00B24721">
        <w:rPr>
          <w:rFonts w:ascii="Arial" w:eastAsiaTheme="minorEastAsia" w:hAnsi="Arial" w:cs="Arial"/>
          <w:sz w:val="20"/>
          <w:szCs w:val="20"/>
        </w:rPr>
        <w:t xml:space="preserve"> and Phenylalanine at different time intervals</w:t>
      </w:r>
    </w:p>
    <w:tbl>
      <w:tblPr>
        <w:tblStyle w:val="a5"/>
        <w:tblW w:w="0" w:type="auto"/>
        <w:tblLook w:val="04A0" w:firstRow="1" w:lastRow="0" w:firstColumn="1" w:lastColumn="0" w:noHBand="0" w:noVBand="1"/>
      </w:tblPr>
      <w:tblGrid>
        <w:gridCol w:w="1804"/>
        <w:gridCol w:w="1806"/>
        <w:gridCol w:w="1806"/>
        <w:gridCol w:w="1806"/>
        <w:gridCol w:w="1806"/>
      </w:tblGrid>
      <w:tr w:rsidR="00E36BE9" w:rsidRPr="00B24721" w14:paraId="16E7EE1F" w14:textId="77777777" w:rsidTr="00E36BE9">
        <w:trPr>
          <w:trHeight w:val="879"/>
        </w:trPr>
        <w:tc>
          <w:tcPr>
            <w:tcW w:w="1804" w:type="dxa"/>
          </w:tcPr>
          <w:p w14:paraId="656B1E0C"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Time (minutes)</w:t>
            </w:r>
          </w:p>
        </w:tc>
        <w:tc>
          <w:tcPr>
            <w:tcW w:w="1806" w:type="dxa"/>
          </w:tcPr>
          <w:p w14:paraId="44CF5A47"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Pa</w:t>
            </w:r>
          </w:p>
          <w:p w14:paraId="61C733C0"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 µg/ml</w:t>
            </w:r>
          </w:p>
        </w:tc>
        <w:tc>
          <w:tcPr>
            <w:tcW w:w="1806" w:type="dxa"/>
          </w:tcPr>
          <w:p w14:paraId="32194469" w14:textId="7B62A57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MEDM</w:t>
            </w:r>
          </w:p>
          <w:p w14:paraId="0E624D0F"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 µg/ml</w:t>
            </w:r>
          </w:p>
        </w:tc>
        <w:tc>
          <w:tcPr>
            <w:tcW w:w="1806" w:type="dxa"/>
          </w:tcPr>
          <w:p w14:paraId="6C32F4EA"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 xml:space="preserve">Pa </w:t>
            </w:r>
          </w:p>
          <w:p w14:paraId="79EAA53F"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500 µg/ml</w:t>
            </w:r>
          </w:p>
        </w:tc>
        <w:tc>
          <w:tcPr>
            <w:tcW w:w="1806" w:type="dxa"/>
          </w:tcPr>
          <w:p w14:paraId="39D265FC" w14:textId="15457CEB"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 xml:space="preserve">MEDM </w:t>
            </w:r>
          </w:p>
          <w:p w14:paraId="579F5760"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500 µg/ml</w:t>
            </w:r>
          </w:p>
        </w:tc>
      </w:tr>
      <w:tr w:rsidR="00E36BE9" w:rsidRPr="00B24721" w14:paraId="0FFB3C25" w14:textId="77777777" w:rsidTr="00E36BE9">
        <w:trPr>
          <w:trHeight w:val="439"/>
        </w:trPr>
        <w:tc>
          <w:tcPr>
            <w:tcW w:w="1804" w:type="dxa"/>
          </w:tcPr>
          <w:p w14:paraId="5AA6D27C"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30</w:t>
            </w:r>
          </w:p>
        </w:tc>
        <w:tc>
          <w:tcPr>
            <w:tcW w:w="1806" w:type="dxa"/>
          </w:tcPr>
          <w:p w14:paraId="53A1976E" w14:textId="1582F992"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2</w:t>
            </w:r>
            <w:r w:rsidR="00D615F6" w:rsidRPr="00B24721">
              <w:rPr>
                <w:rFonts w:ascii="Arial" w:eastAsiaTheme="minorEastAsia" w:hAnsi="Arial" w:cs="Arial"/>
                <w:sz w:val="20"/>
                <w:szCs w:val="20"/>
              </w:rPr>
              <w:t>6</w:t>
            </w:r>
            <w:r w:rsidRPr="00B24721">
              <w:rPr>
                <w:rFonts w:ascii="Arial" w:eastAsiaTheme="minorEastAsia" w:hAnsi="Arial" w:cs="Arial"/>
                <w:sz w:val="20"/>
                <w:szCs w:val="20"/>
              </w:rPr>
              <w:t>.0</w:t>
            </w:r>
            <w:r w:rsidR="00D615F6" w:rsidRPr="00B24721">
              <w:rPr>
                <w:rFonts w:ascii="Arial" w:eastAsiaTheme="minorEastAsia" w:hAnsi="Arial" w:cs="Arial"/>
                <w:sz w:val="20"/>
                <w:szCs w:val="20"/>
              </w:rPr>
              <w:t>7</w:t>
            </w:r>
          </w:p>
        </w:tc>
        <w:tc>
          <w:tcPr>
            <w:tcW w:w="1806" w:type="dxa"/>
          </w:tcPr>
          <w:p w14:paraId="793B3272" w14:textId="5D1A0EE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2</w:t>
            </w:r>
            <w:r w:rsidR="00D615F6" w:rsidRPr="00B24721">
              <w:rPr>
                <w:rFonts w:ascii="Arial" w:eastAsiaTheme="minorEastAsia" w:hAnsi="Arial" w:cs="Arial"/>
                <w:sz w:val="20"/>
                <w:szCs w:val="20"/>
              </w:rPr>
              <w:t>5</w:t>
            </w:r>
            <w:r w:rsidRPr="00B24721">
              <w:rPr>
                <w:rFonts w:ascii="Arial" w:eastAsiaTheme="minorEastAsia" w:hAnsi="Arial" w:cs="Arial"/>
                <w:sz w:val="20"/>
                <w:szCs w:val="20"/>
              </w:rPr>
              <w:t>.</w:t>
            </w:r>
            <w:r w:rsidR="00D615F6" w:rsidRPr="00B24721">
              <w:rPr>
                <w:rFonts w:ascii="Arial" w:eastAsiaTheme="minorEastAsia" w:hAnsi="Arial" w:cs="Arial"/>
                <w:sz w:val="20"/>
                <w:szCs w:val="20"/>
              </w:rPr>
              <w:t>66</w:t>
            </w:r>
          </w:p>
        </w:tc>
        <w:tc>
          <w:tcPr>
            <w:tcW w:w="1806" w:type="dxa"/>
          </w:tcPr>
          <w:p w14:paraId="6F0B374C" w14:textId="18C1EA16"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w:t>
            </w:r>
            <w:r w:rsidR="00D615F6" w:rsidRPr="00B24721">
              <w:rPr>
                <w:rFonts w:ascii="Arial" w:eastAsiaTheme="minorEastAsia" w:hAnsi="Arial" w:cs="Arial"/>
                <w:sz w:val="20"/>
                <w:szCs w:val="20"/>
              </w:rPr>
              <w:t>5</w:t>
            </w:r>
            <w:r w:rsidRPr="00B24721">
              <w:rPr>
                <w:rFonts w:ascii="Arial" w:eastAsiaTheme="minorEastAsia" w:hAnsi="Arial" w:cs="Arial"/>
                <w:sz w:val="20"/>
                <w:szCs w:val="20"/>
              </w:rPr>
              <w:t>.79</w:t>
            </w:r>
          </w:p>
        </w:tc>
        <w:tc>
          <w:tcPr>
            <w:tcW w:w="1806" w:type="dxa"/>
          </w:tcPr>
          <w:p w14:paraId="1C55506E" w14:textId="34D4A5D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42.</w:t>
            </w:r>
            <w:r w:rsidR="00D615F6" w:rsidRPr="00B24721">
              <w:rPr>
                <w:rFonts w:ascii="Arial" w:eastAsiaTheme="minorEastAsia" w:hAnsi="Arial" w:cs="Arial"/>
                <w:sz w:val="20"/>
                <w:szCs w:val="20"/>
              </w:rPr>
              <w:t>8</w:t>
            </w:r>
            <w:r w:rsidRPr="00B24721">
              <w:rPr>
                <w:rFonts w:ascii="Arial" w:eastAsiaTheme="minorEastAsia" w:hAnsi="Arial" w:cs="Arial"/>
                <w:sz w:val="20"/>
                <w:szCs w:val="20"/>
              </w:rPr>
              <w:t>9</w:t>
            </w:r>
          </w:p>
        </w:tc>
      </w:tr>
      <w:tr w:rsidR="00E36BE9" w:rsidRPr="00B24721" w14:paraId="668CAAC1" w14:textId="77777777" w:rsidTr="00E36BE9">
        <w:trPr>
          <w:trHeight w:val="439"/>
        </w:trPr>
        <w:tc>
          <w:tcPr>
            <w:tcW w:w="1804" w:type="dxa"/>
          </w:tcPr>
          <w:p w14:paraId="343F030D"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60</w:t>
            </w:r>
          </w:p>
        </w:tc>
        <w:tc>
          <w:tcPr>
            <w:tcW w:w="1806" w:type="dxa"/>
          </w:tcPr>
          <w:p w14:paraId="455424E6" w14:textId="58C53178"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w:t>
            </w:r>
            <w:r w:rsidR="00D615F6" w:rsidRPr="00B24721">
              <w:rPr>
                <w:rFonts w:ascii="Arial" w:eastAsiaTheme="minorEastAsia" w:hAnsi="Arial" w:cs="Arial"/>
                <w:sz w:val="20"/>
                <w:szCs w:val="20"/>
              </w:rPr>
              <w:t>3</w:t>
            </w:r>
            <w:r w:rsidRPr="00B24721">
              <w:rPr>
                <w:rFonts w:ascii="Arial" w:eastAsiaTheme="minorEastAsia" w:hAnsi="Arial" w:cs="Arial"/>
                <w:sz w:val="20"/>
                <w:szCs w:val="20"/>
              </w:rPr>
              <w:t>.</w:t>
            </w:r>
            <w:r w:rsidR="00D615F6" w:rsidRPr="00B24721">
              <w:rPr>
                <w:rFonts w:ascii="Arial" w:eastAsiaTheme="minorEastAsia" w:hAnsi="Arial" w:cs="Arial"/>
                <w:sz w:val="20"/>
                <w:szCs w:val="20"/>
              </w:rPr>
              <w:t>07</w:t>
            </w:r>
          </w:p>
        </w:tc>
        <w:tc>
          <w:tcPr>
            <w:tcW w:w="1806" w:type="dxa"/>
          </w:tcPr>
          <w:p w14:paraId="48186FCF" w14:textId="6EFD535A"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4</w:t>
            </w:r>
            <w:r w:rsidR="00D615F6" w:rsidRPr="00B24721">
              <w:rPr>
                <w:rFonts w:ascii="Arial" w:eastAsiaTheme="minorEastAsia" w:hAnsi="Arial" w:cs="Arial"/>
                <w:sz w:val="20"/>
                <w:szCs w:val="20"/>
              </w:rPr>
              <w:t>1</w:t>
            </w:r>
            <w:r w:rsidRPr="00B24721">
              <w:rPr>
                <w:rFonts w:ascii="Arial" w:eastAsiaTheme="minorEastAsia" w:hAnsi="Arial" w:cs="Arial"/>
                <w:sz w:val="20"/>
                <w:szCs w:val="20"/>
              </w:rPr>
              <w:t>.0</w:t>
            </w:r>
            <w:r w:rsidR="00D615F6" w:rsidRPr="00B24721">
              <w:rPr>
                <w:rFonts w:ascii="Arial" w:eastAsiaTheme="minorEastAsia" w:hAnsi="Arial" w:cs="Arial"/>
                <w:sz w:val="20"/>
                <w:szCs w:val="20"/>
              </w:rPr>
              <w:t>8</w:t>
            </w:r>
          </w:p>
        </w:tc>
        <w:tc>
          <w:tcPr>
            <w:tcW w:w="1806" w:type="dxa"/>
          </w:tcPr>
          <w:p w14:paraId="6C863362" w14:textId="0B74DCFF"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.0</w:t>
            </w:r>
            <w:r w:rsidRPr="00B24721">
              <w:rPr>
                <w:rFonts w:ascii="Arial" w:eastAsiaTheme="minorEastAsia" w:hAnsi="Arial" w:cs="Arial"/>
                <w:sz w:val="20"/>
                <w:szCs w:val="20"/>
              </w:rPr>
              <w:t>8</w:t>
            </w:r>
          </w:p>
        </w:tc>
        <w:tc>
          <w:tcPr>
            <w:tcW w:w="1806" w:type="dxa"/>
          </w:tcPr>
          <w:p w14:paraId="736E38F9" w14:textId="63D6C93D"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.13</w:t>
            </w:r>
          </w:p>
        </w:tc>
      </w:tr>
      <w:tr w:rsidR="00E36BE9" w:rsidRPr="00B24721" w14:paraId="180FA7DE" w14:textId="77777777" w:rsidTr="00E36BE9">
        <w:trPr>
          <w:trHeight w:val="426"/>
        </w:trPr>
        <w:tc>
          <w:tcPr>
            <w:tcW w:w="1804" w:type="dxa"/>
          </w:tcPr>
          <w:p w14:paraId="3D7FA985"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90</w:t>
            </w:r>
          </w:p>
        </w:tc>
        <w:tc>
          <w:tcPr>
            <w:tcW w:w="1806" w:type="dxa"/>
          </w:tcPr>
          <w:p w14:paraId="6F89DE34" w14:textId="094FC02D"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3</w:t>
            </w:r>
            <w:r w:rsidR="00D615F6" w:rsidRPr="00B24721">
              <w:rPr>
                <w:rFonts w:ascii="Arial" w:eastAsiaTheme="minorEastAsia" w:hAnsi="Arial" w:cs="Arial"/>
                <w:sz w:val="20"/>
                <w:szCs w:val="20"/>
              </w:rPr>
              <w:t>8</w:t>
            </w:r>
            <w:r w:rsidRPr="00B24721">
              <w:rPr>
                <w:rFonts w:ascii="Arial" w:eastAsiaTheme="minorEastAsia" w:hAnsi="Arial" w:cs="Arial"/>
                <w:sz w:val="20"/>
                <w:szCs w:val="20"/>
              </w:rPr>
              <w:t>.</w:t>
            </w:r>
            <w:r w:rsidR="00D615F6" w:rsidRPr="00B24721">
              <w:rPr>
                <w:rFonts w:ascii="Arial" w:eastAsiaTheme="minorEastAsia" w:hAnsi="Arial" w:cs="Arial"/>
                <w:sz w:val="20"/>
                <w:szCs w:val="20"/>
              </w:rPr>
              <w:t>8</w:t>
            </w:r>
            <w:r w:rsidRPr="00B24721">
              <w:rPr>
                <w:rFonts w:ascii="Arial" w:eastAsiaTheme="minorEastAsia" w:hAnsi="Arial" w:cs="Arial"/>
                <w:sz w:val="20"/>
                <w:szCs w:val="20"/>
              </w:rPr>
              <w:t>7</w:t>
            </w:r>
          </w:p>
        </w:tc>
        <w:tc>
          <w:tcPr>
            <w:tcW w:w="1806" w:type="dxa"/>
          </w:tcPr>
          <w:p w14:paraId="171E5E37" w14:textId="71A5488D"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50</w:t>
            </w:r>
            <w:r w:rsidR="00E36BE9" w:rsidRPr="00B24721">
              <w:rPr>
                <w:rFonts w:ascii="Arial" w:eastAsiaTheme="minorEastAsia" w:hAnsi="Arial" w:cs="Arial"/>
                <w:sz w:val="20"/>
                <w:szCs w:val="20"/>
              </w:rPr>
              <w:t>.</w:t>
            </w:r>
            <w:r w:rsidRPr="00B24721">
              <w:rPr>
                <w:rFonts w:ascii="Arial" w:eastAsiaTheme="minorEastAsia" w:hAnsi="Arial" w:cs="Arial"/>
                <w:sz w:val="20"/>
                <w:szCs w:val="20"/>
              </w:rPr>
              <w:t>91</w:t>
            </w:r>
          </w:p>
        </w:tc>
        <w:tc>
          <w:tcPr>
            <w:tcW w:w="1806" w:type="dxa"/>
          </w:tcPr>
          <w:p w14:paraId="0311180F" w14:textId="116DEE8F" w:rsidR="00E36BE9" w:rsidRPr="00B24721" w:rsidRDefault="00D615F6"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61</w:t>
            </w:r>
            <w:r w:rsidR="00E36BE9" w:rsidRPr="00B24721">
              <w:rPr>
                <w:rFonts w:ascii="Arial" w:eastAsiaTheme="minorEastAsia" w:hAnsi="Arial" w:cs="Arial"/>
                <w:sz w:val="20"/>
                <w:szCs w:val="20"/>
              </w:rPr>
              <w:t>.66</w:t>
            </w:r>
          </w:p>
        </w:tc>
        <w:tc>
          <w:tcPr>
            <w:tcW w:w="1806" w:type="dxa"/>
          </w:tcPr>
          <w:p w14:paraId="41D4B424" w14:textId="235C61F3"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6</w:t>
            </w:r>
            <w:r w:rsidR="00D615F6" w:rsidRPr="00B24721">
              <w:rPr>
                <w:rFonts w:ascii="Arial" w:eastAsiaTheme="minorEastAsia" w:hAnsi="Arial" w:cs="Arial"/>
                <w:sz w:val="20"/>
                <w:szCs w:val="20"/>
              </w:rPr>
              <w:t>5</w:t>
            </w:r>
            <w:r w:rsidRPr="00B24721">
              <w:rPr>
                <w:rFonts w:ascii="Arial" w:eastAsiaTheme="minorEastAsia" w:hAnsi="Arial" w:cs="Arial"/>
                <w:sz w:val="20"/>
                <w:szCs w:val="20"/>
              </w:rPr>
              <w:t>.17</w:t>
            </w:r>
          </w:p>
        </w:tc>
      </w:tr>
      <w:tr w:rsidR="00E36BE9" w:rsidRPr="00B24721" w14:paraId="25C92045" w14:textId="77777777" w:rsidTr="00E36BE9">
        <w:trPr>
          <w:trHeight w:val="439"/>
        </w:trPr>
        <w:tc>
          <w:tcPr>
            <w:tcW w:w="1804" w:type="dxa"/>
          </w:tcPr>
          <w:p w14:paraId="2BA7B183" w14:textId="77777777"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120</w:t>
            </w:r>
          </w:p>
        </w:tc>
        <w:tc>
          <w:tcPr>
            <w:tcW w:w="1806" w:type="dxa"/>
          </w:tcPr>
          <w:p w14:paraId="14809229" w14:textId="270725D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w:t>
            </w:r>
            <w:r w:rsidR="00D615F6" w:rsidRPr="00B24721">
              <w:rPr>
                <w:rFonts w:ascii="Arial" w:eastAsiaTheme="minorEastAsia" w:hAnsi="Arial" w:cs="Arial"/>
                <w:sz w:val="20"/>
                <w:szCs w:val="20"/>
              </w:rPr>
              <w:t>8</w:t>
            </w:r>
            <w:r w:rsidRPr="00B24721">
              <w:rPr>
                <w:rFonts w:ascii="Arial" w:eastAsiaTheme="minorEastAsia" w:hAnsi="Arial" w:cs="Arial"/>
                <w:sz w:val="20"/>
                <w:szCs w:val="20"/>
              </w:rPr>
              <w:t>.</w:t>
            </w:r>
            <w:r w:rsidR="00D615F6" w:rsidRPr="00B24721">
              <w:rPr>
                <w:rFonts w:ascii="Arial" w:eastAsiaTheme="minorEastAsia" w:hAnsi="Arial" w:cs="Arial"/>
                <w:sz w:val="20"/>
                <w:szCs w:val="20"/>
              </w:rPr>
              <w:t>13</w:t>
            </w:r>
          </w:p>
        </w:tc>
        <w:tc>
          <w:tcPr>
            <w:tcW w:w="1806" w:type="dxa"/>
          </w:tcPr>
          <w:p w14:paraId="2373E2AC" w14:textId="69D46D8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5</w:t>
            </w:r>
            <w:r w:rsidR="00D615F6" w:rsidRPr="00B24721">
              <w:rPr>
                <w:rFonts w:ascii="Arial" w:eastAsiaTheme="minorEastAsia" w:hAnsi="Arial" w:cs="Arial"/>
                <w:sz w:val="20"/>
                <w:szCs w:val="20"/>
              </w:rPr>
              <w:t>9.</w:t>
            </w:r>
            <w:r w:rsidRPr="00B24721">
              <w:rPr>
                <w:rFonts w:ascii="Arial" w:eastAsiaTheme="minorEastAsia" w:hAnsi="Arial" w:cs="Arial"/>
                <w:sz w:val="20"/>
                <w:szCs w:val="20"/>
              </w:rPr>
              <w:t>03</w:t>
            </w:r>
          </w:p>
        </w:tc>
        <w:tc>
          <w:tcPr>
            <w:tcW w:w="1806" w:type="dxa"/>
          </w:tcPr>
          <w:p w14:paraId="2FCBA7AB" w14:textId="7143E435"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7</w:t>
            </w:r>
            <w:r w:rsidR="00D615F6" w:rsidRPr="00B24721">
              <w:rPr>
                <w:rFonts w:ascii="Arial" w:eastAsiaTheme="minorEastAsia" w:hAnsi="Arial" w:cs="Arial"/>
                <w:sz w:val="20"/>
                <w:szCs w:val="20"/>
              </w:rPr>
              <w:t>1</w:t>
            </w:r>
            <w:r w:rsidRPr="00B24721">
              <w:rPr>
                <w:rFonts w:ascii="Arial" w:eastAsiaTheme="minorEastAsia" w:hAnsi="Arial" w:cs="Arial"/>
                <w:sz w:val="20"/>
                <w:szCs w:val="20"/>
              </w:rPr>
              <w:t>.44</w:t>
            </w:r>
          </w:p>
        </w:tc>
        <w:tc>
          <w:tcPr>
            <w:tcW w:w="1806" w:type="dxa"/>
          </w:tcPr>
          <w:p w14:paraId="32EC1407" w14:textId="204F5324" w:rsidR="00E36BE9" w:rsidRPr="00B24721" w:rsidRDefault="00E36BE9" w:rsidP="007253B4">
            <w:pPr>
              <w:spacing w:after="160" w:line="259" w:lineRule="auto"/>
              <w:jc w:val="both"/>
              <w:rPr>
                <w:rFonts w:ascii="Arial" w:eastAsiaTheme="minorEastAsia" w:hAnsi="Arial" w:cs="Arial"/>
                <w:sz w:val="20"/>
                <w:szCs w:val="20"/>
              </w:rPr>
            </w:pPr>
            <w:r w:rsidRPr="00B24721">
              <w:rPr>
                <w:rFonts w:ascii="Arial" w:eastAsiaTheme="minorEastAsia" w:hAnsi="Arial" w:cs="Arial"/>
                <w:sz w:val="20"/>
                <w:szCs w:val="20"/>
              </w:rPr>
              <w:t>7</w:t>
            </w:r>
            <w:r w:rsidR="00D615F6" w:rsidRPr="00B24721">
              <w:rPr>
                <w:rFonts w:ascii="Arial" w:eastAsiaTheme="minorEastAsia" w:hAnsi="Arial" w:cs="Arial"/>
                <w:sz w:val="20"/>
                <w:szCs w:val="20"/>
              </w:rPr>
              <w:t>2</w:t>
            </w:r>
            <w:r w:rsidRPr="00B24721">
              <w:rPr>
                <w:rFonts w:ascii="Arial" w:eastAsiaTheme="minorEastAsia" w:hAnsi="Arial" w:cs="Arial"/>
                <w:sz w:val="20"/>
                <w:szCs w:val="20"/>
              </w:rPr>
              <w:t>.4</w:t>
            </w:r>
            <w:r w:rsidR="00D615F6" w:rsidRPr="00B24721">
              <w:rPr>
                <w:rFonts w:ascii="Arial" w:eastAsiaTheme="minorEastAsia" w:hAnsi="Arial" w:cs="Arial"/>
                <w:sz w:val="20"/>
                <w:szCs w:val="20"/>
              </w:rPr>
              <w:t>9</w:t>
            </w:r>
          </w:p>
        </w:tc>
      </w:tr>
    </w:tbl>
    <w:p w14:paraId="19B09CBF" w14:textId="77777777" w:rsidR="007253B4" w:rsidRPr="00B24721" w:rsidRDefault="007253B4" w:rsidP="00E606AB">
      <w:pPr>
        <w:jc w:val="both"/>
        <w:rPr>
          <w:rFonts w:ascii="Arial" w:eastAsiaTheme="minorEastAsia" w:hAnsi="Arial" w:cs="Arial"/>
          <w:sz w:val="20"/>
          <w:szCs w:val="20"/>
          <w:lang w:val="en-GB"/>
        </w:rPr>
      </w:pPr>
    </w:p>
    <w:p w14:paraId="6E486B35" w14:textId="551B692C" w:rsidR="00184B4F" w:rsidRPr="00B24721" w:rsidRDefault="00184B4F" w:rsidP="00FB4370">
      <w:pPr>
        <w:jc w:val="both"/>
        <w:rPr>
          <w:rFonts w:ascii="Arial" w:eastAsia="Calibri" w:hAnsi="Arial" w:cs="Arial"/>
          <w:b/>
          <w:bCs/>
          <w:sz w:val="24"/>
        </w:rPr>
      </w:pPr>
      <w:r w:rsidRPr="00B24721">
        <w:rPr>
          <w:rFonts w:ascii="Arial" w:eastAsia="Calibri" w:hAnsi="Arial" w:cs="Arial"/>
          <w:b/>
          <w:bCs/>
          <w:sz w:val="24"/>
        </w:rPr>
        <w:t>4.4 Neuropharmacological activity</w:t>
      </w:r>
    </w:p>
    <w:p w14:paraId="76487B12" w14:textId="164DA5B8" w:rsidR="00FB4370" w:rsidRPr="00B24721" w:rsidRDefault="00184B4F" w:rsidP="00FB4370">
      <w:pPr>
        <w:jc w:val="both"/>
        <w:rPr>
          <w:rFonts w:ascii="Arial" w:eastAsia="Calibri" w:hAnsi="Arial" w:cs="Arial"/>
          <w:b/>
          <w:bCs/>
          <w:sz w:val="24"/>
        </w:rPr>
      </w:pPr>
      <w:commentRangeStart w:id="17"/>
      <w:r w:rsidRPr="00B24721">
        <w:rPr>
          <w:rFonts w:ascii="Arial" w:eastAsia="Calibri" w:hAnsi="Arial" w:cs="Arial"/>
          <w:b/>
          <w:bCs/>
          <w:sz w:val="24"/>
        </w:rPr>
        <w:lastRenderedPageBreak/>
        <w:t>4.4.1</w:t>
      </w:r>
      <w:r w:rsidR="00FB4370" w:rsidRPr="00B24721">
        <w:rPr>
          <w:rFonts w:ascii="Arial" w:eastAsia="Calibri" w:hAnsi="Arial" w:cs="Arial"/>
          <w:b/>
          <w:bCs/>
          <w:sz w:val="24"/>
        </w:rPr>
        <w:t xml:space="preserve"> Thiopental sodium induced sleeping time test</w:t>
      </w:r>
      <w:commentRangeEnd w:id="17"/>
      <w:r w:rsidR="009E0590">
        <w:rPr>
          <w:rStyle w:val="a9"/>
        </w:rPr>
        <w:commentReference w:id="17"/>
      </w:r>
    </w:p>
    <w:p w14:paraId="74875279" w14:textId="77777777" w:rsidR="0086220F" w:rsidRPr="00B24721" w:rsidRDefault="0086220F" w:rsidP="0086220F">
      <w:pPr>
        <w:jc w:val="both"/>
        <w:rPr>
          <w:rFonts w:ascii="Arial" w:eastAsia="Calibri" w:hAnsi="Arial" w:cs="Arial"/>
          <w:sz w:val="24"/>
        </w:rPr>
      </w:pPr>
      <w:r w:rsidRPr="00B24721">
        <w:rPr>
          <w:rFonts w:ascii="Arial" w:eastAsia="Calibri" w:hAnsi="Arial" w:cs="Arial"/>
          <w:sz w:val="24"/>
        </w:rPr>
        <w:t>The MEDM given in doses of 200 and 400 mg/kg exhibited a significant effect on sleep as measured by the thiopental sodium test for inducing hypnosis. The extract also exhibited a dose-dependent effect on the duration of sleep induced by thiopental sodium at doses of 200 and 400 mg/kg. Additionally, when comparing the control group, it was apparent that both doses increased the duration of sleep they observed in the subjects in the thiopental sodium test, as shown in Table 4.</w:t>
      </w:r>
    </w:p>
    <w:p w14:paraId="6979995B" w14:textId="7D27A239" w:rsidR="00FB4370" w:rsidRPr="00B24721" w:rsidRDefault="00FB4370" w:rsidP="00FB4370">
      <w:pPr>
        <w:jc w:val="center"/>
        <w:rPr>
          <w:rFonts w:ascii="Arial" w:eastAsia="Yu Mincho" w:hAnsi="Arial" w:cs="Arial"/>
          <w:b/>
          <w:bCs/>
          <w:kern w:val="2"/>
          <w:sz w:val="24"/>
          <w:szCs w:val="24"/>
          <w:lang w:eastAsia="ja-JP"/>
          <w14:ligatures w14:val="standardContextual"/>
        </w:rPr>
      </w:pPr>
      <w:r w:rsidRPr="00B24721">
        <w:rPr>
          <w:rFonts w:ascii="Arial" w:eastAsia="Yu Mincho" w:hAnsi="Arial" w:cs="Arial"/>
          <w:b/>
          <w:bCs/>
          <w:kern w:val="2"/>
          <w:sz w:val="24"/>
          <w:szCs w:val="24"/>
          <w:lang w:eastAsia="ja-JP"/>
          <w14:ligatures w14:val="standardContextual"/>
        </w:rPr>
        <w:t>Table 5. Effect of ME</w:t>
      </w:r>
      <w:r w:rsidR="0086220F" w:rsidRPr="00B24721">
        <w:rPr>
          <w:rFonts w:ascii="Arial" w:eastAsia="Yu Mincho" w:hAnsi="Arial" w:cs="Arial"/>
          <w:b/>
          <w:bCs/>
          <w:kern w:val="2"/>
          <w:sz w:val="24"/>
          <w:szCs w:val="24"/>
          <w:lang w:eastAsia="ja-JP"/>
          <w14:ligatures w14:val="standardContextual"/>
        </w:rPr>
        <w:t>DM</w:t>
      </w:r>
      <w:r w:rsidRPr="00B24721">
        <w:rPr>
          <w:rFonts w:ascii="Arial" w:eastAsia="Yu Mincho" w:hAnsi="Arial" w:cs="Arial"/>
          <w:b/>
          <w:bCs/>
          <w:kern w:val="2"/>
          <w:sz w:val="24"/>
          <w:szCs w:val="24"/>
          <w:lang w:eastAsia="ja-JP"/>
          <w14:ligatures w14:val="standardContextual"/>
        </w:rPr>
        <w:t xml:space="preserve"> on Thiopental Sodium Induced Sleeping Time Test</w:t>
      </w:r>
    </w:p>
    <w:tbl>
      <w:tblPr>
        <w:tblStyle w:val="TableGrid2"/>
        <w:tblW w:w="0" w:type="auto"/>
        <w:tblLook w:val="04A0" w:firstRow="1" w:lastRow="0" w:firstColumn="1" w:lastColumn="0" w:noHBand="0" w:noVBand="1"/>
      </w:tblPr>
      <w:tblGrid>
        <w:gridCol w:w="2337"/>
        <w:gridCol w:w="2337"/>
        <w:gridCol w:w="2338"/>
        <w:gridCol w:w="2338"/>
      </w:tblGrid>
      <w:tr w:rsidR="00FB4370" w:rsidRPr="00B24721" w14:paraId="15A025DF" w14:textId="77777777" w:rsidTr="00E05C20">
        <w:trPr>
          <w:trHeight w:val="470"/>
        </w:trPr>
        <w:tc>
          <w:tcPr>
            <w:tcW w:w="2337" w:type="dxa"/>
            <w:vMerge w:val="restart"/>
          </w:tcPr>
          <w:p w14:paraId="78FD2FCA" w14:textId="77777777" w:rsidR="00FB4370" w:rsidRPr="00B24721" w:rsidRDefault="00FB4370" w:rsidP="00FB4370">
            <w:pPr>
              <w:jc w:val="center"/>
              <w:rPr>
                <w:rFonts w:ascii="Arial" w:hAnsi="Arial" w:cs="Arial"/>
                <w:b/>
                <w:bCs/>
              </w:rPr>
            </w:pPr>
            <w:r w:rsidRPr="00B24721">
              <w:rPr>
                <w:rFonts w:ascii="Arial" w:hAnsi="Arial" w:cs="Arial"/>
                <w:b/>
                <w:bCs/>
              </w:rPr>
              <w:t>Treatment</w:t>
            </w:r>
          </w:p>
        </w:tc>
        <w:tc>
          <w:tcPr>
            <w:tcW w:w="2337" w:type="dxa"/>
            <w:vMerge w:val="restart"/>
          </w:tcPr>
          <w:p w14:paraId="241F62A1" w14:textId="77777777" w:rsidR="00FB4370" w:rsidRPr="00B24721" w:rsidRDefault="00FB4370" w:rsidP="00FB4370">
            <w:pPr>
              <w:jc w:val="center"/>
              <w:rPr>
                <w:rFonts w:ascii="Arial" w:hAnsi="Arial" w:cs="Arial"/>
                <w:b/>
                <w:bCs/>
              </w:rPr>
            </w:pPr>
            <w:r w:rsidRPr="00B24721">
              <w:rPr>
                <w:rFonts w:ascii="Arial" w:hAnsi="Arial" w:cs="Arial"/>
                <w:b/>
                <w:bCs/>
              </w:rPr>
              <w:t>Dose</w:t>
            </w:r>
          </w:p>
        </w:tc>
        <w:tc>
          <w:tcPr>
            <w:tcW w:w="4676" w:type="dxa"/>
            <w:gridSpan w:val="2"/>
          </w:tcPr>
          <w:p w14:paraId="631772E8" w14:textId="77777777" w:rsidR="00FB4370" w:rsidRPr="00B24721" w:rsidRDefault="00FB4370" w:rsidP="00FB4370">
            <w:pPr>
              <w:jc w:val="center"/>
              <w:rPr>
                <w:rFonts w:ascii="Arial" w:hAnsi="Arial" w:cs="Arial"/>
                <w:b/>
                <w:bCs/>
              </w:rPr>
            </w:pPr>
            <w:r w:rsidRPr="00B24721">
              <w:rPr>
                <w:rFonts w:ascii="Arial" w:hAnsi="Arial" w:cs="Arial"/>
                <w:b/>
                <w:bCs/>
              </w:rPr>
              <w:t>Thiopental Sodium induced sleeping time</w:t>
            </w:r>
          </w:p>
        </w:tc>
      </w:tr>
      <w:tr w:rsidR="00FB4370" w:rsidRPr="00B24721" w14:paraId="1321FF90" w14:textId="77777777" w:rsidTr="00E05C20">
        <w:tc>
          <w:tcPr>
            <w:tcW w:w="2337" w:type="dxa"/>
            <w:vMerge/>
          </w:tcPr>
          <w:p w14:paraId="3BD98B97" w14:textId="77777777" w:rsidR="00FB4370" w:rsidRPr="00B24721" w:rsidRDefault="00FB4370" w:rsidP="00FB4370">
            <w:pPr>
              <w:jc w:val="center"/>
              <w:rPr>
                <w:rFonts w:ascii="Arial" w:hAnsi="Arial" w:cs="Arial"/>
              </w:rPr>
            </w:pPr>
          </w:p>
        </w:tc>
        <w:tc>
          <w:tcPr>
            <w:tcW w:w="2337" w:type="dxa"/>
            <w:vMerge/>
          </w:tcPr>
          <w:p w14:paraId="23CD06CF" w14:textId="77777777" w:rsidR="00FB4370" w:rsidRPr="00B24721" w:rsidRDefault="00FB4370" w:rsidP="00FB4370">
            <w:pPr>
              <w:jc w:val="center"/>
              <w:rPr>
                <w:rFonts w:ascii="Arial" w:hAnsi="Arial" w:cs="Arial"/>
              </w:rPr>
            </w:pPr>
          </w:p>
        </w:tc>
        <w:tc>
          <w:tcPr>
            <w:tcW w:w="2338" w:type="dxa"/>
          </w:tcPr>
          <w:p w14:paraId="0B8AFCB5" w14:textId="77777777" w:rsidR="00FB4370" w:rsidRPr="00B24721" w:rsidRDefault="00FB4370" w:rsidP="00FB4370">
            <w:pPr>
              <w:jc w:val="center"/>
              <w:rPr>
                <w:rFonts w:ascii="Arial" w:hAnsi="Arial" w:cs="Arial"/>
                <w:b/>
                <w:bCs/>
              </w:rPr>
            </w:pPr>
            <w:r w:rsidRPr="00B24721">
              <w:rPr>
                <w:rFonts w:ascii="Arial" w:hAnsi="Arial" w:cs="Arial"/>
                <w:b/>
                <w:bCs/>
              </w:rPr>
              <w:t>Onset of action (min)</w:t>
            </w:r>
          </w:p>
        </w:tc>
        <w:tc>
          <w:tcPr>
            <w:tcW w:w="2338" w:type="dxa"/>
          </w:tcPr>
          <w:p w14:paraId="6E0D667F" w14:textId="77777777" w:rsidR="00FB4370" w:rsidRPr="00B24721" w:rsidRDefault="00FB4370" w:rsidP="00FB4370">
            <w:pPr>
              <w:jc w:val="center"/>
              <w:rPr>
                <w:rFonts w:ascii="Arial" w:hAnsi="Arial" w:cs="Arial"/>
                <w:b/>
                <w:bCs/>
              </w:rPr>
            </w:pPr>
            <w:r w:rsidRPr="00B24721">
              <w:rPr>
                <w:rFonts w:ascii="Arial" w:hAnsi="Arial" w:cs="Arial"/>
                <w:b/>
                <w:bCs/>
              </w:rPr>
              <w:t>Duration in total (min)</w:t>
            </w:r>
          </w:p>
        </w:tc>
      </w:tr>
      <w:tr w:rsidR="00FB4370" w:rsidRPr="00B24721" w14:paraId="6FA8CB3A" w14:textId="77777777" w:rsidTr="00E05C20">
        <w:tc>
          <w:tcPr>
            <w:tcW w:w="2337" w:type="dxa"/>
          </w:tcPr>
          <w:p w14:paraId="1A5600AC" w14:textId="77777777" w:rsidR="00FB4370" w:rsidRPr="00B24721" w:rsidRDefault="00FB4370" w:rsidP="00FB4370">
            <w:pPr>
              <w:jc w:val="center"/>
              <w:rPr>
                <w:rFonts w:ascii="Arial" w:hAnsi="Arial" w:cs="Arial"/>
              </w:rPr>
            </w:pPr>
            <w:r w:rsidRPr="00B24721">
              <w:rPr>
                <w:rFonts w:ascii="Arial" w:hAnsi="Arial" w:cs="Arial"/>
              </w:rPr>
              <w:t>Control</w:t>
            </w:r>
          </w:p>
        </w:tc>
        <w:tc>
          <w:tcPr>
            <w:tcW w:w="2337" w:type="dxa"/>
          </w:tcPr>
          <w:p w14:paraId="7064734A" w14:textId="77777777" w:rsidR="00FB4370" w:rsidRPr="00B24721" w:rsidRDefault="00FB4370" w:rsidP="00FB4370">
            <w:pPr>
              <w:jc w:val="center"/>
              <w:rPr>
                <w:rFonts w:ascii="Arial" w:hAnsi="Arial" w:cs="Arial"/>
              </w:rPr>
            </w:pPr>
            <w:r w:rsidRPr="00B24721">
              <w:rPr>
                <w:rFonts w:ascii="Arial" w:hAnsi="Arial" w:cs="Arial"/>
              </w:rPr>
              <w:t>0.1mL/mice</w:t>
            </w:r>
          </w:p>
        </w:tc>
        <w:tc>
          <w:tcPr>
            <w:tcW w:w="2338" w:type="dxa"/>
          </w:tcPr>
          <w:p w14:paraId="58A7CF8C" w14:textId="2698A796" w:rsidR="00FB4370" w:rsidRPr="00B24721" w:rsidRDefault="00FB4370" w:rsidP="00FB4370">
            <w:pPr>
              <w:jc w:val="center"/>
              <w:rPr>
                <w:rFonts w:ascii="Arial" w:hAnsi="Arial" w:cs="Arial"/>
              </w:rPr>
            </w:pPr>
            <w:r w:rsidRPr="00B24721">
              <w:rPr>
                <w:rFonts w:ascii="Arial" w:hAnsi="Arial" w:cs="Arial"/>
              </w:rPr>
              <w:t>5.6</w:t>
            </w:r>
            <w:r w:rsidR="0086220F" w:rsidRPr="00B24721">
              <w:rPr>
                <w:rFonts w:ascii="Arial" w:hAnsi="Arial" w:cs="Arial"/>
              </w:rPr>
              <w:t>2</w:t>
            </w:r>
            <w:r w:rsidRPr="00B24721">
              <w:rPr>
                <w:rFonts w:ascii="Arial" w:hAnsi="Arial" w:cs="Arial"/>
              </w:rPr>
              <w:t>±1.0</w:t>
            </w:r>
            <w:r w:rsidR="0086220F" w:rsidRPr="00B24721">
              <w:rPr>
                <w:rFonts w:ascii="Arial" w:hAnsi="Arial" w:cs="Arial"/>
              </w:rPr>
              <w:t>7</w:t>
            </w:r>
          </w:p>
        </w:tc>
        <w:tc>
          <w:tcPr>
            <w:tcW w:w="2338" w:type="dxa"/>
          </w:tcPr>
          <w:p w14:paraId="38D21CD4" w14:textId="4BDDFC25" w:rsidR="00FB4370" w:rsidRPr="00B24721" w:rsidRDefault="0086220F" w:rsidP="00FB4370">
            <w:pPr>
              <w:jc w:val="center"/>
              <w:rPr>
                <w:rFonts w:ascii="Arial" w:hAnsi="Arial" w:cs="Arial"/>
              </w:rPr>
            </w:pPr>
            <w:r w:rsidRPr="00B24721">
              <w:rPr>
                <w:rFonts w:ascii="Arial" w:hAnsi="Arial" w:cs="Arial"/>
              </w:rPr>
              <w:t>61.2</w:t>
            </w:r>
            <w:r w:rsidR="00FB4370" w:rsidRPr="00B24721">
              <w:rPr>
                <w:rFonts w:ascii="Arial" w:hAnsi="Arial" w:cs="Arial"/>
              </w:rPr>
              <w:t>±1.6</w:t>
            </w:r>
            <w:r w:rsidRPr="00B24721">
              <w:rPr>
                <w:rFonts w:ascii="Arial" w:hAnsi="Arial" w:cs="Arial"/>
              </w:rPr>
              <w:t>6</w:t>
            </w:r>
          </w:p>
        </w:tc>
      </w:tr>
      <w:tr w:rsidR="00FB4370" w:rsidRPr="00B24721" w14:paraId="1ABE347D" w14:textId="77777777" w:rsidTr="00E05C20">
        <w:tc>
          <w:tcPr>
            <w:tcW w:w="2337" w:type="dxa"/>
          </w:tcPr>
          <w:p w14:paraId="39896496" w14:textId="77777777" w:rsidR="00FB4370" w:rsidRPr="00B24721" w:rsidRDefault="00FB4370" w:rsidP="00FB4370">
            <w:pPr>
              <w:jc w:val="center"/>
              <w:rPr>
                <w:rFonts w:ascii="Arial" w:hAnsi="Arial" w:cs="Arial"/>
              </w:rPr>
            </w:pPr>
            <w:r w:rsidRPr="00B24721">
              <w:rPr>
                <w:rFonts w:ascii="Arial" w:hAnsi="Arial" w:cs="Arial"/>
              </w:rPr>
              <w:t>Diazepam</w:t>
            </w:r>
          </w:p>
        </w:tc>
        <w:tc>
          <w:tcPr>
            <w:tcW w:w="2337" w:type="dxa"/>
          </w:tcPr>
          <w:p w14:paraId="66E49359" w14:textId="77777777" w:rsidR="00FB4370" w:rsidRPr="00B24721" w:rsidRDefault="00FB4370" w:rsidP="00FB4370">
            <w:pPr>
              <w:jc w:val="center"/>
              <w:rPr>
                <w:rFonts w:ascii="Arial" w:hAnsi="Arial" w:cs="Arial"/>
              </w:rPr>
            </w:pPr>
            <w:r w:rsidRPr="00B24721">
              <w:rPr>
                <w:rFonts w:ascii="Arial" w:hAnsi="Arial" w:cs="Arial"/>
              </w:rPr>
              <w:t>1</w:t>
            </w:r>
          </w:p>
        </w:tc>
        <w:tc>
          <w:tcPr>
            <w:tcW w:w="2338" w:type="dxa"/>
          </w:tcPr>
          <w:p w14:paraId="69F5BAC2" w14:textId="42E54C03" w:rsidR="00FB4370" w:rsidRPr="00B24721" w:rsidRDefault="00FB4370" w:rsidP="00FB4370">
            <w:pPr>
              <w:jc w:val="center"/>
              <w:rPr>
                <w:rFonts w:ascii="Arial" w:hAnsi="Arial" w:cs="Arial"/>
              </w:rPr>
            </w:pPr>
            <w:r w:rsidRPr="00B24721">
              <w:rPr>
                <w:rFonts w:ascii="Arial" w:hAnsi="Arial" w:cs="Arial"/>
              </w:rPr>
              <w:t>2.</w:t>
            </w:r>
            <w:r w:rsidR="0086220F" w:rsidRPr="00B24721">
              <w:rPr>
                <w:rFonts w:ascii="Arial" w:hAnsi="Arial" w:cs="Arial"/>
              </w:rPr>
              <w:t>87</w:t>
            </w:r>
            <w:r w:rsidRPr="00B24721">
              <w:rPr>
                <w:rFonts w:ascii="Arial" w:hAnsi="Arial" w:cs="Arial"/>
              </w:rPr>
              <w:t>±0.2</w:t>
            </w:r>
            <w:r w:rsidR="0086220F" w:rsidRPr="00B24721">
              <w:rPr>
                <w:rFonts w:ascii="Arial" w:hAnsi="Arial" w:cs="Arial"/>
              </w:rPr>
              <w:t>3</w:t>
            </w:r>
          </w:p>
        </w:tc>
        <w:tc>
          <w:tcPr>
            <w:tcW w:w="2338" w:type="dxa"/>
          </w:tcPr>
          <w:p w14:paraId="130AA73B" w14:textId="072097FD" w:rsidR="00FB4370" w:rsidRPr="00B24721" w:rsidRDefault="00FB4370" w:rsidP="00FB4370">
            <w:pPr>
              <w:jc w:val="center"/>
              <w:rPr>
                <w:rFonts w:ascii="Arial" w:hAnsi="Arial" w:cs="Arial"/>
              </w:rPr>
            </w:pPr>
            <w:r w:rsidRPr="00B24721">
              <w:rPr>
                <w:rFonts w:ascii="Arial" w:hAnsi="Arial" w:cs="Arial"/>
              </w:rPr>
              <w:t>13</w:t>
            </w:r>
            <w:r w:rsidR="0086220F" w:rsidRPr="00B24721">
              <w:rPr>
                <w:rFonts w:ascii="Arial" w:hAnsi="Arial" w:cs="Arial"/>
              </w:rPr>
              <w:t>4.7</w:t>
            </w:r>
            <w:r w:rsidRPr="00B24721">
              <w:rPr>
                <w:rFonts w:ascii="Arial" w:hAnsi="Arial" w:cs="Arial"/>
              </w:rPr>
              <w:t>±1.35</w:t>
            </w:r>
          </w:p>
        </w:tc>
      </w:tr>
      <w:tr w:rsidR="00FB4370" w:rsidRPr="00B24721" w14:paraId="3CD2027D" w14:textId="77777777" w:rsidTr="00E05C20">
        <w:tc>
          <w:tcPr>
            <w:tcW w:w="2337" w:type="dxa"/>
          </w:tcPr>
          <w:p w14:paraId="0DF05FC7" w14:textId="577E3AA8" w:rsidR="00FB4370" w:rsidRPr="00B24721" w:rsidRDefault="00FB4370" w:rsidP="00FB4370">
            <w:pPr>
              <w:jc w:val="center"/>
              <w:rPr>
                <w:rFonts w:ascii="Arial" w:hAnsi="Arial" w:cs="Arial"/>
              </w:rPr>
            </w:pPr>
            <w:r w:rsidRPr="00B24721">
              <w:rPr>
                <w:rFonts w:ascii="Arial" w:hAnsi="Arial" w:cs="Arial"/>
              </w:rPr>
              <w:t>ME</w:t>
            </w:r>
            <w:r w:rsidR="0086220F" w:rsidRPr="00B24721">
              <w:rPr>
                <w:rFonts w:ascii="Arial" w:hAnsi="Arial" w:cs="Arial"/>
              </w:rPr>
              <w:t>DM</w:t>
            </w:r>
          </w:p>
        </w:tc>
        <w:tc>
          <w:tcPr>
            <w:tcW w:w="2337" w:type="dxa"/>
          </w:tcPr>
          <w:p w14:paraId="599709E4" w14:textId="77777777" w:rsidR="00FB4370" w:rsidRPr="00B24721" w:rsidRDefault="00FB4370" w:rsidP="00FB4370">
            <w:pPr>
              <w:jc w:val="center"/>
              <w:rPr>
                <w:rFonts w:ascii="Arial" w:hAnsi="Arial" w:cs="Arial"/>
              </w:rPr>
            </w:pPr>
            <w:r w:rsidRPr="00B24721">
              <w:rPr>
                <w:rFonts w:ascii="Arial" w:hAnsi="Arial" w:cs="Arial"/>
              </w:rPr>
              <w:t>200</w:t>
            </w:r>
          </w:p>
        </w:tc>
        <w:tc>
          <w:tcPr>
            <w:tcW w:w="2338" w:type="dxa"/>
          </w:tcPr>
          <w:p w14:paraId="12635D4D" w14:textId="27376502" w:rsidR="00FB4370" w:rsidRPr="00B24721" w:rsidRDefault="00FB4370" w:rsidP="00FB4370">
            <w:pPr>
              <w:jc w:val="center"/>
              <w:rPr>
                <w:rFonts w:ascii="Arial" w:hAnsi="Arial" w:cs="Arial"/>
              </w:rPr>
            </w:pPr>
            <w:r w:rsidRPr="00B24721">
              <w:rPr>
                <w:rFonts w:ascii="Arial" w:hAnsi="Arial" w:cs="Arial"/>
              </w:rPr>
              <w:t>4.9</w:t>
            </w:r>
            <w:r w:rsidR="0086220F" w:rsidRPr="00B24721">
              <w:rPr>
                <w:rFonts w:ascii="Arial" w:hAnsi="Arial" w:cs="Arial"/>
              </w:rPr>
              <w:t>4</w:t>
            </w:r>
            <w:r w:rsidRPr="00B24721">
              <w:rPr>
                <w:rFonts w:ascii="Arial" w:hAnsi="Arial" w:cs="Arial"/>
              </w:rPr>
              <w:t>±0.4</w:t>
            </w:r>
            <w:r w:rsidR="0086220F" w:rsidRPr="00B24721">
              <w:rPr>
                <w:rFonts w:ascii="Arial" w:hAnsi="Arial" w:cs="Arial"/>
              </w:rPr>
              <w:t>4</w:t>
            </w:r>
          </w:p>
        </w:tc>
        <w:tc>
          <w:tcPr>
            <w:tcW w:w="2338" w:type="dxa"/>
          </w:tcPr>
          <w:p w14:paraId="08FF14EA" w14:textId="56767010" w:rsidR="00FB4370" w:rsidRPr="00B24721" w:rsidRDefault="00FB4370" w:rsidP="00FB4370">
            <w:pPr>
              <w:jc w:val="center"/>
              <w:rPr>
                <w:rFonts w:ascii="Arial" w:hAnsi="Arial" w:cs="Arial"/>
              </w:rPr>
            </w:pPr>
            <w:r w:rsidRPr="00B24721">
              <w:rPr>
                <w:rFonts w:ascii="Arial" w:hAnsi="Arial" w:cs="Arial"/>
              </w:rPr>
              <w:t>11</w:t>
            </w:r>
            <w:r w:rsidR="0086220F" w:rsidRPr="00B24721">
              <w:rPr>
                <w:rFonts w:ascii="Arial" w:hAnsi="Arial" w:cs="Arial"/>
              </w:rPr>
              <w:t>6</w:t>
            </w:r>
            <w:r w:rsidRPr="00B24721">
              <w:rPr>
                <w:rFonts w:ascii="Arial" w:hAnsi="Arial" w:cs="Arial"/>
              </w:rPr>
              <w:t>.2±</w:t>
            </w:r>
            <w:r w:rsidR="0086220F" w:rsidRPr="00B24721">
              <w:rPr>
                <w:rFonts w:ascii="Arial" w:hAnsi="Arial" w:cs="Arial"/>
              </w:rPr>
              <w:t>4</w:t>
            </w:r>
            <w:r w:rsidRPr="00B24721">
              <w:rPr>
                <w:rFonts w:ascii="Arial" w:hAnsi="Arial" w:cs="Arial"/>
              </w:rPr>
              <w:t>.21</w:t>
            </w:r>
          </w:p>
        </w:tc>
      </w:tr>
      <w:tr w:rsidR="00FB4370" w:rsidRPr="00B24721" w14:paraId="0A5BF74A" w14:textId="77777777" w:rsidTr="00E05C20">
        <w:tc>
          <w:tcPr>
            <w:tcW w:w="2337" w:type="dxa"/>
          </w:tcPr>
          <w:p w14:paraId="5FB65910" w14:textId="596514DA" w:rsidR="00FB4370" w:rsidRPr="00B24721" w:rsidRDefault="00FB4370" w:rsidP="00FB4370">
            <w:pPr>
              <w:jc w:val="center"/>
              <w:rPr>
                <w:rFonts w:ascii="Arial" w:hAnsi="Arial" w:cs="Arial"/>
              </w:rPr>
            </w:pPr>
            <w:r w:rsidRPr="00B24721">
              <w:rPr>
                <w:rFonts w:ascii="Arial" w:hAnsi="Arial" w:cs="Arial"/>
              </w:rPr>
              <w:t>ME</w:t>
            </w:r>
            <w:r w:rsidR="0086220F" w:rsidRPr="00B24721">
              <w:rPr>
                <w:rFonts w:ascii="Arial" w:hAnsi="Arial" w:cs="Arial"/>
              </w:rPr>
              <w:t>DM</w:t>
            </w:r>
          </w:p>
        </w:tc>
        <w:tc>
          <w:tcPr>
            <w:tcW w:w="2337" w:type="dxa"/>
          </w:tcPr>
          <w:p w14:paraId="7183AAFA" w14:textId="77777777" w:rsidR="00FB4370" w:rsidRPr="00B24721" w:rsidRDefault="00FB4370" w:rsidP="00FB4370">
            <w:pPr>
              <w:jc w:val="center"/>
              <w:rPr>
                <w:rFonts w:ascii="Arial" w:hAnsi="Arial" w:cs="Arial"/>
              </w:rPr>
            </w:pPr>
            <w:r w:rsidRPr="00B24721">
              <w:rPr>
                <w:rFonts w:ascii="Arial" w:hAnsi="Arial" w:cs="Arial"/>
              </w:rPr>
              <w:t>400</w:t>
            </w:r>
          </w:p>
        </w:tc>
        <w:tc>
          <w:tcPr>
            <w:tcW w:w="2338" w:type="dxa"/>
          </w:tcPr>
          <w:p w14:paraId="634335CD" w14:textId="4C962986" w:rsidR="00FB4370" w:rsidRPr="00B24721" w:rsidRDefault="00FB4370" w:rsidP="00FB4370">
            <w:pPr>
              <w:jc w:val="center"/>
              <w:rPr>
                <w:rFonts w:ascii="Arial" w:hAnsi="Arial" w:cs="Arial"/>
              </w:rPr>
            </w:pPr>
            <w:r w:rsidRPr="00B24721">
              <w:rPr>
                <w:rFonts w:ascii="Arial" w:hAnsi="Arial" w:cs="Arial"/>
              </w:rPr>
              <w:t>3.3</w:t>
            </w:r>
            <w:r w:rsidR="0086220F" w:rsidRPr="00B24721">
              <w:rPr>
                <w:rFonts w:ascii="Arial" w:hAnsi="Arial" w:cs="Arial"/>
              </w:rPr>
              <w:t>7</w:t>
            </w:r>
            <w:r w:rsidRPr="00B24721">
              <w:rPr>
                <w:rFonts w:ascii="Arial" w:hAnsi="Arial" w:cs="Arial"/>
              </w:rPr>
              <w:t>±0.3</w:t>
            </w:r>
            <w:r w:rsidR="0086220F" w:rsidRPr="00B24721">
              <w:rPr>
                <w:rFonts w:ascii="Arial" w:hAnsi="Arial" w:cs="Arial"/>
              </w:rPr>
              <w:t>3</w:t>
            </w:r>
          </w:p>
        </w:tc>
        <w:tc>
          <w:tcPr>
            <w:tcW w:w="2338" w:type="dxa"/>
          </w:tcPr>
          <w:p w14:paraId="2473D26A" w14:textId="438D8216" w:rsidR="00FB4370" w:rsidRPr="00B24721" w:rsidRDefault="00FB4370" w:rsidP="00FB4370">
            <w:pPr>
              <w:jc w:val="center"/>
              <w:rPr>
                <w:rFonts w:ascii="Arial" w:hAnsi="Arial" w:cs="Arial"/>
              </w:rPr>
            </w:pPr>
            <w:r w:rsidRPr="00B24721">
              <w:rPr>
                <w:rFonts w:ascii="Arial" w:hAnsi="Arial" w:cs="Arial"/>
              </w:rPr>
              <w:t>13</w:t>
            </w:r>
            <w:r w:rsidR="0086220F" w:rsidRPr="00B24721">
              <w:rPr>
                <w:rFonts w:ascii="Arial" w:hAnsi="Arial" w:cs="Arial"/>
              </w:rPr>
              <w:t>0</w:t>
            </w:r>
            <w:r w:rsidRPr="00B24721">
              <w:rPr>
                <w:rFonts w:ascii="Arial" w:hAnsi="Arial" w:cs="Arial"/>
              </w:rPr>
              <w:t>.2±6.0</w:t>
            </w:r>
            <w:r w:rsidR="0086220F" w:rsidRPr="00B24721">
              <w:rPr>
                <w:rFonts w:ascii="Arial" w:hAnsi="Arial" w:cs="Arial"/>
              </w:rPr>
              <w:t>1</w:t>
            </w:r>
          </w:p>
        </w:tc>
      </w:tr>
    </w:tbl>
    <w:p w14:paraId="052A9001" w14:textId="77777777" w:rsidR="00FB4370" w:rsidRPr="00B24721" w:rsidRDefault="00FB4370" w:rsidP="00FB4370">
      <w:pPr>
        <w:jc w:val="both"/>
        <w:rPr>
          <w:rFonts w:ascii="Arial" w:eastAsia="Calibri" w:hAnsi="Arial" w:cs="Arial"/>
          <w:sz w:val="24"/>
        </w:rPr>
      </w:pPr>
    </w:p>
    <w:p w14:paraId="4CE319BB" w14:textId="69C73807" w:rsidR="00FB4370" w:rsidRPr="00B24721" w:rsidRDefault="00184B4F" w:rsidP="00FB4370">
      <w:pPr>
        <w:jc w:val="both"/>
        <w:rPr>
          <w:rFonts w:ascii="Arial" w:eastAsia="Calibri" w:hAnsi="Arial" w:cs="Arial"/>
          <w:b/>
          <w:bCs/>
          <w:sz w:val="24"/>
        </w:rPr>
      </w:pPr>
      <w:commentRangeStart w:id="18"/>
      <w:r w:rsidRPr="00B24721">
        <w:rPr>
          <w:rFonts w:ascii="Arial" w:eastAsia="Calibri" w:hAnsi="Arial" w:cs="Arial"/>
          <w:b/>
          <w:bCs/>
          <w:sz w:val="24"/>
        </w:rPr>
        <w:t>4.4</w:t>
      </w:r>
      <w:r w:rsidR="00FB4370" w:rsidRPr="00B24721">
        <w:rPr>
          <w:rFonts w:ascii="Arial" w:eastAsia="Calibri" w:hAnsi="Arial" w:cs="Arial"/>
          <w:b/>
          <w:bCs/>
          <w:sz w:val="24"/>
        </w:rPr>
        <w:t>.2 Forced swimming test</w:t>
      </w:r>
      <w:commentRangeEnd w:id="18"/>
      <w:r w:rsidR="009E0590">
        <w:rPr>
          <w:rStyle w:val="a9"/>
        </w:rPr>
        <w:commentReference w:id="18"/>
      </w:r>
    </w:p>
    <w:p w14:paraId="63F35305" w14:textId="53F66DAE" w:rsidR="0086220F" w:rsidRPr="00B24721" w:rsidRDefault="0086220F" w:rsidP="0086220F">
      <w:pPr>
        <w:jc w:val="both"/>
        <w:rPr>
          <w:rFonts w:ascii="Arial" w:eastAsia="Calibri" w:hAnsi="Arial" w:cs="Arial"/>
          <w:sz w:val="24"/>
        </w:rPr>
      </w:pPr>
      <w:bookmarkStart w:id="19" w:name="_Hlk169012823"/>
      <w:r w:rsidRPr="00B24721">
        <w:rPr>
          <w:rFonts w:ascii="Arial" w:eastAsia="Calibri" w:hAnsi="Arial" w:cs="Arial"/>
          <w:sz w:val="24"/>
        </w:rPr>
        <w:t xml:space="preserve">The administration of MEDM at doses of 200 and 400 mg/kg resulted in a significant increase in immobility time when compared to the control. In the murine model, the standard pharmacological agent diazepam (1 mg/kg, </w:t>
      </w:r>
      <w:proofErr w:type="spellStart"/>
      <w:r w:rsidRPr="00B24721">
        <w:rPr>
          <w:rFonts w:ascii="Arial" w:eastAsia="Calibri" w:hAnsi="Arial" w:cs="Arial"/>
          <w:sz w:val="24"/>
        </w:rPr>
        <w:t>i.p</w:t>
      </w:r>
      <w:proofErr w:type="spellEnd"/>
      <w:r w:rsidRPr="00B24721">
        <w:rPr>
          <w:rFonts w:ascii="Arial" w:eastAsia="Calibri" w:hAnsi="Arial" w:cs="Arial"/>
          <w:sz w:val="24"/>
        </w:rPr>
        <w:t xml:space="preserve">.) also significantly increased the duration of immobility. The most pronounced depressive effect of </w:t>
      </w:r>
      <w:proofErr w:type="spellStart"/>
      <w:r w:rsidRPr="00B24721">
        <w:rPr>
          <w:rFonts w:ascii="Arial" w:eastAsia="Calibri" w:hAnsi="Arial" w:cs="Arial"/>
          <w:i/>
          <w:iCs/>
          <w:sz w:val="24"/>
        </w:rPr>
        <w:t>Diospyros</w:t>
      </w:r>
      <w:proofErr w:type="spellEnd"/>
      <w:r w:rsidRPr="00B24721">
        <w:rPr>
          <w:rFonts w:ascii="Arial" w:eastAsia="Calibri" w:hAnsi="Arial" w:cs="Arial"/>
          <w:i/>
          <w:iCs/>
          <w:sz w:val="24"/>
        </w:rPr>
        <w:t xml:space="preserve"> </w:t>
      </w:r>
      <w:proofErr w:type="spellStart"/>
      <w:r w:rsidRPr="00B24721">
        <w:rPr>
          <w:rFonts w:ascii="Arial" w:eastAsia="Calibri" w:hAnsi="Arial" w:cs="Arial"/>
          <w:i/>
          <w:iCs/>
          <w:sz w:val="24"/>
        </w:rPr>
        <w:t>Malabarica</w:t>
      </w:r>
      <w:proofErr w:type="spellEnd"/>
      <w:r w:rsidRPr="00B24721">
        <w:rPr>
          <w:rFonts w:ascii="Arial" w:eastAsia="Calibri" w:hAnsi="Arial" w:cs="Arial"/>
          <w:sz w:val="24"/>
        </w:rPr>
        <w:t xml:space="preserve"> was observed at a dose of 200 mg/kg (Table </w:t>
      </w:r>
      <w:r w:rsidR="00CA699B">
        <w:rPr>
          <w:rFonts w:ascii="Arial" w:eastAsia="Calibri" w:hAnsi="Arial" w:cs="Arial"/>
          <w:sz w:val="24"/>
        </w:rPr>
        <w:t>6</w:t>
      </w:r>
      <w:r w:rsidRPr="00B24721">
        <w:rPr>
          <w:rFonts w:ascii="Arial" w:eastAsia="Calibri" w:hAnsi="Arial" w:cs="Arial"/>
          <w:sz w:val="24"/>
        </w:rPr>
        <w:t>).</w:t>
      </w:r>
    </w:p>
    <w:p w14:paraId="375A3331" w14:textId="3B1DB1E3" w:rsidR="00FB4370" w:rsidRPr="00B24721" w:rsidRDefault="00FB4370" w:rsidP="00FB4370">
      <w:pPr>
        <w:jc w:val="center"/>
        <w:rPr>
          <w:rFonts w:ascii="Arial" w:eastAsia="Yu Mincho" w:hAnsi="Arial" w:cs="Arial"/>
          <w:b/>
          <w:bCs/>
          <w:kern w:val="2"/>
          <w:sz w:val="24"/>
          <w:szCs w:val="24"/>
          <w:lang w:eastAsia="ja-JP"/>
          <w14:ligatures w14:val="standardContextual"/>
        </w:rPr>
      </w:pPr>
      <w:r w:rsidRPr="00B24721">
        <w:rPr>
          <w:rFonts w:ascii="Arial" w:eastAsia="Yu Mincho" w:hAnsi="Arial" w:cs="Arial"/>
          <w:b/>
          <w:bCs/>
          <w:kern w:val="2"/>
          <w:sz w:val="24"/>
          <w:szCs w:val="24"/>
          <w:lang w:eastAsia="ja-JP"/>
          <w14:ligatures w14:val="standardContextual"/>
        </w:rPr>
        <w:t xml:space="preserve">Table </w:t>
      </w:r>
      <w:r w:rsidR="00CA699B">
        <w:rPr>
          <w:rFonts w:ascii="Arial" w:eastAsia="Yu Mincho" w:hAnsi="Arial" w:cs="Arial"/>
          <w:b/>
          <w:bCs/>
          <w:kern w:val="2"/>
          <w:sz w:val="24"/>
          <w:szCs w:val="24"/>
          <w:lang w:eastAsia="ja-JP"/>
          <w14:ligatures w14:val="standardContextual"/>
        </w:rPr>
        <w:t>6</w:t>
      </w:r>
      <w:r w:rsidRPr="00B24721">
        <w:rPr>
          <w:rFonts w:ascii="Arial" w:eastAsia="Yu Mincho" w:hAnsi="Arial" w:cs="Arial"/>
          <w:b/>
          <w:bCs/>
          <w:kern w:val="2"/>
          <w:sz w:val="24"/>
          <w:szCs w:val="24"/>
          <w:lang w:eastAsia="ja-JP"/>
          <w14:ligatures w14:val="standardContextual"/>
        </w:rPr>
        <w:t>. Effect of ME</w:t>
      </w:r>
      <w:r w:rsidR="0086220F" w:rsidRPr="00B24721">
        <w:rPr>
          <w:rFonts w:ascii="Arial" w:eastAsia="Yu Mincho" w:hAnsi="Arial" w:cs="Arial"/>
          <w:b/>
          <w:bCs/>
          <w:kern w:val="2"/>
          <w:sz w:val="24"/>
          <w:szCs w:val="24"/>
          <w:lang w:eastAsia="ja-JP"/>
          <w14:ligatures w14:val="standardContextual"/>
        </w:rPr>
        <w:t>DM</w:t>
      </w:r>
      <w:r w:rsidRPr="00B24721">
        <w:rPr>
          <w:rFonts w:ascii="Arial" w:eastAsia="Yu Mincho" w:hAnsi="Arial" w:cs="Arial"/>
          <w:b/>
          <w:bCs/>
          <w:kern w:val="2"/>
          <w:sz w:val="24"/>
          <w:szCs w:val="24"/>
          <w:lang w:eastAsia="ja-JP"/>
          <w14:ligatures w14:val="standardContextual"/>
        </w:rPr>
        <w:t xml:space="preserve"> on Forced Swimming Test</w:t>
      </w:r>
      <w:bookmarkEnd w:id="19"/>
      <w:r w:rsidRPr="00B24721">
        <w:rPr>
          <w:rFonts w:ascii="Arial" w:eastAsia="Yu Mincho" w:hAnsi="Arial" w:cs="Arial"/>
          <w:b/>
          <w:bCs/>
          <w:kern w:val="2"/>
          <w:sz w:val="24"/>
          <w:szCs w:val="24"/>
          <w:lang w:eastAsia="ja-JP"/>
          <w14:ligatures w14:val="standardContextual"/>
        </w:rPr>
        <w:t xml:space="preserve">  </w:t>
      </w:r>
    </w:p>
    <w:tbl>
      <w:tblPr>
        <w:tblStyle w:val="TableGrid2"/>
        <w:tblW w:w="0" w:type="auto"/>
        <w:tblLook w:val="04A0" w:firstRow="1" w:lastRow="0" w:firstColumn="1" w:lastColumn="0" w:noHBand="0" w:noVBand="1"/>
      </w:tblPr>
      <w:tblGrid>
        <w:gridCol w:w="3116"/>
        <w:gridCol w:w="3117"/>
        <w:gridCol w:w="3117"/>
      </w:tblGrid>
      <w:tr w:rsidR="00FB4370" w:rsidRPr="00B24721" w14:paraId="72466D08" w14:textId="77777777" w:rsidTr="00E05C20">
        <w:tc>
          <w:tcPr>
            <w:tcW w:w="3116" w:type="dxa"/>
          </w:tcPr>
          <w:p w14:paraId="1A6AA935"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Treatment</w:t>
            </w:r>
          </w:p>
        </w:tc>
        <w:tc>
          <w:tcPr>
            <w:tcW w:w="3117" w:type="dxa"/>
          </w:tcPr>
          <w:p w14:paraId="08EA17E5"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Dose (mg/kg)</w:t>
            </w:r>
          </w:p>
        </w:tc>
        <w:tc>
          <w:tcPr>
            <w:tcW w:w="3117" w:type="dxa"/>
          </w:tcPr>
          <w:p w14:paraId="17A3642A"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mobility time (s)</w:t>
            </w:r>
          </w:p>
        </w:tc>
      </w:tr>
      <w:tr w:rsidR="00FB4370" w:rsidRPr="00B24721" w14:paraId="11553298" w14:textId="77777777" w:rsidTr="00E05C20">
        <w:tc>
          <w:tcPr>
            <w:tcW w:w="3116" w:type="dxa"/>
          </w:tcPr>
          <w:p w14:paraId="12D1BA94"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Control</w:t>
            </w:r>
          </w:p>
        </w:tc>
        <w:tc>
          <w:tcPr>
            <w:tcW w:w="3117" w:type="dxa"/>
          </w:tcPr>
          <w:p w14:paraId="12EF7E2F"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0.1mL/mice</w:t>
            </w:r>
          </w:p>
        </w:tc>
        <w:tc>
          <w:tcPr>
            <w:tcW w:w="3117" w:type="dxa"/>
          </w:tcPr>
          <w:p w14:paraId="08C89051" w14:textId="57467831" w:rsidR="00FB4370" w:rsidRPr="00B24721" w:rsidRDefault="00FB4370" w:rsidP="00FB4370">
            <w:pPr>
              <w:jc w:val="center"/>
              <w:rPr>
                <w:rFonts w:ascii="Arial" w:hAnsi="Arial" w:cs="Arial"/>
                <w:sz w:val="24"/>
                <w:szCs w:val="24"/>
              </w:rPr>
            </w:pPr>
            <w:r w:rsidRPr="00B24721">
              <w:rPr>
                <w:rFonts w:ascii="Arial" w:hAnsi="Arial" w:cs="Arial"/>
                <w:sz w:val="24"/>
                <w:szCs w:val="24"/>
              </w:rPr>
              <w:t>2</w:t>
            </w:r>
            <w:r w:rsidR="0086220F" w:rsidRPr="00B24721">
              <w:rPr>
                <w:rFonts w:ascii="Arial" w:hAnsi="Arial" w:cs="Arial"/>
                <w:sz w:val="24"/>
                <w:szCs w:val="24"/>
              </w:rPr>
              <w:t>4</w:t>
            </w:r>
            <w:r w:rsidRPr="00B24721">
              <w:rPr>
                <w:rFonts w:ascii="Arial" w:hAnsi="Arial" w:cs="Arial"/>
                <w:sz w:val="24"/>
                <w:szCs w:val="24"/>
              </w:rPr>
              <w:t>.</w:t>
            </w:r>
            <w:r w:rsidR="0086220F" w:rsidRPr="00B24721">
              <w:rPr>
                <w:rFonts w:ascii="Arial" w:hAnsi="Arial" w:cs="Arial"/>
                <w:sz w:val="24"/>
                <w:szCs w:val="24"/>
              </w:rPr>
              <w:t>49</w:t>
            </w:r>
            <w:r w:rsidRPr="00B24721">
              <w:rPr>
                <w:rFonts w:ascii="Arial" w:hAnsi="Arial" w:cs="Arial"/>
                <w:sz w:val="24"/>
                <w:szCs w:val="24"/>
              </w:rPr>
              <w:t>±1.2</w:t>
            </w:r>
            <w:r w:rsidR="0086220F" w:rsidRPr="00B24721">
              <w:rPr>
                <w:rFonts w:ascii="Arial" w:hAnsi="Arial" w:cs="Arial"/>
                <w:sz w:val="24"/>
                <w:szCs w:val="24"/>
              </w:rPr>
              <w:t>2</w:t>
            </w:r>
          </w:p>
        </w:tc>
      </w:tr>
      <w:tr w:rsidR="00FB4370" w:rsidRPr="00B24721" w14:paraId="0BE33FDB" w14:textId="77777777" w:rsidTr="00E05C20">
        <w:tc>
          <w:tcPr>
            <w:tcW w:w="3116" w:type="dxa"/>
          </w:tcPr>
          <w:p w14:paraId="0C82A96B"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Diazepam</w:t>
            </w:r>
          </w:p>
        </w:tc>
        <w:tc>
          <w:tcPr>
            <w:tcW w:w="3117" w:type="dxa"/>
          </w:tcPr>
          <w:p w14:paraId="0BAA2A31"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1</w:t>
            </w:r>
          </w:p>
        </w:tc>
        <w:tc>
          <w:tcPr>
            <w:tcW w:w="3117" w:type="dxa"/>
          </w:tcPr>
          <w:p w14:paraId="1A2155BF" w14:textId="5EC665F1" w:rsidR="00FB4370" w:rsidRPr="00B24721" w:rsidRDefault="00FB4370" w:rsidP="00FB4370">
            <w:pPr>
              <w:jc w:val="center"/>
              <w:rPr>
                <w:rFonts w:ascii="Arial" w:hAnsi="Arial" w:cs="Arial"/>
                <w:sz w:val="24"/>
                <w:szCs w:val="24"/>
              </w:rPr>
            </w:pPr>
            <w:r w:rsidRPr="00B24721">
              <w:rPr>
                <w:rFonts w:ascii="Arial" w:hAnsi="Arial" w:cs="Arial"/>
                <w:sz w:val="24"/>
                <w:szCs w:val="24"/>
              </w:rPr>
              <w:t>9</w:t>
            </w:r>
            <w:r w:rsidR="0086220F" w:rsidRPr="00B24721">
              <w:rPr>
                <w:rFonts w:ascii="Arial" w:hAnsi="Arial" w:cs="Arial"/>
                <w:sz w:val="24"/>
                <w:szCs w:val="24"/>
              </w:rPr>
              <w:t>3</w:t>
            </w:r>
            <w:r w:rsidRPr="00B24721">
              <w:rPr>
                <w:rFonts w:ascii="Arial" w:hAnsi="Arial" w:cs="Arial"/>
                <w:sz w:val="24"/>
                <w:szCs w:val="24"/>
              </w:rPr>
              <w:t>.6</w:t>
            </w:r>
            <w:r w:rsidR="0086220F" w:rsidRPr="00B24721">
              <w:rPr>
                <w:rFonts w:ascii="Arial" w:hAnsi="Arial" w:cs="Arial"/>
                <w:sz w:val="24"/>
                <w:szCs w:val="24"/>
              </w:rPr>
              <w:t>4</w:t>
            </w:r>
            <w:r w:rsidRPr="00B24721">
              <w:rPr>
                <w:rFonts w:ascii="Arial" w:hAnsi="Arial" w:cs="Arial"/>
                <w:sz w:val="24"/>
                <w:szCs w:val="24"/>
              </w:rPr>
              <w:t>±1.</w:t>
            </w:r>
            <w:r w:rsidR="0086220F" w:rsidRPr="00B24721">
              <w:rPr>
                <w:rFonts w:ascii="Arial" w:hAnsi="Arial" w:cs="Arial"/>
                <w:sz w:val="24"/>
                <w:szCs w:val="24"/>
              </w:rPr>
              <w:t>08</w:t>
            </w:r>
          </w:p>
        </w:tc>
      </w:tr>
      <w:tr w:rsidR="00FB4370" w:rsidRPr="00B24721" w14:paraId="05562C2B" w14:textId="77777777" w:rsidTr="00E05C20">
        <w:tc>
          <w:tcPr>
            <w:tcW w:w="3116" w:type="dxa"/>
          </w:tcPr>
          <w:p w14:paraId="28156244" w14:textId="269A1CF6" w:rsidR="00FB4370" w:rsidRPr="00B24721" w:rsidRDefault="00FB4370" w:rsidP="00FB4370">
            <w:pPr>
              <w:jc w:val="center"/>
              <w:rPr>
                <w:rFonts w:ascii="Arial" w:hAnsi="Arial" w:cs="Arial"/>
                <w:sz w:val="24"/>
                <w:szCs w:val="24"/>
              </w:rPr>
            </w:pPr>
            <w:r w:rsidRPr="00B24721">
              <w:rPr>
                <w:rFonts w:ascii="Arial" w:hAnsi="Arial" w:cs="Arial"/>
                <w:sz w:val="24"/>
                <w:szCs w:val="24"/>
              </w:rPr>
              <w:t>ME</w:t>
            </w:r>
            <w:r w:rsidR="0086220F" w:rsidRPr="00B24721">
              <w:rPr>
                <w:rFonts w:ascii="Arial" w:hAnsi="Arial" w:cs="Arial"/>
                <w:sz w:val="24"/>
                <w:szCs w:val="24"/>
              </w:rPr>
              <w:t>DM</w:t>
            </w:r>
          </w:p>
        </w:tc>
        <w:tc>
          <w:tcPr>
            <w:tcW w:w="3117" w:type="dxa"/>
          </w:tcPr>
          <w:p w14:paraId="57679CE6"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200</w:t>
            </w:r>
          </w:p>
        </w:tc>
        <w:tc>
          <w:tcPr>
            <w:tcW w:w="3117" w:type="dxa"/>
          </w:tcPr>
          <w:p w14:paraId="3CFB075C" w14:textId="3CF60CE1" w:rsidR="00FB4370" w:rsidRPr="00B24721" w:rsidRDefault="00FB4370" w:rsidP="00FB4370">
            <w:pPr>
              <w:jc w:val="center"/>
              <w:rPr>
                <w:rFonts w:ascii="Arial" w:hAnsi="Arial" w:cs="Arial"/>
                <w:sz w:val="24"/>
                <w:szCs w:val="24"/>
              </w:rPr>
            </w:pPr>
            <w:r w:rsidRPr="00B24721">
              <w:rPr>
                <w:rFonts w:ascii="Arial" w:hAnsi="Arial" w:cs="Arial"/>
                <w:sz w:val="24"/>
                <w:szCs w:val="24"/>
              </w:rPr>
              <w:t>6</w:t>
            </w:r>
            <w:r w:rsidR="0086220F" w:rsidRPr="00B24721">
              <w:rPr>
                <w:rFonts w:ascii="Arial" w:hAnsi="Arial" w:cs="Arial"/>
                <w:sz w:val="24"/>
                <w:szCs w:val="24"/>
              </w:rPr>
              <w:t>3</w:t>
            </w:r>
            <w:r w:rsidRPr="00B24721">
              <w:rPr>
                <w:rFonts w:ascii="Arial" w:hAnsi="Arial" w:cs="Arial"/>
                <w:sz w:val="24"/>
                <w:szCs w:val="24"/>
              </w:rPr>
              <w:t>.00±1.0</w:t>
            </w:r>
            <w:r w:rsidR="0086220F" w:rsidRPr="00B24721">
              <w:rPr>
                <w:rFonts w:ascii="Arial" w:hAnsi="Arial" w:cs="Arial"/>
                <w:sz w:val="24"/>
                <w:szCs w:val="24"/>
              </w:rPr>
              <w:t>3</w:t>
            </w:r>
          </w:p>
        </w:tc>
      </w:tr>
      <w:tr w:rsidR="00FB4370" w:rsidRPr="00B24721" w14:paraId="20957A11" w14:textId="77777777" w:rsidTr="00E05C20">
        <w:tc>
          <w:tcPr>
            <w:tcW w:w="3116" w:type="dxa"/>
          </w:tcPr>
          <w:p w14:paraId="55E915A2" w14:textId="251426DA" w:rsidR="00FB4370" w:rsidRPr="00B24721" w:rsidRDefault="00FB4370" w:rsidP="00FB4370">
            <w:pPr>
              <w:jc w:val="center"/>
              <w:rPr>
                <w:rFonts w:ascii="Arial" w:hAnsi="Arial" w:cs="Arial"/>
                <w:sz w:val="24"/>
                <w:szCs w:val="24"/>
              </w:rPr>
            </w:pPr>
            <w:r w:rsidRPr="00B24721">
              <w:rPr>
                <w:rFonts w:ascii="Arial" w:hAnsi="Arial" w:cs="Arial"/>
                <w:sz w:val="24"/>
                <w:szCs w:val="24"/>
              </w:rPr>
              <w:t>ME</w:t>
            </w:r>
            <w:r w:rsidR="0086220F" w:rsidRPr="00B24721">
              <w:rPr>
                <w:rFonts w:ascii="Arial" w:hAnsi="Arial" w:cs="Arial"/>
                <w:sz w:val="24"/>
                <w:szCs w:val="24"/>
              </w:rPr>
              <w:t>DM</w:t>
            </w:r>
          </w:p>
        </w:tc>
        <w:tc>
          <w:tcPr>
            <w:tcW w:w="3117" w:type="dxa"/>
          </w:tcPr>
          <w:p w14:paraId="69EFC18A" w14:textId="77777777" w:rsidR="00FB4370" w:rsidRPr="00B24721" w:rsidRDefault="00FB4370" w:rsidP="00FB4370">
            <w:pPr>
              <w:jc w:val="center"/>
              <w:rPr>
                <w:rFonts w:ascii="Arial" w:hAnsi="Arial" w:cs="Arial"/>
                <w:sz w:val="24"/>
                <w:szCs w:val="24"/>
              </w:rPr>
            </w:pPr>
            <w:r w:rsidRPr="00B24721">
              <w:rPr>
                <w:rFonts w:ascii="Arial" w:hAnsi="Arial" w:cs="Arial"/>
                <w:sz w:val="24"/>
                <w:szCs w:val="24"/>
              </w:rPr>
              <w:t>400</w:t>
            </w:r>
          </w:p>
        </w:tc>
        <w:tc>
          <w:tcPr>
            <w:tcW w:w="3117" w:type="dxa"/>
          </w:tcPr>
          <w:p w14:paraId="2DE0B53C" w14:textId="3465BF04" w:rsidR="00FB4370" w:rsidRPr="00B24721" w:rsidRDefault="0086220F" w:rsidP="00FB4370">
            <w:pPr>
              <w:jc w:val="center"/>
              <w:rPr>
                <w:rFonts w:ascii="Arial" w:hAnsi="Arial" w:cs="Arial"/>
                <w:sz w:val="24"/>
                <w:szCs w:val="24"/>
              </w:rPr>
            </w:pPr>
            <w:r w:rsidRPr="00B24721">
              <w:rPr>
                <w:rFonts w:ascii="Arial" w:hAnsi="Arial" w:cs="Arial"/>
                <w:sz w:val="24"/>
                <w:szCs w:val="24"/>
              </w:rPr>
              <w:t>86</w:t>
            </w:r>
            <w:r w:rsidR="00FB4370" w:rsidRPr="00B24721">
              <w:rPr>
                <w:rFonts w:ascii="Arial" w:hAnsi="Arial" w:cs="Arial"/>
                <w:sz w:val="24"/>
                <w:szCs w:val="24"/>
              </w:rPr>
              <w:t>.4</w:t>
            </w:r>
            <w:r w:rsidRPr="00B24721">
              <w:rPr>
                <w:rFonts w:ascii="Arial" w:hAnsi="Arial" w:cs="Arial"/>
                <w:sz w:val="24"/>
                <w:szCs w:val="24"/>
              </w:rPr>
              <w:t>1</w:t>
            </w:r>
            <w:r w:rsidR="00FB4370" w:rsidRPr="00B24721">
              <w:rPr>
                <w:rFonts w:ascii="Arial" w:hAnsi="Arial" w:cs="Arial"/>
                <w:sz w:val="24"/>
                <w:szCs w:val="24"/>
              </w:rPr>
              <w:t>±0.</w:t>
            </w:r>
            <w:r w:rsidRPr="00B24721">
              <w:rPr>
                <w:rFonts w:ascii="Arial" w:hAnsi="Arial" w:cs="Arial"/>
                <w:sz w:val="24"/>
                <w:szCs w:val="24"/>
              </w:rPr>
              <w:t>6</w:t>
            </w:r>
          </w:p>
        </w:tc>
      </w:tr>
    </w:tbl>
    <w:p w14:paraId="40AD3E70" w14:textId="77777777" w:rsidR="00E606AB" w:rsidRPr="00B24721" w:rsidRDefault="00E606AB" w:rsidP="004D3542">
      <w:pPr>
        <w:jc w:val="both"/>
        <w:rPr>
          <w:rFonts w:ascii="Arial" w:hAnsi="Arial" w:cs="Arial"/>
        </w:rPr>
      </w:pPr>
    </w:p>
    <w:p w14:paraId="1011A04C" w14:textId="69F77D9E" w:rsidR="005F735A" w:rsidRPr="00B24721" w:rsidRDefault="00184B4F" w:rsidP="004D3542">
      <w:pPr>
        <w:jc w:val="both"/>
        <w:rPr>
          <w:rFonts w:ascii="Arial" w:hAnsi="Arial" w:cs="Arial"/>
          <w:b/>
          <w:bCs/>
        </w:rPr>
      </w:pPr>
      <w:r w:rsidRPr="00B24721">
        <w:rPr>
          <w:rFonts w:ascii="Arial" w:hAnsi="Arial" w:cs="Arial"/>
          <w:b/>
          <w:bCs/>
        </w:rPr>
        <w:t xml:space="preserve">5. </w:t>
      </w:r>
      <w:r w:rsidR="00970BE1" w:rsidRPr="00B24721">
        <w:rPr>
          <w:rFonts w:ascii="Arial" w:hAnsi="Arial" w:cs="Arial"/>
          <w:b/>
          <w:bCs/>
        </w:rPr>
        <w:t>Discussion:</w:t>
      </w:r>
    </w:p>
    <w:p w14:paraId="4B86D4FF" w14:textId="4048CC7E" w:rsidR="000C468F" w:rsidRPr="00B24721" w:rsidRDefault="000C468F" w:rsidP="004D3542">
      <w:pPr>
        <w:jc w:val="both"/>
        <w:rPr>
          <w:rFonts w:ascii="Arial" w:hAnsi="Arial" w:cs="Arial"/>
        </w:rPr>
      </w:pPr>
      <w:r w:rsidRPr="00B24721">
        <w:rPr>
          <w:rFonts w:ascii="Arial" w:hAnsi="Arial" w:cs="Arial"/>
        </w:rPr>
        <w:t xml:space="preserve">Building on the in-depth pharmacological assessment of the methanolic extract of </w:t>
      </w:r>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i/>
          <w:iCs/>
        </w:rPr>
        <w:t xml:space="preserve"> </w:t>
      </w:r>
      <w:r w:rsidRPr="00B24721">
        <w:rPr>
          <w:rFonts w:ascii="Arial" w:hAnsi="Arial" w:cs="Arial"/>
        </w:rPr>
        <w:t xml:space="preserve">(MEDM), the bioactivity observed can be mechanistically attributed to a wide range of phytochemical compounds, which include flavonoids, tannins, terpenoids, and alkaloids. Individual and synergistic actions of these classes of compounds exert considerable anticancer, antimicrobial, </w:t>
      </w:r>
      <w:proofErr w:type="spellStart"/>
      <w:r w:rsidRPr="00B24721">
        <w:rPr>
          <w:rFonts w:ascii="Arial" w:hAnsi="Arial" w:cs="Arial"/>
        </w:rPr>
        <w:t>antisickling</w:t>
      </w:r>
      <w:proofErr w:type="spellEnd"/>
      <w:r w:rsidRPr="00B24721">
        <w:rPr>
          <w:rFonts w:ascii="Arial" w:hAnsi="Arial" w:cs="Arial"/>
        </w:rPr>
        <w:t xml:space="preserve"> and </w:t>
      </w:r>
      <w:proofErr w:type="spellStart"/>
      <w:r w:rsidRPr="00B24721">
        <w:rPr>
          <w:rFonts w:ascii="Arial" w:hAnsi="Arial" w:cs="Arial"/>
        </w:rPr>
        <w:t>neuropharmacological</w:t>
      </w:r>
      <w:proofErr w:type="spellEnd"/>
      <w:r w:rsidRPr="00B24721">
        <w:rPr>
          <w:rFonts w:ascii="Arial" w:hAnsi="Arial" w:cs="Arial"/>
        </w:rPr>
        <w:t xml:space="preserve"> activity</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{"citationItems":[{"id":"ITEM-1","itemData":{"DOI":"10.9734/jamps/2023/v25i8630","abstract":"Aims: This study was designed to investigate the effects of leaf extracts of Diospyros malabarica plant (EEDML) on a number of in vitro activities, including antibacterial, anti-inflammatory, cytotoxic, and thrombolytic activities, as well as in vivo analgesic activities.\r Place and Duration of Study: The Laboratory of Phytochemistry and Pharmacology at the Department of Pharmacy and the Laboratory of Microbiology at Stamford University Bangladesh and the Bangladesh Council of Scientific and Industrial Research, Dhaka, conducted this investigation from January 2022 to June 2023.\r Methodology: The study employed the Egg Albumin Protein Denaturation Assay to evaluate the anti-inflammatory effects of various doses. The Disk Diffusion Method was employed for conducting an antimicrobial assay. Different tests were conducted to evaluate the effects of thrombolytic and cytotoxic substances. These tests included the Clot Lysis assay and the Brine Shrimp Lethality Assay. In-vivo analgesic testing was conducted using the hot plate method and the acetic acid-induced writhing test.\r Results: The experimental tests showed significant pain-relieving effects, with inhibition percentages of 46.2% and 66.61% observed at doses of 200 and 400 mg/kg, respectively. The anti-inflammatory test showed a significant inhibition of EEDML at a concentration of 1000μg/mL, with an inhibition rate of 85.45%. The antimicrobial test showed a moderate antimicrobial effect, with a zone of inhibition ranging from 07-15, depending on the microorganism and dosage. The thrombolytic test showed a clot lysis rate of 85.37%, while the cytotoxic test indicated an LC50 value of 1.47.\r Conclusion: EEDML's phytochemical displays strong pharmacological properties, suggesting its potential for drug discovery in diverse areas.","author":[{"dropping-particle":"","family":"Chowdhury","given":"Maria","non-dropping-particle":"","parse-names":false,"suffix":""},{"dropping-particle":"","family":"Sultana","given":"Lamia Akter","non-dropping-particle":"","parse-names":false,"suffix":""},{"dropping-particle":"","family":"Joya","given":"Azijun Chowdhury","non-dropping-particle":"","parse-names":false,"suffix":""},{"dropping-particle":"","family":"Shomudro","given":"Hasib Khan","non-dropping-particle":"","parse-names":false,"suffix":""}],"container-title":"Journal of Advances in Medical and Pharmaceutical Sciences","id":"ITEM-1","issue":"8","issued":{"date-parts":[["2023"]]},"page":"1-11","title":"Pharmacological Investigation of In-vitro Anti-inflammatory, Antimicrobial, Thrombolytic, Cytotoxic and In vivo Analgesic Activities of Ethanolic Leaf Extract of Diospyros malabarica","type":"article-journal","volume":"25"},"uris":["http://www.mendeley.com/documents/?uuid=5851eddc-4ec2-44cb-b05f-38bfe6e1eb82"]}],"mendeley":{"formattedCitation":"(Chowdhury et al., 2023)","plainTextFormattedCitation":"(Chowdhury et al., 2023)","previouslyFormattedCitation":"(Chowdhury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(Chowdhury et al., 2023)</w:t>
      </w:r>
      <w:r w:rsidR="00291D5E" w:rsidRPr="00B24721">
        <w:rPr>
          <w:rFonts w:ascii="Arial" w:hAnsi="Arial" w:cs="Arial"/>
        </w:rPr>
        <w:fldChar w:fldCharType="end"/>
      </w:r>
      <w:r w:rsidRPr="00B24721">
        <w:rPr>
          <w:rFonts w:ascii="Arial" w:hAnsi="Arial" w:cs="Arial"/>
        </w:rPr>
        <w:t>.</w:t>
      </w:r>
    </w:p>
    <w:p w14:paraId="2FDE63E8" w14:textId="54B65B73" w:rsidR="000C468F" w:rsidRPr="00B24721" w:rsidRDefault="000C468F" w:rsidP="004D3542">
      <w:pPr>
        <w:jc w:val="both"/>
        <w:rPr>
          <w:rFonts w:ascii="Arial" w:hAnsi="Arial" w:cs="Arial"/>
        </w:rPr>
      </w:pPr>
      <w:r w:rsidRPr="00B24721">
        <w:rPr>
          <w:rFonts w:ascii="Arial" w:hAnsi="Arial" w:cs="Arial"/>
        </w:rPr>
        <w:t xml:space="preserve">The notable anticancer effect against HeLa cells, evidenced by a clear dose-related increase in the cell inhibition (from 9.31% at 125 µg/mL to 49.16% at 1000 µg/mL), and by the observed morphological changes, may be an effect of the pro-apoptotic and anti-proliferative actions of the flavonoids and terpenoids in the extract. As previously stated, flavonoids are known to induce apoptosis by inducing pro-apoptotic proteins such as Bax and inhibiting anti-apoptotic </w:t>
      </w:r>
      <w:r w:rsidRPr="00B24721">
        <w:rPr>
          <w:rFonts w:ascii="Arial" w:hAnsi="Arial" w:cs="Arial"/>
        </w:rPr>
        <w:lastRenderedPageBreak/>
        <w:t>proteins such as Bcl-2 while generating reactive oxygen species (ROS) leading to oxidative stress and DNA damage within the cancer cells</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{"citationItems":[{"id":"ITEM-1","itemData":{"DOI":"10.9734/jalsi/2024/v27i6660","abstract":"Aim: Research findings indicate that MEPSL exhibits Very significant anthelmintic, antidiabetic, and moderate toxicological properties. They may endorse the plant's utilization in mainstream medicine for reducing drug intoxication, and managing diabetes and parasitic disorders.\r Place and Duration of Study: The research was undertaken at Stamford University Bangladesh during the period from September 6th, 2023 to April 28th, 2024.\r Methodology: The current study examined the properties of Polyscias scutellaria leaf, including its In vitro anthelminthic, In vivo antidiabetic, and toxicological effects, using a crude methanol extract. The leaf powder of the dried plant was extracted using methanol. After phytochemical screening, the methanolic extract (MEPSL) underwent additional testing to evaluate its anthelminthic, antidiabetic, and toxicological activities. The earthworm assay was utilized to conduct anthelminthic testing with various concentrations. A study was conducted on Swiss albino mice to evaluate the antidiabetic effects. The Blood Glucose Determination test was performed using doses of 150 mg/kg and 300 mg/kg.  The toxicological tests for acute toxicity were conducted using cinnamon oil at doses of 3000, 5000, and 7000 mg/kg.  During the phytochemical screening process, compounds such as carbohydrates, alkaloids, glycosides, saponins, flavonoids, and reducing sugars were found in MEPSL. \r Results: According to the MEPSL findings, the earthworm met its demise after 30 minutes and 24 seconds during the 100 mg/mL anthelminthic test. In contrast, Albendazole took a significantly longer time of 38 minutes and 18 seconds to achieve the same result.  MEPSL showed a remarkable reduction in blood glucose levels compared to the standard Glibenclamide. In toxicological testing, a dosage of 5000 mg/kg resulted in the mortality of 3 out of 5 mice, while the application of cinnamon oil led to the death of all 5 mice within 24 hours.\r Conclusion: Research findings suggest that MEPSL possesses highly significant anthelmintic and antidiabetic properties, along with moderate toxicological effects. These findings may support the integration of the plant into conventional medicine for mitigating drug toxicity and treating diabetes and parasitic infections.","author":[{"dropping-particle":"","family":"Akter","given":"Jakiya","non-dropping-particle":"","parse-names":false,"suffix":""},{"dropping-particle":"","family":"Nazim","given":"Nafiza Binte","non-dropping-particle":"","parse-names":false,"suffix":""},{"dropping-particle":"","family":"Uddin","given":"Md. Salah","non-dropping-particle":"","parse-names":false,"suffix":""},{"dropping-particle":"","family":"Shomudro","given":"Hasib Khan","non-dropping-particle":"","parse-names":false,"suffix":""}],"container-title":"Journal of Applied Life Sciences International","id":"ITEM-1","issue":"6","issued":{"date-parts":[["2024"]]},"page":"1-9","title":"Phytochemical Characterization and Investigation of Anthelminthic, Antidiabetic, and Toxicological Effects of Polyscias scutellaria","type":"article-journal","volume":"27"},"uris":["http://www.mendeley.com/documents/?uuid=14b812e8-7c52-46f5-b768-bb5cc8ea7a2f"]}],"mendeley":{"formattedCitation":"(Akter, Nazim, et al., 2024)","plainTextFormattedCitation":"(Akter, Nazim, et al., 2024)","previouslyFormattedCitation":"(Akter, Nazim, et al., 2024)"},"properties":{"noteIndex":0},"schema":"https://github.com/citation-style-language/schema/raw/master/csl-citation.json"}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(Akter, Nazim, et al., 2024)</w:t>
      </w:r>
      <w:r w:rsidR="00291D5E" w:rsidRPr="00B24721">
        <w:rPr>
          <w:rFonts w:ascii="Arial" w:hAnsi="Arial" w:cs="Arial"/>
        </w:rPr>
        <w:fldChar w:fldCharType="end"/>
      </w:r>
      <w:r w:rsidRPr="00B24721">
        <w:rPr>
          <w:rFonts w:ascii="Arial" w:hAnsi="Arial" w:cs="Arial"/>
        </w:rPr>
        <w:t>. The terpenoids may contribute through the inhibition of NF-</w:t>
      </w:r>
      <w:proofErr w:type="spellStart"/>
      <w:r w:rsidRPr="00B24721">
        <w:rPr>
          <w:rFonts w:ascii="Arial" w:hAnsi="Arial" w:cs="Arial"/>
        </w:rPr>
        <w:t>κB</w:t>
      </w:r>
      <w:proofErr w:type="spellEnd"/>
      <w:r w:rsidRPr="00B24721">
        <w:rPr>
          <w:rFonts w:ascii="Arial" w:hAnsi="Arial" w:cs="Arial"/>
        </w:rPr>
        <w:t xml:space="preserve"> or PI3K/</w:t>
      </w:r>
      <w:proofErr w:type="spellStart"/>
      <w:r w:rsidRPr="00B24721">
        <w:rPr>
          <w:rFonts w:ascii="Arial" w:hAnsi="Arial" w:cs="Arial"/>
        </w:rPr>
        <w:t>Akt</w:t>
      </w:r>
      <w:proofErr w:type="spellEnd"/>
      <w:r w:rsidRPr="00B24721">
        <w:rPr>
          <w:rFonts w:ascii="Arial" w:hAnsi="Arial" w:cs="Arial"/>
        </w:rPr>
        <w:t xml:space="preserve"> signaling; both are critical pathways controlling cell survival and proliferation. Finally, the phase contrast images demonstrating morphological changes like cell shrinkage and membrane blebbing provide visual support of the in vitro apoptotic cell death caused by the extract</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{"citationItems":[{"id":"ITEM-1","itemData":{"DOI":"10.9734/jsrr/2023/v29i31733","abstract":"Purpose: The purpose of this research was to examine the effects of Persicaria lapathifolia (Pale smartweed) leaf and bark extracts prepared with methanol on in vitro activities like antioxidant, antimicrobial, anti-arthritis, anti-inflammatory, and cytotoxic, as well as on some in vivo activities like analgesic and neuropharmacological properties in animal model.\r Methodology: The primary method for the methanolic extract of Persicaria lapathifolia leaf (MEPLL) and methanolic extract of Persicaria lapathifolia bark (MEPLB) were investigated for phytochemical screening. It was determined to look into the plant's potential for in vitro activities, such as phytochemical screening, antioxidant, anti-arthritis, anti-inflammatory, anti-bacterial, and cytotoxic, due to the pharmaceutical interest in its component parts. Its described effects on its in vivo analgesic and neuropharmacological activities in animal models are significant compared to the standard. This research was conducted between July 2022 and November 2022 in the Stamford University Bangladesh, Dhaka, Laboratory of Physiology and Pharmacology, Department of Pharmacy, and Laboratory of Microbiology. Antioxidant, anti-arthritic, anti-inflammatory, antibacterial, cytotoxic, analgesic, and neuropharmacological activities of MEPLL and MEPLB were investigated. Phytochemical screening was performed utilizing a variety of test reagents. Antioxidant, total phenolic content, anti-arthritic, anti-inflammatory, antibacterial, and cytotoxic activities were measured at various doses using the DPPH Free Radical Scavenging Assay, the Folin-Ciocalteu technique, the Inhibition of Protein Denaturation Assay, Egg Albumin Protein Denaturation Assay, the Disk Diffusion Method, and the Brine Shrimp Lethality Bioassay. The analgesic effectiveness was evaluated by using acetic acid to elicit writhing in Swiss albino mice and then testing the animals on a hot plate. Locomotor activity was measured by open field and hole cross tests as part of the neuropharmacological investigation.\r Results: Research performed on MEPLL and MEPLB's phytochemical screening yielded results that revealed the presence of a variety of different phytochemical components. In comparison to MEPLL's IC50 value of 1.49 µg/mL, MEPLB's value of 30.45 µg/mL indicates its superior antioxidant activity. Both extracts demonstrated significant anti-arthritic and anti-inflammatory effectiveness in comparison to the standard drug. When compared to MEPLB, M…","author":[{"dropping-particle":"","family":"Shaira","given":"Humaira Anzoom","non-dropping-particle":"","parse-names":false,"suffix":""},{"dropping-particle":"","family":"Shomudro","given":"Hasib Khan","non-dropping-particle":"","parse-names":false,"suffix":""},{"dropping-particle":"","family":"Chowdhury","given":"Sadia Afreen","non-dropping-particle":"","parse-names":false,"suffix":""}],"container-title":"Journal of Scientific Research and Reports","id":"ITEM-1","issue":"3","issued":{"date-parts":[["2023"]]},"page":"12-26","title":"In-vitro and In-vivo Pharmacological Evaluation of Persicaria lapathifolia Available in Bangladesh","type":"article-journal","volume":"29"},"uris":["http://www.mendeley.com/documents/?uuid=ca95b64b-1961-40e4-8e6d-ef679c707484"]}],"mendeley":{"formattedCitation":"(Shaira et al., 2023)","plainTextFormattedCitation":"(Shaira et al., 2023)","previouslyFormattedCitation":"(Shaira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(Shaira et al., 2023)</w:t>
      </w:r>
      <w:r w:rsidR="00291D5E" w:rsidRPr="00B24721">
        <w:rPr>
          <w:rFonts w:ascii="Arial" w:hAnsi="Arial" w:cs="Arial"/>
        </w:rPr>
        <w:fldChar w:fldCharType="end"/>
      </w:r>
      <w:r w:rsidRPr="00B24721">
        <w:rPr>
          <w:rFonts w:ascii="Arial" w:hAnsi="Arial" w:cs="Arial"/>
        </w:rPr>
        <w:t>.</w:t>
      </w:r>
    </w:p>
    <w:p w14:paraId="7F135DF1" w14:textId="364D6668" w:rsidR="000C468F" w:rsidRPr="00B24721" w:rsidRDefault="000C468F" w:rsidP="004D3542">
      <w:pPr>
        <w:jc w:val="both"/>
        <w:rPr>
          <w:rFonts w:ascii="Arial" w:hAnsi="Arial" w:cs="Arial"/>
        </w:rPr>
      </w:pPr>
      <w:r w:rsidRPr="00B24721">
        <w:rPr>
          <w:rFonts w:ascii="Arial" w:hAnsi="Arial" w:cs="Arial"/>
        </w:rPr>
        <w:t xml:space="preserve">The antimicrobial effect, which showed a dose-dependent increase in the zone of inhibition against both Gram-positive and Gram-negative bacteria (e.g., </w:t>
      </w:r>
      <w:r w:rsidRPr="00B24721">
        <w:rPr>
          <w:rFonts w:ascii="Arial" w:hAnsi="Arial" w:cs="Arial"/>
          <w:i/>
          <w:iCs/>
        </w:rPr>
        <w:t>Bacillus cereus</w:t>
      </w:r>
      <w:r w:rsidRPr="00B24721">
        <w:rPr>
          <w:rFonts w:ascii="Arial" w:hAnsi="Arial" w:cs="Arial"/>
        </w:rPr>
        <w:t xml:space="preserve">, 19 mm at 700 µg/disc) and fungi (e.g., </w:t>
      </w:r>
      <w:proofErr w:type="spellStart"/>
      <w:r w:rsidRPr="00B24721">
        <w:rPr>
          <w:rFonts w:ascii="Arial" w:hAnsi="Arial" w:cs="Arial"/>
          <w:i/>
          <w:iCs/>
        </w:rPr>
        <w:t>Penicillium</w:t>
      </w:r>
      <w:proofErr w:type="spellEnd"/>
      <w:r w:rsidRPr="00B24721">
        <w:rPr>
          <w:rFonts w:ascii="Arial" w:hAnsi="Arial" w:cs="Arial"/>
          <w:i/>
          <w:iCs/>
        </w:rPr>
        <w:t xml:space="preserve"> </w:t>
      </w:r>
      <w:proofErr w:type="spellStart"/>
      <w:r w:rsidRPr="00B24721">
        <w:rPr>
          <w:rFonts w:ascii="Arial" w:hAnsi="Arial" w:cs="Arial"/>
          <w:i/>
          <w:iCs/>
        </w:rPr>
        <w:t>chrysogenum</w:t>
      </w:r>
      <w:proofErr w:type="spellEnd"/>
      <w:r w:rsidRPr="00B24721">
        <w:rPr>
          <w:rFonts w:ascii="Arial" w:hAnsi="Arial" w:cs="Arial"/>
        </w:rPr>
        <w:t>, 14 mm at 700 µg/disc), was related to the effect of both tannins and flavonoids. Tannins disrupt microbial membranes by binding to proteins and enzymes, compromising the cell wall and leading to lysis. Flavonoids exert antimicrobial effects by chelating essential metals (i.e., iron), inhibiting energy metabolism, and intercalating into microbial DNA to prevent replication. The broader efficacy against Gram-positive bacteria is possibly due to the simple structure of the cell wall, making it more permeable to these phytochemicals than the complex outer membrane of Gram-negative organisms</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{"citationItems":[{"id":"ITEM-1","itemData":{"DOI":"10.9734/ajmah/2024/v22i71043","abstract":"The current study was set out to look into the anti-inflammatory, anti-fungal, cytotoxic, thrombolytic and membrane stabilizing activities of the methanolic extract from the leaf of Camellia chrysantha (Hu) Tuyama (MECCL). Primary evaluation of MECCL was performed via phytochemical screening.  Phytochemical analysis of the leaf extract revealed the presence of reducing sugar, flavonoids, alkaloids, and steroids. Anti-inflammatory activity test was done using egg albumin denaturation assay. In the result of MECCL’s anti-inflammatory test showed 88.88% compared to the standard acetyl salicylic acid 98.56%. The anti-fungal activity test was performed by Disc Diffusion method using zone of inhibition against four fungi. MECCL showed moderate antifungal activity compared to standard Griseofulvin against Aspergillus niger, Saccharomyces cerevisiae (yeast), Penicillium notatum. Zones of inhibition of the fungi Aspergillus niger, Saccharomyces cerevisiae (yeast), Penicillium notatum is 11mm, 14mm and 14mm at the concentration of 700 µg/disc, which is close to the standard Griseofulvin 19mm, 20mm, and 21mm respectively at 50 µg/disc concentration. Mucor hiemalis showed mild zone of inhibition in 300, 500, and 700 µg/disc (7mm). Brine Shrimp lethality bioassay method was used to test the lethality of the methanolic leaf extract. The extract showed significant cytotoxic activity against brine shrimp nauplii with LC50 value of 0.843 µg/mL when compared with the standard Vincristine sulphate (LC50 value: 0.608 µg/mL). Comparison with positive control Vincristine sulphate signifies that cytotoxicity exhibited by MECCL and further bioactivity guided investigation can be done to find potent antitumor compounds. In thrombolytic activity test, MECCL demonstrated 95.69% thrombolysis which was significant compared to standard Streptokinase (SK) which demonstrated 91.304 % thrombolysis. While doing membrane stabilizing activity test, Heat induced hemolysis assay was performed and the percent of protection was 85.35 compared to the standard DS 73.63 which was very significant. The results highlight the potential of Camellia chrysantha (Hu) Tuyama as a valuable source of phytochemicals that possess notable anti-inflammatory, thrombolytic, and membrane-stabilizing properties. The methanolic leaf extract also shows moderate antifungal and cytotoxic effects, suggesting potential for future therapeutic advancements.","author":[{"dropping-particle":"","family":"Takey","given":"Irfanul Islam","non-dropping-particle":"","parse-names":false,"suffix":""},{"dropping-particle":"","family":"Shomudro","given":"Hasib Khan","non-dropping-particle":"","parse-names":false,"suffix":""},{"dropping-particle":"","family":"Chowdhury","given":"Sadia Afreen","non-dropping-particle":"","parse-names":false,"suffix":""}],"container-title":"Asian Journal of Medicine and Health","id":"ITEM-1","issue":"7","issued":{"date-parts":[["2024"]]},"page":"36-44","title":"Evaluation of In-vitro Anti-Inflammatory, Anti-Fungal, Thrombolytic, Membrane Stabilizing and Cytotoxic Properties of (Camellia chrysantha Hu Tuyama)","type":"article-journal","volume":"22"},"uris":["http://www.mendeley.com/documents/?uuid=25501855-8d72-4adf-921d-b2a94fbd3588"]}],"mendeley":{"formattedCitation":"(Takey et al., 2024)","plainTextFormattedCitation":"(Takey et al., 2024)","previouslyFormattedCitation":"(Takey et al., 2024)"},"properties":{"noteIndex":0},"schema":"https://github.com/citation-style-language/schema/raw/master/csl-citation.json"}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(Takey et al., 2024)</w:t>
      </w:r>
      <w:r w:rsidR="00291D5E" w:rsidRPr="00B24721">
        <w:rPr>
          <w:rFonts w:ascii="Arial" w:hAnsi="Arial" w:cs="Arial"/>
        </w:rPr>
        <w:fldChar w:fldCharType="end"/>
      </w:r>
      <w:r w:rsidRPr="00B24721">
        <w:rPr>
          <w:rFonts w:ascii="Arial" w:hAnsi="Arial" w:cs="Arial"/>
        </w:rPr>
        <w:t>.</w:t>
      </w:r>
    </w:p>
    <w:p w14:paraId="0E97CB52" w14:textId="4DFF5E95" w:rsidR="000C468F" w:rsidRPr="00B24721" w:rsidRDefault="000C468F" w:rsidP="004D3542">
      <w:pPr>
        <w:jc w:val="both"/>
        <w:rPr>
          <w:rFonts w:ascii="Arial" w:hAnsi="Arial" w:cs="Arial"/>
        </w:rPr>
      </w:pPr>
      <w:r w:rsidRPr="00B24721">
        <w:rPr>
          <w:rFonts w:ascii="Arial" w:hAnsi="Arial" w:cs="Arial"/>
        </w:rPr>
        <w:t xml:space="preserve">One of the most promising findings is the plant's powerful </w:t>
      </w:r>
      <w:proofErr w:type="spellStart"/>
      <w:r w:rsidRPr="00B24721">
        <w:rPr>
          <w:rFonts w:ascii="Arial" w:hAnsi="Arial" w:cs="Arial"/>
        </w:rPr>
        <w:t>antisickling</w:t>
      </w:r>
      <w:proofErr w:type="spellEnd"/>
      <w:r w:rsidRPr="00B24721">
        <w:rPr>
          <w:rFonts w:ascii="Arial" w:hAnsi="Arial" w:cs="Arial"/>
        </w:rPr>
        <w:t xml:space="preserve"> activity. MEDM at 500 µg/ml was able to reverse up to 72.49% of sickled cells after 120 minutes, outperforming the standard drug phenylalanine during some time intervals. The plant's potent effects in reversing sickling are likely mediated through anthocyanins and other flavonoids present in the extract. These compounds have the capacity to interfere with the polymerization of deoxygenated hemoglobin S by binding with hydrophobic pockets on the </w:t>
      </w:r>
      <w:proofErr w:type="spellStart"/>
      <w:r w:rsidRPr="00B24721">
        <w:rPr>
          <w:rFonts w:ascii="Arial" w:hAnsi="Arial" w:cs="Arial"/>
        </w:rPr>
        <w:t>HbS</w:t>
      </w:r>
      <w:proofErr w:type="spellEnd"/>
      <w:r w:rsidRPr="00B24721">
        <w:rPr>
          <w:rFonts w:ascii="Arial" w:hAnsi="Arial" w:cs="Arial"/>
        </w:rPr>
        <w:t xml:space="preserve"> molecule</w:t>
      </w:r>
      <w:r w:rsidR="00291D5E" w:rsidRPr="00B24721">
        <w:rPr>
          <w:rFonts w:ascii="Arial" w:hAnsi="Arial" w:cs="Arial"/>
        </w:rPr>
        <w:t xml:space="preserve"> </w:t>
      </w:r>
      <w:r w:rsidR="00291D5E" w:rsidRPr="00B24721">
        <w:rPr>
          <w:rFonts w:ascii="Arial" w:hAnsi="Arial" w:cs="Arial"/>
        </w:rPr>
        <w:fldChar w:fldCharType="begin" w:fldLock="1"/>
      </w:r>
      <w:r w:rsidR="00291D5E" w:rsidRPr="00B24721">
        <w:rPr>
          <w:rFonts w:ascii="Arial" w:hAnsi="Arial" w:cs="Arial"/>
        </w:rPr>
        <w:instrText>ADDIN CSL_CITATION {"citationItems":[{"id":"ITEM-1","itemData":{"DOI":"10.9734/aprj/2023/v11i6229","abstract":"Aims: This research objective was to investigate some in-vitro properties of methanol-extracted plant extracts of Ludwigia adscendens (the water primrose). The primary method of assessment for the methanolic extract of Ludwigia adscendens (MELA) was investigated for phytochemical screening. It was determined to look into the plant's potential for in vitro activities, such as antioxidant, antimicrobial, anti-inflammatory anti-arthritis, cytotoxic, thrombolytic and membrane stabilizing activity due to the pharmaceutical interest in its component parts.\r Methodology: Phytochemical screening was performed utilizing a battery of test reagents. Antioxidant, antimicrobial, anti-inflammatory, anti-arthritic, cytotoxic, thrombolytic and membrane stabilizing activities were measured at various doses using the DPPH Free Radical Scavenging Assay, the Disk Diffusion Method, Egg Albumin Protein Denaturation Assay, the Inhibition of Protein Denaturation Assay, the Brine Shrimp Lethality Bioassay, Clot lysis assay and heat induced and hypotonic induced haemolysis method.\r Results: The findings of research on MELA's phytochemical screening showed the presence of a wide range of various phytochemical components. The higher antioxidant activity of MELA is shown by its IC50 value of 85.76 µg/mL. Significant antibacterial action was shown by MELA. As compared to the standard ascorbic acid, this extract showed significantly greater anti-arthritic and anti-inflammatory effects. MELA exhibited much higher LC50 value which is 1.147 µg/mL than the typical vincristine-sulphate in a lethality test with brine shrimp. Comparatively speaking, this herb has quite powerful thrombolytic action. Significant membrane stabilizing action has also been shown by MELA.\r Conclusion: To wrap it up, it is clear that this plants phytochemical can be used for wide range of drug discovery field due to its potent pharmacological actions.","author":[{"dropping-particle":"","family":"Bhuiyan","given":"Md. Anik","non-dropping-particle":"","parse-names":false,"suffix":""},{"dropping-particle":"","family":"Shomudro","given":"Hasib Khan","non-dropping-particle":"","parse-names":false,"suffix":""},{"dropping-particle":"","family":"Chowdhury","given":"Sadia Afreen","non-dropping-particle":"","parse-names":false,"suffix":""}],"container-title":"Asian Plant Research Journal","id":"ITEM-1","issue":"6","issued":{"date-parts":[["2023"]]},"page":"44-55","title":"In-vitro Pharmacological Investigation of Ludwigia adscendens","type":"article-journal","volume":"11"},"uris":["http://www.mendeley.com/documents/?uuid=25770a0d-89ea-45db-8453-65fe947dffde"]}],"mendeley":{"formattedCitation":"(Bhuiyan et al., 2023)","plainTextFormattedCitation":"(Bhuiyan et al., 2023)"},"properties":{"noteIndex":0},"schema":"https://github.com/citation-style-language/schema/raw/master/csl-citation.json"}</w:instrText>
      </w:r>
      <w:r w:rsidR="00291D5E" w:rsidRPr="00B24721">
        <w:rPr>
          <w:rFonts w:ascii="Arial" w:hAnsi="Arial" w:cs="Arial"/>
        </w:rPr>
        <w:fldChar w:fldCharType="separate"/>
      </w:r>
      <w:r w:rsidR="00291D5E" w:rsidRPr="00B24721">
        <w:rPr>
          <w:rFonts w:ascii="Arial" w:hAnsi="Arial" w:cs="Arial"/>
          <w:noProof/>
        </w:rPr>
        <w:t>(Bhuiyan et al., 2023)</w:t>
      </w:r>
      <w:r w:rsidR="00291D5E" w:rsidRPr="00B24721">
        <w:rPr>
          <w:rFonts w:ascii="Arial" w:hAnsi="Arial" w:cs="Arial"/>
        </w:rPr>
        <w:fldChar w:fldCharType="end"/>
      </w:r>
      <w:r w:rsidRPr="00B24721">
        <w:rPr>
          <w:rFonts w:ascii="Arial" w:hAnsi="Arial" w:cs="Arial"/>
        </w:rPr>
        <w:t>. This interaction inhibits the formation of fibers and rigid polymers, preventing the red blood cell from becoming elongated and distorted into a sickled shape. The antioxidant effects of flavonoids may also limit oxidative stress in red blood cells, which contributes to the decrease in membrane integrity and sickling in sickle cell disease. The observation of a time- and concentration-dependent increase in the reversibility of sickled cells supports the therapeutic potential of the phytochemicals in combating hemolytic crises.</w:t>
      </w:r>
    </w:p>
    <w:p w14:paraId="43E65C40" w14:textId="3B9352B5" w:rsidR="000C468F" w:rsidRPr="00B24721" w:rsidRDefault="000C468F" w:rsidP="004D3542">
      <w:pPr>
        <w:jc w:val="both"/>
        <w:rPr>
          <w:rFonts w:ascii="Arial" w:hAnsi="Arial" w:cs="Arial"/>
        </w:rPr>
      </w:pPr>
      <w:r w:rsidRPr="00B24721">
        <w:rPr>
          <w:rFonts w:ascii="Arial" w:hAnsi="Arial" w:cs="Arial"/>
        </w:rPr>
        <w:t>In terms of neuropharmacological testing, MEDM exhibited significant dose-</w:t>
      </w:r>
      <w:proofErr w:type="spellStart"/>
      <w:r w:rsidRPr="00B24721">
        <w:rPr>
          <w:rFonts w:ascii="Arial" w:hAnsi="Arial" w:cs="Arial"/>
        </w:rPr>
        <w:t>dependant</w:t>
      </w:r>
      <w:proofErr w:type="spellEnd"/>
      <w:r w:rsidRPr="00B24721">
        <w:rPr>
          <w:rFonts w:ascii="Arial" w:hAnsi="Arial" w:cs="Arial"/>
        </w:rPr>
        <w:t xml:space="preserve"> effects for both the thiopental sodium-induced sleep test and the forced swim test. The effect on sleep onset (reduction from 5.62 min in control to 3.37 min at 400 mg/kg) and sleep duration (increase from 61.2 min to 130.2 min) reflects a sedative-hypnotic effect, likely mediated through the flavonoid and alkaloid derived from the plant, as these potently enhance GABAergic neurotransmission</w:t>
      </w:r>
      <w:r w:rsidR="00291D5E" w:rsidRPr="00B24721">
        <w:rPr>
          <w:rFonts w:ascii="Arial" w:hAnsi="Arial" w:cs="Arial"/>
        </w:rPr>
        <w:t xml:space="preserve"> (Shomudro et al., 2023)</w:t>
      </w:r>
      <w:r w:rsidRPr="00B24721">
        <w:rPr>
          <w:rFonts w:ascii="Arial" w:hAnsi="Arial" w:cs="Arial"/>
        </w:rPr>
        <w:t xml:space="preserve">. These compounds may function as strong positive allosteric modulators of the GABAA receptor to enhance influx of chloride ions into the cell, leading to potent inhibition of neuronal function. As it relation to the forced swim test, the pronounced increase in immobility time (increase from 24.49s in control condition to 86.41s at 400 mg/kg dose group) indicates a depressant effect on the central nervous system. The observed depressant effect could also occur through an enhancement of inhibitory neurotransmission and/or an inhibition of </w:t>
      </w:r>
      <w:proofErr w:type="spellStart"/>
      <w:r w:rsidRPr="00B24721">
        <w:rPr>
          <w:rFonts w:ascii="Arial" w:hAnsi="Arial" w:cs="Arial"/>
        </w:rPr>
        <w:t>monoamergic</w:t>
      </w:r>
      <w:proofErr w:type="spellEnd"/>
      <w:r w:rsidRPr="00B24721">
        <w:rPr>
          <w:rFonts w:ascii="Arial" w:hAnsi="Arial" w:cs="Arial"/>
        </w:rPr>
        <w:t xml:space="preserve"> systems (e.g., serotonin and norepinephrine), both of which are involved in mood and motor activity alterations.</w:t>
      </w:r>
    </w:p>
    <w:p w14:paraId="0AF46F39" w14:textId="2C936D89" w:rsidR="000C468F" w:rsidRPr="00B24721" w:rsidRDefault="00184B4F" w:rsidP="004D3542">
      <w:pPr>
        <w:jc w:val="both"/>
        <w:rPr>
          <w:rFonts w:ascii="Arial" w:hAnsi="Arial" w:cs="Arial"/>
          <w:b/>
          <w:bCs/>
        </w:rPr>
      </w:pPr>
      <w:r w:rsidRPr="00B24721">
        <w:rPr>
          <w:rFonts w:ascii="Arial" w:hAnsi="Arial" w:cs="Arial"/>
          <w:b/>
          <w:bCs/>
        </w:rPr>
        <w:t xml:space="preserve">6. </w:t>
      </w:r>
      <w:r w:rsidR="000C468F" w:rsidRPr="00B24721">
        <w:rPr>
          <w:rFonts w:ascii="Arial" w:hAnsi="Arial" w:cs="Arial"/>
          <w:b/>
          <w:bCs/>
        </w:rPr>
        <w:t>CONCLUSION</w:t>
      </w:r>
    </w:p>
    <w:p w14:paraId="5168D02C" w14:textId="1F0524DA" w:rsidR="000C468F" w:rsidRPr="00B24721" w:rsidRDefault="000C468F" w:rsidP="004D3542">
      <w:pPr>
        <w:jc w:val="both"/>
        <w:rPr>
          <w:rFonts w:ascii="Arial" w:hAnsi="Arial" w:cs="Arial"/>
        </w:rPr>
      </w:pPr>
      <w:r w:rsidRPr="00B24721">
        <w:rPr>
          <w:rFonts w:ascii="Arial" w:hAnsi="Arial" w:cs="Arial"/>
        </w:rPr>
        <w:t xml:space="preserve">In summary, the diverse pharmacological effects of </w:t>
      </w:r>
      <w:proofErr w:type="spellStart"/>
      <w:r w:rsidRPr="00B24721">
        <w:rPr>
          <w:rFonts w:ascii="Arial" w:hAnsi="Arial" w:cs="Arial"/>
          <w:i/>
          <w:iCs/>
        </w:rPr>
        <w:t>Diospyros</w:t>
      </w:r>
      <w:proofErr w:type="spellEnd"/>
      <w:r w:rsidRPr="00B24721">
        <w:rPr>
          <w:rFonts w:ascii="Arial" w:hAnsi="Arial" w:cs="Arial"/>
          <w:i/>
          <w:iCs/>
        </w:rPr>
        <w:t xml:space="preserve"> </w:t>
      </w:r>
      <w:proofErr w:type="spellStart"/>
      <w:r w:rsidRPr="00B24721">
        <w:rPr>
          <w:rFonts w:ascii="Arial" w:hAnsi="Arial" w:cs="Arial"/>
          <w:i/>
          <w:iCs/>
        </w:rPr>
        <w:t>malabarica</w:t>
      </w:r>
      <w:proofErr w:type="spellEnd"/>
      <w:r w:rsidRPr="00B24721">
        <w:rPr>
          <w:rFonts w:ascii="Arial" w:hAnsi="Arial" w:cs="Arial"/>
        </w:rPr>
        <w:t xml:space="preserve"> are a direct result of its various phytochemicals. The combined actions of flavonoids, tannins, terpenoid, and </w:t>
      </w:r>
      <w:r w:rsidRPr="00B24721">
        <w:rPr>
          <w:rFonts w:ascii="Arial" w:hAnsi="Arial" w:cs="Arial"/>
        </w:rPr>
        <w:lastRenderedPageBreak/>
        <w:t xml:space="preserve">alkaloids contribute to the plant's anti-cancer, antimicrobial, </w:t>
      </w:r>
      <w:proofErr w:type="spellStart"/>
      <w:r w:rsidRPr="00B24721">
        <w:rPr>
          <w:rFonts w:ascii="Arial" w:hAnsi="Arial" w:cs="Arial"/>
        </w:rPr>
        <w:t>antisickling</w:t>
      </w:r>
      <w:proofErr w:type="spellEnd"/>
      <w:r w:rsidRPr="00B24721">
        <w:rPr>
          <w:rFonts w:ascii="Arial" w:hAnsi="Arial" w:cs="Arial"/>
        </w:rPr>
        <w:t xml:space="preserve"> and </w:t>
      </w:r>
      <w:proofErr w:type="spellStart"/>
      <w:r w:rsidRPr="00B24721">
        <w:rPr>
          <w:rFonts w:ascii="Arial" w:hAnsi="Arial" w:cs="Arial"/>
        </w:rPr>
        <w:t>neuroactive</w:t>
      </w:r>
      <w:proofErr w:type="spellEnd"/>
      <w:r w:rsidRPr="00B24721">
        <w:rPr>
          <w:rFonts w:ascii="Arial" w:hAnsi="Arial" w:cs="Arial"/>
        </w:rPr>
        <w:t xml:space="preserve"> effects. These results corroborate its traditional applications and strongly support its continued use as a source of new therapeutic agents for treatment of cancer, infectious disease, sickle cell anemia, and neurodegenerative disorders. Future work should focus on the isolation and identification of bioactive compounds responsible for each activity in order to more accurately define the mechanisms of actions, as well as other possible uses in the clinic.</w:t>
      </w:r>
    </w:p>
    <w:p w14:paraId="30FD6151" w14:textId="77777777" w:rsidR="00327EAF" w:rsidRPr="00B24721" w:rsidRDefault="00327EAF" w:rsidP="00327EAF">
      <w:pPr>
        <w:jc w:val="both"/>
        <w:rPr>
          <w:rFonts w:ascii="Arial" w:hAnsi="Arial" w:cs="Arial"/>
          <w:b/>
          <w:bCs/>
        </w:rPr>
      </w:pPr>
      <w:r w:rsidRPr="00B24721">
        <w:rPr>
          <w:rFonts w:ascii="Arial" w:hAnsi="Arial" w:cs="Arial"/>
          <w:b/>
          <w:bCs/>
        </w:rPr>
        <w:t xml:space="preserve">7. Consent </w:t>
      </w:r>
    </w:p>
    <w:p w14:paraId="102FE9E7" w14:textId="6327B674" w:rsidR="00327EAF" w:rsidRPr="00B24721" w:rsidRDefault="00327EAF" w:rsidP="00327EAF">
      <w:pPr>
        <w:jc w:val="both"/>
        <w:rPr>
          <w:rFonts w:ascii="Arial" w:hAnsi="Arial" w:cs="Arial"/>
        </w:rPr>
      </w:pPr>
      <w:r w:rsidRPr="00B24721">
        <w:rPr>
          <w:rFonts w:ascii="Arial" w:hAnsi="Arial" w:cs="Arial"/>
        </w:rPr>
        <w:t>All authors state that "written informed consent was obtained from the patient for publication of this research report".</w:t>
      </w:r>
    </w:p>
    <w:p w14:paraId="192D0169" w14:textId="77777777" w:rsidR="00327EAF" w:rsidRPr="00B24721" w:rsidRDefault="00327EAF" w:rsidP="00327EAF">
      <w:pPr>
        <w:jc w:val="both"/>
        <w:rPr>
          <w:rFonts w:ascii="Arial" w:hAnsi="Arial" w:cs="Arial"/>
          <w:b/>
          <w:bCs/>
        </w:rPr>
      </w:pPr>
      <w:r w:rsidRPr="00B24721">
        <w:rPr>
          <w:rFonts w:ascii="Arial" w:hAnsi="Arial" w:cs="Arial"/>
          <w:b/>
          <w:bCs/>
        </w:rPr>
        <w:t>8. ETHICAL APPROVAL</w:t>
      </w:r>
    </w:p>
    <w:p w14:paraId="63F06ADC" w14:textId="7ED32AA5" w:rsidR="00327EAF" w:rsidRDefault="00327EAF" w:rsidP="004D3542">
      <w:pPr>
        <w:jc w:val="both"/>
        <w:rPr>
          <w:rFonts w:ascii="Arial" w:hAnsi="Arial" w:cs="Arial"/>
        </w:rPr>
      </w:pPr>
      <w:r w:rsidRPr="00B24721">
        <w:rPr>
          <w:rFonts w:ascii="Arial" w:hAnsi="Arial" w:cs="Arial"/>
        </w:rPr>
        <w:t>This study was in compliance with the International Conference on Harmonization, Declaration of Helsinki, and US Food and Drug Administration regulations. The study protocol and informed consent form were reviewed and approved by the Faculty of Biomedical Science, Military Institute of Science and Technology (approved number: 119). All study participants were required to sign a written consent form in order to participate in the study, and they had the right to withdraw at any time.</w:t>
      </w:r>
    </w:p>
    <w:p w14:paraId="2DB64E47" w14:textId="77777777" w:rsidR="005A5E49" w:rsidRDefault="005A5E49" w:rsidP="004D3542">
      <w:pPr>
        <w:jc w:val="both"/>
        <w:rPr>
          <w:rFonts w:ascii="Arial" w:hAnsi="Arial" w:cs="Arial"/>
        </w:rPr>
      </w:pPr>
    </w:p>
    <w:p w14:paraId="4D701D05" w14:textId="77777777" w:rsidR="005A5E49" w:rsidRPr="005A5E49" w:rsidRDefault="005A5E49" w:rsidP="005A5E49">
      <w:pPr>
        <w:jc w:val="both"/>
        <w:rPr>
          <w:rFonts w:ascii="Arial" w:hAnsi="Arial" w:cs="Arial"/>
        </w:rPr>
      </w:pPr>
      <w:r w:rsidRPr="005A5E49">
        <w:rPr>
          <w:rFonts w:ascii="Arial" w:hAnsi="Arial" w:cs="Arial"/>
        </w:rPr>
        <w:t>COMPETING INTERESTS DISCLAIMER:</w:t>
      </w:r>
    </w:p>
    <w:p w14:paraId="1C6505FE" w14:textId="61163623" w:rsidR="005A5E49" w:rsidRPr="00B24721" w:rsidRDefault="005A5E49" w:rsidP="005A5E49">
      <w:pPr>
        <w:jc w:val="both"/>
        <w:rPr>
          <w:rFonts w:ascii="Arial" w:hAnsi="Arial" w:cs="Arial"/>
        </w:rPr>
      </w:pPr>
      <w:r w:rsidRPr="005A5E49">
        <w:rPr>
          <w:rFonts w:ascii="Arial" w:hAnsi="Arial" w:cs="Arial"/>
        </w:rPr>
        <w:t>Authors have declared that they have no known competing financial interests OR non-financial interests OR personal relationships that could have appeared to influence the work reported in this paper.</w:t>
      </w:r>
    </w:p>
    <w:p w14:paraId="6B3184DC" w14:textId="77777777" w:rsidR="00412B9A" w:rsidRPr="00412B9A" w:rsidRDefault="00412B9A" w:rsidP="004D3542">
      <w:pPr>
        <w:jc w:val="both"/>
        <w:rPr>
          <w:b/>
          <w:bCs/>
        </w:rPr>
      </w:pPr>
    </w:p>
    <w:p w14:paraId="0011EE96" w14:textId="159F5E87" w:rsidR="00412B9A" w:rsidRPr="00412B9A" w:rsidRDefault="00412B9A" w:rsidP="004D3542">
      <w:pPr>
        <w:jc w:val="both"/>
        <w:rPr>
          <w:b/>
          <w:bCs/>
        </w:rPr>
      </w:pPr>
      <w:r w:rsidRPr="00412B9A">
        <w:rPr>
          <w:b/>
          <w:bCs/>
        </w:rPr>
        <w:t>References:</w:t>
      </w:r>
    </w:p>
    <w:p w14:paraId="6CF8F01C" w14:textId="2B56227A"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fldChar w:fldCharType="begin" w:fldLock="1"/>
      </w:r>
      <w:r>
        <w:instrText xml:space="preserve">ADDIN Mendeley Bibliography CSL_BIBLIOGRAPHY </w:instrText>
      </w:r>
      <w:r>
        <w:fldChar w:fldCharType="separate"/>
      </w:r>
      <w:r w:rsidRPr="00291D5E">
        <w:rPr>
          <w:rFonts w:ascii="Calibri" w:hAnsi="Calibri" w:cs="Calibri"/>
          <w:noProof/>
        </w:rPr>
        <w:t xml:space="preserve">Akter, J., Nazim, N. B., Uddin, M. S., &amp; Shomudro, H. K. (2024). Phytochemical Characterization and Investigation of Anthelminthic, Antidiabetic, and Toxicological Effects of Polyscias scutellaria. </w:t>
      </w:r>
      <w:r w:rsidRPr="00291D5E">
        <w:rPr>
          <w:rFonts w:ascii="Calibri" w:hAnsi="Calibri" w:cs="Calibri"/>
          <w:i/>
          <w:iCs/>
          <w:noProof/>
        </w:rPr>
        <w:t>Journal of Applied Life Sciences International</w:t>
      </w:r>
      <w:r w:rsidRPr="00291D5E">
        <w:rPr>
          <w:rFonts w:ascii="Calibri" w:hAnsi="Calibri" w:cs="Calibri"/>
          <w:noProof/>
        </w:rPr>
        <w:t xml:space="preserve">, </w:t>
      </w:r>
      <w:r w:rsidRPr="00291D5E">
        <w:rPr>
          <w:rFonts w:ascii="Calibri" w:hAnsi="Calibri" w:cs="Calibri"/>
          <w:i/>
          <w:iCs/>
          <w:noProof/>
        </w:rPr>
        <w:t>27</w:t>
      </w:r>
      <w:r w:rsidRPr="00291D5E">
        <w:rPr>
          <w:rFonts w:ascii="Calibri" w:hAnsi="Calibri" w:cs="Calibri"/>
          <w:noProof/>
        </w:rPr>
        <w:t>(6), 1–9. https://doi.org/10.9734/jalsi/2024/v27i6660</w:t>
      </w:r>
    </w:p>
    <w:p w14:paraId="25206646"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Akter, J., Shomudro, H. K., &amp; Chowdhury, S. A. (2024). Anti-Arthritic, Anti-Inflammatory, Thrombolytic, Membrane Stabilizing, Antifungal and Cytotoxic Activity of Polyscias scutellaria Leaf Extract: An In-vitro Analysis. </w:t>
      </w:r>
      <w:r w:rsidRPr="00291D5E">
        <w:rPr>
          <w:rFonts w:ascii="Calibri" w:hAnsi="Calibri" w:cs="Calibri"/>
          <w:i/>
          <w:iCs/>
          <w:noProof/>
        </w:rPr>
        <w:t>Asian Journal of Research in Biochemistry</w:t>
      </w:r>
      <w:r w:rsidRPr="00291D5E">
        <w:rPr>
          <w:rFonts w:ascii="Calibri" w:hAnsi="Calibri" w:cs="Calibri"/>
          <w:noProof/>
        </w:rPr>
        <w:t xml:space="preserve">, </w:t>
      </w:r>
      <w:r w:rsidRPr="00291D5E">
        <w:rPr>
          <w:rFonts w:ascii="Calibri" w:hAnsi="Calibri" w:cs="Calibri"/>
          <w:i/>
          <w:iCs/>
          <w:noProof/>
        </w:rPr>
        <w:t>14</w:t>
      </w:r>
      <w:r w:rsidRPr="00291D5E">
        <w:rPr>
          <w:rFonts w:ascii="Calibri" w:hAnsi="Calibri" w:cs="Calibri"/>
          <w:noProof/>
        </w:rPr>
        <w:t>(1), 19–29. https://doi.org/10.9734/ajrb/2024/v14i127</w:t>
      </w:r>
      <w:bookmarkStart w:id="20" w:name="_GoBack"/>
      <w:bookmarkEnd w:id="20"/>
      <w:r w:rsidRPr="00291D5E">
        <w:rPr>
          <w:rFonts w:ascii="Calibri" w:hAnsi="Calibri" w:cs="Calibri"/>
          <w:noProof/>
        </w:rPr>
        <w:t>4</w:t>
      </w:r>
    </w:p>
    <w:p w14:paraId="670047E5"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Bhuiyan, M. A., Shomudro, H. K., &amp; Chowdhury, S. A. (2023). In-vitro Pharmacological Investigation of Ludwigia adscendens. </w:t>
      </w:r>
      <w:r w:rsidRPr="00291D5E">
        <w:rPr>
          <w:rFonts w:ascii="Calibri" w:hAnsi="Calibri" w:cs="Calibri"/>
          <w:i/>
          <w:iCs/>
          <w:noProof/>
        </w:rPr>
        <w:t>Asian Plant Research Journal</w:t>
      </w:r>
      <w:r w:rsidRPr="00291D5E">
        <w:rPr>
          <w:rFonts w:ascii="Calibri" w:hAnsi="Calibri" w:cs="Calibri"/>
          <w:noProof/>
        </w:rPr>
        <w:t xml:space="preserve">, </w:t>
      </w:r>
      <w:r w:rsidRPr="00291D5E">
        <w:rPr>
          <w:rFonts w:ascii="Calibri" w:hAnsi="Calibri" w:cs="Calibri"/>
          <w:i/>
          <w:iCs/>
          <w:noProof/>
        </w:rPr>
        <w:t>11</w:t>
      </w:r>
      <w:r w:rsidRPr="00291D5E">
        <w:rPr>
          <w:rFonts w:ascii="Calibri" w:hAnsi="Calibri" w:cs="Calibri"/>
          <w:noProof/>
        </w:rPr>
        <w:t>(6), 44–55. https://doi.org/10.9734/aprj/2023/v11i6229</w:t>
      </w:r>
    </w:p>
    <w:p w14:paraId="10D30C70"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Bravo-Hernández, M., Cervantes-Durán, C., Pineda-Farias, J. B., Barragán-Iglesias, P., López-Sánchez, P., &amp; Granados-Soto, V. (2012). Role of peripheral and spinal 5-HT 3 receptors in development and maintenance of formalin-induced long-term secondary allodynia and hyperalgesia. </w:t>
      </w:r>
      <w:r w:rsidRPr="00291D5E">
        <w:rPr>
          <w:rFonts w:ascii="Calibri" w:hAnsi="Calibri" w:cs="Calibri"/>
          <w:i/>
          <w:iCs/>
          <w:noProof/>
        </w:rPr>
        <w:t>Pharmacology Biochemistry and Behavior</w:t>
      </w:r>
      <w:r w:rsidRPr="00291D5E">
        <w:rPr>
          <w:rFonts w:ascii="Calibri" w:hAnsi="Calibri" w:cs="Calibri"/>
          <w:noProof/>
        </w:rPr>
        <w:t xml:space="preserve">, </w:t>
      </w:r>
      <w:r w:rsidRPr="00291D5E">
        <w:rPr>
          <w:rFonts w:ascii="Calibri" w:hAnsi="Calibri" w:cs="Calibri"/>
          <w:i/>
          <w:iCs/>
          <w:noProof/>
        </w:rPr>
        <w:t>101</w:t>
      </w:r>
      <w:r w:rsidRPr="00291D5E">
        <w:rPr>
          <w:rFonts w:ascii="Calibri" w:hAnsi="Calibri" w:cs="Calibri"/>
          <w:noProof/>
        </w:rPr>
        <w:t>(2), 246–257. https://doi.org/10.1016/j.pbb.2012.01.013</w:t>
      </w:r>
    </w:p>
    <w:p w14:paraId="0B90DBEA"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Chowdhury, M., Sultana, L. A., Joya, A. C., &amp; Shomudro, H. K. (2023). Pharmacological Investigation of In-</w:t>
      </w:r>
      <w:r w:rsidRPr="00291D5E">
        <w:rPr>
          <w:rFonts w:ascii="Calibri" w:hAnsi="Calibri" w:cs="Calibri"/>
          <w:noProof/>
        </w:rPr>
        <w:lastRenderedPageBreak/>
        <w:t xml:space="preserve">vitro Anti-inflammatory, Antimicrobial, Thrombolytic, Cytotoxic and In vivo Analgesic Activities of Ethanolic Leaf Extract of Diospyros malabarica. </w:t>
      </w:r>
      <w:r w:rsidRPr="00291D5E">
        <w:rPr>
          <w:rFonts w:ascii="Calibri" w:hAnsi="Calibri" w:cs="Calibri"/>
          <w:i/>
          <w:iCs/>
          <w:noProof/>
        </w:rPr>
        <w:t>Journal of Advances in Medical and Pharmaceutical Sciences</w:t>
      </w:r>
      <w:r w:rsidRPr="00291D5E">
        <w:rPr>
          <w:rFonts w:ascii="Calibri" w:hAnsi="Calibri" w:cs="Calibri"/>
          <w:noProof/>
        </w:rPr>
        <w:t xml:space="preserve">, </w:t>
      </w:r>
      <w:r w:rsidRPr="00291D5E">
        <w:rPr>
          <w:rFonts w:ascii="Calibri" w:hAnsi="Calibri" w:cs="Calibri"/>
          <w:i/>
          <w:iCs/>
          <w:noProof/>
        </w:rPr>
        <w:t>25</w:t>
      </w:r>
      <w:r w:rsidRPr="00291D5E">
        <w:rPr>
          <w:rFonts w:ascii="Calibri" w:hAnsi="Calibri" w:cs="Calibri"/>
          <w:noProof/>
        </w:rPr>
        <w:t>(8), 1–11. https://doi.org/10.9734/jamps/2023/v25i8630</w:t>
      </w:r>
    </w:p>
    <w:p w14:paraId="7D69616C" w14:textId="5D087251" w:rsidR="005070BF" w:rsidRPr="00291D5E" w:rsidRDefault="005070BF" w:rsidP="005070BF">
      <w:pPr>
        <w:widowControl w:val="0"/>
        <w:autoSpaceDE w:val="0"/>
        <w:autoSpaceDN w:val="0"/>
        <w:adjustRightInd w:val="0"/>
        <w:spacing w:line="240" w:lineRule="auto"/>
        <w:ind w:left="480" w:hanging="480"/>
        <w:rPr>
          <w:rFonts w:ascii="Calibri" w:hAnsi="Calibri" w:cs="Calibri"/>
          <w:noProof/>
        </w:rPr>
      </w:pPr>
      <w:r w:rsidRPr="005070BF">
        <w:rPr>
          <w:rFonts w:ascii="Calibri" w:hAnsi="Calibri" w:cs="Calibri"/>
          <w:noProof/>
        </w:rPr>
        <w:t>Pauline, N., Cabral, B. N. P., Anatole, P. C., Jocelyne, A. M. V., Bruno, M., &amp; Jeanne, N. Y. (2013). The in vitro antisickling and antioxidant effects of aqueous extracts Zanthoxyllum heitzii on sickle cell disorder. </w:t>
      </w:r>
      <w:r w:rsidRPr="005070BF">
        <w:rPr>
          <w:rFonts w:ascii="Calibri" w:hAnsi="Calibri" w:cs="Calibri"/>
          <w:i/>
          <w:iCs/>
          <w:noProof/>
        </w:rPr>
        <w:t>BMC Complementary and Alternative Medicine</w:t>
      </w:r>
      <w:r w:rsidRPr="005070BF">
        <w:rPr>
          <w:rFonts w:ascii="Calibri" w:hAnsi="Calibri" w:cs="Calibri"/>
          <w:noProof/>
        </w:rPr>
        <w:t>, </w:t>
      </w:r>
      <w:r w:rsidRPr="005070BF">
        <w:rPr>
          <w:rFonts w:ascii="Calibri" w:hAnsi="Calibri" w:cs="Calibri"/>
          <w:i/>
          <w:iCs/>
          <w:noProof/>
        </w:rPr>
        <w:t>13</w:t>
      </w:r>
      <w:r w:rsidRPr="005070BF">
        <w:rPr>
          <w:rFonts w:ascii="Calibri" w:hAnsi="Calibri" w:cs="Calibri"/>
          <w:noProof/>
        </w:rPr>
        <w:t>(1), 162.</w:t>
      </w:r>
    </w:p>
    <w:p w14:paraId="4F514E76"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Rahman, S. M. M., Rana, S., Islam, M. N., Kumer, A., Hassan, M. M., Biswas, T. K., &amp; Atikullah, M. (2019). Evaluation of Anxiolytic and Sedative-Like Activities of Methanolic Extract of &amp;lt;i&amp;gt;Euphorbia hirta&amp;lt;/i&amp;gt; Leaves in Mice. </w:t>
      </w:r>
      <w:r w:rsidRPr="00291D5E">
        <w:rPr>
          <w:rFonts w:ascii="Calibri" w:hAnsi="Calibri" w:cs="Calibri"/>
          <w:i/>
          <w:iCs/>
          <w:noProof/>
        </w:rPr>
        <w:t>Pharmacology &amp;amp; Pharmacy</w:t>
      </w:r>
      <w:r w:rsidRPr="00291D5E">
        <w:rPr>
          <w:rFonts w:ascii="Calibri" w:hAnsi="Calibri" w:cs="Calibri"/>
          <w:noProof/>
        </w:rPr>
        <w:t xml:space="preserve">, </w:t>
      </w:r>
      <w:r w:rsidRPr="00291D5E">
        <w:rPr>
          <w:rFonts w:ascii="Calibri" w:hAnsi="Calibri" w:cs="Calibri"/>
          <w:i/>
          <w:iCs/>
          <w:noProof/>
        </w:rPr>
        <w:t>10</w:t>
      </w:r>
      <w:r w:rsidRPr="00291D5E">
        <w:rPr>
          <w:rFonts w:ascii="Calibri" w:hAnsi="Calibri" w:cs="Calibri"/>
          <w:noProof/>
        </w:rPr>
        <w:t>(06), 283–297. https://doi.org/10.4236/pp.2019.106023</w:t>
      </w:r>
    </w:p>
    <w:p w14:paraId="7D3BF661"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Ritu, T. J., Shomudro, H. K., Noor, S., Tahsin, H., &amp; Uddin, M. S. (2024). Evaluation of Anticancer, Anthelminthic, Anti-Nociceptive, Antidiabetic and Toxicological Investigation of Ludwigia adscendens. </w:t>
      </w:r>
      <w:r w:rsidRPr="00291D5E">
        <w:rPr>
          <w:rFonts w:ascii="Calibri" w:hAnsi="Calibri" w:cs="Calibri"/>
          <w:i/>
          <w:iCs/>
          <w:noProof/>
        </w:rPr>
        <w:t>Journal of Advances in Biology &amp; Biotechnology</w:t>
      </w:r>
      <w:r w:rsidRPr="00291D5E">
        <w:rPr>
          <w:rFonts w:ascii="Calibri" w:hAnsi="Calibri" w:cs="Calibri"/>
          <w:noProof/>
        </w:rPr>
        <w:t xml:space="preserve">, </w:t>
      </w:r>
      <w:r w:rsidRPr="00291D5E">
        <w:rPr>
          <w:rFonts w:ascii="Calibri" w:hAnsi="Calibri" w:cs="Calibri"/>
          <w:i/>
          <w:iCs/>
          <w:noProof/>
        </w:rPr>
        <w:t>27</w:t>
      </w:r>
      <w:r w:rsidRPr="00291D5E">
        <w:rPr>
          <w:rFonts w:ascii="Calibri" w:hAnsi="Calibri" w:cs="Calibri"/>
          <w:noProof/>
        </w:rPr>
        <w:t>(7), 140–155. https://doi.org/10.9734/jabb/2024/v27i7974</w:t>
      </w:r>
    </w:p>
    <w:p w14:paraId="0067EE90"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Shaira, H. A., Shomudro, H. K., &amp; Chowdhury, S. A. (2023). In-vitro and In-vivo Pharmacological Evaluation of Persicaria lapathifolia Available in Bangladesh. </w:t>
      </w:r>
      <w:r w:rsidRPr="00291D5E">
        <w:rPr>
          <w:rFonts w:ascii="Calibri" w:hAnsi="Calibri" w:cs="Calibri"/>
          <w:i/>
          <w:iCs/>
          <w:noProof/>
        </w:rPr>
        <w:t>Journal of Scientific Research and Reports</w:t>
      </w:r>
      <w:r w:rsidRPr="00291D5E">
        <w:rPr>
          <w:rFonts w:ascii="Calibri" w:hAnsi="Calibri" w:cs="Calibri"/>
          <w:noProof/>
        </w:rPr>
        <w:t xml:space="preserve">, </w:t>
      </w:r>
      <w:r w:rsidRPr="00291D5E">
        <w:rPr>
          <w:rFonts w:ascii="Calibri" w:hAnsi="Calibri" w:cs="Calibri"/>
          <w:i/>
          <w:iCs/>
          <w:noProof/>
        </w:rPr>
        <w:t>29</w:t>
      </w:r>
      <w:r w:rsidRPr="00291D5E">
        <w:rPr>
          <w:rFonts w:ascii="Calibri" w:hAnsi="Calibri" w:cs="Calibri"/>
          <w:noProof/>
        </w:rPr>
        <w:t>(3), 12–26. https://doi.org/10.9734/jsrr/2023/v29i31733</w:t>
      </w:r>
    </w:p>
    <w:p w14:paraId="2E37BF97" w14:textId="77777777" w:rsid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Shomudro, H. K., Aboni, A. M., Jasmeen, T., &amp; Sanam, S. (2023). In-Vitro Antioxidant, Anti-Arthritis, Anti-inflammatory, Thrombolysis, Anti-bacterial, and in-Vivo Neuropharmacological Activities of Bioactive Metabolites of Solanum americanum Mill. </w:t>
      </w:r>
      <w:r w:rsidRPr="00291D5E">
        <w:rPr>
          <w:rFonts w:ascii="Calibri" w:hAnsi="Calibri" w:cs="Calibri"/>
          <w:i/>
          <w:iCs/>
          <w:noProof/>
        </w:rPr>
        <w:t>Journal of Pharmaceutical Research International</w:t>
      </w:r>
      <w:r w:rsidRPr="00291D5E">
        <w:rPr>
          <w:rFonts w:ascii="Calibri" w:hAnsi="Calibri" w:cs="Calibri"/>
          <w:noProof/>
        </w:rPr>
        <w:t xml:space="preserve">, </w:t>
      </w:r>
      <w:r w:rsidRPr="00291D5E">
        <w:rPr>
          <w:rFonts w:ascii="Calibri" w:hAnsi="Calibri" w:cs="Calibri"/>
          <w:i/>
          <w:iCs/>
          <w:noProof/>
        </w:rPr>
        <w:t>35</w:t>
      </w:r>
      <w:r w:rsidRPr="00291D5E">
        <w:rPr>
          <w:rFonts w:ascii="Calibri" w:hAnsi="Calibri" w:cs="Calibri"/>
          <w:noProof/>
        </w:rPr>
        <w:t>(7), 29–39. https://doi.org/10.9734/jpri/2023/v35i77338</w:t>
      </w:r>
    </w:p>
    <w:p w14:paraId="1D78CB0D" w14:textId="4CBB8561"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Shomudro, H. K., Shaira, H. A., &amp; Chowdhury, S. A. (2023). Evaluation of in vitro antioxidant, anti-bacterial, cytotoxic and in vivo analgesic and neuro-pharmacological investigation of alysicarpus vaginalis available in Bangladesh. </w:t>
      </w:r>
      <w:r w:rsidRPr="00291D5E">
        <w:rPr>
          <w:rFonts w:ascii="Calibri" w:hAnsi="Calibri" w:cs="Calibri"/>
          <w:i/>
          <w:iCs/>
          <w:noProof/>
        </w:rPr>
        <w:t>Journal of Pharmacognosy and Phytochemistry</w:t>
      </w:r>
      <w:r w:rsidRPr="00291D5E">
        <w:rPr>
          <w:rFonts w:ascii="Calibri" w:hAnsi="Calibri" w:cs="Calibri"/>
          <w:noProof/>
        </w:rPr>
        <w:t>, </w:t>
      </w:r>
      <w:r w:rsidRPr="00291D5E">
        <w:rPr>
          <w:rFonts w:ascii="Calibri" w:hAnsi="Calibri" w:cs="Calibri"/>
          <w:i/>
          <w:iCs/>
          <w:noProof/>
        </w:rPr>
        <w:t>12</w:t>
      </w:r>
      <w:r w:rsidRPr="00291D5E">
        <w:rPr>
          <w:rFonts w:ascii="Calibri" w:hAnsi="Calibri" w:cs="Calibri"/>
          <w:noProof/>
        </w:rPr>
        <w:t>(1), 316-323.</w:t>
      </w:r>
    </w:p>
    <w:p w14:paraId="2BBDBCF4" w14:textId="77777777" w:rsidR="00291D5E" w:rsidRPr="00291D5E" w:rsidRDefault="00291D5E" w:rsidP="00291D5E">
      <w:pPr>
        <w:widowControl w:val="0"/>
        <w:autoSpaceDE w:val="0"/>
        <w:autoSpaceDN w:val="0"/>
        <w:adjustRightInd w:val="0"/>
        <w:spacing w:line="240" w:lineRule="auto"/>
        <w:ind w:left="480" w:hanging="480"/>
        <w:rPr>
          <w:rFonts w:ascii="Calibri" w:hAnsi="Calibri" w:cs="Calibri"/>
          <w:noProof/>
        </w:rPr>
      </w:pPr>
      <w:r w:rsidRPr="00291D5E">
        <w:rPr>
          <w:rFonts w:ascii="Calibri" w:hAnsi="Calibri" w:cs="Calibri"/>
          <w:noProof/>
        </w:rPr>
        <w:t xml:space="preserve">Takey, I. I., Shomudro, H. K., &amp; Chowdhury, S. A. (2024). Evaluation of In-vitro Anti-Inflammatory, Anti-Fungal, Thrombolytic, Membrane Stabilizing and Cytotoxic Properties of (Camellia chrysantha Hu Tuyama). </w:t>
      </w:r>
      <w:r w:rsidRPr="00291D5E">
        <w:rPr>
          <w:rFonts w:ascii="Calibri" w:hAnsi="Calibri" w:cs="Calibri"/>
          <w:i/>
          <w:iCs/>
          <w:noProof/>
        </w:rPr>
        <w:t>Asian Journal of Medicine and Health</w:t>
      </w:r>
      <w:r w:rsidRPr="00291D5E">
        <w:rPr>
          <w:rFonts w:ascii="Calibri" w:hAnsi="Calibri" w:cs="Calibri"/>
          <w:noProof/>
        </w:rPr>
        <w:t xml:space="preserve">, </w:t>
      </w:r>
      <w:r w:rsidRPr="00291D5E">
        <w:rPr>
          <w:rFonts w:ascii="Calibri" w:hAnsi="Calibri" w:cs="Calibri"/>
          <w:i/>
          <w:iCs/>
          <w:noProof/>
        </w:rPr>
        <w:t>22</w:t>
      </w:r>
      <w:r w:rsidRPr="00291D5E">
        <w:rPr>
          <w:rFonts w:ascii="Calibri" w:hAnsi="Calibri" w:cs="Calibri"/>
          <w:noProof/>
        </w:rPr>
        <w:t>(7), 36–44. https://doi.org/10.9734/ajmah/2024/v22i71043</w:t>
      </w:r>
    </w:p>
    <w:p w14:paraId="049FACB4" w14:textId="69BE541F" w:rsidR="00291D5E" w:rsidRDefault="00291D5E" w:rsidP="004D3542">
      <w:pPr>
        <w:jc w:val="both"/>
      </w:pPr>
      <w:r>
        <w:fldChar w:fldCharType="end"/>
      </w:r>
    </w:p>
    <w:sectPr w:rsidR="00291D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10-31T00:23:00Z" w:initials="MF">
    <w:p w14:paraId="2769BEAF" w14:textId="315C48D2" w:rsidR="00320B38" w:rsidRDefault="00320B38">
      <w:pPr>
        <w:pStyle w:val="aa"/>
      </w:pPr>
      <w:r>
        <w:rPr>
          <w:rStyle w:val="a9"/>
        </w:rPr>
        <w:annotationRef/>
      </w:r>
      <w:r>
        <w:t>Where is the aim of study</w:t>
      </w:r>
    </w:p>
  </w:comment>
  <w:comment w:id="2" w:author="Maher" w:date="2025-10-31T00:23:00Z" w:initials="MF">
    <w:p w14:paraId="3C627555" w14:textId="283C1DF0" w:rsidR="00320B38" w:rsidRDefault="00320B38">
      <w:pPr>
        <w:pStyle w:val="aa"/>
      </w:pPr>
      <w:r>
        <w:rPr>
          <w:rStyle w:val="a9"/>
        </w:rPr>
        <w:annotationRef/>
      </w:r>
    </w:p>
  </w:comment>
  <w:comment w:id="1" w:author="Maher" w:date="2025-10-31T00:24:00Z" w:initials="MF">
    <w:p w14:paraId="255554C9" w14:textId="47492609" w:rsidR="00320B38" w:rsidRDefault="00320B38">
      <w:pPr>
        <w:pStyle w:val="aa"/>
      </w:pPr>
      <w:r>
        <w:rPr>
          <w:rStyle w:val="a9"/>
        </w:rPr>
        <w:annotationRef/>
      </w:r>
      <w:r>
        <w:t xml:space="preserve">Your method and study design have to be displayed </w:t>
      </w:r>
    </w:p>
  </w:comment>
  <w:comment w:id="3" w:author="Maher" w:date="2025-10-31T00:20:00Z" w:initials="MF">
    <w:p w14:paraId="4BA583DF" w14:textId="6A351BC2" w:rsidR="00320B38" w:rsidRDefault="00320B38">
      <w:pPr>
        <w:pStyle w:val="aa"/>
      </w:pPr>
      <w:r>
        <w:rPr>
          <w:rStyle w:val="a9"/>
        </w:rPr>
        <w:annotationRef/>
      </w:r>
      <w:r>
        <w:t xml:space="preserve">The result must be more obvious and the p value must be mentioned after each comparison in clear way  </w:t>
      </w:r>
    </w:p>
  </w:comment>
  <w:comment w:id="4" w:author="Maher" w:date="2025-10-31T00:22:00Z" w:initials="MF">
    <w:p w14:paraId="1276C030" w14:textId="36459B76" w:rsidR="00320B38" w:rsidRDefault="00320B38">
      <w:pPr>
        <w:pStyle w:val="aa"/>
      </w:pPr>
      <w:r>
        <w:rPr>
          <w:rStyle w:val="a9"/>
        </w:rPr>
        <w:annotationRef/>
      </w:r>
      <w:r>
        <w:t xml:space="preserve">Your conclusion must be focused on your parameter measurements as it is not a discussion </w:t>
      </w:r>
    </w:p>
  </w:comment>
  <w:comment w:id="6" w:author="Maher" w:date="2025-10-31T00:27:00Z" w:initials="MF">
    <w:p w14:paraId="5C44F81E" w14:textId="3D6E7234" w:rsidR="00320B38" w:rsidRDefault="00320B38">
      <w:pPr>
        <w:pStyle w:val="aa"/>
      </w:pPr>
      <w:r>
        <w:rPr>
          <w:rStyle w:val="a9"/>
        </w:rPr>
        <w:annotationRef/>
      </w:r>
      <w:r w:rsidR="00F40E46">
        <w:t>??? this phrase must be in the discussion not in the introduction</w:t>
      </w:r>
    </w:p>
  </w:comment>
  <w:comment w:id="7" w:author="Maher" w:date="2025-10-31T00:29:00Z" w:initials="MF">
    <w:p w14:paraId="51201579" w14:textId="1A1FE2E7" w:rsidR="00F40E46" w:rsidRDefault="00F40E46">
      <w:pPr>
        <w:pStyle w:val="aa"/>
      </w:pPr>
      <w:r>
        <w:rPr>
          <w:rStyle w:val="a9"/>
        </w:rPr>
        <w:annotationRef/>
      </w:r>
      <w:r>
        <w:t>All methods must have a references</w:t>
      </w:r>
    </w:p>
  </w:comment>
  <w:comment w:id="10" w:author="Maher" w:date="2025-10-31T00:33:00Z" w:initials="MF">
    <w:p w14:paraId="545079B4" w14:textId="5CCB6F05" w:rsidR="00F40E46" w:rsidRDefault="00F40E46">
      <w:pPr>
        <w:pStyle w:val="aa"/>
      </w:pPr>
      <w:r>
        <w:rPr>
          <w:rStyle w:val="a9"/>
        </w:rPr>
        <w:annotationRef/>
      </w:r>
      <w:r>
        <w:t xml:space="preserve">Where is the data analysis? Is there any significance difference from the control group? Or </w:t>
      </w:r>
      <w:proofErr w:type="spellStart"/>
      <w:r>
        <w:t>othe</w:t>
      </w:r>
      <w:proofErr w:type="spellEnd"/>
      <w:r>
        <w:t xml:space="preserve"> standard drug?</w:t>
      </w:r>
    </w:p>
  </w:comment>
  <w:comment w:id="12" w:author="Maher" w:date="2025-10-31T00:34:00Z" w:initials="MF">
    <w:p w14:paraId="43990C4A" w14:textId="46C8BDF6" w:rsidR="00F40E46" w:rsidRDefault="00F40E46">
      <w:pPr>
        <w:pStyle w:val="aa"/>
      </w:pPr>
      <w:r>
        <w:rPr>
          <w:rStyle w:val="a9"/>
        </w:rPr>
        <w:annotationRef/>
      </w:r>
      <w:r>
        <w:t>Same as above</w:t>
      </w:r>
    </w:p>
  </w:comment>
  <w:comment w:id="16" w:author="Maher" w:date="2025-10-31T00:35:00Z" w:initials="MF">
    <w:p w14:paraId="1E2C6CCC" w14:textId="3F39DA5A" w:rsidR="00F40E46" w:rsidRDefault="00F40E46">
      <w:pPr>
        <w:pStyle w:val="aa"/>
      </w:pPr>
      <w:r>
        <w:rPr>
          <w:rStyle w:val="a9"/>
        </w:rPr>
        <w:annotationRef/>
      </w:r>
      <w:r>
        <w:t xml:space="preserve">Where is the </w:t>
      </w:r>
      <w:proofErr w:type="spellStart"/>
      <w:r>
        <w:t>comparism</w:t>
      </w:r>
      <w:proofErr w:type="spellEnd"/>
      <w:r>
        <w:t xml:space="preserve"> and p value?</w:t>
      </w:r>
    </w:p>
  </w:comment>
  <w:comment w:id="17" w:author="Maher" w:date="2025-10-31T00:36:00Z" w:initials="MF">
    <w:p w14:paraId="046B765B" w14:textId="5896E01F" w:rsidR="009E0590" w:rsidRDefault="009E0590">
      <w:pPr>
        <w:pStyle w:val="aa"/>
      </w:pPr>
      <w:r>
        <w:rPr>
          <w:rStyle w:val="a9"/>
        </w:rPr>
        <w:annotationRef/>
      </w:r>
      <w:r>
        <w:t>Same as above</w:t>
      </w:r>
    </w:p>
  </w:comment>
  <w:comment w:id="18" w:author="Maher" w:date="2025-10-31T00:36:00Z" w:initials="MF">
    <w:p w14:paraId="2F20FC53" w14:textId="2C178597" w:rsidR="009E0590" w:rsidRDefault="009E0590">
      <w:pPr>
        <w:pStyle w:val="aa"/>
      </w:pPr>
      <w:r>
        <w:rPr>
          <w:rStyle w:val="a9"/>
        </w:rPr>
        <w:annotationRef/>
      </w:r>
      <w:r>
        <w:t>Same as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22436" w14:textId="77777777" w:rsidR="00A57ED3" w:rsidRDefault="00A57ED3" w:rsidP="00AB1B6A">
      <w:pPr>
        <w:spacing w:after="0" w:line="240" w:lineRule="auto"/>
      </w:pPr>
      <w:r>
        <w:separator/>
      </w:r>
    </w:p>
  </w:endnote>
  <w:endnote w:type="continuationSeparator" w:id="0">
    <w:p w14:paraId="782D1979" w14:textId="77777777" w:rsidR="00A57ED3" w:rsidRDefault="00A57ED3" w:rsidP="00AB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5C480" w14:textId="77777777" w:rsidR="00AB1B6A" w:rsidRDefault="00AB1B6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81940" w14:textId="77777777" w:rsidR="00AB1B6A" w:rsidRDefault="00AB1B6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F618D" w14:textId="77777777" w:rsidR="00AB1B6A" w:rsidRDefault="00AB1B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5B224" w14:textId="77777777" w:rsidR="00A57ED3" w:rsidRDefault="00A57ED3" w:rsidP="00AB1B6A">
      <w:pPr>
        <w:spacing w:after="0" w:line="240" w:lineRule="auto"/>
      </w:pPr>
      <w:r>
        <w:separator/>
      </w:r>
    </w:p>
  </w:footnote>
  <w:footnote w:type="continuationSeparator" w:id="0">
    <w:p w14:paraId="1A4AA2E4" w14:textId="77777777" w:rsidR="00A57ED3" w:rsidRDefault="00A57ED3" w:rsidP="00AB1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B587" w14:textId="4F054D45" w:rsidR="00AB1B6A" w:rsidRDefault="00A57ED3">
    <w:pPr>
      <w:pStyle w:val="a7"/>
    </w:pPr>
    <w:r>
      <w:rPr>
        <w:noProof/>
      </w:rPr>
      <w:pict w14:anchorId="66D33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A204" w14:textId="5A2CA1BF" w:rsidR="00AB1B6A" w:rsidRDefault="00A57ED3">
    <w:pPr>
      <w:pStyle w:val="a7"/>
    </w:pPr>
    <w:r>
      <w:rPr>
        <w:noProof/>
      </w:rPr>
      <w:pict w14:anchorId="2371A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7D51E" w14:textId="39B2364A" w:rsidR="00AB1B6A" w:rsidRDefault="00A57ED3">
    <w:pPr>
      <w:pStyle w:val="a7"/>
    </w:pPr>
    <w:r>
      <w:rPr>
        <w:noProof/>
      </w:rPr>
      <w:pict w14:anchorId="70C46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15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33"/>
    <w:rsid w:val="00052B4F"/>
    <w:rsid w:val="000C468F"/>
    <w:rsid w:val="000E3032"/>
    <w:rsid w:val="00184B4F"/>
    <w:rsid w:val="001F7B7B"/>
    <w:rsid w:val="00203A7D"/>
    <w:rsid w:val="00291D5E"/>
    <w:rsid w:val="002D78F0"/>
    <w:rsid w:val="00320B38"/>
    <w:rsid w:val="00327EAF"/>
    <w:rsid w:val="00412B9A"/>
    <w:rsid w:val="00497870"/>
    <w:rsid w:val="004C7F0B"/>
    <w:rsid w:val="004D3542"/>
    <w:rsid w:val="005070BF"/>
    <w:rsid w:val="005A5E49"/>
    <w:rsid w:val="005D5083"/>
    <w:rsid w:val="005F735A"/>
    <w:rsid w:val="006A48C9"/>
    <w:rsid w:val="007253B4"/>
    <w:rsid w:val="00733AD1"/>
    <w:rsid w:val="00756E1E"/>
    <w:rsid w:val="00793CD7"/>
    <w:rsid w:val="007E65AA"/>
    <w:rsid w:val="0086220F"/>
    <w:rsid w:val="008851DC"/>
    <w:rsid w:val="008B08F5"/>
    <w:rsid w:val="008B51DB"/>
    <w:rsid w:val="008D2C65"/>
    <w:rsid w:val="00902B1F"/>
    <w:rsid w:val="009219F5"/>
    <w:rsid w:val="00932633"/>
    <w:rsid w:val="00970BE1"/>
    <w:rsid w:val="009E0590"/>
    <w:rsid w:val="00A20834"/>
    <w:rsid w:val="00A56122"/>
    <w:rsid w:val="00A57ED3"/>
    <w:rsid w:val="00AB1B6A"/>
    <w:rsid w:val="00AD6FFC"/>
    <w:rsid w:val="00AE23B8"/>
    <w:rsid w:val="00B24721"/>
    <w:rsid w:val="00B32615"/>
    <w:rsid w:val="00C02151"/>
    <w:rsid w:val="00C127ED"/>
    <w:rsid w:val="00C26DDA"/>
    <w:rsid w:val="00C42934"/>
    <w:rsid w:val="00CA699B"/>
    <w:rsid w:val="00D4077D"/>
    <w:rsid w:val="00D615F6"/>
    <w:rsid w:val="00DA11B2"/>
    <w:rsid w:val="00E33C13"/>
    <w:rsid w:val="00E36BE9"/>
    <w:rsid w:val="00E606AB"/>
    <w:rsid w:val="00F40E46"/>
    <w:rsid w:val="00FB43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B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5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D3542"/>
    <w:rPr>
      <w:i/>
      <w:iCs/>
    </w:rPr>
  </w:style>
  <w:style w:type="table" w:styleId="a5">
    <w:name w:val="Table Grid"/>
    <w:basedOn w:val="a1"/>
    <w:uiPriority w:val="39"/>
    <w:rsid w:val="00921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5"/>
    <w:uiPriority w:val="39"/>
    <w:rsid w:val="00E606AB"/>
    <w:pPr>
      <w:spacing w:after="0" w:line="240" w:lineRule="auto"/>
    </w:pPr>
    <w:rPr>
      <w:rFonts w:eastAsiaTheme="minorEastAsia"/>
      <w:lang w:val="en-I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5"/>
    <w:uiPriority w:val="59"/>
    <w:rsid w:val="00FB43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0"/>
    <w:uiPriority w:val="99"/>
    <w:unhideWhenUsed/>
    <w:rsid w:val="00733AD1"/>
    <w:rPr>
      <w:color w:val="0563C1" w:themeColor="hyperlink"/>
      <w:u w:val="single"/>
    </w:rPr>
  </w:style>
  <w:style w:type="character" w:customStyle="1" w:styleId="UnresolvedMention">
    <w:name w:val="Unresolved Mention"/>
    <w:basedOn w:val="a0"/>
    <w:uiPriority w:val="99"/>
    <w:semiHidden/>
    <w:unhideWhenUsed/>
    <w:rsid w:val="00733AD1"/>
    <w:rPr>
      <w:color w:val="605E5C"/>
      <w:shd w:val="clear" w:color="auto" w:fill="E1DFDD"/>
    </w:rPr>
  </w:style>
  <w:style w:type="paragraph" w:styleId="a6">
    <w:name w:val="List Paragraph"/>
    <w:basedOn w:val="a"/>
    <w:uiPriority w:val="34"/>
    <w:qFormat/>
    <w:rsid w:val="005A5E49"/>
    <w:pPr>
      <w:ind w:left="720"/>
      <w:contextualSpacing/>
    </w:pPr>
  </w:style>
  <w:style w:type="paragraph" w:styleId="a7">
    <w:name w:val="header"/>
    <w:basedOn w:val="a"/>
    <w:link w:val="Char"/>
    <w:uiPriority w:val="99"/>
    <w:unhideWhenUsed/>
    <w:rsid w:val="00AB1B6A"/>
    <w:pPr>
      <w:tabs>
        <w:tab w:val="center" w:pos="4680"/>
        <w:tab w:val="right" w:pos="9360"/>
      </w:tabs>
      <w:spacing w:after="0" w:line="240" w:lineRule="auto"/>
    </w:pPr>
  </w:style>
  <w:style w:type="character" w:customStyle="1" w:styleId="Char">
    <w:name w:val="رأس الصفحة Char"/>
    <w:basedOn w:val="a0"/>
    <w:link w:val="a7"/>
    <w:uiPriority w:val="99"/>
    <w:rsid w:val="00AB1B6A"/>
  </w:style>
  <w:style w:type="paragraph" w:styleId="a8">
    <w:name w:val="footer"/>
    <w:basedOn w:val="a"/>
    <w:link w:val="Char0"/>
    <w:uiPriority w:val="99"/>
    <w:unhideWhenUsed/>
    <w:rsid w:val="00AB1B6A"/>
    <w:pPr>
      <w:tabs>
        <w:tab w:val="center" w:pos="4680"/>
        <w:tab w:val="right" w:pos="9360"/>
      </w:tabs>
      <w:spacing w:after="0" w:line="240" w:lineRule="auto"/>
    </w:pPr>
  </w:style>
  <w:style w:type="character" w:customStyle="1" w:styleId="Char0">
    <w:name w:val="تذييل الصفحة Char"/>
    <w:basedOn w:val="a0"/>
    <w:link w:val="a8"/>
    <w:uiPriority w:val="99"/>
    <w:rsid w:val="00AB1B6A"/>
  </w:style>
  <w:style w:type="character" w:styleId="a9">
    <w:name w:val="annotation reference"/>
    <w:basedOn w:val="a0"/>
    <w:uiPriority w:val="99"/>
    <w:semiHidden/>
    <w:unhideWhenUsed/>
    <w:rsid w:val="00320B38"/>
    <w:rPr>
      <w:sz w:val="16"/>
      <w:szCs w:val="16"/>
    </w:rPr>
  </w:style>
  <w:style w:type="paragraph" w:styleId="aa">
    <w:name w:val="annotation text"/>
    <w:basedOn w:val="a"/>
    <w:link w:val="Char1"/>
    <w:uiPriority w:val="99"/>
    <w:semiHidden/>
    <w:unhideWhenUsed/>
    <w:rsid w:val="00320B38"/>
    <w:pPr>
      <w:spacing w:line="240" w:lineRule="auto"/>
    </w:pPr>
    <w:rPr>
      <w:sz w:val="20"/>
      <w:szCs w:val="20"/>
    </w:rPr>
  </w:style>
  <w:style w:type="character" w:customStyle="1" w:styleId="Char1">
    <w:name w:val="نص تعليق Char"/>
    <w:basedOn w:val="a0"/>
    <w:link w:val="aa"/>
    <w:uiPriority w:val="99"/>
    <w:semiHidden/>
    <w:rsid w:val="00320B38"/>
    <w:rPr>
      <w:sz w:val="20"/>
      <w:szCs w:val="20"/>
    </w:rPr>
  </w:style>
  <w:style w:type="paragraph" w:styleId="ab">
    <w:name w:val="annotation subject"/>
    <w:basedOn w:val="aa"/>
    <w:next w:val="aa"/>
    <w:link w:val="Char2"/>
    <w:uiPriority w:val="99"/>
    <w:semiHidden/>
    <w:unhideWhenUsed/>
    <w:rsid w:val="00320B38"/>
    <w:rPr>
      <w:b/>
      <w:bCs/>
    </w:rPr>
  </w:style>
  <w:style w:type="character" w:customStyle="1" w:styleId="Char2">
    <w:name w:val="موضوع تعليق Char"/>
    <w:basedOn w:val="Char1"/>
    <w:link w:val="ab"/>
    <w:uiPriority w:val="99"/>
    <w:semiHidden/>
    <w:rsid w:val="00320B38"/>
    <w:rPr>
      <w:b/>
      <w:bCs/>
      <w:sz w:val="20"/>
      <w:szCs w:val="20"/>
    </w:rPr>
  </w:style>
  <w:style w:type="paragraph" w:styleId="ac">
    <w:name w:val="Balloon Text"/>
    <w:basedOn w:val="a"/>
    <w:link w:val="Char3"/>
    <w:uiPriority w:val="99"/>
    <w:semiHidden/>
    <w:unhideWhenUsed/>
    <w:rsid w:val="00320B38"/>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320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5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D3542"/>
    <w:rPr>
      <w:i/>
      <w:iCs/>
    </w:rPr>
  </w:style>
  <w:style w:type="table" w:styleId="a5">
    <w:name w:val="Table Grid"/>
    <w:basedOn w:val="a1"/>
    <w:uiPriority w:val="39"/>
    <w:rsid w:val="00921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5"/>
    <w:uiPriority w:val="39"/>
    <w:rsid w:val="00E606AB"/>
    <w:pPr>
      <w:spacing w:after="0" w:line="240" w:lineRule="auto"/>
    </w:pPr>
    <w:rPr>
      <w:rFonts w:eastAsiaTheme="minorEastAsia"/>
      <w:lang w:val="en-I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5"/>
    <w:uiPriority w:val="59"/>
    <w:rsid w:val="00FB43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0"/>
    <w:uiPriority w:val="99"/>
    <w:unhideWhenUsed/>
    <w:rsid w:val="00733AD1"/>
    <w:rPr>
      <w:color w:val="0563C1" w:themeColor="hyperlink"/>
      <w:u w:val="single"/>
    </w:rPr>
  </w:style>
  <w:style w:type="character" w:customStyle="1" w:styleId="UnresolvedMention">
    <w:name w:val="Unresolved Mention"/>
    <w:basedOn w:val="a0"/>
    <w:uiPriority w:val="99"/>
    <w:semiHidden/>
    <w:unhideWhenUsed/>
    <w:rsid w:val="00733AD1"/>
    <w:rPr>
      <w:color w:val="605E5C"/>
      <w:shd w:val="clear" w:color="auto" w:fill="E1DFDD"/>
    </w:rPr>
  </w:style>
  <w:style w:type="paragraph" w:styleId="a6">
    <w:name w:val="List Paragraph"/>
    <w:basedOn w:val="a"/>
    <w:uiPriority w:val="34"/>
    <w:qFormat/>
    <w:rsid w:val="005A5E49"/>
    <w:pPr>
      <w:ind w:left="720"/>
      <w:contextualSpacing/>
    </w:pPr>
  </w:style>
  <w:style w:type="paragraph" w:styleId="a7">
    <w:name w:val="header"/>
    <w:basedOn w:val="a"/>
    <w:link w:val="Char"/>
    <w:uiPriority w:val="99"/>
    <w:unhideWhenUsed/>
    <w:rsid w:val="00AB1B6A"/>
    <w:pPr>
      <w:tabs>
        <w:tab w:val="center" w:pos="4680"/>
        <w:tab w:val="right" w:pos="9360"/>
      </w:tabs>
      <w:spacing w:after="0" w:line="240" w:lineRule="auto"/>
    </w:pPr>
  </w:style>
  <w:style w:type="character" w:customStyle="1" w:styleId="Char">
    <w:name w:val="رأس الصفحة Char"/>
    <w:basedOn w:val="a0"/>
    <w:link w:val="a7"/>
    <w:uiPriority w:val="99"/>
    <w:rsid w:val="00AB1B6A"/>
  </w:style>
  <w:style w:type="paragraph" w:styleId="a8">
    <w:name w:val="footer"/>
    <w:basedOn w:val="a"/>
    <w:link w:val="Char0"/>
    <w:uiPriority w:val="99"/>
    <w:unhideWhenUsed/>
    <w:rsid w:val="00AB1B6A"/>
    <w:pPr>
      <w:tabs>
        <w:tab w:val="center" w:pos="4680"/>
        <w:tab w:val="right" w:pos="9360"/>
      </w:tabs>
      <w:spacing w:after="0" w:line="240" w:lineRule="auto"/>
    </w:pPr>
  </w:style>
  <w:style w:type="character" w:customStyle="1" w:styleId="Char0">
    <w:name w:val="تذييل الصفحة Char"/>
    <w:basedOn w:val="a0"/>
    <w:link w:val="a8"/>
    <w:uiPriority w:val="99"/>
    <w:rsid w:val="00AB1B6A"/>
  </w:style>
  <w:style w:type="character" w:styleId="a9">
    <w:name w:val="annotation reference"/>
    <w:basedOn w:val="a0"/>
    <w:uiPriority w:val="99"/>
    <w:semiHidden/>
    <w:unhideWhenUsed/>
    <w:rsid w:val="00320B38"/>
    <w:rPr>
      <w:sz w:val="16"/>
      <w:szCs w:val="16"/>
    </w:rPr>
  </w:style>
  <w:style w:type="paragraph" w:styleId="aa">
    <w:name w:val="annotation text"/>
    <w:basedOn w:val="a"/>
    <w:link w:val="Char1"/>
    <w:uiPriority w:val="99"/>
    <w:semiHidden/>
    <w:unhideWhenUsed/>
    <w:rsid w:val="00320B38"/>
    <w:pPr>
      <w:spacing w:line="240" w:lineRule="auto"/>
    </w:pPr>
    <w:rPr>
      <w:sz w:val="20"/>
      <w:szCs w:val="20"/>
    </w:rPr>
  </w:style>
  <w:style w:type="character" w:customStyle="1" w:styleId="Char1">
    <w:name w:val="نص تعليق Char"/>
    <w:basedOn w:val="a0"/>
    <w:link w:val="aa"/>
    <w:uiPriority w:val="99"/>
    <w:semiHidden/>
    <w:rsid w:val="00320B38"/>
    <w:rPr>
      <w:sz w:val="20"/>
      <w:szCs w:val="20"/>
    </w:rPr>
  </w:style>
  <w:style w:type="paragraph" w:styleId="ab">
    <w:name w:val="annotation subject"/>
    <w:basedOn w:val="aa"/>
    <w:next w:val="aa"/>
    <w:link w:val="Char2"/>
    <w:uiPriority w:val="99"/>
    <w:semiHidden/>
    <w:unhideWhenUsed/>
    <w:rsid w:val="00320B38"/>
    <w:rPr>
      <w:b/>
      <w:bCs/>
    </w:rPr>
  </w:style>
  <w:style w:type="character" w:customStyle="1" w:styleId="Char2">
    <w:name w:val="موضوع تعليق Char"/>
    <w:basedOn w:val="Char1"/>
    <w:link w:val="ab"/>
    <w:uiPriority w:val="99"/>
    <w:semiHidden/>
    <w:rsid w:val="00320B38"/>
    <w:rPr>
      <w:b/>
      <w:bCs/>
      <w:sz w:val="20"/>
      <w:szCs w:val="20"/>
    </w:rPr>
  </w:style>
  <w:style w:type="paragraph" w:styleId="ac">
    <w:name w:val="Balloon Text"/>
    <w:basedOn w:val="a"/>
    <w:link w:val="Char3"/>
    <w:uiPriority w:val="99"/>
    <w:semiHidden/>
    <w:unhideWhenUsed/>
    <w:rsid w:val="00320B38"/>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320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5388">
      <w:bodyDiv w:val="1"/>
      <w:marLeft w:val="0"/>
      <w:marRight w:val="0"/>
      <w:marTop w:val="0"/>
      <w:marBottom w:val="0"/>
      <w:divBdr>
        <w:top w:val="none" w:sz="0" w:space="0" w:color="auto"/>
        <w:left w:val="none" w:sz="0" w:space="0" w:color="auto"/>
        <w:bottom w:val="none" w:sz="0" w:space="0" w:color="auto"/>
        <w:right w:val="none" w:sz="0" w:space="0" w:color="auto"/>
      </w:divBdr>
    </w:div>
    <w:div w:id="611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EF1F-622F-4D98-8F9E-EE46C87E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9248</Words>
  <Characters>52716</Characters>
  <Application>Microsoft Office Word</Application>
  <DocSecurity>0</DocSecurity>
  <Lines>439</Lines>
  <Paragraphs>123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61841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Mehrab Sheikh</dc:creator>
  <cp:lastModifiedBy>Maher</cp:lastModifiedBy>
  <cp:revision>2</cp:revision>
  <dcterms:created xsi:type="dcterms:W3CDTF">2025-10-30T21:38:00Z</dcterms:created>
  <dcterms:modified xsi:type="dcterms:W3CDTF">2025-10-30T21:38:00Z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fce35074-09b3-3a33-9db2-88195b0516a2</vt:lpwstr>
  </property>
</Properties>
</file>