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8F7E8" w14:textId="77777777" w:rsidR="00A46310" w:rsidRPr="00AD4936" w:rsidRDefault="00B676CE" w:rsidP="005866A5">
      <w:pPr>
        <w:spacing w:before="240" w:line="360" w:lineRule="auto"/>
        <w:jc w:val="right"/>
        <w:rPr>
          <w:rFonts w:ascii="Times New Roman" w:hAnsi="Times New Roman" w:cs="Times New Roman"/>
          <w:sz w:val="32"/>
          <w:szCs w:val="32"/>
        </w:rPr>
      </w:pPr>
      <w:bookmarkStart w:id="0" w:name="determinants_of_perception_and_at_6f981c"/>
      <w:r w:rsidRPr="00AD4936">
        <w:rPr>
          <w:rFonts w:ascii="Times New Roman" w:hAnsi="Times New Roman" w:cs="Times New Roman"/>
          <w:b/>
          <w:sz w:val="32"/>
          <w:szCs w:val="32"/>
        </w:rPr>
        <w:t xml:space="preserve">Determinants of Perception and Attitude Towards </w:t>
      </w:r>
      <w:proofErr w:type="spellStart"/>
      <w:r w:rsidRPr="00AD4936">
        <w:rPr>
          <w:rFonts w:ascii="Times New Roman" w:hAnsi="Times New Roman" w:cs="Times New Roman"/>
          <w:b/>
          <w:sz w:val="32"/>
          <w:szCs w:val="32"/>
        </w:rPr>
        <w:t>Agripreneurship</w:t>
      </w:r>
      <w:proofErr w:type="spellEnd"/>
      <w:r w:rsidRPr="00AD4936">
        <w:rPr>
          <w:rFonts w:ascii="Times New Roman" w:hAnsi="Times New Roman" w:cs="Times New Roman"/>
          <w:b/>
          <w:sz w:val="32"/>
          <w:szCs w:val="32"/>
        </w:rPr>
        <w:t xml:space="preserve"> Among Agricultural Students in Manipur</w:t>
      </w:r>
      <w:bookmarkEnd w:id="0"/>
    </w:p>
    <w:p w14:paraId="335A95B9" w14:textId="77777777" w:rsidR="00110E21" w:rsidRDefault="00110E21" w:rsidP="007D4E82">
      <w:pPr>
        <w:spacing w:before="240" w:line="360" w:lineRule="auto"/>
        <w:jc w:val="both"/>
        <w:rPr>
          <w:rFonts w:ascii="Times New Roman" w:hAnsi="Times New Roman" w:cs="Times New Roman"/>
          <w:b/>
          <w:sz w:val="24"/>
          <w:szCs w:val="24"/>
        </w:rPr>
      </w:pPr>
      <w:bookmarkStart w:id="1" w:name="abstract"/>
    </w:p>
    <w:p w14:paraId="147951F7" w14:textId="40E1D94F" w:rsidR="00A46310" w:rsidRPr="00AD4936" w:rsidRDefault="00B676CE" w:rsidP="007D4E82">
      <w:pPr>
        <w:spacing w:before="240" w:line="360" w:lineRule="auto"/>
        <w:jc w:val="both"/>
        <w:rPr>
          <w:rFonts w:ascii="Times New Roman" w:hAnsi="Times New Roman" w:cs="Times New Roman"/>
          <w:sz w:val="24"/>
          <w:szCs w:val="24"/>
        </w:rPr>
      </w:pPr>
      <w:r w:rsidRPr="00AD4936">
        <w:rPr>
          <w:rFonts w:ascii="Times New Roman" w:hAnsi="Times New Roman" w:cs="Times New Roman"/>
          <w:b/>
          <w:sz w:val="24"/>
          <w:szCs w:val="24"/>
        </w:rPr>
        <w:t>Abstract</w:t>
      </w:r>
      <w:bookmarkEnd w:id="1"/>
    </w:p>
    <w:p w14:paraId="0D4A20FD" w14:textId="5806F1E0" w:rsidR="00A46310" w:rsidRPr="00AD4936" w:rsidRDefault="001E6A2C" w:rsidP="00AD4936">
      <w:pPr>
        <w:spacing w:after="210" w:line="360" w:lineRule="auto"/>
        <w:jc w:val="both"/>
        <w:rPr>
          <w:rFonts w:ascii="Times New Roman" w:hAnsi="Times New Roman" w:cs="Times New Roman"/>
          <w:sz w:val="24"/>
          <w:szCs w:val="24"/>
        </w:rPr>
      </w:pPr>
      <w:r w:rsidRPr="001E6A2C">
        <w:rPr>
          <w:rFonts w:ascii="Times New Roman" w:eastAsia="Georgia" w:hAnsi="Times New Roman" w:cs="Times New Roman"/>
          <w:sz w:val="24"/>
          <w:szCs w:val="24"/>
        </w:rPr>
        <w:t xml:space="preserve">This study investigates the determinants shaping agricultural students’ perception and attitude toward </w:t>
      </w:r>
      <w:proofErr w:type="spellStart"/>
      <w:r w:rsidRPr="001E6A2C">
        <w:rPr>
          <w:rFonts w:ascii="Times New Roman" w:eastAsia="Georgia" w:hAnsi="Times New Roman" w:cs="Times New Roman"/>
          <w:sz w:val="24"/>
          <w:szCs w:val="24"/>
        </w:rPr>
        <w:t>agripreneurship</w:t>
      </w:r>
      <w:proofErr w:type="spellEnd"/>
      <w:r w:rsidRPr="001E6A2C">
        <w:rPr>
          <w:rFonts w:ascii="Times New Roman" w:eastAsia="Georgia" w:hAnsi="Times New Roman" w:cs="Times New Roman"/>
          <w:sz w:val="24"/>
          <w:szCs w:val="24"/>
        </w:rPr>
        <w:t xml:space="preserve"> in Manipur, a region where agricultural revitalization is central to socio-economic advancement. A cross-sectional survey involving 100 undergraduate and postgraduate students from the South Asian Institute of Rural and Agricultural Management (SAIRAM) was conducted using a structured questionnaire. Descriptive analysis revealed high baseline awareness of </w:t>
      </w:r>
      <w:proofErr w:type="spellStart"/>
      <w:r w:rsidRPr="001E6A2C">
        <w:rPr>
          <w:rFonts w:ascii="Times New Roman" w:eastAsia="Georgia" w:hAnsi="Times New Roman" w:cs="Times New Roman"/>
          <w:sz w:val="24"/>
          <w:szCs w:val="24"/>
        </w:rPr>
        <w:t>agripreneurship</w:t>
      </w:r>
      <w:proofErr w:type="spellEnd"/>
      <w:r w:rsidRPr="001E6A2C">
        <w:rPr>
          <w:rFonts w:ascii="Times New Roman" w:eastAsia="Georgia" w:hAnsi="Times New Roman" w:cs="Times New Roman"/>
          <w:sz w:val="24"/>
          <w:szCs w:val="24"/>
        </w:rPr>
        <w:t xml:space="preserve"> (92%), yet moderate knowledge of government schemes. Correlation analysis demonstrated that awareness (r = .708, p &lt; .001), information sources (r = .569, p &lt; .001), and scheme knowledge (r = .236, p = .018) were significantly associated with perception. Multiple regression analysis identified prior awareness as the only significant predictor (β = 0.70, p &lt; .001), explaining 52.3% of variance in attitudes, while demographic factors had no significant effects. These findings underscore the primacy of concept-level awareness over socio-demographic background in shaping </w:t>
      </w:r>
      <w:proofErr w:type="spellStart"/>
      <w:r w:rsidRPr="001E6A2C">
        <w:rPr>
          <w:rFonts w:ascii="Times New Roman" w:eastAsia="Georgia" w:hAnsi="Times New Roman" w:cs="Times New Roman"/>
          <w:sz w:val="24"/>
          <w:szCs w:val="24"/>
        </w:rPr>
        <w:t>agripreneurial</w:t>
      </w:r>
      <w:proofErr w:type="spellEnd"/>
      <w:r w:rsidRPr="001E6A2C">
        <w:rPr>
          <w:rFonts w:ascii="Times New Roman" w:eastAsia="Georgia" w:hAnsi="Times New Roman" w:cs="Times New Roman"/>
          <w:sz w:val="24"/>
          <w:szCs w:val="24"/>
        </w:rPr>
        <w:t xml:space="preserve"> orientation. The study highlights the strategic importance of awareness-driven extension education, curriculum integration, and experiential learning initiatives to foster </w:t>
      </w:r>
      <w:proofErr w:type="spellStart"/>
      <w:r w:rsidRPr="001E6A2C">
        <w:rPr>
          <w:rFonts w:ascii="Times New Roman" w:eastAsia="Georgia" w:hAnsi="Times New Roman" w:cs="Times New Roman"/>
          <w:sz w:val="24"/>
          <w:szCs w:val="24"/>
        </w:rPr>
        <w:t>agripreneurship</w:t>
      </w:r>
      <w:proofErr w:type="spellEnd"/>
      <w:r w:rsidRPr="001E6A2C">
        <w:rPr>
          <w:rFonts w:ascii="Times New Roman" w:eastAsia="Georgia" w:hAnsi="Times New Roman" w:cs="Times New Roman"/>
          <w:sz w:val="24"/>
          <w:szCs w:val="24"/>
        </w:rPr>
        <w:t xml:space="preserve"> among youth. Recommendations for policy, institutional practice, and future research are offered to strengthen </w:t>
      </w:r>
      <w:proofErr w:type="spellStart"/>
      <w:r w:rsidRPr="001E6A2C">
        <w:rPr>
          <w:rFonts w:ascii="Times New Roman" w:eastAsia="Georgia" w:hAnsi="Times New Roman" w:cs="Times New Roman"/>
          <w:sz w:val="24"/>
          <w:szCs w:val="24"/>
        </w:rPr>
        <w:t>agripreneurship</w:t>
      </w:r>
      <w:proofErr w:type="spellEnd"/>
      <w:r w:rsidRPr="001E6A2C">
        <w:rPr>
          <w:rFonts w:ascii="Times New Roman" w:eastAsia="Georgia" w:hAnsi="Times New Roman" w:cs="Times New Roman"/>
          <w:sz w:val="24"/>
          <w:szCs w:val="24"/>
        </w:rPr>
        <w:t xml:space="preserve"> development in Manipur.</w:t>
      </w:r>
    </w:p>
    <w:p w14:paraId="087D5231" w14:textId="65002B35" w:rsidR="00A46310"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Keywords:</w:t>
      </w:r>
      <w:r w:rsidRPr="00AD4936">
        <w:rPr>
          <w:rFonts w:ascii="Times New Roman" w:hAnsi="Times New Roman" w:cs="Times New Roman"/>
          <w:sz w:val="24"/>
          <w:szCs w:val="24"/>
        </w:rPr>
        <w:t xml:space="preserve">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agricultural students, perception, attitude, extension education, awareness</w:t>
      </w:r>
    </w:p>
    <w:p w14:paraId="040F3F74" w14:textId="2F5F7F96" w:rsidR="004A0086" w:rsidRPr="004A0086" w:rsidRDefault="004A0086" w:rsidP="004A0086">
      <w:pPr>
        <w:pStyle w:val="ListParagraph"/>
        <w:numPr>
          <w:ilvl w:val="0"/>
          <w:numId w:val="8"/>
        </w:numPr>
        <w:spacing w:after="210" w:line="360" w:lineRule="auto"/>
        <w:jc w:val="both"/>
        <w:rPr>
          <w:rFonts w:ascii="Times New Roman" w:hAnsi="Times New Roman" w:cs="Times New Roman"/>
          <w:color w:val="EE0000"/>
          <w:sz w:val="24"/>
          <w:szCs w:val="24"/>
        </w:rPr>
      </w:pPr>
      <w:r w:rsidRPr="004A0086">
        <w:rPr>
          <w:rFonts w:ascii="Times New Roman" w:hAnsi="Times New Roman" w:cs="Times New Roman"/>
          <w:color w:val="EE0000"/>
          <w:sz w:val="24"/>
          <w:szCs w:val="24"/>
        </w:rPr>
        <w:t>Add methodology details (sampling, tools used—correlation, regression).</w:t>
      </w:r>
    </w:p>
    <w:p w14:paraId="5801FC83" w14:textId="62D463F2" w:rsidR="004A0086" w:rsidRPr="004A0086" w:rsidRDefault="004A0086" w:rsidP="004A0086">
      <w:pPr>
        <w:pStyle w:val="ListParagraph"/>
        <w:numPr>
          <w:ilvl w:val="0"/>
          <w:numId w:val="8"/>
        </w:numPr>
        <w:spacing w:after="210" w:line="360" w:lineRule="auto"/>
        <w:jc w:val="both"/>
        <w:rPr>
          <w:rFonts w:ascii="Times New Roman" w:hAnsi="Times New Roman" w:cs="Times New Roman"/>
          <w:color w:val="EE0000"/>
          <w:sz w:val="24"/>
          <w:szCs w:val="24"/>
        </w:rPr>
      </w:pPr>
      <w:r w:rsidRPr="004A0086">
        <w:rPr>
          <w:rFonts w:ascii="Times New Roman" w:hAnsi="Times New Roman" w:cs="Times New Roman"/>
          <w:color w:val="EE0000"/>
          <w:sz w:val="24"/>
          <w:szCs w:val="24"/>
        </w:rPr>
        <w:t>Add numerical results (R², β values).</w:t>
      </w:r>
    </w:p>
    <w:p w14:paraId="3DFEF162" w14:textId="5958F3B2" w:rsidR="004A0086" w:rsidRPr="004A0086" w:rsidRDefault="004A0086" w:rsidP="004A0086">
      <w:pPr>
        <w:pStyle w:val="ListParagraph"/>
        <w:numPr>
          <w:ilvl w:val="0"/>
          <w:numId w:val="8"/>
        </w:numPr>
        <w:spacing w:after="210" w:line="360" w:lineRule="auto"/>
        <w:jc w:val="both"/>
        <w:rPr>
          <w:rFonts w:ascii="Times New Roman" w:hAnsi="Times New Roman" w:cs="Times New Roman"/>
          <w:color w:val="EE0000"/>
          <w:sz w:val="24"/>
          <w:szCs w:val="24"/>
        </w:rPr>
      </w:pPr>
      <w:r w:rsidRPr="004A0086">
        <w:rPr>
          <w:rFonts w:ascii="Times New Roman" w:hAnsi="Times New Roman" w:cs="Times New Roman"/>
          <w:color w:val="EE0000"/>
          <w:sz w:val="24"/>
          <w:szCs w:val="24"/>
        </w:rPr>
        <w:t xml:space="preserve">End with </w:t>
      </w:r>
      <w:r w:rsidRPr="004A0086">
        <w:rPr>
          <w:rFonts w:ascii="Times New Roman" w:hAnsi="Times New Roman" w:cs="Times New Roman"/>
          <w:b/>
          <w:bCs/>
          <w:color w:val="EE0000"/>
          <w:sz w:val="24"/>
          <w:szCs w:val="24"/>
        </w:rPr>
        <w:t>one practical implication</w:t>
      </w:r>
      <w:r w:rsidRPr="004A0086">
        <w:rPr>
          <w:rFonts w:ascii="Times New Roman" w:hAnsi="Times New Roman" w:cs="Times New Roman"/>
          <w:color w:val="EE0000"/>
          <w:sz w:val="24"/>
          <w:szCs w:val="24"/>
        </w:rPr>
        <w:t>.</w:t>
      </w:r>
    </w:p>
    <w:p w14:paraId="4AC6E011" w14:textId="77777777" w:rsidR="00A46310" w:rsidRPr="00AD4936" w:rsidRDefault="00B676CE" w:rsidP="00AD4936">
      <w:pPr>
        <w:spacing w:before="240" w:line="360" w:lineRule="auto"/>
        <w:jc w:val="both"/>
        <w:rPr>
          <w:rFonts w:ascii="Times New Roman" w:hAnsi="Times New Roman" w:cs="Times New Roman"/>
          <w:sz w:val="24"/>
          <w:szCs w:val="24"/>
        </w:rPr>
      </w:pPr>
      <w:bookmarkStart w:id="2" w:name="bm_1_introduction"/>
      <w:r w:rsidRPr="00AD4936">
        <w:rPr>
          <w:rFonts w:ascii="Times New Roman" w:hAnsi="Times New Roman" w:cs="Times New Roman"/>
          <w:b/>
          <w:sz w:val="24"/>
          <w:szCs w:val="24"/>
        </w:rPr>
        <w:t>1. Introduction</w:t>
      </w:r>
      <w:bookmarkEnd w:id="2"/>
    </w:p>
    <w:p w14:paraId="4A8EC3D7" w14:textId="4A1DFFC9"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eastAsia="Georgia" w:hAnsi="Times New Roman" w:cs="Times New Roman"/>
          <w:sz w:val="24"/>
          <w:szCs w:val="24"/>
        </w:rPr>
        <w:t xml:space="preserve">Agriculture constitutes one of the principal sources of revenue in Manipur and plays a pioneering role in strengthening the state's fiscal backbone. Despite its strategic importance, the agricultural </w:t>
      </w:r>
      <w:r w:rsidRPr="00AD4936">
        <w:rPr>
          <w:rFonts w:ascii="Times New Roman" w:eastAsia="Georgia" w:hAnsi="Times New Roman" w:cs="Times New Roman"/>
          <w:sz w:val="24"/>
          <w:szCs w:val="24"/>
        </w:rPr>
        <w:lastRenderedPageBreak/>
        <w:t xml:space="preserve">sector faces significant challenges, including persistent youth unemployment, rural poverty, limited value-added enterprise development, and inadequate adoption of modern farming practices. In this context, </w:t>
      </w:r>
      <w:proofErr w:type="spellStart"/>
      <w:r w:rsidRPr="00AD4936">
        <w:rPr>
          <w:rFonts w:ascii="Times New Roman" w:eastAsia="Georgia" w:hAnsi="Times New Roman" w:cs="Times New Roman"/>
          <w:sz w:val="24"/>
          <w:szCs w:val="24"/>
        </w:rPr>
        <w:t>agripreneurship</w:t>
      </w:r>
      <w:proofErr w:type="spellEnd"/>
      <w:r w:rsidR="00F6502B">
        <w:rPr>
          <w:rFonts w:ascii="Times New Roman" w:eastAsia="Georgia" w:hAnsi="Times New Roman" w:cs="Times New Roman"/>
          <w:sz w:val="24"/>
          <w:szCs w:val="24"/>
        </w:rPr>
        <w:t xml:space="preserve"> </w:t>
      </w:r>
      <w:r w:rsidRPr="00AD4936">
        <w:rPr>
          <w:rFonts w:ascii="Times New Roman" w:eastAsia="Georgia" w:hAnsi="Times New Roman" w:cs="Times New Roman"/>
          <w:sz w:val="24"/>
          <w:szCs w:val="24"/>
        </w:rPr>
        <w:t>the practice of combining agricultural production with entrepreneurial innovation</w:t>
      </w:r>
      <w:r w:rsidR="00F6502B">
        <w:rPr>
          <w:rFonts w:ascii="Times New Roman" w:eastAsia="Georgia" w:hAnsi="Times New Roman" w:cs="Times New Roman"/>
          <w:sz w:val="24"/>
          <w:szCs w:val="24"/>
        </w:rPr>
        <w:t xml:space="preserve"> </w:t>
      </w:r>
      <w:r w:rsidRPr="00AD4936">
        <w:rPr>
          <w:rFonts w:ascii="Times New Roman" w:eastAsia="Georgia" w:hAnsi="Times New Roman" w:cs="Times New Roman"/>
          <w:sz w:val="24"/>
          <w:szCs w:val="24"/>
        </w:rPr>
        <w:t xml:space="preserve">has emerged as a critically needed strategy to revitalize the agricultural sector, boost rural income, create employment opportunities for youth, and foster innovation in farm-based </w:t>
      </w:r>
      <w:proofErr w:type="gramStart"/>
      <w:r w:rsidRPr="00AD4936">
        <w:rPr>
          <w:rFonts w:ascii="Times New Roman" w:eastAsia="Georgia" w:hAnsi="Times New Roman" w:cs="Times New Roman"/>
          <w:sz w:val="24"/>
          <w:szCs w:val="24"/>
        </w:rPr>
        <w:t>enterprises[</w:t>
      </w:r>
      <w:proofErr w:type="gramEnd"/>
      <w:r w:rsidRPr="00AD4936">
        <w:rPr>
          <w:rFonts w:ascii="Times New Roman" w:eastAsia="Georgia" w:hAnsi="Times New Roman" w:cs="Times New Roman"/>
          <w:sz w:val="24"/>
          <w:szCs w:val="24"/>
        </w:rPr>
        <w:t>1].</w:t>
      </w:r>
    </w:p>
    <w:p w14:paraId="61FBFCE0" w14:textId="77777777" w:rsidR="00A46310" w:rsidRPr="00AD4936" w:rsidRDefault="00B676CE" w:rsidP="00AD4936">
      <w:pPr>
        <w:spacing w:after="210" w:line="360" w:lineRule="auto"/>
        <w:jc w:val="both"/>
        <w:rPr>
          <w:rFonts w:ascii="Times New Roman" w:hAnsi="Times New Roman" w:cs="Times New Roman"/>
          <w:sz w:val="24"/>
          <w:szCs w:val="24"/>
        </w:rPr>
      </w:pP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encompasses diverse activities ranging from precision agriculture and organic farming to value-addition, agricultural input supply, mechanization services, and agrotourism. By transitioning from subsistence farming to commercial agricultural enterprises,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can unlock the region's substantial untapped potential for agribusiness </w:t>
      </w:r>
      <w:proofErr w:type="gramStart"/>
      <w:r w:rsidRPr="00AD4936">
        <w:rPr>
          <w:rFonts w:ascii="Times New Roman" w:hAnsi="Times New Roman" w:cs="Times New Roman"/>
          <w:sz w:val="24"/>
          <w:szCs w:val="24"/>
        </w:rPr>
        <w:t>development[</w:t>
      </w:r>
      <w:proofErr w:type="gramEnd"/>
      <w:r w:rsidRPr="00AD4936">
        <w:rPr>
          <w:rFonts w:ascii="Times New Roman" w:hAnsi="Times New Roman" w:cs="Times New Roman"/>
          <w:sz w:val="24"/>
          <w:szCs w:val="24"/>
        </w:rPr>
        <w:t>1]. For Manipur specifically, where the economy is heavily dependent on traditional agriculture, the promotion of agricultural entrepreneurship represents a strategic imperative for economic diversification and rural development.</w:t>
      </w:r>
    </w:p>
    <w:p w14:paraId="1B20FB30" w14:textId="77777777"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However, the transition towards </w:t>
      </w:r>
      <w:proofErr w:type="spellStart"/>
      <w:r w:rsidRPr="00AD4936">
        <w:rPr>
          <w:rFonts w:ascii="Times New Roman" w:hAnsi="Times New Roman" w:cs="Times New Roman"/>
          <w:sz w:val="24"/>
          <w:szCs w:val="24"/>
        </w:rPr>
        <w:t>agripreneurial</w:t>
      </w:r>
      <w:proofErr w:type="spellEnd"/>
      <w:r w:rsidRPr="00AD4936">
        <w:rPr>
          <w:rFonts w:ascii="Times New Roman" w:hAnsi="Times New Roman" w:cs="Times New Roman"/>
          <w:sz w:val="24"/>
          <w:szCs w:val="24"/>
        </w:rPr>
        <w:t xml:space="preserve"> activities requires not only infrastructure and financial support but also a fundamental shift in the perceptions and attitudes of agricultural professionals and students towards self-employment and business enterprise in agriculture. Agricultural students represent a critical demographic, as they constitute the future workforce that will either adopt traditional employment paths or venture into entrepreneurial activities. Understanding the factors that shape their perceptions of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is essential for designing effective extension education programs and interventions.</w:t>
      </w:r>
    </w:p>
    <w:p w14:paraId="5B5123CC" w14:textId="77777777" w:rsidR="00A46310" w:rsidRPr="00AD4936" w:rsidRDefault="00B676CE" w:rsidP="00AD4936">
      <w:pPr>
        <w:spacing w:before="240" w:line="360" w:lineRule="auto"/>
        <w:jc w:val="both"/>
        <w:rPr>
          <w:rFonts w:ascii="Times New Roman" w:hAnsi="Times New Roman" w:cs="Times New Roman"/>
          <w:sz w:val="24"/>
          <w:szCs w:val="24"/>
        </w:rPr>
      </w:pPr>
      <w:bookmarkStart w:id="3" w:name="bm_1_1_problem_context"/>
      <w:r w:rsidRPr="00AD4936">
        <w:rPr>
          <w:rFonts w:ascii="Times New Roman" w:hAnsi="Times New Roman" w:cs="Times New Roman"/>
          <w:b/>
          <w:sz w:val="24"/>
          <w:szCs w:val="24"/>
        </w:rPr>
        <w:t>1.1 Problem Context</w:t>
      </w:r>
      <w:bookmarkEnd w:id="3"/>
    </w:p>
    <w:p w14:paraId="52D72E43" w14:textId="77777777" w:rsidR="00A46310"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Despite the documented potential of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for addressing rural unemployment and agricultural development, limited research has examined the psychosocial factors influencing agricultural students' attitudes towards entrepreneurship in the Indian context, particularly in northeastern states such as Manipur. Previous studies have identified various determinants of entrepreneurial intention, including demographic characteristics, family background, educational exposure, and awareness of entrepreneurial </w:t>
      </w:r>
      <w:proofErr w:type="gramStart"/>
      <w:r w:rsidRPr="00AD4936">
        <w:rPr>
          <w:rFonts w:ascii="Times New Roman" w:hAnsi="Times New Roman" w:cs="Times New Roman"/>
          <w:sz w:val="24"/>
          <w:szCs w:val="24"/>
        </w:rPr>
        <w:t>opportunities[</w:t>
      </w:r>
      <w:proofErr w:type="gramEnd"/>
      <w:r w:rsidRPr="00AD4936">
        <w:rPr>
          <w:rFonts w:ascii="Times New Roman" w:hAnsi="Times New Roman" w:cs="Times New Roman"/>
          <w:sz w:val="24"/>
          <w:szCs w:val="24"/>
        </w:rPr>
        <w:t xml:space="preserve">2][3]. However, the relative importance of these factors in shaping attitudes towards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remains unclear, particularly in contexts with distinct socioeconomic and agricultural profiles such as Manipur.</w:t>
      </w:r>
    </w:p>
    <w:p w14:paraId="118CC044" w14:textId="7DCA2BF8" w:rsidR="004A0086" w:rsidRPr="004A0086" w:rsidRDefault="004A0086" w:rsidP="004A0086">
      <w:pPr>
        <w:pStyle w:val="ListParagraph"/>
        <w:numPr>
          <w:ilvl w:val="0"/>
          <w:numId w:val="6"/>
        </w:numPr>
        <w:spacing w:after="210" w:line="360" w:lineRule="auto"/>
        <w:jc w:val="both"/>
        <w:rPr>
          <w:rFonts w:ascii="Times New Roman" w:hAnsi="Times New Roman" w:cs="Times New Roman"/>
          <w:color w:val="EE0000"/>
          <w:sz w:val="24"/>
          <w:szCs w:val="24"/>
        </w:rPr>
      </w:pPr>
      <w:r w:rsidRPr="004A0086">
        <w:rPr>
          <w:rFonts w:ascii="Times New Roman" w:hAnsi="Times New Roman" w:cs="Times New Roman"/>
          <w:color w:val="EE0000"/>
          <w:sz w:val="24"/>
          <w:szCs w:val="24"/>
        </w:rPr>
        <w:lastRenderedPageBreak/>
        <w:t>Add more recent statistics about Manipur's agriculture (youth unemployment, % dependent on farming, contribution to GSDP).</w:t>
      </w:r>
    </w:p>
    <w:p w14:paraId="5FB89BA3" w14:textId="3AA589BA" w:rsidR="004A0086" w:rsidRPr="004A0086" w:rsidRDefault="004A0086" w:rsidP="004A0086">
      <w:pPr>
        <w:pStyle w:val="ListParagraph"/>
        <w:numPr>
          <w:ilvl w:val="0"/>
          <w:numId w:val="6"/>
        </w:numPr>
        <w:spacing w:after="210" w:line="360" w:lineRule="auto"/>
        <w:jc w:val="both"/>
        <w:rPr>
          <w:rFonts w:ascii="Times New Roman" w:hAnsi="Times New Roman" w:cs="Times New Roman"/>
          <w:color w:val="EE0000"/>
          <w:sz w:val="24"/>
          <w:szCs w:val="24"/>
        </w:rPr>
      </w:pPr>
      <w:r w:rsidRPr="004A0086">
        <w:rPr>
          <w:rFonts w:ascii="Times New Roman" w:hAnsi="Times New Roman" w:cs="Times New Roman"/>
          <w:color w:val="EE0000"/>
          <w:sz w:val="24"/>
          <w:szCs w:val="24"/>
        </w:rPr>
        <w:t>Clearly highlight the research gap in 2–3 crisp lines.</w:t>
      </w:r>
    </w:p>
    <w:p w14:paraId="48379920" w14:textId="01371938" w:rsidR="004A0086" w:rsidRDefault="004A0086" w:rsidP="004A0086">
      <w:pPr>
        <w:pStyle w:val="ListParagraph"/>
        <w:numPr>
          <w:ilvl w:val="0"/>
          <w:numId w:val="6"/>
        </w:numPr>
        <w:spacing w:after="210" w:line="360" w:lineRule="auto"/>
        <w:jc w:val="both"/>
        <w:rPr>
          <w:rFonts w:ascii="Times New Roman" w:hAnsi="Times New Roman" w:cs="Times New Roman"/>
          <w:color w:val="EE0000"/>
          <w:sz w:val="24"/>
          <w:szCs w:val="24"/>
        </w:rPr>
      </w:pPr>
      <w:r w:rsidRPr="004A0086">
        <w:rPr>
          <w:rFonts w:ascii="Times New Roman" w:hAnsi="Times New Roman" w:cs="Times New Roman"/>
          <w:color w:val="EE0000"/>
          <w:sz w:val="24"/>
          <w:szCs w:val="24"/>
        </w:rPr>
        <w:t xml:space="preserve">Add a conceptual definition of “perception” and “attitude” in </w:t>
      </w:r>
      <w:proofErr w:type="spellStart"/>
      <w:r w:rsidRPr="004A0086">
        <w:rPr>
          <w:rFonts w:ascii="Times New Roman" w:hAnsi="Times New Roman" w:cs="Times New Roman"/>
          <w:color w:val="EE0000"/>
          <w:sz w:val="24"/>
          <w:szCs w:val="24"/>
        </w:rPr>
        <w:t>agripreneurship</w:t>
      </w:r>
      <w:proofErr w:type="spellEnd"/>
      <w:r w:rsidRPr="004A0086">
        <w:rPr>
          <w:rFonts w:ascii="Times New Roman" w:hAnsi="Times New Roman" w:cs="Times New Roman"/>
          <w:color w:val="EE0000"/>
          <w:sz w:val="24"/>
          <w:szCs w:val="24"/>
        </w:rPr>
        <w:t>.</w:t>
      </w:r>
    </w:p>
    <w:p w14:paraId="7DAC2E83" w14:textId="24AF14A6" w:rsidR="004A0086" w:rsidRPr="00A733D3" w:rsidRDefault="00A733D3" w:rsidP="00AD4936">
      <w:pPr>
        <w:pStyle w:val="ListParagraph"/>
        <w:numPr>
          <w:ilvl w:val="0"/>
          <w:numId w:val="6"/>
        </w:numPr>
        <w:spacing w:after="210" w:line="360" w:lineRule="auto"/>
        <w:jc w:val="both"/>
        <w:rPr>
          <w:rFonts w:ascii="Times New Roman" w:hAnsi="Times New Roman" w:cs="Times New Roman"/>
          <w:color w:val="EE0000"/>
          <w:sz w:val="24"/>
          <w:szCs w:val="24"/>
        </w:rPr>
      </w:pPr>
      <w:r w:rsidRPr="00A733D3">
        <w:rPr>
          <w:rFonts w:ascii="Times New Roman" w:hAnsi="Times New Roman" w:cs="Times New Roman"/>
          <w:color w:val="EE0000"/>
          <w:sz w:val="24"/>
          <w:szCs w:val="24"/>
        </w:rPr>
        <w:t>Add 1–2 references showing the lack of research in the Northeast.</w:t>
      </w:r>
    </w:p>
    <w:p w14:paraId="2416A26C" w14:textId="77777777" w:rsidR="00A46310" w:rsidRPr="00AD4936" w:rsidRDefault="00B676CE" w:rsidP="00AD4936">
      <w:pPr>
        <w:spacing w:before="240" w:line="360" w:lineRule="auto"/>
        <w:jc w:val="both"/>
        <w:rPr>
          <w:rFonts w:ascii="Times New Roman" w:hAnsi="Times New Roman" w:cs="Times New Roman"/>
          <w:sz w:val="24"/>
          <w:szCs w:val="24"/>
        </w:rPr>
      </w:pPr>
      <w:bookmarkStart w:id="4" w:name="bm_1_2_study_objectives"/>
      <w:r w:rsidRPr="00AD4936">
        <w:rPr>
          <w:rFonts w:ascii="Times New Roman" w:hAnsi="Times New Roman" w:cs="Times New Roman"/>
          <w:b/>
          <w:sz w:val="24"/>
          <w:szCs w:val="24"/>
        </w:rPr>
        <w:t>1.2 Study Objectives</w:t>
      </w:r>
      <w:bookmarkEnd w:id="4"/>
    </w:p>
    <w:p w14:paraId="1361DA29" w14:textId="77777777"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This study was designed to:</w:t>
      </w:r>
    </w:p>
    <w:p w14:paraId="2BFB10F7" w14:textId="77777777" w:rsidR="00A46310" w:rsidRPr="00AD4936" w:rsidRDefault="00B676CE" w:rsidP="00AD4936">
      <w:pPr>
        <w:numPr>
          <w:ilvl w:val="0"/>
          <w:numId w:val="1"/>
        </w:numPr>
        <w:spacing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Assess the current level of awareness among agricultural students regarding the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concept</w:t>
      </w:r>
    </w:p>
    <w:p w14:paraId="59C6A4CD" w14:textId="77777777" w:rsidR="00A46310" w:rsidRPr="00AD4936" w:rsidRDefault="00B676CE" w:rsidP="00AD4936">
      <w:pPr>
        <w:numPr>
          <w:ilvl w:val="0"/>
          <w:numId w:val="1"/>
        </w:numPr>
        <w:spacing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Examine the relationship between demographic characteristics and perception of </w:t>
      </w:r>
      <w:proofErr w:type="spellStart"/>
      <w:r w:rsidRPr="00AD4936">
        <w:rPr>
          <w:rFonts w:ascii="Times New Roman" w:hAnsi="Times New Roman" w:cs="Times New Roman"/>
          <w:sz w:val="24"/>
          <w:szCs w:val="24"/>
        </w:rPr>
        <w:t>agripreneurship</w:t>
      </w:r>
      <w:proofErr w:type="spellEnd"/>
    </w:p>
    <w:p w14:paraId="34AD3AD8" w14:textId="77777777" w:rsidR="00A46310" w:rsidRPr="00AD4936" w:rsidRDefault="00B676CE" w:rsidP="00AD4936">
      <w:pPr>
        <w:numPr>
          <w:ilvl w:val="0"/>
          <w:numId w:val="1"/>
        </w:numPr>
        <w:spacing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Evaluate the role of awareness, information sources, and knowledge of government schemes in shaping attitudes towards </w:t>
      </w:r>
      <w:proofErr w:type="spellStart"/>
      <w:r w:rsidRPr="00AD4936">
        <w:rPr>
          <w:rFonts w:ascii="Times New Roman" w:hAnsi="Times New Roman" w:cs="Times New Roman"/>
          <w:sz w:val="24"/>
          <w:szCs w:val="24"/>
        </w:rPr>
        <w:t>agripreneurship</w:t>
      </w:r>
      <w:proofErr w:type="spellEnd"/>
    </w:p>
    <w:p w14:paraId="74B7394C" w14:textId="77777777" w:rsidR="00A46310" w:rsidRPr="00AD4936" w:rsidRDefault="00B676CE" w:rsidP="00AD4936">
      <w:pPr>
        <w:numPr>
          <w:ilvl w:val="0"/>
          <w:numId w:val="1"/>
        </w:numPr>
        <w:spacing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Identify the primary determinants of positive perception and attitude towards </w:t>
      </w:r>
      <w:proofErr w:type="spellStart"/>
      <w:r w:rsidRPr="00AD4936">
        <w:rPr>
          <w:rFonts w:ascii="Times New Roman" w:hAnsi="Times New Roman" w:cs="Times New Roman"/>
          <w:sz w:val="24"/>
          <w:szCs w:val="24"/>
        </w:rPr>
        <w:t>agripreneurship</w:t>
      </w:r>
      <w:proofErr w:type="spellEnd"/>
    </w:p>
    <w:p w14:paraId="7F1B52CB" w14:textId="7461A948" w:rsidR="00A46310" w:rsidRPr="00AD4936" w:rsidRDefault="00B676CE" w:rsidP="00AD4936">
      <w:pPr>
        <w:numPr>
          <w:ilvl w:val="0"/>
          <w:numId w:val="1"/>
        </w:numPr>
        <w:spacing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Provide evidence-based recommendations for extension education programs promoting </w:t>
      </w:r>
      <w:proofErr w:type="spellStart"/>
      <w:r w:rsidRPr="00AD4936">
        <w:rPr>
          <w:rFonts w:ascii="Times New Roman" w:hAnsi="Times New Roman" w:cs="Times New Roman"/>
          <w:sz w:val="24"/>
          <w:szCs w:val="24"/>
        </w:rPr>
        <w:t>agripreneurship</w:t>
      </w:r>
      <w:proofErr w:type="spellEnd"/>
    </w:p>
    <w:p w14:paraId="564428FC" w14:textId="77777777" w:rsidR="00A46310" w:rsidRPr="00AD4936" w:rsidRDefault="00B676CE" w:rsidP="00AD4936">
      <w:pPr>
        <w:spacing w:before="240" w:line="360" w:lineRule="auto"/>
        <w:jc w:val="both"/>
        <w:rPr>
          <w:rFonts w:ascii="Times New Roman" w:hAnsi="Times New Roman" w:cs="Times New Roman"/>
          <w:sz w:val="24"/>
          <w:szCs w:val="24"/>
        </w:rPr>
      </w:pPr>
      <w:bookmarkStart w:id="5" w:name="bm_2_materials_and_methods"/>
      <w:r w:rsidRPr="00AD4936">
        <w:rPr>
          <w:rFonts w:ascii="Times New Roman" w:hAnsi="Times New Roman" w:cs="Times New Roman"/>
          <w:b/>
          <w:sz w:val="24"/>
          <w:szCs w:val="24"/>
        </w:rPr>
        <w:t>2. Materials and Methods</w:t>
      </w:r>
      <w:bookmarkEnd w:id="5"/>
    </w:p>
    <w:p w14:paraId="0FE5337A" w14:textId="77777777" w:rsidR="00A46310" w:rsidRPr="00AD4936" w:rsidRDefault="00B676CE" w:rsidP="00AD4936">
      <w:pPr>
        <w:spacing w:before="240" w:line="360" w:lineRule="auto"/>
        <w:jc w:val="both"/>
        <w:rPr>
          <w:rFonts w:ascii="Times New Roman" w:hAnsi="Times New Roman" w:cs="Times New Roman"/>
          <w:sz w:val="24"/>
          <w:szCs w:val="24"/>
        </w:rPr>
      </w:pPr>
      <w:bookmarkStart w:id="6" w:name="bm_2_1_study_design"/>
      <w:r w:rsidRPr="00AD4936">
        <w:rPr>
          <w:rFonts w:ascii="Times New Roman" w:hAnsi="Times New Roman" w:cs="Times New Roman"/>
          <w:b/>
          <w:sz w:val="24"/>
          <w:szCs w:val="24"/>
        </w:rPr>
        <w:t>2.1 Study Design</w:t>
      </w:r>
      <w:bookmarkEnd w:id="6"/>
    </w:p>
    <w:p w14:paraId="66F48052" w14:textId="77777777"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A cross-sectional survey design was adopted to assess the factors influencing agricultural students' perception and attitude towards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This design allowed for the simultaneous examination of multiple variables and their associations with perceptions at a single point in time, making it appropriate for exploratory and hypothesis-testing </w:t>
      </w:r>
      <w:proofErr w:type="gramStart"/>
      <w:r w:rsidRPr="00AD4936">
        <w:rPr>
          <w:rFonts w:ascii="Times New Roman" w:hAnsi="Times New Roman" w:cs="Times New Roman"/>
          <w:sz w:val="24"/>
          <w:szCs w:val="24"/>
        </w:rPr>
        <w:t>research[</w:t>
      </w:r>
      <w:proofErr w:type="gramEnd"/>
      <w:r w:rsidRPr="00AD4936">
        <w:rPr>
          <w:rFonts w:ascii="Times New Roman" w:hAnsi="Times New Roman" w:cs="Times New Roman"/>
          <w:sz w:val="24"/>
          <w:szCs w:val="24"/>
        </w:rPr>
        <w:t>4].</w:t>
      </w:r>
    </w:p>
    <w:p w14:paraId="4CEBC20C" w14:textId="77777777" w:rsidR="00A46310" w:rsidRPr="00AD4936" w:rsidRDefault="00B676CE" w:rsidP="00AD4936">
      <w:pPr>
        <w:spacing w:before="240" w:line="360" w:lineRule="auto"/>
        <w:jc w:val="both"/>
        <w:rPr>
          <w:rFonts w:ascii="Times New Roman" w:hAnsi="Times New Roman" w:cs="Times New Roman"/>
          <w:sz w:val="24"/>
          <w:szCs w:val="24"/>
        </w:rPr>
      </w:pPr>
      <w:bookmarkStart w:id="7" w:name="bm_2_2_study_population_and_sampling"/>
      <w:r w:rsidRPr="00AD4936">
        <w:rPr>
          <w:rFonts w:ascii="Times New Roman" w:hAnsi="Times New Roman" w:cs="Times New Roman"/>
          <w:b/>
          <w:sz w:val="24"/>
          <w:szCs w:val="24"/>
        </w:rPr>
        <w:t>2.2 Study Population and Sampling</w:t>
      </w:r>
      <w:bookmarkEnd w:id="7"/>
    </w:p>
    <w:p w14:paraId="0B8034A8" w14:textId="77777777"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The target population consisted of students enrolled in undergraduate and postgraduate agricultural programs at the South Asian Institute of Rural and Agricultural Management (SAIRAM), Manipur. </w:t>
      </w:r>
      <w:r w:rsidRPr="00AD4936">
        <w:rPr>
          <w:rFonts w:ascii="Times New Roman" w:hAnsi="Times New Roman" w:cs="Times New Roman"/>
          <w:sz w:val="24"/>
          <w:szCs w:val="24"/>
        </w:rPr>
        <w:lastRenderedPageBreak/>
        <w:t>The total population from which the sample was drawn comprised 257 students. Using purposive sampling methodology, a sample of 100 students was selected to participate in the study. The sample was diverse in terms of gender, year of study, family background, and place of residence, ensuring representation across key demographic strata.</w:t>
      </w:r>
    </w:p>
    <w:p w14:paraId="5070D2E4" w14:textId="77777777" w:rsidR="00A46310" w:rsidRPr="00AD4936" w:rsidRDefault="00B676CE" w:rsidP="00AD4936">
      <w:pPr>
        <w:spacing w:before="240" w:line="360" w:lineRule="auto"/>
        <w:jc w:val="both"/>
        <w:rPr>
          <w:rFonts w:ascii="Times New Roman" w:hAnsi="Times New Roman" w:cs="Times New Roman"/>
          <w:sz w:val="24"/>
          <w:szCs w:val="24"/>
        </w:rPr>
      </w:pPr>
      <w:bookmarkStart w:id="8" w:name="bm_2_3_data_collection_instrument"/>
      <w:r w:rsidRPr="00AD4936">
        <w:rPr>
          <w:rFonts w:ascii="Times New Roman" w:hAnsi="Times New Roman" w:cs="Times New Roman"/>
          <w:b/>
          <w:sz w:val="24"/>
          <w:szCs w:val="24"/>
        </w:rPr>
        <w:t>2.3 Data Collection Instrument</w:t>
      </w:r>
      <w:bookmarkEnd w:id="8"/>
    </w:p>
    <w:p w14:paraId="13576812" w14:textId="77777777"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A structured questionnaire was developed and administered to collect data. The questionnaire comprised four main sections:</w:t>
      </w:r>
    </w:p>
    <w:p w14:paraId="1B403BF4" w14:textId="77777777" w:rsidR="00A46310" w:rsidRPr="00AD4936" w:rsidRDefault="00B676CE" w:rsidP="00AD4936">
      <w:pPr>
        <w:numPr>
          <w:ilvl w:val="0"/>
          <w:numId w:val="2"/>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Demographic Information:</w:t>
      </w:r>
      <w:r w:rsidRPr="00AD4936">
        <w:rPr>
          <w:rFonts w:ascii="Times New Roman" w:hAnsi="Times New Roman" w:cs="Times New Roman"/>
          <w:sz w:val="24"/>
          <w:szCs w:val="24"/>
        </w:rPr>
        <w:t xml:space="preserve"> Variables included gender, age, year of study (undergraduate vs. postgraduate), family background (agricultural vs. non-agricultural), and place of residence (urban, semi-urban, or rural).</w:t>
      </w:r>
    </w:p>
    <w:p w14:paraId="0A48C913" w14:textId="77777777" w:rsidR="00A46310" w:rsidRPr="00AD4936" w:rsidRDefault="00B676CE" w:rsidP="00AD4936">
      <w:pPr>
        <w:numPr>
          <w:ilvl w:val="0"/>
          <w:numId w:val="2"/>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Awareness and Exposure:</w:t>
      </w:r>
      <w:r w:rsidRPr="00AD4936">
        <w:rPr>
          <w:rFonts w:ascii="Times New Roman" w:hAnsi="Times New Roman" w:cs="Times New Roman"/>
          <w:sz w:val="24"/>
          <w:szCs w:val="24"/>
        </w:rPr>
        <w:t xml:space="preserve"> This section assessed prior knowledge of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using a binary item ("Have you heard about the concept of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sources of information (ranging from educational institutions, media, personal networks, extension services, and others), and familiarity with government schemes supporting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(binary yes/no format).</w:t>
      </w:r>
    </w:p>
    <w:p w14:paraId="255691AE" w14:textId="77777777" w:rsidR="00A46310" w:rsidRPr="00AD4936" w:rsidRDefault="00B676CE" w:rsidP="00AD4936">
      <w:pPr>
        <w:numPr>
          <w:ilvl w:val="0"/>
          <w:numId w:val="2"/>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Perception and Attitude:</w:t>
      </w:r>
      <w:r w:rsidRPr="00AD4936">
        <w:rPr>
          <w:rFonts w:ascii="Times New Roman" w:hAnsi="Times New Roman" w:cs="Times New Roman"/>
          <w:sz w:val="24"/>
          <w:szCs w:val="24"/>
        </w:rPr>
        <w:t xml:space="preserve"> Multiple Likert-scale statements (typically 5-point) measured overall perception and attitude towards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with both positively and negatively worded items to ensure reliability and reduce response bias.</w:t>
      </w:r>
    </w:p>
    <w:p w14:paraId="051F8766" w14:textId="77777777" w:rsidR="00A46310" w:rsidRPr="00AD4936" w:rsidRDefault="00B676CE" w:rsidP="00AD4936">
      <w:pPr>
        <w:numPr>
          <w:ilvl w:val="0"/>
          <w:numId w:val="2"/>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Additional variables:</w:t>
      </w:r>
      <w:r w:rsidRPr="00AD4936">
        <w:rPr>
          <w:rFonts w:ascii="Times New Roman" w:hAnsi="Times New Roman" w:cs="Times New Roman"/>
          <w:sz w:val="24"/>
          <w:szCs w:val="24"/>
        </w:rPr>
        <w:t xml:space="preserve"> The instrument also collected information on year of study and educational status.</w:t>
      </w:r>
    </w:p>
    <w:p w14:paraId="2599F699" w14:textId="77777777" w:rsidR="00A46310" w:rsidRPr="00AD4936" w:rsidRDefault="00B676CE" w:rsidP="00AD4936">
      <w:pPr>
        <w:spacing w:before="240" w:line="360" w:lineRule="auto"/>
        <w:jc w:val="both"/>
        <w:rPr>
          <w:rFonts w:ascii="Times New Roman" w:hAnsi="Times New Roman" w:cs="Times New Roman"/>
          <w:sz w:val="24"/>
          <w:szCs w:val="24"/>
        </w:rPr>
      </w:pPr>
      <w:bookmarkStart w:id="9" w:name="bm_2_4_data_analysis"/>
      <w:r w:rsidRPr="00AD4936">
        <w:rPr>
          <w:rFonts w:ascii="Times New Roman" w:hAnsi="Times New Roman" w:cs="Times New Roman"/>
          <w:b/>
          <w:sz w:val="24"/>
          <w:szCs w:val="24"/>
        </w:rPr>
        <w:t>2.4 Data Analysis</w:t>
      </w:r>
      <w:bookmarkEnd w:id="9"/>
    </w:p>
    <w:p w14:paraId="1E961B4F" w14:textId="77777777"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eastAsia="Georgia" w:hAnsi="Times New Roman" w:cs="Times New Roman"/>
          <w:sz w:val="24"/>
          <w:szCs w:val="24"/>
        </w:rPr>
        <w:t xml:space="preserve">Data were analyzed using IBM SPSS Statistics (version 26.0). Descriptive statistics (mean, standard deviation, range, and variance) were computed for all variables to characterize the sample. To examine relationships between predictor variables and overall perception/attitude towards </w:t>
      </w:r>
      <w:proofErr w:type="spellStart"/>
      <w:r w:rsidRPr="00AD4936">
        <w:rPr>
          <w:rFonts w:ascii="Times New Roman" w:eastAsia="Georgia" w:hAnsi="Times New Roman" w:cs="Times New Roman"/>
          <w:sz w:val="24"/>
          <w:szCs w:val="24"/>
        </w:rPr>
        <w:t>agripreneurship</w:t>
      </w:r>
      <w:proofErr w:type="spellEnd"/>
      <w:r w:rsidRPr="00AD4936">
        <w:rPr>
          <w:rFonts w:ascii="Times New Roman" w:eastAsia="Georgia" w:hAnsi="Times New Roman" w:cs="Times New Roman"/>
          <w:sz w:val="24"/>
          <w:szCs w:val="24"/>
        </w:rPr>
        <w:t xml:space="preserve">, Pearson correlation coefficients were computed. Subsequently, multiple linear regression analysis was conducted with overall perception and attitude as the dependent variable and demographic, awareness, and exposure variables as independent predictors. The significance </w:t>
      </w:r>
      <w:r w:rsidRPr="00AD4936">
        <w:rPr>
          <w:rFonts w:ascii="Times New Roman" w:eastAsia="Georgia" w:hAnsi="Times New Roman" w:cs="Times New Roman"/>
          <w:sz w:val="24"/>
          <w:szCs w:val="24"/>
        </w:rPr>
        <w:lastRenderedPageBreak/>
        <w:t>level was set at α = 0.05 for all statistical tests. Standardized coefficients (β), unstandardized coefficients (B), standard errors, and p-values were reported to facilitate interpretation.</w:t>
      </w:r>
    </w:p>
    <w:p w14:paraId="7FA2635D" w14:textId="77777777" w:rsidR="00A46310" w:rsidRPr="00AD4936" w:rsidRDefault="00B676CE" w:rsidP="00AD4936">
      <w:pPr>
        <w:spacing w:before="240" w:line="360" w:lineRule="auto"/>
        <w:jc w:val="both"/>
        <w:rPr>
          <w:rFonts w:ascii="Times New Roman" w:hAnsi="Times New Roman" w:cs="Times New Roman"/>
          <w:sz w:val="24"/>
          <w:szCs w:val="24"/>
        </w:rPr>
      </w:pPr>
      <w:bookmarkStart w:id="10" w:name="bm_2_5_ethical_considerations"/>
      <w:r w:rsidRPr="00AD4936">
        <w:rPr>
          <w:rFonts w:ascii="Times New Roman" w:hAnsi="Times New Roman" w:cs="Times New Roman"/>
          <w:b/>
          <w:sz w:val="24"/>
          <w:szCs w:val="24"/>
        </w:rPr>
        <w:t>2.5 Ethical Considerations</w:t>
      </w:r>
      <w:bookmarkEnd w:id="10"/>
    </w:p>
    <w:p w14:paraId="671E0B7C" w14:textId="07C6E0DE"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Informed consent was obtained from all participants prior to questionnaire administration. Participation was voluntary, and participants were assured of confidentiality and anonymity. The study protocol adhered to ethical guidelines for research involving human subjects.</w:t>
      </w:r>
    </w:p>
    <w:p w14:paraId="06AB7CCD" w14:textId="77777777" w:rsidR="00A46310" w:rsidRPr="00AD4936" w:rsidRDefault="00B676CE" w:rsidP="00AD4936">
      <w:pPr>
        <w:spacing w:before="240" w:line="360" w:lineRule="auto"/>
        <w:jc w:val="both"/>
        <w:rPr>
          <w:rFonts w:ascii="Times New Roman" w:hAnsi="Times New Roman" w:cs="Times New Roman"/>
          <w:sz w:val="24"/>
          <w:szCs w:val="24"/>
        </w:rPr>
      </w:pPr>
      <w:bookmarkStart w:id="11" w:name="bm_3_results"/>
      <w:r w:rsidRPr="00AD4936">
        <w:rPr>
          <w:rFonts w:ascii="Times New Roman" w:hAnsi="Times New Roman" w:cs="Times New Roman"/>
          <w:b/>
          <w:sz w:val="24"/>
          <w:szCs w:val="24"/>
        </w:rPr>
        <w:t>3. Results</w:t>
      </w:r>
      <w:bookmarkEnd w:id="11"/>
    </w:p>
    <w:p w14:paraId="4E1FE87F" w14:textId="77777777" w:rsidR="000A099C" w:rsidRPr="00AD4936" w:rsidRDefault="000A099C" w:rsidP="000A099C">
      <w:pPr>
        <w:spacing w:before="240" w:line="360" w:lineRule="auto"/>
        <w:jc w:val="both"/>
        <w:rPr>
          <w:rFonts w:ascii="Times New Roman" w:hAnsi="Times New Roman" w:cs="Times New Roman"/>
          <w:sz w:val="24"/>
          <w:szCs w:val="24"/>
        </w:rPr>
      </w:pPr>
      <w:bookmarkStart w:id="12" w:name="bm_3_1_descriptive_statistics_of_c01004"/>
      <w:bookmarkStart w:id="13" w:name="bm_4_discussion"/>
      <w:r w:rsidRPr="00AD4936">
        <w:rPr>
          <w:rFonts w:ascii="Times New Roman" w:hAnsi="Times New Roman" w:cs="Times New Roman"/>
          <w:b/>
          <w:sz w:val="24"/>
          <w:szCs w:val="24"/>
        </w:rPr>
        <w:t>3.1 Descriptive Statistics of Sample Characteristics</w:t>
      </w:r>
      <w:bookmarkEnd w:id="12"/>
    </w:p>
    <w:p w14:paraId="4132D687" w14:textId="77777777" w:rsidR="000A099C" w:rsidRDefault="000A099C" w:rsidP="000A099C">
      <w:pPr>
        <w:spacing w:line="360" w:lineRule="auto"/>
        <w:jc w:val="both"/>
        <w:rPr>
          <w:rFonts w:ascii="Times New Roman" w:eastAsia="Georgia" w:hAnsi="Times New Roman" w:cs="Times New Roman"/>
          <w:sz w:val="24"/>
          <w:szCs w:val="24"/>
        </w:rPr>
      </w:pPr>
      <w:r w:rsidRPr="000A099C">
        <w:rPr>
          <w:rFonts w:ascii="Times New Roman" w:eastAsia="Georgia" w:hAnsi="Times New Roman" w:cs="Times New Roman"/>
          <w:sz w:val="24"/>
          <w:szCs w:val="24"/>
        </w:rPr>
        <w:t xml:space="preserve">The descriptive statistics for the study sample (N = 100) provide an overview of respondents’ demographic and exposure-related characteristics relevant to understanding their perception and attitude toward </w:t>
      </w:r>
      <w:proofErr w:type="spellStart"/>
      <w:r w:rsidRPr="000A099C">
        <w:rPr>
          <w:rFonts w:ascii="Times New Roman" w:eastAsia="Georgia" w:hAnsi="Times New Roman" w:cs="Times New Roman"/>
          <w:sz w:val="24"/>
          <w:szCs w:val="24"/>
        </w:rPr>
        <w:t>agripreneurship</w:t>
      </w:r>
      <w:proofErr w:type="spellEnd"/>
      <w:r w:rsidRPr="000A099C">
        <w:rPr>
          <w:rFonts w:ascii="Times New Roman" w:eastAsia="Georgia" w:hAnsi="Times New Roman" w:cs="Times New Roman"/>
          <w:sz w:val="24"/>
          <w:szCs w:val="24"/>
        </w:rPr>
        <w:t>. These indicators reflect the diversity of student backgrounds and levels of awareness that may later influence analytical outcomes. The summary of all variables is presented in Table 1, which outlines the distribution, ranges, means, and variances for each measure included in the study.</w:t>
      </w:r>
    </w:p>
    <w:p w14:paraId="30BB53E3" w14:textId="0A6AE07D" w:rsidR="000A099C" w:rsidRPr="000A099C" w:rsidRDefault="000A099C" w:rsidP="000A099C">
      <w:pPr>
        <w:spacing w:line="360" w:lineRule="auto"/>
        <w:jc w:val="both"/>
        <w:rPr>
          <w:rFonts w:ascii="Times New Roman" w:hAnsi="Times New Roman" w:cs="Times New Roman"/>
          <w:b/>
          <w:bCs/>
          <w:sz w:val="24"/>
          <w:szCs w:val="24"/>
        </w:rPr>
      </w:pPr>
      <w:r w:rsidRPr="00AD4936">
        <w:rPr>
          <w:rFonts w:ascii="Times New Roman" w:hAnsi="Times New Roman" w:cs="Times New Roman"/>
          <w:b/>
          <w:bCs/>
          <w:sz w:val="24"/>
          <w:szCs w:val="24"/>
        </w:rPr>
        <w:t>Table 1:</w:t>
      </w:r>
      <w:r w:rsidRPr="00AD4936">
        <w:rPr>
          <w:rFonts w:ascii="Times New Roman" w:hAnsi="Times New Roman" w:cs="Times New Roman"/>
          <w:sz w:val="24"/>
          <w:szCs w:val="24"/>
        </w:rPr>
        <w:t xml:space="preserve"> </w:t>
      </w:r>
      <w:r w:rsidRPr="000A099C">
        <w:rPr>
          <w:rFonts w:ascii="Times New Roman" w:hAnsi="Times New Roman" w:cs="Times New Roman"/>
          <w:b/>
          <w:bCs/>
          <w:sz w:val="24"/>
          <w:szCs w:val="24"/>
        </w:rPr>
        <w:t>Descriptive Statistics of Sample Characteristics (N = 100)</w:t>
      </w:r>
    </w:p>
    <w:tbl>
      <w:tblPr>
        <w:tblStyle w:val="NormalGrid"/>
        <w:tblW w:w="9629" w:type="dxa"/>
        <w:tblCellSpacing w:w="0" w:type="dxa"/>
        <w:tblLayout w:type="fixed"/>
        <w:tblLook w:val="04A0" w:firstRow="1" w:lastRow="0" w:firstColumn="1" w:lastColumn="0" w:noHBand="0" w:noVBand="1"/>
      </w:tblPr>
      <w:tblGrid>
        <w:gridCol w:w="2117"/>
        <w:gridCol w:w="850"/>
        <w:gridCol w:w="1134"/>
        <w:gridCol w:w="1134"/>
        <w:gridCol w:w="992"/>
        <w:gridCol w:w="1025"/>
        <w:gridCol w:w="1102"/>
        <w:gridCol w:w="1275"/>
      </w:tblGrid>
      <w:tr w:rsidR="000A099C" w:rsidRPr="00AD4936" w14:paraId="3718EA80" w14:textId="77777777" w:rsidTr="000A099C">
        <w:trPr>
          <w:cantSplit/>
          <w:tblCellSpacing w:w="0" w:type="dxa"/>
        </w:trPr>
        <w:tc>
          <w:tcPr>
            <w:tcW w:w="2117"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1D8DFA84"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Variable</w:t>
            </w:r>
          </w:p>
        </w:tc>
        <w:tc>
          <w:tcPr>
            <w:tcW w:w="850" w:type="dxa"/>
            <w:tcBorders>
              <w:top w:val="single" w:sz="8" w:space="0" w:color="000000"/>
              <w:bottom w:val="single" w:sz="8" w:space="0" w:color="000000"/>
              <w:right w:val="single" w:sz="8" w:space="0" w:color="000000"/>
            </w:tcBorders>
            <w:shd w:val="clear" w:color="auto" w:fill="E2EFD9" w:themeFill="accent6" w:themeFillTint="33"/>
            <w:vAlign w:val="center"/>
          </w:tcPr>
          <w:p w14:paraId="6AD065A1"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N</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57D7BCD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Range</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0A752901"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Min</w:t>
            </w:r>
          </w:p>
        </w:tc>
        <w:tc>
          <w:tcPr>
            <w:tcW w:w="992" w:type="dxa"/>
            <w:tcBorders>
              <w:top w:val="single" w:sz="8" w:space="0" w:color="000000"/>
              <w:bottom w:val="single" w:sz="8" w:space="0" w:color="000000"/>
              <w:right w:val="single" w:sz="8" w:space="0" w:color="000000"/>
            </w:tcBorders>
            <w:shd w:val="clear" w:color="auto" w:fill="E2EFD9" w:themeFill="accent6" w:themeFillTint="33"/>
            <w:vAlign w:val="center"/>
          </w:tcPr>
          <w:p w14:paraId="4BB2C01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Max</w:t>
            </w:r>
          </w:p>
        </w:tc>
        <w:tc>
          <w:tcPr>
            <w:tcW w:w="1025" w:type="dxa"/>
            <w:tcBorders>
              <w:top w:val="single" w:sz="8" w:space="0" w:color="000000"/>
              <w:bottom w:val="single" w:sz="8" w:space="0" w:color="000000"/>
              <w:right w:val="single" w:sz="8" w:space="0" w:color="000000"/>
            </w:tcBorders>
            <w:shd w:val="clear" w:color="auto" w:fill="E2EFD9" w:themeFill="accent6" w:themeFillTint="33"/>
            <w:vAlign w:val="center"/>
          </w:tcPr>
          <w:p w14:paraId="2380ED95"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Mean</w:t>
            </w:r>
          </w:p>
        </w:tc>
        <w:tc>
          <w:tcPr>
            <w:tcW w:w="1102" w:type="dxa"/>
            <w:tcBorders>
              <w:top w:val="single" w:sz="8" w:space="0" w:color="000000"/>
              <w:bottom w:val="single" w:sz="8" w:space="0" w:color="000000"/>
              <w:right w:val="single" w:sz="8" w:space="0" w:color="000000"/>
            </w:tcBorders>
            <w:shd w:val="clear" w:color="auto" w:fill="E2EFD9" w:themeFill="accent6" w:themeFillTint="33"/>
            <w:vAlign w:val="center"/>
          </w:tcPr>
          <w:p w14:paraId="242726D3"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Std. Dev.</w:t>
            </w:r>
          </w:p>
        </w:tc>
        <w:tc>
          <w:tcPr>
            <w:tcW w:w="1275" w:type="dxa"/>
            <w:tcBorders>
              <w:top w:val="single" w:sz="8" w:space="0" w:color="000000"/>
              <w:bottom w:val="single" w:sz="8" w:space="0" w:color="000000"/>
              <w:right w:val="single" w:sz="8" w:space="0" w:color="000000"/>
            </w:tcBorders>
            <w:shd w:val="clear" w:color="auto" w:fill="E2EFD9" w:themeFill="accent6" w:themeFillTint="33"/>
            <w:vAlign w:val="center"/>
          </w:tcPr>
          <w:p w14:paraId="0D094140"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b/>
                <w:sz w:val="24"/>
                <w:szCs w:val="24"/>
              </w:rPr>
              <w:t>Variance</w:t>
            </w:r>
          </w:p>
        </w:tc>
      </w:tr>
      <w:tr w:rsidR="000A099C" w:rsidRPr="00AD4936" w14:paraId="0086BAFF"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51E8F775"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Gender</w:t>
            </w:r>
          </w:p>
        </w:tc>
        <w:tc>
          <w:tcPr>
            <w:tcW w:w="850" w:type="dxa"/>
            <w:tcBorders>
              <w:bottom w:val="single" w:sz="8" w:space="0" w:color="000000"/>
              <w:right w:val="single" w:sz="8" w:space="0" w:color="000000"/>
            </w:tcBorders>
            <w:vAlign w:val="center"/>
          </w:tcPr>
          <w:p w14:paraId="716A1DD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0F08A9B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1134" w:type="dxa"/>
            <w:tcBorders>
              <w:bottom w:val="single" w:sz="8" w:space="0" w:color="000000"/>
              <w:right w:val="single" w:sz="8" w:space="0" w:color="000000"/>
            </w:tcBorders>
            <w:vAlign w:val="center"/>
          </w:tcPr>
          <w:p w14:paraId="5A647447"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992" w:type="dxa"/>
            <w:tcBorders>
              <w:bottom w:val="single" w:sz="8" w:space="0" w:color="000000"/>
              <w:right w:val="single" w:sz="8" w:space="0" w:color="000000"/>
            </w:tcBorders>
            <w:vAlign w:val="center"/>
          </w:tcPr>
          <w:p w14:paraId="5ACD9F9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w:t>
            </w:r>
          </w:p>
        </w:tc>
        <w:tc>
          <w:tcPr>
            <w:tcW w:w="1025" w:type="dxa"/>
            <w:tcBorders>
              <w:bottom w:val="single" w:sz="8" w:space="0" w:color="000000"/>
              <w:right w:val="single" w:sz="8" w:space="0" w:color="000000"/>
            </w:tcBorders>
            <w:vAlign w:val="center"/>
          </w:tcPr>
          <w:p w14:paraId="1D70F905"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1.44</w:t>
            </w:r>
          </w:p>
        </w:tc>
        <w:tc>
          <w:tcPr>
            <w:tcW w:w="1102" w:type="dxa"/>
            <w:tcBorders>
              <w:bottom w:val="single" w:sz="8" w:space="0" w:color="000000"/>
              <w:right w:val="single" w:sz="8" w:space="0" w:color="000000"/>
            </w:tcBorders>
            <w:vAlign w:val="center"/>
          </w:tcPr>
          <w:p w14:paraId="120DE40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0.499</w:t>
            </w:r>
          </w:p>
        </w:tc>
        <w:tc>
          <w:tcPr>
            <w:tcW w:w="1275" w:type="dxa"/>
            <w:tcBorders>
              <w:bottom w:val="single" w:sz="8" w:space="0" w:color="000000"/>
              <w:right w:val="single" w:sz="8" w:space="0" w:color="000000"/>
            </w:tcBorders>
            <w:vAlign w:val="center"/>
          </w:tcPr>
          <w:p w14:paraId="39F17E4A"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0.249</w:t>
            </w:r>
          </w:p>
        </w:tc>
      </w:tr>
      <w:tr w:rsidR="000A099C" w:rsidRPr="00AD4936" w14:paraId="7BB42DA0"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4BC08182"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Age</w:t>
            </w:r>
          </w:p>
        </w:tc>
        <w:tc>
          <w:tcPr>
            <w:tcW w:w="850" w:type="dxa"/>
            <w:tcBorders>
              <w:bottom w:val="single" w:sz="8" w:space="0" w:color="000000"/>
              <w:right w:val="single" w:sz="8" w:space="0" w:color="000000"/>
            </w:tcBorders>
            <w:vAlign w:val="center"/>
          </w:tcPr>
          <w:p w14:paraId="33352CE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1A083C3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7</w:t>
            </w:r>
          </w:p>
        </w:tc>
        <w:tc>
          <w:tcPr>
            <w:tcW w:w="1134" w:type="dxa"/>
            <w:tcBorders>
              <w:bottom w:val="single" w:sz="8" w:space="0" w:color="000000"/>
              <w:right w:val="single" w:sz="8" w:space="0" w:color="000000"/>
            </w:tcBorders>
            <w:vAlign w:val="center"/>
          </w:tcPr>
          <w:p w14:paraId="48FBAAFB"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18</w:t>
            </w:r>
          </w:p>
        </w:tc>
        <w:tc>
          <w:tcPr>
            <w:tcW w:w="992" w:type="dxa"/>
            <w:tcBorders>
              <w:bottom w:val="single" w:sz="8" w:space="0" w:color="000000"/>
              <w:right w:val="single" w:sz="8" w:space="0" w:color="000000"/>
            </w:tcBorders>
            <w:vAlign w:val="center"/>
          </w:tcPr>
          <w:p w14:paraId="79DB293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25</w:t>
            </w:r>
          </w:p>
        </w:tc>
        <w:tc>
          <w:tcPr>
            <w:tcW w:w="1025" w:type="dxa"/>
            <w:tcBorders>
              <w:bottom w:val="single" w:sz="8" w:space="0" w:color="000000"/>
              <w:right w:val="single" w:sz="8" w:space="0" w:color="000000"/>
            </w:tcBorders>
            <w:vAlign w:val="center"/>
          </w:tcPr>
          <w:p w14:paraId="67C8E823"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20.91</w:t>
            </w:r>
          </w:p>
        </w:tc>
        <w:tc>
          <w:tcPr>
            <w:tcW w:w="1102" w:type="dxa"/>
            <w:tcBorders>
              <w:bottom w:val="single" w:sz="8" w:space="0" w:color="000000"/>
              <w:right w:val="single" w:sz="8" w:space="0" w:color="000000"/>
            </w:tcBorders>
            <w:vAlign w:val="center"/>
          </w:tcPr>
          <w:p w14:paraId="217E79BB"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2.036</w:t>
            </w:r>
          </w:p>
        </w:tc>
        <w:tc>
          <w:tcPr>
            <w:tcW w:w="1275" w:type="dxa"/>
            <w:tcBorders>
              <w:bottom w:val="single" w:sz="8" w:space="0" w:color="000000"/>
              <w:right w:val="single" w:sz="8" w:space="0" w:color="000000"/>
            </w:tcBorders>
            <w:vAlign w:val="center"/>
          </w:tcPr>
          <w:p w14:paraId="0C10CDCF"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4.143</w:t>
            </w:r>
          </w:p>
        </w:tc>
      </w:tr>
      <w:tr w:rsidR="000A099C" w:rsidRPr="00AD4936" w14:paraId="6B6B2C79"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4A475281"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Year of Study</w:t>
            </w:r>
          </w:p>
        </w:tc>
        <w:tc>
          <w:tcPr>
            <w:tcW w:w="850" w:type="dxa"/>
            <w:tcBorders>
              <w:bottom w:val="single" w:sz="8" w:space="0" w:color="000000"/>
              <w:right w:val="single" w:sz="8" w:space="0" w:color="000000"/>
            </w:tcBorders>
            <w:vAlign w:val="center"/>
          </w:tcPr>
          <w:p w14:paraId="2D34F09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62FF7107"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1134" w:type="dxa"/>
            <w:tcBorders>
              <w:bottom w:val="single" w:sz="8" w:space="0" w:color="000000"/>
              <w:right w:val="single" w:sz="8" w:space="0" w:color="000000"/>
            </w:tcBorders>
            <w:vAlign w:val="center"/>
          </w:tcPr>
          <w:p w14:paraId="7CA00A02"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992" w:type="dxa"/>
            <w:tcBorders>
              <w:bottom w:val="single" w:sz="8" w:space="0" w:color="000000"/>
              <w:right w:val="single" w:sz="8" w:space="0" w:color="000000"/>
            </w:tcBorders>
            <w:vAlign w:val="center"/>
          </w:tcPr>
          <w:p w14:paraId="22ACE138"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w:t>
            </w:r>
          </w:p>
        </w:tc>
        <w:tc>
          <w:tcPr>
            <w:tcW w:w="1025" w:type="dxa"/>
            <w:tcBorders>
              <w:bottom w:val="single" w:sz="8" w:space="0" w:color="000000"/>
              <w:right w:val="single" w:sz="8" w:space="0" w:color="000000"/>
            </w:tcBorders>
            <w:vAlign w:val="center"/>
          </w:tcPr>
          <w:p w14:paraId="5D48E9C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1.39</w:t>
            </w:r>
          </w:p>
        </w:tc>
        <w:tc>
          <w:tcPr>
            <w:tcW w:w="1102" w:type="dxa"/>
            <w:tcBorders>
              <w:bottom w:val="single" w:sz="8" w:space="0" w:color="000000"/>
              <w:right w:val="single" w:sz="8" w:space="0" w:color="000000"/>
            </w:tcBorders>
            <w:vAlign w:val="center"/>
          </w:tcPr>
          <w:p w14:paraId="513E29C0"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0.490</w:t>
            </w:r>
          </w:p>
        </w:tc>
        <w:tc>
          <w:tcPr>
            <w:tcW w:w="1275" w:type="dxa"/>
            <w:tcBorders>
              <w:bottom w:val="single" w:sz="8" w:space="0" w:color="000000"/>
              <w:right w:val="single" w:sz="8" w:space="0" w:color="000000"/>
            </w:tcBorders>
            <w:vAlign w:val="center"/>
          </w:tcPr>
          <w:p w14:paraId="58D48124"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0.240</w:t>
            </w:r>
          </w:p>
        </w:tc>
      </w:tr>
      <w:tr w:rsidR="000A099C" w:rsidRPr="00AD4936" w14:paraId="76C787C7"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09961B77"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Family Background</w:t>
            </w:r>
          </w:p>
        </w:tc>
        <w:tc>
          <w:tcPr>
            <w:tcW w:w="850" w:type="dxa"/>
            <w:tcBorders>
              <w:bottom w:val="single" w:sz="8" w:space="0" w:color="000000"/>
              <w:right w:val="single" w:sz="8" w:space="0" w:color="000000"/>
            </w:tcBorders>
            <w:vAlign w:val="center"/>
          </w:tcPr>
          <w:p w14:paraId="5EA8614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7CA97BDE"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1134" w:type="dxa"/>
            <w:tcBorders>
              <w:bottom w:val="single" w:sz="8" w:space="0" w:color="000000"/>
              <w:right w:val="single" w:sz="8" w:space="0" w:color="000000"/>
            </w:tcBorders>
            <w:vAlign w:val="center"/>
          </w:tcPr>
          <w:p w14:paraId="0D01FCFF"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992" w:type="dxa"/>
            <w:tcBorders>
              <w:bottom w:val="single" w:sz="8" w:space="0" w:color="000000"/>
              <w:right w:val="single" w:sz="8" w:space="0" w:color="000000"/>
            </w:tcBorders>
            <w:vAlign w:val="center"/>
          </w:tcPr>
          <w:p w14:paraId="2053742B"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w:t>
            </w:r>
          </w:p>
        </w:tc>
        <w:tc>
          <w:tcPr>
            <w:tcW w:w="1025" w:type="dxa"/>
            <w:tcBorders>
              <w:bottom w:val="single" w:sz="8" w:space="0" w:color="000000"/>
              <w:right w:val="single" w:sz="8" w:space="0" w:color="000000"/>
            </w:tcBorders>
            <w:vAlign w:val="center"/>
          </w:tcPr>
          <w:p w14:paraId="3C9C4B92"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1.66</w:t>
            </w:r>
          </w:p>
        </w:tc>
        <w:tc>
          <w:tcPr>
            <w:tcW w:w="1102" w:type="dxa"/>
            <w:tcBorders>
              <w:bottom w:val="single" w:sz="8" w:space="0" w:color="000000"/>
              <w:right w:val="single" w:sz="8" w:space="0" w:color="000000"/>
            </w:tcBorders>
            <w:vAlign w:val="center"/>
          </w:tcPr>
          <w:p w14:paraId="530BF17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0.476</w:t>
            </w:r>
          </w:p>
        </w:tc>
        <w:tc>
          <w:tcPr>
            <w:tcW w:w="1275" w:type="dxa"/>
            <w:tcBorders>
              <w:bottom w:val="single" w:sz="8" w:space="0" w:color="000000"/>
              <w:right w:val="single" w:sz="8" w:space="0" w:color="000000"/>
            </w:tcBorders>
            <w:vAlign w:val="center"/>
          </w:tcPr>
          <w:p w14:paraId="0C3C0CE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0.227</w:t>
            </w:r>
          </w:p>
        </w:tc>
      </w:tr>
      <w:tr w:rsidR="000A099C" w:rsidRPr="00AD4936" w14:paraId="55EC6A3A"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5FB0CE49"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Place of Residence</w:t>
            </w:r>
          </w:p>
        </w:tc>
        <w:tc>
          <w:tcPr>
            <w:tcW w:w="850" w:type="dxa"/>
            <w:tcBorders>
              <w:bottom w:val="single" w:sz="8" w:space="0" w:color="000000"/>
              <w:right w:val="single" w:sz="8" w:space="0" w:color="000000"/>
            </w:tcBorders>
            <w:vAlign w:val="center"/>
          </w:tcPr>
          <w:p w14:paraId="1CE69D10"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562440C8"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w:t>
            </w:r>
          </w:p>
        </w:tc>
        <w:tc>
          <w:tcPr>
            <w:tcW w:w="1134" w:type="dxa"/>
            <w:tcBorders>
              <w:bottom w:val="single" w:sz="8" w:space="0" w:color="000000"/>
              <w:right w:val="single" w:sz="8" w:space="0" w:color="000000"/>
            </w:tcBorders>
            <w:vAlign w:val="center"/>
          </w:tcPr>
          <w:p w14:paraId="47D62DEB"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992" w:type="dxa"/>
            <w:tcBorders>
              <w:bottom w:val="single" w:sz="8" w:space="0" w:color="000000"/>
              <w:right w:val="single" w:sz="8" w:space="0" w:color="000000"/>
            </w:tcBorders>
            <w:vAlign w:val="center"/>
          </w:tcPr>
          <w:p w14:paraId="7EAC7479"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3</w:t>
            </w:r>
          </w:p>
        </w:tc>
        <w:tc>
          <w:tcPr>
            <w:tcW w:w="1025" w:type="dxa"/>
            <w:tcBorders>
              <w:bottom w:val="single" w:sz="8" w:space="0" w:color="000000"/>
              <w:right w:val="single" w:sz="8" w:space="0" w:color="000000"/>
            </w:tcBorders>
            <w:vAlign w:val="center"/>
          </w:tcPr>
          <w:p w14:paraId="38FD3992"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1.92</w:t>
            </w:r>
          </w:p>
        </w:tc>
        <w:tc>
          <w:tcPr>
            <w:tcW w:w="1102" w:type="dxa"/>
            <w:tcBorders>
              <w:bottom w:val="single" w:sz="8" w:space="0" w:color="000000"/>
              <w:right w:val="single" w:sz="8" w:space="0" w:color="000000"/>
            </w:tcBorders>
            <w:vAlign w:val="center"/>
          </w:tcPr>
          <w:p w14:paraId="65967A5E"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0.849</w:t>
            </w:r>
          </w:p>
        </w:tc>
        <w:tc>
          <w:tcPr>
            <w:tcW w:w="1275" w:type="dxa"/>
            <w:tcBorders>
              <w:bottom w:val="single" w:sz="8" w:space="0" w:color="000000"/>
              <w:right w:val="single" w:sz="8" w:space="0" w:color="000000"/>
            </w:tcBorders>
            <w:vAlign w:val="center"/>
          </w:tcPr>
          <w:p w14:paraId="58E14A4E"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0.721</w:t>
            </w:r>
          </w:p>
        </w:tc>
      </w:tr>
      <w:tr w:rsidR="000A099C" w:rsidRPr="00AD4936" w14:paraId="2B261A4A"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69B40F61"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 xml:space="preserve">Awareness of </w:t>
            </w:r>
            <w:proofErr w:type="spellStart"/>
            <w:r w:rsidRPr="00FD593B">
              <w:rPr>
                <w:rFonts w:ascii="Times New Roman" w:hAnsi="Times New Roman" w:cs="Times New Roman"/>
                <w:b/>
                <w:bCs/>
                <w:sz w:val="24"/>
                <w:szCs w:val="24"/>
              </w:rPr>
              <w:t>Agripreneurship</w:t>
            </w:r>
            <w:proofErr w:type="spellEnd"/>
          </w:p>
        </w:tc>
        <w:tc>
          <w:tcPr>
            <w:tcW w:w="850" w:type="dxa"/>
            <w:tcBorders>
              <w:bottom w:val="single" w:sz="8" w:space="0" w:color="000000"/>
              <w:right w:val="single" w:sz="8" w:space="0" w:color="000000"/>
            </w:tcBorders>
            <w:vAlign w:val="center"/>
          </w:tcPr>
          <w:p w14:paraId="3BBEF40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27A55B35"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1134" w:type="dxa"/>
            <w:tcBorders>
              <w:bottom w:val="single" w:sz="8" w:space="0" w:color="000000"/>
              <w:right w:val="single" w:sz="8" w:space="0" w:color="000000"/>
            </w:tcBorders>
            <w:vAlign w:val="center"/>
          </w:tcPr>
          <w:p w14:paraId="0DA8DAD8"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w:t>
            </w:r>
          </w:p>
        </w:tc>
        <w:tc>
          <w:tcPr>
            <w:tcW w:w="992" w:type="dxa"/>
            <w:tcBorders>
              <w:bottom w:val="single" w:sz="8" w:space="0" w:color="000000"/>
              <w:right w:val="single" w:sz="8" w:space="0" w:color="000000"/>
            </w:tcBorders>
            <w:vAlign w:val="center"/>
          </w:tcPr>
          <w:p w14:paraId="21E05B19"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1025" w:type="dxa"/>
            <w:tcBorders>
              <w:bottom w:val="single" w:sz="8" w:space="0" w:color="000000"/>
              <w:right w:val="single" w:sz="8" w:space="0" w:color="000000"/>
            </w:tcBorders>
            <w:vAlign w:val="center"/>
          </w:tcPr>
          <w:p w14:paraId="3713A4A0"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0.83</w:t>
            </w:r>
          </w:p>
        </w:tc>
        <w:tc>
          <w:tcPr>
            <w:tcW w:w="1102" w:type="dxa"/>
            <w:tcBorders>
              <w:bottom w:val="single" w:sz="8" w:space="0" w:color="000000"/>
              <w:right w:val="single" w:sz="8" w:space="0" w:color="000000"/>
            </w:tcBorders>
            <w:vAlign w:val="center"/>
          </w:tcPr>
          <w:p w14:paraId="079F601A"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0.378</w:t>
            </w:r>
          </w:p>
        </w:tc>
        <w:tc>
          <w:tcPr>
            <w:tcW w:w="1275" w:type="dxa"/>
            <w:tcBorders>
              <w:bottom w:val="single" w:sz="8" w:space="0" w:color="000000"/>
              <w:right w:val="single" w:sz="8" w:space="0" w:color="000000"/>
            </w:tcBorders>
            <w:vAlign w:val="center"/>
          </w:tcPr>
          <w:p w14:paraId="08366DF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0.143</w:t>
            </w:r>
          </w:p>
        </w:tc>
      </w:tr>
      <w:tr w:rsidR="000A099C" w:rsidRPr="00AD4936" w14:paraId="0AC3A50D"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6FCB5622"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t>Source of Information</w:t>
            </w:r>
          </w:p>
        </w:tc>
        <w:tc>
          <w:tcPr>
            <w:tcW w:w="850" w:type="dxa"/>
            <w:tcBorders>
              <w:bottom w:val="single" w:sz="8" w:space="0" w:color="000000"/>
              <w:right w:val="single" w:sz="8" w:space="0" w:color="000000"/>
            </w:tcBorders>
            <w:vAlign w:val="center"/>
          </w:tcPr>
          <w:p w14:paraId="66B43A9B"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2B3927A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5</w:t>
            </w:r>
          </w:p>
        </w:tc>
        <w:tc>
          <w:tcPr>
            <w:tcW w:w="1134" w:type="dxa"/>
            <w:tcBorders>
              <w:bottom w:val="single" w:sz="8" w:space="0" w:color="000000"/>
              <w:right w:val="single" w:sz="8" w:space="0" w:color="000000"/>
            </w:tcBorders>
            <w:vAlign w:val="center"/>
          </w:tcPr>
          <w:p w14:paraId="4AB2CEE4"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w:t>
            </w:r>
          </w:p>
        </w:tc>
        <w:tc>
          <w:tcPr>
            <w:tcW w:w="992" w:type="dxa"/>
            <w:tcBorders>
              <w:bottom w:val="single" w:sz="8" w:space="0" w:color="000000"/>
              <w:right w:val="single" w:sz="8" w:space="0" w:color="000000"/>
            </w:tcBorders>
            <w:vAlign w:val="center"/>
          </w:tcPr>
          <w:p w14:paraId="48B7D48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5</w:t>
            </w:r>
          </w:p>
        </w:tc>
        <w:tc>
          <w:tcPr>
            <w:tcW w:w="1025" w:type="dxa"/>
            <w:tcBorders>
              <w:bottom w:val="single" w:sz="8" w:space="0" w:color="000000"/>
              <w:right w:val="single" w:sz="8" w:space="0" w:color="000000"/>
            </w:tcBorders>
            <w:vAlign w:val="center"/>
          </w:tcPr>
          <w:p w14:paraId="4F60EE66"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2.61</w:t>
            </w:r>
          </w:p>
        </w:tc>
        <w:tc>
          <w:tcPr>
            <w:tcW w:w="1102" w:type="dxa"/>
            <w:tcBorders>
              <w:bottom w:val="single" w:sz="8" w:space="0" w:color="000000"/>
              <w:right w:val="single" w:sz="8" w:space="0" w:color="000000"/>
            </w:tcBorders>
            <w:vAlign w:val="center"/>
          </w:tcPr>
          <w:p w14:paraId="54A6911A"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1.413</w:t>
            </w:r>
          </w:p>
        </w:tc>
        <w:tc>
          <w:tcPr>
            <w:tcW w:w="1275" w:type="dxa"/>
            <w:tcBorders>
              <w:bottom w:val="single" w:sz="8" w:space="0" w:color="000000"/>
              <w:right w:val="single" w:sz="8" w:space="0" w:color="000000"/>
            </w:tcBorders>
            <w:vAlign w:val="center"/>
          </w:tcPr>
          <w:p w14:paraId="15196851"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1.998</w:t>
            </w:r>
          </w:p>
        </w:tc>
      </w:tr>
      <w:tr w:rsidR="000A099C" w:rsidRPr="00AD4936" w14:paraId="02909275" w14:textId="77777777" w:rsidTr="000A099C">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0E9F8AFD" w14:textId="77777777" w:rsidR="000A099C" w:rsidRPr="00FD593B" w:rsidRDefault="000A099C" w:rsidP="00222822">
            <w:pPr>
              <w:spacing w:line="276" w:lineRule="auto"/>
              <w:rPr>
                <w:rFonts w:ascii="Times New Roman" w:hAnsi="Times New Roman" w:cs="Times New Roman"/>
                <w:b/>
                <w:bCs/>
                <w:sz w:val="24"/>
                <w:szCs w:val="24"/>
              </w:rPr>
            </w:pPr>
            <w:r w:rsidRPr="00FD593B">
              <w:rPr>
                <w:rFonts w:ascii="Times New Roman" w:hAnsi="Times New Roman" w:cs="Times New Roman"/>
                <w:b/>
                <w:bCs/>
                <w:sz w:val="24"/>
                <w:szCs w:val="24"/>
              </w:rPr>
              <w:lastRenderedPageBreak/>
              <w:t>Knowledge of Govt. Schemes</w:t>
            </w:r>
          </w:p>
        </w:tc>
        <w:tc>
          <w:tcPr>
            <w:tcW w:w="850" w:type="dxa"/>
            <w:tcBorders>
              <w:bottom w:val="single" w:sz="8" w:space="0" w:color="000000"/>
              <w:right w:val="single" w:sz="8" w:space="0" w:color="000000"/>
            </w:tcBorders>
            <w:vAlign w:val="center"/>
          </w:tcPr>
          <w:p w14:paraId="19A3C648"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100</w:t>
            </w:r>
          </w:p>
        </w:tc>
        <w:tc>
          <w:tcPr>
            <w:tcW w:w="1134" w:type="dxa"/>
            <w:tcBorders>
              <w:bottom w:val="single" w:sz="8" w:space="0" w:color="000000"/>
              <w:right w:val="single" w:sz="8" w:space="0" w:color="000000"/>
            </w:tcBorders>
            <w:vAlign w:val="center"/>
          </w:tcPr>
          <w:p w14:paraId="3AFA7EB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1134" w:type="dxa"/>
            <w:tcBorders>
              <w:bottom w:val="single" w:sz="8" w:space="0" w:color="000000"/>
              <w:right w:val="single" w:sz="8" w:space="0" w:color="000000"/>
            </w:tcBorders>
            <w:vAlign w:val="center"/>
          </w:tcPr>
          <w:p w14:paraId="36DCF68C"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w:t>
            </w:r>
          </w:p>
        </w:tc>
        <w:tc>
          <w:tcPr>
            <w:tcW w:w="992" w:type="dxa"/>
            <w:tcBorders>
              <w:bottom w:val="single" w:sz="8" w:space="0" w:color="000000"/>
              <w:right w:val="single" w:sz="8" w:space="0" w:color="000000"/>
            </w:tcBorders>
            <w:vAlign w:val="center"/>
          </w:tcPr>
          <w:p w14:paraId="55EB2330"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2</w:t>
            </w:r>
          </w:p>
        </w:tc>
        <w:tc>
          <w:tcPr>
            <w:tcW w:w="1025" w:type="dxa"/>
            <w:tcBorders>
              <w:bottom w:val="single" w:sz="8" w:space="0" w:color="000000"/>
              <w:right w:val="single" w:sz="8" w:space="0" w:color="000000"/>
            </w:tcBorders>
            <w:vAlign w:val="center"/>
          </w:tcPr>
          <w:p w14:paraId="38B1C978"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1.28</w:t>
            </w:r>
          </w:p>
        </w:tc>
        <w:tc>
          <w:tcPr>
            <w:tcW w:w="1102" w:type="dxa"/>
            <w:tcBorders>
              <w:bottom w:val="single" w:sz="8" w:space="0" w:color="000000"/>
              <w:right w:val="single" w:sz="8" w:space="0" w:color="000000"/>
            </w:tcBorders>
            <w:vAlign w:val="center"/>
          </w:tcPr>
          <w:p w14:paraId="178AE30D"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0.451</w:t>
            </w:r>
          </w:p>
        </w:tc>
        <w:tc>
          <w:tcPr>
            <w:tcW w:w="1275" w:type="dxa"/>
            <w:tcBorders>
              <w:bottom w:val="single" w:sz="8" w:space="0" w:color="000000"/>
              <w:right w:val="single" w:sz="8" w:space="0" w:color="000000"/>
            </w:tcBorders>
            <w:vAlign w:val="center"/>
          </w:tcPr>
          <w:p w14:paraId="46353720" w14:textId="77777777" w:rsidR="000A099C" w:rsidRPr="00AD4936" w:rsidRDefault="000A099C" w:rsidP="00222822">
            <w:pPr>
              <w:spacing w:line="276" w:lineRule="auto"/>
              <w:rPr>
                <w:rFonts w:ascii="Times New Roman" w:hAnsi="Times New Roman" w:cs="Times New Roman"/>
                <w:sz w:val="24"/>
                <w:szCs w:val="24"/>
              </w:rPr>
            </w:pPr>
            <w:r w:rsidRPr="00AD4936">
              <w:rPr>
                <w:rFonts w:ascii="Times New Roman" w:hAnsi="Times New Roman" w:cs="Times New Roman"/>
                <w:sz w:val="24"/>
                <w:szCs w:val="24"/>
              </w:rPr>
              <w:t>0.204</w:t>
            </w:r>
          </w:p>
        </w:tc>
      </w:tr>
    </w:tbl>
    <w:p w14:paraId="7F4F3F15" w14:textId="77777777" w:rsidR="000A099C" w:rsidRDefault="000A099C" w:rsidP="000A099C">
      <w:pPr>
        <w:spacing w:line="360" w:lineRule="auto"/>
        <w:jc w:val="both"/>
        <w:rPr>
          <w:rFonts w:ascii="Times New Roman" w:hAnsi="Times New Roman" w:cs="Times New Roman"/>
          <w:sz w:val="24"/>
          <w:szCs w:val="24"/>
        </w:rPr>
      </w:pPr>
    </w:p>
    <w:p w14:paraId="0B465533" w14:textId="77777777" w:rsidR="000A099C" w:rsidRPr="000A099C" w:rsidRDefault="000A099C" w:rsidP="000A099C">
      <w:pPr>
        <w:spacing w:line="360" w:lineRule="auto"/>
        <w:jc w:val="both"/>
        <w:rPr>
          <w:rFonts w:ascii="Times New Roman" w:hAnsi="Times New Roman" w:cs="Times New Roman"/>
          <w:sz w:val="24"/>
          <w:szCs w:val="24"/>
        </w:rPr>
      </w:pPr>
      <w:r w:rsidRPr="000A099C">
        <w:rPr>
          <w:rFonts w:ascii="Times New Roman" w:hAnsi="Times New Roman" w:cs="Times New Roman"/>
          <w:sz w:val="24"/>
          <w:szCs w:val="24"/>
        </w:rPr>
        <w:t xml:space="preserve">The sample consisted predominantly of young adults, with ages ranging from 18 to 25 years and an average age of 20.91 years (SD = 2.036). This suggests that respondents are primarily at a stage of early career exploration, which is particularly relevant when assessing entrepreneurial intentions. A young population often demonstrates higher openness to innovation and new livelihood opportunities, making </w:t>
      </w:r>
      <w:proofErr w:type="spellStart"/>
      <w:r w:rsidRPr="000A099C">
        <w:rPr>
          <w:rFonts w:ascii="Times New Roman" w:hAnsi="Times New Roman" w:cs="Times New Roman"/>
          <w:sz w:val="24"/>
          <w:szCs w:val="24"/>
        </w:rPr>
        <w:t>agripreneurship</w:t>
      </w:r>
      <w:proofErr w:type="spellEnd"/>
      <w:r w:rsidRPr="000A099C">
        <w:rPr>
          <w:rFonts w:ascii="Times New Roman" w:hAnsi="Times New Roman" w:cs="Times New Roman"/>
          <w:sz w:val="24"/>
          <w:szCs w:val="24"/>
        </w:rPr>
        <w:t xml:space="preserve"> a potentially attractive career path.</w:t>
      </w:r>
    </w:p>
    <w:p w14:paraId="2DAE7DB9" w14:textId="26916B14" w:rsidR="000A099C" w:rsidRPr="000A099C" w:rsidRDefault="000A099C" w:rsidP="000A099C">
      <w:pPr>
        <w:spacing w:line="360" w:lineRule="auto"/>
        <w:jc w:val="both"/>
        <w:rPr>
          <w:rFonts w:ascii="Times New Roman" w:hAnsi="Times New Roman" w:cs="Times New Roman"/>
          <w:sz w:val="24"/>
          <w:szCs w:val="24"/>
        </w:rPr>
      </w:pPr>
      <w:r w:rsidRPr="000A099C">
        <w:rPr>
          <w:rFonts w:ascii="Times New Roman" w:hAnsi="Times New Roman" w:cs="Times New Roman"/>
          <w:sz w:val="24"/>
          <w:szCs w:val="24"/>
        </w:rPr>
        <w:t xml:space="preserve">In terms of gender distribution, the mean value of 1.44 (coded as 1 = male, 2 = female) indicates a slightly higher proportion of female participants, comprising approximately 56% of the sample. This is noteworthy, as female engagement in </w:t>
      </w:r>
      <w:proofErr w:type="spellStart"/>
      <w:r w:rsidRPr="000A099C">
        <w:rPr>
          <w:rFonts w:ascii="Times New Roman" w:hAnsi="Times New Roman" w:cs="Times New Roman"/>
          <w:sz w:val="24"/>
          <w:szCs w:val="24"/>
        </w:rPr>
        <w:t>agripreneurial</w:t>
      </w:r>
      <w:proofErr w:type="spellEnd"/>
      <w:r w:rsidRPr="000A099C">
        <w:rPr>
          <w:rFonts w:ascii="Times New Roman" w:hAnsi="Times New Roman" w:cs="Times New Roman"/>
          <w:sz w:val="24"/>
          <w:szCs w:val="24"/>
        </w:rPr>
        <w:t xml:space="preserve"> initiatives is increasingly recognized as a driver of inclusive rural development. The representation of both genders ensures a balanced perspective on </w:t>
      </w:r>
      <w:proofErr w:type="spellStart"/>
      <w:r w:rsidRPr="000A099C">
        <w:rPr>
          <w:rFonts w:ascii="Times New Roman" w:hAnsi="Times New Roman" w:cs="Times New Roman"/>
          <w:sz w:val="24"/>
          <w:szCs w:val="24"/>
        </w:rPr>
        <w:t>agripreneurship</w:t>
      </w:r>
      <w:proofErr w:type="spellEnd"/>
      <w:r w:rsidRPr="000A099C">
        <w:rPr>
          <w:rFonts w:ascii="Times New Roman" w:hAnsi="Times New Roman" w:cs="Times New Roman"/>
          <w:sz w:val="24"/>
          <w:szCs w:val="24"/>
        </w:rPr>
        <w:t xml:space="preserve"> perceptions.</w:t>
      </w:r>
      <w:r>
        <w:rPr>
          <w:rFonts w:ascii="Times New Roman" w:hAnsi="Times New Roman" w:cs="Times New Roman"/>
          <w:sz w:val="24"/>
          <w:szCs w:val="24"/>
        </w:rPr>
        <w:t xml:space="preserve"> </w:t>
      </w:r>
      <w:r w:rsidRPr="000A099C">
        <w:rPr>
          <w:rFonts w:ascii="Times New Roman" w:hAnsi="Times New Roman" w:cs="Times New Roman"/>
          <w:sz w:val="24"/>
          <w:szCs w:val="24"/>
        </w:rPr>
        <w:t>Regarding educational status, the mean year of study was 1.39 (SD = 0.490), suggesting that most participants were in early stages of their academic program. Early-year students may have limited exposure to advanced entrepreneurship coursework, which could influence their baseline awareness and attitudes.</w:t>
      </w:r>
    </w:p>
    <w:p w14:paraId="35144636" w14:textId="6D45B72F" w:rsidR="000A099C" w:rsidRPr="000A099C" w:rsidRDefault="000A099C" w:rsidP="000A099C">
      <w:pPr>
        <w:spacing w:line="360" w:lineRule="auto"/>
        <w:jc w:val="both"/>
        <w:rPr>
          <w:rFonts w:ascii="Times New Roman" w:hAnsi="Times New Roman" w:cs="Times New Roman"/>
          <w:sz w:val="24"/>
          <w:szCs w:val="24"/>
        </w:rPr>
      </w:pPr>
      <w:r w:rsidRPr="000A099C">
        <w:rPr>
          <w:rFonts w:ascii="Times New Roman" w:hAnsi="Times New Roman" w:cs="Times New Roman"/>
          <w:sz w:val="24"/>
          <w:szCs w:val="24"/>
        </w:rPr>
        <w:t>Family background results indicate that a majority of respondents (61%) came from agricultural households (coded 1 = agriculture, 2 = non-agriculture; M = 1.66). This demographic composition implies substantial direct or indirect familiarity with farming, potentially shaping students’ openness toward considering agriculture-based enterprises</w:t>
      </w:r>
      <w:r>
        <w:rPr>
          <w:rFonts w:ascii="Times New Roman" w:hAnsi="Times New Roman" w:cs="Times New Roman"/>
          <w:sz w:val="24"/>
          <w:szCs w:val="24"/>
        </w:rPr>
        <w:t xml:space="preserve">. </w:t>
      </w:r>
      <w:r w:rsidRPr="000A099C">
        <w:rPr>
          <w:rFonts w:ascii="Times New Roman" w:hAnsi="Times New Roman" w:cs="Times New Roman"/>
          <w:sz w:val="24"/>
          <w:szCs w:val="24"/>
        </w:rPr>
        <w:t xml:space="preserve">Place of residence displayed moderate variability (M = 1.92, SD = 0.849), with many students coming from rural or semi-urban areas. These settings may influence access to </w:t>
      </w:r>
      <w:proofErr w:type="spellStart"/>
      <w:r w:rsidRPr="000A099C">
        <w:rPr>
          <w:rFonts w:ascii="Times New Roman" w:hAnsi="Times New Roman" w:cs="Times New Roman"/>
          <w:sz w:val="24"/>
          <w:szCs w:val="24"/>
        </w:rPr>
        <w:t>agripreneurial</w:t>
      </w:r>
      <w:proofErr w:type="spellEnd"/>
      <w:r w:rsidRPr="000A099C">
        <w:rPr>
          <w:rFonts w:ascii="Times New Roman" w:hAnsi="Times New Roman" w:cs="Times New Roman"/>
          <w:sz w:val="24"/>
          <w:szCs w:val="24"/>
        </w:rPr>
        <w:t xml:space="preserve"> resources, extension services, and exposure to agricultural innovations.</w:t>
      </w:r>
    </w:p>
    <w:p w14:paraId="43E1C4F4" w14:textId="58781CB7" w:rsidR="000A099C" w:rsidRPr="00AD4936" w:rsidRDefault="000A099C" w:rsidP="000A099C">
      <w:pPr>
        <w:spacing w:line="360" w:lineRule="auto"/>
        <w:jc w:val="both"/>
        <w:rPr>
          <w:rFonts w:ascii="Times New Roman" w:hAnsi="Times New Roman" w:cs="Times New Roman"/>
          <w:sz w:val="24"/>
          <w:szCs w:val="24"/>
        </w:rPr>
      </w:pPr>
      <w:r w:rsidRPr="000A099C">
        <w:rPr>
          <w:rFonts w:ascii="Times New Roman" w:hAnsi="Times New Roman" w:cs="Times New Roman"/>
          <w:sz w:val="24"/>
          <w:szCs w:val="24"/>
        </w:rPr>
        <w:t xml:space="preserve">Exposure-related variables revealed important insights. A large proportion (92%) of students had previously heard about </w:t>
      </w:r>
      <w:proofErr w:type="spellStart"/>
      <w:r w:rsidRPr="000A099C">
        <w:rPr>
          <w:rFonts w:ascii="Times New Roman" w:hAnsi="Times New Roman" w:cs="Times New Roman"/>
          <w:sz w:val="24"/>
          <w:szCs w:val="24"/>
        </w:rPr>
        <w:t>agripreneurship</w:t>
      </w:r>
      <w:proofErr w:type="spellEnd"/>
      <w:r w:rsidRPr="000A099C">
        <w:rPr>
          <w:rFonts w:ascii="Times New Roman" w:hAnsi="Times New Roman" w:cs="Times New Roman"/>
          <w:sz w:val="24"/>
          <w:szCs w:val="24"/>
        </w:rPr>
        <w:t xml:space="preserve"> (M = 0.83), suggesting that the concept is relatively well-disseminated in the academic environment. However, knowledge of government schemes supporting </w:t>
      </w:r>
      <w:proofErr w:type="spellStart"/>
      <w:r w:rsidRPr="000A099C">
        <w:rPr>
          <w:rFonts w:ascii="Times New Roman" w:hAnsi="Times New Roman" w:cs="Times New Roman"/>
          <w:sz w:val="24"/>
          <w:szCs w:val="24"/>
        </w:rPr>
        <w:t>agripreneurship</w:t>
      </w:r>
      <w:proofErr w:type="spellEnd"/>
      <w:r w:rsidRPr="000A099C">
        <w:rPr>
          <w:rFonts w:ascii="Times New Roman" w:hAnsi="Times New Roman" w:cs="Times New Roman"/>
          <w:sz w:val="24"/>
          <w:szCs w:val="24"/>
        </w:rPr>
        <w:t xml:space="preserve"> was moderate (M = 1.28, SD = 0.451), indicating room for enhanced extension and institutional communication efforts.</w:t>
      </w:r>
      <w:r>
        <w:rPr>
          <w:rFonts w:ascii="Times New Roman" w:hAnsi="Times New Roman" w:cs="Times New Roman"/>
          <w:sz w:val="24"/>
          <w:szCs w:val="24"/>
        </w:rPr>
        <w:t xml:space="preserve"> </w:t>
      </w:r>
      <w:r w:rsidRPr="000A099C">
        <w:rPr>
          <w:rFonts w:ascii="Times New Roman" w:hAnsi="Times New Roman" w:cs="Times New Roman"/>
          <w:sz w:val="24"/>
          <w:szCs w:val="24"/>
        </w:rPr>
        <w:t xml:space="preserve">The mean score for sources of information (M = 2.61) shows considerable diversity in students’ access to </w:t>
      </w:r>
      <w:proofErr w:type="spellStart"/>
      <w:r w:rsidRPr="000A099C">
        <w:rPr>
          <w:rFonts w:ascii="Times New Roman" w:hAnsi="Times New Roman" w:cs="Times New Roman"/>
          <w:sz w:val="24"/>
          <w:szCs w:val="24"/>
        </w:rPr>
        <w:t>agripreneurship</w:t>
      </w:r>
      <w:proofErr w:type="spellEnd"/>
      <w:r w:rsidRPr="000A099C">
        <w:rPr>
          <w:rFonts w:ascii="Times New Roman" w:hAnsi="Times New Roman" w:cs="Times New Roman"/>
          <w:sz w:val="24"/>
          <w:szCs w:val="24"/>
        </w:rPr>
        <w:t xml:space="preserve">-related information. This variation suggests that information channels such as media, peer learning, and academic </w:t>
      </w:r>
      <w:r w:rsidRPr="000A099C">
        <w:rPr>
          <w:rFonts w:ascii="Times New Roman" w:hAnsi="Times New Roman" w:cs="Times New Roman"/>
          <w:sz w:val="24"/>
          <w:szCs w:val="24"/>
        </w:rPr>
        <w:lastRenderedPageBreak/>
        <w:t>instruction play differing roles across the student body.</w:t>
      </w:r>
      <w:r>
        <w:rPr>
          <w:rFonts w:ascii="Times New Roman" w:hAnsi="Times New Roman" w:cs="Times New Roman"/>
          <w:sz w:val="24"/>
          <w:szCs w:val="24"/>
        </w:rPr>
        <w:t xml:space="preserve"> </w:t>
      </w:r>
      <w:r w:rsidRPr="000A099C">
        <w:rPr>
          <w:rFonts w:ascii="Times New Roman" w:hAnsi="Times New Roman" w:cs="Times New Roman"/>
          <w:sz w:val="24"/>
          <w:szCs w:val="24"/>
        </w:rPr>
        <w:t>Overall, the descriptive statistics provide an informative context for understanding the patterns explored in subsequent correlation and regression analyses, highlighting the rich variability in student backgrounds and levels of awareness.</w:t>
      </w:r>
    </w:p>
    <w:p w14:paraId="1E340BC2" w14:textId="77777777" w:rsidR="000A099C" w:rsidRPr="00684DD9" w:rsidRDefault="000A099C" w:rsidP="000A099C">
      <w:pPr>
        <w:spacing w:line="360" w:lineRule="auto"/>
        <w:jc w:val="both"/>
        <w:rPr>
          <w:rFonts w:ascii="Times New Roman" w:hAnsi="Times New Roman" w:cs="Times New Roman"/>
          <w:b/>
          <w:bCs/>
          <w:sz w:val="24"/>
          <w:szCs w:val="24"/>
        </w:rPr>
      </w:pPr>
      <w:r w:rsidRPr="00684DD9">
        <w:rPr>
          <w:rFonts w:ascii="Times New Roman" w:hAnsi="Times New Roman" w:cs="Times New Roman"/>
          <w:b/>
          <w:bCs/>
          <w:sz w:val="24"/>
          <w:szCs w:val="24"/>
        </w:rPr>
        <w:t>3.2 Correlation Analysis</w:t>
      </w:r>
    </w:p>
    <w:p w14:paraId="4DB3D716" w14:textId="77777777" w:rsidR="000A099C" w:rsidRDefault="000A099C" w:rsidP="000A099C">
      <w:pPr>
        <w:spacing w:line="360" w:lineRule="auto"/>
        <w:jc w:val="both"/>
        <w:rPr>
          <w:rFonts w:ascii="Times New Roman" w:hAnsi="Times New Roman" w:cs="Times New Roman"/>
          <w:sz w:val="24"/>
          <w:szCs w:val="24"/>
        </w:rPr>
      </w:pPr>
      <w:r w:rsidRPr="00684DD9">
        <w:rPr>
          <w:rFonts w:ascii="Times New Roman" w:hAnsi="Times New Roman" w:cs="Times New Roman"/>
          <w:sz w:val="24"/>
          <w:szCs w:val="24"/>
        </w:rPr>
        <w:t xml:space="preserve">Pearson correlation analysis was conducted to examine the direction and strength of associations between selected background/exposure variables and students’ overall perception and attitude toward </w:t>
      </w:r>
      <w:proofErr w:type="spellStart"/>
      <w:r w:rsidRPr="00684DD9">
        <w:rPr>
          <w:rFonts w:ascii="Times New Roman" w:hAnsi="Times New Roman" w:cs="Times New Roman"/>
          <w:sz w:val="24"/>
          <w:szCs w:val="24"/>
        </w:rPr>
        <w:t>agripreneurship</w:t>
      </w:r>
      <w:proofErr w:type="spellEnd"/>
      <w:r w:rsidRPr="00684DD9">
        <w:rPr>
          <w:rFonts w:ascii="Times New Roman" w:hAnsi="Times New Roman" w:cs="Times New Roman"/>
          <w:sz w:val="24"/>
          <w:szCs w:val="24"/>
        </w:rPr>
        <w:t xml:space="preserve">. This analysis provides foundational insight into which factors meaningfully influence students’ </w:t>
      </w:r>
      <w:proofErr w:type="spellStart"/>
      <w:r w:rsidRPr="00684DD9">
        <w:rPr>
          <w:rFonts w:ascii="Times New Roman" w:hAnsi="Times New Roman" w:cs="Times New Roman"/>
          <w:sz w:val="24"/>
          <w:szCs w:val="24"/>
        </w:rPr>
        <w:t>agripreneurial</w:t>
      </w:r>
      <w:proofErr w:type="spellEnd"/>
      <w:r w:rsidRPr="00684DD9">
        <w:rPr>
          <w:rFonts w:ascii="Times New Roman" w:hAnsi="Times New Roman" w:cs="Times New Roman"/>
          <w:sz w:val="24"/>
          <w:szCs w:val="24"/>
        </w:rPr>
        <w:t xml:space="preserve"> orientation and which variables exert negligible effects. The full correlation matrix is presented in Table 2, followed by a heatmap visualization in Figure 1, designed to enhance interpretability and highlight the magnitude of significant associations.</w:t>
      </w:r>
    </w:p>
    <w:p w14:paraId="074F3705" w14:textId="4C414D36" w:rsidR="000A099C" w:rsidRPr="000A099C" w:rsidRDefault="000A099C" w:rsidP="000A099C">
      <w:pPr>
        <w:spacing w:line="360" w:lineRule="auto"/>
        <w:jc w:val="both"/>
        <w:rPr>
          <w:rFonts w:ascii="Times New Roman" w:hAnsi="Times New Roman" w:cs="Times New Roman"/>
          <w:b/>
          <w:bCs/>
          <w:i/>
          <w:iCs/>
          <w:sz w:val="24"/>
          <w:szCs w:val="24"/>
        </w:rPr>
      </w:pPr>
      <w:r w:rsidRPr="000A099C">
        <w:rPr>
          <w:rFonts w:ascii="Times New Roman" w:hAnsi="Times New Roman" w:cs="Times New Roman"/>
          <w:b/>
          <w:bCs/>
          <w:sz w:val="24"/>
          <w:szCs w:val="24"/>
        </w:rPr>
        <w:t xml:space="preserve">Table 2. Correlations between Background/Exposure Variables and Overall Perception and Attitude towards </w:t>
      </w:r>
      <w:proofErr w:type="spellStart"/>
      <w:r w:rsidRPr="000A099C">
        <w:rPr>
          <w:rFonts w:ascii="Times New Roman" w:hAnsi="Times New Roman" w:cs="Times New Roman"/>
          <w:b/>
          <w:bCs/>
          <w:sz w:val="24"/>
          <w:szCs w:val="24"/>
        </w:rPr>
        <w:t>Agripreneurship</w:t>
      </w:r>
      <w:proofErr w:type="spellEnd"/>
      <w:r w:rsidRPr="000A099C">
        <w:rPr>
          <w:rFonts w:ascii="Times New Roman" w:hAnsi="Times New Roman" w:cs="Times New Roman"/>
          <w:b/>
          <w:bCs/>
          <w:sz w:val="24"/>
          <w:szCs w:val="24"/>
        </w:rPr>
        <w:t xml:space="preserve"> (N = 100). </w:t>
      </w:r>
    </w:p>
    <w:tbl>
      <w:tblPr>
        <w:tblStyle w:val="TableGrid"/>
        <w:tblW w:w="10774" w:type="dxa"/>
        <w:tblInd w:w="-714" w:type="dxa"/>
        <w:tblLayout w:type="fixed"/>
        <w:tblLook w:val="04A0" w:firstRow="1" w:lastRow="0" w:firstColumn="1" w:lastColumn="0" w:noHBand="0" w:noVBand="1"/>
      </w:tblPr>
      <w:tblGrid>
        <w:gridCol w:w="1843"/>
        <w:gridCol w:w="993"/>
        <w:gridCol w:w="1417"/>
        <w:gridCol w:w="1035"/>
        <w:gridCol w:w="1498"/>
        <w:gridCol w:w="1294"/>
        <w:gridCol w:w="1418"/>
        <w:gridCol w:w="1276"/>
      </w:tblGrid>
      <w:tr w:rsidR="000A099C" w14:paraId="2749A62F" w14:textId="77777777" w:rsidTr="005866A5">
        <w:tc>
          <w:tcPr>
            <w:tcW w:w="1843" w:type="dxa"/>
            <w:vAlign w:val="center"/>
          </w:tcPr>
          <w:p w14:paraId="04FE6DFF"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Variable</w:t>
            </w:r>
          </w:p>
        </w:tc>
        <w:tc>
          <w:tcPr>
            <w:tcW w:w="993" w:type="dxa"/>
            <w:vAlign w:val="center"/>
          </w:tcPr>
          <w:p w14:paraId="2FCE8570"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Gender</w:t>
            </w:r>
          </w:p>
        </w:tc>
        <w:tc>
          <w:tcPr>
            <w:tcW w:w="1417" w:type="dxa"/>
            <w:vAlign w:val="center"/>
          </w:tcPr>
          <w:p w14:paraId="20E1DD33"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Family Background</w:t>
            </w:r>
          </w:p>
        </w:tc>
        <w:tc>
          <w:tcPr>
            <w:tcW w:w="1035" w:type="dxa"/>
            <w:vAlign w:val="center"/>
          </w:tcPr>
          <w:p w14:paraId="13EFBA42"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Place of Residence</w:t>
            </w:r>
          </w:p>
        </w:tc>
        <w:tc>
          <w:tcPr>
            <w:tcW w:w="1498" w:type="dxa"/>
            <w:vAlign w:val="center"/>
          </w:tcPr>
          <w:p w14:paraId="6EC92973"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 xml:space="preserve">Awareness of </w:t>
            </w:r>
            <w:proofErr w:type="spellStart"/>
            <w:r w:rsidRPr="000F1935">
              <w:rPr>
                <w:rFonts w:ascii="Times New Roman" w:eastAsia="Georgia" w:hAnsi="Times New Roman" w:cs="Times New Roman"/>
                <w:sz w:val="24"/>
                <w:szCs w:val="24"/>
              </w:rPr>
              <w:t>Agripreneurship</w:t>
            </w:r>
            <w:proofErr w:type="spellEnd"/>
          </w:p>
        </w:tc>
        <w:tc>
          <w:tcPr>
            <w:tcW w:w="1294" w:type="dxa"/>
            <w:vAlign w:val="center"/>
          </w:tcPr>
          <w:p w14:paraId="364818D0"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Source of Information</w:t>
            </w:r>
          </w:p>
        </w:tc>
        <w:tc>
          <w:tcPr>
            <w:tcW w:w="1418" w:type="dxa"/>
            <w:vAlign w:val="center"/>
          </w:tcPr>
          <w:p w14:paraId="06ECBD1B"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Knowledge of Govt. Schemes</w:t>
            </w:r>
          </w:p>
        </w:tc>
        <w:tc>
          <w:tcPr>
            <w:tcW w:w="1276" w:type="dxa"/>
            <w:vAlign w:val="center"/>
          </w:tcPr>
          <w:p w14:paraId="431F6A9B"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Overall Perception &amp; Attitude</w:t>
            </w:r>
          </w:p>
        </w:tc>
      </w:tr>
      <w:tr w:rsidR="000A099C" w14:paraId="20E9D13F" w14:textId="77777777" w:rsidTr="005866A5">
        <w:tc>
          <w:tcPr>
            <w:tcW w:w="1843" w:type="dxa"/>
            <w:vAlign w:val="center"/>
          </w:tcPr>
          <w:p w14:paraId="4F7925CD"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1. Gender</w:t>
            </w:r>
          </w:p>
        </w:tc>
        <w:tc>
          <w:tcPr>
            <w:tcW w:w="993" w:type="dxa"/>
            <w:vAlign w:val="center"/>
          </w:tcPr>
          <w:p w14:paraId="75AC034F"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c>
          <w:tcPr>
            <w:tcW w:w="1417" w:type="dxa"/>
            <w:vAlign w:val="center"/>
          </w:tcPr>
          <w:p w14:paraId="6307E5BC" w14:textId="77777777" w:rsidR="000A099C" w:rsidRDefault="000A099C" w:rsidP="002C6831">
            <w:pPr>
              <w:rPr>
                <w:rFonts w:ascii="Times New Roman" w:hAnsi="Times New Roman" w:cs="Times New Roman"/>
                <w:sz w:val="24"/>
                <w:szCs w:val="24"/>
              </w:rPr>
            </w:pPr>
          </w:p>
        </w:tc>
        <w:tc>
          <w:tcPr>
            <w:tcW w:w="1035" w:type="dxa"/>
            <w:vAlign w:val="center"/>
          </w:tcPr>
          <w:p w14:paraId="410536D6" w14:textId="77777777" w:rsidR="000A099C" w:rsidRDefault="000A099C" w:rsidP="002C6831">
            <w:pPr>
              <w:rPr>
                <w:rFonts w:ascii="Times New Roman" w:hAnsi="Times New Roman" w:cs="Times New Roman"/>
                <w:sz w:val="24"/>
                <w:szCs w:val="24"/>
              </w:rPr>
            </w:pPr>
          </w:p>
        </w:tc>
        <w:tc>
          <w:tcPr>
            <w:tcW w:w="1498" w:type="dxa"/>
            <w:vAlign w:val="center"/>
          </w:tcPr>
          <w:p w14:paraId="00158BE9" w14:textId="77777777" w:rsidR="000A099C" w:rsidRDefault="000A099C" w:rsidP="002C6831">
            <w:pPr>
              <w:rPr>
                <w:rFonts w:ascii="Times New Roman" w:hAnsi="Times New Roman" w:cs="Times New Roman"/>
                <w:sz w:val="24"/>
                <w:szCs w:val="24"/>
              </w:rPr>
            </w:pPr>
          </w:p>
        </w:tc>
        <w:tc>
          <w:tcPr>
            <w:tcW w:w="1294" w:type="dxa"/>
            <w:vAlign w:val="center"/>
          </w:tcPr>
          <w:p w14:paraId="55A506CA" w14:textId="77777777" w:rsidR="000A099C" w:rsidRDefault="000A099C" w:rsidP="002C6831">
            <w:pPr>
              <w:rPr>
                <w:rFonts w:ascii="Times New Roman" w:hAnsi="Times New Roman" w:cs="Times New Roman"/>
                <w:sz w:val="24"/>
                <w:szCs w:val="24"/>
              </w:rPr>
            </w:pPr>
          </w:p>
        </w:tc>
        <w:tc>
          <w:tcPr>
            <w:tcW w:w="1418" w:type="dxa"/>
            <w:vAlign w:val="center"/>
          </w:tcPr>
          <w:p w14:paraId="3702667A" w14:textId="77777777" w:rsidR="000A099C" w:rsidRDefault="000A099C" w:rsidP="002C6831">
            <w:pPr>
              <w:rPr>
                <w:rFonts w:ascii="Times New Roman" w:hAnsi="Times New Roman" w:cs="Times New Roman"/>
                <w:sz w:val="24"/>
                <w:szCs w:val="24"/>
              </w:rPr>
            </w:pPr>
          </w:p>
        </w:tc>
        <w:tc>
          <w:tcPr>
            <w:tcW w:w="1276" w:type="dxa"/>
            <w:vAlign w:val="center"/>
          </w:tcPr>
          <w:p w14:paraId="7222176E" w14:textId="77777777" w:rsidR="000A099C" w:rsidRDefault="000A099C" w:rsidP="002C6831">
            <w:pPr>
              <w:rPr>
                <w:rFonts w:ascii="Times New Roman" w:hAnsi="Times New Roman" w:cs="Times New Roman"/>
                <w:sz w:val="24"/>
                <w:szCs w:val="24"/>
              </w:rPr>
            </w:pPr>
          </w:p>
        </w:tc>
      </w:tr>
      <w:tr w:rsidR="000A099C" w14:paraId="02D38AD5" w14:textId="77777777" w:rsidTr="005866A5">
        <w:tc>
          <w:tcPr>
            <w:tcW w:w="1843" w:type="dxa"/>
            <w:vAlign w:val="center"/>
          </w:tcPr>
          <w:p w14:paraId="450D2225"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2. Family Background</w:t>
            </w:r>
          </w:p>
        </w:tc>
        <w:tc>
          <w:tcPr>
            <w:tcW w:w="993" w:type="dxa"/>
            <w:vAlign w:val="center"/>
          </w:tcPr>
          <w:p w14:paraId="23E3D17D"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(.141)</w:t>
            </w:r>
          </w:p>
        </w:tc>
        <w:tc>
          <w:tcPr>
            <w:tcW w:w="1417" w:type="dxa"/>
            <w:vAlign w:val="center"/>
          </w:tcPr>
          <w:p w14:paraId="75E87F66"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c>
          <w:tcPr>
            <w:tcW w:w="1035" w:type="dxa"/>
            <w:vAlign w:val="center"/>
          </w:tcPr>
          <w:p w14:paraId="736C67D5" w14:textId="77777777" w:rsidR="000A099C" w:rsidRDefault="000A099C" w:rsidP="002C6831">
            <w:pPr>
              <w:rPr>
                <w:rFonts w:ascii="Times New Roman" w:hAnsi="Times New Roman" w:cs="Times New Roman"/>
                <w:sz w:val="24"/>
                <w:szCs w:val="24"/>
              </w:rPr>
            </w:pPr>
          </w:p>
        </w:tc>
        <w:tc>
          <w:tcPr>
            <w:tcW w:w="1498" w:type="dxa"/>
            <w:vAlign w:val="center"/>
          </w:tcPr>
          <w:p w14:paraId="20D85948" w14:textId="77777777" w:rsidR="000A099C" w:rsidRDefault="000A099C" w:rsidP="002C6831">
            <w:pPr>
              <w:rPr>
                <w:rFonts w:ascii="Times New Roman" w:hAnsi="Times New Roman" w:cs="Times New Roman"/>
                <w:sz w:val="24"/>
                <w:szCs w:val="24"/>
              </w:rPr>
            </w:pPr>
          </w:p>
        </w:tc>
        <w:tc>
          <w:tcPr>
            <w:tcW w:w="1294" w:type="dxa"/>
            <w:vAlign w:val="center"/>
          </w:tcPr>
          <w:p w14:paraId="26E5DF39" w14:textId="77777777" w:rsidR="000A099C" w:rsidRDefault="000A099C" w:rsidP="002C6831">
            <w:pPr>
              <w:rPr>
                <w:rFonts w:ascii="Times New Roman" w:hAnsi="Times New Roman" w:cs="Times New Roman"/>
                <w:sz w:val="24"/>
                <w:szCs w:val="24"/>
              </w:rPr>
            </w:pPr>
          </w:p>
        </w:tc>
        <w:tc>
          <w:tcPr>
            <w:tcW w:w="1418" w:type="dxa"/>
            <w:vAlign w:val="center"/>
          </w:tcPr>
          <w:p w14:paraId="5BB14CCC" w14:textId="77777777" w:rsidR="000A099C" w:rsidRDefault="000A099C" w:rsidP="002C6831">
            <w:pPr>
              <w:rPr>
                <w:rFonts w:ascii="Times New Roman" w:hAnsi="Times New Roman" w:cs="Times New Roman"/>
                <w:sz w:val="24"/>
                <w:szCs w:val="24"/>
              </w:rPr>
            </w:pPr>
          </w:p>
        </w:tc>
        <w:tc>
          <w:tcPr>
            <w:tcW w:w="1276" w:type="dxa"/>
            <w:vAlign w:val="center"/>
          </w:tcPr>
          <w:p w14:paraId="3BDC05B3" w14:textId="77777777" w:rsidR="000A099C" w:rsidRDefault="000A099C" w:rsidP="002C6831">
            <w:pPr>
              <w:rPr>
                <w:rFonts w:ascii="Times New Roman" w:hAnsi="Times New Roman" w:cs="Times New Roman"/>
                <w:sz w:val="24"/>
                <w:szCs w:val="24"/>
              </w:rPr>
            </w:pPr>
          </w:p>
        </w:tc>
      </w:tr>
      <w:tr w:rsidR="000A099C" w14:paraId="04C4F405" w14:textId="77777777" w:rsidTr="005866A5">
        <w:tc>
          <w:tcPr>
            <w:tcW w:w="1843" w:type="dxa"/>
            <w:vAlign w:val="center"/>
          </w:tcPr>
          <w:p w14:paraId="0881C8F3"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3. Place of Residence</w:t>
            </w:r>
          </w:p>
        </w:tc>
        <w:tc>
          <w:tcPr>
            <w:tcW w:w="993" w:type="dxa"/>
            <w:vAlign w:val="center"/>
          </w:tcPr>
          <w:p w14:paraId="7606D543"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(−.053)</w:t>
            </w:r>
          </w:p>
        </w:tc>
        <w:tc>
          <w:tcPr>
            <w:tcW w:w="1417" w:type="dxa"/>
            <w:vAlign w:val="center"/>
          </w:tcPr>
          <w:p w14:paraId="7F306B01"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035" w:type="dxa"/>
            <w:vAlign w:val="center"/>
          </w:tcPr>
          <w:p w14:paraId="7F860A35"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c>
          <w:tcPr>
            <w:tcW w:w="1498" w:type="dxa"/>
            <w:vAlign w:val="center"/>
          </w:tcPr>
          <w:p w14:paraId="54429567" w14:textId="77777777" w:rsidR="000A099C" w:rsidRDefault="000A099C" w:rsidP="002C6831">
            <w:pPr>
              <w:rPr>
                <w:rFonts w:ascii="Times New Roman" w:hAnsi="Times New Roman" w:cs="Times New Roman"/>
                <w:sz w:val="24"/>
                <w:szCs w:val="24"/>
              </w:rPr>
            </w:pPr>
          </w:p>
        </w:tc>
        <w:tc>
          <w:tcPr>
            <w:tcW w:w="1294" w:type="dxa"/>
            <w:vAlign w:val="center"/>
          </w:tcPr>
          <w:p w14:paraId="196A7DE4" w14:textId="77777777" w:rsidR="000A099C" w:rsidRDefault="000A099C" w:rsidP="002C6831">
            <w:pPr>
              <w:rPr>
                <w:rFonts w:ascii="Times New Roman" w:hAnsi="Times New Roman" w:cs="Times New Roman"/>
                <w:sz w:val="24"/>
                <w:szCs w:val="24"/>
              </w:rPr>
            </w:pPr>
          </w:p>
        </w:tc>
        <w:tc>
          <w:tcPr>
            <w:tcW w:w="1418" w:type="dxa"/>
            <w:vAlign w:val="center"/>
          </w:tcPr>
          <w:p w14:paraId="256C55C4" w14:textId="77777777" w:rsidR="000A099C" w:rsidRDefault="000A099C" w:rsidP="002C6831">
            <w:pPr>
              <w:rPr>
                <w:rFonts w:ascii="Times New Roman" w:hAnsi="Times New Roman" w:cs="Times New Roman"/>
                <w:sz w:val="24"/>
                <w:szCs w:val="24"/>
              </w:rPr>
            </w:pPr>
          </w:p>
        </w:tc>
        <w:tc>
          <w:tcPr>
            <w:tcW w:w="1276" w:type="dxa"/>
            <w:vAlign w:val="center"/>
          </w:tcPr>
          <w:p w14:paraId="4823140C" w14:textId="77777777" w:rsidR="000A099C" w:rsidRDefault="000A099C" w:rsidP="002C6831">
            <w:pPr>
              <w:rPr>
                <w:rFonts w:ascii="Times New Roman" w:hAnsi="Times New Roman" w:cs="Times New Roman"/>
                <w:sz w:val="24"/>
                <w:szCs w:val="24"/>
              </w:rPr>
            </w:pPr>
          </w:p>
        </w:tc>
      </w:tr>
      <w:tr w:rsidR="000A099C" w14:paraId="584079BA" w14:textId="77777777" w:rsidTr="005866A5">
        <w:tc>
          <w:tcPr>
            <w:tcW w:w="1843" w:type="dxa"/>
            <w:vAlign w:val="center"/>
          </w:tcPr>
          <w:p w14:paraId="12D20743"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 xml:space="preserve">4. Awareness of </w:t>
            </w:r>
            <w:proofErr w:type="spellStart"/>
            <w:r w:rsidRPr="000F1935">
              <w:rPr>
                <w:rFonts w:ascii="Times New Roman" w:eastAsia="Georgia" w:hAnsi="Times New Roman" w:cs="Times New Roman"/>
                <w:sz w:val="24"/>
                <w:szCs w:val="24"/>
              </w:rPr>
              <w:t>Agripreneurship</w:t>
            </w:r>
            <w:proofErr w:type="spellEnd"/>
          </w:p>
        </w:tc>
        <w:tc>
          <w:tcPr>
            <w:tcW w:w="993" w:type="dxa"/>
            <w:vAlign w:val="center"/>
          </w:tcPr>
          <w:p w14:paraId="1E6D4599"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(.025)</w:t>
            </w:r>
          </w:p>
        </w:tc>
        <w:tc>
          <w:tcPr>
            <w:tcW w:w="1417" w:type="dxa"/>
            <w:vAlign w:val="center"/>
          </w:tcPr>
          <w:p w14:paraId="6113B128"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035" w:type="dxa"/>
            <w:vAlign w:val="center"/>
          </w:tcPr>
          <w:p w14:paraId="4B803CAC"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498" w:type="dxa"/>
            <w:vAlign w:val="center"/>
          </w:tcPr>
          <w:p w14:paraId="11A476F7"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c>
          <w:tcPr>
            <w:tcW w:w="1294" w:type="dxa"/>
            <w:vAlign w:val="center"/>
          </w:tcPr>
          <w:p w14:paraId="6D74AB75" w14:textId="77777777" w:rsidR="000A099C" w:rsidRDefault="000A099C" w:rsidP="002C6831">
            <w:pPr>
              <w:rPr>
                <w:rFonts w:ascii="Times New Roman" w:hAnsi="Times New Roman" w:cs="Times New Roman"/>
                <w:sz w:val="24"/>
                <w:szCs w:val="24"/>
              </w:rPr>
            </w:pPr>
          </w:p>
        </w:tc>
        <w:tc>
          <w:tcPr>
            <w:tcW w:w="1418" w:type="dxa"/>
            <w:vAlign w:val="center"/>
          </w:tcPr>
          <w:p w14:paraId="2FE29D84" w14:textId="77777777" w:rsidR="000A099C" w:rsidRDefault="000A099C" w:rsidP="002C6831">
            <w:pPr>
              <w:rPr>
                <w:rFonts w:ascii="Times New Roman" w:hAnsi="Times New Roman" w:cs="Times New Roman"/>
                <w:sz w:val="24"/>
                <w:szCs w:val="24"/>
              </w:rPr>
            </w:pPr>
          </w:p>
        </w:tc>
        <w:tc>
          <w:tcPr>
            <w:tcW w:w="1276" w:type="dxa"/>
            <w:vAlign w:val="center"/>
          </w:tcPr>
          <w:p w14:paraId="23C1AE17" w14:textId="77777777" w:rsidR="000A099C" w:rsidRDefault="000A099C" w:rsidP="002C6831">
            <w:pPr>
              <w:rPr>
                <w:rFonts w:ascii="Times New Roman" w:hAnsi="Times New Roman" w:cs="Times New Roman"/>
                <w:sz w:val="24"/>
                <w:szCs w:val="24"/>
              </w:rPr>
            </w:pPr>
          </w:p>
        </w:tc>
      </w:tr>
      <w:tr w:rsidR="000A099C" w14:paraId="1E8C5585" w14:textId="77777777" w:rsidTr="005866A5">
        <w:tc>
          <w:tcPr>
            <w:tcW w:w="1843" w:type="dxa"/>
            <w:vAlign w:val="center"/>
          </w:tcPr>
          <w:p w14:paraId="3C8AB873"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5. Source of Information</w:t>
            </w:r>
          </w:p>
        </w:tc>
        <w:tc>
          <w:tcPr>
            <w:tcW w:w="993" w:type="dxa"/>
            <w:vAlign w:val="center"/>
          </w:tcPr>
          <w:p w14:paraId="30D2F27D"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(.708)**</w:t>
            </w:r>
          </w:p>
        </w:tc>
        <w:tc>
          <w:tcPr>
            <w:tcW w:w="1417" w:type="dxa"/>
            <w:vAlign w:val="center"/>
          </w:tcPr>
          <w:p w14:paraId="27AD6FAA"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035" w:type="dxa"/>
            <w:vAlign w:val="center"/>
          </w:tcPr>
          <w:p w14:paraId="43A1A6D2"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498" w:type="dxa"/>
            <w:vAlign w:val="center"/>
          </w:tcPr>
          <w:p w14:paraId="2B89ACDE"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(.569)**</w:t>
            </w:r>
          </w:p>
        </w:tc>
        <w:tc>
          <w:tcPr>
            <w:tcW w:w="1294" w:type="dxa"/>
            <w:vAlign w:val="center"/>
          </w:tcPr>
          <w:p w14:paraId="5BB98DAC"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c>
          <w:tcPr>
            <w:tcW w:w="1418" w:type="dxa"/>
            <w:vAlign w:val="center"/>
          </w:tcPr>
          <w:p w14:paraId="787CF532" w14:textId="77777777" w:rsidR="000A099C" w:rsidRDefault="000A099C" w:rsidP="002C6831">
            <w:pPr>
              <w:rPr>
                <w:rFonts w:ascii="Times New Roman" w:hAnsi="Times New Roman" w:cs="Times New Roman"/>
                <w:sz w:val="24"/>
                <w:szCs w:val="24"/>
              </w:rPr>
            </w:pPr>
          </w:p>
        </w:tc>
        <w:tc>
          <w:tcPr>
            <w:tcW w:w="1276" w:type="dxa"/>
            <w:vAlign w:val="center"/>
          </w:tcPr>
          <w:p w14:paraId="6CD766B6" w14:textId="77777777" w:rsidR="000A099C" w:rsidRDefault="000A099C" w:rsidP="002C6831">
            <w:pPr>
              <w:rPr>
                <w:rFonts w:ascii="Times New Roman" w:hAnsi="Times New Roman" w:cs="Times New Roman"/>
                <w:sz w:val="24"/>
                <w:szCs w:val="24"/>
              </w:rPr>
            </w:pPr>
          </w:p>
        </w:tc>
      </w:tr>
      <w:tr w:rsidR="000A099C" w14:paraId="5FD3DE1E" w14:textId="77777777" w:rsidTr="005866A5">
        <w:tc>
          <w:tcPr>
            <w:tcW w:w="1843" w:type="dxa"/>
            <w:vAlign w:val="center"/>
          </w:tcPr>
          <w:p w14:paraId="08B99D78"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6. Knowledge of Govt. Schemes</w:t>
            </w:r>
          </w:p>
        </w:tc>
        <w:tc>
          <w:tcPr>
            <w:tcW w:w="993" w:type="dxa"/>
            <w:vAlign w:val="center"/>
          </w:tcPr>
          <w:p w14:paraId="53DAC961"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(.236)*</w:t>
            </w:r>
          </w:p>
        </w:tc>
        <w:tc>
          <w:tcPr>
            <w:tcW w:w="1417" w:type="dxa"/>
            <w:vAlign w:val="center"/>
          </w:tcPr>
          <w:p w14:paraId="0B6C5E57"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035" w:type="dxa"/>
            <w:vAlign w:val="center"/>
          </w:tcPr>
          <w:p w14:paraId="576BE9C0"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498" w:type="dxa"/>
            <w:vAlign w:val="center"/>
          </w:tcPr>
          <w:p w14:paraId="61F342CA"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294" w:type="dxa"/>
            <w:vAlign w:val="center"/>
          </w:tcPr>
          <w:p w14:paraId="4C5629A1"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p>
        </w:tc>
        <w:tc>
          <w:tcPr>
            <w:tcW w:w="1418" w:type="dxa"/>
            <w:vAlign w:val="center"/>
          </w:tcPr>
          <w:p w14:paraId="2087F50F"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c>
          <w:tcPr>
            <w:tcW w:w="1276" w:type="dxa"/>
            <w:vAlign w:val="center"/>
          </w:tcPr>
          <w:p w14:paraId="1AD105B0" w14:textId="77777777" w:rsidR="000A099C" w:rsidRDefault="000A099C" w:rsidP="002C6831">
            <w:pPr>
              <w:rPr>
                <w:rFonts w:ascii="Times New Roman" w:hAnsi="Times New Roman" w:cs="Times New Roman"/>
                <w:sz w:val="24"/>
                <w:szCs w:val="24"/>
              </w:rPr>
            </w:pPr>
          </w:p>
        </w:tc>
      </w:tr>
      <w:tr w:rsidR="000A099C" w14:paraId="3E22B480" w14:textId="77777777" w:rsidTr="005866A5">
        <w:tc>
          <w:tcPr>
            <w:tcW w:w="1843" w:type="dxa"/>
            <w:vAlign w:val="center"/>
          </w:tcPr>
          <w:p w14:paraId="5DFD130B" w14:textId="77777777" w:rsidR="000A099C" w:rsidRPr="00684DD9"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7. Overall Perception &amp; Attitude</w:t>
            </w:r>
          </w:p>
        </w:tc>
        <w:tc>
          <w:tcPr>
            <w:tcW w:w="993" w:type="dxa"/>
            <w:vAlign w:val="center"/>
          </w:tcPr>
          <w:p w14:paraId="50D06749"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(.141)</w:t>
            </w:r>
          </w:p>
        </w:tc>
        <w:tc>
          <w:tcPr>
            <w:tcW w:w="1417" w:type="dxa"/>
            <w:vAlign w:val="center"/>
          </w:tcPr>
          <w:p w14:paraId="661730A3"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(−.053)</w:t>
            </w:r>
          </w:p>
        </w:tc>
        <w:tc>
          <w:tcPr>
            <w:tcW w:w="1035" w:type="dxa"/>
            <w:vAlign w:val="center"/>
          </w:tcPr>
          <w:p w14:paraId="22B1C43E"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(.025)</w:t>
            </w:r>
          </w:p>
        </w:tc>
        <w:tc>
          <w:tcPr>
            <w:tcW w:w="1498" w:type="dxa"/>
            <w:vAlign w:val="center"/>
          </w:tcPr>
          <w:p w14:paraId="18C24F00"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(.708)**</w:t>
            </w:r>
          </w:p>
        </w:tc>
        <w:tc>
          <w:tcPr>
            <w:tcW w:w="1294" w:type="dxa"/>
            <w:vAlign w:val="center"/>
          </w:tcPr>
          <w:p w14:paraId="715D699F"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(.569)**</w:t>
            </w:r>
          </w:p>
        </w:tc>
        <w:tc>
          <w:tcPr>
            <w:tcW w:w="1418" w:type="dxa"/>
            <w:vAlign w:val="center"/>
          </w:tcPr>
          <w:p w14:paraId="27A9E290" w14:textId="77777777" w:rsidR="000A099C" w:rsidRDefault="000A099C" w:rsidP="002C6831">
            <w:pPr>
              <w:rPr>
                <w:rFonts w:ascii="Times New Roman" w:hAnsi="Times New Roman" w:cs="Times New Roman"/>
                <w:sz w:val="24"/>
                <w:szCs w:val="24"/>
              </w:rPr>
            </w:pPr>
            <w:r w:rsidRPr="000F1935">
              <w:rPr>
                <w:rFonts w:ascii="Segoe UI Emoji" w:eastAsia="Georgia" w:hAnsi="Segoe UI Emoji" w:cs="Segoe UI Emoji"/>
                <w:sz w:val="24"/>
                <w:szCs w:val="24"/>
              </w:rPr>
              <w:t>🟨</w:t>
            </w:r>
            <w:r w:rsidRPr="000F1935">
              <w:rPr>
                <w:rFonts w:ascii="Times New Roman" w:eastAsia="Georgia" w:hAnsi="Times New Roman" w:cs="Times New Roman"/>
                <w:sz w:val="24"/>
                <w:szCs w:val="24"/>
              </w:rPr>
              <w:t xml:space="preserve"> (.236)*</w:t>
            </w:r>
          </w:p>
        </w:tc>
        <w:tc>
          <w:tcPr>
            <w:tcW w:w="1276" w:type="dxa"/>
            <w:vAlign w:val="center"/>
          </w:tcPr>
          <w:p w14:paraId="3B657412" w14:textId="77777777" w:rsidR="000A099C" w:rsidRDefault="000A099C" w:rsidP="002C6831">
            <w:pPr>
              <w:rPr>
                <w:rFonts w:ascii="Times New Roman" w:hAnsi="Times New Roman" w:cs="Times New Roman"/>
                <w:sz w:val="24"/>
                <w:szCs w:val="24"/>
              </w:rPr>
            </w:pPr>
            <w:r w:rsidRPr="000F1935">
              <w:rPr>
                <w:rFonts w:ascii="Times New Roman" w:eastAsia="Georgia" w:hAnsi="Times New Roman" w:cs="Times New Roman"/>
                <w:sz w:val="24"/>
                <w:szCs w:val="24"/>
              </w:rPr>
              <w:t>---</w:t>
            </w:r>
          </w:p>
        </w:tc>
      </w:tr>
    </w:tbl>
    <w:p w14:paraId="547363CC" w14:textId="77777777" w:rsidR="000A099C" w:rsidRPr="00684DD9" w:rsidRDefault="000A099C" w:rsidP="000A099C">
      <w:pPr>
        <w:spacing w:before="240" w:after="0" w:line="240" w:lineRule="auto"/>
        <w:jc w:val="both"/>
        <w:rPr>
          <w:rFonts w:ascii="Times New Roman" w:hAnsi="Times New Roman" w:cs="Times New Roman"/>
          <w:i/>
          <w:iCs/>
          <w:sz w:val="24"/>
          <w:szCs w:val="24"/>
          <w:lang w:val="en-IN"/>
        </w:rPr>
      </w:pPr>
      <w:r w:rsidRPr="00684DD9">
        <w:rPr>
          <w:rFonts w:ascii="Times New Roman" w:hAnsi="Times New Roman" w:cs="Times New Roman"/>
          <w:i/>
          <w:iCs/>
          <w:sz w:val="24"/>
          <w:szCs w:val="24"/>
          <w:lang w:val="en-IN"/>
        </w:rPr>
        <w:t>*Notes on the Heat-Map Table</w:t>
      </w:r>
    </w:p>
    <w:p w14:paraId="69C86605" w14:textId="77777777" w:rsidR="000A099C" w:rsidRPr="00684DD9" w:rsidRDefault="000A099C" w:rsidP="000A099C">
      <w:pPr>
        <w:spacing w:after="0" w:line="240" w:lineRule="auto"/>
        <w:jc w:val="both"/>
        <w:rPr>
          <w:rFonts w:ascii="Times New Roman" w:hAnsi="Times New Roman" w:cs="Times New Roman"/>
          <w:i/>
          <w:iCs/>
          <w:sz w:val="24"/>
          <w:szCs w:val="24"/>
          <w:lang w:val="en-IN"/>
        </w:rPr>
      </w:pPr>
      <w:r w:rsidRPr="00684DD9">
        <w:rPr>
          <w:rFonts w:ascii="Times New Roman" w:hAnsi="Times New Roman" w:cs="Times New Roman"/>
          <w:i/>
          <w:iCs/>
          <w:sz w:val="24"/>
          <w:szCs w:val="24"/>
          <w:lang w:val="en-IN"/>
        </w:rPr>
        <w:t xml:space="preserve">The highest correlation (strong) is between awareness and perception → </w:t>
      </w:r>
      <w:r w:rsidRPr="00684DD9">
        <w:rPr>
          <w:rFonts w:ascii="Segoe UI Emoji" w:hAnsi="Segoe UI Emoji" w:cs="Segoe UI Emoji"/>
          <w:i/>
          <w:iCs/>
          <w:sz w:val="24"/>
          <w:szCs w:val="24"/>
          <w:lang w:val="en-IN"/>
        </w:rPr>
        <w:t>🟥</w:t>
      </w:r>
      <w:r w:rsidRPr="00684DD9">
        <w:rPr>
          <w:rFonts w:ascii="Times New Roman" w:hAnsi="Times New Roman" w:cs="Times New Roman"/>
          <w:i/>
          <w:iCs/>
          <w:sz w:val="24"/>
          <w:szCs w:val="24"/>
          <w:lang w:val="en-IN"/>
        </w:rPr>
        <w:t xml:space="preserve"> (.708).</w:t>
      </w:r>
    </w:p>
    <w:p w14:paraId="47FEB0A6" w14:textId="77777777" w:rsidR="000A099C" w:rsidRPr="00684DD9" w:rsidRDefault="000A099C" w:rsidP="000A099C">
      <w:pPr>
        <w:spacing w:after="0" w:line="240" w:lineRule="auto"/>
        <w:jc w:val="both"/>
        <w:rPr>
          <w:rFonts w:ascii="Times New Roman" w:hAnsi="Times New Roman" w:cs="Times New Roman"/>
          <w:i/>
          <w:iCs/>
          <w:sz w:val="24"/>
          <w:szCs w:val="24"/>
          <w:lang w:val="en-IN"/>
        </w:rPr>
      </w:pPr>
      <w:r w:rsidRPr="00684DD9">
        <w:rPr>
          <w:rFonts w:ascii="Times New Roman" w:hAnsi="Times New Roman" w:cs="Times New Roman"/>
          <w:i/>
          <w:iCs/>
          <w:sz w:val="24"/>
          <w:szCs w:val="24"/>
          <w:lang w:val="en-IN"/>
        </w:rPr>
        <w:t xml:space="preserve">The second highest (moderate) is source of information → </w:t>
      </w:r>
      <w:r w:rsidRPr="00684DD9">
        <w:rPr>
          <w:rFonts w:ascii="Segoe UI Emoji" w:hAnsi="Segoe UI Emoji" w:cs="Segoe UI Emoji"/>
          <w:i/>
          <w:iCs/>
          <w:sz w:val="24"/>
          <w:szCs w:val="24"/>
          <w:lang w:val="en-IN"/>
        </w:rPr>
        <w:t>🟧</w:t>
      </w:r>
      <w:r w:rsidRPr="00684DD9">
        <w:rPr>
          <w:rFonts w:ascii="Times New Roman" w:hAnsi="Times New Roman" w:cs="Times New Roman"/>
          <w:i/>
          <w:iCs/>
          <w:sz w:val="24"/>
          <w:szCs w:val="24"/>
          <w:lang w:val="en-IN"/>
        </w:rPr>
        <w:t xml:space="preserve"> (.569).</w:t>
      </w:r>
    </w:p>
    <w:p w14:paraId="10CB9A30" w14:textId="77777777" w:rsidR="000A099C" w:rsidRPr="00684DD9" w:rsidRDefault="000A099C" w:rsidP="000A099C">
      <w:pPr>
        <w:spacing w:after="0" w:line="240" w:lineRule="auto"/>
        <w:jc w:val="both"/>
        <w:rPr>
          <w:rFonts w:ascii="Times New Roman" w:hAnsi="Times New Roman" w:cs="Times New Roman"/>
          <w:i/>
          <w:iCs/>
          <w:sz w:val="24"/>
          <w:szCs w:val="24"/>
          <w:lang w:val="en-IN"/>
        </w:rPr>
      </w:pPr>
      <w:r w:rsidRPr="00684DD9">
        <w:rPr>
          <w:rFonts w:ascii="Times New Roman" w:hAnsi="Times New Roman" w:cs="Times New Roman"/>
          <w:i/>
          <w:iCs/>
          <w:sz w:val="24"/>
          <w:szCs w:val="24"/>
          <w:lang w:val="en-IN"/>
        </w:rPr>
        <w:lastRenderedPageBreak/>
        <w:t xml:space="preserve">Knowledge of government schemes shows a weak but significant relationship → </w:t>
      </w:r>
      <w:r w:rsidRPr="00684DD9">
        <w:rPr>
          <w:rFonts w:ascii="Segoe UI Emoji" w:hAnsi="Segoe UI Emoji" w:cs="Segoe UI Emoji"/>
          <w:i/>
          <w:iCs/>
          <w:sz w:val="24"/>
          <w:szCs w:val="24"/>
          <w:lang w:val="en-IN"/>
        </w:rPr>
        <w:t>🟨</w:t>
      </w:r>
      <w:r w:rsidRPr="00684DD9">
        <w:rPr>
          <w:rFonts w:ascii="Times New Roman" w:hAnsi="Times New Roman" w:cs="Times New Roman"/>
          <w:i/>
          <w:iCs/>
          <w:sz w:val="24"/>
          <w:szCs w:val="24"/>
          <w:lang w:val="en-IN"/>
        </w:rPr>
        <w:t xml:space="preserve"> (.236).</w:t>
      </w:r>
    </w:p>
    <w:p w14:paraId="6DE6DAA8" w14:textId="77777777" w:rsidR="000A099C" w:rsidRDefault="000A099C" w:rsidP="000A099C">
      <w:pPr>
        <w:spacing w:after="0" w:line="240" w:lineRule="auto"/>
        <w:jc w:val="both"/>
        <w:rPr>
          <w:rFonts w:ascii="Times New Roman" w:hAnsi="Times New Roman" w:cs="Times New Roman"/>
          <w:i/>
          <w:iCs/>
          <w:sz w:val="24"/>
          <w:szCs w:val="24"/>
          <w:lang w:val="en-IN"/>
        </w:rPr>
      </w:pPr>
      <w:r w:rsidRPr="00684DD9">
        <w:rPr>
          <w:rFonts w:ascii="Times New Roman" w:hAnsi="Times New Roman" w:cs="Times New Roman"/>
          <w:i/>
          <w:iCs/>
          <w:sz w:val="24"/>
          <w:szCs w:val="24"/>
          <w:lang w:val="en-IN"/>
        </w:rPr>
        <w:t>All demographic variables fall into weak or near-zero correlation ranges, showing they do not meaningfully influence perception.</w:t>
      </w:r>
    </w:p>
    <w:p w14:paraId="141A5B46" w14:textId="09C442FC" w:rsidR="00860676" w:rsidRPr="00860676" w:rsidRDefault="00860676" w:rsidP="000A099C">
      <w:pPr>
        <w:spacing w:after="0" w:line="240" w:lineRule="auto"/>
        <w:jc w:val="both"/>
        <w:rPr>
          <w:rFonts w:ascii="Times New Roman" w:hAnsi="Times New Roman" w:cs="Times New Roman"/>
          <w:i/>
          <w:iCs/>
          <w:sz w:val="24"/>
          <w:szCs w:val="24"/>
          <w:lang w:val="en-IN"/>
        </w:rPr>
      </w:pPr>
      <w:r w:rsidRPr="00860676">
        <w:rPr>
          <w:rFonts w:ascii="Times New Roman" w:hAnsi="Times New Roman" w:cs="Times New Roman"/>
          <w:sz w:val="24"/>
          <w:szCs w:val="24"/>
        </w:rPr>
        <w:t xml:space="preserve">Values represent Pearson correlation coefficients; p-values in parentheses. </w:t>
      </w:r>
      <w:r w:rsidRPr="00860676">
        <w:rPr>
          <w:rFonts w:ascii="Times New Roman" w:hAnsi="Times New Roman" w:cs="Times New Roman"/>
          <w:i/>
          <w:iCs/>
          <w:sz w:val="24"/>
          <w:szCs w:val="24"/>
        </w:rPr>
        <w:t>p &lt; .05, p &lt; .001.</w:t>
      </w:r>
    </w:p>
    <w:p w14:paraId="0114BB23" w14:textId="47324C9C" w:rsidR="000A099C" w:rsidRPr="00684DD9"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The correlations show that gender, family background, and place of residence are not significantly associated with perception and attitude. Specifically, gender (r = .141, p = .162), family background (r = −.053, p = .601), and place of residence (r = .025, p = .806) exhibit very weak relationships. These results suggest that inherent demographic traits do not meaningfully shape </w:t>
      </w:r>
      <w:proofErr w:type="spellStart"/>
      <w:r w:rsidRPr="00684DD9">
        <w:rPr>
          <w:rFonts w:ascii="Times New Roman" w:hAnsi="Times New Roman" w:cs="Times New Roman"/>
          <w:sz w:val="24"/>
          <w:szCs w:val="24"/>
          <w:lang w:val="en-IN"/>
        </w:rPr>
        <w:t>agripreneurial</w:t>
      </w:r>
      <w:proofErr w:type="spellEnd"/>
      <w:r w:rsidRPr="00684DD9">
        <w:rPr>
          <w:rFonts w:ascii="Times New Roman" w:hAnsi="Times New Roman" w:cs="Times New Roman"/>
          <w:sz w:val="24"/>
          <w:szCs w:val="24"/>
          <w:lang w:val="en-IN"/>
        </w:rPr>
        <w:t xml:space="preserve"> orientation, reinforcing the perspective that entrepreneurial disposition in agriculture is a learned rather than innate attribute.</w:t>
      </w:r>
      <w:r>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 xml:space="preserve">In contrast, variables reflecting awareness, exposure, and knowledge demonstrate stronger and statistically significant associations. Awareness of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xml:space="preserve"> stands out with a strong positive correlation (r = .708, p &lt; .001), indicating that students who have prior familiarity with the concept tend to possess substantially more </w:t>
      </w:r>
      <w:proofErr w:type="spellStart"/>
      <w:r w:rsidRPr="00684DD9">
        <w:rPr>
          <w:rFonts w:ascii="Times New Roman" w:hAnsi="Times New Roman" w:cs="Times New Roman"/>
          <w:sz w:val="24"/>
          <w:szCs w:val="24"/>
          <w:lang w:val="en-IN"/>
        </w:rPr>
        <w:t>favorable</w:t>
      </w:r>
      <w:proofErr w:type="spellEnd"/>
      <w:r w:rsidRPr="00684DD9">
        <w:rPr>
          <w:rFonts w:ascii="Times New Roman" w:hAnsi="Times New Roman" w:cs="Times New Roman"/>
          <w:sz w:val="24"/>
          <w:szCs w:val="24"/>
          <w:lang w:val="en-IN"/>
        </w:rPr>
        <w:t xml:space="preserve"> perceptions and attitudes. The source of information shows a moderate positive correlation (r = .569, p &lt; .001), implying that access to diverse information channels</w:t>
      </w:r>
      <w:r w:rsidR="00860676">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 xml:space="preserve">such as media, extension programs, or academic institutions—supports the development of positive </w:t>
      </w:r>
      <w:proofErr w:type="spellStart"/>
      <w:r w:rsidRPr="00684DD9">
        <w:rPr>
          <w:rFonts w:ascii="Times New Roman" w:hAnsi="Times New Roman" w:cs="Times New Roman"/>
          <w:sz w:val="24"/>
          <w:szCs w:val="24"/>
          <w:lang w:val="en-IN"/>
        </w:rPr>
        <w:t>agripreneurial</w:t>
      </w:r>
      <w:proofErr w:type="spellEnd"/>
      <w:r w:rsidRPr="00684DD9">
        <w:rPr>
          <w:rFonts w:ascii="Times New Roman" w:hAnsi="Times New Roman" w:cs="Times New Roman"/>
          <w:sz w:val="24"/>
          <w:szCs w:val="24"/>
          <w:lang w:val="en-IN"/>
        </w:rPr>
        <w:t xml:space="preserve"> perceptions. Knowledge of government schemes also displays a weak yet significant association (r = .236, p = .018), suggesting that awareness of institutional support structures plays a role in shaping students’ inclination toward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w:t>
      </w:r>
    </w:p>
    <w:p w14:paraId="135BE850" w14:textId="77777777" w:rsidR="000A099C" w:rsidRPr="00684DD9"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To enhance interpretation, a heat-map visualization of these correlations is presented in Figure 1, allowing readers to quickly identify influential variables through </w:t>
      </w:r>
      <w:proofErr w:type="spellStart"/>
      <w:r w:rsidRPr="00684DD9">
        <w:rPr>
          <w:rFonts w:ascii="Times New Roman" w:hAnsi="Times New Roman" w:cs="Times New Roman"/>
          <w:sz w:val="24"/>
          <w:szCs w:val="24"/>
          <w:lang w:val="en-IN"/>
        </w:rPr>
        <w:t>color</w:t>
      </w:r>
      <w:proofErr w:type="spellEnd"/>
      <w:r w:rsidRPr="00684DD9">
        <w:rPr>
          <w:rFonts w:ascii="Times New Roman" w:hAnsi="Times New Roman" w:cs="Times New Roman"/>
          <w:sz w:val="24"/>
          <w:szCs w:val="24"/>
          <w:lang w:val="en-IN"/>
        </w:rPr>
        <w:t xml:space="preserve"> intensity and significance markers. </w:t>
      </w:r>
    </w:p>
    <w:p w14:paraId="47EBFA30" w14:textId="77777777" w:rsidR="000A099C" w:rsidRDefault="000A099C" w:rsidP="000A099C">
      <w:pPr>
        <w:spacing w:before="240" w:line="360" w:lineRule="auto"/>
        <w:jc w:val="both"/>
        <w:rPr>
          <w:rFonts w:ascii="Times New Roman" w:hAnsi="Times New Roman" w:cs="Times New Roman"/>
          <w:sz w:val="24"/>
          <w:szCs w:val="24"/>
        </w:rPr>
      </w:pPr>
      <w:r>
        <w:rPr>
          <w:noProof/>
        </w:rPr>
        <w:lastRenderedPageBreak/>
        <w:drawing>
          <wp:inline distT="0" distB="0" distL="0" distR="0" wp14:anchorId="7ECBFF4C" wp14:editId="730DFD5E">
            <wp:extent cx="5731510" cy="4855845"/>
            <wp:effectExtent l="0" t="0" r="2540" b="1905"/>
            <wp:docPr id="1517160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855845"/>
                    </a:xfrm>
                    <a:prstGeom prst="rect">
                      <a:avLst/>
                    </a:prstGeom>
                    <a:noFill/>
                    <a:ln>
                      <a:noFill/>
                    </a:ln>
                  </pic:spPr>
                </pic:pic>
              </a:graphicData>
            </a:graphic>
          </wp:inline>
        </w:drawing>
      </w:r>
    </w:p>
    <w:p w14:paraId="42E9E076" w14:textId="77777777" w:rsidR="000A099C" w:rsidRDefault="000A099C" w:rsidP="000A099C">
      <w:pPr>
        <w:spacing w:before="240" w:line="360" w:lineRule="auto"/>
        <w:jc w:val="both"/>
        <w:rPr>
          <w:rFonts w:ascii="Times New Roman" w:hAnsi="Times New Roman" w:cs="Times New Roman"/>
          <w:i/>
          <w:iCs/>
          <w:sz w:val="24"/>
          <w:szCs w:val="24"/>
        </w:rPr>
      </w:pPr>
      <w:r w:rsidRPr="000A099C">
        <w:rPr>
          <w:rFonts w:ascii="Times New Roman" w:hAnsi="Times New Roman" w:cs="Times New Roman"/>
          <w:b/>
          <w:bCs/>
          <w:sz w:val="24"/>
          <w:szCs w:val="24"/>
        </w:rPr>
        <w:t xml:space="preserve">Figure 1: *Correlation heatmap illustrating the relationships between background and exposure variables and overall perception and attitude towards </w:t>
      </w:r>
      <w:proofErr w:type="spellStart"/>
      <w:r w:rsidRPr="000A099C">
        <w:rPr>
          <w:rFonts w:ascii="Times New Roman" w:hAnsi="Times New Roman" w:cs="Times New Roman"/>
          <w:b/>
          <w:bCs/>
          <w:sz w:val="24"/>
          <w:szCs w:val="24"/>
        </w:rPr>
        <w:t>agripreneurship</w:t>
      </w:r>
      <w:proofErr w:type="spellEnd"/>
      <w:r w:rsidRPr="000A099C">
        <w:rPr>
          <w:rFonts w:ascii="Times New Roman" w:hAnsi="Times New Roman" w:cs="Times New Roman"/>
          <w:b/>
          <w:bCs/>
          <w:sz w:val="24"/>
          <w:szCs w:val="24"/>
        </w:rPr>
        <w:t xml:space="preserve"> among agricultural students (N = 100). Pearson correlation coefficients are displayed within cells, with significance levels indicated by asterisks (*p &lt; .05; *</w:t>
      </w:r>
      <w:r w:rsidRPr="000A099C">
        <w:rPr>
          <w:rFonts w:ascii="Times New Roman" w:hAnsi="Times New Roman" w:cs="Times New Roman"/>
          <w:b/>
          <w:bCs/>
          <w:i/>
          <w:iCs/>
          <w:sz w:val="24"/>
          <w:szCs w:val="24"/>
        </w:rPr>
        <w:t>p &lt; .001).</w:t>
      </w:r>
      <w:r w:rsidRPr="00A06497">
        <w:rPr>
          <w:rFonts w:ascii="Times New Roman" w:hAnsi="Times New Roman" w:cs="Times New Roman"/>
          <w:i/>
          <w:iCs/>
          <w:sz w:val="24"/>
          <w:szCs w:val="24"/>
        </w:rPr>
        <w:t xml:space="preserve"> Strong positive correlations are indicated by darker shading, while weak or non-significant correlations appear lighter. Only significant associations—awareness of </w:t>
      </w:r>
      <w:proofErr w:type="spellStart"/>
      <w:r w:rsidRPr="00A06497">
        <w:rPr>
          <w:rFonts w:ascii="Times New Roman" w:hAnsi="Times New Roman" w:cs="Times New Roman"/>
          <w:i/>
          <w:iCs/>
          <w:sz w:val="24"/>
          <w:szCs w:val="24"/>
        </w:rPr>
        <w:t>agripreneurship</w:t>
      </w:r>
      <w:proofErr w:type="spellEnd"/>
      <w:r w:rsidRPr="00A06497">
        <w:rPr>
          <w:rFonts w:ascii="Times New Roman" w:hAnsi="Times New Roman" w:cs="Times New Roman"/>
          <w:i/>
          <w:iCs/>
          <w:sz w:val="24"/>
          <w:szCs w:val="24"/>
        </w:rPr>
        <w:t>, source of information, and knowledge of government schemes—show meaningful positive relationships with overall perception and attitude.</w:t>
      </w:r>
    </w:p>
    <w:p w14:paraId="2154E8EF" w14:textId="16FD548E" w:rsidR="000A099C" w:rsidRDefault="000A099C" w:rsidP="000A099C">
      <w:pPr>
        <w:spacing w:before="240" w:line="360" w:lineRule="auto"/>
        <w:jc w:val="both"/>
        <w:rPr>
          <w:rFonts w:ascii="Times New Roman" w:hAnsi="Times New Roman" w:cs="Times New Roman"/>
          <w:sz w:val="24"/>
          <w:szCs w:val="24"/>
        </w:rPr>
      </w:pPr>
      <w:r w:rsidRPr="00684DD9">
        <w:rPr>
          <w:rFonts w:ascii="Times New Roman" w:hAnsi="Times New Roman" w:cs="Times New Roman"/>
          <w:sz w:val="24"/>
          <w:szCs w:val="24"/>
        </w:rPr>
        <w:t xml:space="preserve">Collectively, these findings underscore the importance of exposure, awareness, and knowledge dissemination mechanisms in shaping </w:t>
      </w:r>
      <w:proofErr w:type="spellStart"/>
      <w:r w:rsidRPr="00684DD9">
        <w:rPr>
          <w:rFonts w:ascii="Times New Roman" w:hAnsi="Times New Roman" w:cs="Times New Roman"/>
          <w:sz w:val="24"/>
          <w:szCs w:val="24"/>
        </w:rPr>
        <w:t>agripreneurial</w:t>
      </w:r>
      <w:proofErr w:type="spellEnd"/>
      <w:r w:rsidRPr="00684DD9">
        <w:rPr>
          <w:rFonts w:ascii="Times New Roman" w:hAnsi="Times New Roman" w:cs="Times New Roman"/>
          <w:sz w:val="24"/>
          <w:szCs w:val="24"/>
        </w:rPr>
        <w:t xml:space="preserve"> attitudes</w:t>
      </w:r>
      <w:r w:rsidR="00860676">
        <w:rPr>
          <w:rFonts w:ascii="Times New Roman" w:hAnsi="Times New Roman" w:cs="Times New Roman"/>
          <w:sz w:val="24"/>
          <w:szCs w:val="24"/>
        </w:rPr>
        <w:t xml:space="preserve"> </w:t>
      </w:r>
      <w:r w:rsidRPr="00684DD9">
        <w:rPr>
          <w:rFonts w:ascii="Times New Roman" w:hAnsi="Times New Roman" w:cs="Times New Roman"/>
          <w:sz w:val="24"/>
          <w:szCs w:val="24"/>
        </w:rPr>
        <w:t>providing valuable guidance for extension education and curriculum design efforts aimed at fostering entrepreneurial mindsets among youth.</w:t>
      </w:r>
    </w:p>
    <w:p w14:paraId="5178D909" w14:textId="77777777" w:rsidR="000A099C" w:rsidRPr="00684DD9" w:rsidRDefault="000A099C" w:rsidP="000A099C">
      <w:pPr>
        <w:spacing w:before="240" w:line="360" w:lineRule="auto"/>
        <w:jc w:val="both"/>
        <w:rPr>
          <w:rFonts w:ascii="Times New Roman" w:hAnsi="Times New Roman" w:cs="Times New Roman"/>
          <w:b/>
          <w:bCs/>
          <w:sz w:val="24"/>
          <w:szCs w:val="24"/>
          <w:lang w:val="en-IN"/>
        </w:rPr>
      </w:pPr>
      <w:r w:rsidRPr="00684DD9">
        <w:rPr>
          <w:rFonts w:ascii="Times New Roman" w:hAnsi="Times New Roman" w:cs="Times New Roman"/>
          <w:b/>
          <w:bCs/>
          <w:sz w:val="24"/>
          <w:szCs w:val="24"/>
          <w:lang w:val="en-IN"/>
        </w:rPr>
        <w:lastRenderedPageBreak/>
        <w:t xml:space="preserve">3.3 Multiple Linear Regression Analysis </w:t>
      </w:r>
    </w:p>
    <w:p w14:paraId="242B21A9" w14:textId="373FC583" w:rsidR="000A099C"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A multiple linear regression model was developed to identify the strongest predictors of agricultural students’ perception and attitude toward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The model incorporated eight predictors</w:t>
      </w:r>
      <w:r w:rsidR="00860676">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 xml:space="preserve">gender, age, year of study, family background, place of residence, prior awareness of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source of information, and knowledge about government schemes</w:t>
      </w:r>
      <w:r w:rsidR="00860676">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to determine their unique contributions to explaining variance in perception scores. The summary of the model outputs is provided in Table 3.</w:t>
      </w:r>
    </w:p>
    <w:p w14:paraId="25B71FBF" w14:textId="235CD99E" w:rsidR="000A099C" w:rsidRPr="00684DD9"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A multiple linear regression model was constructed to identify the strongest predictors of agricultural students’ overall perception and attitude toward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xml:space="preserve">. The model incorporated eight predictors: gender, age, year of study, family background, place of residence, prior awareness of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source of information, and knowledge of government schemes. This analytical approach allows for the simultaneous assessment of each variable’s unique contribution while controlling for other factors. The complete regression output is presented in Table 3, with graphical representations shown in Figures 2.</w:t>
      </w:r>
    </w:p>
    <w:p w14:paraId="7D49A392" w14:textId="77777777" w:rsidR="000A099C" w:rsidRDefault="000A099C" w:rsidP="000A099C">
      <w:pPr>
        <w:spacing w:before="240" w:line="360" w:lineRule="auto"/>
        <w:jc w:val="both"/>
        <w:rPr>
          <w:rFonts w:ascii="Times New Roman" w:hAnsi="Times New Roman" w:cs="Times New Roman"/>
          <w:b/>
          <w:bCs/>
          <w:sz w:val="24"/>
          <w:szCs w:val="24"/>
          <w:lang w:val="en-IN"/>
        </w:rPr>
      </w:pPr>
      <w:r w:rsidRPr="00684DD9">
        <w:rPr>
          <w:rFonts w:ascii="Times New Roman" w:hAnsi="Times New Roman" w:cs="Times New Roman"/>
          <w:b/>
          <w:bCs/>
          <w:sz w:val="24"/>
          <w:szCs w:val="24"/>
          <w:lang w:val="en-IN"/>
        </w:rPr>
        <w:t xml:space="preserve">Table 3. Multiple Linear Regression Predicting Overall Perception and Attitude Towards </w:t>
      </w:r>
      <w:proofErr w:type="spellStart"/>
      <w:r w:rsidRPr="00684DD9">
        <w:rPr>
          <w:rFonts w:ascii="Times New Roman" w:hAnsi="Times New Roman" w:cs="Times New Roman"/>
          <w:b/>
          <w:bCs/>
          <w:sz w:val="24"/>
          <w:szCs w:val="24"/>
          <w:lang w:val="en-IN"/>
        </w:rPr>
        <w:t>Agripreneurship</w:t>
      </w:r>
      <w:proofErr w:type="spellEnd"/>
      <w:r w:rsidRPr="00684DD9">
        <w:rPr>
          <w:rFonts w:ascii="Times New Roman" w:hAnsi="Times New Roman" w:cs="Times New Roman"/>
          <w:b/>
          <w:bCs/>
          <w:sz w:val="24"/>
          <w:szCs w:val="24"/>
          <w:lang w:val="en-IN"/>
        </w:rPr>
        <w:t xml:space="preserve"> (N =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1022"/>
        <w:gridCol w:w="969"/>
        <w:gridCol w:w="968"/>
        <w:gridCol w:w="968"/>
        <w:gridCol w:w="1041"/>
      </w:tblGrid>
      <w:tr w:rsidR="000A099C" w:rsidRPr="00E21929" w14:paraId="1DC603AB" w14:textId="77777777" w:rsidTr="00BB4503">
        <w:tc>
          <w:tcPr>
            <w:tcW w:w="2356" w:type="pct"/>
            <w:shd w:val="clear" w:color="auto" w:fill="D9E2F3" w:themeFill="accent1" w:themeFillTint="33"/>
            <w:hideMark/>
          </w:tcPr>
          <w:p w14:paraId="0D15194B"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Predictor</w:t>
            </w:r>
          </w:p>
        </w:tc>
        <w:tc>
          <w:tcPr>
            <w:tcW w:w="544" w:type="pct"/>
            <w:shd w:val="clear" w:color="auto" w:fill="D9E2F3" w:themeFill="accent1" w:themeFillTint="33"/>
            <w:hideMark/>
          </w:tcPr>
          <w:p w14:paraId="7D781275" w14:textId="77777777" w:rsidR="000A099C" w:rsidRPr="00FD593B" w:rsidRDefault="000A099C" w:rsidP="00222822">
            <w:pPr>
              <w:spacing w:line="360" w:lineRule="auto"/>
              <w:jc w:val="center"/>
              <w:rPr>
                <w:rFonts w:ascii="Times New Roman" w:hAnsi="Times New Roman" w:cs="Times New Roman"/>
                <w:b/>
                <w:bCs/>
                <w:sz w:val="24"/>
                <w:szCs w:val="24"/>
              </w:rPr>
            </w:pPr>
            <w:r w:rsidRPr="00FD593B">
              <w:rPr>
                <w:rFonts w:ascii="Times New Roman" w:hAnsi="Times New Roman" w:cs="Times New Roman"/>
                <w:b/>
                <w:bCs/>
                <w:sz w:val="24"/>
                <w:szCs w:val="24"/>
              </w:rPr>
              <w:t>B</w:t>
            </w:r>
          </w:p>
        </w:tc>
        <w:tc>
          <w:tcPr>
            <w:tcW w:w="516" w:type="pct"/>
            <w:shd w:val="clear" w:color="auto" w:fill="D9E2F3" w:themeFill="accent1" w:themeFillTint="33"/>
            <w:hideMark/>
          </w:tcPr>
          <w:p w14:paraId="026905E6" w14:textId="77777777" w:rsidR="000A099C" w:rsidRPr="00FD593B" w:rsidRDefault="000A099C" w:rsidP="00222822">
            <w:pPr>
              <w:spacing w:line="360" w:lineRule="auto"/>
              <w:jc w:val="center"/>
              <w:rPr>
                <w:rFonts w:ascii="Times New Roman" w:hAnsi="Times New Roman" w:cs="Times New Roman"/>
                <w:b/>
                <w:bCs/>
                <w:sz w:val="24"/>
                <w:szCs w:val="24"/>
              </w:rPr>
            </w:pPr>
            <w:r w:rsidRPr="00FD593B">
              <w:rPr>
                <w:rFonts w:ascii="Times New Roman" w:hAnsi="Times New Roman" w:cs="Times New Roman"/>
                <w:b/>
                <w:bCs/>
                <w:sz w:val="24"/>
                <w:szCs w:val="24"/>
              </w:rPr>
              <w:t>SE B</w:t>
            </w:r>
          </w:p>
        </w:tc>
        <w:tc>
          <w:tcPr>
            <w:tcW w:w="515" w:type="pct"/>
            <w:shd w:val="clear" w:color="auto" w:fill="D9E2F3" w:themeFill="accent1" w:themeFillTint="33"/>
            <w:hideMark/>
          </w:tcPr>
          <w:p w14:paraId="1213F18B" w14:textId="77777777" w:rsidR="000A099C" w:rsidRPr="00FD593B" w:rsidRDefault="000A099C" w:rsidP="00222822">
            <w:pPr>
              <w:spacing w:line="360" w:lineRule="auto"/>
              <w:jc w:val="center"/>
              <w:rPr>
                <w:rFonts w:ascii="Times New Roman" w:hAnsi="Times New Roman" w:cs="Times New Roman"/>
                <w:b/>
                <w:bCs/>
                <w:sz w:val="24"/>
                <w:szCs w:val="24"/>
              </w:rPr>
            </w:pPr>
            <w:r w:rsidRPr="00FD593B">
              <w:rPr>
                <w:rFonts w:ascii="Times New Roman" w:hAnsi="Times New Roman" w:cs="Times New Roman"/>
                <w:b/>
                <w:bCs/>
                <w:sz w:val="24"/>
                <w:szCs w:val="24"/>
              </w:rPr>
              <w:t>β</w:t>
            </w:r>
          </w:p>
        </w:tc>
        <w:tc>
          <w:tcPr>
            <w:tcW w:w="515" w:type="pct"/>
            <w:shd w:val="clear" w:color="auto" w:fill="D9E2F3" w:themeFill="accent1" w:themeFillTint="33"/>
            <w:hideMark/>
          </w:tcPr>
          <w:p w14:paraId="222622B0" w14:textId="77777777" w:rsidR="000A099C" w:rsidRPr="00FD593B" w:rsidRDefault="000A099C" w:rsidP="00222822">
            <w:pPr>
              <w:spacing w:line="360" w:lineRule="auto"/>
              <w:jc w:val="center"/>
              <w:rPr>
                <w:rFonts w:ascii="Times New Roman" w:hAnsi="Times New Roman" w:cs="Times New Roman"/>
                <w:b/>
                <w:bCs/>
                <w:sz w:val="24"/>
                <w:szCs w:val="24"/>
              </w:rPr>
            </w:pPr>
            <w:r w:rsidRPr="00FD593B">
              <w:rPr>
                <w:rFonts w:ascii="Times New Roman" w:hAnsi="Times New Roman" w:cs="Times New Roman"/>
                <w:b/>
                <w:bCs/>
                <w:sz w:val="24"/>
                <w:szCs w:val="24"/>
              </w:rPr>
              <w:t>t</w:t>
            </w:r>
          </w:p>
        </w:tc>
        <w:tc>
          <w:tcPr>
            <w:tcW w:w="555" w:type="pct"/>
            <w:shd w:val="clear" w:color="auto" w:fill="D9E2F3" w:themeFill="accent1" w:themeFillTint="33"/>
            <w:hideMark/>
          </w:tcPr>
          <w:p w14:paraId="2C0D8577" w14:textId="77777777" w:rsidR="000A099C" w:rsidRPr="00FD593B" w:rsidRDefault="000A099C" w:rsidP="00222822">
            <w:pPr>
              <w:spacing w:line="360" w:lineRule="auto"/>
              <w:jc w:val="center"/>
              <w:rPr>
                <w:rFonts w:ascii="Times New Roman" w:hAnsi="Times New Roman" w:cs="Times New Roman"/>
                <w:b/>
                <w:bCs/>
                <w:sz w:val="24"/>
                <w:szCs w:val="24"/>
              </w:rPr>
            </w:pPr>
            <w:r w:rsidRPr="00FD593B">
              <w:rPr>
                <w:rFonts w:ascii="Times New Roman" w:hAnsi="Times New Roman" w:cs="Times New Roman"/>
                <w:b/>
                <w:bCs/>
                <w:sz w:val="24"/>
                <w:szCs w:val="24"/>
              </w:rPr>
              <w:t>p</w:t>
            </w:r>
          </w:p>
        </w:tc>
      </w:tr>
      <w:tr w:rsidR="000A099C" w:rsidRPr="00E21929" w14:paraId="63242931" w14:textId="77777777" w:rsidTr="00BB4503">
        <w:tc>
          <w:tcPr>
            <w:tcW w:w="2356" w:type="pct"/>
            <w:shd w:val="clear" w:color="auto" w:fill="D9E2F3" w:themeFill="accent1" w:themeFillTint="33"/>
            <w:hideMark/>
          </w:tcPr>
          <w:p w14:paraId="50877E01"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Constant</w:t>
            </w:r>
          </w:p>
        </w:tc>
        <w:tc>
          <w:tcPr>
            <w:tcW w:w="544" w:type="pct"/>
            <w:hideMark/>
          </w:tcPr>
          <w:p w14:paraId="78F9BFC1"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22.63</w:t>
            </w:r>
          </w:p>
        </w:tc>
        <w:tc>
          <w:tcPr>
            <w:tcW w:w="516" w:type="pct"/>
            <w:hideMark/>
          </w:tcPr>
          <w:p w14:paraId="203E55B0"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2.70</w:t>
            </w:r>
          </w:p>
        </w:tc>
        <w:tc>
          <w:tcPr>
            <w:tcW w:w="515" w:type="pct"/>
            <w:hideMark/>
          </w:tcPr>
          <w:p w14:paraId="1269FD1C"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w:t>
            </w:r>
          </w:p>
        </w:tc>
        <w:tc>
          <w:tcPr>
            <w:tcW w:w="515" w:type="pct"/>
            <w:hideMark/>
          </w:tcPr>
          <w:p w14:paraId="071FC92F"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8.38</w:t>
            </w:r>
          </w:p>
        </w:tc>
        <w:tc>
          <w:tcPr>
            <w:tcW w:w="555" w:type="pct"/>
            <w:hideMark/>
          </w:tcPr>
          <w:p w14:paraId="6975B16A"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&lt;.001</w:t>
            </w:r>
          </w:p>
        </w:tc>
      </w:tr>
      <w:tr w:rsidR="000A099C" w:rsidRPr="00E21929" w14:paraId="328F2BC4" w14:textId="77777777" w:rsidTr="00BB4503">
        <w:tc>
          <w:tcPr>
            <w:tcW w:w="2356" w:type="pct"/>
            <w:shd w:val="clear" w:color="auto" w:fill="D9E2F3" w:themeFill="accent1" w:themeFillTint="33"/>
            <w:hideMark/>
          </w:tcPr>
          <w:p w14:paraId="7D4D1609"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Gender</w:t>
            </w:r>
          </w:p>
        </w:tc>
        <w:tc>
          <w:tcPr>
            <w:tcW w:w="544" w:type="pct"/>
            <w:hideMark/>
          </w:tcPr>
          <w:p w14:paraId="1153644A"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0.48</w:t>
            </w:r>
          </w:p>
        </w:tc>
        <w:tc>
          <w:tcPr>
            <w:tcW w:w="516" w:type="pct"/>
            <w:hideMark/>
          </w:tcPr>
          <w:p w14:paraId="473B18AA"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0.49</w:t>
            </w:r>
          </w:p>
        </w:tc>
        <w:tc>
          <w:tcPr>
            <w:tcW w:w="515" w:type="pct"/>
            <w:hideMark/>
          </w:tcPr>
          <w:p w14:paraId="412E0AEC"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0.07</w:t>
            </w:r>
          </w:p>
        </w:tc>
        <w:tc>
          <w:tcPr>
            <w:tcW w:w="515" w:type="pct"/>
            <w:hideMark/>
          </w:tcPr>
          <w:p w14:paraId="1E65DF6C"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0.97</w:t>
            </w:r>
          </w:p>
        </w:tc>
        <w:tc>
          <w:tcPr>
            <w:tcW w:w="555" w:type="pct"/>
            <w:hideMark/>
          </w:tcPr>
          <w:p w14:paraId="4538E3FD"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.336</w:t>
            </w:r>
          </w:p>
        </w:tc>
      </w:tr>
      <w:tr w:rsidR="000A099C" w:rsidRPr="00E21929" w14:paraId="2E92269D" w14:textId="77777777" w:rsidTr="00BB4503">
        <w:tc>
          <w:tcPr>
            <w:tcW w:w="2356" w:type="pct"/>
            <w:shd w:val="clear" w:color="auto" w:fill="D9E2F3" w:themeFill="accent1" w:themeFillTint="33"/>
            <w:hideMark/>
          </w:tcPr>
          <w:p w14:paraId="398EC34A"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Age</w:t>
            </w:r>
          </w:p>
        </w:tc>
        <w:tc>
          <w:tcPr>
            <w:tcW w:w="544" w:type="pct"/>
            <w:hideMark/>
          </w:tcPr>
          <w:p w14:paraId="34E6B37E"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-0.01</w:t>
            </w:r>
          </w:p>
        </w:tc>
        <w:tc>
          <w:tcPr>
            <w:tcW w:w="516" w:type="pct"/>
            <w:hideMark/>
          </w:tcPr>
          <w:p w14:paraId="1180B8CD"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0.15</w:t>
            </w:r>
          </w:p>
        </w:tc>
        <w:tc>
          <w:tcPr>
            <w:tcW w:w="515" w:type="pct"/>
            <w:hideMark/>
          </w:tcPr>
          <w:p w14:paraId="123E43A7"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-0.01</w:t>
            </w:r>
          </w:p>
        </w:tc>
        <w:tc>
          <w:tcPr>
            <w:tcW w:w="515" w:type="pct"/>
            <w:hideMark/>
          </w:tcPr>
          <w:p w14:paraId="79B61377"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-0.09</w:t>
            </w:r>
          </w:p>
        </w:tc>
        <w:tc>
          <w:tcPr>
            <w:tcW w:w="555" w:type="pct"/>
            <w:hideMark/>
          </w:tcPr>
          <w:p w14:paraId="5915A61A"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.925</w:t>
            </w:r>
          </w:p>
        </w:tc>
      </w:tr>
      <w:tr w:rsidR="000A099C" w:rsidRPr="00E21929" w14:paraId="2E371B68" w14:textId="77777777" w:rsidTr="00BB4503">
        <w:tc>
          <w:tcPr>
            <w:tcW w:w="2356" w:type="pct"/>
            <w:shd w:val="clear" w:color="auto" w:fill="D9E2F3" w:themeFill="accent1" w:themeFillTint="33"/>
            <w:hideMark/>
          </w:tcPr>
          <w:p w14:paraId="37E00F7B"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Year of study</w:t>
            </w:r>
          </w:p>
        </w:tc>
        <w:tc>
          <w:tcPr>
            <w:tcW w:w="544" w:type="pct"/>
            <w:hideMark/>
          </w:tcPr>
          <w:p w14:paraId="29BEAF3C"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-0.53</w:t>
            </w:r>
          </w:p>
        </w:tc>
        <w:tc>
          <w:tcPr>
            <w:tcW w:w="516" w:type="pct"/>
            <w:hideMark/>
          </w:tcPr>
          <w:p w14:paraId="13556A90"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0.59</w:t>
            </w:r>
          </w:p>
        </w:tc>
        <w:tc>
          <w:tcPr>
            <w:tcW w:w="515" w:type="pct"/>
            <w:hideMark/>
          </w:tcPr>
          <w:p w14:paraId="4EE5E104"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-0.08</w:t>
            </w:r>
          </w:p>
        </w:tc>
        <w:tc>
          <w:tcPr>
            <w:tcW w:w="515" w:type="pct"/>
            <w:hideMark/>
          </w:tcPr>
          <w:p w14:paraId="63F633F6"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-0.89</w:t>
            </w:r>
          </w:p>
        </w:tc>
        <w:tc>
          <w:tcPr>
            <w:tcW w:w="555" w:type="pct"/>
            <w:hideMark/>
          </w:tcPr>
          <w:p w14:paraId="77345894"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.376</w:t>
            </w:r>
          </w:p>
        </w:tc>
      </w:tr>
      <w:tr w:rsidR="000A099C" w:rsidRPr="00E21929" w14:paraId="7BB514E6" w14:textId="77777777" w:rsidTr="00BB4503">
        <w:tc>
          <w:tcPr>
            <w:tcW w:w="2356" w:type="pct"/>
            <w:shd w:val="clear" w:color="auto" w:fill="D9E2F3" w:themeFill="accent1" w:themeFillTint="33"/>
            <w:hideMark/>
          </w:tcPr>
          <w:p w14:paraId="13231F27"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Family background</w:t>
            </w:r>
          </w:p>
        </w:tc>
        <w:tc>
          <w:tcPr>
            <w:tcW w:w="544" w:type="pct"/>
            <w:hideMark/>
          </w:tcPr>
          <w:p w14:paraId="456EE1C0"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-0.29</w:t>
            </w:r>
          </w:p>
        </w:tc>
        <w:tc>
          <w:tcPr>
            <w:tcW w:w="516" w:type="pct"/>
            <w:hideMark/>
          </w:tcPr>
          <w:p w14:paraId="49D760A3"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0.59</w:t>
            </w:r>
          </w:p>
        </w:tc>
        <w:tc>
          <w:tcPr>
            <w:tcW w:w="515" w:type="pct"/>
            <w:hideMark/>
          </w:tcPr>
          <w:p w14:paraId="66A3178B"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-0.04</w:t>
            </w:r>
          </w:p>
        </w:tc>
        <w:tc>
          <w:tcPr>
            <w:tcW w:w="515" w:type="pct"/>
            <w:hideMark/>
          </w:tcPr>
          <w:p w14:paraId="19CB1088"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-0.49</w:t>
            </w:r>
          </w:p>
        </w:tc>
        <w:tc>
          <w:tcPr>
            <w:tcW w:w="555" w:type="pct"/>
            <w:hideMark/>
          </w:tcPr>
          <w:p w14:paraId="1E45ED80"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.622</w:t>
            </w:r>
          </w:p>
        </w:tc>
      </w:tr>
      <w:tr w:rsidR="000A099C" w:rsidRPr="00E21929" w14:paraId="5A0C78AD" w14:textId="77777777" w:rsidTr="00BB4503">
        <w:tc>
          <w:tcPr>
            <w:tcW w:w="2356" w:type="pct"/>
            <w:shd w:val="clear" w:color="auto" w:fill="D9E2F3" w:themeFill="accent1" w:themeFillTint="33"/>
            <w:hideMark/>
          </w:tcPr>
          <w:p w14:paraId="6CEFADBE"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Place of residence</w:t>
            </w:r>
          </w:p>
        </w:tc>
        <w:tc>
          <w:tcPr>
            <w:tcW w:w="544" w:type="pct"/>
            <w:hideMark/>
          </w:tcPr>
          <w:p w14:paraId="41E94B55"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0.59</w:t>
            </w:r>
          </w:p>
        </w:tc>
        <w:tc>
          <w:tcPr>
            <w:tcW w:w="516" w:type="pct"/>
            <w:hideMark/>
          </w:tcPr>
          <w:p w14:paraId="2DFBD8B7"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0.34</w:t>
            </w:r>
          </w:p>
        </w:tc>
        <w:tc>
          <w:tcPr>
            <w:tcW w:w="515" w:type="pct"/>
            <w:hideMark/>
          </w:tcPr>
          <w:p w14:paraId="31B5C058"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0.16</w:t>
            </w:r>
          </w:p>
        </w:tc>
        <w:tc>
          <w:tcPr>
            <w:tcW w:w="515" w:type="pct"/>
            <w:hideMark/>
          </w:tcPr>
          <w:p w14:paraId="24A0BDF9"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1.72</w:t>
            </w:r>
          </w:p>
        </w:tc>
        <w:tc>
          <w:tcPr>
            <w:tcW w:w="555" w:type="pct"/>
            <w:hideMark/>
          </w:tcPr>
          <w:p w14:paraId="45A4B04E"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.088</w:t>
            </w:r>
          </w:p>
        </w:tc>
      </w:tr>
      <w:tr w:rsidR="000A099C" w:rsidRPr="00E21929" w14:paraId="04F093A4" w14:textId="77777777" w:rsidTr="00BB4503">
        <w:tc>
          <w:tcPr>
            <w:tcW w:w="2356" w:type="pct"/>
            <w:shd w:val="clear" w:color="auto" w:fill="D9E2F3" w:themeFill="accent1" w:themeFillTint="33"/>
            <w:hideMark/>
          </w:tcPr>
          <w:p w14:paraId="2B7E649C"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 xml:space="preserve">Heard about </w:t>
            </w:r>
            <w:proofErr w:type="spellStart"/>
            <w:r w:rsidRPr="00FD593B">
              <w:rPr>
                <w:rFonts w:ascii="Times New Roman" w:hAnsi="Times New Roman" w:cs="Times New Roman"/>
                <w:b/>
                <w:bCs/>
                <w:sz w:val="24"/>
                <w:szCs w:val="24"/>
              </w:rPr>
              <w:t>agripreneurship</w:t>
            </w:r>
            <w:proofErr w:type="spellEnd"/>
          </w:p>
        </w:tc>
        <w:tc>
          <w:tcPr>
            <w:tcW w:w="544" w:type="pct"/>
            <w:hideMark/>
          </w:tcPr>
          <w:p w14:paraId="2AE66D65"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6.04</w:t>
            </w:r>
          </w:p>
        </w:tc>
        <w:tc>
          <w:tcPr>
            <w:tcW w:w="516" w:type="pct"/>
            <w:hideMark/>
          </w:tcPr>
          <w:p w14:paraId="64FF826C"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1.14</w:t>
            </w:r>
          </w:p>
        </w:tc>
        <w:tc>
          <w:tcPr>
            <w:tcW w:w="515" w:type="pct"/>
            <w:hideMark/>
          </w:tcPr>
          <w:p w14:paraId="393B550F"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0.70</w:t>
            </w:r>
          </w:p>
        </w:tc>
        <w:tc>
          <w:tcPr>
            <w:tcW w:w="515" w:type="pct"/>
            <w:hideMark/>
          </w:tcPr>
          <w:p w14:paraId="343AE289"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5.31</w:t>
            </w:r>
          </w:p>
        </w:tc>
        <w:tc>
          <w:tcPr>
            <w:tcW w:w="555" w:type="pct"/>
            <w:hideMark/>
          </w:tcPr>
          <w:p w14:paraId="5211838D"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&lt;.001</w:t>
            </w:r>
          </w:p>
        </w:tc>
      </w:tr>
      <w:tr w:rsidR="000A099C" w:rsidRPr="00E21929" w14:paraId="3F08481B" w14:textId="77777777" w:rsidTr="00BB4503">
        <w:tc>
          <w:tcPr>
            <w:tcW w:w="2356" w:type="pct"/>
            <w:shd w:val="clear" w:color="auto" w:fill="D9E2F3" w:themeFill="accent1" w:themeFillTint="33"/>
            <w:hideMark/>
          </w:tcPr>
          <w:p w14:paraId="1C5C9EC5"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Source of information</w:t>
            </w:r>
          </w:p>
        </w:tc>
        <w:tc>
          <w:tcPr>
            <w:tcW w:w="544" w:type="pct"/>
            <w:hideMark/>
          </w:tcPr>
          <w:p w14:paraId="2843BB24"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0.09</w:t>
            </w:r>
          </w:p>
        </w:tc>
        <w:tc>
          <w:tcPr>
            <w:tcW w:w="516" w:type="pct"/>
            <w:hideMark/>
          </w:tcPr>
          <w:p w14:paraId="496F2A2C"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0.31</w:t>
            </w:r>
          </w:p>
        </w:tc>
        <w:tc>
          <w:tcPr>
            <w:tcW w:w="515" w:type="pct"/>
            <w:hideMark/>
          </w:tcPr>
          <w:p w14:paraId="48B1A882"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0.04</w:t>
            </w:r>
          </w:p>
        </w:tc>
        <w:tc>
          <w:tcPr>
            <w:tcW w:w="515" w:type="pct"/>
            <w:hideMark/>
          </w:tcPr>
          <w:p w14:paraId="629A6ADA"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0.29</w:t>
            </w:r>
          </w:p>
        </w:tc>
        <w:tc>
          <w:tcPr>
            <w:tcW w:w="555" w:type="pct"/>
            <w:hideMark/>
          </w:tcPr>
          <w:p w14:paraId="59020F0D"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.770</w:t>
            </w:r>
          </w:p>
        </w:tc>
      </w:tr>
      <w:tr w:rsidR="000A099C" w:rsidRPr="00E21929" w14:paraId="5635D573" w14:textId="77777777" w:rsidTr="00BB4503">
        <w:tc>
          <w:tcPr>
            <w:tcW w:w="2356" w:type="pct"/>
            <w:shd w:val="clear" w:color="auto" w:fill="D9E2F3" w:themeFill="accent1" w:themeFillTint="33"/>
            <w:hideMark/>
          </w:tcPr>
          <w:p w14:paraId="3BC2FA3E" w14:textId="77777777" w:rsidR="000A099C" w:rsidRPr="00FD593B" w:rsidRDefault="000A099C" w:rsidP="00222822">
            <w:pPr>
              <w:spacing w:line="360" w:lineRule="auto"/>
              <w:jc w:val="both"/>
              <w:rPr>
                <w:rFonts w:ascii="Times New Roman" w:hAnsi="Times New Roman" w:cs="Times New Roman"/>
                <w:b/>
                <w:bCs/>
                <w:sz w:val="24"/>
                <w:szCs w:val="24"/>
              </w:rPr>
            </w:pPr>
            <w:r w:rsidRPr="00FD593B">
              <w:rPr>
                <w:rFonts w:ascii="Times New Roman" w:hAnsi="Times New Roman" w:cs="Times New Roman"/>
                <w:b/>
                <w:bCs/>
                <w:sz w:val="24"/>
                <w:szCs w:val="24"/>
              </w:rPr>
              <w:t>Knowledge about govt schemes</w:t>
            </w:r>
          </w:p>
        </w:tc>
        <w:tc>
          <w:tcPr>
            <w:tcW w:w="544" w:type="pct"/>
            <w:hideMark/>
          </w:tcPr>
          <w:p w14:paraId="4206EC79"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0.13</w:t>
            </w:r>
          </w:p>
        </w:tc>
        <w:tc>
          <w:tcPr>
            <w:tcW w:w="516" w:type="pct"/>
            <w:hideMark/>
          </w:tcPr>
          <w:p w14:paraId="1EAAB088"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0.59</w:t>
            </w:r>
          </w:p>
        </w:tc>
        <w:tc>
          <w:tcPr>
            <w:tcW w:w="515" w:type="pct"/>
            <w:hideMark/>
          </w:tcPr>
          <w:p w14:paraId="15430B54"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0.02</w:t>
            </w:r>
          </w:p>
        </w:tc>
        <w:tc>
          <w:tcPr>
            <w:tcW w:w="515" w:type="pct"/>
            <w:hideMark/>
          </w:tcPr>
          <w:p w14:paraId="481658A7"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0.22</w:t>
            </w:r>
          </w:p>
        </w:tc>
        <w:tc>
          <w:tcPr>
            <w:tcW w:w="555" w:type="pct"/>
            <w:hideMark/>
          </w:tcPr>
          <w:p w14:paraId="1C53CEEB" w14:textId="77777777" w:rsidR="000A099C" w:rsidRPr="00E21929" w:rsidRDefault="000A099C" w:rsidP="00222822">
            <w:pPr>
              <w:spacing w:line="360" w:lineRule="auto"/>
              <w:jc w:val="center"/>
              <w:rPr>
                <w:rFonts w:ascii="Times New Roman" w:hAnsi="Times New Roman" w:cs="Times New Roman"/>
                <w:sz w:val="24"/>
                <w:szCs w:val="24"/>
              </w:rPr>
            </w:pPr>
            <w:r w:rsidRPr="00E21929">
              <w:rPr>
                <w:rFonts w:ascii="Times New Roman" w:hAnsi="Times New Roman" w:cs="Times New Roman"/>
                <w:sz w:val="24"/>
                <w:szCs w:val="24"/>
              </w:rPr>
              <w:t>.830</w:t>
            </w:r>
          </w:p>
        </w:tc>
      </w:tr>
    </w:tbl>
    <w:p w14:paraId="6A4A92F0" w14:textId="77777777" w:rsidR="000A099C" w:rsidRPr="00684DD9"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i/>
          <w:iCs/>
          <w:sz w:val="24"/>
          <w:szCs w:val="24"/>
          <w:lang w:val="en-IN"/>
        </w:rPr>
        <w:lastRenderedPageBreak/>
        <w:t>Note. B = unstandardized coefficient; SE B = standard error; β = standardized coefficient; p = significance level.</w:t>
      </w:r>
    </w:p>
    <w:p w14:paraId="49F3EC2F" w14:textId="77777777" w:rsidR="000A099C" w:rsidRPr="00684DD9"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The overall regression model was statistically significant, </w:t>
      </w:r>
      <w:proofErr w:type="gramStart"/>
      <w:r w:rsidRPr="00684DD9">
        <w:rPr>
          <w:rFonts w:ascii="Times New Roman" w:hAnsi="Times New Roman" w:cs="Times New Roman"/>
          <w:sz w:val="24"/>
          <w:szCs w:val="24"/>
          <w:lang w:val="en-IN"/>
        </w:rPr>
        <w:t>F(</w:t>
      </w:r>
      <w:proofErr w:type="gramEnd"/>
      <w:r w:rsidRPr="00684DD9">
        <w:rPr>
          <w:rFonts w:ascii="Times New Roman" w:hAnsi="Times New Roman" w:cs="Times New Roman"/>
          <w:sz w:val="24"/>
          <w:szCs w:val="24"/>
          <w:lang w:val="en-IN"/>
        </w:rPr>
        <w:t xml:space="preserve">8, 91) = 12.43, p &lt; .001, and explained a substantial proportion of variance with R² = 0.523 and Adjusted R² = 0.481. This indicates that the included predictors collectively account for 52.3% of the variability in perception and attitude. Among all predictors, prior awareness of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xml:space="preserve"> emerged as the only statistically significant variable (B = 6.04, β = 0.70, p &lt; .001). This exceptionally strong standardized coefficient indicates that awareness is the dominant predictor, far outweighing demographic or informational variables. A one-unit increase in awareness results in an estimated 6.04-point rise in perception scores, emphasizing awareness as the most influential determinant.</w:t>
      </w:r>
    </w:p>
    <w:p w14:paraId="2DB8AF9A" w14:textId="77777777" w:rsidR="000A099C" w:rsidRPr="00684DD9"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Place of residence demonstrated a marginal effect (B = 0.59, p = .088), suggesting that students from urban or semi-urban areas may exhibit slightly more </w:t>
      </w:r>
      <w:proofErr w:type="spellStart"/>
      <w:r w:rsidRPr="00684DD9">
        <w:rPr>
          <w:rFonts w:ascii="Times New Roman" w:hAnsi="Times New Roman" w:cs="Times New Roman"/>
          <w:sz w:val="24"/>
          <w:szCs w:val="24"/>
          <w:lang w:val="en-IN"/>
        </w:rPr>
        <w:t>favorable</w:t>
      </w:r>
      <w:proofErr w:type="spellEnd"/>
      <w:r w:rsidRPr="00684DD9">
        <w:rPr>
          <w:rFonts w:ascii="Times New Roman" w:hAnsi="Times New Roman" w:cs="Times New Roman"/>
          <w:sz w:val="24"/>
          <w:szCs w:val="24"/>
          <w:lang w:val="en-IN"/>
        </w:rPr>
        <w:t xml:space="preserve"> views, likely due to greater exposure to entrepreneurial activity or better access to support infrastructure. Although this effect does not reach statistical significance, it may signal an emerging pattern worthy of further investigation.</w:t>
      </w:r>
      <w:r>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All other predictors</w:t>
      </w:r>
      <w:r>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gender, age, year of study, family background, source of information, and knowledge of schemes</w:t>
      </w:r>
      <w:r>
        <w:rPr>
          <w:rFonts w:ascii="Times New Roman" w:hAnsi="Times New Roman" w:cs="Times New Roman"/>
          <w:sz w:val="24"/>
          <w:szCs w:val="24"/>
          <w:lang w:val="en-IN"/>
        </w:rPr>
        <w:t xml:space="preserve"> </w:t>
      </w:r>
      <w:r w:rsidRPr="00684DD9">
        <w:rPr>
          <w:rFonts w:ascii="Times New Roman" w:hAnsi="Times New Roman" w:cs="Times New Roman"/>
          <w:sz w:val="24"/>
          <w:szCs w:val="24"/>
          <w:lang w:val="en-IN"/>
        </w:rPr>
        <w:t>showed non-significant effects (p &gt; .05), indicating that neither demographic characteristics nor general informational exposure independently influence perceptions unless paired with deeper conceptual awareness.</w:t>
      </w:r>
    </w:p>
    <w:p w14:paraId="21356956" w14:textId="77777777" w:rsidR="000A099C" w:rsidRDefault="000A099C" w:rsidP="000A099C">
      <w:pPr>
        <w:spacing w:before="240" w:line="360" w:lineRule="auto"/>
        <w:jc w:val="both"/>
        <w:rPr>
          <w:rFonts w:ascii="Times New Roman" w:hAnsi="Times New Roman" w:cs="Times New Roman"/>
          <w:sz w:val="24"/>
          <w:szCs w:val="24"/>
          <w:lang w:val="en-IN"/>
        </w:rPr>
      </w:pPr>
      <w:r w:rsidRPr="00684DD9">
        <w:rPr>
          <w:rFonts w:ascii="Times New Roman" w:hAnsi="Times New Roman" w:cs="Times New Roman"/>
          <w:sz w:val="24"/>
          <w:szCs w:val="24"/>
          <w:lang w:val="en-IN"/>
        </w:rPr>
        <w:t xml:space="preserve">Graphical interpretations are provided through Figure 2, which displays regression coefficients with standard errors, and Figure 3, which presents a forest plot with 95% confidence intervals. Both figures visually reinforce that only </w:t>
      </w:r>
      <w:proofErr w:type="spellStart"/>
      <w:r w:rsidRPr="00684DD9">
        <w:rPr>
          <w:rFonts w:ascii="Times New Roman" w:hAnsi="Times New Roman" w:cs="Times New Roman"/>
          <w:sz w:val="24"/>
          <w:szCs w:val="24"/>
          <w:lang w:val="en-IN"/>
        </w:rPr>
        <w:t>agripreneurship</w:t>
      </w:r>
      <w:proofErr w:type="spellEnd"/>
      <w:r w:rsidRPr="00684DD9">
        <w:rPr>
          <w:rFonts w:ascii="Times New Roman" w:hAnsi="Times New Roman" w:cs="Times New Roman"/>
          <w:sz w:val="24"/>
          <w:szCs w:val="24"/>
          <w:lang w:val="en-IN"/>
        </w:rPr>
        <w:t xml:space="preserve"> awareness has a meaningful predictive effect.</w:t>
      </w:r>
    </w:p>
    <w:p w14:paraId="1916B92C" w14:textId="77777777" w:rsidR="000A099C" w:rsidRPr="00684DD9" w:rsidRDefault="000A099C" w:rsidP="000A099C">
      <w:pPr>
        <w:spacing w:before="240" w:line="360" w:lineRule="auto"/>
        <w:jc w:val="both"/>
        <w:rPr>
          <w:rFonts w:ascii="Times New Roman" w:hAnsi="Times New Roman" w:cs="Times New Roman"/>
          <w:sz w:val="24"/>
          <w:szCs w:val="24"/>
          <w:lang w:val="en-IN"/>
        </w:rPr>
      </w:pPr>
      <w:r>
        <w:rPr>
          <w:noProof/>
        </w:rPr>
        <w:lastRenderedPageBreak/>
        <w:drawing>
          <wp:inline distT="0" distB="0" distL="0" distR="0" wp14:anchorId="7ABDFB9A" wp14:editId="33C18782">
            <wp:extent cx="5731510" cy="3799472"/>
            <wp:effectExtent l="0" t="0" r="2540" b="0"/>
            <wp:docPr id="1840203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99472"/>
                    </a:xfrm>
                    <a:prstGeom prst="rect">
                      <a:avLst/>
                    </a:prstGeom>
                    <a:noFill/>
                    <a:ln>
                      <a:noFill/>
                    </a:ln>
                  </pic:spPr>
                </pic:pic>
              </a:graphicData>
            </a:graphic>
          </wp:inline>
        </w:drawing>
      </w:r>
    </w:p>
    <w:p w14:paraId="17CA97EA" w14:textId="77777777" w:rsidR="000A099C" w:rsidRPr="00684DD9" w:rsidRDefault="000A099C" w:rsidP="000A099C">
      <w:pPr>
        <w:spacing w:before="240" w:line="360" w:lineRule="auto"/>
        <w:jc w:val="both"/>
        <w:rPr>
          <w:rFonts w:ascii="Times New Roman" w:hAnsi="Times New Roman" w:cs="Times New Roman"/>
          <w:i/>
          <w:iCs/>
          <w:sz w:val="24"/>
          <w:szCs w:val="24"/>
          <w:lang w:val="en-IN"/>
        </w:rPr>
      </w:pPr>
      <w:r w:rsidRPr="000A099C">
        <w:rPr>
          <w:rFonts w:ascii="Times New Roman" w:hAnsi="Times New Roman" w:cs="Times New Roman"/>
          <w:b/>
          <w:bCs/>
          <w:sz w:val="24"/>
          <w:szCs w:val="24"/>
        </w:rPr>
        <w:t>Figure 3. Forest plot showing the unstandardized regression coefficients and 95% confidence intervals for the eight predictors included in the multiple linear regression analysis.</w:t>
      </w:r>
      <w:r w:rsidRPr="00FD593B">
        <w:rPr>
          <w:rFonts w:ascii="Times New Roman" w:hAnsi="Times New Roman" w:cs="Times New Roman"/>
          <w:sz w:val="24"/>
          <w:szCs w:val="24"/>
        </w:rPr>
        <w:t xml:space="preserve"> </w:t>
      </w:r>
      <w:r w:rsidRPr="000A099C">
        <w:rPr>
          <w:rFonts w:ascii="Times New Roman" w:hAnsi="Times New Roman" w:cs="Times New Roman"/>
          <w:i/>
          <w:iCs/>
          <w:sz w:val="24"/>
          <w:szCs w:val="24"/>
        </w:rPr>
        <w:t xml:space="preserve">The visualization emphasizes that awareness of </w:t>
      </w:r>
      <w:proofErr w:type="spellStart"/>
      <w:r w:rsidRPr="000A099C">
        <w:rPr>
          <w:rFonts w:ascii="Times New Roman" w:hAnsi="Times New Roman" w:cs="Times New Roman"/>
          <w:i/>
          <w:iCs/>
          <w:sz w:val="24"/>
          <w:szCs w:val="24"/>
        </w:rPr>
        <w:t>agripreneurship</w:t>
      </w:r>
      <w:proofErr w:type="spellEnd"/>
      <w:r w:rsidRPr="000A099C">
        <w:rPr>
          <w:rFonts w:ascii="Times New Roman" w:hAnsi="Times New Roman" w:cs="Times New Roman"/>
          <w:i/>
          <w:iCs/>
          <w:sz w:val="24"/>
          <w:szCs w:val="24"/>
        </w:rPr>
        <w:t xml:space="preserve"> is the sole significant determinant of perception and attitude, as its confidence interval lies entirely above zero, whereas the intervals for all other predictors cross the zero line, indicating non-significance.</w:t>
      </w:r>
    </w:p>
    <w:p w14:paraId="315FB063" w14:textId="77777777" w:rsidR="00A46310" w:rsidRPr="00AD4936" w:rsidRDefault="00B676CE" w:rsidP="00AD4936">
      <w:pPr>
        <w:spacing w:before="240" w:line="360" w:lineRule="auto"/>
        <w:jc w:val="both"/>
        <w:rPr>
          <w:rFonts w:ascii="Times New Roman" w:hAnsi="Times New Roman" w:cs="Times New Roman"/>
          <w:sz w:val="24"/>
          <w:szCs w:val="24"/>
        </w:rPr>
      </w:pPr>
      <w:r w:rsidRPr="00AD4936">
        <w:rPr>
          <w:rFonts w:ascii="Times New Roman" w:hAnsi="Times New Roman" w:cs="Times New Roman"/>
          <w:b/>
          <w:sz w:val="24"/>
          <w:szCs w:val="24"/>
        </w:rPr>
        <w:t>4. Discussion</w:t>
      </w:r>
      <w:bookmarkEnd w:id="13"/>
    </w:p>
    <w:p w14:paraId="5BF83AB3" w14:textId="6B3E1587" w:rsidR="00CC6F99" w:rsidRPr="00CC6F99" w:rsidRDefault="00CC6F99" w:rsidP="00CC6F99">
      <w:pPr>
        <w:spacing w:line="360" w:lineRule="auto"/>
        <w:jc w:val="both"/>
        <w:rPr>
          <w:rFonts w:ascii="Times New Roman" w:hAnsi="Times New Roman" w:cs="Times New Roman"/>
          <w:b/>
          <w:bCs/>
          <w:sz w:val="24"/>
          <w:szCs w:val="24"/>
          <w:lang w:val="en-IN"/>
        </w:rPr>
      </w:pPr>
      <w:r w:rsidRPr="00CC6F99">
        <w:rPr>
          <w:rFonts w:ascii="Times New Roman" w:hAnsi="Times New Roman" w:cs="Times New Roman"/>
          <w:b/>
          <w:bCs/>
          <w:sz w:val="24"/>
          <w:szCs w:val="24"/>
          <w:lang w:val="en-IN"/>
        </w:rPr>
        <w:t xml:space="preserve">4.1 Interpretation of Descriptive Statistics of Sample Characteristics </w:t>
      </w:r>
    </w:p>
    <w:p w14:paraId="5014D793" w14:textId="588F6D63" w:rsidR="00DB6F70" w:rsidRPr="00DB6F70" w:rsidRDefault="00DB6F70" w:rsidP="00DB6F70">
      <w:pPr>
        <w:spacing w:line="360" w:lineRule="auto"/>
        <w:jc w:val="both"/>
        <w:rPr>
          <w:rFonts w:ascii="Times New Roman" w:hAnsi="Times New Roman" w:cs="Times New Roman"/>
          <w:sz w:val="24"/>
          <w:szCs w:val="24"/>
          <w:lang w:val="en-IN"/>
        </w:rPr>
      </w:pPr>
      <w:r w:rsidRPr="00DB6F70">
        <w:rPr>
          <w:rFonts w:ascii="Times New Roman" w:hAnsi="Times New Roman" w:cs="Times New Roman"/>
          <w:sz w:val="24"/>
          <w:szCs w:val="24"/>
          <w:lang w:val="en-IN"/>
        </w:rPr>
        <w:t xml:space="preserve">The sample (N = 100) is composed of young agricultural students (mean age = 20.91, SD = 2.04, range 18–25) who are largely at an early stage of professional formation. Most respondents were in early years of study (mean year = 1.39, SD = 0.49), and a majority came from agricultural households (61%; M = 1.66, SD = 0.476). Gender was slightly female-skewed (M = 1.44), and general awareness of </w:t>
      </w:r>
      <w:proofErr w:type="spellStart"/>
      <w:r w:rsidRPr="00DB6F70">
        <w:rPr>
          <w:rFonts w:ascii="Times New Roman" w:hAnsi="Times New Roman" w:cs="Times New Roman"/>
          <w:sz w:val="24"/>
          <w:szCs w:val="24"/>
          <w:lang w:val="en-IN"/>
        </w:rPr>
        <w:t>agripreneurship</w:t>
      </w:r>
      <w:proofErr w:type="spellEnd"/>
      <w:r w:rsidRPr="00DB6F70">
        <w:rPr>
          <w:rFonts w:ascii="Times New Roman" w:hAnsi="Times New Roman" w:cs="Times New Roman"/>
          <w:sz w:val="24"/>
          <w:szCs w:val="24"/>
          <w:lang w:val="en-IN"/>
        </w:rPr>
        <w:t xml:space="preserve"> was very high (92%; M = 0.83, SD = 0.378). Knowledge of government schemes was moderate (M = 1.28, SD = 0.451), while sources of information about </w:t>
      </w:r>
      <w:proofErr w:type="spellStart"/>
      <w:r w:rsidRPr="00DB6F70">
        <w:rPr>
          <w:rFonts w:ascii="Times New Roman" w:hAnsi="Times New Roman" w:cs="Times New Roman"/>
          <w:sz w:val="24"/>
          <w:szCs w:val="24"/>
          <w:lang w:val="en-IN"/>
        </w:rPr>
        <w:t>agripreneurship</w:t>
      </w:r>
      <w:proofErr w:type="spellEnd"/>
      <w:r w:rsidRPr="00DB6F70">
        <w:rPr>
          <w:rFonts w:ascii="Times New Roman" w:hAnsi="Times New Roman" w:cs="Times New Roman"/>
          <w:sz w:val="24"/>
          <w:szCs w:val="24"/>
          <w:lang w:val="en-IN"/>
        </w:rPr>
        <w:t xml:space="preserve"> varied (M = 2.61, SD = 1.41).</w:t>
      </w:r>
      <w:r w:rsidR="00141F7C">
        <w:rPr>
          <w:rFonts w:ascii="Times New Roman" w:hAnsi="Times New Roman" w:cs="Times New Roman"/>
          <w:sz w:val="24"/>
          <w:szCs w:val="24"/>
          <w:lang w:val="en-IN"/>
        </w:rPr>
        <w:t xml:space="preserve"> </w:t>
      </w:r>
      <w:r w:rsidR="00141F7C" w:rsidRPr="00141F7C">
        <w:rPr>
          <w:rFonts w:ascii="Times New Roman" w:hAnsi="Times New Roman" w:cs="Times New Roman"/>
          <w:sz w:val="24"/>
          <w:szCs w:val="24"/>
          <w:lang w:val="en-IN"/>
        </w:rPr>
        <w:t xml:space="preserve">This finding aligns with established entrepreneurship </w:t>
      </w:r>
      <w:r w:rsidR="00141F7C" w:rsidRPr="00141F7C">
        <w:rPr>
          <w:rFonts w:ascii="Times New Roman" w:hAnsi="Times New Roman" w:cs="Times New Roman"/>
          <w:sz w:val="24"/>
          <w:szCs w:val="24"/>
          <w:lang w:val="en-IN"/>
        </w:rPr>
        <w:lastRenderedPageBreak/>
        <w:t xml:space="preserve">literature, which emphasizes that awareness and knowledge serve as foundational cognitive constructs for entrepreneurial intention and </w:t>
      </w:r>
      <w:proofErr w:type="spellStart"/>
      <w:r w:rsidR="00141F7C" w:rsidRPr="00141F7C">
        <w:rPr>
          <w:rFonts w:ascii="Times New Roman" w:hAnsi="Times New Roman" w:cs="Times New Roman"/>
          <w:sz w:val="24"/>
          <w:szCs w:val="24"/>
          <w:lang w:val="en-IN"/>
        </w:rPr>
        <w:t>behavior</w:t>
      </w:r>
      <w:proofErr w:type="spellEnd"/>
      <w:r w:rsidR="00141F7C">
        <w:rPr>
          <w:rFonts w:ascii="Times New Roman" w:hAnsi="Times New Roman" w:cs="Times New Roman"/>
          <w:sz w:val="24"/>
          <w:szCs w:val="24"/>
          <w:lang w:val="en-IN"/>
        </w:rPr>
        <w:t xml:space="preserve"> </w:t>
      </w:r>
      <w:r w:rsidR="00141F7C" w:rsidRPr="00141F7C">
        <w:rPr>
          <w:rFonts w:ascii="Times New Roman" w:hAnsi="Times New Roman" w:cs="Times New Roman"/>
          <w:sz w:val="24"/>
          <w:szCs w:val="24"/>
          <w:lang w:val="en-IN"/>
        </w:rPr>
        <w:t>[2][3].</w:t>
      </w:r>
    </w:p>
    <w:p w14:paraId="4A9F095A" w14:textId="67F8ADA6" w:rsidR="00DB6F70" w:rsidRPr="00DB6F70" w:rsidRDefault="00DB6F70" w:rsidP="00DB6F70">
      <w:pPr>
        <w:spacing w:line="360" w:lineRule="auto"/>
        <w:jc w:val="both"/>
        <w:rPr>
          <w:rFonts w:ascii="Times New Roman" w:hAnsi="Times New Roman" w:cs="Times New Roman"/>
          <w:sz w:val="24"/>
          <w:szCs w:val="24"/>
          <w:lang w:val="en-IN"/>
        </w:rPr>
      </w:pPr>
      <w:r w:rsidRPr="00DB6F70">
        <w:rPr>
          <w:rFonts w:ascii="Times New Roman" w:hAnsi="Times New Roman" w:cs="Times New Roman"/>
          <w:sz w:val="24"/>
          <w:szCs w:val="24"/>
          <w:lang w:val="en-IN"/>
        </w:rPr>
        <w:t xml:space="preserve">For SAIRAM, these descriptors indicate a timely intervention opportunity: students are young, receptive, and frequently have some agricultural exposure but show only moderate procedural knowledge about support mechanisms. In Manipur’s wider context a state with a predominantly rural economy and limited agribusiness infrastructure the mix of agricultural family background and high concept-awareness suggests readiness for targeted capacity-building. However, moderate scheme knowledge indicates a communication gap: while students know </w:t>
      </w:r>
      <w:proofErr w:type="spellStart"/>
      <w:r w:rsidRPr="00DB6F70">
        <w:rPr>
          <w:rFonts w:ascii="Times New Roman" w:hAnsi="Times New Roman" w:cs="Times New Roman"/>
          <w:sz w:val="24"/>
          <w:szCs w:val="24"/>
          <w:lang w:val="en-IN"/>
        </w:rPr>
        <w:t>agripreneurship</w:t>
      </w:r>
      <w:proofErr w:type="spellEnd"/>
      <w:r w:rsidRPr="00DB6F70">
        <w:rPr>
          <w:rFonts w:ascii="Times New Roman" w:hAnsi="Times New Roman" w:cs="Times New Roman"/>
          <w:sz w:val="24"/>
          <w:szCs w:val="24"/>
          <w:lang w:val="en-IN"/>
        </w:rPr>
        <w:t xml:space="preserve"> exists, they may not understand how to operationalize government programs (e.g., incubation, credit linkage). Practically, SAIRAM can leverage its curricular and extension linkages to convert baseline awareness into actionable know-how by integrating practical modules, scheme walkthroughs, and local internship placements that reflect Manipur’s agro-ecological opportunities (horticulture, small-scale processing, floriculture, aquaculture).</w:t>
      </w:r>
    </w:p>
    <w:p w14:paraId="033B39C9" w14:textId="6A026E69" w:rsidR="00CC6F99" w:rsidRPr="00CC6F99" w:rsidRDefault="00CC6F99" w:rsidP="00CC6F99">
      <w:pPr>
        <w:spacing w:line="360" w:lineRule="auto"/>
        <w:jc w:val="both"/>
        <w:rPr>
          <w:rFonts w:ascii="Times New Roman" w:hAnsi="Times New Roman" w:cs="Times New Roman"/>
          <w:b/>
          <w:bCs/>
          <w:sz w:val="24"/>
          <w:szCs w:val="24"/>
          <w:lang w:val="en-IN"/>
        </w:rPr>
      </w:pPr>
      <w:r w:rsidRPr="00CC6F99">
        <w:rPr>
          <w:rFonts w:ascii="Times New Roman" w:hAnsi="Times New Roman" w:cs="Times New Roman"/>
          <w:b/>
          <w:bCs/>
          <w:sz w:val="24"/>
          <w:szCs w:val="24"/>
          <w:lang w:val="en-IN"/>
        </w:rPr>
        <w:t xml:space="preserve">4.2 Interpretation of Correlation Findings </w:t>
      </w:r>
    </w:p>
    <w:p w14:paraId="68E41093" w14:textId="4F8DE1D4" w:rsidR="001127FE" w:rsidRPr="001127FE" w:rsidRDefault="00CC6F99" w:rsidP="001127FE">
      <w:pPr>
        <w:spacing w:line="360" w:lineRule="auto"/>
        <w:jc w:val="both"/>
        <w:rPr>
          <w:rFonts w:ascii="Times New Roman" w:hAnsi="Times New Roman" w:cs="Times New Roman"/>
          <w:sz w:val="24"/>
          <w:szCs w:val="24"/>
          <w:lang w:val="en-IN"/>
        </w:rPr>
      </w:pPr>
      <w:r w:rsidRPr="00CC6F99">
        <w:rPr>
          <w:rFonts w:ascii="Times New Roman" w:hAnsi="Times New Roman" w:cs="Times New Roman"/>
          <w:sz w:val="24"/>
          <w:szCs w:val="24"/>
          <w:lang w:val="en-IN"/>
        </w:rPr>
        <w:t xml:space="preserve">The correlation analysis </w:t>
      </w:r>
      <w:r w:rsidR="001127FE" w:rsidRPr="001127FE">
        <w:rPr>
          <w:rFonts w:ascii="Times New Roman" w:hAnsi="Times New Roman" w:cs="Times New Roman"/>
          <w:sz w:val="24"/>
          <w:szCs w:val="24"/>
          <w:lang w:val="en-IN"/>
        </w:rPr>
        <w:t xml:space="preserve">shows a clear pattern: demographic variables (gender r = .141, p = .162; family background r = −.053, p = .601; place of residence r = .025, p = .806) are not significantly associated with perception and attitude, whereas exposure-related variables are. Awareness of </w:t>
      </w:r>
      <w:proofErr w:type="spellStart"/>
      <w:r w:rsidR="001127FE" w:rsidRPr="001127FE">
        <w:rPr>
          <w:rFonts w:ascii="Times New Roman" w:hAnsi="Times New Roman" w:cs="Times New Roman"/>
          <w:sz w:val="24"/>
          <w:szCs w:val="24"/>
          <w:lang w:val="en-IN"/>
        </w:rPr>
        <w:t>agripreneurship</w:t>
      </w:r>
      <w:proofErr w:type="spellEnd"/>
      <w:r w:rsidR="001127FE" w:rsidRPr="001127FE">
        <w:rPr>
          <w:rFonts w:ascii="Times New Roman" w:hAnsi="Times New Roman" w:cs="Times New Roman"/>
          <w:sz w:val="24"/>
          <w:szCs w:val="24"/>
          <w:lang w:val="en-IN"/>
        </w:rPr>
        <w:t xml:space="preserve"> has a strong positive correlation with perception (r = .708, p &lt; .001); source of information shows a moderate correlation (r = .569, p &lt; .001); knowledge of government schemes is weak but significant (r = .236, p = .018).</w:t>
      </w:r>
      <w:r w:rsidR="00B965A8">
        <w:rPr>
          <w:rFonts w:ascii="Times New Roman" w:hAnsi="Times New Roman" w:cs="Times New Roman"/>
          <w:sz w:val="24"/>
          <w:szCs w:val="24"/>
          <w:lang w:val="en-IN"/>
        </w:rPr>
        <w:t xml:space="preserve"> </w:t>
      </w:r>
      <w:r w:rsidR="00B965A8" w:rsidRPr="00B965A8">
        <w:rPr>
          <w:rFonts w:ascii="Times New Roman" w:hAnsi="Times New Roman" w:cs="Times New Roman"/>
          <w:sz w:val="24"/>
          <w:szCs w:val="24"/>
          <w:lang w:val="en-IN"/>
        </w:rPr>
        <w:t>This contrasts with some earlier studies that emphasized demographic determinism in entrepreneurial aspirations</w:t>
      </w:r>
      <w:r w:rsidR="00B965A8">
        <w:rPr>
          <w:rFonts w:ascii="Times New Roman" w:hAnsi="Times New Roman" w:cs="Times New Roman"/>
          <w:sz w:val="24"/>
          <w:szCs w:val="24"/>
          <w:lang w:val="en-IN"/>
        </w:rPr>
        <w:t xml:space="preserve"> </w:t>
      </w:r>
      <w:r w:rsidR="00B965A8" w:rsidRPr="00B965A8">
        <w:rPr>
          <w:rFonts w:ascii="Times New Roman" w:hAnsi="Times New Roman" w:cs="Times New Roman"/>
          <w:sz w:val="24"/>
          <w:szCs w:val="24"/>
          <w:lang w:val="en-IN"/>
        </w:rPr>
        <w:t>[5].</w:t>
      </w:r>
    </w:p>
    <w:p w14:paraId="319BE5E9" w14:textId="61A31E59" w:rsidR="00CC6F99" w:rsidRPr="00CC6F99" w:rsidRDefault="001127FE" w:rsidP="001127FE">
      <w:pPr>
        <w:spacing w:line="360" w:lineRule="auto"/>
        <w:jc w:val="both"/>
        <w:rPr>
          <w:rFonts w:ascii="Times New Roman" w:hAnsi="Times New Roman" w:cs="Times New Roman"/>
          <w:sz w:val="24"/>
          <w:szCs w:val="24"/>
          <w:lang w:val="en-IN"/>
        </w:rPr>
      </w:pPr>
      <w:r w:rsidRPr="001127FE">
        <w:rPr>
          <w:rFonts w:ascii="Times New Roman" w:hAnsi="Times New Roman" w:cs="Times New Roman"/>
          <w:sz w:val="24"/>
          <w:szCs w:val="24"/>
          <w:lang w:val="en-IN"/>
        </w:rPr>
        <w:t xml:space="preserve">Interpretively, these coefficients indicate that students’ cognitive exposure—knowing what </w:t>
      </w:r>
      <w:proofErr w:type="spellStart"/>
      <w:r w:rsidRPr="001127FE">
        <w:rPr>
          <w:rFonts w:ascii="Times New Roman" w:hAnsi="Times New Roman" w:cs="Times New Roman"/>
          <w:sz w:val="24"/>
          <w:szCs w:val="24"/>
          <w:lang w:val="en-IN"/>
        </w:rPr>
        <w:t>agripreneurship</w:t>
      </w:r>
      <w:proofErr w:type="spellEnd"/>
      <w:r w:rsidRPr="001127FE">
        <w:rPr>
          <w:rFonts w:ascii="Times New Roman" w:hAnsi="Times New Roman" w:cs="Times New Roman"/>
          <w:sz w:val="24"/>
          <w:szCs w:val="24"/>
          <w:lang w:val="en-IN"/>
        </w:rPr>
        <w:t xml:space="preserve"> is and where to learn about it</w:t>
      </w:r>
      <w:r w:rsidR="00EF74E8">
        <w:rPr>
          <w:rFonts w:ascii="Times New Roman" w:hAnsi="Times New Roman" w:cs="Times New Roman"/>
          <w:sz w:val="24"/>
          <w:szCs w:val="24"/>
          <w:lang w:val="en-IN"/>
        </w:rPr>
        <w:t xml:space="preserve"> </w:t>
      </w:r>
      <w:r w:rsidRPr="001127FE">
        <w:rPr>
          <w:rFonts w:ascii="Times New Roman" w:hAnsi="Times New Roman" w:cs="Times New Roman"/>
          <w:sz w:val="24"/>
          <w:szCs w:val="24"/>
          <w:lang w:val="en-IN"/>
        </w:rPr>
        <w:t>matters far more than demographic background. For SAIRAM, this means outreach and pedagogy that improve conceptual clarity (case studies, labs, entrepreneur talks) will likely raise attitude scores more effectively than demographic-targeted measures. In Manipur, the strong r = .708 suggests state-level awareness campaigns (KVKs, college-extension partnerships, targeted social media) could shift perceptions at scale; however, the weaker r = .236 for scheme knowledge implies that simply naming schemes is insufficient communications must illustrate concrete, local examples of scheme use (e.g., small processing units in Imphal Valley) to increase perceived utility and uptake.</w:t>
      </w:r>
    </w:p>
    <w:p w14:paraId="44CFF928" w14:textId="217EF7B0" w:rsidR="00CC6F99" w:rsidRPr="00CC6F99" w:rsidRDefault="00CC6F99" w:rsidP="00CC6F99">
      <w:pPr>
        <w:spacing w:line="360" w:lineRule="auto"/>
        <w:jc w:val="both"/>
        <w:rPr>
          <w:rFonts w:ascii="Times New Roman" w:hAnsi="Times New Roman" w:cs="Times New Roman"/>
          <w:b/>
          <w:bCs/>
          <w:sz w:val="24"/>
          <w:szCs w:val="24"/>
          <w:lang w:val="en-IN"/>
        </w:rPr>
      </w:pPr>
      <w:r w:rsidRPr="00CC6F99">
        <w:rPr>
          <w:rFonts w:ascii="Times New Roman" w:hAnsi="Times New Roman" w:cs="Times New Roman"/>
          <w:b/>
          <w:bCs/>
          <w:sz w:val="24"/>
          <w:szCs w:val="24"/>
          <w:lang w:val="en-IN"/>
        </w:rPr>
        <w:lastRenderedPageBreak/>
        <w:t>4.3 Interpretation of Multiple Regression Findings</w:t>
      </w:r>
    </w:p>
    <w:p w14:paraId="0D566281" w14:textId="479FAAF0" w:rsidR="00EF74E8" w:rsidRPr="00EF74E8" w:rsidRDefault="00EF74E8" w:rsidP="00EF74E8">
      <w:pPr>
        <w:spacing w:before="240" w:line="360" w:lineRule="auto"/>
        <w:jc w:val="both"/>
        <w:rPr>
          <w:rFonts w:ascii="Times New Roman" w:hAnsi="Times New Roman" w:cs="Times New Roman"/>
          <w:sz w:val="24"/>
          <w:szCs w:val="24"/>
          <w:lang w:val="en-IN"/>
        </w:rPr>
      </w:pPr>
      <w:bookmarkStart w:id="14" w:name="bm_5_conclusions_and_recommendations"/>
      <w:r w:rsidRPr="00EF74E8">
        <w:rPr>
          <w:rFonts w:ascii="Times New Roman" w:hAnsi="Times New Roman" w:cs="Times New Roman"/>
          <w:sz w:val="24"/>
          <w:szCs w:val="24"/>
          <w:lang w:val="en-IN"/>
        </w:rPr>
        <w:t xml:space="preserve">The multivariate model explained substantial variance (R² = 0.523; Adjusted R² = 0.481; </w:t>
      </w:r>
      <w:proofErr w:type="gramStart"/>
      <w:r w:rsidRPr="00EF74E8">
        <w:rPr>
          <w:rFonts w:ascii="Times New Roman" w:hAnsi="Times New Roman" w:cs="Times New Roman"/>
          <w:sz w:val="24"/>
          <w:szCs w:val="24"/>
          <w:lang w:val="en-IN"/>
        </w:rPr>
        <w:t>F(</w:t>
      </w:r>
      <w:proofErr w:type="gramEnd"/>
      <w:r w:rsidRPr="00EF74E8">
        <w:rPr>
          <w:rFonts w:ascii="Times New Roman" w:hAnsi="Times New Roman" w:cs="Times New Roman"/>
          <w:sz w:val="24"/>
          <w:szCs w:val="24"/>
          <w:lang w:val="en-IN"/>
        </w:rPr>
        <w:t>8,</w:t>
      </w:r>
      <w:proofErr w:type="gramStart"/>
      <w:r w:rsidRPr="00EF74E8">
        <w:rPr>
          <w:rFonts w:ascii="Times New Roman" w:hAnsi="Times New Roman" w:cs="Times New Roman"/>
          <w:sz w:val="24"/>
          <w:szCs w:val="24"/>
          <w:lang w:val="en-IN"/>
        </w:rPr>
        <w:t>91)=</w:t>
      </w:r>
      <w:proofErr w:type="gramEnd"/>
      <w:r w:rsidRPr="00EF74E8">
        <w:rPr>
          <w:rFonts w:ascii="Times New Roman" w:hAnsi="Times New Roman" w:cs="Times New Roman"/>
          <w:sz w:val="24"/>
          <w:szCs w:val="24"/>
          <w:lang w:val="en-IN"/>
        </w:rPr>
        <w:t>12.43, p &lt; .001). Critically, prior awareness was the only statistically significant predictor in the full model (B = 6.04, SE = 1.14, β = 0.70, t = 5.31, p &lt; .001). Place of residence showed a marginal effect (B = 0.59, SE = 0.34, β = 0.16, p = .088). All other predictors</w:t>
      </w:r>
      <w:r w:rsidR="00C0521F">
        <w:rPr>
          <w:rFonts w:ascii="Times New Roman" w:hAnsi="Times New Roman" w:cs="Times New Roman"/>
          <w:sz w:val="24"/>
          <w:szCs w:val="24"/>
          <w:lang w:val="en-IN"/>
        </w:rPr>
        <w:t xml:space="preserve"> </w:t>
      </w:r>
      <w:r w:rsidRPr="00EF74E8">
        <w:rPr>
          <w:rFonts w:ascii="Times New Roman" w:hAnsi="Times New Roman" w:cs="Times New Roman"/>
          <w:sz w:val="24"/>
          <w:szCs w:val="24"/>
          <w:lang w:val="en-IN"/>
        </w:rPr>
        <w:t>gender, age, year of study, family background, source of information, and scheme knowledge</w:t>
      </w:r>
      <w:r w:rsidR="00C0521F">
        <w:rPr>
          <w:rFonts w:ascii="Times New Roman" w:hAnsi="Times New Roman" w:cs="Times New Roman"/>
          <w:sz w:val="24"/>
          <w:szCs w:val="24"/>
          <w:lang w:val="en-IN"/>
        </w:rPr>
        <w:t xml:space="preserve"> </w:t>
      </w:r>
      <w:r w:rsidRPr="00EF74E8">
        <w:rPr>
          <w:rFonts w:ascii="Times New Roman" w:hAnsi="Times New Roman" w:cs="Times New Roman"/>
          <w:sz w:val="24"/>
          <w:szCs w:val="24"/>
          <w:lang w:val="en-IN"/>
        </w:rPr>
        <w:t>were non-significant when controlling for others (p &gt; .05).</w:t>
      </w:r>
    </w:p>
    <w:p w14:paraId="460D99CC" w14:textId="77777777" w:rsidR="00EF74E8" w:rsidRDefault="00EF74E8" w:rsidP="00EF74E8">
      <w:pPr>
        <w:spacing w:before="240" w:line="360" w:lineRule="auto"/>
        <w:jc w:val="both"/>
        <w:rPr>
          <w:rFonts w:ascii="Times New Roman" w:hAnsi="Times New Roman" w:cs="Times New Roman"/>
          <w:sz w:val="24"/>
          <w:szCs w:val="24"/>
          <w:lang w:val="en-IN"/>
        </w:rPr>
      </w:pPr>
      <w:r w:rsidRPr="00EF74E8">
        <w:rPr>
          <w:rFonts w:ascii="Times New Roman" w:hAnsi="Times New Roman" w:cs="Times New Roman"/>
          <w:sz w:val="24"/>
          <w:szCs w:val="24"/>
          <w:lang w:val="en-IN"/>
        </w:rPr>
        <w:t xml:space="preserve">These results imply that while multiple factors correlate with perception at the bivariate level, awareness is the proximal causal lever when other variables are controlled. For SAIRAM, this points to prioritizing structured awareness-to-skill pathways: embed </w:t>
      </w:r>
      <w:proofErr w:type="spellStart"/>
      <w:r w:rsidRPr="00EF74E8">
        <w:rPr>
          <w:rFonts w:ascii="Times New Roman" w:hAnsi="Times New Roman" w:cs="Times New Roman"/>
          <w:sz w:val="24"/>
          <w:szCs w:val="24"/>
          <w:lang w:val="en-IN"/>
        </w:rPr>
        <w:t>agripreneurship</w:t>
      </w:r>
      <w:proofErr w:type="spellEnd"/>
      <w:r w:rsidRPr="00EF74E8">
        <w:rPr>
          <w:rFonts w:ascii="Times New Roman" w:hAnsi="Times New Roman" w:cs="Times New Roman"/>
          <w:sz w:val="24"/>
          <w:szCs w:val="24"/>
          <w:lang w:val="en-IN"/>
        </w:rPr>
        <w:t xml:space="preserve"> modules early, run applied workshops that convert conceptual awareness into business planning skills, and provide mentorship to translate awareness into intention. In Manipur, given the state's small- and niche-market opportunities, policy and extension bodies should couple awareness campaigns with place-based supports (market linkages, micro-credit windows, demonstration enterprises) so that the strong effect of awareness (β = 0.70) is realized as tangible entrepreneurial activity, especially in semi-urban hubs where the marginal residence effect suggests slightly greater readiness.</w:t>
      </w:r>
    </w:p>
    <w:p w14:paraId="3AFCAB1C" w14:textId="5A7C68CC" w:rsidR="00AA7950" w:rsidRPr="00AA7950" w:rsidRDefault="00AA7950" w:rsidP="00AA7950">
      <w:pPr>
        <w:pStyle w:val="ListParagraph"/>
        <w:numPr>
          <w:ilvl w:val="0"/>
          <w:numId w:val="10"/>
        </w:numPr>
        <w:spacing w:before="240" w:line="360" w:lineRule="auto"/>
        <w:jc w:val="both"/>
        <w:rPr>
          <w:rFonts w:ascii="Times New Roman" w:hAnsi="Times New Roman" w:cs="Times New Roman"/>
          <w:color w:val="EE0000"/>
          <w:sz w:val="24"/>
          <w:szCs w:val="24"/>
          <w:lang w:val="en-IN"/>
        </w:rPr>
      </w:pPr>
      <w:r w:rsidRPr="00AA7950">
        <w:rPr>
          <w:rFonts w:ascii="Times New Roman" w:hAnsi="Times New Roman" w:cs="Times New Roman"/>
          <w:color w:val="EE0000"/>
          <w:sz w:val="24"/>
          <w:szCs w:val="24"/>
        </w:rPr>
        <w:t>Repetition of results (discussion should interpret, not repeat).</w:t>
      </w:r>
    </w:p>
    <w:p w14:paraId="0E634073" w14:textId="1CAD80BD" w:rsidR="00C75519" w:rsidRDefault="004C2C1B" w:rsidP="009019DC">
      <w:pPr>
        <w:spacing w:before="240" w:line="360" w:lineRule="auto"/>
        <w:jc w:val="both"/>
        <w:rPr>
          <w:rFonts w:ascii="Times New Roman" w:hAnsi="Times New Roman" w:cs="Times New Roman"/>
          <w:sz w:val="24"/>
          <w:szCs w:val="24"/>
        </w:rPr>
      </w:pPr>
      <w:bookmarkStart w:id="15" w:name="bm_4_5_implications_for_extension_5b5fff"/>
      <w:r>
        <w:rPr>
          <w:rFonts w:ascii="Times New Roman" w:hAnsi="Times New Roman" w:cs="Times New Roman"/>
          <w:b/>
          <w:sz w:val="24"/>
          <w:szCs w:val="24"/>
        </w:rPr>
        <w:t>5</w:t>
      </w:r>
      <w:r w:rsidR="00DB57B6" w:rsidRPr="004C2C1B">
        <w:rPr>
          <w:rFonts w:ascii="Times New Roman" w:hAnsi="Times New Roman" w:cs="Times New Roman"/>
          <w:b/>
          <w:sz w:val="24"/>
          <w:szCs w:val="24"/>
        </w:rPr>
        <w:t>. Implications for Extension Education</w:t>
      </w:r>
      <w:bookmarkEnd w:id="15"/>
    </w:p>
    <w:p w14:paraId="5E65D436" w14:textId="336D97BF" w:rsidR="00DB57B6" w:rsidRPr="004C2C1B" w:rsidRDefault="00DB57B6" w:rsidP="004C2C1B">
      <w:pPr>
        <w:spacing w:after="210" w:line="360" w:lineRule="auto"/>
        <w:jc w:val="both"/>
        <w:rPr>
          <w:rFonts w:ascii="Times New Roman" w:hAnsi="Times New Roman" w:cs="Times New Roman"/>
          <w:sz w:val="24"/>
          <w:szCs w:val="24"/>
        </w:rPr>
      </w:pPr>
      <w:r w:rsidRPr="004C2C1B">
        <w:rPr>
          <w:rFonts w:ascii="Times New Roman" w:hAnsi="Times New Roman" w:cs="Times New Roman"/>
          <w:sz w:val="24"/>
          <w:szCs w:val="24"/>
        </w:rPr>
        <w:t>These findings carry substantial implications for extension education and policy:</w:t>
      </w:r>
    </w:p>
    <w:p w14:paraId="038B03EC" w14:textId="40E590A7" w:rsidR="00DB57B6" w:rsidRPr="004C2C1B" w:rsidRDefault="007D22C5" w:rsidP="004C2C1B">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a)</w:t>
      </w:r>
      <w:r w:rsidR="00DB57B6" w:rsidRPr="004C2C1B">
        <w:rPr>
          <w:rFonts w:ascii="Times New Roman" w:hAnsi="Times New Roman" w:cs="Times New Roman"/>
          <w:b/>
          <w:sz w:val="24"/>
          <w:szCs w:val="24"/>
        </w:rPr>
        <w:t xml:space="preserve"> Awareness Campaigns:</w:t>
      </w:r>
      <w:r w:rsidR="00DB57B6" w:rsidRPr="004C2C1B">
        <w:rPr>
          <w:rFonts w:ascii="Times New Roman" w:hAnsi="Times New Roman" w:cs="Times New Roman"/>
          <w:sz w:val="24"/>
          <w:szCs w:val="24"/>
        </w:rPr>
        <w:t xml:space="preserve"> The dominance of awareness as a predictor suggests that large-scale awareness campaigns, whether delivered through digital media, educational institutions, extension services, or community platforms, could be </w:t>
      </w:r>
      <w:proofErr w:type="gramStart"/>
      <w:r w:rsidR="00DB57B6" w:rsidRPr="004C2C1B">
        <w:rPr>
          <w:rFonts w:ascii="Times New Roman" w:hAnsi="Times New Roman" w:cs="Times New Roman"/>
          <w:sz w:val="24"/>
          <w:szCs w:val="24"/>
        </w:rPr>
        <w:t>transformative</w:t>
      </w:r>
      <w:r w:rsidR="004C2C1B" w:rsidRPr="004C2C1B">
        <w:rPr>
          <w:rFonts w:ascii="Times New Roman" w:hAnsi="Times New Roman" w:cs="Times New Roman"/>
          <w:sz w:val="24"/>
          <w:szCs w:val="24"/>
        </w:rPr>
        <w:t>[</w:t>
      </w:r>
      <w:proofErr w:type="gramEnd"/>
      <w:r w:rsidR="004C2C1B" w:rsidRPr="004C2C1B">
        <w:rPr>
          <w:rFonts w:ascii="Times New Roman" w:hAnsi="Times New Roman" w:cs="Times New Roman"/>
          <w:sz w:val="24"/>
          <w:szCs w:val="24"/>
        </w:rPr>
        <w:t>6]</w:t>
      </w:r>
      <w:r w:rsidR="00DB57B6" w:rsidRPr="004C2C1B">
        <w:rPr>
          <w:rFonts w:ascii="Times New Roman" w:hAnsi="Times New Roman" w:cs="Times New Roman"/>
          <w:sz w:val="24"/>
          <w:szCs w:val="24"/>
        </w:rPr>
        <w:t xml:space="preserve">. Extension services should consider multimedia campaigns highlighting success stories of </w:t>
      </w:r>
      <w:proofErr w:type="spellStart"/>
      <w:r w:rsidR="00DB57B6" w:rsidRPr="004C2C1B">
        <w:rPr>
          <w:rFonts w:ascii="Times New Roman" w:hAnsi="Times New Roman" w:cs="Times New Roman"/>
          <w:sz w:val="24"/>
          <w:szCs w:val="24"/>
        </w:rPr>
        <w:t>agripreneurs</w:t>
      </w:r>
      <w:proofErr w:type="spellEnd"/>
      <w:r w:rsidR="00DB57B6" w:rsidRPr="004C2C1B">
        <w:rPr>
          <w:rFonts w:ascii="Times New Roman" w:hAnsi="Times New Roman" w:cs="Times New Roman"/>
          <w:sz w:val="24"/>
          <w:szCs w:val="24"/>
        </w:rPr>
        <w:t>, entrepreneurial pathways in agriculture, and the range of possible ventures beyond traditional farming.</w:t>
      </w:r>
    </w:p>
    <w:p w14:paraId="07222238" w14:textId="52F6B3CD" w:rsidR="00DB57B6" w:rsidRPr="004C2C1B" w:rsidRDefault="007D22C5" w:rsidP="004C2C1B">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b)</w:t>
      </w:r>
      <w:r w:rsidR="00DB57B6" w:rsidRPr="004C2C1B">
        <w:rPr>
          <w:rFonts w:ascii="Times New Roman" w:hAnsi="Times New Roman" w:cs="Times New Roman"/>
          <w:b/>
          <w:sz w:val="24"/>
          <w:szCs w:val="24"/>
        </w:rPr>
        <w:t xml:space="preserve"> Curriculum Integration:</w:t>
      </w:r>
      <w:r w:rsidR="00DB57B6" w:rsidRPr="004C2C1B">
        <w:rPr>
          <w:rFonts w:ascii="Times New Roman" w:hAnsi="Times New Roman" w:cs="Times New Roman"/>
          <w:sz w:val="24"/>
          <w:szCs w:val="24"/>
        </w:rPr>
        <w:t xml:space="preserve"> Agricultural educational institutions should integrate </w:t>
      </w:r>
      <w:proofErr w:type="spellStart"/>
      <w:r w:rsidR="00DB57B6" w:rsidRPr="004C2C1B">
        <w:rPr>
          <w:rFonts w:ascii="Times New Roman" w:hAnsi="Times New Roman" w:cs="Times New Roman"/>
          <w:sz w:val="24"/>
          <w:szCs w:val="24"/>
        </w:rPr>
        <w:t>agripreneurship</w:t>
      </w:r>
      <w:proofErr w:type="spellEnd"/>
      <w:r w:rsidR="00DB57B6" w:rsidRPr="004C2C1B">
        <w:rPr>
          <w:rFonts w:ascii="Times New Roman" w:hAnsi="Times New Roman" w:cs="Times New Roman"/>
          <w:sz w:val="24"/>
          <w:szCs w:val="24"/>
        </w:rPr>
        <w:t xml:space="preserve"> modules into formal curricula, moving beyond passive exposure to active engagement with entrepreneurial concepts, case studies, and practical skill-building. This institutional integration could ensure that all agricultural students gain awareness and understanding of </w:t>
      </w:r>
      <w:proofErr w:type="spellStart"/>
      <w:r w:rsidR="00DB57B6" w:rsidRPr="004C2C1B">
        <w:rPr>
          <w:rFonts w:ascii="Times New Roman" w:hAnsi="Times New Roman" w:cs="Times New Roman"/>
          <w:sz w:val="24"/>
          <w:szCs w:val="24"/>
        </w:rPr>
        <w:t>agripreneurship</w:t>
      </w:r>
      <w:proofErr w:type="spellEnd"/>
      <w:r w:rsidR="00DB57B6" w:rsidRPr="004C2C1B">
        <w:rPr>
          <w:rFonts w:ascii="Times New Roman" w:hAnsi="Times New Roman" w:cs="Times New Roman"/>
          <w:sz w:val="24"/>
          <w:szCs w:val="24"/>
        </w:rPr>
        <w:t>.</w:t>
      </w:r>
    </w:p>
    <w:p w14:paraId="43877BA3" w14:textId="48F10739" w:rsidR="00DB57B6" w:rsidRPr="004C2C1B" w:rsidRDefault="007D22C5" w:rsidP="004C2C1B">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c)</w:t>
      </w:r>
      <w:r w:rsidR="00DB57B6" w:rsidRPr="004C2C1B">
        <w:rPr>
          <w:rFonts w:ascii="Times New Roman" w:hAnsi="Times New Roman" w:cs="Times New Roman"/>
          <w:b/>
          <w:sz w:val="24"/>
          <w:szCs w:val="24"/>
        </w:rPr>
        <w:t xml:space="preserve"> Experiential Learning:</w:t>
      </w:r>
      <w:r w:rsidR="00DB57B6" w:rsidRPr="004C2C1B">
        <w:rPr>
          <w:rFonts w:ascii="Times New Roman" w:eastAsia="Georgia" w:hAnsi="Times New Roman" w:cs="Times New Roman"/>
          <w:sz w:val="24"/>
          <w:szCs w:val="24"/>
        </w:rPr>
        <w:t xml:space="preserve"> Beyond classroom instruction, experiential learning opportunities—such as field visits to successful agribusinesses, entrepreneur mentorship programs, and business plan development exercises</w:t>
      </w:r>
      <w:r w:rsidR="00E74CD6">
        <w:rPr>
          <w:rFonts w:ascii="Times New Roman" w:eastAsia="Georgia" w:hAnsi="Times New Roman" w:cs="Times New Roman"/>
          <w:sz w:val="24"/>
          <w:szCs w:val="24"/>
        </w:rPr>
        <w:t xml:space="preserve"> </w:t>
      </w:r>
      <w:r w:rsidR="00DB57B6" w:rsidRPr="004C2C1B">
        <w:rPr>
          <w:rFonts w:ascii="Times New Roman" w:eastAsia="Georgia" w:hAnsi="Times New Roman" w:cs="Times New Roman"/>
          <w:sz w:val="24"/>
          <w:szCs w:val="24"/>
        </w:rPr>
        <w:t>can deepen awareness and enhance its translation into entrepreneurial intention[7].</w:t>
      </w:r>
    </w:p>
    <w:p w14:paraId="3F9EE605" w14:textId="1E927BA3" w:rsidR="00DB57B6" w:rsidRPr="004C2C1B" w:rsidRDefault="007D22C5" w:rsidP="004C2C1B">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d)</w:t>
      </w:r>
      <w:r w:rsidR="00DB57B6" w:rsidRPr="004C2C1B">
        <w:rPr>
          <w:rFonts w:ascii="Times New Roman" w:hAnsi="Times New Roman" w:cs="Times New Roman"/>
          <w:b/>
          <w:sz w:val="24"/>
          <w:szCs w:val="24"/>
        </w:rPr>
        <w:t xml:space="preserve"> Targeted Interventions:</w:t>
      </w:r>
      <w:r w:rsidR="00DB57B6" w:rsidRPr="004C2C1B">
        <w:rPr>
          <w:rFonts w:ascii="Times New Roman" w:hAnsi="Times New Roman" w:cs="Times New Roman"/>
          <w:sz w:val="24"/>
          <w:szCs w:val="24"/>
        </w:rPr>
        <w:t xml:space="preserve"> Although demographic factors were non-significant, targeted programs addressing the specific informational and support needs of distinct student subgroups (e.g., first-generation agricultural learners, students from non-agricultural backgrounds transitioning to agriculture) may still be warranted to ensure inclusive reach.</w:t>
      </w:r>
    </w:p>
    <w:p w14:paraId="4DEB246F" w14:textId="626D51CC" w:rsidR="00DB57B6" w:rsidRDefault="007D22C5" w:rsidP="004C2C1B">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e)</w:t>
      </w:r>
      <w:r w:rsidR="00DB57B6" w:rsidRPr="004C2C1B">
        <w:rPr>
          <w:rFonts w:ascii="Times New Roman" w:hAnsi="Times New Roman" w:cs="Times New Roman"/>
          <w:b/>
          <w:sz w:val="24"/>
          <w:szCs w:val="24"/>
        </w:rPr>
        <w:t xml:space="preserve"> Government Scheme Communication:</w:t>
      </w:r>
      <w:r w:rsidR="00DB57B6" w:rsidRPr="004C2C1B">
        <w:rPr>
          <w:rFonts w:ascii="Times New Roman" w:hAnsi="Times New Roman" w:cs="Times New Roman"/>
          <w:sz w:val="24"/>
          <w:szCs w:val="24"/>
        </w:rPr>
        <w:t xml:space="preserve"> The non-significance of government scheme knowledge suggests the need for more effective communication and demonstration of how these schemes translate into tangible support. Extension agents should be equipped to facilitate access to and understanding of these schemes, moving beyond pamphlet-based dissemination to personalized, problem-focused consultation.</w:t>
      </w:r>
    </w:p>
    <w:p w14:paraId="4D530D3C" w14:textId="15153573" w:rsidR="004C78B0" w:rsidRPr="004C78B0" w:rsidRDefault="004C78B0" w:rsidP="004C78B0">
      <w:pPr>
        <w:pStyle w:val="ListParagraph"/>
        <w:numPr>
          <w:ilvl w:val="0"/>
          <w:numId w:val="11"/>
        </w:numPr>
        <w:spacing w:after="210" w:line="360" w:lineRule="auto"/>
        <w:jc w:val="both"/>
        <w:rPr>
          <w:rFonts w:ascii="Times New Roman" w:hAnsi="Times New Roman" w:cs="Times New Roman"/>
          <w:color w:val="EE0000"/>
          <w:sz w:val="24"/>
          <w:szCs w:val="24"/>
        </w:rPr>
      </w:pPr>
      <w:r w:rsidRPr="004C78B0">
        <w:rPr>
          <w:rFonts w:ascii="Times New Roman" w:hAnsi="Times New Roman" w:cs="Times New Roman"/>
          <w:color w:val="EE0000"/>
          <w:sz w:val="24"/>
          <w:szCs w:val="24"/>
        </w:rPr>
        <w:t>Convert long paragraphs into bullet points.</w:t>
      </w:r>
    </w:p>
    <w:p w14:paraId="50E18F43" w14:textId="59E1D846" w:rsidR="00DB57B6" w:rsidRPr="004C2C1B" w:rsidRDefault="007D22C5" w:rsidP="004C2C1B">
      <w:pPr>
        <w:spacing w:before="240" w:line="360" w:lineRule="auto"/>
        <w:jc w:val="both"/>
        <w:rPr>
          <w:rFonts w:ascii="Times New Roman" w:hAnsi="Times New Roman" w:cs="Times New Roman"/>
          <w:sz w:val="24"/>
          <w:szCs w:val="24"/>
        </w:rPr>
      </w:pPr>
      <w:bookmarkStart w:id="16" w:name="bm_4_6_context_specific_relevance_2be497"/>
      <w:r>
        <w:rPr>
          <w:rFonts w:ascii="Times New Roman" w:hAnsi="Times New Roman" w:cs="Times New Roman"/>
          <w:b/>
          <w:sz w:val="24"/>
          <w:szCs w:val="24"/>
        </w:rPr>
        <w:t>6</w:t>
      </w:r>
      <w:r w:rsidR="00DB57B6" w:rsidRPr="004C2C1B">
        <w:rPr>
          <w:rFonts w:ascii="Times New Roman" w:hAnsi="Times New Roman" w:cs="Times New Roman"/>
          <w:b/>
          <w:sz w:val="24"/>
          <w:szCs w:val="24"/>
        </w:rPr>
        <w:t>. Context-Specific Relevance for Manipur</w:t>
      </w:r>
      <w:bookmarkEnd w:id="16"/>
    </w:p>
    <w:p w14:paraId="2F7F1162" w14:textId="5DF8EA1A" w:rsidR="009019DC" w:rsidRDefault="009019DC" w:rsidP="004C2C1B">
      <w:pPr>
        <w:spacing w:before="240" w:line="360" w:lineRule="auto"/>
        <w:jc w:val="both"/>
        <w:rPr>
          <w:rFonts w:ascii="Times New Roman" w:hAnsi="Times New Roman" w:cs="Times New Roman"/>
          <w:sz w:val="24"/>
          <w:szCs w:val="24"/>
        </w:rPr>
      </w:pPr>
      <w:r w:rsidRPr="009019DC">
        <w:rPr>
          <w:rFonts w:ascii="Times New Roman" w:hAnsi="Times New Roman" w:cs="Times New Roman"/>
          <w:sz w:val="24"/>
          <w:szCs w:val="24"/>
        </w:rPr>
        <w:t xml:space="preserve">Manipur’s agrarian economy, characterized by fragmented markets, limited value addition, and youth unemployment, presents both an urgent need and a fertile landscape for </w:t>
      </w:r>
      <w:proofErr w:type="spellStart"/>
      <w:r w:rsidRPr="009019DC">
        <w:rPr>
          <w:rFonts w:ascii="Times New Roman" w:hAnsi="Times New Roman" w:cs="Times New Roman"/>
          <w:sz w:val="24"/>
          <w:szCs w:val="24"/>
        </w:rPr>
        <w:t>agripreneurship</w:t>
      </w:r>
      <w:proofErr w:type="spellEnd"/>
      <w:r w:rsidRPr="009019DC">
        <w:rPr>
          <w:rFonts w:ascii="Times New Roman" w:hAnsi="Times New Roman" w:cs="Times New Roman"/>
          <w:sz w:val="24"/>
          <w:szCs w:val="24"/>
        </w:rPr>
        <w:t xml:space="preserve"> development</w:t>
      </w:r>
      <w:r>
        <w:rPr>
          <w:rFonts w:ascii="Times New Roman" w:hAnsi="Times New Roman" w:cs="Times New Roman"/>
          <w:sz w:val="24"/>
          <w:szCs w:val="24"/>
        </w:rPr>
        <w:t xml:space="preserve"> [1]</w:t>
      </w:r>
      <w:r w:rsidRPr="009019DC">
        <w:rPr>
          <w:rFonts w:ascii="Times New Roman" w:hAnsi="Times New Roman" w:cs="Times New Roman"/>
          <w:sz w:val="24"/>
          <w:szCs w:val="24"/>
        </w:rPr>
        <w:t xml:space="preserve">. The results highlight that while students possess high conceptual awareness, this awareness must be deepened into practical understanding to stimulate entrepreneurial action. Awareness-driven interventions are particularly critical given the state’s infrastructural constraints and emerging agribusiness niches—such as organic farming, floriculture, medicinal plants, and small-scale processing. Strengthening </w:t>
      </w:r>
      <w:proofErr w:type="spellStart"/>
      <w:r w:rsidRPr="009019DC">
        <w:rPr>
          <w:rFonts w:ascii="Times New Roman" w:hAnsi="Times New Roman" w:cs="Times New Roman"/>
          <w:sz w:val="24"/>
          <w:szCs w:val="24"/>
        </w:rPr>
        <w:t>agripreneurship</w:t>
      </w:r>
      <w:proofErr w:type="spellEnd"/>
      <w:r w:rsidRPr="009019DC">
        <w:rPr>
          <w:rFonts w:ascii="Times New Roman" w:hAnsi="Times New Roman" w:cs="Times New Roman"/>
          <w:sz w:val="24"/>
          <w:szCs w:val="24"/>
        </w:rPr>
        <w:t xml:space="preserve"> aligns directly with state development priorities, including livelihood diversification, rural enterprise promotion, and sustainable agricultural modernization</w:t>
      </w:r>
      <w:r w:rsidR="00770217">
        <w:rPr>
          <w:rFonts w:ascii="Times New Roman" w:hAnsi="Times New Roman" w:cs="Times New Roman"/>
          <w:sz w:val="24"/>
          <w:szCs w:val="24"/>
        </w:rPr>
        <w:t xml:space="preserve"> [8]</w:t>
      </w:r>
      <w:r w:rsidRPr="009019DC">
        <w:rPr>
          <w:rFonts w:ascii="Times New Roman" w:hAnsi="Times New Roman" w:cs="Times New Roman"/>
          <w:sz w:val="24"/>
          <w:szCs w:val="24"/>
        </w:rPr>
        <w:t xml:space="preserve">. SAIRAM, as a key academic institution, is positioned to serve as an </w:t>
      </w:r>
      <w:proofErr w:type="spellStart"/>
      <w:r w:rsidRPr="009019DC">
        <w:rPr>
          <w:rFonts w:ascii="Times New Roman" w:hAnsi="Times New Roman" w:cs="Times New Roman"/>
          <w:sz w:val="24"/>
          <w:szCs w:val="24"/>
        </w:rPr>
        <w:t>agripreneurship</w:t>
      </w:r>
      <w:proofErr w:type="spellEnd"/>
      <w:r w:rsidRPr="009019DC">
        <w:rPr>
          <w:rFonts w:ascii="Times New Roman" w:hAnsi="Times New Roman" w:cs="Times New Roman"/>
          <w:sz w:val="24"/>
          <w:szCs w:val="24"/>
        </w:rPr>
        <w:t xml:space="preserve"> incubation node, partnering with extension agencies, government departments, and private sector actors to deliver opportunity-driven programming. Scaling awareness through targeted communication, entrepreneurship clubs, and regional demonstration models can accelerate youth participation in agribusiness. Thus, </w:t>
      </w:r>
      <w:proofErr w:type="spellStart"/>
      <w:r w:rsidRPr="009019DC">
        <w:rPr>
          <w:rFonts w:ascii="Times New Roman" w:hAnsi="Times New Roman" w:cs="Times New Roman"/>
          <w:sz w:val="24"/>
          <w:szCs w:val="24"/>
        </w:rPr>
        <w:t>agripreneurship</w:t>
      </w:r>
      <w:proofErr w:type="spellEnd"/>
      <w:r w:rsidRPr="009019DC">
        <w:rPr>
          <w:rFonts w:ascii="Times New Roman" w:hAnsi="Times New Roman" w:cs="Times New Roman"/>
          <w:sz w:val="24"/>
          <w:szCs w:val="24"/>
        </w:rPr>
        <w:t xml:space="preserve"> promotion is not merely an educational priority but a strategic development pathway for Manipur’s rural transformation.</w:t>
      </w:r>
    </w:p>
    <w:p w14:paraId="6A119512" w14:textId="3E07C7CB" w:rsidR="0027044D" w:rsidRPr="0027044D" w:rsidRDefault="0027044D" w:rsidP="0027044D">
      <w:pPr>
        <w:pStyle w:val="ListParagraph"/>
        <w:numPr>
          <w:ilvl w:val="0"/>
          <w:numId w:val="11"/>
        </w:numPr>
        <w:spacing w:before="240" w:line="360" w:lineRule="auto"/>
        <w:jc w:val="both"/>
        <w:rPr>
          <w:rFonts w:ascii="Times New Roman" w:hAnsi="Times New Roman" w:cs="Times New Roman"/>
          <w:color w:val="EE0000"/>
          <w:sz w:val="24"/>
          <w:szCs w:val="24"/>
        </w:rPr>
      </w:pPr>
      <w:r w:rsidRPr="0027044D">
        <w:rPr>
          <w:rFonts w:ascii="Times New Roman" w:hAnsi="Times New Roman" w:cs="Times New Roman"/>
          <w:color w:val="EE0000"/>
          <w:sz w:val="24"/>
          <w:szCs w:val="24"/>
        </w:rPr>
        <w:lastRenderedPageBreak/>
        <w:t xml:space="preserve">Add examples of </w:t>
      </w:r>
      <w:proofErr w:type="spellStart"/>
      <w:r w:rsidRPr="0027044D">
        <w:rPr>
          <w:rFonts w:ascii="Times New Roman" w:hAnsi="Times New Roman" w:cs="Times New Roman"/>
          <w:color w:val="EE0000"/>
          <w:sz w:val="24"/>
          <w:szCs w:val="24"/>
        </w:rPr>
        <w:t>agripreneurship</w:t>
      </w:r>
      <w:proofErr w:type="spellEnd"/>
      <w:r w:rsidRPr="0027044D">
        <w:rPr>
          <w:rFonts w:ascii="Times New Roman" w:hAnsi="Times New Roman" w:cs="Times New Roman"/>
          <w:color w:val="EE0000"/>
          <w:sz w:val="24"/>
          <w:szCs w:val="24"/>
        </w:rPr>
        <w:t xml:space="preserve"> potential in Manipur:</w:t>
      </w:r>
    </w:p>
    <w:p w14:paraId="55F9B584" w14:textId="39CC2545" w:rsidR="0027044D" w:rsidRPr="0027044D" w:rsidRDefault="0027044D" w:rsidP="0027044D">
      <w:pPr>
        <w:pStyle w:val="ListParagraph"/>
        <w:numPr>
          <w:ilvl w:val="0"/>
          <w:numId w:val="11"/>
        </w:numPr>
        <w:spacing w:before="240" w:line="360" w:lineRule="auto"/>
        <w:jc w:val="both"/>
        <w:rPr>
          <w:rFonts w:ascii="Times New Roman" w:hAnsi="Times New Roman" w:cs="Times New Roman"/>
          <w:color w:val="EE0000"/>
          <w:sz w:val="24"/>
          <w:szCs w:val="24"/>
        </w:rPr>
      </w:pPr>
      <w:r w:rsidRPr="0027044D">
        <w:rPr>
          <w:rFonts w:ascii="Times New Roman" w:hAnsi="Times New Roman" w:cs="Times New Roman"/>
          <w:color w:val="EE0000"/>
          <w:sz w:val="24"/>
          <w:szCs w:val="24"/>
        </w:rPr>
        <w:t xml:space="preserve">Explain </w:t>
      </w:r>
      <w:r w:rsidRPr="0027044D">
        <w:rPr>
          <w:rFonts w:ascii="Times New Roman" w:hAnsi="Times New Roman" w:cs="Times New Roman"/>
          <w:i/>
          <w:iCs/>
          <w:color w:val="EE0000"/>
          <w:sz w:val="24"/>
          <w:szCs w:val="24"/>
        </w:rPr>
        <w:t>why</w:t>
      </w:r>
      <w:r w:rsidRPr="0027044D">
        <w:rPr>
          <w:rFonts w:ascii="Times New Roman" w:hAnsi="Times New Roman" w:cs="Times New Roman"/>
          <w:color w:val="EE0000"/>
          <w:sz w:val="24"/>
          <w:szCs w:val="24"/>
        </w:rPr>
        <w:t xml:space="preserve"> awareness is especially important in a hilly, remote state.</w:t>
      </w:r>
    </w:p>
    <w:p w14:paraId="7A65A725" w14:textId="77777777" w:rsidR="0027044D" w:rsidRDefault="0027044D" w:rsidP="004C2C1B">
      <w:pPr>
        <w:spacing w:before="240" w:line="360" w:lineRule="auto"/>
        <w:jc w:val="both"/>
        <w:rPr>
          <w:rFonts w:ascii="Times New Roman" w:hAnsi="Times New Roman" w:cs="Times New Roman"/>
          <w:sz w:val="24"/>
          <w:szCs w:val="24"/>
        </w:rPr>
      </w:pPr>
    </w:p>
    <w:p w14:paraId="10C4F2A1" w14:textId="69CFC900" w:rsidR="00A46310" w:rsidRPr="00AD4936" w:rsidRDefault="00B676CE" w:rsidP="00AD4936">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7</w:t>
      </w:r>
      <w:r w:rsidRPr="00AD4936">
        <w:rPr>
          <w:rFonts w:ascii="Times New Roman" w:hAnsi="Times New Roman" w:cs="Times New Roman"/>
          <w:b/>
          <w:sz w:val="24"/>
          <w:szCs w:val="24"/>
        </w:rPr>
        <w:t>. Conclusions</w:t>
      </w:r>
      <w:bookmarkEnd w:id="14"/>
    </w:p>
    <w:p w14:paraId="7C2BBCD0" w14:textId="2485430B" w:rsidR="00187BEB" w:rsidRDefault="00187BEB" w:rsidP="00AD4936">
      <w:pPr>
        <w:spacing w:before="240" w:line="360" w:lineRule="auto"/>
        <w:jc w:val="both"/>
        <w:rPr>
          <w:rFonts w:ascii="Times New Roman" w:hAnsi="Times New Roman" w:cs="Times New Roman"/>
          <w:sz w:val="24"/>
          <w:szCs w:val="24"/>
        </w:rPr>
      </w:pPr>
      <w:bookmarkStart w:id="17" w:name="bm_5_1_key_recommendations"/>
      <w:r w:rsidRPr="00187BEB">
        <w:rPr>
          <w:rFonts w:ascii="Times New Roman" w:hAnsi="Times New Roman" w:cs="Times New Roman"/>
          <w:sz w:val="24"/>
          <w:szCs w:val="24"/>
        </w:rPr>
        <w:t xml:space="preserve">This study demonstrates that </w:t>
      </w:r>
      <w:proofErr w:type="spellStart"/>
      <w:r w:rsidRPr="00187BEB">
        <w:rPr>
          <w:rFonts w:ascii="Times New Roman" w:hAnsi="Times New Roman" w:cs="Times New Roman"/>
          <w:sz w:val="24"/>
          <w:szCs w:val="24"/>
        </w:rPr>
        <w:t>agripreneurship</w:t>
      </w:r>
      <w:proofErr w:type="spellEnd"/>
      <w:r w:rsidRPr="00187BEB">
        <w:rPr>
          <w:rFonts w:ascii="Times New Roman" w:hAnsi="Times New Roman" w:cs="Times New Roman"/>
          <w:sz w:val="24"/>
          <w:szCs w:val="24"/>
        </w:rPr>
        <w:t xml:space="preserve"> awareness is the dominant determinant of agricultural students’ perception and attitude toward </w:t>
      </w:r>
      <w:proofErr w:type="spellStart"/>
      <w:r w:rsidRPr="00187BEB">
        <w:rPr>
          <w:rFonts w:ascii="Times New Roman" w:hAnsi="Times New Roman" w:cs="Times New Roman"/>
          <w:sz w:val="24"/>
          <w:szCs w:val="24"/>
        </w:rPr>
        <w:t>agripreneurship</w:t>
      </w:r>
      <w:proofErr w:type="spellEnd"/>
      <w:r w:rsidRPr="00187BEB">
        <w:rPr>
          <w:rFonts w:ascii="Times New Roman" w:hAnsi="Times New Roman" w:cs="Times New Roman"/>
          <w:sz w:val="24"/>
          <w:szCs w:val="24"/>
        </w:rPr>
        <w:t xml:space="preserve"> in Manipur, far outweighing the influence of demographic or background characteristics. Although 92% of students had heard of </w:t>
      </w:r>
      <w:proofErr w:type="spellStart"/>
      <w:r w:rsidRPr="00187BEB">
        <w:rPr>
          <w:rFonts w:ascii="Times New Roman" w:hAnsi="Times New Roman" w:cs="Times New Roman"/>
          <w:sz w:val="24"/>
          <w:szCs w:val="24"/>
        </w:rPr>
        <w:t>agripreneurship</w:t>
      </w:r>
      <w:proofErr w:type="spellEnd"/>
      <w:r w:rsidRPr="00187BEB">
        <w:rPr>
          <w:rFonts w:ascii="Times New Roman" w:hAnsi="Times New Roman" w:cs="Times New Roman"/>
          <w:sz w:val="24"/>
          <w:szCs w:val="24"/>
        </w:rPr>
        <w:t xml:space="preserve">, regression findings show that the </w:t>
      </w:r>
      <w:r w:rsidRPr="00187BEB">
        <w:rPr>
          <w:rFonts w:ascii="Times New Roman" w:hAnsi="Times New Roman" w:cs="Times New Roman"/>
          <w:i/>
          <w:iCs/>
          <w:sz w:val="24"/>
          <w:szCs w:val="24"/>
        </w:rPr>
        <w:t>quality</w:t>
      </w:r>
      <w:r w:rsidRPr="00187BEB">
        <w:rPr>
          <w:rFonts w:ascii="Times New Roman" w:hAnsi="Times New Roman" w:cs="Times New Roman"/>
          <w:sz w:val="24"/>
          <w:szCs w:val="24"/>
        </w:rPr>
        <w:t xml:space="preserve"> of this awareness</w:t>
      </w:r>
      <w:r w:rsidR="00885337">
        <w:rPr>
          <w:rFonts w:ascii="Times New Roman" w:hAnsi="Times New Roman" w:cs="Times New Roman"/>
          <w:sz w:val="24"/>
          <w:szCs w:val="24"/>
        </w:rPr>
        <w:t xml:space="preserve"> </w:t>
      </w:r>
      <w:r w:rsidRPr="00187BEB">
        <w:rPr>
          <w:rFonts w:ascii="Times New Roman" w:hAnsi="Times New Roman" w:cs="Times New Roman"/>
          <w:sz w:val="24"/>
          <w:szCs w:val="24"/>
        </w:rPr>
        <w:t>not simply its presence</w:t>
      </w:r>
      <w:r w:rsidR="00885337">
        <w:rPr>
          <w:rFonts w:ascii="Times New Roman" w:hAnsi="Times New Roman" w:cs="Times New Roman"/>
          <w:sz w:val="24"/>
          <w:szCs w:val="24"/>
        </w:rPr>
        <w:t xml:space="preserve"> </w:t>
      </w:r>
      <w:r w:rsidRPr="00187BEB">
        <w:rPr>
          <w:rFonts w:ascii="Times New Roman" w:hAnsi="Times New Roman" w:cs="Times New Roman"/>
          <w:sz w:val="24"/>
          <w:szCs w:val="24"/>
        </w:rPr>
        <w:t xml:space="preserve">drives positive attitudes (β = 0.70, p &lt; .001). By contrast, gender, age, year of study, family background, information sources, and knowledge of government schemes showed no significant predictive power when examined simultaneously. These results indicate that students’ entrepreneurial orientation is cognitively and informationally driven rather than demographically structured. For SAIRAM and similar institutions, this underscores an urgent need to strengthen </w:t>
      </w:r>
      <w:proofErr w:type="spellStart"/>
      <w:r w:rsidRPr="00187BEB">
        <w:rPr>
          <w:rFonts w:ascii="Times New Roman" w:hAnsi="Times New Roman" w:cs="Times New Roman"/>
          <w:sz w:val="24"/>
          <w:szCs w:val="24"/>
        </w:rPr>
        <w:t>agripreneurship</w:t>
      </w:r>
      <w:proofErr w:type="spellEnd"/>
      <w:r w:rsidRPr="00187BEB">
        <w:rPr>
          <w:rFonts w:ascii="Times New Roman" w:hAnsi="Times New Roman" w:cs="Times New Roman"/>
          <w:sz w:val="24"/>
          <w:szCs w:val="24"/>
        </w:rPr>
        <w:t>-focused curricula, enhance hands-on learning opportunities, and create structured pathways for translating awareness into entrepreneurial capability. In Manipur’s broader context</w:t>
      </w:r>
      <w:r w:rsidR="00885337">
        <w:rPr>
          <w:rFonts w:ascii="Times New Roman" w:hAnsi="Times New Roman" w:cs="Times New Roman"/>
          <w:sz w:val="24"/>
          <w:szCs w:val="24"/>
        </w:rPr>
        <w:t xml:space="preserve"> </w:t>
      </w:r>
      <w:r w:rsidRPr="00187BEB">
        <w:rPr>
          <w:rFonts w:ascii="Times New Roman" w:hAnsi="Times New Roman" w:cs="Times New Roman"/>
          <w:sz w:val="24"/>
          <w:szCs w:val="24"/>
        </w:rPr>
        <w:t>marked by rural unemployment and limited agribusiness diversification</w:t>
      </w:r>
      <w:r w:rsidR="00885337">
        <w:rPr>
          <w:rFonts w:ascii="Times New Roman" w:hAnsi="Times New Roman" w:cs="Times New Roman"/>
          <w:sz w:val="24"/>
          <w:szCs w:val="24"/>
        </w:rPr>
        <w:t xml:space="preserve"> </w:t>
      </w:r>
      <w:r w:rsidRPr="00187BEB">
        <w:rPr>
          <w:rFonts w:ascii="Times New Roman" w:hAnsi="Times New Roman" w:cs="Times New Roman"/>
          <w:sz w:val="24"/>
          <w:szCs w:val="24"/>
        </w:rPr>
        <w:t xml:space="preserve">building strong awareness ecosystems can serve as a catalytic strategy for youth-led agricultural transformation. Overall, the findings highlight awareness-building as the most effective and scalable intervention point for </w:t>
      </w:r>
      <w:proofErr w:type="spellStart"/>
      <w:r w:rsidRPr="00187BEB">
        <w:rPr>
          <w:rFonts w:ascii="Times New Roman" w:hAnsi="Times New Roman" w:cs="Times New Roman"/>
          <w:sz w:val="24"/>
          <w:szCs w:val="24"/>
        </w:rPr>
        <w:t>agripreneurship</w:t>
      </w:r>
      <w:proofErr w:type="spellEnd"/>
      <w:r w:rsidRPr="00187BEB">
        <w:rPr>
          <w:rFonts w:ascii="Times New Roman" w:hAnsi="Times New Roman" w:cs="Times New Roman"/>
          <w:sz w:val="24"/>
          <w:szCs w:val="24"/>
        </w:rPr>
        <w:t xml:space="preserve"> development.</w:t>
      </w:r>
    </w:p>
    <w:p w14:paraId="1B87D055" w14:textId="1ECB9A13" w:rsidR="000B1940" w:rsidRPr="000B1940" w:rsidRDefault="000B1940" w:rsidP="000B1940">
      <w:pPr>
        <w:pStyle w:val="ListParagraph"/>
        <w:numPr>
          <w:ilvl w:val="0"/>
          <w:numId w:val="11"/>
        </w:numPr>
        <w:spacing w:before="240" w:line="360" w:lineRule="auto"/>
        <w:jc w:val="both"/>
        <w:rPr>
          <w:rFonts w:ascii="Times New Roman" w:hAnsi="Times New Roman" w:cs="Times New Roman"/>
          <w:color w:val="EE0000"/>
          <w:sz w:val="24"/>
          <w:szCs w:val="24"/>
        </w:rPr>
      </w:pPr>
      <w:r w:rsidRPr="000B1940">
        <w:rPr>
          <w:rFonts w:ascii="Times New Roman" w:hAnsi="Times New Roman" w:cs="Times New Roman"/>
          <w:color w:val="EE0000"/>
          <w:sz w:val="24"/>
          <w:szCs w:val="24"/>
        </w:rPr>
        <w:t>Keeping it short and to the point.</w:t>
      </w:r>
    </w:p>
    <w:p w14:paraId="44501B41" w14:textId="7D1A812C" w:rsidR="000B1940" w:rsidRPr="000B1940" w:rsidRDefault="000B1940" w:rsidP="000B1940">
      <w:pPr>
        <w:pStyle w:val="ListParagraph"/>
        <w:numPr>
          <w:ilvl w:val="0"/>
          <w:numId w:val="11"/>
        </w:numPr>
        <w:spacing w:before="240" w:line="360" w:lineRule="auto"/>
        <w:jc w:val="both"/>
        <w:rPr>
          <w:rFonts w:ascii="Times New Roman" w:hAnsi="Times New Roman" w:cs="Times New Roman"/>
          <w:color w:val="EE0000"/>
          <w:sz w:val="24"/>
          <w:szCs w:val="24"/>
        </w:rPr>
      </w:pPr>
      <w:r w:rsidRPr="000B1940">
        <w:rPr>
          <w:rFonts w:ascii="Times New Roman" w:hAnsi="Times New Roman" w:cs="Times New Roman"/>
          <w:color w:val="EE0000"/>
          <w:sz w:val="24"/>
          <w:szCs w:val="24"/>
        </w:rPr>
        <w:t>Adding 1–2 actionable recommendations.</w:t>
      </w:r>
    </w:p>
    <w:p w14:paraId="0A16BEA2" w14:textId="307D555B" w:rsidR="000B1940" w:rsidRPr="000B1940" w:rsidRDefault="000B1940" w:rsidP="000B1940">
      <w:pPr>
        <w:pStyle w:val="ListParagraph"/>
        <w:numPr>
          <w:ilvl w:val="0"/>
          <w:numId w:val="11"/>
        </w:numPr>
        <w:spacing w:before="240" w:line="360" w:lineRule="auto"/>
        <w:jc w:val="both"/>
        <w:rPr>
          <w:rFonts w:ascii="Times New Roman" w:hAnsi="Times New Roman" w:cs="Times New Roman"/>
          <w:color w:val="EE0000"/>
          <w:sz w:val="24"/>
          <w:szCs w:val="24"/>
        </w:rPr>
      </w:pPr>
      <w:r w:rsidRPr="000B1940">
        <w:rPr>
          <w:rFonts w:ascii="Times New Roman" w:hAnsi="Times New Roman" w:cs="Times New Roman"/>
          <w:color w:val="EE0000"/>
          <w:sz w:val="24"/>
          <w:szCs w:val="24"/>
        </w:rPr>
        <w:t>Avoid repeating earlier paragraphs.</w:t>
      </w:r>
    </w:p>
    <w:p w14:paraId="0F66F070" w14:textId="4868EBD2" w:rsidR="00A46310" w:rsidRPr="00AD4936" w:rsidRDefault="00B676CE" w:rsidP="00AD4936">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8.</w:t>
      </w:r>
      <w:r w:rsidRPr="00AD4936">
        <w:rPr>
          <w:rFonts w:ascii="Times New Roman" w:hAnsi="Times New Roman" w:cs="Times New Roman"/>
          <w:b/>
          <w:sz w:val="24"/>
          <w:szCs w:val="24"/>
        </w:rPr>
        <w:t xml:space="preserve"> Key Recommendations</w:t>
      </w:r>
      <w:bookmarkEnd w:id="17"/>
    </w:p>
    <w:p w14:paraId="7B22BB25" w14:textId="736A1E3C" w:rsidR="00A46310" w:rsidRPr="00AD4936" w:rsidRDefault="00B676CE" w:rsidP="00AD4936">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 xml:space="preserve">8.1. </w:t>
      </w:r>
      <w:r w:rsidRPr="00AD4936">
        <w:rPr>
          <w:rFonts w:ascii="Times New Roman" w:hAnsi="Times New Roman" w:cs="Times New Roman"/>
          <w:b/>
          <w:sz w:val="24"/>
          <w:szCs w:val="24"/>
        </w:rPr>
        <w:t>For Extension Education Programs:</w:t>
      </w:r>
    </w:p>
    <w:p w14:paraId="7E727F10" w14:textId="77777777" w:rsidR="00A46310" w:rsidRPr="00AD4936" w:rsidRDefault="00B676CE" w:rsidP="00AD4936">
      <w:pPr>
        <w:numPr>
          <w:ilvl w:val="0"/>
          <w:numId w:val="3"/>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Develop Comprehensive Awareness Campaigns:</w:t>
      </w:r>
      <w:r w:rsidRPr="00AD4936">
        <w:rPr>
          <w:rFonts w:ascii="Times New Roman" w:hAnsi="Times New Roman" w:cs="Times New Roman"/>
          <w:sz w:val="24"/>
          <w:szCs w:val="24"/>
        </w:rPr>
        <w:t xml:space="preserve"> Design and implement targeted awareness campaigns highlighting the diversity of </w:t>
      </w:r>
      <w:proofErr w:type="spellStart"/>
      <w:r w:rsidRPr="00AD4936">
        <w:rPr>
          <w:rFonts w:ascii="Times New Roman" w:hAnsi="Times New Roman" w:cs="Times New Roman"/>
          <w:sz w:val="24"/>
          <w:szCs w:val="24"/>
        </w:rPr>
        <w:t>agripreneurial</w:t>
      </w:r>
      <w:proofErr w:type="spellEnd"/>
      <w:r w:rsidRPr="00AD4936">
        <w:rPr>
          <w:rFonts w:ascii="Times New Roman" w:hAnsi="Times New Roman" w:cs="Times New Roman"/>
          <w:sz w:val="24"/>
          <w:szCs w:val="24"/>
        </w:rPr>
        <w:t xml:space="preserve"> opportunities, including </w:t>
      </w:r>
      <w:r w:rsidRPr="00AD4936">
        <w:rPr>
          <w:rFonts w:ascii="Times New Roman" w:hAnsi="Times New Roman" w:cs="Times New Roman"/>
          <w:sz w:val="24"/>
          <w:szCs w:val="24"/>
        </w:rPr>
        <w:lastRenderedPageBreak/>
        <w:t>value-added agriculture, precision farming, agricultural technology services, and agrotourism.</w:t>
      </w:r>
    </w:p>
    <w:p w14:paraId="09817623" w14:textId="77777777" w:rsidR="00A46310" w:rsidRPr="00AD4936" w:rsidRDefault="00B676CE" w:rsidP="00AD4936">
      <w:pPr>
        <w:numPr>
          <w:ilvl w:val="0"/>
          <w:numId w:val="3"/>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 xml:space="preserve">Establish </w:t>
      </w:r>
      <w:proofErr w:type="spellStart"/>
      <w:r w:rsidRPr="00AD4936">
        <w:rPr>
          <w:rFonts w:ascii="Times New Roman" w:hAnsi="Times New Roman" w:cs="Times New Roman"/>
          <w:b/>
          <w:sz w:val="24"/>
          <w:szCs w:val="24"/>
        </w:rPr>
        <w:t>Agripreneurship</w:t>
      </w:r>
      <w:proofErr w:type="spellEnd"/>
      <w:r w:rsidRPr="00AD4936">
        <w:rPr>
          <w:rFonts w:ascii="Times New Roman" w:hAnsi="Times New Roman" w:cs="Times New Roman"/>
          <w:b/>
          <w:sz w:val="24"/>
          <w:szCs w:val="24"/>
        </w:rPr>
        <w:t xml:space="preserve"> Hubs:</w:t>
      </w:r>
      <w:r w:rsidRPr="00AD4936">
        <w:rPr>
          <w:rFonts w:ascii="Times New Roman" w:hAnsi="Times New Roman" w:cs="Times New Roman"/>
          <w:sz w:val="24"/>
          <w:szCs w:val="24"/>
        </w:rPr>
        <w:t xml:space="preserve"> Create campus-based or community-based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hubs providing mentorship, business planning support, market linkages, and access to financial resources.</w:t>
      </w:r>
    </w:p>
    <w:p w14:paraId="469DD0CA" w14:textId="77777777" w:rsidR="00A46310" w:rsidRPr="00AD4936" w:rsidRDefault="00B676CE" w:rsidP="00AD4936">
      <w:pPr>
        <w:numPr>
          <w:ilvl w:val="0"/>
          <w:numId w:val="3"/>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Integrate Entrepreneurship into Agricultural Curricula:</w:t>
      </w:r>
      <w:r w:rsidRPr="00AD4936">
        <w:rPr>
          <w:rFonts w:ascii="Times New Roman" w:hAnsi="Times New Roman" w:cs="Times New Roman"/>
          <w:sz w:val="24"/>
          <w:szCs w:val="24"/>
        </w:rPr>
        <w:t xml:space="preserve"> Mandate inclusion of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modules in undergraduate and postgraduate agricultural programs, with emphasis on practical skill-building and experiential learning.</w:t>
      </w:r>
    </w:p>
    <w:p w14:paraId="2F5FB870" w14:textId="77777777" w:rsidR="00A46310" w:rsidRPr="00AD4936" w:rsidRDefault="00B676CE" w:rsidP="00AD4936">
      <w:pPr>
        <w:numPr>
          <w:ilvl w:val="0"/>
          <w:numId w:val="3"/>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Facilitate Entrepreneur Mentorship:</w:t>
      </w:r>
      <w:r w:rsidRPr="00AD4936">
        <w:rPr>
          <w:rFonts w:ascii="Times New Roman" w:hAnsi="Times New Roman" w:cs="Times New Roman"/>
          <w:sz w:val="24"/>
          <w:szCs w:val="24"/>
        </w:rPr>
        <w:t xml:space="preserve"> Connect agricultural students with successful </w:t>
      </w:r>
      <w:proofErr w:type="spellStart"/>
      <w:r w:rsidRPr="00AD4936">
        <w:rPr>
          <w:rFonts w:ascii="Times New Roman" w:hAnsi="Times New Roman" w:cs="Times New Roman"/>
          <w:sz w:val="24"/>
          <w:szCs w:val="24"/>
        </w:rPr>
        <w:t>agripreneurs</w:t>
      </w:r>
      <w:proofErr w:type="spellEnd"/>
      <w:r w:rsidRPr="00AD4936">
        <w:rPr>
          <w:rFonts w:ascii="Times New Roman" w:hAnsi="Times New Roman" w:cs="Times New Roman"/>
          <w:sz w:val="24"/>
          <w:szCs w:val="24"/>
        </w:rPr>
        <w:t xml:space="preserve"> for mentoring, knowledge transfer, and motivation.</w:t>
      </w:r>
    </w:p>
    <w:p w14:paraId="06337F7A" w14:textId="77777777" w:rsidR="00A46310" w:rsidRPr="00AD4936" w:rsidRDefault="00B676CE" w:rsidP="00AD4936">
      <w:pPr>
        <w:numPr>
          <w:ilvl w:val="0"/>
          <w:numId w:val="3"/>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Strengthen Communication of Government Support Schemes:</w:t>
      </w:r>
      <w:r w:rsidRPr="00AD4936">
        <w:rPr>
          <w:rFonts w:ascii="Times New Roman" w:hAnsi="Times New Roman" w:cs="Times New Roman"/>
          <w:sz w:val="24"/>
          <w:szCs w:val="24"/>
        </w:rPr>
        <w:t xml:space="preserve"> Conduct targeted workshops and webinars to educate students about relevant government schemes, eligibility criteria, application processes, and success stories of beneficiaries.</w:t>
      </w:r>
    </w:p>
    <w:p w14:paraId="00AE162F" w14:textId="3162A292" w:rsidR="00A46310" w:rsidRPr="00AD4936" w:rsidRDefault="00B676CE" w:rsidP="00AD4936">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 xml:space="preserve">8.2. </w:t>
      </w:r>
      <w:r w:rsidRPr="00AD4936">
        <w:rPr>
          <w:rFonts w:ascii="Times New Roman" w:hAnsi="Times New Roman" w:cs="Times New Roman"/>
          <w:b/>
          <w:sz w:val="24"/>
          <w:szCs w:val="24"/>
        </w:rPr>
        <w:t>For Policy and Agricultural Development:</w:t>
      </w:r>
    </w:p>
    <w:p w14:paraId="3195B8A8" w14:textId="77777777" w:rsidR="00A46310" w:rsidRPr="00AD4936" w:rsidRDefault="00B676CE" w:rsidP="00AD4936">
      <w:pPr>
        <w:numPr>
          <w:ilvl w:val="0"/>
          <w:numId w:val="4"/>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Fund Extension Education Initiatives:</w:t>
      </w:r>
      <w:r w:rsidRPr="00AD4936">
        <w:rPr>
          <w:rFonts w:ascii="Times New Roman" w:hAnsi="Times New Roman" w:cs="Times New Roman"/>
          <w:sz w:val="24"/>
          <w:szCs w:val="24"/>
        </w:rPr>
        <w:t xml:space="preserve"> Allocate dedicated funding to extension services for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 xml:space="preserve"> awareness campaigns and capacity-building programs.</w:t>
      </w:r>
    </w:p>
    <w:p w14:paraId="57D9C59F" w14:textId="77777777" w:rsidR="00A46310" w:rsidRPr="00AD4936" w:rsidRDefault="00B676CE" w:rsidP="00AD4936">
      <w:pPr>
        <w:numPr>
          <w:ilvl w:val="0"/>
          <w:numId w:val="4"/>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Create Student Entrepreneur Incentives:</w:t>
      </w:r>
      <w:r w:rsidRPr="00AD4936">
        <w:rPr>
          <w:rFonts w:ascii="Times New Roman" w:hAnsi="Times New Roman" w:cs="Times New Roman"/>
          <w:sz w:val="24"/>
          <w:szCs w:val="24"/>
        </w:rPr>
        <w:t xml:space="preserve"> Develop specific incentive programs (grants, concessional credit, tax benefits) for agricultural students and recent graduates entering </w:t>
      </w:r>
      <w:proofErr w:type="spellStart"/>
      <w:r w:rsidRPr="00AD4936">
        <w:rPr>
          <w:rFonts w:ascii="Times New Roman" w:hAnsi="Times New Roman" w:cs="Times New Roman"/>
          <w:sz w:val="24"/>
          <w:szCs w:val="24"/>
        </w:rPr>
        <w:t>agripreneurship</w:t>
      </w:r>
      <w:proofErr w:type="spellEnd"/>
      <w:r w:rsidRPr="00AD4936">
        <w:rPr>
          <w:rFonts w:ascii="Times New Roman" w:hAnsi="Times New Roman" w:cs="Times New Roman"/>
          <w:sz w:val="24"/>
          <w:szCs w:val="24"/>
        </w:rPr>
        <w:t>.</w:t>
      </w:r>
    </w:p>
    <w:p w14:paraId="587F39C4" w14:textId="77777777" w:rsidR="00A46310" w:rsidRPr="00AD4936" w:rsidRDefault="00B676CE" w:rsidP="00AD4936">
      <w:pPr>
        <w:numPr>
          <w:ilvl w:val="0"/>
          <w:numId w:val="4"/>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Establish Market Linkages:</w:t>
      </w:r>
      <w:r w:rsidRPr="00AD4936">
        <w:rPr>
          <w:rFonts w:ascii="Times New Roman" w:hAnsi="Times New Roman" w:cs="Times New Roman"/>
          <w:sz w:val="24"/>
          <w:szCs w:val="24"/>
        </w:rPr>
        <w:t xml:space="preserve"> Facilitate connections between </w:t>
      </w:r>
      <w:proofErr w:type="spellStart"/>
      <w:r w:rsidRPr="00AD4936">
        <w:rPr>
          <w:rFonts w:ascii="Times New Roman" w:hAnsi="Times New Roman" w:cs="Times New Roman"/>
          <w:sz w:val="24"/>
          <w:szCs w:val="24"/>
        </w:rPr>
        <w:t>agripreneur</w:t>
      </w:r>
      <w:proofErr w:type="spellEnd"/>
      <w:r w:rsidRPr="00AD4936">
        <w:rPr>
          <w:rFonts w:ascii="Times New Roman" w:hAnsi="Times New Roman" w:cs="Times New Roman"/>
          <w:sz w:val="24"/>
          <w:szCs w:val="24"/>
        </w:rPr>
        <w:t xml:space="preserve"> initiatives and markets, supply chains, and distribution networks to enhance viability and sustainability.</w:t>
      </w:r>
    </w:p>
    <w:p w14:paraId="23D80400" w14:textId="46C195BE" w:rsidR="00A46310" w:rsidRPr="00AD4936" w:rsidRDefault="00B676CE" w:rsidP="00AD4936">
      <w:pPr>
        <w:spacing w:after="210" w:line="360" w:lineRule="auto"/>
        <w:jc w:val="both"/>
        <w:rPr>
          <w:rFonts w:ascii="Times New Roman" w:hAnsi="Times New Roman" w:cs="Times New Roman"/>
          <w:sz w:val="24"/>
          <w:szCs w:val="24"/>
        </w:rPr>
      </w:pPr>
      <w:r>
        <w:rPr>
          <w:rFonts w:ascii="Times New Roman" w:hAnsi="Times New Roman" w:cs="Times New Roman"/>
          <w:b/>
          <w:sz w:val="24"/>
          <w:szCs w:val="24"/>
        </w:rPr>
        <w:t xml:space="preserve">8.3. </w:t>
      </w:r>
      <w:r w:rsidRPr="00AD4936">
        <w:rPr>
          <w:rFonts w:ascii="Times New Roman" w:hAnsi="Times New Roman" w:cs="Times New Roman"/>
          <w:b/>
          <w:sz w:val="24"/>
          <w:szCs w:val="24"/>
        </w:rPr>
        <w:t>For Future Research:</w:t>
      </w:r>
    </w:p>
    <w:p w14:paraId="311E27C7" w14:textId="77777777" w:rsidR="00A46310" w:rsidRPr="00AD4936" w:rsidRDefault="00B676CE" w:rsidP="00AD4936">
      <w:pPr>
        <w:numPr>
          <w:ilvl w:val="0"/>
          <w:numId w:val="5"/>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Longitudinal Studies:</w:t>
      </w:r>
      <w:r w:rsidRPr="00AD4936">
        <w:rPr>
          <w:rFonts w:ascii="Times New Roman" w:hAnsi="Times New Roman" w:cs="Times New Roman"/>
          <w:sz w:val="24"/>
          <w:szCs w:val="24"/>
        </w:rPr>
        <w:t xml:space="preserve"> Conduct follow-up studies tracking changes in attitudes and actual entrepreneurial behavior over time.</w:t>
      </w:r>
    </w:p>
    <w:p w14:paraId="6CE8C479" w14:textId="77777777" w:rsidR="00A46310" w:rsidRPr="00AD4936" w:rsidRDefault="00B676CE" w:rsidP="00AD4936">
      <w:pPr>
        <w:numPr>
          <w:ilvl w:val="0"/>
          <w:numId w:val="5"/>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t>Qualitative Investigations:</w:t>
      </w:r>
      <w:r w:rsidRPr="00AD4936">
        <w:rPr>
          <w:rFonts w:ascii="Times New Roman" w:hAnsi="Times New Roman" w:cs="Times New Roman"/>
          <w:sz w:val="24"/>
          <w:szCs w:val="24"/>
        </w:rPr>
        <w:t xml:space="preserve"> Employ qualitative methods to gain deeper understanding of how awareness translates into behavioral intention and actual entrepreneurial action.</w:t>
      </w:r>
    </w:p>
    <w:p w14:paraId="4B08DB38" w14:textId="62C6F873" w:rsidR="00994B44" w:rsidRDefault="00B676CE" w:rsidP="00994B44">
      <w:pPr>
        <w:numPr>
          <w:ilvl w:val="0"/>
          <w:numId w:val="5"/>
        </w:numPr>
        <w:spacing w:after="210" w:line="360" w:lineRule="auto"/>
        <w:jc w:val="both"/>
        <w:rPr>
          <w:rFonts w:ascii="Times New Roman" w:hAnsi="Times New Roman" w:cs="Times New Roman"/>
          <w:sz w:val="24"/>
          <w:szCs w:val="24"/>
        </w:rPr>
      </w:pPr>
      <w:r w:rsidRPr="00AD4936">
        <w:rPr>
          <w:rFonts w:ascii="Times New Roman" w:hAnsi="Times New Roman" w:cs="Times New Roman"/>
          <w:b/>
          <w:sz w:val="24"/>
          <w:szCs w:val="24"/>
        </w:rPr>
        <w:lastRenderedPageBreak/>
        <w:t>Intervention Evaluations:</w:t>
      </w:r>
      <w:r w:rsidRPr="00AD4936">
        <w:rPr>
          <w:rFonts w:ascii="Times New Roman" w:hAnsi="Times New Roman" w:cs="Times New Roman"/>
          <w:sz w:val="24"/>
          <w:szCs w:val="24"/>
        </w:rPr>
        <w:t xml:space="preserve"> Evaluate the effectiveness of specific awareness-building interventions in changing attitudes and fostering entrepreneurial behavior.</w:t>
      </w:r>
    </w:p>
    <w:p w14:paraId="1B38895D" w14:textId="77777777" w:rsidR="00534DBE" w:rsidRPr="00534DBE" w:rsidRDefault="00534DBE" w:rsidP="00534DBE">
      <w:pPr>
        <w:spacing w:after="210" w:line="360" w:lineRule="auto"/>
        <w:jc w:val="both"/>
        <w:rPr>
          <w:rFonts w:ascii="Times New Roman" w:hAnsi="Times New Roman" w:cs="Times New Roman"/>
          <w:sz w:val="24"/>
          <w:szCs w:val="24"/>
        </w:rPr>
      </w:pPr>
      <w:r w:rsidRPr="00534DBE">
        <w:rPr>
          <w:rFonts w:ascii="Times New Roman" w:hAnsi="Times New Roman" w:cs="Times New Roman"/>
          <w:sz w:val="24"/>
          <w:szCs w:val="24"/>
        </w:rPr>
        <w:t>Authors’ contributions</w:t>
      </w:r>
    </w:p>
    <w:p w14:paraId="29AD6170" w14:textId="62FA6B7B" w:rsidR="00534DBE" w:rsidRDefault="00534DBE" w:rsidP="00534DBE">
      <w:pPr>
        <w:spacing w:after="210" w:line="360" w:lineRule="auto"/>
        <w:jc w:val="both"/>
        <w:rPr>
          <w:rFonts w:ascii="Times New Roman" w:hAnsi="Times New Roman" w:cs="Times New Roman"/>
          <w:sz w:val="24"/>
          <w:szCs w:val="24"/>
        </w:rPr>
      </w:pPr>
      <w:r w:rsidRPr="00534DBE">
        <w:rPr>
          <w:rFonts w:ascii="Times New Roman" w:hAnsi="Times New Roman" w:cs="Times New Roman"/>
          <w:sz w:val="24"/>
          <w:szCs w:val="24"/>
        </w:rPr>
        <w:t>This work was carried out in collaboration among all authors. All authors read and approved the final manuscript.</w:t>
      </w:r>
    </w:p>
    <w:p w14:paraId="6520C3F1" w14:textId="77777777" w:rsidR="00994B44" w:rsidRPr="00994B44" w:rsidRDefault="00994B44" w:rsidP="00994B44">
      <w:pPr>
        <w:spacing w:after="210" w:line="360" w:lineRule="auto"/>
        <w:jc w:val="both"/>
        <w:rPr>
          <w:rFonts w:ascii="Times New Roman" w:hAnsi="Times New Roman" w:cs="Times New Roman"/>
          <w:b/>
          <w:bCs/>
          <w:sz w:val="24"/>
          <w:szCs w:val="24"/>
        </w:rPr>
      </w:pPr>
      <w:r w:rsidRPr="00994B44">
        <w:rPr>
          <w:rFonts w:ascii="Times New Roman" w:hAnsi="Times New Roman" w:cs="Times New Roman"/>
          <w:b/>
          <w:bCs/>
          <w:sz w:val="24"/>
          <w:szCs w:val="24"/>
        </w:rPr>
        <w:t>DISCLAIMER (ARTIFICIAL INTELLIGENCE)</w:t>
      </w:r>
    </w:p>
    <w:p w14:paraId="568FC95C" w14:textId="23B44B6B" w:rsidR="00994B44" w:rsidRDefault="00994B44" w:rsidP="00994B44">
      <w:pPr>
        <w:spacing w:after="210" w:line="360" w:lineRule="auto"/>
        <w:jc w:val="both"/>
        <w:rPr>
          <w:rFonts w:ascii="Times New Roman" w:hAnsi="Times New Roman" w:cs="Times New Roman"/>
          <w:sz w:val="24"/>
          <w:szCs w:val="24"/>
        </w:rPr>
      </w:pPr>
      <w:r w:rsidRPr="00994B44">
        <w:rPr>
          <w:rFonts w:ascii="Times New Roman" w:hAnsi="Times New Roman" w:cs="Times New Roman"/>
          <w:sz w:val="24"/>
          <w:szCs w:val="24"/>
        </w:rPr>
        <w:t xml:space="preserve">Author(s) hereby declare that NO generative AI technologies such as Large Language Models (ChatGPT, COPILOT, </w:t>
      </w:r>
      <w:proofErr w:type="spellStart"/>
      <w:r w:rsidRPr="00994B44">
        <w:rPr>
          <w:rFonts w:ascii="Times New Roman" w:hAnsi="Times New Roman" w:cs="Times New Roman"/>
          <w:sz w:val="24"/>
          <w:szCs w:val="24"/>
        </w:rPr>
        <w:t>etc</w:t>
      </w:r>
      <w:proofErr w:type="spellEnd"/>
      <w:r w:rsidRPr="00994B44">
        <w:rPr>
          <w:rFonts w:ascii="Times New Roman" w:hAnsi="Times New Roman" w:cs="Times New Roman"/>
          <w:sz w:val="24"/>
          <w:szCs w:val="24"/>
        </w:rPr>
        <w:t>) and   text-to-image generators have been used during writing or editing of this manuscript.</w:t>
      </w:r>
    </w:p>
    <w:p w14:paraId="7C70ED52" w14:textId="77777777" w:rsidR="00994B44" w:rsidRPr="00994B44" w:rsidRDefault="00994B44" w:rsidP="00994B44">
      <w:pPr>
        <w:spacing w:after="210" w:line="360" w:lineRule="auto"/>
        <w:jc w:val="both"/>
        <w:rPr>
          <w:rFonts w:ascii="Times New Roman" w:hAnsi="Times New Roman" w:cs="Times New Roman"/>
          <w:b/>
          <w:bCs/>
          <w:sz w:val="24"/>
          <w:szCs w:val="24"/>
        </w:rPr>
      </w:pPr>
      <w:r w:rsidRPr="00994B44">
        <w:rPr>
          <w:rFonts w:ascii="Times New Roman" w:hAnsi="Times New Roman" w:cs="Times New Roman"/>
          <w:b/>
          <w:bCs/>
          <w:sz w:val="24"/>
          <w:szCs w:val="24"/>
        </w:rPr>
        <w:t>COMPETING INTERESTS</w:t>
      </w:r>
    </w:p>
    <w:p w14:paraId="68838C6E" w14:textId="117406EF" w:rsidR="00994B44" w:rsidRDefault="00994B44" w:rsidP="00994B44">
      <w:pPr>
        <w:spacing w:after="210" w:line="360" w:lineRule="auto"/>
        <w:jc w:val="both"/>
        <w:rPr>
          <w:rFonts w:ascii="Times New Roman" w:hAnsi="Times New Roman" w:cs="Times New Roman"/>
          <w:sz w:val="24"/>
          <w:szCs w:val="24"/>
        </w:rPr>
      </w:pPr>
      <w:r w:rsidRPr="00994B44">
        <w:rPr>
          <w:rFonts w:ascii="Times New Roman" w:hAnsi="Times New Roman" w:cs="Times New Roman"/>
          <w:sz w:val="24"/>
          <w:szCs w:val="24"/>
        </w:rPr>
        <w:t>Authors have declared that no competing interests exist.</w:t>
      </w:r>
    </w:p>
    <w:p w14:paraId="301A9D11" w14:textId="77777777" w:rsidR="00534DBE" w:rsidRDefault="00534DBE" w:rsidP="00994B44">
      <w:pPr>
        <w:spacing w:after="210" w:line="360" w:lineRule="auto"/>
        <w:jc w:val="both"/>
        <w:rPr>
          <w:rFonts w:ascii="Times New Roman" w:hAnsi="Times New Roman" w:cs="Times New Roman"/>
          <w:sz w:val="24"/>
          <w:szCs w:val="24"/>
        </w:rPr>
      </w:pPr>
    </w:p>
    <w:p w14:paraId="129ADCA6" w14:textId="77777777" w:rsidR="00A46310" w:rsidRPr="00AD4936" w:rsidRDefault="00B676CE" w:rsidP="00AD4936">
      <w:pPr>
        <w:spacing w:before="240" w:line="360" w:lineRule="auto"/>
        <w:jc w:val="both"/>
        <w:rPr>
          <w:rFonts w:ascii="Times New Roman" w:hAnsi="Times New Roman" w:cs="Times New Roman"/>
          <w:sz w:val="24"/>
          <w:szCs w:val="24"/>
        </w:rPr>
      </w:pPr>
      <w:bookmarkStart w:id="18" w:name="references"/>
      <w:r w:rsidRPr="00AD4936">
        <w:rPr>
          <w:rFonts w:ascii="Times New Roman" w:hAnsi="Times New Roman" w:cs="Times New Roman"/>
          <w:b/>
          <w:sz w:val="24"/>
          <w:szCs w:val="24"/>
        </w:rPr>
        <w:t>References</w:t>
      </w:r>
      <w:bookmarkEnd w:id="18"/>
    </w:p>
    <w:p w14:paraId="5F942B3C" w14:textId="03534BF1" w:rsidR="00BD321F"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[1] </w:t>
      </w:r>
      <w:proofErr w:type="spellStart"/>
      <w:r w:rsidR="00A60994" w:rsidRPr="00A60994">
        <w:rPr>
          <w:rFonts w:ascii="Times New Roman" w:hAnsi="Times New Roman" w:cs="Times New Roman"/>
          <w:sz w:val="24"/>
          <w:szCs w:val="24"/>
        </w:rPr>
        <w:t>Chungkham</w:t>
      </w:r>
      <w:proofErr w:type="spellEnd"/>
      <w:r w:rsidR="00A60994" w:rsidRPr="00A60994">
        <w:rPr>
          <w:rFonts w:ascii="Times New Roman" w:hAnsi="Times New Roman" w:cs="Times New Roman"/>
          <w:sz w:val="24"/>
          <w:szCs w:val="24"/>
        </w:rPr>
        <w:t xml:space="preserve">, D., Singh, S. R., Ram, D., &amp; </w:t>
      </w:r>
      <w:proofErr w:type="spellStart"/>
      <w:r w:rsidR="00A60994" w:rsidRPr="00A60994">
        <w:rPr>
          <w:rFonts w:ascii="Times New Roman" w:hAnsi="Times New Roman" w:cs="Times New Roman"/>
          <w:sz w:val="24"/>
          <w:szCs w:val="24"/>
        </w:rPr>
        <w:t>Leishangthem</w:t>
      </w:r>
      <w:proofErr w:type="spellEnd"/>
      <w:r w:rsidR="00A60994" w:rsidRPr="00A60994">
        <w:rPr>
          <w:rFonts w:ascii="Times New Roman" w:hAnsi="Times New Roman" w:cs="Times New Roman"/>
          <w:sz w:val="24"/>
          <w:szCs w:val="24"/>
        </w:rPr>
        <w:t xml:space="preserve">, B. S. (2025). Prospects of </w:t>
      </w:r>
      <w:proofErr w:type="spellStart"/>
      <w:r w:rsidR="00A60994" w:rsidRPr="00A60994">
        <w:rPr>
          <w:rFonts w:ascii="Times New Roman" w:hAnsi="Times New Roman" w:cs="Times New Roman"/>
          <w:sz w:val="24"/>
          <w:szCs w:val="24"/>
        </w:rPr>
        <w:t>agripreneurship</w:t>
      </w:r>
      <w:proofErr w:type="spellEnd"/>
      <w:r w:rsidR="00A60994" w:rsidRPr="00A60994">
        <w:rPr>
          <w:rFonts w:ascii="Times New Roman" w:hAnsi="Times New Roman" w:cs="Times New Roman"/>
          <w:sz w:val="24"/>
          <w:szCs w:val="24"/>
        </w:rPr>
        <w:t xml:space="preserve"> in Manipur, India. Journal of Scientific Research and Reports, 31(6), 1015–1032. </w:t>
      </w:r>
      <w:hyperlink r:id="rId9" w:history="1">
        <w:r w:rsidR="00A60994" w:rsidRPr="00CB4EA7">
          <w:rPr>
            <w:rStyle w:val="Hyperlink"/>
            <w:rFonts w:ascii="Times New Roman" w:hAnsi="Times New Roman" w:cs="Times New Roman"/>
            <w:sz w:val="24"/>
            <w:szCs w:val="24"/>
          </w:rPr>
          <w:t>https://doi.org/10.9734/jsrr/2025/v31i63194</w:t>
        </w:r>
      </w:hyperlink>
      <w:r w:rsidR="00A60994">
        <w:rPr>
          <w:rFonts w:ascii="Times New Roman" w:hAnsi="Times New Roman" w:cs="Times New Roman"/>
          <w:sz w:val="24"/>
          <w:szCs w:val="24"/>
        </w:rPr>
        <w:t xml:space="preserve"> </w:t>
      </w:r>
      <w:r w:rsidR="00BD321F">
        <w:rPr>
          <w:rFonts w:ascii="Times New Roman" w:hAnsi="Times New Roman" w:cs="Times New Roman"/>
          <w:sz w:val="24"/>
          <w:szCs w:val="24"/>
        </w:rPr>
        <w:t xml:space="preserve">. </w:t>
      </w:r>
      <w:r w:rsidR="00BD321F" w:rsidRPr="00BD321F">
        <w:rPr>
          <w:rFonts w:ascii="Times New Roman" w:hAnsi="Times New Roman" w:cs="Times New Roman"/>
          <w:sz w:val="24"/>
          <w:szCs w:val="24"/>
        </w:rPr>
        <w:t xml:space="preserve"> </w:t>
      </w:r>
    </w:p>
    <w:p w14:paraId="21D953FB" w14:textId="4B47EDF6"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[2] </w:t>
      </w:r>
      <w:proofErr w:type="spellStart"/>
      <w:r w:rsidR="00B92404" w:rsidRPr="00B92404">
        <w:rPr>
          <w:rFonts w:ascii="Times New Roman" w:hAnsi="Times New Roman" w:cs="Times New Roman"/>
          <w:sz w:val="24"/>
          <w:szCs w:val="24"/>
        </w:rPr>
        <w:t>Megaladevi</w:t>
      </w:r>
      <w:proofErr w:type="spellEnd"/>
      <w:r w:rsidR="00B92404" w:rsidRPr="00B92404">
        <w:rPr>
          <w:rFonts w:ascii="Times New Roman" w:hAnsi="Times New Roman" w:cs="Times New Roman"/>
          <w:sz w:val="24"/>
          <w:szCs w:val="24"/>
        </w:rPr>
        <w:t xml:space="preserve">, P., Malini, D. H., Nagi, M. S., Kumar, S. A. S., &amp; Muthukrishnan, B. (2024). Entrepreneurial Intentions among the Agricultural Graduates in Rural Location. In ORGANIZATION, PURPOSE, AND VALUES (1st ed., Vol. 1, pp. 456–468). Taylor &amp; Francis. </w:t>
      </w:r>
      <w:hyperlink r:id="rId10" w:history="1">
        <w:r w:rsidR="00B92404" w:rsidRPr="00CB4EA7">
          <w:rPr>
            <w:rStyle w:val="Hyperlink"/>
            <w:rFonts w:ascii="Times New Roman" w:hAnsi="Times New Roman" w:cs="Times New Roman"/>
            <w:sz w:val="24"/>
            <w:szCs w:val="24"/>
          </w:rPr>
          <w:t>https://doi.org/10.4324/9781003501374-34</w:t>
        </w:r>
      </w:hyperlink>
      <w:r w:rsidR="00B92404">
        <w:rPr>
          <w:rFonts w:ascii="Times New Roman" w:hAnsi="Times New Roman" w:cs="Times New Roman"/>
          <w:sz w:val="24"/>
          <w:szCs w:val="24"/>
        </w:rPr>
        <w:t xml:space="preserve"> </w:t>
      </w:r>
      <w:r w:rsidR="000E5A57">
        <w:rPr>
          <w:rFonts w:ascii="Times New Roman" w:hAnsi="Times New Roman" w:cs="Times New Roman"/>
          <w:sz w:val="24"/>
          <w:szCs w:val="24"/>
        </w:rPr>
        <w:t>.</w:t>
      </w:r>
    </w:p>
    <w:p w14:paraId="1FE0CA19" w14:textId="405EA481" w:rsidR="009D0225"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[3] </w:t>
      </w:r>
      <w:r w:rsidR="009003F6" w:rsidRPr="009003F6">
        <w:rPr>
          <w:rFonts w:ascii="Times New Roman" w:hAnsi="Times New Roman" w:cs="Times New Roman"/>
          <w:sz w:val="24"/>
          <w:szCs w:val="24"/>
        </w:rPr>
        <w:t xml:space="preserve">Condor, R. (2020). Entrepreneurship in agriculture: a literature review. International Journal of Entrepreneurship and Small Business, 40(4), 516-562. </w:t>
      </w:r>
      <w:hyperlink r:id="rId11" w:history="1">
        <w:r w:rsidR="009003F6" w:rsidRPr="00CB4EA7">
          <w:rPr>
            <w:rStyle w:val="Hyperlink"/>
            <w:rFonts w:ascii="Times New Roman" w:hAnsi="Times New Roman" w:cs="Times New Roman"/>
            <w:sz w:val="24"/>
            <w:szCs w:val="24"/>
          </w:rPr>
          <w:t>https://doi.org/10.1504/ijesb.2020.10031117</w:t>
        </w:r>
      </w:hyperlink>
      <w:r w:rsidR="009003F6">
        <w:rPr>
          <w:rFonts w:ascii="Times New Roman" w:hAnsi="Times New Roman" w:cs="Times New Roman"/>
          <w:sz w:val="24"/>
          <w:szCs w:val="24"/>
        </w:rPr>
        <w:t xml:space="preserve"> </w:t>
      </w:r>
      <w:r w:rsidR="009D0225">
        <w:rPr>
          <w:rFonts w:ascii="Times New Roman" w:hAnsi="Times New Roman" w:cs="Times New Roman"/>
          <w:sz w:val="24"/>
          <w:szCs w:val="24"/>
        </w:rPr>
        <w:t xml:space="preserve">. </w:t>
      </w:r>
      <w:r w:rsidR="009D0225" w:rsidRPr="009D0225">
        <w:rPr>
          <w:rFonts w:ascii="Times New Roman" w:hAnsi="Times New Roman" w:cs="Times New Roman"/>
          <w:sz w:val="24"/>
          <w:szCs w:val="24"/>
        </w:rPr>
        <w:t xml:space="preserve"> </w:t>
      </w:r>
    </w:p>
    <w:p w14:paraId="6C94623F" w14:textId="7A823554"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lastRenderedPageBreak/>
        <w:t xml:space="preserve">[4] </w:t>
      </w:r>
      <w:proofErr w:type="spellStart"/>
      <w:r w:rsidR="00A92EFC" w:rsidRPr="00A92EFC">
        <w:rPr>
          <w:rFonts w:ascii="Times New Roman" w:hAnsi="Times New Roman" w:cs="Times New Roman"/>
          <w:sz w:val="24"/>
          <w:szCs w:val="24"/>
        </w:rPr>
        <w:t>Laerkner</w:t>
      </w:r>
      <w:proofErr w:type="spellEnd"/>
      <w:r w:rsidR="00A92EFC" w:rsidRPr="00A92EFC">
        <w:rPr>
          <w:rFonts w:ascii="Times New Roman" w:hAnsi="Times New Roman" w:cs="Times New Roman"/>
          <w:sz w:val="24"/>
          <w:szCs w:val="24"/>
        </w:rPr>
        <w:t xml:space="preserve">, E., Egerod, I., &amp; Hansen, H. P. (2015). Nurses’ experiences of caring for critically ill, non-sedated, mechanically ventilated patients in the Intensive Care Unit: A qualitative study. Intensive and Critical Care Nursing. </w:t>
      </w:r>
      <w:hyperlink r:id="rId12" w:history="1">
        <w:r w:rsidR="00A92EFC" w:rsidRPr="00CB4EA7">
          <w:rPr>
            <w:rStyle w:val="Hyperlink"/>
            <w:rFonts w:ascii="Times New Roman" w:hAnsi="Times New Roman" w:cs="Times New Roman"/>
            <w:sz w:val="24"/>
            <w:szCs w:val="24"/>
          </w:rPr>
          <w:t>https://doi.org/10.1016/j.iccn.2015.01.005</w:t>
        </w:r>
      </w:hyperlink>
      <w:r w:rsidR="00A92EFC">
        <w:rPr>
          <w:rFonts w:ascii="Times New Roman" w:hAnsi="Times New Roman" w:cs="Times New Roman"/>
          <w:sz w:val="24"/>
          <w:szCs w:val="24"/>
        </w:rPr>
        <w:t xml:space="preserve"> </w:t>
      </w:r>
      <w:r w:rsidR="00364E3E">
        <w:rPr>
          <w:rFonts w:ascii="Times New Roman" w:hAnsi="Times New Roman" w:cs="Times New Roman"/>
          <w:sz w:val="24"/>
          <w:szCs w:val="24"/>
        </w:rPr>
        <w:t xml:space="preserve"> </w:t>
      </w:r>
    </w:p>
    <w:p w14:paraId="1389FD4E" w14:textId="5E308623"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[5] </w:t>
      </w:r>
      <w:r w:rsidR="0046580A" w:rsidRPr="0046580A">
        <w:rPr>
          <w:rFonts w:ascii="Times New Roman" w:hAnsi="Times New Roman" w:cs="Times New Roman"/>
          <w:sz w:val="24"/>
          <w:szCs w:val="24"/>
        </w:rPr>
        <w:t xml:space="preserve">Verheul, I., </w:t>
      </w:r>
      <w:proofErr w:type="spellStart"/>
      <w:r w:rsidR="0046580A" w:rsidRPr="0046580A">
        <w:rPr>
          <w:rFonts w:ascii="Times New Roman" w:hAnsi="Times New Roman" w:cs="Times New Roman"/>
          <w:sz w:val="24"/>
          <w:szCs w:val="24"/>
        </w:rPr>
        <w:t>Thurik</w:t>
      </w:r>
      <w:proofErr w:type="spellEnd"/>
      <w:r w:rsidR="0046580A" w:rsidRPr="0046580A">
        <w:rPr>
          <w:rFonts w:ascii="Times New Roman" w:hAnsi="Times New Roman" w:cs="Times New Roman"/>
          <w:sz w:val="24"/>
          <w:szCs w:val="24"/>
        </w:rPr>
        <w:t xml:space="preserve">, R., Grilo, I., &amp; Van Der Zwan, P. (2011). Explaining preferences and actual involvement in self-employment: Gender and the entrepreneurial personality. Journal of Economic Psychology, 33(2), 325–341. </w:t>
      </w:r>
      <w:hyperlink r:id="rId13" w:history="1">
        <w:r w:rsidR="0046580A" w:rsidRPr="00CB4EA7">
          <w:rPr>
            <w:rStyle w:val="Hyperlink"/>
            <w:rFonts w:ascii="Times New Roman" w:hAnsi="Times New Roman" w:cs="Times New Roman"/>
            <w:sz w:val="24"/>
            <w:szCs w:val="24"/>
          </w:rPr>
          <w:t>https://doi.org/10.1016/j.joep.2011.02.009</w:t>
        </w:r>
      </w:hyperlink>
      <w:r w:rsidR="0046580A">
        <w:rPr>
          <w:rFonts w:ascii="Times New Roman" w:hAnsi="Times New Roman" w:cs="Times New Roman"/>
          <w:sz w:val="24"/>
          <w:szCs w:val="24"/>
        </w:rPr>
        <w:t xml:space="preserve"> </w:t>
      </w:r>
      <w:r w:rsidR="000E0787">
        <w:rPr>
          <w:rFonts w:ascii="Times New Roman" w:hAnsi="Times New Roman" w:cs="Times New Roman"/>
          <w:sz w:val="24"/>
          <w:szCs w:val="24"/>
        </w:rPr>
        <w:t xml:space="preserve"> </w:t>
      </w:r>
    </w:p>
    <w:p w14:paraId="2FC75AE6" w14:textId="463D854A"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eastAsia="Georgia" w:hAnsi="Times New Roman" w:cs="Times New Roman"/>
          <w:sz w:val="24"/>
          <w:szCs w:val="24"/>
        </w:rPr>
        <w:t xml:space="preserve">[6] </w:t>
      </w:r>
      <w:r w:rsidR="00CA72EA" w:rsidRPr="00CA72EA">
        <w:rPr>
          <w:rFonts w:ascii="Times New Roman" w:eastAsia="Georgia" w:hAnsi="Times New Roman" w:cs="Times New Roman"/>
          <w:sz w:val="24"/>
          <w:szCs w:val="24"/>
        </w:rPr>
        <w:t xml:space="preserve">Pan, Y., Zhang, S., &amp; Zhang, M. (2024). The impact of entrepreneurship of farmers on agriculture and rural economic growth: Innovation-driven perspective. Innovation and Green Development, 3(1), 100093. </w:t>
      </w:r>
      <w:hyperlink r:id="rId14" w:history="1">
        <w:r w:rsidR="00CA72EA" w:rsidRPr="00CB4EA7">
          <w:rPr>
            <w:rStyle w:val="Hyperlink"/>
            <w:rFonts w:ascii="Times New Roman" w:eastAsia="Georgia" w:hAnsi="Times New Roman" w:cs="Times New Roman"/>
            <w:sz w:val="24"/>
            <w:szCs w:val="24"/>
          </w:rPr>
          <w:t>https://doi.org/10.1016/j.igd.2023.100093</w:t>
        </w:r>
      </w:hyperlink>
      <w:r w:rsidR="00CA72EA">
        <w:rPr>
          <w:rFonts w:ascii="Times New Roman" w:eastAsia="Georgia" w:hAnsi="Times New Roman" w:cs="Times New Roman"/>
          <w:sz w:val="24"/>
          <w:szCs w:val="24"/>
        </w:rPr>
        <w:t xml:space="preserve"> </w:t>
      </w:r>
      <w:r w:rsidR="00164D90">
        <w:rPr>
          <w:rFonts w:ascii="Times New Roman" w:eastAsia="Georgia" w:hAnsi="Times New Roman" w:cs="Times New Roman"/>
          <w:sz w:val="24"/>
          <w:szCs w:val="24"/>
        </w:rPr>
        <w:t xml:space="preserve"> </w:t>
      </w:r>
    </w:p>
    <w:p w14:paraId="0DF700ED" w14:textId="196248C1"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[7] </w:t>
      </w:r>
      <w:r w:rsidR="00ED7850" w:rsidRPr="00ED7850">
        <w:rPr>
          <w:rFonts w:ascii="Times New Roman" w:hAnsi="Times New Roman" w:cs="Times New Roman"/>
          <w:sz w:val="24"/>
          <w:szCs w:val="24"/>
        </w:rPr>
        <w:t xml:space="preserve">Neck, H. M., &amp; Greene, P. G. (2010). Entrepreneurship Education: Known Worlds and New Frontiers. Journal of Small Business Management, 49(1), 55–70. </w:t>
      </w:r>
      <w:hyperlink r:id="rId15" w:history="1">
        <w:r w:rsidR="00ED7850" w:rsidRPr="00CB4EA7">
          <w:rPr>
            <w:rStyle w:val="Hyperlink"/>
            <w:rFonts w:ascii="Times New Roman" w:hAnsi="Times New Roman" w:cs="Times New Roman"/>
            <w:sz w:val="24"/>
            <w:szCs w:val="24"/>
          </w:rPr>
          <w:t>https://doi.org/10.1111/j.1540-627X.2010.00314.x</w:t>
        </w:r>
      </w:hyperlink>
      <w:r w:rsidR="00ED7850">
        <w:rPr>
          <w:rFonts w:ascii="Times New Roman" w:hAnsi="Times New Roman" w:cs="Times New Roman"/>
          <w:sz w:val="24"/>
          <w:szCs w:val="24"/>
        </w:rPr>
        <w:t xml:space="preserve"> </w:t>
      </w:r>
      <w:r w:rsidR="00863C0C">
        <w:rPr>
          <w:rFonts w:ascii="Times New Roman" w:hAnsi="Times New Roman" w:cs="Times New Roman"/>
          <w:sz w:val="24"/>
          <w:szCs w:val="24"/>
        </w:rPr>
        <w:t xml:space="preserve"> </w:t>
      </w:r>
    </w:p>
    <w:p w14:paraId="57EB2FA1" w14:textId="3C4C4FBC" w:rsidR="00A46310" w:rsidRPr="00AD4936" w:rsidRDefault="00B676CE" w:rsidP="00AD4936">
      <w:pPr>
        <w:spacing w:after="210" w:line="360" w:lineRule="auto"/>
        <w:jc w:val="both"/>
        <w:rPr>
          <w:rFonts w:ascii="Times New Roman" w:hAnsi="Times New Roman" w:cs="Times New Roman"/>
          <w:sz w:val="24"/>
          <w:szCs w:val="24"/>
        </w:rPr>
      </w:pPr>
      <w:r w:rsidRPr="00AD4936">
        <w:rPr>
          <w:rFonts w:ascii="Times New Roman" w:hAnsi="Times New Roman" w:cs="Times New Roman"/>
          <w:sz w:val="24"/>
          <w:szCs w:val="24"/>
        </w:rPr>
        <w:t xml:space="preserve">[8] </w:t>
      </w:r>
      <w:r w:rsidR="00E2703C" w:rsidRPr="00E2703C">
        <w:rPr>
          <w:rFonts w:ascii="Times New Roman" w:hAnsi="Times New Roman" w:cs="Times New Roman"/>
          <w:sz w:val="24"/>
          <w:szCs w:val="24"/>
        </w:rPr>
        <w:t xml:space="preserve">United Nations. (2015). Transforming our world: The 2030 agenda for sustainable development. </w:t>
      </w:r>
      <w:hyperlink r:id="rId16" w:history="1">
        <w:r w:rsidR="00E2703C" w:rsidRPr="00CB4EA7">
          <w:rPr>
            <w:rStyle w:val="Hyperlink"/>
            <w:rFonts w:ascii="Times New Roman" w:hAnsi="Times New Roman" w:cs="Times New Roman"/>
            <w:sz w:val="24"/>
            <w:szCs w:val="24"/>
          </w:rPr>
          <w:t>https://sdgs.un.org/publications/transforming-our-world-2030-agenda-sustainable-development-17981</w:t>
        </w:r>
      </w:hyperlink>
      <w:r w:rsidR="00E2703C">
        <w:rPr>
          <w:rFonts w:ascii="Times New Roman" w:hAnsi="Times New Roman" w:cs="Times New Roman"/>
          <w:sz w:val="24"/>
          <w:szCs w:val="24"/>
        </w:rPr>
        <w:t xml:space="preserve"> </w:t>
      </w:r>
      <w:r w:rsidR="002E0011">
        <w:rPr>
          <w:rFonts w:ascii="Times New Roman" w:hAnsi="Times New Roman" w:cs="Times New Roman"/>
          <w:sz w:val="24"/>
          <w:szCs w:val="24"/>
        </w:rPr>
        <w:t xml:space="preserve"> </w:t>
      </w:r>
    </w:p>
    <w:sectPr w:rsidR="00A46310" w:rsidRPr="00AD4936" w:rsidSect="00AD4936">
      <w:headerReference w:type="even" r:id="rId17"/>
      <w:headerReference w:type="default" r:id="rId18"/>
      <w:footerReference w:type="even" r:id="rId19"/>
      <w:footerReference w:type="default" r:id="rId20"/>
      <w:headerReference w:type="first" r:id="rId21"/>
      <w:footerReference w:type="first" r:id="rId22"/>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14A6" w14:textId="77777777" w:rsidR="00E36CEA" w:rsidRDefault="00E36CEA" w:rsidP="00110E21">
      <w:pPr>
        <w:spacing w:after="0" w:line="240" w:lineRule="auto"/>
      </w:pPr>
      <w:r>
        <w:separator/>
      </w:r>
    </w:p>
  </w:endnote>
  <w:endnote w:type="continuationSeparator" w:id="0">
    <w:p w14:paraId="5D238C3D" w14:textId="77777777" w:rsidR="00E36CEA" w:rsidRDefault="00E36CEA" w:rsidP="0011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A214" w14:textId="77777777" w:rsidR="00110E21" w:rsidRDefault="00110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A745" w14:textId="77777777" w:rsidR="00110E21" w:rsidRDefault="00110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9B5E" w14:textId="77777777" w:rsidR="00110E21" w:rsidRDefault="00110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F69EC" w14:textId="77777777" w:rsidR="00E36CEA" w:rsidRDefault="00E36CEA" w:rsidP="00110E21">
      <w:pPr>
        <w:spacing w:after="0" w:line="240" w:lineRule="auto"/>
      </w:pPr>
      <w:r>
        <w:separator/>
      </w:r>
    </w:p>
  </w:footnote>
  <w:footnote w:type="continuationSeparator" w:id="0">
    <w:p w14:paraId="17C5A24E" w14:textId="77777777" w:rsidR="00E36CEA" w:rsidRDefault="00E36CEA" w:rsidP="00110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1B3F" w14:textId="179531AE" w:rsidR="00110E21" w:rsidRDefault="00000000">
    <w:pPr>
      <w:pStyle w:val="Header"/>
    </w:pPr>
    <w:r>
      <w:rPr>
        <w:noProof/>
      </w:rPr>
      <w:pict w14:anchorId="03DED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68672" o:spid="_x0000_s1026" type="#_x0000_t136" style="position:absolute;margin-left:0;margin-top:0;width:598.75pt;height:64.05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F6EC" w14:textId="73934CA8" w:rsidR="00110E21" w:rsidRDefault="00000000">
    <w:pPr>
      <w:pStyle w:val="Header"/>
    </w:pPr>
    <w:r>
      <w:rPr>
        <w:noProof/>
      </w:rPr>
      <w:pict w14:anchorId="52ADE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68673" o:spid="_x0000_s1027" type="#_x0000_t136" style="position:absolute;margin-left:0;margin-top:0;width:598.75pt;height:64.05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6C74" w14:textId="673527A2" w:rsidR="00110E21" w:rsidRDefault="00000000">
    <w:pPr>
      <w:pStyle w:val="Header"/>
    </w:pPr>
    <w:r>
      <w:rPr>
        <w:noProof/>
      </w:rPr>
      <w:pict w14:anchorId="7717C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68671" o:spid="_x0000_s1025" type="#_x0000_t136" style="position:absolute;margin-left:0;margin-top:0;width:598.75pt;height:64.05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478"/>
    <w:multiLevelType w:val="hybridMultilevel"/>
    <w:tmpl w:val="4218048C"/>
    <w:lvl w:ilvl="0" w:tplc="19F073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E1128"/>
    <w:multiLevelType w:val="hybridMultilevel"/>
    <w:tmpl w:val="D9DEB13C"/>
    <w:lvl w:ilvl="0" w:tplc="F1E2F5BA">
      <w:start w:val="1"/>
      <w:numFmt w:val="decimal"/>
      <w:lvlText w:val="%1."/>
      <w:lvlJc w:val="left"/>
      <w:pPr>
        <w:tabs>
          <w:tab w:val="num" w:pos="1080"/>
        </w:tabs>
        <w:ind w:left="720" w:hanging="360"/>
      </w:pPr>
    </w:lvl>
    <w:lvl w:ilvl="1" w:tplc="A5E83606">
      <w:numFmt w:val="decimal"/>
      <w:lvlText w:val=""/>
      <w:lvlJc w:val="left"/>
    </w:lvl>
    <w:lvl w:ilvl="2" w:tplc="E364F858">
      <w:numFmt w:val="decimal"/>
      <w:lvlText w:val=""/>
      <w:lvlJc w:val="left"/>
    </w:lvl>
    <w:lvl w:ilvl="3" w:tplc="06427008">
      <w:numFmt w:val="decimal"/>
      <w:lvlText w:val=""/>
      <w:lvlJc w:val="left"/>
    </w:lvl>
    <w:lvl w:ilvl="4" w:tplc="5F20AE92">
      <w:numFmt w:val="decimal"/>
      <w:lvlText w:val=""/>
      <w:lvlJc w:val="left"/>
    </w:lvl>
    <w:lvl w:ilvl="5" w:tplc="8CB0DBB2">
      <w:numFmt w:val="decimal"/>
      <w:lvlText w:val=""/>
      <w:lvlJc w:val="left"/>
    </w:lvl>
    <w:lvl w:ilvl="6" w:tplc="F74004F6">
      <w:numFmt w:val="decimal"/>
      <w:lvlText w:val=""/>
      <w:lvlJc w:val="left"/>
    </w:lvl>
    <w:lvl w:ilvl="7" w:tplc="D0A60D54">
      <w:numFmt w:val="decimal"/>
      <w:lvlText w:val=""/>
      <w:lvlJc w:val="left"/>
    </w:lvl>
    <w:lvl w:ilvl="8" w:tplc="A442F148">
      <w:numFmt w:val="decimal"/>
      <w:lvlText w:val=""/>
      <w:lvlJc w:val="left"/>
    </w:lvl>
  </w:abstractNum>
  <w:abstractNum w:abstractNumId="2" w15:restartNumberingAfterBreak="0">
    <w:nsid w:val="0B5325B3"/>
    <w:multiLevelType w:val="hybridMultilevel"/>
    <w:tmpl w:val="1D3E46E0"/>
    <w:lvl w:ilvl="0" w:tplc="4C163EC4">
      <w:start w:val="1"/>
      <w:numFmt w:val="decimal"/>
      <w:lvlText w:val="%1."/>
      <w:lvlJc w:val="left"/>
      <w:pPr>
        <w:tabs>
          <w:tab w:val="num" w:pos="1080"/>
        </w:tabs>
        <w:ind w:left="720" w:hanging="360"/>
      </w:pPr>
    </w:lvl>
    <w:lvl w:ilvl="1" w:tplc="6F7E8FD0">
      <w:numFmt w:val="decimal"/>
      <w:lvlText w:val=""/>
      <w:lvlJc w:val="left"/>
    </w:lvl>
    <w:lvl w:ilvl="2" w:tplc="C4627734">
      <w:numFmt w:val="decimal"/>
      <w:lvlText w:val=""/>
      <w:lvlJc w:val="left"/>
    </w:lvl>
    <w:lvl w:ilvl="3" w:tplc="646055E0">
      <w:numFmt w:val="decimal"/>
      <w:lvlText w:val=""/>
      <w:lvlJc w:val="left"/>
    </w:lvl>
    <w:lvl w:ilvl="4" w:tplc="FB92DA26">
      <w:numFmt w:val="decimal"/>
      <w:lvlText w:val=""/>
      <w:lvlJc w:val="left"/>
    </w:lvl>
    <w:lvl w:ilvl="5" w:tplc="A79A5A3C">
      <w:numFmt w:val="decimal"/>
      <w:lvlText w:val=""/>
      <w:lvlJc w:val="left"/>
    </w:lvl>
    <w:lvl w:ilvl="6" w:tplc="2F88C682">
      <w:numFmt w:val="decimal"/>
      <w:lvlText w:val=""/>
      <w:lvlJc w:val="left"/>
    </w:lvl>
    <w:lvl w:ilvl="7" w:tplc="1A3CAFEE">
      <w:numFmt w:val="decimal"/>
      <w:lvlText w:val=""/>
      <w:lvlJc w:val="left"/>
    </w:lvl>
    <w:lvl w:ilvl="8" w:tplc="B8E6C8C8">
      <w:numFmt w:val="decimal"/>
      <w:lvlText w:val=""/>
      <w:lvlJc w:val="left"/>
    </w:lvl>
  </w:abstractNum>
  <w:abstractNum w:abstractNumId="3" w15:restartNumberingAfterBreak="0">
    <w:nsid w:val="0F9B5E3A"/>
    <w:multiLevelType w:val="hybridMultilevel"/>
    <w:tmpl w:val="EA8E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E0544"/>
    <w:multiLevelType w:val="hybridMultilevel"/>
    <w:tmpl w:val="84A88ED6"/>
    <w:lvl w:ilvl="0" w:tplc="48287960">
      <w:start w:val="1"/>
      <w:numFmt w:val="decimal"/>
      <w:lvlText w:val="%1."/>
      <w:lvlJc w:val="left"/>
      <w:pPr>
        <w:tabs>
          <w:tab w:val="num" w:pos="1080"/>
        </w:tabs>
        <w:ind w:left="720" w:hanging="360"/>
      </w:pPr>
    </w:lvl>
    <w:lvl w:ilvl="1" w:tplc="C7467C1E">
      <w:numFmt w:val="decimal"/>
      <w:lvlText w:val=""/>
      <w:lvlJc w:val="left"/>
    </w:lvl>
    <w:lvl w:ilvl="2" w:tplc="1E108D02">
      <w:numFmt w:val="decimal"/>
      <w:lvlText w:val=""/>
      <w:lvlJc w:val="left"/>
    </w:lvl>
    <w:lvl w:ilvl="3" w:tplc="03542424">
      <w:numFmt w:val="decimal"/>
      <w:lvlText w:val=""/>
      <w:lvlJc w:val="left"/>
    </w:lvl>
    <w:lvl w:ilvl="4" w:tplc="C09A8E6C">
      <w:numFmt w:val="decimal"/>
      <w:lvlText w:val=""/>
      <w:lvlJc w:val="left"/>
    </w:lvl>
    <w:lvl w:ilvl="5" w:tplc="3EDE36C2">
      <w:numFmt w:val="decimal"/>
      <w:lvlText w:val=""/>
      <w:lvlJc w:val="left"/>
    </w:lvl>
    <w:lvl w:ilvl="6" w:tplc="2B304AB8">
      <w:numFmt w:val="decimal"/>
      <w:lvlText w:val=""/>
      <w:lvlJc w:val="left"/>
    </w:lvl>
    <w:lvl w:ilvl="7" w:tplc="024434F0">
      <w:numFmt w:val="decimal"/>
      <w:lvlText w:val=""/>
      <w:lvlJc w:val="left"/>
    </w:lvl>
    <w:lvl w:ilvl="8" w:tplc="216C878A">
      <w:numFmt w:val="decimal"/>
      <w:lvlText w:val=""/>
      <w:lvlJc w:val="left"/>
    </w:lvl>
  </w:abstractNum>
  <w:abstractNum w:abstractNumId="5" w15:restartNumberingAfterBreak="0">
    <w:nsid w:val="2DE27146"/>
    <w:multiLevelType w:val="hybridMultilevel"/>
    <w:tmpl w:val="ABBC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8239D"/>
    <w:multiLevelType w:val="hybridMultilevel"/>
    <w:tmpl w:val="DD78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B15E4"/>
    <w:multiLevelType w:val="hybridMultilevel"/>
    <w:tmpl w:val="1BCA87DC"/>
    <w:lvl w:ilvl="0" w:tplc="88F81E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B520B"/>
    <w:multiLevelType w:val="hybridMultilevel"/>
    <w:tmpl w:val="54FE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F042C"/>
    <w:multiLevelType w:val="multilevel"/>
    <w:tmpl w:val="9A6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762FA"/>
    <w:multiLevelType w:val="hybridMultilevel"/>
    <w:tmpl w:val="BC0EFE26"/>
    <w:lvl w:ilvl="0" w:tplc="9F9469D8">
      <w:start w:val="1"/>
      <w:numFmt w:val="decimal"/>
      <w:lvlText w:val="%1."/>
      <w:lvlJc w:val="left"/>
      <w:pPr>
        <w:tabs>
          <w:tab w:val="num" w:pos="1080"/>
        </w:tabs>
        <w:ind w:left="720" w:hanging="360"/>
      </w:pPr>
    </w:lvl>
    <w:lvl w:ilvl="1" w:tplc="DFEAAD40">
      <w:numFmt w:val="decimal"/>
      <w:lvlText w:val=""/>
      <w:lvlJc w:val="left"/>
    </w:lvl>
    <w:lvl w:ilvl="2" w:tplc="0BD09660">
      <w:numFmt w:val="decimal"/>
      <w:lvlText w:val=""/>
      <w:lvlJc w:val="left"/>
    </w:lvl>
    <w:lvl w:ilvl="3" w:tplc="491AD1D4">
      <w:numFmt w:val="decimal"/>
      <w:lvlText w:val=""/>
      <w:lvlJc w:val="left"/>
    </w:lvl>
    <w:lvl w:ilvl="4" w:tplc="363CF0BE">
      <w:numFmt w:val="decimal"/>
      <w:lvlText w:val=""/>
      <w:lvlJc w:val="left"/>
    </w:lvl>
    <w:lvl w:ilvl="5" w:tplc="2760F488">
      <w:numFmt w:val="decimal"/>
      <w:lvlText w:val=""/>
      <w:lvlJc w:val="left"/>
    </w:lvl>
    <w:lvl w:ilvl="6" w:tplc="AFD062CA">
      <w:numFmt w:val="decimal"/>
      <w:lvlText w:val=""/>
      <w:lvlJc w:val="left"/>
    </w:lvl>
    <w:lvl w:ilvl="7" w:tplc="7E7E0D7E">
      <w:numFmt w:val="decimal"/>
      <w:lvlText w:val=""/>
      <w:lvlJc w:val="left"/>
    </w:lvl>
    <w:lvl w:ilvl="8" w:tplc="D5C0C178">
      <w:numFmt w:val="decimal"/>
      <w:lvlText w:val=""/>
      <w:lvlJc w:val="left"/>
    </w:lvl>
  </w:abstractNum>
  <w:abstractNum w:abstractNumId="11" w15:restartNumberingAfterBreak="0">
    <w:nsid w:val="5DBD6539"/>
    <w:multiLevelType w:val="hybridMultilevel"/>
    <w:tmpl w:val="2BC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A73991"/>
    <w:multiLevelType w:val="hybridMultilevel"/>
    <w:tmpl w:val="39ACF744"/>
    <w:lvl w:ilvl="0" w:tplc="AE440A30">
      <w:start w:val="1"/>
      <w:numFmt w:val="decimal"/>
      <w:lvlText w:val="%1."/>
      <w:lvlJc w:val="left"/>
      <w:pPr>
        <w:tabs>
          <w:tab w:val="num" w:pos="1080"/>
        </w:tabs>
        <w:ind w:left="720" w:hanging="360"/>
      </w:pPr>
    </w:lvl>
    <w:lvl w:ilvl="1" w:tplc="41C0BA70">
      <w:numFmt w:val="decimal"/>
      <w:lvlText w:val=""/>
      <w:lvlJc w:val="left"/>
    </w:lvl>
    <w:lvl w:ilvl="2" w:tplc="12E641CA">
      <w:numFmt w:val="decimal"/>
      <w:lvlText w:val=""/>
      <w:lvlJc w:val="left"/>
    </w:lvl>
    <w:lvl w:ilvl="3" w:tplc="549EAC18">
      <w:numFmt w:val="decimal"/>
      <w:lvlText w:val=""/>
      <w:lvlJc w:val="left"/>
    </w:lvl>
    <w:lvl w:ilvl="4" w:tplc="94609428">
      <w:numFmt w:val="decimal"/>
      <w:lvlText w:val=""/>
      <w:lvlJc w:val="left"/>
    </w:lvl>
    <w:lvl w:ilvl="5" w:tplc="3238E040">
      <w:numFmt w:val="decimal"/>
      <w:lvlText w:val=""/>
      <w:lvlJc w:val="left"/>
    </w:lvl>
    <w:lvl w:ilvl="6" w:tplc="7DF6EE2A">
      <w:numFmt w:val="decimal"/>
      <w:lvlText w:val=""/>
      <w:lvlJc w:val="left"/>
    </w:lvl>
    <w:lvl w:ilvl="7" w:tplc="5FC6A68E">
      <w:numFmt w:val="decimal"/>
      <w:lvlText w:val=""/>
      <w:lvlJc w:val="left"/>
    </w:lvl>
    <w:lvl w:ilvl="8" w:tplc="0BE6E5DA">
      <w:numFmt w:val="decimal"/>
      <w:lvlText w:val=""/>
      <w:lvlJc w:val="left"/>
    </w:lvl>
  </w:abstractNum>
  <w:num w:numId="1" w16cid:durableId="1717850520">
    <w:abstractNumId w:val="2"/>
  </w:num>
  <w:num w:numId="2" w16cid:durableId="40252550">
    <w:abstractNumId w:val="1"/>
  </w:num>
  <w:num w:numId="3" w16cid:durableId="1599630304">
    <w:abstractNumId w:val="10"/>
  </w:num>
  <w:num w:numId="4" w16cid:durableId="710612484">
    <w:abstractNumId w:val="12"/>
  </w:num>
  <w:num w:numId="5" w16cid:durableId="536238193">
    <w:abstractNumId w:val="4"/>
  </w:num>
  <w:num w:numId="6" w16cid:durableId="249508418">
    <w:abstractNumId w:val="8"/>
  </w:num>
  <w:num w:numId="7" w16cid:durableId="1794908218">
    <w:abstractNumId w:val="0"/>
  </w:num>
  <w:num w:numId="8" w16cid:durableId="1227109840">
    <w:abstractNumId w:val="5"/>
  </w:num>
  <w:num w:numId="9" w16cid:durableId="369957300">
    <w:abstractNumId w:val="7"/>
  </w:num>
  <w:num w:numId="10" w16cid:durableId="804853668">
    <w:abstractNumId w:val="6"/>
  </w:num>
  <w:num w:numId="11" w16cid:durableId="1571427896">
    <w:abstractNumId w:val="3"/>
  </w:num>
  <w:num w:numId="12" w16cid:durableId="979262068">
    <w:abstractNumId w:val="9"/>
  </w:num>
  <w:num w:numId="13" w16cid:durableId="17048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310"/>
    <w:rsid w:val="00072CFD"/>
    <w:rsid w:val="000925B3"/>
    <w:rsid w:val="000A099C"/>
    <w:rsid w:val="000A6E9D"/>
    <w:rsid w:val="000B1940"/>
    <w:rsid w:val="000E0787"/>
    <w:rsid w:val="000E5A57"/>
    <w:rsid w:val="000F1935"/>
    <w:rsid w:val="00110E21"/>
    <w:rsid w:val="001127FE"/>
    <w:rsid w:val="00141F7C"/>
    <w:rsid w:val="00155FFA"/>
    <w:rsid w:val="00164D90"/>
    <w:rsid w:val="00187BEB"/>
    <w:rsid w:val="001A3EEE"/>
    <w:rsid w:val="001E6A2C"/>
    <w:rsid w:val="00247A98"/>
    <w:rsid w:val="0027044D"/>
    <w:rsid w:val="002A32C1"/>
    <w:rsid w:val="002C6831"/>
    <w:rsid w:val="002E0011"/>
    <w:rsid w:val="003101FA"/>
    <w:rsid w:val="00364E3E"/>
    <w:rsid w:val="00436E46"/>
    <w:rsid w:val="0046580A"/>
    <w:rsid w:val="00490069"/>
    <w:rsid w:val="004A0086"/>
    <w:rsid w:val="004A7829"/>
    <w:rsid w:val="004C2C1B"/>
    <w:rsid w:val="004C78B0"/>
    <w:rsid w:val="00534DBE"/>
    <w:rsid w:val="005866A5"/>
    <w:rsid w:val="00621E88"/>
    <w:rsid w:val="00642BDB"/>
    <w:rsid w:val="006A1323"/>
    <w:rsid w:val="006F3917"/>
    <w:rsid w:val="00770217"/>
    <w:rsid w:val="007A7FF6"/>
    <w:rsid w:val="007D22C5"/>
    <w:rsid w:val="007D4E82"/>
    <w:rsid w:val="0081075A"/>
    <w:rsid w:val="00860676"/>
    <w:rsid w:val="00863C0C"/>
    <w:rsid w:val="00885337"/>
    <w:rsid w:val="009003F6"/>
    <w:rsid w:val="009019DC"/>
    <w:rsid w:val="009063EF"/>
    <w:rsid w:val="00917130"/>
    <w:rsid w:val="00935021"/>
    <w:rsid w:val="00994B44"/>
    <w:rsid w:val="009D0225"/>
    <w:rsid w:val="009D27E7"/>
    <w:rsid w:val="00A06497"/>
    <w:rsid w:val="00A070EB"/>
    <w:rsid w:val="00A46310"/>
    <w:rsid w:val="00A60994"/>
    <w:rsid w:val="00A733D3"/>
    <w:rsid w:val="00A92EFC"/>
    <w:rsid w:val="00AA4561"/>
    <w:rsid w:val="00AA7950"/>
    <w:rsid w:val="00AD4936"/>
    <w:rsid w:val="00B676CE"/>
    <w:rsid w:val="00B80AE9"/>
    <w:rsid w:val="00B92404"/>
    <w:rsid w:val="00B965A8"/>
    <w:rsid w:val="00BB4503"/>
    <w:rsid w:val="00BD321F"/>
    <w:rsid w:val="00C0521F"/>
    <w:rsid w:val="00C75519"/>
    <w:rsid w:val="00C83E0A"/>
    <w:rsid w:val="00CA72EA"/>
    <w:rsid w:val="00CB10D4"/>
    <w:rsid w:val="00CC6F99"/>
    <w:rsid w:val="00DB57B6"/>
    <w:rsid w:val="00DB6F70"/>
    <w:rsid w:val="00E25B15"/>
    <w:rsid w:val="00E2703C"/>
    <w:rsid w:val="00E36CEA"/>
    <w:rsid w:val="00E74CD6"/>
    <w:rsid w:val="00ED57BD"/>
    <w:rsid w:val="00ED7850"/>
    <w:rsid w:val="00EF74E8"/>
    <w:rsid w:val="00F6502B"/>
    <w:rsid w:val="00FE4F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BB2A"/>
  <w15:docId w15:val="{61ACD20B-03FF-4326-910C-8AAF5536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table" w:styleId="TableGrid">
    <w:name w:val="Table Grid"/>
    <w:basedOn w:val="TableNormal"/>
    <w:uiPriority w:val="39"/>
    <w:rsid w:val="000A099C"/>
    <w:pPr>
      <w:spacing w:after="0" w:line="240" w:lineRule="auto"/>
    </w:pPr>
    <w:rPr>
      <w:rFonts w:asciiTheme="minorHAnsi"/>
      <w:kern w:val="2"/>
      <w:sz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7B6"/>
    <w:pPr>
      <w:ind w:left="720"/>
      <w:contextualSpacing/>
    </w:pPr>
  </w:style>
  <w:style w:type="character" w:styleId="Hyperlink">
    <w:name w:val="Hyperlink"/>
    <w:basedOn w:val="DefaultParagraphFont"/>
    <w:uiPriority w:val="99"/>
    <w:unhideWhenUsed/>
    <w:rsid w:val="00BD321F"/>
    <w:rPr>
      <w:color w:val="0563C1" w:themeColor="hyperlink"/>
      <w:u w:val="single"/>
    </w:rPr>
  </w:style>
  <w:style w:type="character" w:customStyle="1" w:styleId="UnresolvedMention1">
    <w:name w:val="Unresolved Mention1"/>
    <w:basedOn w:val="DefaultParagraphFont"/>
    <w:uiPriority w:val="99"/>
    <w:semiHidden/>
    <w:unhideWhenUsed/>
    <w:rsid w:val="00BD321F"/>
    <w:rPr>
      <w:color w:val="605E5C"/>
      <w:shd w:val="clear" w:color="auto" w:fill="E1DFDD"/>
    </w:rPr>
  </w:style>
  <w:style w:type="paragraph" w:styleId="Header">
    <w:name w:val="header"/>
    <w:basedOn w:val="Normal"/>
    <w:link w:val="HeaderChar"/>
    <w:uiPriority w:val="99"/>
    <w:unhideWhenUsed/>
    <w:rsid w:val="00110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E21"/>
  </w:style>
  <w:style w:type="paragraph" w:styleId="Footer">
    <w:name w:val="footer"/>
    <w:basedOn w:val="Normal"/>
    <w:link w:val="FooterChar"/>
    <w:uiPriority w:val="99"/>
    <w:unhideWhenUsed/>
    <w:rsid w:val="00110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joep.2011.02.00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016/j.iccn.2015.01.00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dgs.un.org/publications/transforming-our-world-2030-agenda-sustainable-development-1798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04/ijesb.2020.1003111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j.1540-627X.2010.00314.x" TargetMode="External"/><Relationship Id="rId23" Type="http://schemas.openxmlformats.org/officeDocument/2006/relationships/fontTable" Target="fontTable.xml"/><Relationship Id="rId10" Type="http://schemas.openxmlformats.org/officeDocument/2006/relationships/hyperlink" Target="https://doi.org/10.4324/9781003501374-3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9734/jsrr/2025/v31i63194" TargetMode="External"/><Relationship Id="rId14" Type="http://schemas.openxmlformats.org/officeDocument/2006/relationships/hyperlink" Target="https://doi.org/10.1016/j.igd.2023.10009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19</Pages>
  <Words>5344</Words>
  <Characters>30467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sonamniharika@gmail.com</cp:lastModifiedBy>
  <cp:revision>79</cp:revision>
  <dcterms:created xsi:type="dcterms:W3CDTF">2025-12-05T12:09:00Z</dcterms:created>
  <dcterms:modified xsi:type="dcterms:W3CDTF">2025-12-09T10:05:00Z</dcterms:modified>
</cp:coreProperties>
</file>