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B172" w14:textId="6A9EF3D2" w:rsidR="00754C9A" w:rsidRDefault="00C67606" w:rsidP="00441B6F">
      <w:pPr>
        <w:pStyle w:val="Title"/>
        <w:spacing w:after="0"/>
        <w:jc w:val="both"/>
        <w:rPr>
          <w:rFonts w:ascii="Arial" w:hAnsi="Arial" w:cs="Arial"/>
        </w:rPr>
      </w:pPr>
      <w:r w:rsidRPr="00C67606">
        <w:rPr>
          <w:rFonts w:ascii="Arial" w:hAnsi="Arial" w:cs="Arial"/>
        </w:rPr>
        <w:t>Original Research Article</w:t>
      </w:r>
    </w:p>
    <w:p w14:paraId="22795FF5" w14:textId="77777777" w:rsidR="00C67606" w:rsidRDefault="00C67606" w:rsidP="00441B6F">
      <w:pPr>
        <w:pStyle w:val="Title"/>
        <w:spacing w:after="0"/>
        <w:jc w:val="both"/>
        <w:rPr>
          <w:rFonts w:ascii="Arial" w:hAnsi="Arial" w:cs="Arial"/>
        </w:rPr>
      </w:pPr>
    </w:p>
    <w:p w14:paraId="115D623F" w14:textId="77777777" w:rsidR="00163BC4" w:rsidRPr="00163BC4" w:rsidRDefault="0056787F" w:rsidP="00441B6F">
      <w:pPr>
        <w:pStyle w:val="Author"/>
        <w:spacing w:line="240" w:lineRule="auto"/>
        <w:rPr>
          <w:rFonts w:ascii="Arial" w:hAnsi="Arial" w:cs="Arial"/>
          <w:bCs/>
          <w:iCs/>
          <w:kern w:val="28"/>
          <w:sz w:val="36"/>
        </w:rPr>
      </w:pPr>
      <w:commentRangeStart w:id="0"/>
      <w:r w:rsidRPr="0056787F">
        <w:rPr>
          <w:rFonts w:ascii="Arial" w:hAnsi="Arial" w:cs="Arial"/>
          <w:bCs/>
          <w:iCs/>
          <w:kern w:val="28"/>
          <w:sz w:val="36"/>
        </w:rPr>
        <w:t xml:space="preserve">Distribution of root biomass in the parklands of </w:t>
      </w:r>
      <w:commentRangeStart w:id="1"/>
      <w:r w:rsidRPr="0050535E">
        <w:rPr>
          <w:rFonts w:ascii="Arial" w:hAnsi="Arial" w:cs="Arial"/>
          <w:bCs/>
          <w:iCs/>
          <w:kern w:val="28"/>
          <w:sz w:val="36"/>
        </w:rPr>
        <w:t xml:space="preserve">Vitellaria </w:t>
      </w:r>
      <w:proofErr w:type="spellStart"/>
      <w:r w:rsidRPr="0050535E">
        <w:rPr>
          <w:rFonts w:ascii="Arial" w:hAnsi="Arial" w:cs="Arial"/>
          <w:bCs/>
          <w:iCs/>
          <w:kern w:val="28"/>
          <w:sz w:val="36"/>
        </w:rPr>
        <w:t>paradoxa</w:t>
      </w:r>
      <w:commentRangeEnd w:id="1"/>
      <w:proofErr w:type="spellEnd"/>
      <w:r w:rsidR="0050535E" w:rsidRPr="0050535E">
        <w:rPr>
          <w:rStyle w:val="CommentReference"/>
          <w:rFonts w:ascii="Times New Roman" w:hAnsi="Times New Roman"/>
          <w:b w:val="0"/>
          <w:lang w:val="nb-NO" w:eastAsia="nb-NO"/>
        </w:rPr>
        <w:commentReference w:id="1"/>
      </w:r>
      <w:r w:rsidRPr="0056787F">
        <w:rPr>
          <w:rFonts w:ascii="Arial" w:hAnsi="Arial" w:cs="Arial"/>
          <w:bCs/>
          <w:iCs/>
          <w:kern w:val="28"/>
          <w:sz w:val="36"/>
        </w:rPr>
        <w:t xml:space="preserve"> C. F. </w:t>
      </w:r>
      <w:proofErr w:type="spellStart"/>
      <w:r w:rsidRPr="0056787F">
        <w:rPr>
          <w:rFonts w:ascii="Arial" w:hAnsi="Arial" w:cs="Arial"/>
          <w:bCs/>
          <w:iCs/>
          <w:kern w:val="28"/>
          <w:sz w:val="36"/>
        </w:rPr>
        <w:t>Gaertn</w:t>
      </w:r>
      <w:proofErr w:type="spellEnd"/>
      <w:r w:rsidRPr="0056787F">
        <w:rPr>
          <w:rFonts w:ascii="Arial" w:hAnsi="Arial" w:cs="Arial"/>
          <w:bCs/>
          <w:iCs/>
          <w:kern w:val="28"/>
          <w:sz w:val="36"/>
        </w:rPr>
        <w:t xml:space="preserve"> (SHEA) of the southern Sudanese zone in Burkina Faso</w:t>
      </w:r>
      <w:r w:rsidR="00231920">
        <w:rPr>
          <w:rFonts w:ascii="Arial" w:hAnsi="Arial" w:cs="Arial"/>
          <w:bCs/>
          <w:iCs/>
          <w:kern w:val="28"/>
          <w:sz w:val="36"/>
        </w:rPr>
        <w:t xml:space="preserve"> </w:t>
      </w:r>
      <w:commentRangeEnd w:id="0"/>
      <w:r w:rsidR="00A05DAF">
        <w:rPr>
          <w:rStyle w:val="CommentReference"/>
          <w:rFonts w:ascii="Times New Roman" w:hAnsi="Times New Roman"/>
          <w:b w:val="0"/>
          <w:lang w:val="nb-NO" w:eastAsia="nb-NO"/>
        </w:rPr>
        <w:commentReference w:id="0"/>
      </w:r>
    </w:p>
    <w:p w14:paraId="468EB9DE" w14:textId="77777777" w:rsidR="00A258C3" w:rsidRPr="00790ADA" w:rsidRDefault="00A258C3" w:rsidP="00441B6F">
      <w:pPr>
        <w:pStyle w:val="Author"/>
        <w:spacing w:line="240" w:lineRule="auto"/>
        <w:jc w:val="both"/>
        <w:rPr>
          <w:rFonts w:ascii="Arial" w:hAnsi="Arial" w:cs="Arial"/>
          <w:sz w:val="36"/>
        </w:rPr>
      </w:pPr>
    </w:p>
    <w:p w14:paraId="372F7644" w14:textId="77777777" w:rsidR="002C57D2" w:rsidRPr="0056787F" w:rsidRDefault="002C57D2" w:rsidP="00441B6F">
      <w:pPr>
        <w:pStyle w:val="Affiliation"/>
        <w:spacing w:after="0" w:line="240" w:lineRule="auto"/>
        <w:jc w:val="both"/>
        <w:rPr>
          <w:rFonts w:ascii="Arial" w:hAnsi="Arial" w:cs="Arial"/>
          <w:lang w:val="fr-FR"/>
        </w:rPr>
      </w:pPr>
    </w:p>
    <w:p w14:paraId="32D8CE2B" w14:textId="77777777" w:rsidR="00B01FCD" w:rsidRPr="00FB3A86" w:rsidRDefault="008C2608" w:rsidP="00441B6F">
      <w:pPr>
        <w:pStyle w:val="Copyright"/>
        <w:spacing w:after="0" w:line="240" w:lineRule="auto"/>
        <w:jc w:val="both"/>
        <w:rPr>
          <w:rFonts w:ascii="Arial" w:hAnsi="Arial" w:cs="Arial"/>
        </w:rPr>
        <w:sectPr w:rsidR="00B01FCD" w:rsidRPr="00FB3A86" w:rsidSect="00497FF9">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6FD9072" wp14:editId="489B2780">
                <wp:extent cx="5303520" cy="0"/>
                <wp:effectExtent l="13335" t="16510" r="17145" b="12065"/>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A06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I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E7VErR&#10;HjV62jsIpcnEz2fQNsewUm2N75Ad1at+BvbdEgVlS1UjQvDbSWNu6jPidyn+YjVW2Q1fgGMMRfww&#10;rGNteg+JYyDHoMnppok4OsLw42yaTGcTlI5dfTHNr4naWPdZQE+8UUTWGSqb1pWgFCoPJg1l6OHZ&#10;Ok+L5tcEX1XBRnZdWIBOkQG5L5JZEjIsdJJ7r4+zptmVnSEH6nco/EKT6LkPM7BXPKC1gvL1xXZU&#10;dmcbq3fK42FnyOdinZfkxyJZrOfreTbKJg/rUZZU1ehpU2ajh036aVZNq7Ks0p+eWprlreRcKM/u&#10;urBp9ncLcXk651W7rextDvF79DAwJHv9D6SDtF7N817sgJ+25io57mgIvrwn/wju72jfv/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5qBiE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426A1BB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B527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B6CAC4" w14:textId="77777777" w:rsidTr="001E44FE">
        <w:tc>
          <w:tcPr>
            <w:tcW w:w="9576" w:type="dxa"/>
            <w:shd w:val="clear" w:color="auto" w:fill="F2F2F2"/>
          </w:tcPr>
          <w:p w14:paraId="6FB916F0"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Background and aims</w:t>
            </w:r>
            <w:r w:rsidRPr="0056787F">
              <w:rPr>
                <w:rFonts w:ascii="Arial" w:eastAsia="Calibri" w:hAnsi="Arial" w:cs="Arial"/>
                <w:szCs w:val="22"/>
              </w:rPr>
              <w:t xml:space="preserve">: Agroforestry is identified as a system that could contribute to mitigating climate change in sub-Saharan countries. </w:t>
            </w:r>
            <w:r w:rsidRPr="000A2A37">
              <w:rPr>
                <w:rFonts w:ascii="Arial" w:eastAsia="Calibri" w:hAnsi="Arial" w:cs="Arial"/>
                <w:i/>
                <w:szCs w:val="22"/>
              </w:rPr>
              <w:t>Vitellaria paradoxa</w:t>
            </w:r>
            <w:r w:rsidRPr="0056787F">
              <w:rPr>
                <w:rFonts w:ascii="Arial" w:eastAsia="Calibri" w:hAnsi="Arial" w:cs="Arial"/>
                <w:szCs w:val="22"/>
              </w:rPr>
              <w:t xml:space="preserve"> parks are widespread in Burkina Faso and are recognized for their significant socio-economic and environmental value. The aim of this study was to assess the distribution of root biomass in </w:t>
            </w:r>
            <w:r w:rsidRPr="000A2A37">
              <w:rPr>
                <w:rFonts w:ascii="Arial" w:eastAsia="Calibri" w:hAnsi="Arial" w:cs="Arial"/>
                <w:i/>
                <w:szCs w:val="22"/>
              </w:rPr>
              <w:t>Vitellaria paradoxa</w:t>
            </w:r>
            <w:r w:rsidRPr="0056787F">
              <w:rPr>
                <w:rFonts w:ascii="Arial" w:eastAsia="Calibri" w:hAnsi="Arial" w:cs="Arial"/>
                <w:szCs w:val="22"/>
              </w:rPr>
              <w:t xml:space="preserve"> parks. </w:t>
            </w:r>
          </w:p>
          <w:p w14:paraId="2AB1F34B"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Methods</w:t>
            </w:r>
            <w:r w:rsidRPr="0056787F">
              <w:rPr>
                <w:rFonts w:ascii="Arial" w:eastAsia="Calibri" w:hAnsi="Arial" w:cs="Arial"/>
                <w:b/>
                <w:szCs w:val="22"/>
              </w:rPr>
              <w:t>:</w:t>
            </w:r>
            <w:r w:rsidRPr="0056787F">
              <w:rPr>
                <w:rFonts w:ascii="Arial" w:eastAsia="Calibri" w:hAnsi="Arial" w:cs="Arial"/>
                <w:szCs w:val="22"/>
              </w:rPr>
              <w:t xml:space="preserve"> The research was conducted in four locations in the southern Sudanese zone, where three trees per site were selected. For each tree, pits were dug in two separate areas: under the canopy and outside the canopy (</w:t>
            </w:r>
            <w:commentRangeStart w:id="2"/>
            <w:r w:rsidRPr="0056787F">
              <w:rPr>
                <w:rFonts w:ascii="Arial" w:eastAsia="Calibri" w:hAnsi="Arial" w:cs="Arial"/>
                <w:szCs w:val="22"/>
              </w:rPr>
              <w:t>halfway</w:t>
            </w:r>
            <w:commentRangeEnd w:id="2"/>
            <w:r w:rsidR="003F58C2">
              <w:rPr>
                <w:rStyle w:val="CommentReference"/>
                <w:rFonts w:ascii="Times New Roman" w:hAnsi="Times New Roman"/>
                <w:lang w:val="nb-NO" w:eastAsia="nb-NO"/>
              </w:rPr>
              <w:commentReference w:id="2"/>
            </w:r>
            <w:r w:rsidRPr="0056787F">
              <w:rPr>
                <w:rFonts w:ascii="Arial" w:eastAsia="Calibri" w:hAnsi="Arial" w:cs="Arial"/>
                <w:szCs w:val="22"/>
              </w:rPr>
              <w:t xml:space="preserve"> between the tree and its nearest </w:t>
            </w:r>
            <w:proofErr w:type="spellStart"/>
            <w:r w:rsidRPr="0056787F">
              <w:rPr>
                <w:rFonts w:ascii="Arial" w:eastAsia="Calibri" w:hAnsi="Arial" w:cs="Arial"/>
                <w:szCs w:val="22"/>
              </w:rPr>
              <w:t>neighbour</w:t>
            </w:r>
            <w:proofErr w:type="spellEnd"/>
            <w:r w:rsidRPr="0056787F">
              <w:rPr>
                <w:rFonts w:ascii="Arial" w:eastAsia="Calibri" w:hAnsi="Arial" w:cs="Arial"/>
                <w:szCs w:val="22"/>
              </w:rPr>
              <w:t xml:space="preserve">), </w:t>
            </w:r>
            <w:commentRangeStart w:id="3"/>
            <w:proofErr w:type="spellStart"/>
            <w:r w:rsidRPr="0056787F">
              <w:rPr>
                <w:rFonts w:ascii="Arial" w:eastAsia="Calibri" w:hAnsi="Arial" w:cs="Arial"/>
                <w:szCs w:val="22"/>
              </w:rPr>
              <w:t>totalling</w:t>
            </w:r>
            <w:commentRangeEnd w:id="3"/>
            <w:proofErr w:type="spellEnd"/>
            <w:r w:rsidR="002C1DA7">
              <w:rPr>
                <w:rStyle w:val="CommentReference"/>
                <w:rFonts w:ascii="Times New Roman" w:hAnsi="Times New Roman"/>
                <w:lang w:val="nb-NO" w:eastAsia="nb-NO"/>
              </w:rPr>
              <w:commentReference w:id="3"/>
            </w:r>
            <w:r w:rsidRPr="0056787F">
              <w:rPr>
                <w:rFonts w:ascii="Arial" w:eastAsia="Calibri" w:hAnsi="Arial" w:cs="Arial"/>
                <w:szCs w:val="22"/>
              </w:rPr>
              <w:t xml:space="preserve"> 24 pits. Root sampling was carried out at five depths (0-100 cm) with manual separation of roots by species and category (fine and coarse). </w:t>
            </w:r>
          </w:p>
          <w:p w14:paraId="07CF52B3"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Results:</w:t>
            </w:r>
            <w:r w:rsidRPr="0056787F">
              <w:rPr>
                <w:rFonts w:ascii="Arial" w:eastAsia="Calibri" w:hAnsi="Arial" w:cs="Arial"/>
                <w:szCs w:val="22"/>
              </w:rPr>
              <w:t xml:space="preserve"> The results reveal a significantly higher biomass of coarse roots under the canopy (5.21 ± 0.32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than outside (2.18 ± 0.32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The biomass of fine roots was highest in the topsoil layer (0–20 cm) (2.06 ± 0.12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with higher values under the canopy (1.27 ± 0.08 </w:t>
            </w:r>
            <w:commentRangeStart w:id="4"/>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w:t>
            </w:r>
            <w:commentRangeEnd w:id="4"/>
            <w:r w:rsidR="00CC4259">
              <w:rPr>
                <w:rStyle w:val="CommentReference"/>
                <w:rFonts w:ascii="Times New Roman" w:hAnsi="Times New Roman"/>
                <w:lang w:val="nb-NO" w:eastAsia="nb-NO"/>
              </w:rPr>
              <w:commentReference w:id="4"/>
            </w:r>
            <w:r w:rsidRPr="0056787F">
              <w:rPr>
                <w:rFonts w:ascii="Arial" w:eastAsia="Calibri" w:hAnsi="Arial" w:cs="Arial"/>
                <w:szCs w:val="22"/>
              </w:rPr>
              <w:t xml:space="preserve">ha-1). The highest density of fine roots belonged to herbaceous plants (sorghum and weeds, 0.79 ± 0.09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while those of </w:t>
            </w:r>
            <w:r w:rsidRPr="000A2A37">
              <w:rPr>
                <w:rFonts w:ascii="Arial" w:eastAsia="Calibri" w:hAnsi="Arial" w:cs="Arial"/>
                <w:i/>
                <w:szCs w:val="22"/>
              </w:rPr>
              <w:t>V. paradoxa</w:t>
            </w:r>
            <w:r w:rsidRPr="0056787F">
              <w:rPr>
                <w:rFonts w:ascii="Arial" w:eastAsia="Calibri" w:hAnsi="Arial" w:cs="Arial"/>
                <w:szCs w:val="22"/>
              </w:rPr>
              <w:t xml:space="preserve"> were found in deeper layers. </w:t>
            </w:r>
          </w:p>
          <w:p w14:paraId="37A45753" w14:textId="77777777" w:rsidR="00505F06" w:rsidRPr="00BA1B01"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Conclusions</w:t>
            </w:r>
            <w:r w:rsidRPr="0056787F">
              <w:rPr>
                <w:rFonts w:ascii="Arial" w:eastAsia="Calibri" w:hAnsi="Arial" w:cs="Arial"/>
                <w:b/>
                <w:szCs w:val="22"/>
              </w:rPr>
              <w:t>:</w:t>
            </w:r>
            <w:r w:rsidRPr="0056787F">
              <w:rPr>
                <w:rFonts w:ascii="Arial" w:eastAsia="Calibri" w:hAnsi="Arial" w:cs="Arial"/>
                <w:szCs w:val="22"/>
              </w:rPr>
              <w:t xml:space="preserve"> This differential root distribution confirms the low underground competition between shea trees and crops, validating the sustainable potential of these agroforestry parks. Furthermore, the significant root biomass highlights their role as a significant carbon sink. Appropriate management of these systems therefore represents a promising solution for national climate change mitigation strategies.</w:t>
            </w:r>
          </w:p>
        </w:tc>
      </w:tr>
    </w:tbl>
    <w:p w14:paraId="1D8DA336" w14:textId="77777777" w:rsidR="00636EB2" w:rsidRDefault="00636EB2" w:rsidP="00441B6F">
      <w:pPr>
        <w:pStyle w:val="Body"/>
        <w:spacing w:after="0"/>
        <w:rPr>
          <w:rFonts w:ascii="Arial" w:hAnsi="Arial" w:cs="Arial"/>
          <w:i/>
        </w:rPr>
      </w:pPr>
    </w:p>
    <w:p w14:paraId="5DBB1892" w14:textId="77777777" w:rsidR="00A24E7E" w:rsidRDefault="00A24E7E" w:rsidP="00441B6F">
      <w:pPr>
        <w:pStyle w:val="Body"/>
        <w:spacing w:after="0"/>
        <w:rPr>
          <w:rFonts w:ascii="Arial" w:hAnsi="Arial" w:cs="Arial"/>
          <w:i/>
        </w:rPr>
      </w:pPr>
      <w:r>
        <w:rPr>
          <w:rFonts w:ascii="Arial" w:hAnsi="Arial" w:cs="Arial"/>
          <w:i/>
        </w:rPr>
        <w:t xml:space="preserve">Keywords: </w:t>
      </w:r>
      <w:r w:rsidR="0056787F" w:rsidRPr="0056787F">
        <w:rPr>
          <w:rFonts w:ascii="Arial" w:hAnsi="Arial" w:cs="Arial"/>
          <w:i/>
        </w:rPr>
        <w:t>Roots carbon pool, Vitellaria paradoxa, Agroforestry systems, Roots biomass, Burkina Faso</w:t>
      </w:r>
    </w:p>
    <w:p w14:paraId="6DAA7D97" w14:textId="77777777" w:rsidR="00790ADA" w:rsidRDefault="00790ADA" w:rsidP="00441B6F">
      <w:pPr>
        <w:pStyle w:val="Body"/>
        <w:spacing w:after="0"/>
        <w:rPr>
          <w:rFonts w:ascii="Arial" w:hAnsi="Arial" w:cs="Arial"/>
          <w:i/>
        </w:rPr>
      </w:pPr>
    </w:p>
    <w:p w14:paraId="40A100EB" w14:textId="4D5EEE9D" w:rsidR="007F7B32" w:rsidRDefault="00902823" w:rsidP="00441B6F">
      <w:pPr>
        <w:pStyle w:val="AbstHead"/>
        <w:spacing w:after="0"/>
        <w:jc w:val="both"/>
        <w:rPr>
          <w:rFonts w:ascii="Arial" w:hAnsi="Arial" w:cs="Arial"/>
        </w:rPr>
      </w:pPr>
      <w:r>
        <w:rPr>
          <w:rFonts w:ascii="Arial" w:hAnsi="Arial" w:cs="Arial"/>
        </w:rPr>
        <w:t xml:space="preserve">1. </w:t>
      </w:r>
      <w:commentRangeStart w:id="5"/>
      <w:r w:rsidR="00B01FCD" w:rsidRPr="00FB3A86">
        <w:rPr>
          <w:rFonts w:ascii="Arial" w:hAnsi="Arial" w:cs="Arial"/>
        </w:rPr>
        <w:t>INTRODUCTION</w:t>
      </w:r>
      <w:r w:rsidR="007F7B32">
        <w:rPr>
          <w:rFonts w:ascii="Arial" w:hAnsi="Arial" w:cs="Arial"/>
        </w:rPr>
        <w:t xml:space="preserve"> </w:t>
      </w:r>
      <w:commentRangeEnd w:id="5"/>
      <w:r w:rsidR="006D246A">
        <w:rPr>
          <w:rStyle w:val="CommentReference"/>
          <w:rFonts w:ascii="Times New Roman" w:hAnsi="Times New Roman"/>
          <w:b w:val="0"/>
          <w:caps w:val="0"/>
          <w:lang w:val="nb-NO" w:eastAsia="nb-NO"/>
        </w:rPr>
        <w:commentReference w:id="5"/>
      </w:r>
    </w:p>
    <w:p w14:paraId="7BAD02F8" w14:textId="77777777" w:rsidR="00790ADA" w:rsidRPr="00FB3A86" w:rsidRDefault="00790ADA" w:rsidP="00441B6F">
      <w:pPr>
        <w:pStyle w:val="AbstHead"/>
        <w:spacing w:after="0"/>
        <w:jc w:val="both"/>
        <w:rPr>
          <w:rFonts w:ascii="Arial" w:hAnsi="Arial" w:cs="Arial"/>
        </w:rPr>
      </w:pPr>
    </w:p>
    <w:p w14:paraId="3757EEDD" w14:textId="77777777" w:rsidR="0056787F" w:rsidRPr="0056787F" w:rsidRDefault="0056787F" w:rsidP="00761A44">
      <w:pPr>
        <w:pStyle w:val="Body"/>
        <w:spacing w:after="120"/>
        <w:rPr>
          <w:rFonts w:ascii="Arial" w:hAnsi="Arial" w:cs="Arial"/>
        </w:rPr>
      </w:pPr>
      <w:r w:rsidRPr="0056787F">
        <w:rPr>
          <w:rFonts w:ascii="Arial" w:hAnsi="Arial" w:cs="Arial"/>
        </w:rPr>
        <w:t xml:space="preserve">Agroforestry, defined as a land use system that deliberately combines perennial woody plants with crops and/or livestock, is based on ecological and economic interactions between its various components (Boffa, 2000). </w:t>
      </w:r>
      <w:proofErr w:type="spellStart"/>
      <w:r w:rsidRPr="0056787F">
        <w:rPr>
          <w:rFonts w:ascii="Arial" w:hAnsi="Arial" w:cs="Arial"/>
        </w:rPr>
        <w:t>Recognised</w:t>
      </w:r>
      <w:proofErr w:type="spellEnd"/>
      <w:r w:rsidRPr="0056787F">
        <w:rPr>
          <w:rFonts w:ascii="Arial" w:hAnsi="Arial" w:cs="Arial"/>
        </w:rPr>
        <w:t xml:space="preserve"> for its many advantages, this practice is a promising lever for designing sustainable agricultural systems that are resilient to climate change. Trees improve soil fertility by increasing organic matter and biological activity (Price and Gordon, 1998), combat erosion (Lee and Jose, 2003), and recycle nutrients deep into the soil for crops (JOSE, 2009). They also constitute a significant carbon sink, thereby mitigating the effects of climate change (Jackson et al, 1996; Nair, 2012). However, while the aerial benefits of agroforestry are increasingly well documented, the root component, often referred to as the ‘hidden half’ of the plant (</w:t>
      </w:r>
      <w:proofErr w:type="spellStart"/>
      <w:r w:rsidRPr="0056787F">
        <w:rPr>
          <w:rFonts w:ascii="Arial" w:hAnsi="Arial" w:cs="Arial"/>
        </w:rPr>
        <w:t>Waisel</w:t>
      </w:r>
      <w:proofErr w:type="spellEnd"/>
      <w:r w:rsidRPr="0056787F">
        <w:rPr>
          <w:rFonts w:ascii="Arial" w:hAnsi="Arial" w:cs="Arial"/>
        </w:rPr>
        <w:t xml:space="preserve"> et al., 1992), remains poorly understood. Yet roots, which act as interfaces between the plant and the soil, play a fundamental role. Their biomass is a major source of soil organic carbon (Eswaran et al., 1993), and understanding its distribution is essential for </w:t>
      </w:r>
      <w:proofErr w:type="spellStart"/>
      <w:r w:rsidRPr="0056787F">
        <w:rPr>
          <w:rFonts w:ascii="Arial" w:hAnsi="Arial" w:cs="Arial"/>
        </w:rPr>
        <w:t>optimising</w:t>
      </w:r>
      <w:proofErr w:type="spellEnd"/>
      <w:r w:rsidRPr="0056787F">
        <w:rPr>
          <w:rFonts w:ascii="Arial" w:hAnsi="Arial" w:cs="Arial"/>
        </w:rPr>
        <w:t xml:space="preserve"> the productivity and sustainability of agroforestry systems (Bayala et al., 2004). Previous studies on the root systems of woody species in semi-arid areas have highlighted their ability to develop deep growth and accumulate significant root biomass (Gning et al., 2025; </w:t>
      </w:r>
      <w:proofErr w:type="spellStart"/>
      <w:r w:rsidRPr="0056787F">
        <w:rPr>
          <w:rFonts w:ascii="Arial" w:hAnsi="Arial" w:cs="Arial"/>
        </w:rPr>
        <w:t>Massaoudou</w:t>
      </w:r>
      <w:proofErr w:type="spellEnd"/>
      <w:r w:rsidRPr="0056787F">
        <w:rPr>
          <w:rFonts w:ascii="Arial" w:hAnsi="Arial" w:cs="Arial"/>
        </w:rPr>
        <w:t xml:space="preserve"> et al., 2025). However, few </w:t>
      </w:r>
      <w:r w:rsidRPr="0056787F">
        <w:rPr>
          <w:rFonts w:ascii="Arial" w:hAnsi="Arial" w:cs="Arial"/>
        </w:rPr>
        <w:lastRenderedPageBreak/>
        <w:t>studies have specifically focused on the roots of agroforestry tree species, with most concentrating mainly on root biomass and distribution (Koala et al., 2021; Gning et al.,2025).</w:t>
      </w:r>
    </w:p>
    <w:p w14:paraId="4373570C" w14:textId="77777777" w:rsidR="0056787F" w:rsidRPr="0056787F" w:rsidRDefault="0056787F" w:rsidP="00761A44">
      <w:pPr>
        <w:pStyle w:val="Body"/>
        <w:spacing w:after="120"/>
        <w:rPr>
          <w:rFonts w:ascii="Arial" w:hAnsi="Arial" w:cs="Arial"/>
        </w:rPr>
      </w:pPr>
      <w:r w:rsidRPr="0056787F">
        <w:rPr>
          <w:rFonts w:ascii="Arial" w:hAnsi="Arial" w:cs="Arial"/>
        </w:rPr>
        <w:t xml:space="preserve">In Burkina Faso, in agroforestry parks dominated by Vitellaria </w:t>
      </w:r>
      <w:proofErr w:type="spellStart"/>
      <w:r w:rsidRPr="0056787F">
        <w:rPr>
          <w:rFonts w:ascii="Arial" w:hAnsi="Arial" w:cs="Arial"/>
        </w:rPr>
        <w:t>paradoxa</w:t>
      </w:r>
      <w:proofErr w:type="spellEnd"/>
      <w:r w:rsidRPr="0056787F">
        <w:rPr>
          <w:rFonts w:ascii="Arial" w:hAnsi="Arial" w:cs="Arial"/>
        </w:rPr>
        <w:t xml:space="preserve"> </w:t>
      </w:r>
      <w:proofErr w:type="spellStart"/>
      <w:r w:rsidRPr="0056787F">
        <w:rPr>
          <w:rFonts w:ascii="Arial" w:hAnsi="Arial" w:cs="Arial"/>
        </w:rPr>
        <w:t>C.</w:t>
      </w:r>
      <w:proofErr w:type="gramStart"/>
      <w:r w:rsidRPr="0056787F">
        <w:rPr>
          <w:rFonts w:ascii="Arial" w:hAnsi="Arial" w:cs="Arial"/>
        </w:rPr>
        <w:t>F.Gaerthn</w:t>
      </w:r>
      <w:proofErr w:type="spellEnd"/>
      <w:proofErr w:type="gramEnd"/>
      <w:r w:rsidRPr="0056787F">
        <w:rPr>
          <w:rFonts w:ascii="Arial" w:hAnsi="Arial" w:cs="Arial"/>
        </w:rPr>
        <w:t xml:space="preserve"> (shea tree) – an emblematic species of the Sudanian zone (</w:t>
      </w:r>
      <w:proofErr w:type="spellStart"/>
      <w:r w:rsidRPr="0056787F">
        <w:rPr>
          <w:rFonts w:ascii="Arial" w:hAnsi="Arial" w:cs="Arial"/>
        </w:rPr>
        <w:t>Boffa</w:t>
      </w:r>
      <w:proofErr w:type="spellEnd"/>
      <w:r w:rsidRPr="0056787F">
        <w:rPr>
          <w:rFonts w:ascii="Arial" w:hAnsi="Arial" w:cs="Arial"/>
        </w:rPr>
        <w:t>, 2000) – research has mainly focused on the aerial impact of trees. Studies have examined shading, yields of underlying crops (Kessler, 1992), and carbon sequestration in above-ground biomass (Sanou et al, 2025). However, the distribution of root biomass and its role in underground interactions between trees and crops have been little investigated (Bayala et al., 2004), despite their crucial importance.</w:t>
      </w:r>
    </w:p>
    <w:p w14:paraId="3ADF3B21" w14:textId="3146879D" w:rsidR="00B01FCD" w:rsidRDefault="0056787F" w:rsidP="00761A44">
      <w:pPr>
        <w:pStyle w:val="Body"/>
        <w:spacing w:after="120"/>
        <w:rPr>
          <w:rFonts w:ascii="Arial" w:hAnsi="Arial" w:cs="Arial"/>
        </w:rPr>
      </w:pPr>
      <w:r w:rsidRPr="0056787F">
        <w:rPr>
          <w:rFonts w:ascii="Arial" w:hAnsi="Arial" w:cs="Arial"/>
        </w:rPr>
        <w:t>Consequently, this work aims to fill this gap by studying the root distribution of shea trees and their interactions with a cereal crop, sorghum. The objective is to make a key scientific contribution to the informed and sustainable management of agroforestry parks in West Africa</w:t>
      </w:r>
      <w:commentRangeStart w:id="6"/>
      <w:r w:rsidR="00E27BF8">
        <w:rPr>
          <w:rFonts w:ascii="Arial" w:hAnsi="Arial" w:cs="Arial"/>
        </w:rPr>
        <w:t>.</w:t>
      </w:r>
      <w:commentRangeEnd w:id="6"/>
      <w:r w:rsidR="00E27BF8">
        <w:rPr>
          <w:rStyle w:val="CommentReference"/>
          <w:rFonts w:ascii="Times New Roman" w:hAnsi="Times New Roman"/>
          <w:lang w:val="nb-NO" w:eastAsia="nb-NO"/>
        </w:rPr>
        <w:commentReference w:id="6"/>
      </w:r>
    </w:p>
    <w:p w14:paraId="20EC3DAD" w14:textId="77777777" w:rsidR="00790ADA" w:rsidRPr="00FB3A86" w:rsidRDefault="00790ADA" w:rsidP="00441B6F">
      <w:pPr>
        <w:pStyle w:val="Body"/>
        <w:spacing w:after="0"/>
        <w:rPr>
          <w:rFonts w:ascii="Arial" w:hAnsi="Arial" w:cs="Arial"/>
        </w:rPr>
      </w:pPr>
    </w:p>
    <w:p w14:paraId="2206E3C6" w14:textId="77777777" w:rsidR="007F7B32" w:rsidRDefault="00902823" w:rsidP="00441B6F">
      <w:pPr>
        <w:pStyle w:val="AbstHead"/>
        <w:spacing w:after="0"/>
        <w:jc w:val="both"/>
        <w:rPr>
          <w:rFonts w:ascii="Arial" w:hAnsi="Arial" w:cs="Arial"/>
        </w:rPr>
      </w:pPr>
      <w:r>
        <w:rPr>
          <w:rFonts w:ascii="Arial" w:hAnsi="Arial" w:cs="Arial"/>
        </w:rPr>
        <w:t xml:space="preserve">2. </w:t>
      </w:r>
      <w:r w:rsidR="0056787F" w:rsidRPr="0056787F">
        <w:rPr>
          <w:rFonts w:ascii="Arial" w:hAnsi="Arial" w:cs="Arial"/>
        </w:rPr>
        <w:t>Methodology</w:t>
      </w:r>
    </w:p>
    <w:p w14:paraId="7D5CF92B" w14:textId="77777777" w:rsidR="00790ADA" w:rsidRPr="00FB3A86" w:rsidRDefault="00790ADA" w:rsidP="00441B6F">
      <w:pPr>
        <w:pStyle w:val="AbstHead"/>
        <w:spacing w:after="0"/>
        <w:jc w:val="both"/>
        <w:rPr>
          <w:rFonts w:ascii="Arial" w:hAnsi="Arial" w:cs="Arial"/>
        </w:rPr>
      </w:pPr>
    </w:p>
    <w:p w14:paraId="72CFE971" w14:textId="77777777" w:rsidR="00761A44" w:rsidRPr="00761A44" w:rsidRDefault="00761A44" w:rsidP="00441B6F">
      <w:pPr>
        <w:pStyle w:val="Body"/>
        <w:spacing w:after="0"/>
        <w:rPr>
          <w:rFonts w:ascii="Arial" w:hAnsi="Arial" w:cs="Arial"/>
          <w:b/>
          <w:sz w:val="22"/>
        </w:rPr>
      </w:pPr>
      <w:r w:rsidRPr="00761A44">
        <w:rPr>
          <w:rFonts w:ascii="Arial" w:hAnsi="Arial" w:cs="Arial"/>
          <w:b/>
          <w:sz w:val="22"/>
        </w:rPr>
        <w:t xml:space="preserve">2.1. </w:t>
      </w:r>
      <w:commentRangeStart w:id="7"/>
      <w:r w:rsidRPr="00761A44">
        <w:rPr>
          <w:rFonts w:ascii="Arial" w:hAnsi="Arial" w:cs="Arial"/>
          <w:b/>
          <w:sz w:val="22"/>
        </w:rPr>
        <w:t>Site</w:t>
      </w:r>
      <w:commentRangeEnd w:id="7"/>
      <w:r w:rsidR="00220BAD">
        <w:rPr>
          <w:rStyle w:val="CommentReference"/>
          <w:rFonts w:ascii="Times New Roman" w:hAnsi="Times New Roman"/>
          <w:lang w:val="nb-NO" w:eastAsia="nb-NO"/>
        </w:rPr>
        <w:commentReference w:id="7"/>
      </w:r>
    </w:p>
    <w:p w14:paraId="2D3B99F3" w14:textId="77777777" w:rsidR="00761A44" w:rsidRDefault="00761A44" w:rsidP="00441B6F">
      <w:pPr>
        <w:pStyle w:val="Body"/>
        <w:spacing w:after="0"/>
        <w:rPr>
          <w:rFonts w:ascii="Arial" w:hAnsi="Arial" w:cs="Arial"/>
        </w:rPr>
      </w:pPr>
    </w:p>
    <w:p w14:paraId="628DC988" w14:textId="77777777" w:rsidR="00B95236" w:rsidRDefault="00761A44" w:rsidP="00441B6F">
      <w:pPr>
        <w:pStyle w:val="Body"/>
        <w:spacing w:after="0"/>
        <w:rPr>
          <w:rFonts w:ascii="Arial" w:hAnsi="Arial" w:cs="Arial"/>
        </w:rPr>
      </w:pPr>
      <w:commentRangeStart w:id="8"/>
      <w:r w:rsidRPr="00761A44">
        <w:rPr>
          <w:rFonts w:ascii="Arial" w:hAnsi="Arial" w:cs="Arial"/>
        </w:rPr>
        <w:t xml:space="preserve">The study was conducted in four (04) villages located in two (02) different provinces (Tuy and Ioba). These are the villages of </w:t>
      </w:r>
      <w:proofErr w:type="spellStart"/>
      <w:r w:rsidRPr="00761A44">
        <w:rPr>
          <w:rFonts w:ascii="Arial" w:hAnsi="Arial" w:cs="Arial"/>
        </w:rPr>
        <w:t>Djuie</w:t>
      </w:r>
      <w:proofErr w:type="spellEnd"/>
      <w:r w:rsidRPr="00761A44">
        <w:rPr>
          <w:rFonts w:ascii="Arial" w:hAnsi="Arial" w:cs="Arial"/>
        </w:rPr>
        <w:t xml:space="preserve"> (11.198418°, -3.781958°) and </w:t>
      </w:r>
      <w:proofErr w:type="spellStart"/>
      <w:r w:rsidRPr="00761A44">
        <w:rPr>
          <w:rFonts w:ascii="Arial" w:hAnsi="Arial" w:cs="Arial"/>
        </w:rPr>
        <w:t>Gombélédougou</w:t>
      </w:r>
      <w:proofErr w:type="spellEnd"/>
      <w:r w:rsidRPr="00761A44">
        <w:rPr>
          <w:rFonts w:ascii="Arial" w:hAnsi="Arial" w:cs="Arial"/>
        </w:rPr>
        <w:t xml:space="preserve"> (11.185946°, -3.555146°) in the municipality of </w:t>
      </w:r>
      <w:proofErr w:type="spellStart"/>
      <w:r w:rsidRPr="00761A44">
        <w:rPr>
          <w:rFonts w:ascii="Arial" w:hAnsi="Arial" w:cs="Arial"/>
        </w:rPr>
        <w:t>Koumbia</w:t>
      </w:r>
      <w:proofErr w:type="spellEnd"/>
      <w:r w:rsidRPr="00761A44">
        <w:rPr>
          <w:rFonts w:ascii="Arial" w:hAnsi="Arial" w:cs="Arial"/>
        </w:rPr>
        <w:t xml:space="preserve"> and in the province of Tuy, and the villages of Lofing (11.1915998459°, -3.0529999733) and </w:t>
      </w:r>
      <w:proofErr w:type="spellStart"/>
      <w:r w:rsidRPr="00761A44">
        <w:rPr>
          <w:rFonts w:ascii="Arial" w:hAnsi="Arial" w:cs="Arial"/>
        </w:rPr>
        <w:t>Guéguéré</w:t>
      </w:r>
      <w:proofErr w:type="spellEnd"/>
      <w:r w:rsidRPr="00761A44">
        <w:rPr>
          <w:rFonts w:ascii="Arial" w:hAnsi="Arial" w:cs="Arial"/>
        </w:rPr>
        <w:t xml:space="preserve"> (11.125016°, -3.178171°) in the municipalities of </w:t>
      </w:r>
      <w:proofErr w:type="spellStart"/>
      <w:r w:rsidRPr="00761A44">
        <w:rPr>
          <w:rFonts w:ascii="Arial" w:hAnsi="Arial" w:cs="Arial"/>
        </w:rPr>
        <w:t>Dano</w:t>
      </w:r>
      <w:proofErr w:type="spellEnd"/>
      <w:r w:rsidRPr="00761A44">
        <w:rPr>
          <w:rFonts w:ascii="Arial" w:hAnsi="Arial" w:cs="Arial"/>
        </w:rPr>
        <w:t xml:space="preserve"> and </w:t>
      </w:r>
      <w:proofErr w:type="spellStart"/>
      <w:r w:rsidRPr="00761A44">
        <w:rPr>
          <w:rFonts w:ascii="Arial" w:hAnsi="Arial" w:cs="Arial"/>
        </w:rPr>
        <w:t>Guéguéré</w:t>
      </w:r>
      <w:proofErr w:type="spellEnd"/>
      <w:r w:rsidRPr="00761A44">
        <w:rPr>
          <w:rFonts w:ascii="Arial" w:hAnsi="Arial" w:cs="Arial"/>
        </w:rPr>
        <w:t xml:space="preserve"> in the province of </w:t>
      </w:r>
      <w:proofErr w:type="spellStart"/>
      <w:r w:rsidRPr="00761A44">
        <w:rPr>
          <w:rFonts w:ascii="Arial" w:hAnsi="Arial" w:cs="Arial"/>
        </w:rPr>
        <w:t>Ioba</w:t>
      </w:r>
      <w:proofErr w:type="spellEnd"/>
      <w:r w:rsidR="00B95236" w:rsidRPr="00B95236">
        <w:rPr>
          <w:rFonts w:ascii="Arial" w:hAnsi="Arial" w:cs="Arial"/>
        </w:rPr>
        <w:t>.</w:t>
      </w:r>
      <w:commentRangeEnd w:id="8"/>
      <w:r w:rsidR="00927E2A">
        <w:rPr>
          <w:rStyle w:val="CommentReference"/>
          <w:rFonts w:ascii="Times New Roman" w:hAnsi="Times New Roman"/>
          <w:lang w:val="nb-NO" w:eastAsia="nb-NO"/>
        </w:rPr>
        <w:commentReference w:id="8"/>
      </w:r>
    </w:p>
    <w:p w14:paraId="74794078" w14:textId="77777777" w:rsidR="00761A44" w:rsidRDefault="00761A44" w:rsidP="005863FD">
      <w:pPr>
        <w:pStyle w:val="Body"/>
        <w:keepNext/>
        <w:spacing w:after="0"/>
        <w:jc w:val="center"/>
      </w:pPr>
      <w:r w:rsidRPr="00761A44">
        <w:rPr>
          <w:rFonts w:ascii="Calibri" w:eastAsia="Calibri" w:hAnsi="Calibri"/>
          <w:noProof/>
          <w:kern w:val="2"/>
          <w:sz w:val="24"/>
          <w:szCs w:val="24"/>
          <w:lang w:val="fr-FR" w:eastAsia="fr-FR"/>
        </w:rPr>
        <w:drawing>
          <wp:inline distT="0" distB="0" distL="0" distR="0" wp14:anchorId="03473B49" wp14:editId="5EBA1491">
            <wp:extent cx="5212080" cy="3690166"/>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3690166"/>
                    </a:xfrm>
                    <a:prstGeom prst="rect">
                      <a:avLst/>
                    </a:prstGeom>
                    <a:noFill/>
                    <a:ln>
                      <a:noFill/>
                    </a:ln>
                  </pic:spPr>
                </pic:pic>
              </a:graphicData>
            </a:graphic>
          </wp:inline>
        </w:drawing>
      </w:r>
    </w:p>
    <w:p w14:paraId="6AAB222B" w14:textId="77777777" w:rsidR="00761A44" w:rsidRPr="00761A44" w:rsidRDefault="00761A44" w:rsidP="00761A44">
      <w:pPr>
        <w:pStyle w:val="Caption"/>
        <w:spacing w:before="120" w:after="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1</w:t>
      </w:r>
      <w:r w:rsidRPr="00761A44">
        <w:rPr>
          <w:rFonts w:ascii="Arial" w:hAnsi="Arial" w:cs="Arial"/>
          <w:i w:val="0"/>
          <w:color w:val="auto"/>
          <w:sz w:val="20"/>
        </w:rPr>
        <w:fldChar w:fldCharType="end"/>
      </w:r>
      <w:r w:rsidRPr="00761A44">
        <w:rPr>
          <w:rFonts w:ascii="Arial" w:hAnsi="Arial" w:cs="Arial"/>
          <w:i w:val="0"/>
          <w:color w:val="auto"/>
          <w:sz w:val="20"/>
        </w:rPr>
        <w:t xml:space="preserve"> : Location of study sites</w:t>
      </w:r>
    </w:p>
    <w:p w14:paraId="424ABF16" w14:textId="77777777" w:rsidR="00761A44" w:rsidRDefault="00761A44" w:rsidP="00441B6F">
      <w:pPr>
        <w:pStyle w:val="Body"/>
        <w:spacing w:after="0"/>
        <w:rPr>
          <w:rFonts w:ascii="Arial" w:hAnsi="Arial" w:cs="Arial"/>
        </w:rPr>
      </w:pPr>
    </w:p>
    <w:p w14:paraId="4891854F" w14:textId="77777777" w:rsidR="00790ADA" w:rsidRPr="00761A44" w:rsidRDefault="00761A44" w:rsidP="00761A44">
      <w:pPr>
        <w:pStyle w:val="Body"/>
        <w:spacing w:after="120"/>
        <w:rPr>
          <w:rFonts w:ascii="Arial" w:hAnsi="Arial" w:cs="Arial"/>
          <w:b/>
          <w:sz w:val="22"/>
          <w:szCs w:val="22"/>
        </w:rPr>
      </w:pPr>
      <w:r w:rsidRPr="00761A44">
        <w:rPr>
          <w:rFonts w:ascii="Arial" w:hAnsi="Arial" w:cs="Arial"/>
          <w:b/>
          <w:sz w:val="22"/>
          <w:szCs w:val="22"/>
        </w:rPr>
        <w:t xml:space="preserve">2.2. Sampling design  </w:t>
      </w:r>
    </w:p>
    <w:p w14:paraId="11B40B22" w14:textId="77777777" w:rsidR="00761A44" w:rsidRDefault="00761A44" w:rsidP="00441B6F">
      <w:pPr>
        <w:pStyle w:val="Body"/>
        <w:spacing w:after="0"/>
        <w:rPr>
          <w:rFonts w:ascii="Arial" w:hAnsi="Arial" w:cs="Arial"/>
        </w:rPr>
      </w:pPr>
      <w:commentRangeStart w:id="9"/>
      <w:r w:rsidRPr="00761A44">
        <w:rPr>
          <w:rFonts w:ascii="Arial" w:hAnsi="Arial" w:cs="Arial"/>
        </w:rPr>
        <w:t xml:space="preserve">The data was collected in shea parks after the associated cereal crop (sorghum) had been harvested. The study was conducted in four localities in southern Sudan along a </w:t>
      </w:r>
      <w:proofErr w:type="spellStart"/>
      <w:r w:rsidRPr="00761A44">
        <w:rPr>
          <w:rFonts w:ascii="Arial" w:hAnsi="Arial" w:cs="Arial"/>
        </w:rPr>
        <w:t>Dano-Koumbia</w:t>
      </w:r>
      <w:proofErr w:type="spellEnd"/>
      <w:r w:rsidRPr="00761A44">
        <w:rPr>
          <w:rFonts w:ascii="Arial" w:hAnsi="Arial" w:cs="Arial"/>
        </w:rPr>
        <w:t xml:space="preserve"> transect, which is the </w:t>
      </w:r>
      <w:proofErr w:type="spellStart"/>
      <w:r w:rsidRPr="00761A44">
        <w:rPr>
          <w:rFonts w:ascii="Arial" w:hAnsi="Arial" w:cs="Arial"/>
        </w:rPr>
        <w:t>programme's</w:t>
      </w:r>
      <w:proofErr w:type="spellEnd"/>
      <w:r w:rsidRPr="00761A44">
        <w:rPr>
          <w:rFonts w:ascii="Arial" w:hAnsi="Arial" w:cs="Arial"/>
        </w:rPr>
        <w:t xml:space="preserve"> area of intervention. The criteria in the choice of sites were the presence and abundance of populations of the species Vitellaria paradoxa. In each locality, three plots were selected for the study and in each plot, one tree was selected for root measurement. For each of the selected trees, two (2) areas were </w:t>
      </w:r>
      <w:proofErr w:type="gramStart"/>
      <w:r w:rsidRPr="00761A44">
        <w:rPr>
          <w:rFonts w:ascii="Arial" w:hAnsi="Arial" w:cs="Arial"/>
        </w:rPr>
        <w:t>taken into account</w:t>
      </w:r>
      <w:proofErr w:type="gramEnd"/>
      <w:r w:rsidRPr="00761A44">
        <w:rPr>
          <w:rFonts w:ascii="Arial" w:hAnsi="Arial" w:cs="Arial"/>
        </w:rPr>
        <w:t>: an area under the canopy (Z1) located 1 m from the tree trunk; an area outside the canopy (Z3), located 3 m beyond the edge of the canopy (Marone, 2015; Yameogo, 2004). Each of these two zones constituted a sampling point. At each sampling point, two pits were carefully dug (Figure 2). A total of 24 pits were dug in the four locations, i.e. 12 pits under the canopy (Z1) and 12 others outside the canopy (Z3).</w:t>
      </w:r>
      <w:commentRangeEnd w:id="9"/>
      <w:r w:rsidR="00365155">
        <w:rPr>
          <w:rStyle w:val="CommentReference"/>
          <w:rFonts w:ascii="Times New Roman" w:hAnsi="Times New Roman"/>
          <w:lang w:val="nb-NO" w:eastAsia="nb-NO"/>
        </w:rPr>
        <w:commentReference w:id="9"/>
      </w:r>
    </w:p>
    <w:p w14:paraId="431BCC40" w14:textId="77777777" w:rsidR="00761A44" w:rsidRDefault="00761A44" w:rsidP="005863FD">
      <w:pPr>
        <w:pStyle w:val="Body"/>
        <w:keepNext/>
        <w:spacing w:after="0"/>
        <w:jc w:val="center"/>
      </w:pPr>
      <w:commentRangeStart w:id="10"/>
      <w:r w:rsidRPr="009F557A">
        <w:rPr>
          <w:rFonts w:ascii="Times New Roman" w:eastAsia="Calibri" w:hAnsi="Times New Roman"/>
          <w:noProof/>
          <w:kern w:val="2"/>
          <w:sz w:val="24"/>
          <w:szCs w:val="24"/>
          <w:lang w:val="fr-FR" w:eastAsia="fr-FR"/>
        </w:rPr>
        <w:lastRenderedPageBreak/>
        <w:drawing>
          <wp:inline distT="0" distB="0" distL="0" distR="0" wp14:anchorId="23B3EF99" wp14:editId="48FB80CC">
            <wp:extent cx="3619681" cy="2637446"/>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8755" cy="2644058"/>
                    </a:xfrm>
                    <a:prstGeom prst="rect">
                      <a:avLst/>
                    </a:prstGeom>
                    <a:noFill/>
                    <a:ln>
                      <a:noFill/>
                    </a:ln>
                  </pic:spPr>
                </pic:pic>
              </a:graphicData>
            </a:graphic>
          </wp:inline>
        </w:drawing>
      </w:r>
      <w:commentRangeEnd w:id="10"/>
      <w:r w:rsidR="00BB3505">
        <w:rPr>
          <w:rStyle w:val="CommentReference"/>
          <w:rFonts w:ascii="Times New Roman" w:hAnsi="Times New Roman"/>
          <w:lang w:val="nb-NO" w:eastAsia="nb-NO"/>
        </w:rPr>
        <w:commentReference w:id="10"/>
      </w:r>
    </w:p>
    <w:p w14:paraId="32CB2D40" w14:textId="2990DFC7" w:rsidR="00502516" w:rsidRPr="00C94113" w:rsidRDefault="00761A44" w:rsidP="00C94113">
      <w:pPr>
        <w:pStyle w:val="Caption"/>
        <w:spacing w:before="120" w:after="12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2</w:t>
      </w:r>
      <w:r w:rsidRPr="00761A44">
        <w:rPr>
          <w:rFonts w:ascii="Arial" w:hAnsi="Arial" w:cs="Arial"/>
          <w:i w:val="0"/>
          <w:color w:val="auto"/>
          <w:sz w:val="20"/>
        </w:rPr>
        <w:fldChar w:fldCharType="end"/>
      </w:r>
      <w:r w:rsidRPr="00761A44">
        <w:rPr>
          <w:rFonts w:ascii="Arial" w:hAnsi="Arial" w:cs="Arial"/>
          <w:i w:val="0"/>
          <w:color w:val="auto"/>
          <w:sz w:val="20"/>
        </w:rPr>
        <w:t>: Arrangement of measurement points for tree root biomass at depth</w:t>
      </w:r>
      <w:commentRangeStart w:id="12"/>
      <w:r w:rsidR="00502516" w:rsidRPr="00502516">
        <w:rPr>
          <w:rFonts w:ascii="Arial" w:hAnsi="Arial" w:cs="Arial"/>
        </w:rPr>
        <w:t>.</w:t>
      </w:r>
      <w:commentRangeEnd w:id="12"/>
      <w:r w:rsidR="00141204">
        <w:rPr>
          <w:rStyle w:val="CommentReference"/>
          <w:rFonts w:ascii="Times New Roman" w:hAnsi="Times New Roman"/>
          <w:lang w:val="nb-NO" w:eastAsia="nb-NO"/>
        </w:rPr>
        <w:commentReference w:id="12"/>
      </w:r>
    </w:p>
    <w:p w14:paraId="3793C598" w14:textId="77777777" w:rsidR="002E0D56" w:rsidRPr="00761A44" w:rsidRDefault="00761A44" w:rsidP="00761A44">
      <w:pPr>
        <w:pStyle w:val="Body"/>
        <w:spacing w:after="120"/>
        <w:rPr>
          <w:rFonts w:ascii="Arial" w:hAnsi="Arial" w:cs="Arial"/>
          <w:b/>
          <w:sz w:val="18"/>
        </w:rPr>
      </w:pPr>
      <w:r w:rsidRPr="00C15E6E">
        <w:rPr>
          <w:rFonts w:ascii="Arial" w:hAnsi="Arial" w:cs="Arial"/>
          <w:b/>
          <w:sz w:val="22"/>
        </w:rPr>
        <w:t>2.3. Data collection</w:t>
      </w:r>
      <w:r w:rsidRPr="00761A44">
        <w:rPr>
          <w:rFonts w:ascii="Arial" w:hAnsi="Arial" w:cs="Arial"/>
          <w:b/>
          <w:sz w:val="18"/>
        </w:rPr>
        <w:t>.</w:t>
      </w:r>
    </w:p>
    <w:p w14:paraId="3B102DCA" w14:textId="77777777" w:rsidR="00790ADA" w:rsidRDefault="00761A44" w:rsidP="00441B6F">
      <w:pPr>
        <w:pStyle w:val="Body"/>
        <w:spacing w:after="0"/>
        <w:rPr>
          <w:rFonts w:ascii="Arial" w:hAnsi="Arial" w:cs="Arial"/>
        </w:rPr>
      </w:pPr>
      <w:commentRangeStart w:id="13"/>
      <w:r w:rsidRPr="00761A44">
        <w:rPr>
          <w:rFonts w:ascii="Arial" w:hAnsi="Arial" w:cs="Arial"/>
        </w:rPr>
        <w:t>Several methods are used to estimate root biomass</w:t>
      </w:r>
      <w:commentRangeEnd w:id="13"/>
      <w:r w:rsidR="004E20E3">
        <w:rPr>
          <w:rStyle w:val="CommentReference"/>
          <w:rFonts w:ascii="Times New Roman" w:hAnsi="Times New Roman"/>
          <w:lang w:val="nb-NO" w:eastAsia="nb-NO"/>
        </w:rPr>
        <w:commentReference w:id="13"/>
      </w:r>
      <w:r w:rsidRPr="00761A44">
        <w:rPr>
          <w:rFonts w:ascii="Arial" w:hAnsi="Arial" w:cs="Arial"/>
        </w:rPr>
        <w:t>. In this study, the direct method of monolith extraction was used at the sampling point. This method is widely described in the literature (Ping et al., 2010; Taylor et al., 2013 and Koala et al., 2015). This method requires the extraction of soil monoliths followed by the separation of roots from soil particles by washing. Thus, a pit measuring 0.49 m³ (0.7 m x 0.7 m x 1 m) was carefully dug at each sampling point (</w:t>
      </w:r>
      <w:commentRangeStart w:id="14"/>
      <w:r w:rsidRPr="00761A44">
        <w:rPr>
          <w:rFonts w:ascii="Arial" w:hAnsi="Arial" w:cs="Arial"/>
        </w:rPr>
        <w:t>photo 2</w:t>
      </w:r>
      <w:commentRangeEnd w:id="14"/>
      <w:r w:rsidR="00E168FD">
        <w:rPr>
          <w:rStyle w:val="CommentReference"/>
          <w:rFonts w:ascii="Times New Roman" w:hAnsi="Times New Roman"/>
          <w:lang w:val="nb-NO" w:eastAsia="nb-NO"/>
        </w:rPr>
        <w:commentReference w:id="14"/>
      </w:r>
      <w:r w:rsidRPr="00761A44">
        <w:rPr>
          <w:rFonts w:ascii="Arial" w:hAnsi="Arial" w:cs="Arial"/>
        </w:rPr>
        <w:t xml:space="preserve">). The pit was 100 cm deep and the root assessment </w:t>
      </w:r>
      <w:proofErr w:type="gramStart"/>
      <w:r w:rsidRPr="00761A44">
        <w:rPr>
          <w:rFonts w:ascii="Arial" w:hAnsi="Arial" w:cs="Arial"/>
        </w:rPr>
        <w:t>took into account</w:t>
      </w:r>
      <w:proofErr w:type="gramEnd"/>
      <w:r w:rsidRPr="00761A44">
        <w:rPr>
          <w:rFonts w:ascii="Arial" w:hAnsi="Arial" w:cs="Arial"/>
        </w:rPr>
        <w:t xml:space="preserve"> five horizons: 0-20; 20-30; 30-50; 50-80; 80-100 cm (Figure 3). </w:t>
      </w:r>
      <w:commentRangeStart w:id="15"/>
      <w:r w:rsidRPr="00761A44">
        <w:rPr>
          <w:rFonts w:ascii="Arial" w:hAnsi="Arial" w:cs="Arial"/>
        </w:rPr>
        <w:t xml:space="preserve">The decision to limit the depth to 100 cm was based on data from the literature </w:t>
      </w:r>
      <w:commentRangeEnd w:id="15"/>
      <w:r w:rsidR="004E20E3">
        <w:rPr>
          <w:rStyle w:val="CommentReference"/>
          <w:rFonts w:ascii="Times New Roman" w:hAnsi="Times New Roman"/>
          <w:lang w:val="nb-NO" w:eastAsia="nb-NO"/>
        </w:rPr>
        <w:commentReference w:id="15"/>
      </w:r>
      <w:r w:rsidRPr="00761A44">
        <w:rPr>
          <w:rFonts w:ascii="Arial" w:hAnsi="Arial" w:cs="Arial"/>
        </w:rPr>
        <w:t xml:space="preserve">(Cornelissen et al., 2003; </w:t>
      </w:r>
      <w:proofErr w:type="spellStart"/>
      <w:r w:rsidRPr="00761A44">
        <w:rPr>
          <w:rFonts w:ascii="Arial" w:hAnsi="Arial" w:cs="Arial"/>
        </w:rPr>
        <w:t>Bouttier</w:t>
      </w:r>
      <w:proofErr w:type="spellEnd"/>
      <w:r w:rsidRPr="00761A44">
        <w:rPr>
          <w:rFonts w:ascii="Arial" w:hAnsi="Arial" w:cs="Arial"/>
        </w:rPr>
        <w:t>, 2013). A total of 120 soil samples (5 depths/pit x 24 pits) were collected in the field.</w:t>
      </w:r>
      <w:r w:rsidR="00502516" w:rsidRPr="00502516">
        <w:rPr>
          <w:rFonts w:ascii="Arial" w:hAnsi="Arial" w:cs="Arial"/>
        </w:rPr>
        <w:t xml:space="preserve">  </w:t>
      </w:r>
    </w:p>
    <w:p w14:paraId="76B9627D" w14:textId="77777777" w:rsidR="00761A44" w:rsidRDefault="00761A44" w:rsidP="00441B6F">
      <w:pPr>
        <w:pStyle w:val="Body"/>
        <w:spacing w:after="0"/>
        <w:rPr>
          <w:rFonts w:ascii="Arial" w:hAnsi="Arial" w:cs="Arial"/>
        </w:rPr>
      </w:pPr>
    </w:p>
    <w:p w14:paraId="410459E2" w14:textId="77777777" w:rsidR="00761A44" w:rsidRDefault="00761A44" w:rsidP="005863FD">
      <w:pPr>
        <w:pStyle w:val="Body"/>
        <w:keepNext/>
        <w:spacing w:after="0"/>
        <w:jc w:val="center"/>
      </w:pPr>
      <w:commentRangeStart w:id="16"/>
      <w:r w:rsidRPr="00761A44">
        <w:rPr>
          <w:rFonts w:ascii="Times New Roman" w:eastAsia="Calibri" w:hAnsi="Times New Roman"/>
          <w:noProof/>
          <w:sz w:val="24"/>
          <w:szCs w:val="24"/>
          <w:lang w:val="fr-FR" w:eastAsia="fr-FR"/>
        </w:rPr>
        <w:drawing>
          <wp:inline distT="0" distB="0" distL="0" distR="0" wp14:anchorId="7388DF22" wp14:editId="64E51110">
            <wp:extent cx="5212080" cy="208092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080925"/>
                    </a:xfrm>
                    <a:prstGeom prst="rect">
                      <a:avLst/>
                    </a:prstGeom>
                    <a:noFill/>
                    <a:ln>
                      <a:noFill/>
                    </a:ln>
                  </pic:spPr>
                </pic:pic>
              </a:graphicData>
            </a:graphic>
          </wp:inline>
        </w:drawing>
      </w:r>
      <w:commentRangeEnd w:id="16"/>
      <w:r w:rsidR="00EF6D73">
        <w:rPr>
          <w:rStyle w:val="CommentReference"/>
          <w:rFonts w:ascii="Times New Roman" w:hAnsi="Times New Roman"/>
          <w:lang w:val="nb-NO" w:eastAsia="nb-NO"/>
        </w:rPr>
        <w:commentReference w:id="16"/>
      </w:r>
    </w:p>
    <w:p w14:paraId="5EF91255" w14:textId="77777777" w:rsidR="00761A44" w:rsidRPr="00761A44" w:rsidRDefault="00761A44" w:rsidP="00C0381B">
      <w:pPr>
        <w:pStyle w:val="Caption"/>
        <w:spacing w:before="120" w:after="12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3</w:t>
      </w:r>
      <w:r w:rsidRPr="00761A44">
        <w:rPr>
          <w:rFonts w:ascii="Arial" w:hAnsi="Arial" w:cs="Arial"/>
          <w:i w:val="0"/>
          <w:color w:val="auto"/>
          <w:sz w:val="20"/>
        </w:rPr>
        <w:fldChar w:fldCharType="end"/>
      </w:r>
      <w:r w:rsidRPr="00761A44">
        <w:rPr>
          <w:rFonts w:ascii="Arial" w:hAnsi="Arial" w:cs="Arial"/>
          <w:i w:val="0"/>
          <w:color w:val="auto"/>
          <w:sz w:val="20"/>
        </w:rPr>
        <w:t>: Overview of sampling pits (</w:t>
      </w:r>
      <w:proofErr w:type="gramStart"/>
      <w:r w:rsidRPr="00761A44">
        <w:rPr>
          <w:rFonts w:ascii="Arial" w:hAnsi="Arial" w:cs="Arial"/>
          <w:i w:val="0"/>
          <w:color w:val="auto"/>
          <w:sz w:val="20"/>
        </w:rPr>
        <w:t>A ;</w:t>
      </w:r>
      <w:proofErr w:type="gramEnd"/>
      <w:r w:rsidRPr="00761A44">
        <w:rPr>
          <w:rFonts w:ascii="Arial" w:hAnsi="Arial" w:cs="Arial"/>
          <w:i w:val="0"/>
          <w:color w:val="auto"/>
          <w:sz w:val="20"/>
        </w:rPr>
        <w:t xml:space="preserve"> B), root sorting (C ; D) and the Diagram showing the location of the pit and depth levels considered for soil collection and root assessment (E).</w:t>
      </w:r>
    </w:p>
    <w:p w14:paraId="144141EA" w14:textId="5452CE75" w:rsidR="00B01FCD" w:rsidRDefault="00C0381B" w:rsidP="00C0381B">
      <w:pPr>
        <w:pStyle w:val="Body"/>
        <w:spacing w:after="0"/>
        <w:rPr>
          <w:rFonts w:ascii="Arial" w:hAnsi="Arial" w:cs="Arial"/>
        </w:rPr>
      </w:pPr>
      <w:r w:rsidRPr="00C0381B">
        <w:rPr>
          <w:rFonts w:ascii="Arial" w:hAnsi="Arial" w:cs="Arial"/>
        </w:rPr>
        <w:t xml:space="preserve">The soil was removed by depth level (layer) (Figure </w:t>
      </w:r>
      <w:r w:rsidR="00F67BE7">
        <w:rPr>
          <w:rFonts w:ascii="Arial" w:hAnsi="Arial" w:cs="Arial"/>
        </w:rPr>
        <w:t>3</w:t>
      </w:r>
      <w:r w:rsidRPr="00C0381B">
        <w:rPr>
          <w:rFonts w:ascii="Arial" w:hAnsi="Arial" w:cs="Arial"/>
        </w:rPr>
        <w:t xml:space="preserve"> E). All of this soil was placed on a 5 mm mesh sieve laid on a tarpaulin (Figure </w:t>
      </w:r>
      <w:r w:rsidR="00F67BE7">
        <w:rPr>
          <w:rFonts w:ascii="Arial" w:hAnsi="Arial" w:cs="Arial"/>
        </w:rPr>
        <w:t>3</w:t>
      </w:r>
      <w:r w:rsidRPr="00C0381B">
        <w:rPr>
          <w:rFonts w:ascii="Arial" w:hAnsi="Arial" w:cs="Arial"/>
        </w:rPr>
        <w:t xml:space="preserve">C&amp;D). The roots were sorted manually and packed in plastic bags, labelled, and the fresh weight (FW) in g was measured using a precision electronic balance accurate to 0.1 g. The labels indicated the date the roots were harvested, the name of the village, the plot number, the area where the pit was located, and the depth. The roots of the different species were identified (based on their </w:t>
      </w:r>
      <w:proofErr w:type="spellStart"/>
      <w:r w:rsidRPr="00C0381B">
        <w:rPr>
          <w:rFonts w:ascii="Arial" w:hAnsi="Arial" w:cs="Arial"/>
        </w:rPr>
        <w:t>colour</w:t>
      </w:r>
      <w:proofErr w:type="spellEnd"/>
      <w:r w:rsidRPr="00C0381B">
        <w:rPr>
          <w:rFonts w:ascii="Arial" w:hAnsi="Arial" w:cs="Arial"/>
        </w:rPr>
        <w:t xml:space="preserve"> and morphology). Due to ambiguous definitions of roots (Ping et al., 2010; Norby and Jackson, 2000), root diameter was used in this study as the criterion for defining the different root classes. Thus, all roots with a diameter of less than 2 mm (d ≤ 2 mm) are considered fine roots, and all those with a diameter greater than 2 mm (d &gt; 2 mm) are considered coarse roots (</w:t>
      </w:r>
      <w:proofErr w:type="spellStart"/>
      <w:r w:rsidRPr="00C0381B">
        <w:rPr>
          <w:rFonts w:ascii="Arial" w:hAnsi="Arial" w:cs="Arial"/>
        </w:rPr>
        <w:t>Defrenet</w:t>
      </w:r>
      <w:proofErr w:type="spellEnd"/>
      <w:r w:rsidRPr="00C0381B">
        <w:rPr>
          <w:rFonts w:ascii="Arial" w:hAnsi="Arial" w:cs="Arial"/>
        </w:rPr>
        <w:t>, 2012). We considered the total biomass of coarse roots and fine roots in each layer. Very fine roots that escaped sorting were captured as follows: At each depth level considered, before disturbing the soil, a sub-sample was taken using cylindrical steel tubes with an internal diameter of 4 cm and a height of 10 cm. This sample was transported to the laboratory for washing in order to sort out the very fine roots that would not have been sorted in the field.</w:t>
      </w:r>
    </w:p>
    <w:p w14:paraId="268A6B3A" w14:textId="77777777" w:rsidR="00C0381B" w:rsidRPr="00C0381B" w:rsidRDefault="00C0381B" w:rsidP="00C0381B">
      <w:pPr>
        <w:pStyle w:val="Body"/>
        <w:spacing w:after="0"/>
        <w:rPr>
          <w:rFonts w:ascii="Arial" w:hAnsi="Arial" w:cs="Arial"/>
        </w:rPr>
      </w:pPr>
      <w:r w:rsidRPr="00C0381B">
        <w:rPr>
          <w:rFonts w:ascii="Arial" w:hAnsi="Arial" w:cs="Arial"/>
        </w:rPr>
        <w:lastRenderedPageBreak/>
        <w:t>The most commonly used washing procedure is washing with water. For this purpose, we have developed equipment that is also used by Pucheta et al. (2004) and Klumpp et al. (2007) to wash and separate the roots efficiently. The equipment consists of two containers (50 cm in diameter) covered respectively by 5 mm and 2 mm mesh sieves and connected vertically.</w:t>
      </w:r>
    </w:p>
    <w:p w14:paraId="274052E8" w14:textId="77777777" w:rsidR="00C0381B" w:rsidRPr="00C0381B" w:rsidRDefault="00C0381B" w:rsidP="00C0381B">
      <w:pPr>
        <w:pStyle w:val="Body"/>
        <w:spacing w:after="0"/>
        <w:rPr>
          <w:rFonts w:ascii="Arial" w:hAnsi="Arial" w:cs="Arial"/>
        </w:rPr>
      </w:pPr>
      <w:r w:rsidRPr="00C0381B">
        <w:rPr>
          <w:rFonts w:ascii="Arial" w:hAnsi="Arial" w:cs="Arial"/>
        </w:rPr>
        <w:t xml:space="preserve">The fine roots extracted after washing were weighed and the weight extrapolated for the volume of soil blocks taken at each depth. The weight found was added to that of the fine roots sorted in the field. The dry mass (DM) of the fine and coarse roots was measured separately after drying the roots collected by layer in an oven at 80°C until a constant weight was reached. </w:t>
      </w:r>
    </w:p>
    <w:p w14:paraId="69B96904" w14:textId="77777777" w:rsidR="00A03B96" w:rsidRDefault="00C0381B" w:rsidP="00C0381B">
      <w:pPr>
        <w:pStyle w:val="Body"/>
        <w:spacing w:after="0"/>
        <w:rPr>
          <w:rFonts w:ascii="Arial" w:hAnsi="Arial" w:cs="Arial"/>
        </w:rPr>
      </w:pPr>
      <w:r w:rsidRPr="00C0381B">
        <w:rPr>
          <w:rFonts w:ascii="Arial" w:hAnsi="Arial" w:cs="Arial"/>
        </w:rPr>
        <w:t xml:space="preserve">In order to compare our results with those of previous studies, the mass of coarse and fine roots per layer estimated in grams over an area of 0.49 m² was converted to </w:t>
      </w:r>
      <w:proofErr w:type="spellStart"/>
      <w:r w:rsidRPr="00C0381B">
        <w:rPr>
          <w:rFonts w:ascii="Arial" w:hAnsi="Arial" w:cs="Arial"/>
        </w:rPr>
        <w:t>tonnes</w:t>
      </w:r>
      <w:proofErr w:type="spellEnd"/>
      <w:r w:rsidRPr="00C0381B">
        <w:rPr>
          <w:rFonts w:ascii="Arial" w:hAnsi="Arial" w:cs="Arial"/>
        </w:rPr>
        <w:t xml:space="preserve"> per hectare (t ha</w:t>
      </w:r>
      <w:r w:rsidRPr="00C0381B">
        <w:rPr>
          <w:rFonts w:ascii="Cambria Math" w:hAnsi="Cambria Math" w:cs="Cambria Math"/>
        </w:rPr>
        <w:t>⁻</w:t>
      </w:r>
      <w:r w:rsidRPr="00C0381B">
        <w:rPr>
          <w:rFonts w:ascii="Arial" w:hAnsi="Arial" w:cs="Arial"/>
        </w:rPr>
        <w:t xml:space="preserve">¹) using the following </w:t>
      </w:r>
      <w:proofErr w:type="gramStart"/>
      <w:r w:rsidRPr="00C0381B">
        <w:rPr>
          <w:rFonts w:ascii="Arial" w:hAnsi="Arial" w:cs="Arial"/>
        </w:rPr>
        <w:t>formula:</w:t>
      </w:r>
      <w:r w:rsidR="00A03B96" w:rsidRPr="002E0D56">
        <w:rPr>
          <w:rFonts w:ascii="Arial" w:hAnsi="Arial" w:cs="Arial"/>
        </w:rPr>
        <w:t>.</w:t>
      </w:r>
      <w:proofErr w:type="gramEnd"/>
    </w:p>
    <w:p w14:paraId="08FEBD63" w14:textId="77777777" w:rsidR="00A03B96" w:rsidRDefault="00A03B96" w:rsidP="00441B6F">
      <w:pPr>
        <w:pStyle w:val="Body"/>
        <w:spacing w:after="0"/>
        <w:rPr>
          <w:rFonts w:ascii="Arial" w:hAnsi="Arial" w:cs="Arial"/>
        </w:rPr>
      </w:pPr>
    </w:p>
    <w:p w14:paraId="2FB426E7" w14:textId="77777777" w:rsidR="00C0381B" w:rsidRPr="00C0381B" w:rsidRDefault="00961204" w:rsidP="00C0381B">
      <w:pPr>
        <w:suppressAutoHyphens/>
        <w:autoSpaceDN w:val="0"/>
        <w:spacing w:line="360" w:lineRule="auto"/>
        <w:jc w:val="center"/>
        <w:textAlignment w:val="baseline"/>
        <w:rPr>
          <w:rFonts w:ascii="Arial" w:eastAsia="Calibri" w:hAnsi="Arial" w:cs="Arial"/>
          <w:sz w:val="26"/>
          <w:szCs w:val="26"/>
          <w:lang w:val="fr-FR"/>
        </w:rPr>
      </w:pPr>
      <m:oMathPara>
        <m:oMathParaPr>
          <m:jc m:val="center"/>
        </m:oMathParaPr>
        <m:oMath>
          <m:sSub>
            <m:sSubPr>
              <m:ctrlPr>
                <w:rPr>
                  <w:rFonts w:ascii="Cambria Math" w:eastAsia="Calibri" w:hAnsi="Cambria Math" w:cs="Arial"/>
                  <w:szCs w:val="26"/>
                  <w:lang w:val="fr-FR"/>
                </w:rPr>
              </m:ctrlPr>
            </m:sSubPr>
            <m:e>
              <m:r>
                <w:rPr>
                  <w:rFonts w:ascii="Cambria Math" w:eastAsia="Calibri" w:hAnsi="Cambria Math" w:cs="Arial"/>
                  <w:szCs w:val="26"/>
                  <w:lang w:val="fr-FR"/>
                </w:rPr>
                <m:t>Bm</m:t>
              </m:r>
            </m:e>
            <m:sub>
              <m:r>
                <w:rPr>
                  <w:rFonts w:ascii="Cambria Math" w:eastAsia="Calibri" w:hAnsi="Cambria Math" w:cs="Arial"/>
                  <w:szCs w:val="26"/>
                  <w:lang w:val="fr-FR"/>
                </w:rPr>
                <m:t>C</m:t>
              </m:r>
            </m:sub>
          </m:sSub>
          <m:r>
            <w:rPr>
              <w:rFonts w:ascii="Cambria Math" w:eastAsia="Calibri" w:hAnsi="Cambria Math" w:cs="Arial"/>
              <w:szCs w:val="26"/>
              <w:lang w:val="fr-FR"/>
            </w:rPr>
            <m:t xml:space="preserve">i </m:t>
          </m:r>
          <m:d>
            <m:dPr>
              <m:ctrlPr>
                <w:rPr>
                  <w:rFonts w:ascii="Cambria Math" w:eastAsia="Calibri" w:hAnsi="Cambria Math" w:cs="Arial"/>
                  <w:szCs w:val="26"/>
                  <w:lang w:val="fr-FR"/>
                </w:rPr>
              </m:ctrlPr>
            </m:dPr>
            <m:e>
              <m:r>
                <w:rPr>
                  <w:rFonts w:ascii="Cambria Math" w:eastAsia="Calibri" w:hAnsi="Cambria Math" w:cs="Arial"/>
                  <w:szCs w:val="26"/>
                  <w:lang w:val="fr-FR"/>
                </w:rPr>
                <m:t xml:space="preserve">t </m:t>
              </m:r>
              <m:sSup>
                <m:sSupPr>
                  <m:ctrlPr>
                    <w:rPr>
                      <w:rFonts w:ascii="Cambria Math" w:eastAsia="Calibri" w:hAnsi="Cambria Math" w:cs="Arial"/>
                      <w:szCs w:val="26"/>
                      <w:lang w:val="fr-FR"/>
                    </w:rPr>
                  </m:ctrlPr>
                </m:sSupPr>
                <m:e>
                  <m:r>
                    <w:rPr>
                      <w:rFonts w:ascii="Cambria Math" w:eastAsia="Calibri" w:hAnsi="Cambria Math" w:cs="Arial"/>
                      <w:szCs w:val="26"/>
                      <w:lang w:val="fr-FR"/>
                    </w:rPr>
                    <m:t>ha</m:t>
                  </m:r>
                </m:e>
                <m:sup>
                  <m:r>
                    <w:rPr>
                      <w:rFonts w:ascii="Cambria Math" w:eastAsia="Calibri" w:hAnsi="Cambria Math" w:cs="Arial"/>
                      <w:szCs w:val="26"/>
                      <w:lang w:val="fr-FR"/>
                    </w:rPr>
                    <m:t>-1</m:t>
                  </m:r>
                </m:sup>
              </m:sSup>
            </m:e>
          </m:d>
          <m:r>
            <w:rPr>
              <w:rFonts w:ascii="Cambria Math" w:eastAsia="Calibri" w:hAnsi="Cambria Math" w:cs="Arial"/>
              <w:szCs w:val="26"/>
              <w:lang w:val="fr-FR"/>
            </w:rPr>
            <m:t>=</m:t>
          </m:r>
          <m:f>
            <m:fPr>
              <m:ctrlPr>
                <w:rPr>
                  <w:rFonts w:ascii="Cambria Math" w:eastAsia="Calibri" w:hAnsi="Cambria Math" w:cs="Arial"/>
                  <w:szCs w:val="26"/>
                  <w:lang w:val="fr-FR"/>
                </w:rPr>
              </m:ctrlPr>
            </m:fPr>
            <m:num>
              <m:f>
                <m:fPr>
                  <m:ctrlPr>
                    <w:rPr>
                      <w:rFonts w:ascii="Cambria Math" w:eastAsia="Calibri" w:hAnsi="Cambria Math" w:cs="Arial"/>
                      <w:szCs w:val="26"/>
                      <w:lang w:val="fr-FR"/>
                    </w:rPr>
                  </m:ctrlPr>
                </m:fPr>
                <m:num>
                  <m:r>
                    <w:rPr>
                      <w:rFonts w:ascii="Cambria Math" w:eastAsia="Calibri" w:hAnsi="Cambria Math" w:cs="Arial"/>
                      <w:szCs w:val="26"/>
                      <w:lang w:val="fr-FR"/>
                    </w:rPr>
                    <m:t>DMi(en g)</m:t>
                  </m:r>
                </m:num>
                <m:den>
                  <m:r>
                    <w:rPr>
                      <w:rFonts w:ascii="Cambria Math" w:eastAsia="Calibri" w:hAnsi="Cambria Math" w:cs="Arial"/>
                      <w:szCs w:val="26"/>
                      <w:lang w:val="fr-FR"/>
                    </w:rPr>
                    <m:t>1 000 000</m:t>
                  </m:r>
                </m:den>
              </m:f>
              <m:r>
                <w:rPr>
                  <w:rFonts w:ascii="Cambria Math" w:eastAsia="Calibri" w:hAnsi="Cambria Math" w:cs="Arial"/>
                  <w:szCs w:val="26"/>
                  <w:lang w:val="fr-FR"/>
                </w:rPr>
                <m:t>x10 000</m:t>
              </m:r>
            </m:num>
            <m:den>
              <m:r>
                <m:rPr>
                  <m:sty m:val="p"/>
                </m:rPr>
                <w:rPr>
                  <w:rFonts w:ascii="Cambria Math" w:eastAsia="Calibri" w:hAnsi="Cambria Math" w:cs="Arial"/>
                  <w:szCs w:val="26"/>
                  <w:lang w:val="fr-FR"/>
                </w:rPr>
                <m:t xml:space="preserve">0,49 </m:t>
              </m:r>
              <m:sSup>
                <m:sSupPr>
                  <m:ctrlPr>
                    <w:rPr>
                      <w:rFonts w:ascii="Cambria Math" w:eastAsia="Calibri" w:hAnsi="Cambria Math" w:cs="Arial"/>
                      <w:szCs w:val="26"/>
                      <w:lang w:val="fr-FR"/>
                    </w:rPr>
                  </m:ctrlPr>
                </m:sSupPr>
                <m:e>
                  <m:r>
                    <w:rPr>
                      <w:rFonts w:ascii="Cambria Math" w:eastAsia="Calibri" w:hAnsi="Cambria Math" w:cs="Arial"/>
                      <w:szCs w:val="26"/>
                      <w:lang w:val="fr-FR"/>
                    </w:rPr>
                    <m:t>m</m:t>
                  </m:r>
                </m:e>
                <m:sup>
                  <m:r>
                    <w:rPr>
                      <w:rFonts w:ascii="Cambria Math" w:eastAsia="Calibri" w:hAnsi="Cambria Math" w:cs="Arial"/>
                      <w:szCs w:val="26"/>
                      <w:lang w:val="fr-FR"/>
                    </w:rPr>
                    <m:t>2</m:t>
                  </m:r>
                </m:sup>
              </m:sSup>
            </m:den>
          </m:f>
          <m:r>
            <w:rPr>
              <w:rFonts w:ascii="Cambria Math" w:eastAsia="Calibri" w:hAnsi="Cambria Math" w:cs="Arial"/>
              <w:szCs w:val="26"/>
              <w:lang w:val="fr-FR"/>
            </w:rPr>
            <m:t xml:space="preserve">                                                            (1)</m:t>
          </m:r>
        </m:oMath>
      </m:oMathPara>
    </w:p>
    <w:p w14:paraId="2D453EA4" w14:textId="77777777" w:rsidR="00C0381B" w:rsidRPr="00C0381B" w:rsidRDefault="00C0381B" w:rsidP="00C0381B">
      <w:pPr>
        <w:pStyle w:val="Body"/>
        <w:rPr>
          <w:rFonts w:ascii="Arial" w:hAnsi="Arial" w:cs="Arial"/>
        </w:rPr>
      </w:pPr>
      <w:r w:rsidRPr="00C0381B">
        <w:rPr>
          <w:rFonts w:ascii="Arial" w:hAnsi="Arial" w:cs="Arial"/>
        </w:rPr>
        <w:t xml:space="preserve">Where </w:t>
      </w:r>
      <w:proofErr w:type="spellStart"/>
      <w:r w:rsidRPr="00C0381B">
        <w:rPr>
          <w:rFonts w:ascii="Arial" w:hAnsi="Arial" w:cs="Arial"/>
        </w:rPr>
        <w:t>Bmci</w:t>
      </w:r>
      <w:proofErr w:type="spellEnd"/>
      <w:r w:rsidRPr="00C0381B">
        <w:rPr>
          <w:rFonts w:ascii="Arial" w:hAnsi="Arial" w:cs="Arial"/>
        </w:rPr>
        <w:t xml:space="preserve"> = biomass of fine roots or coarse roots per layer and 0.49 m² = pit area.</w:t>
      </w:r>
    </w:p>
    <w:p w14:paraId="5480E16F" w14:textId="77777777" w:rsidR="00A03B96" w:rsidRDefault="00C0381B" w:rsidP="00C0381B">
      <w:pPr>
        <w:pStyle w:val="Body"/>
        <w:spacing w:after="0"/>
        <w:rPr>
          <w:rFonts w:ascii="Arial" w:hAnsi="Arial" w:cs="Arial"/>
        </w:rPr>
      </w:pPr>
      <w:r w:rsidRPr="00C0381B">
        <w:rPr>
          <w:rFonts w:ascii="Arial" w:hAnsi="Arial" w:cs="Arial"/>
        </w:rPr>
        <w:t>The biomass per layer of fine roots (</w:t>
      </w:r>
      <w:proofErr w:type="spellStart"/>
      <w:r w:rsidRPr="00C0381B">
        <w:rPr>
          <w:rFonts w:ascii="Arial" w:hAnsi="Arial" w:cs="Arial"/>
        </w:rPr>
        <w:t>BmCF</w:t>
      </w:r>
      <w:proofErr w:type="spellEnd"/>
      <w:r w:rsidRPr="00C0381B">
        <w:rPr>
          <w:rFonts w:ascii="Arial" w:hAnsi="Arial" w:cs="Arial"/>
        </w:rPr>
        <w:t>) and coarse roots (</w:t>
      </w:r>
      <w:proofErr w:type="spellStart"/>
      <w:r w:rsidRPr="00C0381B">
        <w:rPr>
          <w:rFonts w:ascii="Arial" w:hAnsi="Arial" w:cs="Arial"/>
        </w:rPr>
        <w:t>BmCG</w:t>
      </w:r>
      <w:proofErr w:type="spellEnd"/>
      <w:r w:rsidRPr="00C0381B">
        <w:rPr>
          <w:rFonts w:ascii="Arial" w:hAnsi="Arial" w:cs="Arial"/>
        </w:rPr>
        <w:t>) obtained in this way was combined to determine the total root biomass per layer (</w:t>
      </w:r>
      <w:proofErr w:type="spellStart"/>
      <w:r w:rsidRPr="00C0381B">
        <w:rPr>
          <w:rFonts w:ascii="Arial" w:hAnsi="Arial" w:cs="Arial"/>
        </w:rPr>
        <w:t>BmCT</w:t>
      </w:r>
      <w:proofErr w:type="spellEnd"/>
      <w:r w:rsidRPr="00C0381B">
        <w:rPr>
          <w:rFonts w:ascii="Arial" w:hAnsi="Arial" w:cs="Arial"/>
        </w:rPr>
        <w:t>)</w:t>
      </w:r>
    </w:p>
    <w:p w14:paraId="6F554094" w14:textId="77777777" w:rsidR="00C0381B" w:rsidRDefault="00C0381B" w:rsidP="00C0381B">
      <w:pPr>
        <w:pStyle w:val="Body"/>
        <w:spacing w:after="0"/>
        <w:rPr>
          <w:rFonts w:ascii="Arial" w:hAnsi="Arial" w:cs="Arial"/>
        </w:rPr>
      </w:pPr>
    </w:p>
    <w:p w14:paraId="349B6521" w14:textId="77777777" w:rsidR="00C0381B" w:rsidRPr="00C0381B" w:rsidRDefault="00961204" w:rsidP="00C0381B">
      <w:pPr>
        <w:suppressAutoHyphens/>
        <w:autoSpaceDN w:val="0"/>
        <w:spacing w:line="360" w:lineRule="auto"/>
        <w:jc w:val="center"/>
        <w:textAlignment w:val="baseline"/>
        <w:rPr>
          <w:rFonts w:ascii="Arial" w:eastAsia="Calibri" w:hAnsi="Arial" w:cs="Arial"/>
          <w:sz w:val="24"/>
          <w:szCs w:val="24"/>
          <w:lang w:val="fr-FR"/>
        </w:rPr>
      </w:pPr>
      <m:oMathPara>
        <m:oMath>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 xml:space="preserve">T </m:t>
          </m:r>
          <m:d>
            <m:dPr>
              <m:ctrlPr>
                <w:rPr>
                  <w:rFonts w:ascii="Cambria Math" w:eastAsia="Calibri" w:hAnsi="Cambria Math" w:cs="Arial"/>
                  <w:sz w:val="24"/>
                  <w:szCs w:val="24"/>
                  <w:lang w:val="fr-FR"/>
                </w:rPr>
              </m:ctrlPr>
            </m:dPr>
            <m:e>
              <m:r>
                <w:rPr>
                  <w:rFonts w:ascii="Cambria Math" w:eastAsia="Calibri" w:hAnsi="Cambria Math" w:cs="Arial"/>
                  <w:sz w:val="24"/>
                  <w:szCs w:val="24"/>
                  <w:lang w:val="fr-FR"/>
                </w:rPr>
                <m:t xml:space="preserve">t </m:t>
              </m:r>
              <m:sSup>
                <m:sSupPr>
                  <m:ctrlPr>
                    <w:rPr>
                      <w:rFonts w:ascii="Cambria Math" w:eastAsia="Calibri" w:hAnsi="Cambria Math" w:cs="Arial"/>
                      <w:sz w:val="24"/>
                      <w:szCs w:val="24"/>
                      <w:lang w:val="fr-FR"/>
                    </w:rPr>
                  </m:ctrlPr>
                </m:sSupPr>
                <m:e>
                  <m:r>
                    <w:rPr>
                      <w:rFonts w:ascii="Cambria Math" w:eastAsia="Calibri" w:hAnsi="Cambria Math" w:cs="Arial"/>
                      <w:sz w:val="24"/>
                      <w:szCs w:val="24"/>
                      <w:lang w:val="fr-FR"/>
                    </w:rPr>
                    <m:t>ha</m:t>
                  </m:r>
                </m:e>
                <m:sup>
                  <m:r>
                    <w:rPr>
                      <w:rFonts w:ascii="Cambria Math" w:eastAsia="Calibri" w:hAnsi="Cambria Math" w:cs="Arial"/>
                      <w:sz w:val="24"/>
                      <w:szCs w:val="24"/>
                      <w:lang w:val="fr-FR"/>
                    </w:rPr>
                    <m:t>-1</m:t>
                  </m:r>
                </m:sup>
              </m:sSup>
            </m:e>
          </m:d>
          <m:r>
            <w:rPr>
              <w:rFonts w:ascii="Cambria Math" w:eastAsia="Calibri" w:hAnsi="Cambria Math" w:cs="Arial"/>
              <w:sz w:val="24"/>
              <w:szCs w:val="24"/>
              <w:lang w:val="fr-FR"/>
            </w:rPr>
            <m:t xml:space="preserve">=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 xml:space="preserve">F+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G                                                (2)</m:t>
          </m:r>
        </m:oMath>
      </m:oMathPara>
    </w:p>
    <w:p w14:paraId="4883641A" w14:textId="77777777" w:rsidR="00C0381B" w:rsidRDefault="00C0381B" w:rsidP="00C0381B">
      <w:pPr>
        <w:suppressAutoHyphens/>
        <w:autoSpaceDN w:val="0"/>
        <w:spacing w:line="360" w:lineRule="auto"/>
        <w:jc w:val="center"/>
        <w:textAlignment w:val="baseline"/>
        <w:rPr>
          <w:rFonts w:ascii="Arial" w:eastAsia="Calibri" w:hAnsi="Arial" w:cs="Arial"/>
          <w:sz w:val="24"/>
          <w:szCs w:val="24"/>
          <w:lang w:val="fr-FR"/>
        </w:rPr>
      </w:pPr>
    </w:p>
    <w:p w14:paraId="73A40D5D" w14:textId="77777777" w:rsidR="00C0381B" w:rsidRPr="00C0381B" w:rsidRDefault="00C0381B" w:rsidP="00C0381B">
      <w:pPr>
        <w:suppressAutoHyphens/>
        <w:autoSpaceDN w:val="0"/>
        <w:spacing w:line="360" w:lineRule="auto"/>
        <w:textAlignment w:val="baseline"/>
        <w:rPr>
          <w:rFonts w:ascii="Arial" w:eastAsia="Calibri" w:hAnsi="Arial" w:cs="Arial"/>
          <w:b/>
          <w:sz w:val="22"/>
          <w:szCs w:val="24"/>
        </w:rPr>
      </w:pPr>
      <w:r w:rsidRPr="00C0381B">
        <w:rPr>
          <w:rFonts w:ascii="Arial" w:eastAsia="Calibri" w:hAnsi="Arial" w:cs="Arial"/>
          <w:b/>
          <w:sz w:val="22"/>
          <w:szCs w:val="24"/>
        </w:rPr>
        <w:t>2.4. Data analysis</w:t>
      </w:r>
    </w:p>
    <w:p w14:paraId="77A19368" w14:textId="77777777" w:rsidR="00E66E10" w:rsidRDefault="00C0381B" w:rsidP="00441B6F">
      <w:pPr>
        <w:pStyle w:val="Body"/>
        <w:spacing w:after="0"/>
        <w:rPr>
          <w:rFonts w:ascii="Arial" w:hAnsi="Arial" w:cs="Arial"/>
        </w:rPr>
      </w:pPr>
      <w:r w:rsidRPr="00C0381B">
        <w:rPr>
          <w:rFonts w:ascii="Arial" w:eastAsia="Calibri" w:hAnsi="Arial" w:cs="Arial"/>
          <w:szCs w:val="24"/>
        </w:rPr>
        <w:t xml:space="preserve">All data obtained on root biomass were </w:t>
      </w:r>
      <w:proofErr w:type="spellStart"/>
      <w:r w:rsidRPr="00C0381B">
        <w:rPr>
          <w:rFonts w:ascii="Arial" w:eastAsia="Calibri" w:hAnsi="Arial" w:cs="Arial"/>
          <w:szCs w:val="24"/>
        </w:rPr>
        <w:t>organised</w:t>
      </w:r>
      <w:proofErr w:type="spellEnd"/>
      <w:r w:rsidRPr="00C0381B">
        <w:rPr>
          <w:rFonts w:ascii="Arial" w:eastAsia="Calibri" w:hAnsi="Arial" w:cs="Arial"/>
          <w:szCs w:val="24"/>
        </w:rPr>
        <w:t xml:space="preserve"> and compiled using EXCEL 2013 spreadsheets, then statistically processed using XLSTAT software version 2014.2.07. Analysis of variance (ANOVA) and Tukey's multiple comparison test were used to compare the effects of factors (site, depth, canopy and species) on root dry biomass. For all factors, a P-value of less than 0.05 was accepted as statistically significant</w:t>
      </w:r>
      <w:r w:rsidR="00E66E10">
        <w:rPr>
          <w:rFonts w:ascii="Arial" w:eastAsia="Calibri" w:hAnsi="Arial" w:cs="Arial"/>
          <w:color w:val="FF0000"/>
          <w:szCs w:val="22"/>
        </w:rPr>
        <w:t>.</w:t>
      </w:r>
    </w:p>
    <w:p w14:paraId="0CA0E8E8" w14:textId="77777777" w:rsidR="00790ADA" w:rsidRPr="00FB3A86" w:rsidRDefault="00790ADA" w:rsidP="00441B6F">
      <w:pPr>
        <w:pStyle w:val="Body"/>
        <w:spacing w:after="0"/>
        <w:rPr>
          <w:rFonts w:ascii="Arial" w:hAnsi="Arial" w:cs="Arial"/>
        </w:rPr>
      </w:pPr>
    </w:p>
    <w:p w14:paraId="1413C3F5" w14:textId="77777777" w:rsidR="00C0381B" w:rsidRPr="00C15E6E" w:rsidRDefault="00C15E6E" w:rsidP="00441B6F">
      <w:pPr>
        <w:pStyle w:val="Body"/>
        <w:spacing w:after="0"/>
        <w:rPr>
          <w:rFonts w:ascii="Arial" w:hAnsi="Arial" w:cs="Arial"/>
          <w:b/>
          <w:caps/>
        </w:rPr>
      </w:pPr>
      <w:r w:rsidRPr="00C15E6E">
        <w:rPr>
          <w:rFonts w:ascii="Arial" w:hAnsi="Arial" w:cs="Arial"/>
          <w:b/>
          <w:sz w:val="22"/>
          <w:szCs w:val="24"/>
        </w:rPr>
        <w:t xml:space="preserve">3. </w:t>
      </w:r>
      <w:r w:rsidR="00161374" w:rsidRPr="00161374">
        <w:rPr>
          <w:rFonts w:ascii="Arial" w:hAnsi="Arial" w:cs="Arial"/>
          <w:b/>
          <w:sz w:val="22"/>
          <w:szCs w:val="24"/>
        </w:rPr>
        <w:t>RESULTS AND DISCUSSION</w:t>
      </w:r>
    </w:p>
    <w:p w14:paraId="55513FE8" w14:textId="77777777" w:rsidR="00C0381B" w:rsidRDefault="00C0381B" w:rsidP="00441B6F">
      <w:pPr>
        <w:pStyle w:val="Body"/>
        <w:spacing w:after="0"/>
        <w:rPr>
          <w:rFonts w:ascii="Arial" w:hAnsi="Arial" w:cs="Arial"/>
          <w:b/>
          <w:caps/>
          <w:sz w:val="22"/>
        </w:rPr>
      </w:pPr>
    </w:p>
    <w:p w14:paraId="290D8013" w14:textId="77777777" w:rsidR="00C0381B" w:rsidRPr="00161374" w:rsidRDefault="00161374" w:rsidP="00441B6F">
      <w:pPr>
        <w:pStyle w:val="Body"/>
        <w:spacing w:after="0"/>
        <w:rPr>
          <w:rFonts w:ascii="Arial" w:hAnsi="Arial" w:cs="Arial"/>
          <w:b/>
          <w:sz w:val="22"/>
          <w:szCs w:val="24"/>
        </w:rPr>
      </w:pPr>
      <w:r w:rsidRPr="00161374">
        <w:rPr>
          <w:rFonts w:ascii="Arial" w:hAnsi="Arial" w:cs="Arial"/>
          <w:b/>
          <w:sz w:val="22"/>
          <w:szCs w:val="24"/>
        </w:rPr>
        <w:t xml:space="preserve">3.1. </w:t>
      </w:r>
      <w:commentRangeStart w:id="17"/>
      <w:proofErr w:type="spellStart"/>
      <w:r w:rsidR="00C15E6E" w:rsidRPr="00161374">
        <w:rPr>
          <w:rFonts w:ascii="Arial" w:hAnsi="Arial" w:cs="Arial"/>
          <w:b/>
          <w:sz w:val="22"/>
          <w:szCs w:val="24"/>
        </w:rPr>
        <w:t>Caractéristiques</w:t>
      </w:r>
      <w:proofErr w:type="spellEnd"/>
      <w:r w:rsidR="00C15E6E" w:rsidRPr="00161374">
        <w:rPr>
          <w:rFonts w:ascii="Arial" w:hAnsi="Arial" w:cs="Arial"/>
          <w:b/>
          <w:sz w:val="22"/>
          <w:szCs w:val="24"/>
        </w:rPr>
        <w:t xml:space="preserve"> des </w:t>
      </w:r>
      <w:proofErr w:type="spellStart"/>
      <w:r w:rsidR="00C15E6E" w:rsidRPr="00161374">
        <w:rPr>
          <w:rFonts w:ascii="Arial" w:hAnsi="Arial" w:cs="Arial"/>
          <w:b/>
          <w:sz w:val="22"/>
          <w:szCs w:val="24"/>
        </w:rPr>
        <w:t>arbres</w:t>
      </w:r>
      <w:proofErr w:type="spellEnd"/>
      <w:r w:rsidR="00C15E6E" w:rsidRPr="00161374">
        <w:rPr>
          <w:rFonts w:ascii="Arial" w:hAnsi="Arial" w:cs="Arial"/>
          <w:b/>
          <w:sz w:val="22"/>
          <w:szCs w:val="24"/>
        </w:rPr>
        <w:t xml:space="preserve"> </w:t>
      </w:r>
      <w:proofErr w:type="spellStart"/>
      <w:r w:rsidR="00C15E6E" w:rsidRPr="00161374">
        <w:rPr>
          <w:rFonts w:ascii="Arial" w:hAnsi="Arial" w:cs="Arial"/>
          <w:b/>
          <w:sz w:val="22"/>
          <w:szCs w:val="24"/>
        </w:rPr>
        <w:t>étudiés</w:t>
      </w:r>
      <w:commentRangeEnd w:id="17"/>
      <w:proofErr w:type="spellEnd"/>
      <w:r w:rsidR="00E168FD">
        <w:rPr>
          <w:rStyle w:val="CommentReference"/>
          <w:rFonts w:ascii="Times New Roman" w:hAnsi="Times New Roman"/>
          <w:lang w:val="nb-NO" w:eastAsia="nb-NO"/>
        </w:rPr>
        <w:commentReference w:id="17"/>
      </w:r>
    </w:p>
    <w:p w14:paraId="05F715BF" w14:textId="77777777" w:rsidR="00C15E6E" w:rsidRDefault="00C15E6E" w:rsidP="00441B6F">
      <w:pPr>
        <w:pStyle w:val="Body"/>
        <w:spacing w:after="0"/>
        <w:rPr>
          <w:rFonts w:ascii="Arial" w:hAnsi="Arial" w:cs="Arial"/>
          <w:b/>
          <w:caps/>
          <w:sz w:val="22"/>
        </w:rPr>
      </w:pPr>
    </w:p>
    <w:p w14:paraId="730A06BE" w14:textId="77777777" w:rsidR="00AA74E0" w:rsidRPr="00161374" w:rsidRDefault="00161374" w:rsidP="00441B6F">
      <w:pPr>
        <w:pStyle w:val="Body"/>
        <w:spacing w:after="0"/>
        <w:rPr>
          <w:rFonts w:ascii="Arial" w:hAnsi="Arial" w:cs="Arial"/>
        </w:rPr>
      </w:pPr>
      <w:r w:rsidRPr="00161374">
        <w:rPr>
          <w:rFonts w:ascii="Arial" w:hAnsi="Arial" w:cs="Arial"/>
        </w:rPr>
        <w:t>There were no significant differences between the trees selected for the study (table 1). They had an average diameter of 36.5 ± 7.7 cm, a height of 11.2 ± 1.5 m and a crown area of 76.4 ± 20.5 m².</w:t>
      </w:r>
      <w:r w:rsidR="00AA74E0" w:rsidRPr="00161374">
        <w:rPr>
          <w:rFonts w:ascii="Arial" w:hAnsi="Arial" w:cs="Arial"/>
        </w:rPr>
        <w:t xml:space="preserve">  </w:t>
      </w:r>
    </w:p>
    <w:p w14:paraId="62B1965D" w14:textId="77777777" w:rsidR="00161374" w:rsidRPr="00161374" w:rsidRDefault="00161374" w:rsidP="00161374">
      <w:pPr>
        <w:pStyle w:val="Caption"/>
        <w:keepNext/>
        <w:spacing w:before="240" w:after="120"/>
        <w:rPr>
          <w:rFonts w:ascii="Arial" w:hAnsi="Arial" w:cs="Arial"/>
          <w:i w:val="0"/>
          <w:color w:val="auto"/>
          <w:sz w:val="20"/>
        </w:rPr>
      </w:pPr>
      <w:r w:rsidRPr="00161374">
        <w:rPr>
          <w:rFonts w:ascii="Arial" w:hAnsi="Arial" w:cs="Arial"/>
          <w:i w:val="0"/>
          <w:color w:val="auto"/>
          <w:sz w:val="20"/>
        </w:rPr>
        <w:t xml:space="preserve">Table </w:t>
      </w:r>
      <w:r w:rsidRPr="00161374">
        <w:rPr>
          <w:rFonts w:ascii="Arial" w:hAnsi="Arial" w:cs="Arial"/>
          <w:i w:val="0"/>
          <w:color w:val="auto"/>
          <w:sz w:val="20"/>
        </w:rPr>
        <w:fldChar w:fldCharType="begin"/>
      </w:r>
      <w:r w:rsidRPr="00161374">
        <w:rPr>
          <w:rFonts w:ascii="Arial" w:hAnsi="Arial" w:cs="Arial"/>
          <w:i w:val="0"/>
          <w:color w:val="auto"/>
          <w:sz w:val="20"/>
        </w:rPr>
        <w:instrText xml:space="preserve"> SEQ Table \* ARABIC </w:instrText>
      </w:r>
      <w:r w:rsidRPr="00161374">
        <w:rPr>
          <w:rFonts w:ascii="Arial" w:hAnsi="Arial" w:cs="Arial"/>
          <w:i w:val="0"/>
          <w:color w:val="auto"/>
          <w:sz w:val="20"/>
        </w:rPr>
        <w:fldChar w:fldCharType="separate"/>
      </w:r>
      <w:r w:rsidRPr="00161374">
        <w:rPr>
          <w:rFonts w:ascii="Arial" w:hAnsi="Arial" w:cs="Arial"/>
          <w:i w:val="0"/>
          <w:noProof/>
          <w:color w:val="auto"/>
          <w:sz w:val="20"/>
        </w:rPr>
        <w:t>1</w:t>
      </w:r>
      <w:r w:rsidRPr="00161374">
        <w:rPr>
          <w:rFonts w:ascii="Arial" w:hAnsi="Arial" w:cs="Arial"/>
          <w:i w:val="0"/>
          <w:color w:val="auto"/>
          <w:sz w:val="20"/>
        </w:rPr>
        <w:fldChar w:fldCharType="end"/>
      </w:r>
      <w:r w:rsidRPr="00161374">
        <w:rPr>
          <w:rFonts w:ascii="Arial" w:hAnsi="Arial" w:cs="Arial"/>
          <w:i w:val="0"/>
          <w:color w:val="auto"/>
          <w:sz w:val="20"/>
        </w:rPr>
        <w:t>: Characteristics of the trees covered by the study</w:t>
      </w:r>
    </w:p>
    <w:tbl>
      <w:tblPr>
        <w:tblW w:w="5000" w:type="pct"/>
        <w:tblCellMar>
          <w:left w:w="10" w:type="dxa"/>
          <w:right w:w="10" w:type="dxa"/>
        </w:tblCellMar>
        <w:tblLook w:val="0000" w:firstRow="0" w:lastRow="0" w:firstColumn="0" w:lastColumn="0" w:noHBand="0" w:noVBand="0"/>
      </w:tblPr>
      <w:tblGrid>
        <w:gridCol w:w="2371"/>
        <w:gridCol w:w="35"/>
        <w:gridCol w:w="1266"/>
        <w:gridCol w:w="1032"/>
        <w:gridCol w:w="1032"/>
        <w:gridCol w:w="935"/>
        <w:gridCol w:w="663"/>
        <w:gridCol w:w="845"/>
        <w:gridCol w:w="935"/>
        <w:gridCol w:w="762"/>
        <w:gridCol w:w="924"/>
      </w:tblGrid>
      <w:tr w:rsidR="00161374" w:rsidRPr="00161374" w14:paraId="120389DD" w14:textId="77777777" w:rsidTr="005863FD">
        <w:trPr>
          <w:trHeight w:val="330"/>
        </w:trPr>
        <w:tc>
          <w:tcPr>
            <w:tcW w:w="1097" w:type="pct"/>
            <w:vMerge w:val="restart"/>
            <w:tcBorders>
              <w:top w:val="single" w:sz="24" w:space="0" w:color="000000"/>
              <w:bottom w:val="single" w:sz="24" w:space="0" w:color="000000"/>
            </w:tcBorders>
            <w:tcMar>
              <w:top w:w="0" w:type="dxa"/>
              <w:left w:w="70" w:type="dxa"/>
              <w:bottom w:w="0" w:type="dxa"/>
              <w:right w:w="70" w:type="dxa"/>
            </w:tcMar>
            <w:vAlign w:val="center"/>
          </w:tcPr>
          <w:p w14:paraId="51E26A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Sites</w:t>
            </w:r>
          </w:p>
        </w:tc>
        <w:tc>
          <w:tcPr>
            <w:tcW w:w="16" w:type="pct"/>
            <w:tcBorders>
              <w:top w:val="single" w:sz="24" w:space="0" w:color="000000"/>
              <w:bottom w:val="single" w:sz="24" w:space="0" w:color="000000"/>
            </w:tcBorders>
          </w:tcPr>
          <w:p w14:paraId="762F59C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top w:val="single" w:sz="24" w:space="0" w:color="000000"/>
              <w:bottom w:val="single" w:sz="24" w:space="0" w:color="000000"/>
            </w:tcBorders>
            <w:tcMar>
              <w:top w:w="0" w:type="dxa"/>
              <w:left w:w="70" w:type="dxa"/>
              <w:bottom w:w="0" w:type="dxa"/>
              <w:right w:w="70" w:type="dxa"/>
            </w:tcMar>
            <w:vAlign w:val="center"/>
          </w:tcPr>
          <w:p w14:paraId="119325E5"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commentRangeStart w:id="18"/>
            <w:proofErr w:type="spellStart"/>
            <w:r w:rsidRPr="00161374">
              <w:rPr>
                <w:rFonts w:ascii="Times New Roman" w:hAnsi="Times New Roman"/>
                <w:bCs/>
                <w:color w:val="000000"/>
                <w:sz w:val="24"/>
                <w:szCs w:val="24"/>
                <w:lang w:val="fr-FR" w:eastAsia="fr-FR"/>
              </w:rPr>
              <w:t>Diameter</w:t>
            </w:r>
            <w:proofErr w:type="spellEnd"/>
            <w:r w:rsidRPr="00161374">
              <w:rPr>
                <w:rFonts w:ascii="Times New Roman" w:hAnsi="Times New Roman"/>
                <w:bCs/>
                <w:color w:val="000000"/>
                <w:sz w:val="24"/>
                <w:szCs w:val="24"/>
                <w:lang w:val="fr-FR" w:eastAsia="fr-FR"/>
              </w:rPr>
              <w:t xml:space="preserve"> at 1,30m (cm)</w:t>
            </w:r>
            <w:commentRangeEnd w:id="18"/>
            <w:r w:rsidR="00E168FD">
              <w:rPr>
                <w:rStyle w:val="CommentReference"/>
                <w:rFonts w:ascii="Times New Roman" w:hAnsi="Times New Roman"/>
                <w:lang w:val="nb-NO" w:eastAsia="nb-NO"/>
              </w:rPr>
              <w:commentReference w:id="18"/>
            </w:r>
          </w:p>
        </w:tc>
        <w:tc>
          <w:tcPr>
            <w:tcW w:w="1131" w:type="pct"/>
            <w:gridSpan w:val="3"/>
            <w:tcBorders>
              <w:top w:val="single" w:sz="24" w:space="0" w:color="000000"/>
              <w:bottom w:val="single" w:sz="24" w:space="0" w:color="000000"/>
            </w:tcBorders>
            <w:noWrap/>
            <w:tcMar>
              <w:top w:w="0" w:type="dxa"/>
              <w:left w:w="70" w:type="dxa"/>
              <w:bottom w:w="0" w:type="dxa"/>
              <w:right w:w="70" w:type="dxa"/>
            </w:tcMar>
            <w:vAlign w:val="center"/>
          </w:tcPr>
          <w:p w14:paraId="5521818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Height</w:t>
            </w:r>
            <w:proofErr w:type="spellEnd"/>
            <w:r w:rsidRPr="00161374">
              <w:rPr>
                <w:rFonts w:ascii="Times New Roman" w:hAnsi="Times New Roman"/>
                <w:bCs/>
                <w:color w:val="000000"/>
                <w:sz w:val="24"/>
                <w:szCs w:val="24"/>
                <w:lang w:val="fr-FR" w:eastAsia="fr-FR"/>
              </w:rPr>
              <w:t xml:space="preserve"> (m)</w:t>
            </w:r>
          </w:p>
        </w:tc>
        <w:tc>
          <w:tcPr>
            <w:tcW w:w="1215" w:type="pct"/>
            <w:gridSpan w:val="3"/>
            <w:tcBorders>
              <w:top w:val="single" w:sz="24" w:space="0" w:color="000000"/>
            </w:tcBorders>
            <w:tcMar>
              <w:top w:w="0" w:type="dxa"/>
              <w:left w:w="70" w:type="dxa"/>
              <w:bottom w:w="0" w:type="dxa"/>
              <w:right w:w="70" w:type="dxa"/>
            </w:tcMar>
            <w:vAlign w:val="center"/>
          </w:tcPr>
          <w:p w14:paraId="01721E5D" w14:textId="77777777" w:rsidR="00161374" w:rsidRPr="00161374" w:rsidRDefault="00161374" w:rsidP="00161374">
            <w:pPr>
              <w:autoSpaceDN w:val="0"/>
              <w:spacing w:line="360" w:lineRule="auto"/>
              <w:jc w:val="center"/>
              <w:rPr>
                <w:rFonts w:ascii="Times New Roman" w:eastAsia="Calibri" w:hAnsi="Times New Roman"/>
                <w:sz w:val="24"/>
                <w:szCs w:val="24"/>
                <w:lang w:val="fr-FR"/>
              </w:rPr>
            </w:pPr>
            <w:r w:rsidRPr="00161374">
              <w:rPr>
                <w:rFonts w:ascii="Times New Roman" w:hAnsi="Times New Roman"/>
                <w:bCs/>
                <w:color w:val="000000"/>
                <w:sz w:val="24"/>
                <w:szCs w:val="24"/>
                <w:lang w:val="fr-FR" w:eastAsia="fr-FR"/>
              </w:rPr>
              <w:t>Crown area (m</w:t>
            </w:r>
            <w:r w:rsidRPr="00161374">
              <w:rPr>
                <w:rFonts w:ascii="Times New Roman" w:hAnsi="Times New Roman"/>
                <w:bCs/>
                <w:color w:val="000000"/>
                <w:sz w:val="24"/>
                <w:szCs w:val="24"/>
                <w:vertAlign w:val="superscript"/>
                <w:lang w:val="fr-FR" w:eastAsia="fr-FR"/>
              </w:rPr>
              <w:t>2</w:t>
            </w:r>
            <w:r w:rsidRPr="00161374">
              <w:rPr>
                <w:rFonts w:ascii="Times New Roman" w:hAnsi="Times New Roman"/>
                <w:bCs/>
                <w:color w:val="000000"/>
                <w:sz w:val="24"/>
                <w:szCs w:val="24"/>
                <w:lang w:val="fr-FR" w:eastAsia="fr-FR"/>
              </w:rPr>
              <w:t>)</w:t>
            </w:r>
          </w:p>
        </w:tc>
      </w:tr>
      <w:tr w:rsidR="00161374" w:rsidRPr="00161374" w14:paraId="6F976837"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2CCC9FF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4122241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586" w:type="pct"/>
            <w:vMerge w:val="restart"/>
            <w:tcBorders>
              <w:top w:val="single" w:sz="24" w:space="0" w:color="000000"/>
              <w:bottom w:val="single" w:sz="24" w:space="0" w:color="000000"/>
            </w:tcBorders>
            <w:tcMar>
              <w:top w:w="0" w:type="dxa"/>
              <w:left w:w="70" w:type="dxa"/>
              <w:bottom w:w="0" w:type="dxa"/>
              <w:right w:w="70" w:type="dxa"/>
            </w:tcMar>
            <w:vAlign w:val="center"/>
          </w:tcPr>
          <w:p w14:paraId="55CFFFAE"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956" w:type="pct"/>
            <w:gridSpan w:val="2"/>
            <w:tcBorders>
              <w:top w:val="single" w:sz="24" w:space="0" w:color="000000"/>
            </w:tcBorders>
            <w:noWrap/>
            <w:tcMar>
              <w:top w:w="0" w:type="dxa"/>
              <w:left w:w="70" w:type="dxa"/>
              <w:bottom w:w="0" w:type="dxa"/>
              <w:right w:w="70" w:type="dxa"/>
            </w:tcMar>
            <w:vAlign w:val="center"/>
          </w:tcPr>
          <w:p w14:paraId="27908C8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6F6BFA7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698" w:type="pct"/>
            <w:gridSpan w:val="2"/>
            <w:tcBorders>
              <w:top w:val="single" w:sz="24" w:space="0" w:color="000000"/>
            </w:tcBorders>
            <w:noWrap/>
            <w:tcMar>
              <w:top w:w="0" w:type="dxa"/>
              <w:left w:w="70" w:type="dxa"/>
              <w:bottom w:w="0" w:type="dxa"/>
              <w:right w:w="70" w:type="dxa"/>
            </w:tcMar>
            <w:vAlign w:val="center"/>
          </w:tcPr>
          <w:p w14:paraId="1C74CF3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483E7A7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782" w:type="pct"/>
            <w:gridSpan w:val="2"/>
            <w:tcBorders>
              <w:top w:val="single" w:sz="24" w:space="0" w:color="000000"/>
            </w:tcBorders>
            <w:noWrap/>
            <w:tcMar>
              <w:top w:w="0" w:type="dxa"/>
              <w:left w:w="70" w:type="dxa"/>
              <w:bottom w:w="0" w:type="dxa"/>
              <w:right w:w="70" w:type="dxa"/>
            </w:tcMar>
            <w:vAlign w:val="center"/>
          </w:tcPr>
          <w:p w14:paraId="1FED59B6"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r>
      <w:tr w:rsidR="00161374" w:rsidRPr="00161374" w14:paraId="74EC9761"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1E8602AA"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1620F0D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586" w:type="pct"/>
            <w:vMerge/>
            <w:tcBorders>
              <w:top w:val="single" w:sz="24" w:space="0" w:color="000000"/>
              <w:bottom w:val="single" w:sz="24" w:space="0" w:color="000000"/>
            </w:tcBorders>
            <w:tcMar>
              <w:top w:w="0" w:type="dxa"/>
              <w:left w:w="70" w:type="dxa"/>
              <w:bottom w:w="0" w:type="dxa"/>
              <w:right w:w="70" w:type="dxa"/>
            </w:tcMar>
            <w:vAlign w:val="center"/>
          </w:tcPr>
          <w:p w14:paraId="08C3A9E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478" w:type="pct"/>
            <w:tcBorders>
              <w:bottom w:val="single" w:sz="24" w:space="0" w:color="000000"/>
            </w:tcBorders>
            <w:tcMar>
              <w:top w:w="0" w:type="dxa"/>
              <w:left w:w="70" w:type="dxa"/>
              <w:bottom w:w="0" w:type="dxa"/>
              <w:right w:w="70" w:type="dxa"/>
            </w:tcMar>
            <w:vAlign w:val="center"/>
          </w:tcPr>
          <w:p w14:paraId="555A58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78" w:type="pct"/>
            <w:tcBorders>
              <w:bottom w:val="single" w:sz="24" w:space="0" w:color="000000"/>
            </w:tcBorders>
            <w:tcMar>
              <w:top w:w="0" w:type="dxa"/>
              <w:left w:w="70" w:type="dxa"/>
              <w:bottom w:w="0" w:type="dxa"/>
              <w:right w:w="70" w:type="dxa"/>
            </w:tcMar>
            <w:vAlign w:val="center"/>
          </w:tcPr>
          <w:p w14:paraId="0614B9B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bookmarkStart w:id="19" w:name="_Hlk213609880"/>
            <w:r w:rsidRPr="00161374">
              <w:rPr>
                <w:rFonts w:ascii="Times New Roman" w:hAnsi="Times New Roman"/>
                <w:bCs/>
                <w:color w:val="000000"/>
                <w:sz w:val="24"/>
                <w:szCs w:val="24"/>
                <w:lang w:val="fr-FR" w:eastAsia="fr-FR"/>
              </w:rPr>
              <w:t>UL</w:t>
            </w:r>
            <w:bookmarkEnd w:id="19"/>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6425E9E9"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07" w:type="pct"/>
            <w:tcBorders>
              <w:bottom w:val="single" w:sz="24" w:space="0" w:color="000000"/>
            </w:tcBorders>
            <w:tcMar>
              <w:top w:w="0" w:type="dxa"/>
              <w:left w:w="70" w:type="dxa"/>
              <w:bottom w:w="0" w:type="dxa"/>
              <w:right w:w="70" w:type="dxa"/>
            </w:tcMar>
            <w:vAlign w:val="center"/>
          </w:tcPr>
          <w:p w14:paraId="1D8B8B9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391" w:type="pct"/>
            <w:tcBorders>
              <w:bottom w:val="single" w:sz="24" w:space="0" w:color="000000"/>
            </w:tcBorders>
            <w:tcMar>
              <w:top w:w="0" w:type="dxa"/>
              <w:left w:w="70" w:type="dxa"/>
              <w:bottom w:w="0" w:type="dxa"/>
              <w:right w:w="70" w:type="dxa"/>
            </w:tcMar>
            <w:vAlign w:val="center"/>
          </w:tcPr>
          <w:p w14:paraId="0D7670E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13D51F7D"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53" w:type="pct"/>
            <w:tcBorders>
              <w:bottom w:val="single" w:sz="24" w:space="0" w:color="000000"/>
            </w:tcBorders>
            <w:tcMar>
              <w:top w:w="0" w:type="dxa"/>
              <w:left w:w="70" w:type="dxa"/>
              <w:bottom w:w="0" w:type="dxa"/>
              <w:right w:w="70" w:type="dxa"/>
            </w:tcMar>
            <w:vAlign w:val="center"/>
          </w:tcPr>
          <w:p w14:paraId="7225B747"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29" w:type="pct"/>
            <w:tcBorders>
              <w:bottom w:val="single" w:sz="24" w:space="0" w:color="000000"/>
            </w:tcBorders>
            <w:tcMar>
              <w:top w:w="0" w:type="dxa"/>
              <w:left w:w="70" w:type="dxa"/>
              <w:bottom w:w="0" w:type="dxa"/>
              <w:right w:w="70" w:type="dxa"/>
            </w:tcMar>
            <w:vAlign w:val="center"/>
          </w:tcPr>
          <w:p w14:paraId="2BF519D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r>
      <w:tr w:rsidR="00161374" w:rsidRPr="00161374" w14:paraId="1F4DAD4F" w14:textId="77777777" w:rsidTr="005863FD">
        <w:trPr>
          <w:trHeight w:val="330"/>
        </w:trPr>
        <w:tc>
          <w:tcPr>
            <w:tcW w:w="1097" w:type="pct"/>
            <w:tcBorders>
              <w:top w:val="single" w:sz="24" w:space="0" w:color="000000"/>
            </w:tcBorders>
            <w:tcMar>
              <w:top w:w="0" w:type="dxa"/>
              <w:left w:w="70" w:type="dxa"/>
              <w:bottom w:w="0" w:type="dxa"/>
              <w:right w:w="70" w:type="dxa"/>
            </w:tcMar>
            <w:vAlign w:val="center"/>
          </w:tcPr>
          <w:p w14:paraId="33785B60"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Djuié</w:t>
            </w:r>
            <w:proofErr w:type="spellEnd"/>
          </w:p>
        </w:tc>
        <w:tc>
          <w:tcPr>
            <w:tcW w:w="16" w:type="pct"/>
            <w:tcBorders>
              <w:top w:val="single" w:sz="24" w:space="0" w:color="000000"/>
            </w:tcBorders>
          </w:tcPr>
          <w:p w14:paraId="2B56448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tcBorders>
              <w:top w:val="single" w:sz="24" w:space="0" w:color="000000"/>
            </w:tcBorders>
            <w:noWrap/>
            <w:tcMar>
              <w:top w:w="0" w:type="dxa"/>
              <w:left w:w="70" w:type="dxa"/>
              <w:bottom w:w="0" w:type="dxa"/>
              <w:right w:w="70" w:type="dxa"/>
            </w:tcMar>
            <w:vAlign w:val="center"/>
          </w:tcPr>
          <w:p w14:paraId="278F899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30.6</w:t>
            </w:r>
          </w:p>
        </w:tc>
        <w:tc>
          <w:tcPr>
            <w:tcW w:w="478" w:type="pct"/>
            <w:tcBorders>
              <w:top w:val="single" w:sz="24" w:space="0" w:color="000000"/>
            </w:tcBorders>
            <w:noWrap/>
            <w:tcMar>
              <w:top w:w="0" w:type="dxa"/>
              <w:left w:w="70" w:type="dxa"/>
              <w:bottom w:w="0" w:type="dxa"/>
              <w:right w:w="70" w:type="dxa"/>
            </w:tcMar>
            <w:vAlign w:val="center"/>
          </w:tcPr>
          <w:p w14:paraId="489D650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20</w:t>
            </w:r>
          </w:p>
        </w:tc>
        <w:tc>
          <w:tcPr>
            <w:tcW w:w="478" w:type="pct"/>
            <w:tcBorders>
              <w:top w:val="single" w:sz="24" w:space="0" w:color="000000"/>
            </w:tcBorders>
            <w:noWrap/>
            <w:tcMar>
              <w:top w:w="0" w:type="dxa"/>
              <w:left w:w="70" w:type="dxa"/>
              <w:bottom w:w="0" w:type="dxa"/>
              <w:right w:w="70" w:type="dxa"/>
            </w:tcMar>
            <w:vAlign w:val="center"/>
          </w:tcPr>
          <w:p w14:paraId="593A9AB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41.2</w:t>
            </w:r>
          </w:p>
        </w:tc>
        <w:tc>
          <w:tcPr>
            <w:tcW w:w="433" w:type="pct"/>
            <w:tcBorders>
              <w:top w:val="single" w:sz="24" w:space="0" w:color="000000"/>
            </w:tcBorders>
            <w:noWrap/>
            <w:tcMar>
              <w:top w:w="0" w:type="dxa"/>
              <w:left w:w="70" w:type="dxa"/>
              <w:bottom w:w="0" w:type="dxa"/>
              <w:right w:w="70" w:type="dxa"/>
            </w:tcMar>
            <w:vAlign w:val="center"/>
          </w:tcPr>
          <w:p w14:paraId="384DFCA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11.4</w:t>
            </w:r>
          </w:p>
        </w:tc>
        <w:tc>
          <w:tcPr>
            <w:tcW w:w="307" w:type="pct"/>
            <w:tcBorders>
              <w:top w:val="single" w:sz="24" w:space="0" w:color="000000"/>
            </w:tcBorders>
            <w:noWrap/>
            <w:tcMar>
              <w:top w:w="0" w:type="dxa"/>
              <w:left w:w="70" w:type="dxa"/>
              <w:bottom w:w="0" w:type="dxa"/>
              <w:right w:w="70" w:type="dxa"/>
            </w:tcMar>
            <w:vAlign w:val="center"/>
          </w:tcPr>
          <w:p w14:paraId="22E35A68"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8.7</w:t>
            </w:r>
          </w:p>
        </w:tc>
        <w:tc>
          <w:tcPr>
            <w:tcW w:w="391" w:type="pct"/>
            <w:tcBorders>
              <w:top w:val="single" w:sz="24" w:space="0" w:color="000000"/>
            </w:tcBorders>
            <w:noWrap/>
            <w:tcMar>
              <w:top w:w="0" w:type="dxa"/>
              <w:left w:w="70" w:type="dxa"/>
              <w:bottom w:w="0" w:type="dxa"/>
              <w:right w:w="70" w:type="dxa"/>
            </w:tcMar>
            <w:vAlign w:val="center"/>
          </w:tcPr>
          <w:p w14:paraId="07100E4B"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14.1</w:t>
            </w:r>
          </w:p>
        </w:tc>
        <w:tc>
          <w:tcPr>
            <w:tcW w:w="433" w:type="pct"/>
            <w:tcBorders>
              <w:top w:val="single" w:sz="24" w:space="0" w:color="000000"/>
            </w:tcBorders>
            <w:noWrap/>
            <w:tcMar>
              <w:top w:w="0" w:type="dxa"/>
              <w:left w:w="70" w:type="dxa"/>
              <w:bottom w:w="0" w:type="dxa"/>
              <w:right w:w="70" w:type="dxa"/>
            </w:tcMar>
            <w:vAlign w:val="center"/>
          </w:tcPr>
          <w:p w14:paraId="0E0103C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74.9</w:t>
            </w:r>
          </w:p>
        </w:tc>
        <w:tc>
          <w:tcPr>
            <w:tcW w:w="353" w:type="pct"/>
            <w:tcBorders>
              <w:top w:val="single" w:sz="24" w:space="0" w:color="000000"/>
            </w:tcBorders>
            <w:noWrap/>
            <w:tcMar>
              <w:top w:w="0" w:type="dxa"/>
              <w:left w:w="70" w:type="dxa"/>
              <w:bottom w:w="0" w:type="dxa"/>
              <w:right w:w="70" w:type="dxa"/>
            </w:tcMar>
            <w:vAlign w:val="center"/>
          </w:tcPr>
          <w:p w14:paraId="57FB9DE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37.9</w:t>
            </w:r>
          </w:p>
        </w:tc>
        <w:tc>
          <w:tcPr>
            <w:tcW w:w="429" w:type="pct"/>
            <w:tcBorders>
              <w:top w:val="single" w:sz="24" w:space="0" w:color="000000"/>
            </w:tcBorders>
            <w:noWrap/>
            <w:tcMar>
              <w:top w:w="0" w:type="dxa"/>
              <w:left w:w="70" w:type="dxa"/>
              <w:bottom w:w="0" w:type="dxa"/>
              <w:right w:w="70" w:type="dxa"/>
            </w:tcMar>
            <w:vAlign w:val="center"/>
          </w:tcPr>
          <w:p w14:paraId="6AE6476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112</w:t>
            </w:r>
          </w:p>
        </w:tc>
      </w:tr>
      <w:tr w:rsidR="00161374" w:rsidRPr="00161374" w14:paraId="115E619D" w14:textId="77777777" w:rsidTr="005863FD">
        <w:trPr>
          <w:trHeight w:val="645"/>
        </w:trPr>
        <w:tc>
          <w:tcPr>
            <w:tcW w:w="1097" w:type="pct"/>
            <w:tcMar>
              <w:top w:w="0" w:type="dxa"/>
              <w:left w:w="70" w:type="dxa"/>
              <w:bottom w:w="0" w:type="dxa"/>
              <w:right w:w="70" w:type="dxa"/>
            </w:tcMar>
            <w:vAlign w:val="center"/>
          </w:tcPr>
          <w:p w14:paraId="01FE6B6C"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Gombélédougou</w:t>
            </w:r>
            <w:proofErr w:type="spellEnd"/>
          </w:p>
        </w:tc>
        <w:tc>
          <w:tcPr>
            <w:tcW w:w="16" w:type="pct"/>
          </w:tcPr>
          <w:p w14:paraId="186BB8C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779D242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30.2</w:t>
            </w:r>
          </w:p>
        </w:tc>
        <w:tc>
          <w:tcPr>
            <w:tcW w:w="478" w:type="pct"/>
            <w:noWrap/>
            <w:tcMar>
              <w:top w:w="0" w:type="dxa"/>
              <w:left w:w="70" w:type="dxa"/>
              <w:bottom w:w="0" w:type="dxa"/>
              <w:right w:w="70" w:type="dxa"/>
            </w:tcMar>
            <w:vAlign w:val="center"/>
          </w:tcPr>
          <w:p w14:paraId="6281E0C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19.6</w:t>
            </w:r>
          </w:p>
        </w:tc>
        <w:tc>
          <w:tcPr>
            <w:tcW w:w="478" w:type="pct"/>
            <w:noWrap/>
            <w:tcMar>
              <w:top w:w="0" w:type="dxa"/>
              <w:left w:w="70" w:type="dxa"/>
              <w:bottom w:w="0" w:type="dxa"/>
              <w:right w:w="70" w:type="dxa"/>
            </w:tcMar>
            <w:vAlign w:val="center"/>
          </w:tcPr>
          <w:p w14:paraId="2B99646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40.8</w:t>
            </w:r>
          </w:p>
        </w:tc>
        <w:tc>
          <w:tcPr>
            <w:tcW w:w="433" w:type="pct"/>
            <w:noWrap/>
            <w:tcMar>
              <w:top w:w="0" w:type="dxa"/>
              <w:left w:w="70" w:type="dxa"/>
              <w:bottom w:w="0" w:type="dxa"/>
              <w:right w:w="70" w:type="dxa"/>
            </w:tcMar>
            <w:vAlign w:val="center"/>
          </w:tcPr>
          <w:p w14:paraId="36AD6DA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10.3</w:t>
            </w:r>
          </w:p>
        </w:tc>
        <w:tc>
          <w:tcPr>
            <w:tcW w:w="307" w:type="pct"/>
            <w:noWrap/>
            <w:tcMar>
              <w:top w:w="0" w:type="dxa"/>
              <w:left w:w="70" w:type="dxa"/>
              <w:bottom w:w="0" w:type="dxa"/>
              <w:right w:w="70" w:type="dxa"/>
            </w:tcMar>
            <w:vAlign w:val="center"/>
          </w:tcPr>
          <w:p w14:paraId="365570C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w:t>
            </w:r>
          </w:p>
        </w:tc>
        <w:tc>
          <w:tcPr>
            <w:tcW w:w="391" w:type="pct"/>
            <w:noWrap/>
            <w:tcMar>
              <w:top w:w="0" w:type="dxa"/>
              <w:left w:w="70" w:type="dxa"/>
              <w:bottom w:w="0" w:type="dxa"/>
              <w:right w:w="70" w:type="dxa"/>
            </w:tcMar>
            <w:vAlign w:val="center"/>
          </w:tcPr>
          <w:p w14:paraId="06D417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w:t>
            </w:r>
          </w:p>
        </w:tc>
        <w:tc>
          <w:tcPr>
            <w:tcW w:w="433" w:type="pct"/>
            <w:noWrap/>
            <w:tcMar>
              <w:top w:w="0" w:type="dxa"/>
              <w:left w:w="70" w:type="dxa"/>
              <w:bottom w:w="0" w:type="dxa"/>
              <w:right w:w="70" w:type="dxa"/>
            </w:tcMar>
            <w:vAlign w:val="center"/>
          </w:tcPr>
          <w:p w14:paraId="1187ED2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76.7</w:t>
            </w:r>
          </w:p>
        </w:tc>
        <w:tc>
          <w:tcPr>
            <w:tcW w:w="353" w:type="pct"/>
            <w:noWrap/>
            <w:tcMar>
              <w:top w:w="0" w:type="dxa"/>
              <w:left w:w="70" w:type="dxa"/>
              <w:bottom w:w="0" w:type="dxa"/>
              <w:right w:w="70" w:type="dxa"/>
            </w:tcMar>
            <w:vAlign w:val="center"/>
          </w:tcPr>
          <w:p w14:paraId="26A1084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39.7</w:t>
            </w:r>
          </w:p>
        </w:tc>
        <w:tc>
          <w:tcPr>
            <w:tcW w:w="429" w:type="pct"/>
            <w:noWrap/>
            <w:tcMar>
              <w:top w:w="0" w:type="dxa"/>
              <w:left w:w="70" w:type="dxa"/>
              <w:bottom w:w="0" w:type="dxa"/>
              <w:right w:w="70" w:type="dxa"/>
            </w:tcMar>
            <w:vAlign w:val="center"/>
          </w:tcPr>
          <w:p w14:paraId="0AC70D8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113.8</w:t>
            </w:r>
          </w:p>
        </w:tc>
      </w:tr>
      <w:tr w:rsidR="00161374" w:rsidRPr="00161374" w14:paraId="4A563817" w14:textId="77777777" w:rsidTr="005863FD">
        <w:trPr>
          <w:trHeight w:val="330"/>
        </w:trPr>
        <w:tc>
          <w:tcPr>
            <w:tcW w:w="1097" w:type="pct"/>
            <w:tcMar>
              <w:top w:w="0" w:type="dxa"/>
              <w:left w:w="70" w:type="dxa"/>
              <w:bottom w:w="0" w:type="dxa"/>
              <w:right w:w="70" w:type="dxa"/>
            </w:tcMar>
            <w:vAlign w:val="center"/>
          </w:tcPr>
          <w:p w14:paraId="6CD383A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Guéguéré</w:t>
            </w:r>
            <w:proofErr w:type="spellEnd"/>
          </w:p>
        </w:tc>
        <w:tc>
          <w:tcPr>
            <w:tcW w:w="16" w:type="pct"/>
          </w:tcPr>
          <w:p w14:paraId="096E59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69651C0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49.7</w:t>
            </w:r>
          </w:p>
        </w:tc>
        <w:tc>
          <w:tcPr>
            <w:tcW w:w="478" w:type="pct"/>
            <w:noWrap/>
            <w:tcMar>
              <w:top w:w="0" w:type="dxa"/>
              <w:left w:w="70" w:type="dxa"/>
              <w:bottom w:w="0" w:type="dxa"/>
              <w:right w:w="70" w:type="dxa"/>
            </w:tcMar>
            <w:vAlign w:val="center"/>
          </w:tcPr>
          <w:p w14:paraId="66F0AA0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w:t>
            </w:r>
          </w:p>
        </w:tc>
        <w:tc>
          <w:tcPr>
            <w:tcW w:w="478" w:type="pct"/>
            <w:noWrap/>
            <w:tcMar>
              <w:top w:w="0" w:type="dxa"/>
              <w:left w:w="70" w:type="dxa"/>
              <w:bottom w:w="0" w:type="dxa"/>
              <w:right w:w="70" w:type="dxa"/>
            </w:tcMar>
            <w:vAlign w:val="center"/>
          </w:tcPr>
          <w:p w14:paraId="39B6DF6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60.3</w:t>
            </w:r>
          </w:p>
        </w:tc>
        <w:tc>
          <w:tcPr>
            <w:tcW w:w="433" w:type="pct"/>
            <w:noWrap/>
            <w:tcMar>
              <w:top w:w="0" w:type="dxa"/>
              <w:left w:w="70" w:type="dxa"/>
              <w:bottom w:w="0" w:type="dxa"/>
              <w:right w:w="70" w:type="dxa"/>
            </w:tcMar>
            <w:vAlign w:val="center"/>
          </w:tcPr>
          <w:p w14:paraId="37A624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10.7</w:t>
            </w:r>
          </w:p>
        </w:tc>
        <w:tc>
          <w:tcPr>
            <w:tcW w:w="307" w:type="pct"/>
            <w:noWrap/>
            <w:tcMar>
              <w:top w:w="0" w:type="dxa"/>
              <w:left w:w="70" w:type="dxa"/>
              <w:bottom w:w="0" w:type="dxa"/>
              <w:right w:w="70" w:type="dxa"/>
            </w:tcMar>
            <w:vAlign w:val="center"/>
          </w:tcPr>
          <w:p w14:paraId="7BC4BD0F"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7.9</w:t>
            </w:r>
          </w:p>
        </w:tc>
        <w:tc>
          <w:tcPr>
            <w:tcW w:w="391" w:type="pct"/>
            <w:noWrap/>
            <w:tcMar>
              <w:top w:w="0" w:type="dxa"/>
              <w:left w:w="70" w:type="dxa"/>
              <w:bottom w:w="0" w:type="dxa"/>
              <w:right w:w="70" w:type="dxa"/>
            </w:tcMar>
            <w:vAlign w:val="center"/>
          </w:tcPr>
          <w:p w14:paraId="4595D5B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13.4</w:t>
            </w:r>
          </w:p>
        </w:tc>
        <w:tc>
          <w:tcPr>
            <w:tcW w:w="433" w:type="pct"/>
            <w:noWrap/>
            <w:tcMar>
              <w:top w:w="0" w:type="dxa"/>
              <w:left w:w="70" w:type="dxa"/>
              <w:bottom w:w="0" w:type="dxa"/>
              <w:right w:w="70" w:type="dxa"/>
            </w:tcMar>
            <w:vAlign w:val="center"/>
          </w:tcPr>
          <w:p w14:paraId="2033E13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94.6</w:t>
            </w:r>
          </w:p>
        </w:tc>
        <w:tc>
          <w:tcPr>
            <w:tcW w:w="353" w:type="pct"/>
            <w:noWrap/>
            <w:tcMar>
              <w:top w:w="0" w:type="dxa"/>
              <w:left w:w="70" w:type="dxa"/>
              <w:bottom w:w="0" w:type="dxa"/>
              <w:right w:w="70" w:type="dxa"/>
            </w:tcMar>
            <w:vAlign w:val="center"/>
          </w:tcPr>
          <w:p w14:paraId="01539C6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57.6</w:t>
            </w:r>
          </w:p>
        </w:tc>
        <w:tc>
          <w:tcPr>
            <w:tcW w:w="429" w:type="pct"/>
            <w:noWrap/>
            <w:tcMar>
              <w:top w:w="0" w:type="dxa"/>
              <w:left w:w="70" w:type="dxa"/>
              <w:bottom w:w="0" w:type="dxa"/>
              <w:right w:w="70" w:type="dxa"/>
            </w:tcMar>
            <w:vAlign w:val="center"/>
          </w:tcPr>
          <w:p w14:paraId="7FA3CF5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131.7</w:t>
            </w:r>
          </w:p>
        </w:tc>
      </w:tr>
      <w:tr w:rsidR="00161374" w:rsidRPr="00161374" w14:paraId="645A4440" w14:textId="77777777" w:rsidTr="005863FD">
        <w:trPr>
          <w:trHeight w:val="330"/>
        </w:trPr>
        <w:tc>
          <w:tcPr>
            <w:tcW w:w="1097" w:type="pct"/>
            <w:tcMar>
              <w:top w:w="0" w:type="dxa"/>
              <w:left w:w="70" w:type="dxa"/>
              <w:bottom w:w="0" w:type="dxa"/>
              <w:right w:w="70" w:type="dxa"/>
            </w:tcMar>
            <w:vAlign w:val="center"/>
          </w:tcPr>
          <w:p w14:paraId="68B2968E"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Lofing</w:t>
            </w:r>
            <w:proofErr w:type="spellEnd"/>
          </w:p>
        </w:tc>
        <w:tc>
          <w:tcPr>
            <w:tcW w:w="16" w:type="pct"/>
          </w:tcPr>
          <w:p w14:paraId="2646BB6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028F1A0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35.8</w:t>
            </w:r>
          </w:p>
        </w:tc>
        <w:tc>
          <w:tcPr>
            <w:tcW w:w="478" w:type="pct"/>
            <w:noWrap/>
            <w:tcMar>
              <w:top w:w="0" w:type="dxa"/>
              <w:left w:w="70" w:type="dxa"/>
              <w:bottom w:w="0" w:type="dxa"/>
              <w:right w:w="70" w:type="dxa"/>
            </w:tcMar>
            <w:vAlign w:val="center"/>
          </w:tcPr>
          <w:p w14:paraId="46E67BA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25.2</w:t>
            </w:r>
          </w:p>
        </w:tc>
        <w:tc>
          <w:tcPr>
            <w:tcW w:w="478" w:type="pct"/>
            <w:noWrap/>
            <w:tcMar>
              <w:top w:w="0" w:type="dxa"/>
              <w:left w:w="70" w:type="dxa"/>
              <w:bottom w:w="0" w:type="dxa"/>
              <w:right w:w="70" w:type="dxa"/>
            </w:tcMar>
            <w:vAlign w:val="center"/>
          </w:tcPr>
          <w:p w14:paraId="13235C5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46.4</w:t>
            </w:r>
          </w:p>
        </w:tc>
        <w:tc>
          <w:tcPr>
            <w:tcW w:w="433" w:type="pct"/>
            <w:noWrap/>
            <w:tcMar>
              <w:top w:w="0" w:type="dxa"/>
              <w:left w:w="70" w:type="dxa"/>
              <w:bottom w:w="0" w:type="dxa"/>
              <w:right w:w="70" w:type="dxa"/>
            </w:tcMar>
            <w:vAlign w:val="center"/>
          </w:tcPr>
          <w:p w14:paraId="4E9B355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12.3</w:t>
            </w:r>
          </w:p>
        </w:tc>
        <w:tc>
          <w:tcPr>
            <w:tcW w:w="307" w:type="pct"/>
            <w:noWrap/>
            <w:tcMar>
              <w:top w:w="0" w:type="dxa"/>
              <w:left w:w="70" w:type="dxa"/>
              <w:bottom w:w="0" w:type="dxa"/>
              <w:right w:w="70" w:type="dxa"/>
            </w:tcMar>
            <w:vAlign w:val="center"/>
          </w:tcPr>
          <w:p w14:paraId="33598D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w:t>
            </w:r>
          </w:p>
        </w:tc>
        <w:tc>
          <w:tcPr>
            <w:tcW w:w="391" w:type="pct"/>
            <w:noWrap/>
            <w:tcMar>
              <w:top w:w="0" w:type="dxa"/>
              <w:left w:w="70" w:type="dxa"/>
              <w:bottom w:w="0" w:type="dxa"/>
              <w:right w:w="70" w:type="dxa"/>
            </w:tcMar>
            <w:vAlign w:val="center"/>
          </w:tcPr>
          <w:p w14:paraId="0D8F1FF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15</w:t>
            </w:r>
          </w:p>
        </w:tc>
        <w:tc>
          <w:tcPr>
            <w:tcW w:w="433" w:type="pct"/>
            <w:noWrap/>
            <w:tcMar>
              <w:top w:w="0" w:type="dxa"/>
              <w:left w:w="70" w:type="dxa"/>
              <w:bottom w:w="0" w:type="dxa"/>
              <w:right w:w="70" w:type="dxa"/>
            </w:tcMar>
            <w:vAlign w:val="center"/>
          </w:tcPr>
          <w:p w14:paraId="46C906EA"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59.5</w:t>
            </w:r>
          </w:p>
        </w:tc>
        <w:tc>
          <w:tcPr>
            <w:tcW w:w="353" w:type="pct"/>
            <w:noWrap/>
            <w:tcMar>
              <w:top w:w="0" w:type="dxa"/>
              <w:left w:w="70" w:type="dxa"/>
              <w:bottom w:w="0" w:type="dxa"/>
              <w:right w:w="70" w:type="dxa"/>
            </w:tcMar>
            <w:vAlign w:val="center"/>
          </w:tcPr>
          <w:p w14:paraId="291B18D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22.5</w:t>
            </w:r>
          </w:p>
        </w:tc>
        <w:tc>
          <w:tcPr>
            <w:tcW w:w="429" w:type="pct"/>
            <w:noWrap/>
            <w:tcMar>
              <w:top w:w="0" w:type="dxa"/>
              <w:left w:w="70" w:type="dxa"/>
              <w:bottom w:w="0" w:type="dxa"/>
              <w:right w:w="70" w:type="dxa"/>
            </w:tcMar>
            <w:vAlign w:val="center"/>
          </w:tcPr>
          <w:p w14:paraId="0F950E8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96.6</w:t>
            </w:r>
          </w:p>
        </w:tc>
      </w:tr>
      <w:tr w:rsidR="00161374" w:rsidRPr="00161374" w14:paraId="011036FF" w14:textId="77777777" w:rsidTr="005863FD">
        <w:trPr>
          <w:trHeight w:val="330"/>
        </w:trPr>
        <w:tc>
          <w:tcPr>
            <w:tcW w:w="1097" w:type="pct"/>
            <w:tcMar>
              <w:top w:w="0" w:type="dxa"/>
              <w:left w:w="70" w:type="dxa"/>
              <w:bottom w:w="0" w:type="dxa"/>
              <w:right w:w="70" w:type="dxa"/>
            </w:tcMar>
            <w:vAlign w:val="center"/>
          </w:tcPr>
          <w:p w14:paraId="75F93FD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F</w:t>
            </w:r>
          </w:p>
        </w:tc>
        <w:tc>
          <w:tcPr>
            <w:tcW w:w="16" w:type="pct"/>
          </w:tcPr>
          <w:p w14:paraId="7612E6D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noWrap/>
            <w:tcMar>
              <w:top w:w="0" w:type="dxa"/>
              <w:left w:w="70" w:type="dxa"/>
              <w:bottom w:w="0" w:type="dxa"/>
              <w:right w:w="70" w:type="dxa"/>
            </w:tcMar>
            <w:vAlign w:val="center"/>
          </w:tcPr>
          <w:p w14:paraId="4E2F51F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3.918</w:t>
            </w:r>
          </w:p>
        </w:tc>
        <w:tc>
          <w:tcPr>
            <w:tcW w:w="1131" w:type="pct"/>
            <w:gridSpan w:val="3"/>
            <w:noWrap/>
            <w:tcMar>
              <w:top w:w="0" w:type="dxa"/>
              <w:left w:w="70" w:type="dxa"/>
              <w:bottom w:w="0" w:type="dxa"/>
              <w:right w:w="70" w:type="dxa"/>
            </w:tcMar>
            <w:vAlign w:val="center"/>
          </w:tcPr>
          <w:p w14:paraId="0868A563"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0.537</w:t>
            </w:r>
          </w:p>
        </w:tc>
        <w:tc>
          <w:tcPr>
            <w:tcW w:w="1215" w:type="pct"/>
            <w:gridSpan w:val="3"/>
            <w:noWrap/>
            <w:tcMar>
              <w:top w:w="0" w:type="dxa"/>
              <w:left w:w="70" w:type="dxa"/>
              <w:bottom w:w="0" w:type="dxa"/>
              <w:right w:w="70" w:type="dxa"/>
            </w:tcMar>
            <w:vAlign w:val="center"/>
          </w:tcPr>
          <w:p w14:paraId="319D77F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0.801</w:t>
            </w:r>
          </w:p>
        </w:tc>
      </w:tr>
      <w:tr w:rsidR="00161374" w:rsidRPr="00161374" w14:paraId="21BABC3D" w14:textId="77777777" w:rsidTr="005863FD">
        <w:trPr>
          <w:trHeight w:val="330"/>
        </w:trPr>
        <w:tc>
          <w:tcPr>
            <w:tcW w:w="1097" w:type="pct"/>
            <w:tcBorders>
              <w:bottom w:val="single" w:sz="24" w:space="0" w:color="000000"/>
            </w:tcBorders>
            <w:tcMar>
              <w:top w:w="0" w:type="dxa"/>
              <w:left w:w="70" w:type="dxa"/>
              <w:bottom w:w="0" w:type="dxa"/>
              <w:right w:w="70" w:type="dxa"/>
            </w:tcMar>
            <w:vAlign w:val="center"/>
          </w:tcPr>
          <w:p w14:paraId="661A763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P</w:t>
            </w:r>
          </w:p>
        </w:tc>
        <w:tc>
          <w:tcPr>
            <w:tcW w:w="16" w:type="pct"/>
            <w:tcBorders>
              <w:bottom w:val="single" w:sz="24" w:space="0" w:color="000000"/>
            </w:tcBorders>
          </w:tcPr>
          <w:p w14:paraId="2035911F"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bottom w:val="single" w:sz="24" w:space="0" w:color="000000"/>
            </w:tcBorders>
            <w:noWrap/>
            <w:tcMar>
              <w:top w:w="0" w:type="dxa"/>
              <w:left w:w="70" w:type="dxa"/>
              <w:bottom w:w="0" w:type="dxa"/>
              <w:right w:w="70" w:type="dxa"/>
            </w:tcMar>
            <w:vAlign w:val="center"/>
          </w:tcPr>
          <w:p w14:paraId="420D043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0.054</w:t>
            </w:r>
          </w:p>
        </w:tc>
        <w:tc>
          <w:tcPr>
            <w:tcW w:w="1131" w:type="pct"/>
            <w:gridSpan w:val="3"/>
            <w:tcBorders>
              <w:bottom w:val="single" w:sz="24" w:space="0" w:color="000000"/>
            </w:tcBorders>
            <w:noWrap/>
            <w:tcMar>
              <w:top w:w="0" w:type="dxa"/>
              <w:left w:w="70" w:type="dxa"/>
              <w:bottom w:w="0" w:type="dxa"/>
              <w:right w:w="70" w:type="dxa"/>
            </w:tcMar>
            <w:vAlign w:val="center"/>
          </w:tcPr>
          <w:p w14:paraId="086877EC"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0.67</w:t>
            </w:r>
          </w:p>
        </w:tc>
        <w:tc>
          <w:tcPr>
            <w:tcW w:w="1215" w:type="pct"/>
            <w:gridSpan w:val="3"/>
            <w:tcBorders>
              <w:bottom w:val="single" w:sz="24" w:space="0" w:color="000000"/>
            </w:tcBorders>
            <w:noWrap/>
            <w:tcMar>
              <w:top w:w="0" w:type="dxa"/>
              <w:left w:w="70" w:type="dxa"/>
              <w:bottom w:w="0" w:type="dxa"/>
              <w:right w:w="70" w:type="dxa"/>
            </w:tcMar>
            <w:vAlign w:val="center"/>
          </w:tcPr>
          <w:p w14:paraId="2ACD5175"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0.528</w:t>
            </w:r>
          </w:p>
        </w:tc>
      </w:tr>
    </w:tbl>
    <w:p w14:paraId="13D4359F" w14:textId="6322A543" w:rsidR="00505F06" w:rsidRDefault="00161374" w:rsidP="00441B6F">
      <w:pPr>
        <w:pStyle w:val="Body"/>
        <w:spacing w:after="0"/>
        <w:rPr>
          <w:rFonts w:ascii="Arial" w:hAnsi="Arial" w:cs="Arial"/>
        </w:rPr>
      </w:pPr>
      <w:r w:rsidRPr="00161374">
        <w:rPr>
          <w:rFonts w:ascii="Arial" w:hAnsi="Arial" w:cs="Arial"/>
          <w:b/>
        </w:rPr>
        <w:t>IC à 95%</w:t>
      </w:r>
      <w:r w:rsidRPr="00161374">
        <w:rPr>
          <w:rFonts w:ascii="Arial" w:hAnsi="Arial" w:cs="Arial"/>
        </w:rPr>
        <w:t xml:space="preserve">= Confidence Interval at </w:t>
      </w:r>
      <w:proofErr w:type="gramStart"/>
      <w:r w:rsidRPr="00161374">
        <w:rPr>
          <w:rFonts w:ascii="Arial" w:hAnsi="Arial" w:cs="Arial"/>
        </w:rPr>
        <w:t>95 ;</w:t>
      </w:r>
      <w:proofErr w:type="gramEnd"/>
      <w:r w:rsidRPr="00161374">
        <w:rPr>
          <w:rFonts w:ascii="Arial" w:hAnsi="Arial" w:cs="Arial"/>
        </w:rPr>
        <w:t xml:space="preserve"> </w:t>
      </w:r>
      <w:r w:rsidRPr="00161374">
        <w:rPr>
          <w:rFonts w:ascii="Arial" w:hAnsi="Arial" w:cs="Arial"/>
          <w:b/>
        </w:rPr>
        <w:t>LL</w:t>
      </w:r>
      <w:r w:rsidRPr="00161374">
        <w:rPr>
          <w:rFonts w:ascii="Arial" w:hAnsi="Arial" w:cs="Arial"/>
        </w:rPr>
        <w:t xml:space="preserve"> = Lower Limit   ; </w:t>
      </w:r>
      <w:r w:rsidRPr="00161374">
        <w:rPr>
          <w:rFonts w:ascii="Arial" w:hAnsi="Arial" w:cs="Arial"/>
          <w:b/>
        </w:rPr>
        <w:t>UL</w:t>
      </w:r>
      <w:r w:rsidRPr="00161374">
        <w:rPr>
          <w:rFonts w:ascii="Arial" w:hAnsi="Arial" w:cs="Arial"/>
        </w:rPr>
        <w:t xml:space="preserve"> = Upper Limit</w:t>
      </w:r>
    </w:p>
    <w:p w14:paraId="4F19D6D9" w14:textId="77777777" w:rsidR="00161374" w:rsidRDefault="00161374" w:rsidP="00441B6F">
      <w:pPr>
        <w:pStyle w:val="Body"/>
        <w:spacing w:after="0"/>
        <w:rPr>
          <w:rFonts w:ascii="Arial" w:hAnsi="Arial" w:cs="Arial"/>
          <w:b/>
          <w:u w:val="single"/>
        </w:rPr>
      </w:pPr>
    </w:p>
    <w:p w14:paraId="2D54249D" w14:textId="77777777" w:rsidR="00161374" w:rsidRPr="00161374" w:rsidRDefault="00161374" w:rsidP="00441B6F">
      <w:pPr>
        <w:pStyle w:val="Body"/>
        <w:spacing w:after="0"/>
        <w:rPr>
          <w:rFonts w:ascii="Arial" w:hAnsi="Arial" w:cs="Arial"/>
          <w:b/>
          <w:sz w:val="22"/>
        </w:rPr>
      </w:pPr>
      <w:r w:rsidRPr="00161374">
        <w:rPr>
          <w:rFonts w:ascii="Arial" w:hAnsi="Arial" w:cs="Arial"/>
          <w:b/>
          <w:sz w:val="22"/>
        </w:rPr>
        <w:t>3.2. Densities of fine and coarse roots at study sites</w:t>
      </w:r>
    </w:p>
    <w:p w14:paraId="100D7673" w14:textId="77777777" w:rsidR="00161374" w:rsidRDefault="00161374" w:rsidP="00441B6F">
      <w:pPr>
        <w:pStyle w:val="Body"/>
        <w:spacing w:after="0"/>
        <w:rPr>
          <w:rFonts w:ascii="Arial" w:hAnsi="Arial" w:cs="Arial"/>
          <w:b/>
          <w:u w:val="single"/>
        </w:rPr>
      </w:pPr>
    </w:p>
    <w:p w14:paraId="6F85E454" w14:textId="77777777" w:rsidR="00161374" w:rsidRPr="00161374" w:rsidRDefault="00161374" w:rsidP="00441B6F">
      <w:pPr>
        <w:pStyle w:val="Body"/>
        <w:spacing w:after="0"/>
        <w:rPr>
          <w:rFonts w:ascii="Arial" w:hAnsi="Arial" w:cs="Arial"/>
        </w:rPr>
      </w:pPr>
      <w:r w:rsidRPr="00161374">
        <w:rPr>
          <w:rFonts w:ascii="Arial" w:hAnsi="Arial" w:cs="Arial"/>
        </w:rPr>
        <w:t xml:space="preserve">In relation to the site, fine roots </w:t>
      </w:r>
      <w:proofErr w:type="spellStart"/>
      <w:r w:rsidRPr="00161374">
        <w:rPr>
          <w:rFonts w:ascii="Arial" w:hAnsi="Arial" w:cs="Arial"/>
        </w:rPr>
        <w:t>andcoarse</w:t>
      </w:r>
      <w:proofErr w:type="spellEnd"/>
      <w:r w:rsidRPr="00161374">
        <w:rPr>
          <w:rFonts w:ascii="Arial" w:hAnsi="Arial" w:cs="Arial"/>
        </w:rPr>
        <w:t xml:space="preserve"> roots had contrasting distributions. Fine roots were distributed evenly across all sites. </w:t>
      </w:r>
      <w:proofErr w:type="spellStart"/>
      <w:r w:rsidRPr="00161374">
        <w:rPr>
          <w:rFonts w:ascii="Arial" w:hAnsi="Arial" w:cs="Arial"/>
        </w:rPr>
        <w:t>Theydid</w:t>
      </w:r>
      <w:proofErr w:type="spellEnd"/>
      <w:r w:rsidRPr="00161374">
        <w:rPr>
          <w:rFonts w:ascii="Arial" w:hAnsi="Arial" w:cs="Arial"/>
        </w:rPr>
        <w:t xml:space="preserve"> not differ significantly between sites (P = 0.363) (Figure4). However, the density of thick roots was </w:t>
      </w:r>
      <w:proofErr w:type="spellStart"/>
      <w:r w:rsidRPr="00161374">
        <w:rPr>
          <w:rFonts w:ascii="Arial" w:hAnsi="Arial" w:cs="Arial"/>
        </w:rPr>
        <w:t>significantlydifferent</w:t>
      </w:r>
      <w:proofErr w:type="spellEnd"/>
      <w:r w:rsidRPr="00161374">
        <w:rPr>
          <w:rFonts w:ascii="Arial" w:hAnsi="Arial" w:cs="Arial"/>
        </w:rPr>
        <w:t xml:space="preserve"> between sites (P = 0.018) (Figure 4). The density of large roots (5.25± 0.56 </w:t>
      </w:r>
      <w:commentRangeStart w:id="20"/>
      <w:proofErr w:type="spellStart"/>
      <w:r w:rsidRPr="00161374">
        <w:rPr>
          <w:rFonts w:ascii="Arial" w:hAnsi="Arial" w:cs="Arial"/>
        </w:rPr>
        <w:t>tDM</w:t>
      </w:r>
      <w:proofErr w:type="spellEnd"/>
      <w:r w:rsidRPr="00161374">
        <w:rPr>
          <w:rFonts w:ascii="Arial" w:hAnsi="Arial" w:cs="Arial"/>
        </w:rPr>
        <w:t xml:space="preserve"> ha-1</w:t>
      </w:r>
      <w:commentRangeEnd w:id="20"/>
      <w:r w:rsidR="00517FA8">
        <w:rPr>
          <w:rStyle w:val="CommentReference"/>
          <w:rFonts w:ascii="Times New Roman" w:hAnsi="Times New Roman"/>
          <w:lang w:val="nb-NO" w:eastAsia="nb-NO"/>
        </w:rPr>
        <w:commentReference w:id="20"/>
      </w:r>
      <w:r w:rsidRPr="00161374">
        <w:rPr>
          <w:rFonts w:ascii="Arial" w:hAnsi="Arial" w:cs="Arial"/>
        </w:rPr>
        <w:t xml:space="preserve">) at the </w:t>
      </w:r>
      <w:proofErr w:type="spellStart"/>
      <w:r w:rsidRPr="00161374">
        <w:rPr>
          <w:rFonts w:ascii="Arial" w:hAnsi="Arial" w:cs="Arial"/>
        </w:rPr>
        <w:t>Djuie</w:t>
      </w:r>
      <w:proofErr w:type="spellEnd"/>
      <w:r w:rsidRPr="00161374">
        <w:rPr>
          <w:rFonts w:ascii="Arial" w:hAnsi="Arial" w:cs="Arial"/>
        </w:rPr>
        <w:t xml:space="preserve"> site was higher than at all other sites, which were virtually similar. They were 2.92 ± 0.56 </w:t>
      </w:r>
      <w:proofErr w:type="spellStart"/>
      <w:r w:rsidRPr="00161374">
        <w:rPr>
          <w:rFonts w:ascii="Arial" w:hAnsi="Arial" w:cs="Arial"/>
        </w:rPr>
        <w:t>tDM</w:t>
      </w:r>
      <w:proofErr w:type="spellEnd"/>
      <w:r w:rsidRPr="00161374">
        <w:rPr>
          <w:rFonts w:ascii="Arial" w:hAnsi="Arial" w:cs="Arial"/>
        </w:rPr>
        <w:t xml:space="preserve"> ha-1; 3.48 ± 0.56 </w:t>
      </w:r>
      <w:proofErr w:type="spellStart"/>
      <w:r w:rsidRPr="00161374">
        <w:rPr>
          <w:rFonts w:ascii="Arial" w:hAnsi="Arial" w:cs="Arial"/>
        </w:rPr>
        <w:t>tDM</w:t>
      </w:r>
      <w:proofErr w:type="spellEnd"/>
      <w:r w:rsidRPr="00161374">
        <w:rPr>
          <w:rFonts w:ascii="Arial" w:hAnsi="Arial" w:cs="Arial"/>
        </w:rPr>
        <w:t xml:space="preserve"> ha-1; and 3.13 ± 0.56 </w:t>
      </w:r>
      <w:proofErr w:type="spellStart"/>
      <w:r w:rsidRPr="00161374">
        <w:rPr>
          <w:rFonts w:ascii="Arial" w:hAnsi="Arial" w:cs="Arial"/>
        </w:rPr>
        <w:t>tDM</w:t>
      </w:r>
      <w:proofErr w:type="spellEnd"/>
      <w:r w:rsidRPr="00161374">
        <w:rPr>
          <w:rFonts w:ascii="Arial" w:hAnsi="Arial" w:cs="Arial"/>
        </w:rPr>
        <w:t xml:space="preserve"> ha-1 at </w:t>
      </w:r>
      <w:proofErr w:type="spellStart"/>
      <w:r w:rsidRPr="00161374">
        <w:rPr>
          <w:rFonts w:ascii="Arial" w:hAnsi="Arial" w:cs="Arial"/>
        </w:rPr>
        <w:t>Gombledougou</w:t>
      </w:r>
      <w:proofErr w:type="spellEnd"/>
      <w:r w:rsidRPr="00161374">
        <w:rPr>
          <w:rFonts w:ascii="Arial" w:hAnsi="Arial" w:cs="Arial"/>
        </w:rPr>
        <w:t xml:space="preserve">, </w:t>
      </w:r>
      <w:proofErr w:type="spellStart"/>
      <w:r w:rsidRPr="00161374">
        <w:rPr>
          <w:rFonts w:ascii="Arial" w:hAnsi="Arial" w:cs="Arial"/>
        </w:rPr>
        <w:t>Guéguéré</w:t>
      </w:r>
      <w:proofErr w:type="spellEnd"/>
      <w:r w:rsidRPr="00161374">
        <w:rPr>
          <w:rFonts w:ascii="Arial" w:hAnsi="Arial" w:cs="Arial"/>
        </w:rPr>
        <w:t xml:space="preserve">, and </w:t>
      </w:r>
      <w:proofErr w:type="spellStart"/>
      <w:r w:rsidRPr="00161374">
        <w:rPr>
          <w:rFonts w:ascii="Arial" w:hAnsi="Arial" w:cs="Arial"/>
        </w:rPr>
        <w:t>Lofing</w:t>
      </w:r>
      <w:proofErr w:type="spellEnd"/>
      <w:r w:rsidRPr="00161374">
        <w:rPr>
          <w:rFonts w:ascii="Arial" w:hAnsi="Arial" w:cs="Arial"/>
        </w:rPr>
        <w:t xml:space="preserve">, respectively. The absence of significant differences between fine root densities could be explained by the homogeneity of the trees between sites (Table 1). These observations may also be linked to the fact that all sites belong to the same climate zone. Similar results were reported by Ouedraogo et al., (2019). However, this root density result is lower than those obtained by Fortier et al., 2011, who obtained root biomass ranging from 1.86 to 2.62 </w:t>
      </w:r>
      <w:proofErr w:type="spellStart"/>
      <w:r w:rsidRPr="00161374">
        <w:rPr>
          <w:rFonts w:ascii="Arial" w:hAnsi="Arial" w:cs="Arial"/>
        </w:rPr>
        <w:t>tDM</w:t>
      </w:r>
      <w:proofErr w:type="spellEnd"/>
      <w:r w:rsidRPr="00161374">
        <w:rPr>
          <w:rFonts w:ascii="Arial" w:hAnsi="Arial" w:cs="Arial"/>
        </w:rPr>
        <w:t xml:space="preserve"> ha-1 in hybrid poplar strips in southern Quebec. This difference in root density could be explained by the fact that these authors worked on </w:t>
      </w:r>
      <w:proofErr w:type="spellStart"/>
      <w:r w:rsidRPr="00161374">
        <w:rPr>
          <w:rFonts w:ascii="Arial" w:hAnsi="Arial" w:cs="Arial"/>
        </w:rPr>
        <w:t>agrosystems</w:t>
      </w:r>
      <w:proofErr w:type="spellEnd"/>
      <w:r w:rsidRPr="00161374">
        <w:rPr>
          <w:rFonts w:ascii="Arial" w:hAnsi="Arial" w:cs="Arial"/>
        </w:rPr>
        <w:t xml:space="preserve"> that were different from those in this study</w:t>
      </w:r>
    </w:p>
    <w:p w14:paraId="7E956073" w14:textId="77777777" w:rsidR="00161374" w:rsidRDefault="00151817" w:rsidP="00161374">
      <w:pPr>
        <w:pStyle w:val="Body"/>
        <w:keepNext/>
        <w:spacing w:after="0"/>
      </w:pPr>
      <w:r w:rsidRPr="00151817">
        <w:rPr>
          <w:noProof/>
          <w:lang w:val="fr-FR" w:eastAsia="fr-FR"/>
        </w:rPr>
        <w:drawing>
          <wp:inline distT="0" distB="0" distL="0" distR="0" wp14:anchorId="42CC7A70" wp14:editId="3981FC8B">
            <wp:extent cx="5212080" cy="2700059"/>
            <wp:effectExtent l="0" t="0" r="0" b="0"/>
            <wp:docPr id="8" name="Image 8" descr="C:\Users\ASUS PC\Desktop\Dropbox\JOOO\JournalOf_Agr_and Env\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Dropbox\JOOO\JournalOf_Agr_and Env\Figure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700059"/>
                    </a:xfrm>
                    <a:prstGeom prst="rect">
                      <a:avLst/>
                    </a:prstGeom>
                    <a:noFill/>
                    <a:ln>
                      <a:noFill/>
                    </a:ln>
                  </pic:spPr>
                </pic:pic>
              </a:graphicData>
            </a:graphic>
          </wp:inline>
        </w:drawing>
      </w:r>
    </w:p>
    <w:p w14:paraId="43A21862" w14:textId="77777777" w:rsidR="00161374" w:rsidRPr="00161374" w:rsidRDefault="00161374" w:rsidP="00161374">
      <w:pPr>
        <w:pStyle w:val="Caption"/>
        <w:jc w:val="both"/>
        <w:rPr>
          <w:rFonts w:ascii="Arial" w:hAnsi="Arial" w:cs="Arial"/>
          <w:b/>
          <w:i w:val="0"/>
          <w:color w:val="auto"/>
          <w:sz w:val="20"/>
          <w:u w:val="single"/>
        </w:rPr>
      </w:pPr>
      <w:r w:rsidRPr="00161374">
        <w:rPr>
          <w:rFonts w:ascii="Arial" w:hAnsi="Arial" w:cs="Arial"/>
          <w:i w:val="0"/>
          <w:color w:val="auto"/>
          <w:sz w:val="20"/>
        </w:rPr>
        <w:t xml:space="preserve">Figure </w:t>
      </w:r>
      <w:r w:rsidRPr="00161374">
        <w:rPr>
          <w:rFonts w:ascii="Arial" w:hAnsi="Arial" w:cs="Arial"/>
          <w:i w:val="0"/>
          <w:color w:val="auto"/>
          <w:sz w:val="20"/>
        </w:rPr>
        <w:fldChar w:fldCharType="begin"/>
      </w:r>
      <w:r w:rsidRPr="00161374">
        <w:rPr>
          <w:rFonts w:ascii="Arial" w:hAnsi="Arial" w:cs="Arial"/>
          <w:i w:val="0"/>
          <w:color w:val="auto"/>
          <w:sz w:val="20"/>
        </w:rPr>
        <w:instrText xml:space="preserve"> SEQ Figure \* ARABIC </w:instrText>
      </w:r>
      <w:r w:rsidRPr="00161374">
        <w:rPr>
          <w:rFonts w:ascii="Arial" w:hAnsi="Arial" w:cs="Arial"/>
          <w:i w:val="0"/>
          <w:color w:val="auto"/>
          <w:sz w:val="20"/>
        </w:rPr>
        <w:fldChar w:fldCharType="separate"/>
      </w:r>
      <w:r w:rsidR="00934293">
        <w:rPr>
          <w:rFonts w:ascii="Arial" w:hAnsi="Arial" w:cs="Arial"/>
          <w:i w:val="0"/>
          <w:noProof/>
          <w:color w:val="auto"/>
          <w:sz w:val="20"/>
        </w:rPr>
        <w:t>4</w:t>
      </w:r>
      <w:r w:rsidRPr="00161374">
        <w:rPr>
          <w:rFonts w:ascii="Arial" w:hAnsi="Arial" w:cs="Arial"/>
          <w:i w:val="0"/>
          <w:color w:val="auto"/>
          <w:sz w:val="20"/>
        </w:rPr>
        <w:fldChar w:fldCharType="end"/>
      </w:r>
      <w:r w:rsidRPr="00161374">
        <w:rPr>
          <w:rFonts w:ascii="Arial" w:hAnsi="Arial" w:cs="Arial"/>
          <w:i w:val="0"/>
          <w:color w:val="auto"/>
          <w:sz w:val="20"/>
        </w:rPr>
        <w:t>: Density of fine roots and coarse roots at study sites</w:t>
      </w:r>
    </w:p>
    <w:p w14:paraId="3C8E4423" w14:textId="77777777" w:rsidR="00ED0BA4" w:rsidRPr="00ED0BA4" w:rsidRDefault="00ED0BA4" w:rsidP="00ED0BA4">
      <w:pPr>
        <w:pStyle w:val="Body"/>
        <w:spacing w:after="120"/>
        <w:rPr>
          <w:rFonts w:ascii="Arial" w:hAnsi="Arial" w:cs="Arial"/>
          <w:b/>
          <w:sz w:val="22"/>
        </w:rPr>
      </w:pPr>
      <w:r>
        <w:rPr>
          <w:rFonts w:ascii="Arial" w:hAnsi="Arial" w:cs="Arial"/>
          <w:b/>
          <w:sz w:val="22"/>
        </w:rPr>
        <w:t xml:space="preserve">3.3. </w:t>
      </w:r>
      <w:r w:rsidRPr="00ED0BA4">
        <w:rPr>
          <w:rFonts w:ascii="Arial" w:hAnsi="Arial" w:cs="Arial"/>
          <w:b/>
          <w:sz w:val="22"/>
        </w:rPr>
        <w:t>Distribution of fine root biomass according to soil depth and crown area at each study site</w:t>
      </w:r>
    </w:p>
    <w:p w14:paraId="38D8D911" w14:textId="77777777" w:rsidR="00ED0BA4" w:rsidRPr="00ED0BA4" w:rsidRDefault="00ED0BA4" w:rsidP="00ED0BA4">
      <w:pPr>
        <w:pStyle w:val="Body"/>
        <w:spacing w:before="120" w:after="120"/>
        <w:rPr>
          <w:rFonts w:ascii="Arial" w:hAnsi="Arial" w:cs="Arial"/>
        </w:rPr>
      </w:pPr>
      <w:r w:rsidRPr="00ED0BA4">
        <w:rPr>
          <w:rFonts w:ascii="Arial" w:hAnsi="Arial" w:cs="Arial"/>
        </w:rPr>
        <w:t xml:space="preserve">Figure 5 shows the distribution of fine roots according to depth and crown area. Analysis of this figure shows that depth (P &lt; 0.0001) and crown area (P &lt; 0.0001) had a significant effect on fine roots. The interaction between these two factors was also statistically significant. For the soil layer ranging from 0 to 1 m, the highest density of fine root biomass was located at a depth of 0-20 cm (2.06 ± 0.12 </w:t>
      </w:r>
      <w:proofErr w:type="spellStart"/>
      <w:r w:rsidRPr="00ED0BA4">
        <w:rPr>
          <w:rFonts w:ascii="Arial" w:hAnsi="Arial" w:cs="Arial"/>
        </w:rPr>
        <w:t>tDM</w:t>
      </w:r>
      <w:proofErr w:type="spellEnd"/>
      <w:r w:rsidRPr="00ED0BA4">
        <w:rPr>
          <w:rFonts w:ascii="Arial" w:hAnsi="Arial" w:cs="Arial"/>
        </w:rPr>
        <w:t xml:space="preserve"> ha-1), followed by the 20-30 cm layer (1.31 ± 0.12 </w:t>
      </w:r>
      <w:proofErr w:type="spellStart"/>
      <w:r w:rsidRPr="00ED0BA4">
        <w:rPr>
          <w:rFonts w:ascii="Arial" w:hAnsi="Arial" w:cs="Arial"/>
        </w:rPr>
        <w:t>tDM</w:t>
      </w:r>
      <w:proofErr w:type="spellEnd"/>
      <w:r w:rsidRPr="00ED0BA4">
        <w:rPr>
          <w:rFonts w:ascii="Arial" w:hAnsi="Arial" w:cs="Arial"/>
        </w:rPr>
        <w:t xml:space="preserve"> ha-1). However, the lowest value was recorded in the 80-100 cm layer (0.03 ± 0.12 </w:t>
      </w:r>
      <w:proofErr w:type="spellStart"/>
      <w:r w:rsidRPr="00ED0BA4">
        <w:rPr>
          <w:rFonts w:ascii="Arial" w:hAnsi="Arial" w:cs="Arial"/>
        </w:rPr>
        <w:t>tDM</w:t>
      </w:r>
      <w:proofErr w:type="spellEnd"/>
      <w:r w:rsidRPr="00ED0BA4">
        <w:rPr>
          <w:rFonts w:ascii="Arial" w:hAnsi="Arial" w:cs="Arial"/>
        </w:rPr>
        <w:t xml:space="preserve"> ha-1). In general, the area under the canopy showed the highest fine biomass (1.27 ± 0.08 </w:t>
      </w:r>
      <w:proofErr w:type="spellStart"/>
      <w:r w:rsidRPr="00ED0BA4">
        <w:rPr>
          <w:rFonts w:ascii="Arial" w:hAnsi="Arial" w:cs="Arial"/>
        </w:rPr>
        <w:t>tDM</w:t>
      </w:r>
      <w:proofErr w:type="spellEnd"/>
      <w:r w:rsidRPr="00ED0BA4">
        <w:rPr>
          <w:rFonts w:ascii="Arial" w:hAnsi="Arial" w:cs="Arial"/>
        </w:rPr>
        <w:t xml:space="preserve"> ha-1) compared to 0.43 ± 0.08 </w:t>
      </w:r>
      <w:proofErr w:type="spellStart"/>
      <w:r w:rsidRPr="00ED0BA4">
        <w:rPr>
          <w:rFonts w:ascii="Arial" w:hAnsi="Arial" w:cs="Arial"/>
        </w:rPr>
        <w:t>tDM</w:t>
      </w:r>
      <w:proofErr w:type="spellEnd"/>
      <w:r w:rsidRPr="00ED0BA4">
        <w:rPr>
          <w:rFonts w:ascii="Arial" w:hAnsi="Arial" w:cs="Arial"/>
        </w:rPr>
        <w:t xml:space="preserve"> ha-1 outside the canopy. The 0-50 cm layer contains 92% of fine biomass. Our results are similar to those of Koala et al, (2021), who found a proportion of 91% at a depth of 0–50 cm in Prosopis africana (</w:t>
      </w:r>
      <w:proofErr w:type="spellStart"/>
      <w:r w:rsidRPr="00ED0BA4">
        <w:rPr>
          <w:rFonts w:ascii="Arial" w:hAnsi="Arial" w:cs="Arial"/>
        </w:rPr>
        <w:t>Guill</w:t>
      </w:r>
      <w:proofErr w:type="spellEnd"/>
      <w:r w:rsidRPr="00ED0BA4">
        <w:rPr>
          <w:rFonts w:ascii="Arial" w:hAnsi="Arial" w:cs="Arial"/>
        </w:rPr>
        <w:t xml:space="preserve">. </w:t>
      </w:r>
      <w:proofErr w:type="spellStart"/>
      <w:r w:rsidRPr="00ED0BA4">
        <w:rPr>
          <w:rFonts w:ascii="Arial" w:hAnsi="Arial" w:cs="Arial"/>
        </w:rPr>
        <w:t>et</w:t>
      </w:r>
      <w:proofErr w:type="spellEnd"/>
      <w:r w:rsidRPr="00ED0BA4">
        <w:rPr>
          <w:rFonts w:ascii="Arial" w:hAnsi="Arial" w:cs="Arial"/>
        </w:rPr>
        <w:t xml:space="preserve"> Rich.) Taub parks in the northern Sudanese zone of Burkina Faso. Diatta (2015) found the same result in the semi-arid </w:t>
      </w:r>
      <w:proofErr w:type="spellStart"/>
      <w:r w:rsidRPr="00ED0BA4">
        <w:rPr>
          <w:rFonts w:ascii="Arial" w:hAnsi="Arial" w:cs="Arial"/>
        </w:rPr>
        <w:t>Niayes</w:t>
      </w:r>
      <w:proofErr w:type="spellEnd"/>
      <w:r w:rsidRPr="00ED0BA4">
        <w:rPr>
          <w:rFonts w:ascii="Arial" w:hAnsi="Arial" w:cs="Arial"/>
        </w:rPr>
        <w:t xml:space="preserve"> zone in Senegal, with proportions ranging from 71% to 100% in the first 60 cm of depth for species such as </w:t>
      </w:r>
      <w:commentRangeStart w:id="21"/>
      <w:r w:rsidRPr="00ED0BA4">
        <w:rPr>
          <w:rFonts w:ascii="Arial" w:hAnsi="Arial" w:cs="Arial"/>
        </w:rPr>
        <w:t xml:space="preserve">Acacia </w:t>
      </w:r>
      <w:proofErr w:type="spellStart"/>
      <w:r w:rsidRPr="00ED0BA4">
        <w:rPr>
          <w:rFonts w:ascii="Arial" w:hAnsi="Arial" w:cs="Arial"/>
        </w:rPr>
        <w:t>raddiana</w:t>
      </w:r>
      <w:proofErr w:type="spellEnd"/>
      <w:r w:rsidRPr="00ED0BA4">
        <w:rPr>
          <w:rFonts w:ascii="Arial" w:hAnsi="Arial" w:cs="Arial"/>
        </w:rPr>
        <w:t xml:space="preserve"> </w:t>
      </w:r>
      <w:commentRangeEnd w:id="21"/>
      <w:r w:rsidR="000D3F5D">
        <w:rPr>
          <w:rStyle w:val="CommentReference"/>
          <w:rFonts w:ascii="Times New Roman" w:hAnsi="Times New Roman"/>
          <w:lang w:val="nb-NO" w:eastAsia="nb-NO"/>
        </w:rPr>
        <w:commentReference w:id="21"/>
      </w:r>
      <w:r w:rsidRPr="00ED0BA4">
        <w:rPr>
          <w:rFonts w:ascii="Arial" w:hAnsi="Arial" w:cs="Arial"/>
        </w:rPr>
        <w:t xml:space="preserve">(73%), Euphorbia balsamifera (100%), Balanites aegyptiaca (71%) and </w:t>
      </w:r>
      <w:proofErr w:type="spellStart"/>
      <w:r w:rsidRPr="00ED0BA4">
        <w:rPr>
          <w:rFonts w:ascii="Arial" w:hAnsi="Arial" w:cs="Arial"/>
        </w:rPr>
        <w:t>Nauclea</w:t>
      </w:r>
      <w:proofErr w:type="spellEnd"/>
      <w:r w:rsidRPr="00ED0BA4">
        <w:rPr>
          <w:rFonts w:ascii="Arial" w:hAnsi="Arial" w:cs="Arial"/>
        </w:rPr>
        <w:t xml:space="preserve"> macrophylla (74%). These results confirm that root biomass density is high in the top few </w:t>
      </w:r>
      <w:proofErr w:type="spellStart"/>
      <w:r w:rsidRPr="00ED0BA4">
        <w:rPr>
          <w:rFonts w:ascii="Arial" w:hAnsi="Arial" w:cs="Arial"/>
        </w:rPr>
        <w:t>centimetres</w:t>
      </w:r>
      <w:proofErr w:type="spellEnd"/>
      <w:r w:rsidRPr="00ED0BA4">
        <w:rPr>
          <w:rFonts w:ascii="Arial" w:hAnsi="Arial" w:cs="Arial"/>
        </w:rPr>
        <w:t xml:space="preserve"> of soil in tropical ecosystems (Jackson et al., 1996). Research conducted by Monti and Zatta (2009) on species such as Sorghum bicolor yielded similar results. Root biomass is more concentrated in horizons that are chemically richer and moister (Gning et al, 2025). Therefore, the accumulation of root biomass in the 0-50 cm layer could mean that this is the most humid and fertile layer (Mou et al., 1995; Vogt et al., (1993); Lambers and Posthumus, (1980).</w:t>
      </w:r>
    </w:p>
    <w:p w14:paraId="720C3FA8" w14:textId="77777777" w:rsidR="00ED0BA4" w:rsidRPr="00ED0BA4" w:rsidRDefault="00ED0BA4" w:rsidP="00ED0BA4">
      <w:pPr>
        <w:pStyle w:val="Body"/>
        <w:spacing w:before="120" w:after="120"/>
        <w:rPr>
          <w:rFonts w:ascii="Arial" w:hAnsi="Arial" w:cs="Arial"/>
        </w:rPr>
      </w:pPr>
      <w:r w:rsidRPr="00ED0BA4">
        <w:rPr>
          <w:rFonts w:ascii="Arial" w:hAnsi="Arial" w:cs="Arial"/>
        </w:rPr>
        <w:t xml:space="preserve">The estimated root biomass density in the 0–20 cm layer is 2.06 ± 0.12 </w:t>
      </w:r>
      <w:proofErr w:type="spellStart"/>
      <w:r w:rsidRPr="00ED0BA4">
        <w:rPr>
          <w:rFonts w:ascii="Arial" w:hAnsi="Arial" w:cs="Arial"/>
        </w:rPr>
        <w:t>tDM</w:t>
      </w:r>
      <w:proofErr w:type="spellEnd"/>
      <w:r w:rsidRPr="00ED0BA4">
        <w:rPr>
          <w:rFonts w:ascii="Arial" w:hAnsi="Arial" w:cs="Arial"/>
        </w:rPr>
        <w:t xml:space="preserve"> ha</w:t>
      </w:r>
      <w:r w:rsidRPr="00ED0BA4">
        <w:rPr>
          <w:rFonts w:ascii="Cambria Math" w:hAnsi="Cambria Math" w:cs="Cambria Math"/>
        </w:rPr>
        <w:t>⁻</w:t>
      </w:r>
      <w:r w:rsidRPr="00ED0BA4">
        <w:rPr>
          <w:rFonts w:ascii="Arial" w:hAnsi="Arial" w:cs="Arial"/>
        </w:rPr>
        <w:t xml:space="preserve">¹ (48%). This root density result is lower than those reported by Koala et al., 2015, in the classified forests of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xml:space="preserve"> in the Sudanian zone, which obtained 55.70% biomass in this layer. This relatively low root density in shea parks could be explained by soil disturbance and low tree density (Dodd et al., 2011). Indeed, we obtained an average tree density ranging from 16 to 21 trees per hectare, whereas in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it was over 25 trees per hectare.</w:t>
      </w:r>
    </w:p>
    <w:p w14:paraId="5AF3121B" w14:textId="77777777" w:rsidR="00B95236" w:rsidRDefault="00ED0BA4" w:rsidP="00ED0BA4">
      <w:pPr>
        <w:pStyle w:val="Body"/>
        <w:spacing w:before="120" w:after="120"/>
        <w:rPr>
          <w:rFonts w:ascii="Arial" w:hAnsi="Arial" w:cs="Arial"/>
        </w:rPr>
      </w:pPr>
      <w:r w:rsidRPr="00ED0BA4">
        <w:rPr>
          <w:rFonts w:ascii="Arial" w:hAnsi="Arial" w:cs="Arial"/>
        </w:rPr>
        <w:t xml:space="preserve">The ANOVA results indicate that the density of fine roots in herbaceous plants is greater in the 0-20 cm layer. This result corroborates those of Wu and Deng., 2011. They report that the root biomass of herbaceous plants is greater in the top few </w:t>
      </w:r>
      <w:proofErr w:type="spellStart"/>
      <w:r w:rsidRPr="00ED0BA4">
        <w:rPr>
          <w:rFonts w:ascii="Arial" w:hAnsi="Arial" w:cs="Arial"/>
        </w:rPr>
        <w:t>centimetres</w:t>
      </w:r>
      <w:proofErr w:type="spellEnd"/>
      <w:r w:rsidRPr="00ED0BA4">
        <w:rPr>
          <w:rFonts w:ascii="Arial" w:hAnsi="Arial" w:cs="Arial"/>
        </w:rPr>
        <w:t xml:space="preserve"> of soil. In contrast, the fine roots of shea trees are less abundant in the anchorage zone of herbaceous plants. Similar results were revealed by Bayala et al., 2004 in shea and </w:t>
      </w:r>
      <w:proofErr w:type="spellStart"/>
      <w:r w:rsidRPr="00ED0BA4">
        <w:rPr>
          <w:rFonts w:ascii="Arial" w:hAnsi="Arial" w:cs="Arial"/>
        </w:rPr>
        <w:t>néré</w:t>
      </w:r>
      <w:proofErr w:type="spellEnd"/>
      <w:r w:rsidRPr="00ED0BA4">
        <w:rPr>
          <w:rFonts w:ascii="Arial" w:hAnsi="Arial" w:cs="Arial"/>
        </w:rPr>
        <w:t xml:space="preserve"> parks in the </w:t>
      </w:r>
      <w:proofErr w:type="spellStart"/>
      <w:r w:rsidRPr="00ED0BA4">
        <w:rPr>
          <w:rFonts w:ascii="Arial" w:hAnsi="Arial" w:cs="Arial"/>
        </w:rPr>
        <w:t>Sudano</w:t>
      </w:r>
      <w:proofErr w:type="spellEnd"/>
      <w:r w:rsidRPr="00ED0BA4">
        <w:rPr>
          <w:rFonts w:ascii="Arial" w:hAnsi="Arial" w:cs="Arial"/>
        </w:rPr>
        <w:t xml:space="preserve">-Sahelian zone in </w:t>
      </w:r>
      <w:proofErr w:type="spellStart"/>
      <w:r w:rsidRPr="00ED0BA4">
        <w:rPr>
          <w:rFonts w:ascii="Arial" w:hAnsi="Arial" w:cs="Arial"/>
        </w:rPr>
        <w:t>Saponé</w:t>
      </w:r>
      <w:proofErr w:type="spellEnd"/>
      <w:r w:rsidRPr="00ED0BA4">
        <w:rPr>
          <w:rFonts w:ascii="Arial" w:hAnsi="Arial" w:cs="Arial"/>
        </w:rPr>
        <w:t xml:space="preserve"> and by </w:t>
      </w:r>
      <w:proofErr w:type="spellStart"/>
      <w:r w:rsidRPr="00ED0BA4">
        <w:rPr>
          <w:rFonts w:ascii="Arial" w:hAnsi="Arial" w:cs="Arial"/>
        </w:rPr>
        <w:t>Soumare</w:t>
      </w:r>
      <w:proofErr w:type="spellEnd"/>
      <w:r w:rsidRPr="00ED0BA4">
        <w:rPr>
          <w:rFonts w:ascii="Arial" w:hAnsi="Arial" w:cs="Arial"/>
        </w:rPr>
        <w:t xml:space="preserve"> et al., (1994) in Acacia </w:t>
      </w:r>
      <w:proofErr w:type="spellStart"/>
      <w:proofErr w:type="gramStart"/>
      <w:r w:rsidRPr="00ED0BA4">
        <w:rPr>
          <w:rFonts w:ascii="Arial" w:hAnsi="Arial" w:cs="Arial"/>
        </w:rPr>
        <w:t>seyal</w:t>
      </w:r>
      <w:proofErr w:type="spellEnd"/>
      <w:r w:rsidRPr="00ED0BA4">
        <w:rPr>
          <w:rFonts w:ascii="Arial" w:hAnsi="Arial" w:cs="Arial"/>
        </w:rPr>
        <w:t xml:space="preserve">  and</w:t>
      </w:r>
      <w:proofErr w:type="gramEnd"/>
      <w:r w:rsidRPr="00ED0BA4">
        <w:rPr>
          <w:rFonts w:ascii="Arial" w:hAnsi="Arial" w:cs="Arial"/>
        </w:rPr>
        <w:t xml:space="preserve"> </w:t>
      </w:r>
      <w:proofErr w:type="spellStart"/>
      <w:r w:rsidRPr="00ED0BA4">
        <w:rPr>
          <w:rFonts w:ascii="Arial" w:hAnsi="Arial" w:cs="Arial"/>
        </w:rPr>
        <w:t>Sclerocarya</w:t>
      </w:r>
      <w:proofErr w:type="spellEnd"/>
      <w:r w:rsidRPr="00ED0BA4">
        <w:rPr>
          <w:rFonts w:ascii="Arial" w:hAnsi="Arial" w:cs="Arial"/>
        </w:rPr>
        <w:t xml:space="preserve"> </w:t>
      </w:r>
      <w:proofErr w:type="spellStart"/>
      <w:r w:rsidRPr="00ED0BA4">
        <w:rPr>
          <w:rFonts w:ascii="Arial" w:hAnsi="Arial" w:cs="Arial"/>
        </w:rPr>
        <w:t>birrea</w:t>
      </w:r>
      <w:proofErr w:type="spellEnd"/>
      <w:r w:rsidRPr="00ED0BA4">
        <w:rPr>
          <w:rFonts w:ascii="Arial" w:hAnsi="Arial" w:cs="Arial"/>
        </w:rPr>
        <w:t xml:space="preserve"> parks in Mali. Numerous authors have shown that competition for soil resources is lower in shea parks (</w:t>
      </w:r>
      <w:proofErr w:type="spellStart"/>
      <w:r w:rsidRPr="00ED0BA4">
        <w:rPr>
          <w:rFonts w:ascii="Arial" w:hAnsi="Arial" w:cs="Arial"/>
        </w:rPr>
        <w:t>Massaoudou</w:t>
      </w:r>
      <w:proofErr w:type="spellEnd"/>
      <w:r w:rsidRPr="00ED0BA4">
        <w:rPr>
          <w:rFonts w:ascii="Arial" w:hAnsi="Arial" w:cs="Arial"/>
        </w:rPr>
        <w:t xml:space="preserve"> et al, 2025, Clermont-</w:t>
      </w:r>
      <w:proofErr w:type="spellStart"/>
      <w:r w:rsidRPr="00ED0BA4">
        <w:rPr>
          <w:rFonts w:ascii="Arial" w:hAnsi="Arial" w:cs="Arial"/>
        </w:rPr>
        <w:t>Dauhin</w:t>
      </w:r>
      <w:proofErr w:type="spellEnd"/>
      <w:r w:rsidRPr="00ED0BA4">
        <w:rPr>
          <w:rFonts w:ascii="Arial" w:hAnsi="Arial" w:cs="Arial"/>
        </w:rPr>
        <w:t xml:space="preserve"> et al. 2019).</w:t>
      </w:r>
    </w:p>
    <w:p w14:paraId="3A0A7C3C" w14:textId="77777777" w:rsidR="00ED0BA4" w:rsidRDefault="00151817" w:rsidP="00151817">
      <w:pPr>
        <w:pStyle w:val="Body"/>
        <w:keepNext/>
        <w:spacing w:before="120" w:after="120"/>
        <w:jc w:val="center"/>
      </w:pPr>
      <w:r w:rsidRPr="00151817">
        <w:rPr>
          <w:noProof/>
          <w:lang w:val="fr-FR" w:eastAsia="fr-FR"/>
        </w:rPr>
        <w:lastRenderedPageBreak/>
        <w:drawing>
          <wp:inline distT="0" distB="0" distL="0" distR="0" wp14:anchorId="4AC242E0" wp14:editId="198C782C">
            <wp:extent cx="4718685" cy="4865370"/>
            <wp:effectExtent l="0" t="0" r="0" b="0"/>
            <wp:docPr id="9" name="Image 9" descr="C:\Users\ASUS PC\Desktop\Dropbox\JOOO\JournalOf_Agr_and Env\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Dropbox\JOOO\JournalOf_Agr_and Env\Figure 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8685" cy="4865370"/>
                    </a:xfrm>
                    <a:prstGeom prst="rect">
                      <a:avLst/>
                    </a:prstGeom>
                    <a:noFill/>
                    <a:ln>
                      <a:noFill/>
                    </a:ln>
                  </pic:spPr>
                </pic:pic>
              </a:graphicData>
            </a:graphic>
          </wp:inline>
        </w:drawing>
      </w:r>
    </w:p>
    <w:p w14:paraId="3F4CEF40" w14:textId="77777777" w:rsidR="00ED0BA4" w:rsidRPr="00ED0BA4" w:rsidRDefault="00ED0BA4" w:rsidP="00ED0BA4">
      <w:pPr>
        <w:pStyle w:val="Caption"/>
        <w:jc w:val="both"/>
        <w:rPr>
          <w:rFonts w:ascii="Arial" w:hAnsi="Arial" w:cs="Arial"/>
          <w:i w:val="0"/>
          <w:color w:val="auto"/>
          <w:sz w:val="20"/>
        </w:rPr>
      </w:pPr>
      <w:r w:rsidRPr="00ED0BA4">
        <w:rPr>
          <w:rFonts w:ascii="Arial" w:hAnsi="Arial" w:cs="Arial"/>
          <w:i w:val="0"/>
          <w:color w:val="auto"/>
          <w:sz w:val="20"/>
        </w:rPr>
        <w:t xml:space="preserve">Figure </w:t>
      </w:r>
      <w:r w:rsidRPr="00ED0BA4">
        <w:rPr>
          <w:rFonts w:ascii="Arial" w:hAnsi="Arial" w:cs="Arial"/>
          <w:i w:val="0"/>
          <w:color w:val="auto"/>
          <w:sz w:val="20"/>
        </w:rPr>
        <w:fldChar w:fldCharType="begin"/>
      </w:r>
      <w:r w:rsidRPr="00ED0BA4">
        <w:rPr>
          <w:rFonts w:ascii="Arial" w:hAnsi="Arial" w:cs="Arial"/>
          <w:i w:val="0"/>
          <w:color w:val="auto"/>
          <w:sz w:val="20"/>
        </w:rPr>
        <w:instrText xml:space="preserve"> SEQ Figure \* ARABIC </w:instrText>
      </w:r>
      <w:r w:rsidRPr="00ED0BA4">
        <w:rPr>
          <w:rFonts w:ascii="Arial" w:hAnsi="Arial" w:cs="Arial"/>
          <w:i w:val="0"/>
          <w:color w:val="auto"/>
          <w:sz w:val="20"/>
        </w:rPr>
        <w:fldChar w:fldCharType="separate"/>
      </w:r>
      <w:r w:rsidR="00934293">
        <w:rPr>
          <w:rFonts w:ascii="Arial" w:hAnsi="Arial" w:cs="Arial"/>
          <w:i w:val="0"/>
          <w:noProof/>
          <w:color w:val="auto"/>
          <w:sz w:val="20"/>
        </w:rPr>
        <w:t>5</w:t>
      </w:r>
      <w:r w:rsidRPr="00ED0BA4">
        <w:rPr>
          <w:rFonts w:ascii="Arial" w:hAnsi="Arial" w:cs="Arial"/>
          <w:i w:val="0"/>
          <w:color w:val="auto"/>
          <w:sz w:val="20"/>
        </w:rPr>
        <w:fldChar w:fldCharType="end"/>
      </w:r>
      <w:r w:rsidRPr="00ED0BA4">
        <w:rPr>
          <w:rFonts w:ascii="Arial" w:hAnsi="Arial" w:cs="Arial"/>
          <w:i w:val="0"/>
          <w:color w:val="auto"/>
          <w:sz w:val="20"/>
        </w:rPr>
        <w:t>: Density of fine roots according to crown and depth at study sites</w:t>
      </w:r>
    </w:p>
    <w:p w14:paraId="058341D8" w14:textId="77777777" w:rsidR="00790ADA" w:rsidRPr="00ED0BA4" w:rsidRDefault="00ED0BA4" w:rsidP="00ED0BA4">
      <w:pPr>
        <w:pStyle w:val="Body"/>
        <w:spacing w:after="120"/>
        <w:rPr>
          <w:rFonts w:ascii="Arial" w:hAnsi="Arial" w:cs="Arial"/>
          <w:b/>
          <w:sz w:val="22"/>
        </w:rPr>
      </w:pPr>
      <w:r w:rsidRPr="00ED0BA4">
        <w:rPr>
          <w:rFonts w:ascii="Arial" w:hAnsi="Arial" w:cs="Arial"/>
          <w:b/>
          <w:sz w:val="22"/>
        </w:rPr>
        <w:t xml:space="preserve">3.4. Distribution of </w:t>
      </w:r>
      <w:r w:rsidR="00FE6B77">
        <w:rPr>
          <w:rFonts w:ascii="Arial" w:hAnsi="Arial" w:cs="Arial"/>
          <w:b/>
          <w:sz w:val="22"/>
        </w:rPr>
        <w:t>coarse</w:t>
      </w:r>
      <w:r w:rsidRPr="00ED0BA4">
        <w:rPr>
          <w:rFonts w:ascii="Arial" w:hAnsi="Arial" w:cs="Arial"/>
          <w:b/>
          <w:sz w:val="22"/>
        </w:rPr>
        <w:t xml:space="preserve"> root</w:t>
      </w:r>
      <w:r w:rsidR="00FE6B77">
        <w:rPr>
          <w:rFonts w:ascii="Arial" w:hAnsi="Arial" w:cs="Arial"/>
          <w:b/>
          <w:sz w:val="22"/>
        </w:rPr>
        <w:t>s</w:t>
      </w:r>
      <w:r w:rsidRPr="00ED0BA4">
        <w:rPr>
          <w:rFonts w:ascii="Arial" w:hAnsi="Arial" w:cs="Arial"/>
          <w:b/>
          <w:sz w:val="22"/>
        </w:rPr>
        <w:t xml:space="preserve"> biomass according to soil depth by crown area</w:t>
      </w:r>
    </w:p>
    <w:p w14:paraId="1781BBE9" w14:textId="77777777" w:rsidR="00502516" w:rsidRDefault="00FE6B77" w:rsidP="00441B6F">
      <w:pPr>
        <w:pStyle w:val="Body"/>
        <w:spacing w:after="0"/>
        <w:rPr>
          <w:rFonts w:ascii="Arial" w:hAnsi="Arial" w:cs="Arial"/>
        </w:rPr>
      </w:pPr>
      <w:r>
        <w:rPr>
          <w:rFonts w:ascii="Arial" w:hAnsi="Arial" w:cs="Arial"/>
        </w:rPr>
        <w:t>C</w:t>
      </w:r>
      <w:r w:rsidRPr="00FE6B77">
        <w:rPr>
          <w:rFonts w:ascii="Arial" w:hAnsi="Arial" w:cs="Arial"/>
        </w:rPr>
        <w:t>oarse</w:t>
      </w:r>
      <w:r w:rsidR="00347136" w:rsidRPr="00347136">
        <w:rPr>
          <w:rFonts w:ascii="Arial" w:hAnsi="Arial" w:cs="Arial"/>
        </w:rPr>
        <w:t xml:space="preserve"> roots vary significantly depending on depth (P &lt; 0.0001) and crown (P &lt; 0.0001). However, the interaction between depth and crown (P = 0.226) has no significant effect on large root biomass. It varies between 5.06 ± 0.5 </w:t>
      </w:r>
      <w:proofErr w:type="spellStart"/>
      <w:r w:rsidR="00347136" w:rsidRPr="00347136">
        <w:rPr>
          <w:rFonts w:ascii="Arial" w:hAnsi="Arial" w:cs="Arial"/>
        </w:rPr>
        <w:t>tDM</w:t>
      </w:r>
      <w:proofErr w:type="spellEnd"/>
      <w:r w:rsidR="00347136" w:rsidRPr="00347136">
        <w:rPr>
          <w:rFonts w:ascii="Arial" w:hAnsi="Arial" w:cs="Arial"/>
        </w:rPr>
        <w:t xml:space="preserve"> ha-1 and 1.23 ± 0.5 </w:t>
      </w:r>
      <w:proofErr w:type="spellStart"/>
      <w:r w:rsidR="00347136" w:rsidRPr="00347136">
        <w:rPr>
          <w:rFonts w:ascii="Arial" w:hAnsi="Arial" w:cs="Arial"/>
        </w:rPr>
        <w:t>tDM</w:t>
      </w:r>
      <w:proofErr w:type="spellEnd"/>
      <w:r w:rsidR="00347136" w:rsidRPr="00347136">
        <w:rPr>
          <w:rFonts w:ascii="Arial" w:hAnsi="Arial" w:cs="Arial"/>
        </w:rPr>
        <w:t xml:space="preserve"> ha-1 for depth and 5.21 ± 0.32 </w:t>
      </w:r>
      <w:proofErr w:type="spellStart"/>
      <w:r w:rsidR="00347136" w:rsidRPr="00347136">
        <w:rPr>
          <w:rFonts w:ascii="Arial" w:hAnsi="Arial" w:cs="Arial"/>
        </w:rPr>
        <w:t>tDM</w:t>
      </w:r>
      <w:proofErr w:type="spellEnd"/>
      <w:r w:rsidR="00347136" w:rsidRPr="00347136">
        <w:rPr>
          <w:rFonts w:ascii="Arial" w:hAnsi="Arial" w:cs="Arial"/>
        </w:rPr>
        <w:t xml:space="preserve"> ha-1 to 2.18 ± 0.32 </w:t>
      </w:r>
      <w:proofErr w:type="spellStart"/>
      <w:r w:rsidR="00347136" w:rsidRPr="00347136">
        <w:rPr>
          <w:rFonts w:ascii="Arial" w:hAnsi="Arial" w:cs="Arial"/>
        </w:rPr>
        <w:t>tDM</w:t>
      </w:r>
      <w:proofErr w:type="spellEnd"/>
      <w:r w:rsidR="00347136" w:rsidRPr="00347136">
        <w:rPr>
          <w:rFonts w:ascii="Arial" w:hAnsi="Arial" w:cs="Arial"/>
        </w:rPr>
        <w:t xml:space="preserve"> ha-1 for crown. Analysis of the results shows a high proportion of roots under the canopy and in the 0-20, 20-30 and 30-50 cm layers. The low root biomass is located at a depth of 80-100 cm and outside the canopy (Figure 6). This is consistent with the results of work carried out by Soumare et al. (1994), who found that the area under the canopy has the highest root biomass in Acacia </w:t>
      </w:r>
      <w:proofErr w:type="spellStart"/>
      <w:r w:rsidR="00347136" w:rsidRPr="00347136">
        <w:rPr>
          <w:rFonts w:ascii="Arial" w:hAnsi="Arial" w:cs="Arial"/>
        </w:rPr>
        <w:t>seyal</w:t>
      </w:r>
      <w:proofErr w:type="spellEnd"/>
      <w:r w:rsidR="00347136" w:rsidRPr="00347136">
        <w:rPr>
          <w:rFonts w:ascii="Arial" w:hAnsi="Arial" w:cs="Arial"/>
        </w:rPr>
        <w:t xml:space="preserve"> parks in Mali. This could be explained firstly by the greater availability of water and essential mineral salts under the canopy, thus promoting root development. Indeed, the efficient decomposition of fine roots and the fall of litter contribute to improving the organic carbon content of the soil, and therefore the fertility under the canopy (Kaur et al., 2000). In addition, soil permeability also plays a role in root distribution. Water infiltration under tree canopies in shea parks is higher than outside the canopy (Bayala et al., 2006). Indeed, under the canopy, improved soil structure would lead to a higher density of large roots under the canopy</w:t>
      </w:r>
      <w:r w:rsidR="00502516" w:rsidRPr="00502516">
        <w:rPr>
          <w:rFonts w:ascii="Arial" w:hAnsi="Arial" w:cs="Arial"/>
        </w:rPr>
        <w:t xml:space="preserve">. </w:t>
      </w:r>
    </w:p>
    <w:p w14:paraId="67129536" w14:textId="77777777" w:rsidR="00151817" w:rsidRDefault="00151817" w:rsidP="005863FD">
      <w:pPr>
        <w:pStyle w:val="Body"/>
        <w:keepNext/>
        <w:spacing w:after="0"/>
        <w:jc w:val="center"/>
      </w:pPr>
      <w:r w:rsidRPr="00151817">
        <w:rPr>
          <w:rFonts w:ascii="Arial" w:hAnsi="Arial" w:cs="Arial"/>
          <w:noProof/>
          <w:lang w:val="fr-FR" w:eastAsia="fr-FR"/>
        </w:rPr>
        <w:lastRenderedPageBreak/>
        <w:drawing>
          <wp:inline distT="0" distB="0" distL="0" distR="0" wp14:anchorId="3CEAFFEF" wp14:editId="1E694666">
            <wp:extent cx="4779010" cy="4925695"/>
            <wp:effectExtent l="0" t="0" r="0" b="0"/>
            <wp:docPr id="10" name="Image 10" descr="C:\Users\ASUS PC\Desktop\Dropbox\JOOO\JournalOf_Agr_and Env\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PC\Desktop\Dropbox\JOOO\JournalOf_Agr_and Env\Figure 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9010" cy="4925695"/>
                    </a:xfrm>
                    <a:prstGeom prst="rect">
                      <a:avLst/>
                    </a:prstGeom>
                    <a:noFill/>
                    <a:ln>
                      <a:noFill/>
                    </a:ln>
                  </pic:spPr>
                </pic:pic>
              </a:graphicData>
            </a:graphic>
          </wp:inline>
        </w:drawing>
      </w:r>
    </w:p>
    <w:p w14:paraId="4EF321F7" w14:textId="77777777" w:rsidR="00151817" w:rsidRPr="00151817" w:rsidRDefault="00151817" w:rsidP="00151817">
      <w:pPr>
        <w:pStyle w:val="Caption"/>
        <w:jc w:val="both"/>
        <w:rPr>
          <w:rFonts w:ascii="Arial" w:hAnsi="Arial" w:cs="Arial"/>
          <w:i w:val="0"/>
          <w:color w:val="auto"/>
          <w:sz w:val="20"/>
        </w:rPr>
      </w:pPr>
      <w:r w:rsidRPr="00151817">
        <w:rPr>
          <w:rFonts w:ascii="Arial" w:hAnsi="Arial" w:cs="Arial"/>
          <w:i w:val="0"/>
          <w:color w:val="auto"/>
          <w:sz w:val="20"/>
        </w:rPr>
        <w:t xml:space="preserve">Figure </w:t>
      </w:r>
      <w:r w:rsidRPr="00151817">
        <w:rPr>
          <w:rFonts w:ascii="Arial" w:hAnsi="Arial" w:cs="Arial"/>
          <w:i w:val="0"/>
          <w:color w:val="auto"/>
          <w:sz w:val="20"/>
        </w:rPr>
        <w:fldChar w:fldCharType="begin"/>
      </w:r>
      <w:r w:rsidRPr="00151817">
        <w:rPr>
          <w:rFonts w:ascii="Arial" w:hAnsi="Arial" w:cs="Arial"/>
          <w:i w:val="0"/>
          <w:color w:val="auto"/>
          <w:sz w:val="20"/>
        </w:rPr>
        <w:instrText xml:space="preserve"> SEQ Figure \* ARABIC </w:instrText>
      </w:r>
      <w:r w:rsidRPr="00151817">
        <w:rPr>
          <w:rFonts w:ascii="Arial" w:hAnsi="Arial" w:cs="Arial"/>
          <w:i w:val="0"/>
          <w:color w:val="auto"/>
          <w:sz w:val="20"/>
        </w:rPr>
        <w:fldChar w:fldCharType="separate"/>
      </w:r>
      <w:r w:rsidR="00934293">
        <w:rPr>
          <w:rFonts w:ascii="Arial" w:hAnsi="Arial" w:cs="Arial"/>
          <w:i w:val="0"/>
          <w:noProof/>
          <w:color w:val="auto"/>
          <w:sz w:val="20"/>
        </w:rPr>
        <w:t>6</w:t>
      </w:r>
      <w:r w:rsidRPr="00151817">
        <w:rPr>
          <w:rFonts w:ascii="Arial" w:hAnsi="Arial" w:cs="Arial"/>
          <w:i w:val="0"/>
          <w:color w:val="auto"/>
          <w:sz w:val="20"/>
        </w:rPr>
        <w:fldChar w:fldCharType="end"/>
      </w:r>
      <w:r w:rsidRPr="00151817">
        <w:rPr>
          <w:rFonts w:ascii="Arial" w:hAnsi="Arial" w:cs="Arial"/>
          <w:i w:val="0"/>
          <w:color w:val="auto"/>
          <w:sz w:val="20"/>
        </w:rPr>
        <w:t>: Density of coarse roots according to crown and depth at study sites</w:t>
      </w:r>
    </w:p>
    <w:p w14:paraId="606AE967" w14:textId="77777777" w:rsidR="00151817" w:rsidRPr="00151817" w:rsidRDefault="00151817" w:rsidP="00151817">
      <w:pPr>
        <w:rPr>
          <w:rFonts w:ascii="Arial" w:hAnsi="Arial" w:cs="Arial"/>
          <w:b/>
          <w:sz w:val="22"/>
        </w:rPr>
      </w:pPr>
      <w:r w:rsidRPr="00151817">
        <w:rPr>
          <w:rFonts w:ascii="Arial" w:hAnsi="Arial" w:cs="Arial"/>
          <w:b/>
          <w:sz w:val="22"/>
        </w:rPr>
        <w:t xml:space="preserve">3.5. Distribution of fine roots of </w:t>
      </w:r>
      <w:r w:rsidRPr="00151817">
        <w:rPr>
          <w:rFonts w:ascii="Arial" w:hAnsi="Arial" w:cs="Arial"/>
          <w:b/>
          <w:i/>
          <w:sz w:val="22"/>
        </w:rPr>
        <w:t>Vitellaria paradoxa</w:t>
      </w:r>
      <w:r w:rsidRPr="00151817">
        <w:rPr>
          <w:rFonts w:ascii="Arial" w:hAnsi="Arial" w:cs="Arial"/>
          <w:b/>
          <w:sz w:val="22"/>
        </w:rPr>
        <w:t xml:space="preserve"> versus those of sorghum and adventitious according to depth</w:t>
      </w:r>
    </w:p>
    <w:p w14:paraId="00890B1C" w14:textId="77777777" w:rsidR="00347136" w:rsidRDefault="00347136" w:rsidP="00441B6F">
      <w:pPr>
        <w:pStyle w:val="Body"/>
        <w:spacing w:after="0"/>
        <w:rPr>
          <w:rFonts w:ascii="Arial" w:hAnsi="Arial" w:cs="Arial"/>
        </w:rPr>
      </w:pPr>
    </w:p>
    <w:p w14:paraId="247BD9DC" w14:textId="77777777" w:rsidR="00934293" w:rsidRPr="00934293" w:rsidRDefault="00934293" w:rsidP="00441B6F">
      <w:pPr>
        <w:pStyle w:val="Body"/>
        <w:spacing w:after="0"/>
        <w:rPr>
          <w:rFonts w:ascii="Arial" w:hAnsi="Arial" w:cs="Arial"/>
          <w:b/>
        </w:rPr>
      </w:pPr>
      <w:r w:rsidRPr="00934293">
        <w:rPr>
          <w:rFonts w:ascii="Arial" w:hAnsi="Arial" w:cs="Arial"/>
          <w:b/>
        </w:rPr>
        <w:t xml:space="preserve">3.5.1. Outside of </w:t>
      </w:r>
      <w:r>
        <w:rPr>
          <w:rFonts w:ascii="Arial" w:hAnsi="Arial" w:cs="Arial"/>
          <w:b/>
        </w:rPr>
        <w:t xml:space="preserve">the </w:t>
      </w:r>
      <w:r w:rsidRPr="00934293">
        <w:rPr>
          <w:rFonts w:ascii="Arial" w:hAnsi="Arial" w:cs="Arial"/>
          <w:b/>
        </w:rPr>
        <w:t xml:space="preserve">crown of </w:t>
      </w:r>
      <w:r w:rsidRPr="00934293">
        <w:rPr>
          <w:rFonts w:ascii="Arial" w:hAnsi="Arial" w:cs="Arial"/>
          <w:b/>
          <w:i/>
        </w:rPr>
        <w:t>V. paradoxa</w:t>
      </w:r>
    </w:p>
    <w:p w14:paraId="3E61989A" w14:textId="77777777" w:rsidR="00934293" w:rsidRDefault="00934293" w:rsidP="00441B6F">
      <w:pPr>
        <w:pStyle w:val="Body"/>
        <w:spacing w:after="0"/>
        <w:rPr>
          <w:rFonts w:ascii="Arial" w:hAnsi="Arial" w:cs="Arial"/>
        </w:rPr>
      </w:pPr>
    </w:p>
    <w:p w14:paraId="41281C75" w14:textId="77777777" w:rsidR="00790ADA" w:rsidRDefault="00151817" w:rsidP="00441B6F">
      <w:pPr>
        <w:pStyle w:val="Body"/>
        <w:spacing w:after="0"/>
        <w:rPr>
          <w:rFonts w:ascii="Arial" w:hAnsi="Arial" w:cs="Arial"/>
        </w:rPr>
      </w:pPr>
      <w:r w:rsidRPr="00151817">
        <w:rPr>
          <w:rFonts w:ascii="Arial" w:hAnsi="Arial" w:cs="Arial"/>
        </w:rPr>
        <w:t xml:space="preserve">The general trend for the fine roots of </w:t>
      </w:r>
      <w:r w:rsidRPr="000A2A37">
        <w:rPr>
          <w:rFonts w:ascii="Arial" w:hAnsi="Arial" w:cs="Arial"/>
          <w:i/>
        </w:rPr>
        <w:t>V. paradoxa</w:t>
      </w:r>
      <w:r w:rsidRPr="00151817">
        <w:rPr>
          <w:rFonts w:ascii="Arial" w:hAnsi="Arial" w:cs="Arial"/>
        </w:rPr>
        <w:t xml:space="preserve"> and those of sorghum and weeds is a drastic decrease in fine root biomass with increasing depth. The surface layer (0–20 cm) contains the highest biomass for both groups (Fitter, 1987</w:t>
      </w:r>
      <w:r w:rsidRPr="000A2A37">
        <w:rPr>
          <w:rFonts w:ascii="Arial" w:hAnsi="Arial" w:cs="Arial"/>
          <w:i/>
        </w:rPr>
        <w:t>). V. paradoxa</w:t>
      </w:r>
      <w:r w:rsidRPr="00151817">
        <w:rPr>
          <w:rFonts w:ascii="Arial" w:hAnsi="Arial" w:cs="Arial"/>
        </w:rPr>
        <w:t xml:space="preserve"> has a biomass of approximately 0.8 </w:t>
      </w:r>
      <w:proofErr w:type="spellStart"/>
      <w:r w:rsidRPr="00151817">
        <w:rPr>
          <w:rFonts w:ascii="Arial" w:hAnsi="Arial" w:cs="Arial"/>
        </w:rPr>
        <w:t>tDM</w:t>
      </w:r>
      <w:proofErr w:type="spellEnd"/>
      <w:r w:rsidRPr="00151817">
        <w:rPr>
          <w:rFonts w:ascii="Arial" w:hAnsi="Arial" w:cs="Arial"/>
        </w:rPr>
        <w:t xml:space="preserve"> ha-1. Sorghum &amp; Weeds has the highest biomass (figure...), reaching approximately 1.15 </w:t>
      </w:r>
      <w:proofErr w:type="spellStart"/>
      <w:r w:rsidRPr="00151817">
        <w:rPr>
          <w:rFonts w:ascii="Arial" w:hAnsi="Arial" w:cs="Arial"/>
        </w:rPr>
        <w:t>tDM</w:t>
      </w:r>
      <w:proofErr w:type="spellEnd"/>
      <w:r w:rsidRPr="00151817">
        <w:rPr>
          <w:rFonts w:ascii="Arial" w:hAnsi="Arial" w:cs="Arial"/>
        </w:rPr>
        <w:t xml:space="preserve"> ha-1. This high surface concentration is typical of fine roots, which are responsible for absorbing water and nutrients, and is exacerbated by the presence of cultivated plants (sorghum), which often have a shallow root system (Bayala et al., 2008). This suggests intense competition for water and nutrients in the surface layer outside the canopy, where the fine roots of </w:t>
      </w:r>
      <w:r w:rsidRPr="000A2A37">
        <w:rPr>
          <w:rFonts w:ascii="Arial" w:hAnsi="Arial" w:cs="Arial"/>
          <w:i/>
        </w:rPr>
        <w:t>V. paradoxa</w:t>
      </w:r>
      <w:r w:rsidRPr="00151817">
        <w:rPr>
          <w:rFonts w:ascii="Arial" w:hAnsi="Arial" w:cs="Arial"/>
        </w:rPr>
        <w:t xml:space="preserve"> are outcompeted by the root systems of cultivated plants and weeds (Bayala et al., 2008; Fitter, 1987). Biomass in the middle layer (20–30 cm) falls significantly for both categories, but this decrease is more pronounced for sorghum and weeds. However, the biomass of sorghum and weeds remains about four times higher than that of </w:t>
      </w:r>
      <w:r w:rsidRPr="000A2A37">
        <w:rPr>
          <w:rFonts w:ascii="Arial" w:hAnsi="Arial" w:cs="Arial"/>
          <w:i/>
        </w:rPr>
        <w:t xml:space="preserve">V. </w:t>
      </w:r>
      <w:proofErr w:type="spellStart"/>
      <w:r w:rsidRPr="000A2A37">
        <w:rPr>
          <w:rFonts w:ascii="Arial" w:hAnsi="Arial" w:cs="Arial"/>
          <w:i/>
        </w:rPr>
        <w:t>paradoxa</w:t>
      </w:r>
      <w:proofErr w:type="spellEnd"/>
      <w:r w:rsidRPr="00151817">
        <w:rPr>
          <w:rFonts w:ascii="Arial" w:hAnsi="Arial" w:cs="Arial"/>
        </w:rPr>
        <w:t xml:space="preserve"> (approximately 0.4 </w:t>
      </w:r>
      <w:proofErr w:type="spellStart"/>
      <w:r w:rsidRPr="00151817">
        <w:rPr>
          <w:rFonts w:ascii="Arial" w:hAnsi="Arial" w:cs="Arial"/>
        </w:rPr>
        <w:t>tDM</w:t>
      </w:r>
      <w:proofErr w:type="spellEnd"/>
      <w:r w:rsidRPr="00151817">
        <w:rPr>
          <w:rFonts w:ascii="Arial" w:hAnsi="Arial" w:cs="Arial"/>
        </w:rPr>
        <w:t xml:space="preserve"> ha-1 versus 0.1 </w:t>
      </w:r>
      <w:proofErr w:type="spellStart"/>
      <w:r w:rsidRPr="00151817">
        <w:rPr>
          <w:rFonts w:ascii="Arial" w:hAnsi="Arial" w:cs="Arial"/>
        </w:rPr>
        <w:t>tDM</w:t>
      </w:r>
      <w:proofErr w:type="spellEnd"/>
      <w:r w:rsidRPr="00151817">
        <w:rPr>
          <w:rFonts w:ascii="Arial" w:hAnsi="Arial" w:cs="Arial"/>
        </w:rPr>
        <w:t xml:space="preserve"> ha-1). In the 30-50 cm layer, the values are similar, with almost equal biomass (around 0.15 </w:t>
      </w:r>
      <w:proofErr w:type="spellStart"/>
      <w:r w:rsidRPr="00151817">
        <w:rPr>
          <w:rFonts w:ascii="Arial" w:hAnsi="Arial" w:cs="Arial"/>
        </w:rPr>
        <w:t>tDM</w:t>
      </w:r>
      <w:proofErr w:type="spellEnd"/>
      <w:r w:rsidRPr="00151817">
        <w:rPr>
          <w:rFonts w:ascii="Arial" w:hAnsi="Arial" w:cs="Arial"/>
        </w:rPr>
        <w:t xml:space="preserve"> ha-1), indicating that the impact of annual plants (sorghum and weeds) decreases more rapidly than that of trees (Bayala et al., 2008). In the deep layer (50-100 cm), fine root biomass becomes very low (less than 0.2 </w:t>
      </w:r>
      <w:proofErr w:type="spellStart"/>
      <w:r w:rsidRPr="00151817">
        <w:rPr>
          <w:rFonts w:ascii="Arial" w:hAnsi="Arial" w:cs="Arial"/>
        </w:rPr>
        <w:t>tDM</w:t>
      </w:r>
      <w:proofErr w:type="spellEnd"/>
      <w:r w:rsidRPr="00151817">
        <w:rPr>
          <w:rFonts w:ascii="Arial" w:hAnsi="Arial" w:cs="Arial"/>
        </w:rPr>
        <w:t xml:space="preserve"> ha-1 and tends towards zero at a depth of 80-100 cm for both groups, indicating very limited root activity in these layers. The results show that most of the fine root activity in the agroforestry system takes place in the top 20 centimeters of soil (Bayala et al., 2008; Clermont-Dauphin et al., 2019). Outside the canopy, </w:t>
      </w:r>
      <w:r w:rsidRPr="000A2A37">
        <w:rPr>
          <w:rFonts w:ascii="Arial" w:hAnsi="Arial" w:cs="Arial"/>
          <w:i/>
        </w:rPr>
        <w:t>V. paradoxa</w:t>
      </w:r>
      <w:r w:rsidRPr="00151817">
        <w:rPr>
          <w:rFonts w:ascii="Arial" w:hAnsi="Arial" w:cs="Arial"/>
        </w:rPr>
        <w:t xml:space="preserve"> trees face intense root competition from cultivated plants and weeds, particularly in the surface layer (0-20 cm), which could potentially affect their access to nutrients and water in this area.</w:t>
      </w:r>
    </w:p>
    <w:p w14:paraId="3AD881D5" w14:textId="77777777" w:rsidR="00151817" w:rsidRDefault="00151817" w:rsidP="00441B6F">
      <w:pPr>
        <w:pStyle w:val="Body"/>
        <w:spacing w:after="0"/>
        <w:rPr>
          <w:rFonts w:ascii="Arial" w:hAnsi="Arial" w:cs="Arial"/>
        </w:rPr>
      </w:pPr>
    </w:p>
    <w:p w14:paraId="1EF98D3E" w14:textId="77777777" w:rsidR="00934293" w:rsidRDefault="00934293" w:rsidP="00934293">
      <w:pPr>
        <w:pStyle w:val="Body"/>
        <w:keepNext/>
        <w:spacing w:after="0"/>
      </w:pPr>
      <w:r w:rsidRPr="00934293">
        <w:rPr>
          <w:rFonts w:ascii="Arial" w:hAnsi="Arial" w:cs="Arial"/>
          <w:noProof/>
          <w:lang w:val="fr-FR" w:eastAsia="fr-FR"/>
        </w:rPr>
        <w:lastRenderedPageBreak/>
        <w:drawing>
          <wp:inline distT="0" distB="0" distL="0" distR="0" wp14:anchorId="47BE70F9" wp14:editId="7000E9F4">
            <wp:extent cx="5212080" cy="2606040"/>
            <wp:effectExtent l="0" t="0" r="0" b="0"/>
            <wp:docPr id="16" name="Image 16" descr="C:\Users\ASUS PC\Desktop\Dropbox\JOOO\JournalOf_Agr_and Env\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 PC\Desktop\Dropbox\JOOO\JournalOf_Agr_and Env\Figure 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080" cy="2606040"/>
                    </a:xfrm>
                    <a:prstGeom prst="rect">
                      <a:avLst/>
                    </a:prstGeom>
                    <a:noFill/>
                    <a:ln>
                      <a:noFill/>
                    </a:ln>
                  </pic:spPr>
                </pic:pic>
              </a:graphicData>
            </a:graphic>
          </wp:inline>
        </w:drawing>
      </w:r>
    </w:p>
    <w:p w14:paraId="66AC343A" w14:textId="77777777" w:rsidR="00A531A1" w:rsidRPr="00934293" w:rsidRDefault="00934293" w:rsidP="00934293">
      <w:pPr>
        <w:pStyle w:val="Caption"/>
        <w:spacing w:before="120" w:after="120"/>
        <w:jc w:val="both"/>
        <w:rPr>
          <w:rFonts w:ascii="Arial" w:hAnsi="Arial" w:cs="Arial"/>
          <w:color w:val="auto"/>
          <w:sz w:val="20"/>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Pr>
          <w:rFonts w:ascii="Arial" w:hAnsi="Arial" w:cs="Arial"/>
          <w:i w:val="0"/>
          <w:noProof/>
          <w:color w:val="auto"/>
          <w:sz w:val="20"/>
        </w:rPr>
        <w:t>7</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Outside the crown of </w:t>
      </w:r>
      <w:r w:rsidRPr="00934293">
        <w:rPr>
          <w:rFonts w:ascii="Arial" w:hAnsi="Arial" w:cs="Arial"/>
          <w:color w:val="auto"/>
          <w:sz w:val="20"/>
        </w:rPr>
        <w:t>v. paradoxa</w:t>
      </w:r>
    </w:p>
    <w:p w14:paraId="775C7174" w14:textId="77777777" w:rsidR="00A531A1" w:rsidRDefault="00A531A1" w:rsidP="00441B6F">
      <w:pPr>
        <w:pStyle w:val="Body"/>
        <w:spacing w:after="0"/>
        <w:rPr>
          <w:rFonts w:ascii="Arial" w:hAnsi="Arial" w:cs="Arial"/>
        </w:rPr>
      </w:pPr>
    </w:p>
    <w:p w14:paraId="30796DEC" w14:textId="77777777" w:rsidR="00934293" w:rsidRPr="00934293" w:rsidRDefault="00934293" w:rsidP="00934293">
      <w:pPr>
        <w:pStyle w:val="Body"/>
        <w:spacing w:after="0"/>
        <w:rPr>
          <w:rFonts w:ascii="Arial" w:hAnsi="Arial" w:cs="Arial"/>
          <w:b/>
        </w:rPr>
      </w:pPr>
      <w:r w:rsidRPr="00934293">
        <w:rPr>
          <w:rFonts w:ascii="Arial" w:hAnsi="Arial" w:cs="Arial"/>
          <w:b/>
        </w:rPr>
        <w:t xml:space="preserve">3.5.2. Under the crown of </w:t>
      </w:r>
      <w:r w:rsidRPr="00934293">
        <w:rPr>
          <w:rFonts w:ascii="Arial" w:hAnsi="Arial" w:cs="Arial"/>
          <w:b/>
          <w:i/>
        </w:rPr>
        <w:t>V. paradoxa</w:t>
      </w:r>
    </w:p>
    <w:p w14:paraId="3D7AB719" w14:textId="77777777" w:rsidR="00A531A1" w:rsidRPr="00502516" w:rsidRDefault="00A531A1" w:rsidP="00441B6F">
      <w:pPr>
        <w:pStyle w:val="Body"/>
        <w:spacing w:after="0"/>
        <w:rPr>
          <w:rFonts w:ascii="Arial" w:hAnsi="Arial" w:cs="Arial"/>
        </w:rPr>
      </w:pPr>
    </w:p>
    <w:p w14:paraId="27CF150C" w14:textId="77777777" w:rsidR="00934293" w:rsidRDefault="00934293" w:rsidP="00441B6F">
      <w:pPr>
        <w:pStyle w:val="Body"/>
        <w:spacing w:after="0"/>
        <w:rPr>
          <w:rFonts w:ascii="Arial" w:hAnsi="Arial" w:cs="Arial"/>
        </w:rPr>
      </w:pPr>
      <w:r w:rsidRPr="00934293">
        <w:rPr>
          <w:rFonts w:ascii="Arial" w:hAnsi="Arial" w:cs="Arial"/>
        </w:rPr>
        <w:t xml:space="preserve">Unlike the ‘Outside the Crown’ zone (previous figure), the biomass of fine shea tree roots is extremely low in the 0-20 cm layer (less than 0.1 </w:t>
      </w:r>
      <w:proofErr w:type="spellStart"/>
      <w:r w:rsidRPr="00934293">
        <w:rPr>
          <w:rFonts w:ascii="Arial" w:hAnsi="Arial" w:cs="Arial"/>
        </w:rPr>
        <w:t>tDM</w:t>
      </w:r>
      <w:proofErr w:type="spellEnd"/>
      <w:r w:rsidRPr="00934293">
        <w:rPr>
          <w:rFonts w:ascii="Arial" w:hAnsi="Arial" w:cs="Arial"/>
        </w:rPr>
        <w:t xml:space="preserve"> ha-1), indicating a virtual absence of fine root activity at the surface directly beneath the tree. Shea biomass reaches its maximum, approximately 1.2 </w:t>
      </w:r>
      <w:proofErr w:type="spellStart"/>
      <w:r w:rsidRPr="00934293">
        <w:rPr>
          <w:rFonts w:ascii="Arial" w:hAnsi="Arial" w:cs="Arial"/>
        </w:rPr>
        <w:t>tDM</w:t>
      </w:r>
      <w:proofErr w:type="spellEnd"/>
      <w:r w:rsidRPr="00934293">
        <w:rPr>
          <w:rFonts w:ascii="Arial" w:hAnsi="Arial" w:cs="Arial"/>
        </w:rPr>
        <w:t xml:space="preserve"> ha-1 in the 20-30 cm layer. Beyond 30 cm, biomass decreases steadily but remains significantly higher than that of sorghum and weeds. For example, at 50–80 cm, shea still has a fine biomass of around 0.4 </w:t>
      </w:r>
      <w:proofErr w:type="spellStart"/>
      <w:r w:rsidRPr="00934293">
        <w:rPr>
          <w:rFonts w:ascii="Arial" w:hAnsi="Arial" w:cs="Arial"/>
        </w:rPr>
        <w:t>tDM</w:t>
      </w:r>
      <w:proofErr w:type="spellEnd"/>
      <w:r w:rsidRPr="00934293">
        <w:rPr>
          <w:rFonts w:ascii="Arial" w:hAnsi="Arial" w:cs="Arial"/>
        </w:rPr>
        <w:t xml:space="preserve"> ha-1, while sorghum and weeds have fallen to 0.05 </w:t>
      </w:r>
      <w:proofErr w:type="spellStart"/>
      <w:r w:rsidRPr="00934293">
        <w:rPr>
          <w:rFonts w:ascii="Arial" w:hAnsi="Arial" w:cs="Arial"/>
        </w:rPr>
        <w:t>tDM</w:t>
      </w:r>
      <w:proofErr w:type="spellEnd"/>
      <w:r w:rsidRPr="00934293">
        <w:rPr>
          <w:rFonts w:ascii="Arial" w:hAnsi="Arial" w:cs="Arial"/>
        </w:rPr>
        <w:t xml:space="preserve"> ha-1. Comparison of the two curves reveals a strategy of avoidance or spatial segregation on the part of shea trees to </w:t>
      </w:r>
      <w:proofErr w:type="spellStart"/>
      <w:r w:rsidRPr="00934293">
        <w:rPr>
          <w:rFonts w:ascii="Arial" w:hAnsi="Arial" w:cs="Arial"/>
        </w:rPr>
        <w:t>minimise</w:t>
      </w:r>
      <w:proofErr w:type="spellEnd"/>
      <w:r w:rsidRPr="00934293">
        <w:rPr>
          <w:rFonts w:ascii="Arial" w:hAnsi="Arial" w:cs="Arial"/>
        </w:rPr>
        <w:t xml:space="preserve"> competition with crops and weeds under their own canopy (Bayala et al., 2004). Shea trees appear to intentionally reduce the density of their fine roots in the 0-20 cm layer, where the root activity of sorghum and weeds is overwhelming (more than 25 times greater than that of shea trees in this layer). This absence of fine roots on the surface beneath the crown may be a response to root competition or toxicity/allelopathy linked to </w:t>
      </w:r>
      <w:commentRangeStart w:id="22"/>
      <w:r w:rsidRPr="00934293">
        <w:rPr>
          <w:rFonts w:ascii="Arial" w:hAnsi="Arial" w:cs="Arial"/>
        </w:rPr>
        <w:t>shea litter</w:t>
      </w:r>
      <w:commentRangeEnd w:id="22"/>
      <w:r w:rsidR="001F3617">
        <w:rPr>
          <w:rStyle w:val="CommentReference"/>
          <w:rFonts w:ascii="Times New Roman" w:hAnsi="Times New Roman"/>
          <w:lang w:val="nb-NO" w:eastAsia="nb-NO"/>
        </w:rPr>
        <w:commentReference w:id="22"/>
      </w:r>
      <w:r w:rsidRPr="00934293">
        <w:rPr>
          <w:rFonts w:ascii="Arial" w:hAnsi="Arial" w:cs="Arial"/>
        </w:rPr>
        <w:t xml:space="preserve">, or even to the shade itself, which alters root phenology (Dossa et al., 2008; Bayala et al., 2006). The peak biomass of shea trees in the 20-30 cm layer suggests that they shift their main absorption to a slightly deeper level, allowing them to access resources below the area of maximum activity of annual crops (Bayala et al., 2008). The continued presence of fine roots in deeper layers (50-80 cm) confirms its role as a deep-rooted crop, ensuring its survival during periods of water stress, unlike annual crops. Despite spatial segregation, there is strong competition in the 20-30 cm zone, where sorghum and weeds maintain very high biomass (around 2.2 </w:t>
      </w:r>
      <w:proofErr w:type="spellStart"/>
      <w:r w:rsidRPr="00934293">
        <w:rPr>
          <w:rFonts w:ascii="Arial" w:hAnsi="Arial" w:cs="Arial"/>
        </w:rPr>
        <w:t>tDM</w:t>
      </w:r>
      <w:proofErr w:type="spellEnd"/>
      <w:r w:rsidRPr="00934293">
        <w:rPr>
          <w:rFonts w:ascii="Arial" w:hAnsi="Arial" w:cs="Arial"/>
        </w:rPr>
        <w:t xml:space="preserve"> ha-1) compared to the peak activity of shea trees (1.2 </w:t>
      </w:r>
      <w:proofErr w:type="spellStart"/>
      <w:r w:rsidRPr="00934293">
        <w:rPr>
          <w:rFonts w:ascii="Arial" w:hAnsi="Arial" w:cs="Arial"/>
        </w:rPr>
        <w:t>tDM</w:t>
      </w:r>
      <w:proofErr w:type="spellEnd"/>
      <w:r w:rsidRPr="00934293">
        <w:rPr>
          <w:rFonts w:ascii="Arial" w:hAnsi="Arial" w:cs="Arial"/>
        </w:rPr>
        <w:t xml:space="preserve"> ha-1). This is the main point of competition for the tree under its canopy. The root distribution under the canopy highlights a clear vertical segregation. Sorghum and weeds dominate the surface layer (0-20 cm), while shea trees shift their main fine root activity (their peak) to the sub-layer (20-30 cm) and maintain a more pronounced presence at greater depths (Bayala et al., 2008). This is an adaptation that allows shea trees to coexist with crops by reducing direct competition for resources, although there is still significant overlap (and therefore competition) in the middle layer (20–30 cm).</w:t>
      </w:r>
    </w:p>
    <w:p w14:paraId="4E673477" w14:textId="77777777" w:rsidR="00934293" w:rsidRDefault="00934293" w:rsidP="00934293">
      <w:pPr>
        <w:pStyle w:val="Body"/>
        <w:keepNext/>
        <w:spacing w:after="0"/>
      </w:pPr>
      <w:r w:rsidRPr="00934293">
        <w:rPr>
          <w:rFonts w:ascii="Arial" w:hAnsi="Arial" w:cs="Arial"/>
          <w:noProof/>
          <w:lang w:val="fr-FR" w:eastAsia="fr-FR"/>
        </w:rPr>
        <w:drawing>
          <wp:inline distT="0" distB="0" distL="0" distR="0" wp14:anchorId="6E1C2C40" wp14:editId="49DA81C5">
            <wp:extent cx="5212080" cy="2163235"/>
            <wp:effectExtent l="0" t="0" r="0" b="0"/>
            <wp:docPr id="17" name="Image 17" descr="C:\Users\ASUS PC\Desktop\Dropbox\JOOO\JournalOf_Agr_and Env\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 PC\Desktop\Dropbox\JOOO\JournalOf_Agr_and Env\Figure 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12080" cy="2163235"/>
                    </a:xfrm>
                    <a:prstGeom prst="rect">
                      <a:avLst/>
                    </a:prstGeom>
                    <a:noFill/>
                    <a:ln>
                      <a:noFill/>
                    </a:ln>
                  </pic:spPr>
                </pic:pic>
              </a:graphicData>
            </a:graphic>
          </wp:inline>
        </w:drawing>
      </w:r>
    </w:p>
    <w:p w14:paraId="6854A187" w14:textId="77777777" w:rsidR="00934293" w:rsidRPr="00934293" w:rsidRDefault="00934293" w:rsidP="00934293">
      <w:pPr>
        <w:pStyle w:val="Caption"/>
        <w:jc w:val="both"/>
        <w:rPr>
          <w:rFonts w:ascii="Arial" w:hAnsi="Arial" w:cs="Arial"/>
          <w:i w:val="0"/>
          <w:color w:val="auto"/>
          <w:sz w:val="20"/>
          <w:highlight w:val="green"/>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sidRPr="00934293">
        <w:rPr>
          <w:rFonts w:ascii="Arial" w:hAnsi="Arial" w:cs="Arial"/>
          <w:i w:val="0"/>
          <w:noProof/>
          <w:color w:val="auto"/>
          <w:sz w:val="20"/>
        </w:rPr>
        <w:t>8</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under the </w:t>
      </w:r>
      <w:r>
        <w:rPr>
          <w:rFonts w:ascii="Arial" w:hAnsi="Arial" w:cs="Arial"/>
          <w:i w:val="0"/>
          <w:color w:val="auto"/>
          <w:sz w:val="20"/>
        </w:rPr>
        <w:t>crown</w:t>
      </w:r>
      <w:r w:rsidRPr="00934293">
        <w:rPr>
          <w:rFonts w:ascii="Arial" w:hAnsi="Arial" w:cs="Arial"/>
          <w:i w:val="0"/>
          <w:color w:val="auto"/>
          <w:sz w:val="20"/>
        </w:rPr>
        <w:t xml:space="preserve"> of </w:t>
      </w:r>
      <w:r w:rsidRPr="00934293">
        <w:rPr>
          <w:rFonts w:ascii="Arial" w:hAnsi="Arial" w:cs="Arial"/>
          <w:color w:val="auto"/>
          <w:sz w:val="20"/>
        </w:rPr>
        <w:t>v. paradoxa</w:t>
      </w:r>
    </w:p>
    <w:p w14:paraId="11C5B241" w14:textId="77777777" w:rsidR="00B01FCD" w:rsidRDefault="00000F8F" w:rsidP="00441B6F">
      <w:pPr>
        <w:pStyle w:val="ConcHead"/>
        <w:spacing w:after="0"/>
        <w:jc w:val="both"/>
        <w:rPr>
          <w:rFonts w:ascii="Arial" w:hAnsi="Arial" w:cs="Arial"/>
        </w:rPr>
      </w:pPr>
      <w:commentRangeStart w:id="23"/>
      <w:r>
        <w:rPr>
          <w:rFonts w:ascii="Arial" w:hAnsi="Arial" w:cs="Arial"/>
        </w:rPr>
        <w:lastRenderedPageBreak/>
        <w:t xml:space="preserve">4. </w:t>
      </w:r>
      <w:r w:rsidR="00B01FCD" w:rsidRPr="00FB3A86">
        <w:rPr>
          <w:rFonts w:ascii="Arial" w:hAnsi="Arial" w:cs="Arial"/>
        </w:rPr>
        <w:t>Conclusion</w:t>
      </w:r>
      <w:commentRangeEnd w:id="23"/>
      <w:r w:rsidR="005C16EE">
        <w:rPr>
          <w:rStyle w:val="CommentReference"/>
          <w:rFonts w:ascii="Times New Roman" w:hAnsi="Times New Roman"/>
          <w:b w:val="0"/>
          <w:caps w:val="0"/>
          <w:lang w:val="nb-NO" w:eastAsia="nb-NO"/>
        </w:rPr>
        <w:commentReference w:id="23"/>
      </w:r>
    </w:p>
    <w:p w14:paraId="685424E7" w14:textId="77777777" w:rsidR="00790ADA" w:rsidRPr="00FB3A86" w:rsidRDefault="00790ADA" w:rsidP="00441B6F">
      <w:pPr>
        <w:pStyle w:val="ConcHead"/>
        <w:spacing w:after="0"/>
        <w:jc w:val="both"/>
        <w:rPr>
          <w:rFonts w:ascii="Arial" w:hAnsi="Arial" w:cs="Arial"/>
        </w:rPr>
      </w:pPr>
    </w:p>
    <w:p w14:paraId="7F18A215" w14:textId="37F1926B" w:rsidR="00B01FCD" w:rsidRDefault="00934293" w:rsidP="00441B6F">
      <w:pPr>
        <w:pStyle w:val="Body"/>
        <w:spacing w:after="0"/>
        <w:rPr>
          <w:rFonts w:ascii="Arial" w:hAnsi="Arial" w:cs="Arial"/>
        </w:rPr>
      </w:pPr>
      <w:r w:rsidRPr="00934293">
        <w:rPr>
          <w:rFonts w:ascii="Arial" w:hAnsi="Arial" w:cs="Arial"/>
        </w:rPr>
        <w:t xml:space="preserve">The study successfully characterized the architecture and spatial distribution of </w:t>
      </w:r>
      <w:r w:rsidRPr="000A2A37">
        <w:rPr>
          <w:rFonts w:ascii="Arial" w:hAnsi="Arial" w:cs="Arial"/>
          <w:i/>
        </w:rPr>
        <w:t>Vitellaria paradoxa</w:t>
      </w:r>
      <w:r w:rsidRPr="00934293">
        <w:rPr>
          <w:rFonts w:ascii="Arial" w:hAnsi="Arial" w:cs="Arial"/>
        </w:rPr>
        <w:t xml:space="preserve"> root system in the agroforestry parklands and quantified the below-ground competition with associated annual crops (sorghum) and weeds. Fine root biomass is highly concentrated in the superficial layers, with approximately 92% found in the 0-50 cm depth, confirming the general pattern of high root activity in the most fertile and humid topsoil of tropical ecosystems. Outside the canopy, shea trees face intense competition, particularly in the 0-20 cm layer, where the fine roots of annuals (sorghum/weeds) are overwhelmingly dominant. Under the canopy, </w:t>
      </w:r>
      <w:r w:rsidRPr="000A2A37">
        <w:rPr>
          <w:rFonts w:ascii="Arial" w:hAnsi="Arial" w:cs="Arial"/>
          <w:i/>
        </w:rPr>
        <w:t>V. paradoxa</w:t>
      </w:r>
      <w:r w:rsidRPr="00934293">
        <w:rPr>
          <w:rFonts w:ascii="Arial" w:hAnsi="Arial" w:cs="Arial"/>
        </w:rPr>
        <w:t xml:space="preserve"> exhibits a clear spatial segregation strategy (avoidance) by drastically reducing its fine root density in the highly competitive 0-20 cm surface layer. The trees shift their main absorptive activity, demonstrated by the peak fine root biomass (1.2 </w:t>
      </w:r>
      <w:proofErr w:type="spellStart"/>
      <w:r w:rsidRPr="00934293">
        <w:rPr>
          <w:rFonts w:ascii="Arial" w:hAnsi="Arial" w:cs="Arial"/>
        </w:rPr>
        <w:t>tDM</w:t>
      </w:r>
      <w:proofErr w:type="spellEnd"/>
      <w:r w:rsidRPr="00934293">
        <w:rPr>
          <w:rFonts w:ascii="Arial" w:hAnsi="Arial" w:cs="Arial"/>
        </w:rPr>
        <w:t xml:space="preserve"> ha-1), to the deeper 20-30 cm layer, allowing them to access resources below the area of maximum annual crop activity. The continued presence of shea fine roots in the deep layers (50-80 cm) confirms its role as a deep-rooted species, securing access to resources, especially water, during dry periods and conferring a distinct survival advantage over shallow-rooted annual crops. Despite this effective vertical segregation, significant competition persists in the 20-30 cm layer, which represents the main interaction zone where the peak activity of the shea tree overlaps with substantial root biomass from sorghum and weeds which should be the focus of future research and management interventions aimed at optimizing resource use efficiency and maximizing the productivity of both the shea tree and the associated crops</w:t>
      </w:r>
      <w:commentRangeStart w:id="24"/>
      <w:r w:rsidR="00456285">
        <w:rPr>
          <w:rFonts w:ascii="Arial" w:hAnsi="Arial" w:cs="Arial"/>
        </w:rPr>
        <w:t>.</w:t>
      </w:r>
      <w:commentRangeEnd w:id="24"/>
      <w:r w:rsidR="00456285">
        <w:rPr>
          <w:rStyle w:val="CommentReference"/>
          <w:rFonts w:ascii="Times New Roman" w:hAnsi="Times New Roman"/>
          <w:lang w:val="nb-NO" w:eastAsia="nb-NO"/>
        </w:rPr>
        <w:commentReference w:id="24"/>
      </w:r>
    </w:p>
    <w:p w14:paraId="6F0EFC9B" w14:textId="77777777" w:rsidR="00790ADA" w:rsidRPr="00FB3A86" w:rsidRDefault="00790ADA" w:rsidP="00441B6F">
      <w:pPr>
        <w:pStyle w:val="Body"/>
        <w:spacing w:after="0"/>
        <w:rPr>
          <w:rFonts w:ascii="Arial" w:hAnsi="Arial" w:cs="Arial"/>
        </w:rPr>
      </w:pPr>
    </w:p>
    <w:p w14:paraId="110B9762" w14:textId="77777777" w:rsidR="001D61B2" w:rsidRDefault="001D61B2" w:rsidP="00441B6F">
      <w:pPr>
        <w:pStyle w:val="ReferHead"/>
        <w:spacing w:after="0"/>
        <w:jc w:val="both"/>
        <w:rPr>
          <w:rFonts w:ascii="Arial" w:hAnsi="Arial" w:cs="Arial"/>
        </w:rPr>
      </w:pPr>
    </w:p>
    <w:p w14:paraId="04BB3C22" w14:textId="77777777" w:rsidR="00B01FCD" w:rsidRDefault="001D61B2" w:rsidP="00441B6F">
      <w:pPr>
        <w:pStyle w:val="ReferHead"/>
        <w:spacing w:after="0"/>
        <w:jc w:val="both"/>
        <w:rPr>
          <w:rFonts w:ascii="Arial" w:hAnsi="Arial" w:cs="Arial"/>
        </w:rPr>
      </w:pPr>
      <w:r>
        <w:rPr>
          <w:rFonts w:ascii="Arial" w:hAnsi="Arial" w:cs="Arial"/>
        </w:rPr>
        <w:t xml:space="preserve">8. </w:t>
      </w:r>
      <w:r w:rsidR="00B01FCD" w:rsidRPr="00FB3A86">
        <w:rPr>
          <w:rFonts w:ascii="Arial" w:hAnsi="Arial" w:cs="Arial"/>
        </w:rPr>
        <w:t>References</w:t>
      </w:r>
    </w:p>
    <w:p w14:paraId="1DFE9A4D" w14:textId="77777777" w:rsidR="00790ADA" w:rsidRPr="00FB3A86" w:rsidRDefault="00790ADA" w:rsidP="00441B6F">
      <w:pPr>
        <w:pStyle w:val="ReferHead"/>
        <w:spacing w:after="0"/>
        <w:jc w:val="both"/>
        <w:rPr>
          <w:rFonts w:ascii="Arial" w:hAnsi="Arial" w:cs="Arial"/>
        </w:rPr>
      </w:pPr>
    </w:p>
    <w:p w14:paraId="4B724D6B" w14:textId="515803FB"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w:t>
      </w:r>
      <w:r w:rsidR="00DF693B" w:rsidRPr="00DF693B">
        <w:rPr>
          <w:rFonts w:ascii="Arial" w:eastAsia="Calibri" w:hAnsi="Arial" w:cs="Arial"/>
          <w:kern w:val="2"/>
        </w:rPr>
        <w:t xml:space="preserve">Boffa, J.-M. (1999). Agroforestry parklands in Sub-Saharan Africa. FAO Conservation Guide 34. </w:t>
      </w:r>
      <w:hyperlink r:id="rId25" w:history="1">
        <w:r w:rsidR="00DF693B" w:rsidRPr="00115A87">
          <w:rPr>
            <w:rStyle w:val="Hyperlink"/>
            <w:rFonts w:ascii="Arial" w:eastAsia="Calibri" w:hAnsi="Arial" w:cs="Arial"/>
            <w:kern w:val="2"/>
          </w:rPr>
          <w:t>https://www.fao.org/4/x3940e/x3940e00.htm</w:t>
        </w:r>
      </w:hyperlink>
      <w:r w:rsidR="00DF693B">
        <w:rPr>
          <w:rFonts w:ascii="Arial" w:eastAsia="Calibri" w:hAnsi="Arial" w:cs="Arial"/>
          <w:kern w:val="2"/>
        </w:rPr>
        <w:t xml:space="preserve"> </w:t>
      </w:r>
      <w:r w:rsidRPr="001D61B2">
        <w:rPr>
          <w:rFonts w:ascii="Arial" w:eastAsia="Calibri" w:hAnsi="Arial" w:cs="Arial"/>
          <w:kern w:val="2"/>
        </w:rPr>
        <w:t xml:space="preserve"> </w:t>
      </w:r>
    </w:p>
    <w:p w14:paraId="7B10ECB7" w14:textId="79BA3D3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2- </w:t>
      </w:r>
      <w:r w:rsidR="00261696" w:rsidRPr="00261696">
        <w:rPr>
          <w:rFonts w:ascii="Arial" w:eastAsia="Calibri" w:hAnsi="Arial" w:cs="Arial"/>
          <w:kern w:val="2"/>
        </w:rPr>
        <w:t xml:space="preserve">Price, G. W., &amp; Gordon, A. M. (1998). Spatial and temporal distribution of earthworms in a temperate intercropping system in southern Ontario, Canada. Agroforestry Systems, 44, 141–149. </w:t>
      </w:r>
      <w:hyperlink r:id="rId26" w:history="1">
        <w:r w:rsidR="00261696" w:rsidRPr="00115A87">
          <w:rPr>
            <w:rStyle w:val="Hyperlink"/>
            <w:rFonts w:ascii="Arial" w:eastAsia="Calibri" w:hAnsi="Arial" w:cs="Arial"/>
            <w:kern w:val="2"/>
          </w:rPr>
          <w:t>https://doi.org/10.1023/A:1006213603150</w:t>
        </w:r>
      </w:hyperlink>
      <w:r w:rsidR="00261696">
        <w:rPr>
          <w:rFonts w:ascii="Arial" w:eastAsia="Calibri" w:hAnsi="Arial" w:cs="Arial"/>
          <w:kern w:val="2"/>
        </w:rPr>
        <w:t xml:space="preserve"> </w:t>
      </w:r>
      <w:r w:rsidRPr="001D61B2">
        <w:rPr>
          <w:rFonts w:ascii="Arial" w:eastAsia="Calibri" w:hAnsi="Arial" w:cs="Arial"/>
          <w:kern w:val="2"/>
        </w:rPr>
        <w:t xml:space="preserve"> </w:t>
      </w:r>
    </w:p>
    <w:p w14:paraId="5356296E" w14:textId="7AD05C71"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3- </w:t>
      </w:r>
      <w:r w:rsidR="008242B4" w:rsidRPr="008242B4">
        <w:rPr>
          <w:rFonts w:ascii="Arial" w:eastAsia="Calibri" w:hAnsi="Arial" w:cs="Arial"/>
          <w:kern w:val="2"/>
        </w:rPr>
        <w:t xml:space="preserve">Lee, K. H., &amp; Jose, S. (2003). Soil respiration and microbial biomass in a pecan–cotton alley cropping system in Southern USA. Agroforestry Systems. </w:t>
      </w:r>
      <w:hyperlink r:id="rId27" w:history="1">
        <w:r w:rsidR="008242B4" w:rsidRPr="00115A87">
          <w:rPr>
            <w:rStyle w:val="Hyperlink"/>
            <w:rFonts w:ascii="Arial" w:eastAsia="Calibri" w:hAnsi="Arial" w:cs="Arial"/>
            <w:kern w:val="2"/>
          </w:rPr>
          <w:t>https://doi.org/10.1023/A:1025404019211</w:t>
        </w:r>
      </w:hyperlink>
      <w:r w:rsidR="008242B4">
        <w:rPr>
          <w:rFonts w:ascii="Arial" w:eastAsia="Calibri" w:hAnsi="Arial" w:cs="Arial"/>
          <w:kern w:val="2"/>
        </w:rPr>
        <w:t xml:space="preserve"> </w:t>
      </w:r>
      <w:r w:rsidRPr="001D61B2">
        <w:rPr>
          <w:rFonts w:ascii="Arial" w:eastAsia="Calibri" w:hAnsi="Arial" w:cs="Arial"/>
          <w:kern w:val="2"/>
        </w:rPr>
        <w:t xml:space="preserve"> </w:t>
      </w:r>
    </w:p>
    <w:p w14:paraId="2B805208" w14:textId="2ABBBBFF"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4- </w:t>
      </w:r>
      <w:r w:rsidR="003645C8" w:rsidRPr="003645C8">
        <w:rPr>
          <w:rFonts w:ascii="Arial" w:eastAsia="Calibri" w:hAnsi="Arial" w:cs="Arial"/>
          <w:kern w:val="2"/>
        </w:rPr>
        <w:t xml:space="preserve">Jose, S. (2009). Agroforestry for ecosystem services and environmental benefits: An overview. Agroforestry Systems, 76, 1-10. </w:t>
      </w:r>
      <w:hyperlink r:id="rId28" w:history="1">
        <w:r w:rsidR="003645C8" w:rsidRPr="00115A87">
          <w:rPr>
            <w:rStyle w:val="Hyperlink"/>
            <w:rFonts w:ascii="Arial" w:eastAsia="Calibri" w:hAnsi="Arial" w:cs="Arial"/>
            <w:kern w:val="2"/>
          </w:rPr>
          <w:t>https://doi.org/10.1007/s10457-009-9229-7</w:t>
        </w:r>
      </w:hyperlink>
      <w:r w:rsidR="003645C8">
        <w:rPr>
          <w:rFonts w:ascii="Arial" w:eastAsia="Calibri" w:hAnsi="Arial" w:cs="Arial"/>
          <w:kern w:val="2"/>
        </w:rPr>
        <w:t xml:space="preserve"> </w:t>
      </w:r>
      <w:r w:rsidRPr="001D61B2">
        <w:rPr>
          <w:rFonts w:ascii="Arial" w:eastAsia="Calibri" w:hAnsi="Arial" w:cs="Arial"/>
          <w:kern w:val="2"/>
          <w:lang w:val="fr-FR"/>
        </w:rPr>
        <w:t xml:space="preserve"> </w:t>
      </w:r>
    </w:p>
    <w:p w14:paraId="74D7B40D" w14:textId="79BEDC70"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5-</w:t>
      </w:r>
      <w:r w:rsidR="00345602" w:rsidRPr="00345602">
        <w:rPr>
          <w:rFonts w:ascii="Arial" w:eastAsia="Calibri" w:hAnsi="Arial" w:cs="Arial"/>
          <w:kern w:val="2"/>
          <w:lang w:val="fr-FR"/>
        </w:rPr>
        <w:t xml:space="preserve">Nair, P. K. R. (2012). </w:t>
      </w:r>
      <w:proofErr w:type="spellStart"/>
      <w:r w:rsidR="00345602" w:rsidRPr="00345602">
        <w:rPr>
          <w:rFonts w:ascii="Arial" w:eastAsia="Calibri" w:hAnsi="Arial" w:cs="Arial"/>
          <w:kern w:val="2"/>
          <w:lang w:val="fr-FR"/>
        </w:rPr>
        <w:t>Climate</w:t>
      </w:r>
      <w:proofErr w:type="spellEnd"/>
      <w:r w:rsidR="00345602" w:rsidRPr="00345602">
        <w:rPr>
          <w:rFonts w:ascii="Arial" w:eastAsia="Calibri" w:hAnsi="Arial" w:cs="Arial"/>
          <w:kern w:val="2"/>
          <w:lang w:val="fr-FR"/>
        </w:rPr>
        <w:t xml:space="preserve"> Change </w:t>
      </w:r>
      <w:proofErr w:type="gramStart"/>
      <w:r w:rsidR="00345602" w:rsidRPr="00345602">
        <w:rPr>
          <w:rFonts w:ascii="Arial" w:eastAsia="Calibri" w:hAnsi="Arial" w:cs="Arial"/>
          <w:kern w:val="2"/>
          <w:lang w:val="fr-FR"/>
        </w:rPr>
        <w:t>Mitigation:</w:t>
      </w:r>
      <w:proofErr w:type="gramEnd"/>
      <w:r w:rsidR="00345602" w:rsidRPr="00345602">
        <w:rPr>
          <w:rFonts w:ascii="Arial" w:eastAsia="Calibri" w:hAnsi="Arial" w:cs="Arial"/>
          <w:kern w:val="2"/>
          <w:lang w:val="fr-FR"/>
        </w:rPr>
        <w:t xml:space="preserve"> A Low-</w:t>
      </w:r>
      <w:proofErr w:type="spellStart"/>
      <w:r w:rsidR="00345602" w:rsidRPr="00345602">
        <w:rPr>
          <w:rFonts w:ascii="Arial" w:eastAsia="Calibri" w:hAnsi="Arial" w:cs="Arial"/>
          <w:kern w:val="2"/>
          <w:lang w:val="fr-FR"/>
        </w:rPr>
        <w:t>Hanging</w:t>
      </w:r>
      <w:proofErr w:type="spellEnd"/>
      <w:r w:rsidR="00345602" w:rsidRPr="00345602">
        <w:rPr>
          <w:rFonts w:ascii="Arial" w:eastAsia="Calibri" w:hAnsi="Arial" w:cs="Arial"/>
          <w:kern w:val="2"/>
          <w:lang w:val="fr-FR"/>
        </w:rPr>
        <w:t xml:space="preserve"> Fruit of </w:t>
      </w:r>
      <w:proofErr w:type="spellStart"/>
      <w:r w:rsidR="00345602" w:rsidRPr="00345602">
        <w:rPr>
          <w:rFonts w:ascii="Arial" w:eastAsia="Calibri" w:hAnsi="Arial" w:cs="Arial"/>
          <w:kern w:val="2"/>
          <w:lang w:val="fr-FR"/>
        </w:rPr>
        <w:t>Agroforestry</w:t>
      </w:r>
      <w:proofErr w:type="spellEnd"/>
      <w:r w:rsidR="00345602" w:rsidRPr="00345602">
        <w:rPr>
          <w:rFonts w:ascii="Arial" w:eastAsia="Calibri" w:hAnsi="Arial" w:cs="Arial"/>
          <w:kern w:val="2"/>
          <w:lang w:val="fr-FR"/>
        </w:rPr>
        <w:t xml:space="preserve">. In P. Nair &amp; D. </w:t>
      </w:r>
      <w:proofErr w:type="spellStart"/>
      <w:r w:rsidR="00345602" w:rsidRPr="00345602">
        <w:rPr>
          <w:rFonts w:ascii="Arial" w:eastAsia="Calibri" w:hAnsi="Arial" w:cs="Arial"/>
          <w:kern w:val="2"/>
          <w:lang w:val="fr-FR"/>
        </w:rPr>
        <w:t>Garrity</w:t>
      </w:r>
      <w:proofErr w:type="spellEnd"/>
      <w:r w:rsidR="00345602" w:rsidRPr="00345602">
        <w:rPr>
          <w:rFonts w:ascii="Arial" w:eastAsia="Calibri" w:hAnsi="Arial" w:cs="Arial"/>
          <w:kern w:val="2"/>
          <w:lang w:val="fr-FR"/>
        </w:rPr>
        <w:t xml:space="preserve"> (</w:t>
      </w:r>
      <w:proofErr w:type="spellStart"/>
      <w:r w:rsidR="00345602" w:rsidRPr="00345602">
        <w:rPr>
          <w:rFonts w:ascii="Arial" w:eastAsia="Calibri" w:hAnsi="Arial" w:cs="Arial"/>
          <w:kern w:val="2"/>
          <w:lang w:val="fr-FR"/>
        </w:rPr>
        <w:t>Eds</w:t>
      </w:r>
      <w:proofErr w:type="spellEnd"/>
      <w:r w:rsidR="00345602" w:rsidRPr="00345602">
        <w:rPr>
          <w:rFonts w:ascii="Arial" w:eastAsia="Calibri" w:hAnsi="Arial" w:cs="Arial"/>
          <w:kern w:val="2"/>
          <w:lang w:val="fr-FR"/>
        </w:rPr>
        <w:t xml:space="preserve">.), </w:t>
      </w:r>
      <w:proofErr w:type="spellStart"/>
      <w:r w:rsidR="00345602" w:rsidRPr="00345602">
        <w:rPr>
          <w:rFonts w:ascii="Arial" w:eastAsia="Calibri" w:hAnsi="Arial" w:cs="Arial"/>
          <w:kern w:val="2"/>
          <w:lang w:val="fr-FR"/>
        </w:rPr>
        <w:t>Agroforestry</w:t>
      </w:r>
      <w:proofErr w:type="spellEnd"/>
      <w:r w:rsidR="00345602" w:rsidRPr="00345602">
        <w:rPr>
          <w:rFonts w:ascii="Arial" w:eastAsia="Calibri" w:hAnsi="Arial" w:cs="Arial"/>
          <w:kern w:val="2"/>
          <w:lang w:val="fr-FR"/>
        </w:rPr>
        <w:t xml:space="preserve"> - The Future of Global Land Use (Vol. 9, pp. 31-67). Springer. </w:t>
      </w:r>
      <w:hyperlink r:id="rId29" w:history="1">
        <w:r w:rsidR="00345602" w:rsidRPr="00115A87">
          <w:rPr>
            <w:rStyle w:val="Hyperlink"/>
            <w:rFonts w:ascii="Arial" w:eastAsia="Calibri" w:hAnsi="Arial" w:cs="Arial"/>
            <w:kern w:val="2"/>
            <w:lang w:val="fr-FR"/>
          </w:rPr>
          <w:t>https://doi.org/10.1007/978-94-007-4676-3_7</w:t>
        </w:r>
      </w:hyperlink>
      <w:r w:rsidR="00345602">
        <w:rPr>
          <w:rFonts w:ascii="Arial" w:eastAsia="Calibri" w:hAnsi="Arial" w:cs="Arial"/>
          <w:kern w:val="2"/>
          <w:lang w:val="fr-FR"/>
        </w:rPr>
        <w:t xml:space="preserve"> </w:t>
      </w:r>
      <w:r w:rsidRPr="001D61B2">
        <w:rPr>
          <w:rFonts w:ascii="Arial" w:eastAsia="Calibri" w:hAnsi="Arial" w:cs="Arial"/>
          <w:kern w:val="2"/>
        </w:rPr>
        <w:t xml:space="preserve"> </w:t>
      </w:r>
    </w:p>
    <w:p w14:paraId="12234AF1" w14:textId="54F66684"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6- </w:t>
      </w:r>
      <w:proofErr w:type="spellStart"/>
      <w:r w:rsidR="00513CE9" w:rsidRPr="00513CE9">
        <w:rPr>
          <w:rFonts w:ascii="Arial" w:eastAsia="Calibri" w:hAnsi="Arial" w:cs="Arial"/>
          <w:kern w:val="2"/>
        </w:rPr>
        <w:t>Waisel</w:t>
      </w:r>
      <w:proofErr w:type="spellEnd"/>
      <w:r w:rsidR="00513CE9" w:rsidRPr="00513CE9">
        <w:rPr>
          <w:rFonts w:ascii="Arial" w:eastAsia="Calibri" w:hAnsi="Arial" w:cs="Arial"/>
          <w:kern w:val="2"/>
        </w:rPr>
        <w:t xml:space="preserve">, Y., </w:t>
      </w:r>
      <w:proofErr w:type="spellStart"/>
      <w:r w:rsidR="00513CE9" w:rsidRPr="00513CE9">
        <w:rPr>
          <w:rFonts w:ascii="Arial" w:eastAsia="Calibri" w:hAnsi="Arial" w:cs="Arial"/>
          <w:kern w:val="2"/>
        </w:rPr>
        <w:t>Eshel</w:t>
      </w:r>
      <w:proofErr w:type="spellEnd"/>
      <w:r w:rsidR="00513CE9" w:rsidRPr="00513CE9">
        <w:rPr>
          <w:rFonts w:ascii="Arial" w:eastAsia="Calibri" w:hAnsi="Arial" w:cs="Arial"/>
          <w:kern w:val="2"/>
        </w:rPr>
        <w:t xml:space="preserve">, A., &amp; </w:t>
      </w:r>
      <w:proofErr w:type="spellStart"/>
      <w:r w:rsidR="00513CE9" w:rsidRPr="00513CE9">
        <w:rPr>
          <w:rFonts w:ascii="Arial" w:eastAsia="Calibri" w:hAnsi="Arial" w:cs="Arial"/>
          <w:kern w:val="2"/>
        </w:rPr>
        <w:t>Kafkafi</w:t>
      </w:r>
      <w:proofErr w:type="spellEnd"/>
      <w:r w:rsidR="00513CE9" w:rsidRPr="00513CE9">
        <w:rPr>
          <w:rFonts w:ascii="Arial" w:eastAsia="Calibri" w:hAnsi="Arial" w:cs="Arial"/>
          <w:kern w:val="2"/>
        </w:rPr>
        <w:t xml:space="preserve">, U. (Eds.). (2002). Plant Roots: The Hidden Half, Third Edition. Marcel Dekker Inc. </w:t>
      </w:r>
      <w:hyperlink r:id="rId30" w:history="1">
        <w:r w:rsidR="00513CE9" w:rsidRPr="00115A87">
          <w:rPr>
            <w:rStyle w:val="Hyperlink"/>
            <w:rFonts w:ascii="Arial" w:eastAsia="Calibri" w:hAnsi="Arial" w:cs="Arial"/>
            <w:kern w:val="2"/>
          </w:rPr>
          <w:t>https://doi.org/10.1201/9780203909423</w:t>
        </w:r>
      </w:hyperlink>
      <w:r w:rsidR="00513CE9">
        <w:rPr>
          <w:rFonts w:ascii="Arial" w:eastAsia="Calibri" w:hAnsi="Arial" w:cs="Arial"/>
          <w:kern w:val="2"/>
        </w:rPr>
        <w:t xml:space="preserve"> </w:t>
      </w:r>
      <w:r w:rsidRPr="001D61B2">
        <w:rPr>
          <w:rFonts w:ascii="Arial" w:eastAsia="Calibri" w:hAnsi="Arial" w:cs="Arial"/>
          <w:kern w:val="2"/>
        </w:rPr>
        <w:t xml:space="preserve"> </w:t>
      </w:r>
    </w:p>
    <w:p w14:paraId="6EFEA889" w14:textId="5C6F6A4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7- </w:t>
      </w:r>
      <w:r w:rsidR="00C20DC7" w:rsidRPr="00C20DC7">
        <w:rPr>
          <w:rFonts w:ascii="Arial" w:eastAsia="Calibri" w:hAnsi="Arial" w:cs="Arial"/>
          <w:kern w:val="2"/>
        </w:rPr>
        <w:t xml:space="preserve">Eswaran, H., Van Den Berg, E., &amp; Reich, P. (1993). Organic Carbon in Soils of the World. Soil Science Society of America Journal. </w:t>
      </w:r>
      <w:hyperlink r:id="rId31" w:history="1">
        <w:r w:rsidR="00C20DC7" w:rsidRPr="00115A87">
          <w:rPr>
            <w:rStyle w:val="Hyperlink"/>
            <w:rFonts w:ascii="Arial" w:eastAsia="Calibri" w:hAnsi="Arial" w:cs="Arial"/>
            <w:kern w:val="2"/>
          </w:rPr>
          <w:t>https://doi.org/10.2136/sssaj1993.03615995005700010034x</w:t>
        </w:r>
      </w:hyperlink>
      <w:r w:rsidR="00C20DC7">
        <w:rPr>
          <w:rFonts w:ascii="Arial" w:eastAsia="Calibri" w:hAnsi="Arial" w:cs="Arial"/>
          <w:kern w:val="2"/>
        </w:rPr>
        <w:t xml:space="preserve"> </w:t>
      </w:r>
      <w:r w:rsidRPr="001D61B2">
        <w:rPr>
          <w:rFonts w:ascii="Arial" w:eastAsia="Calibri" w:hAnsi="Arial" w:cs="Arial"/>
          <w:kern w:val="2"/>
        </w:rPr>
        <w:t xml:space="preserve"> </w:t>
      </w:r>
    </w:p>
    <w:p w14:paraId="3A947752" w14:textId="13CE961B"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bCs/>
          <w:kern w:val="2"/>
        </w:rPr>
        <w:t>8-</w:t>
      </w:r>
      <w:r w:rsidRPr="001D61B2">
        <w:rPr>
          <w:rFonts w:ascii="Arial" w:eastAsia="Calibri" w:hAnsi="Arial" w:cs="Arial"/>
          <w:kern w:val="2"/>
        </w:rPr>
        <w:t xml:space="preserve"> </w:t>
      </w:r>
      <w:proofErr w:type="spellStart"/>
      <w:r w:rsidR="00B77995" w:rsidRPr="00B77995">
        <w:rPr>
          <w:rFonts w:ascii="Arial" w:eastAsia="Calibri" w:hAnsi="Arial" w:cs="Arial"/>
          <w:kern w:val="2"/>
        </w:rPr>
        <w:t>Bayala</w:t>
      </w:r>
      <w:proofErr w:type="spellEnd"/>
      <w:r w:rsidR="00B77995" w:rsidRPr="00B77995">
        <w:rPr>
          <w:rFonts w:ascii="Arial" w:eastAsia="Calibri" w:hAnsi="Arial" w:cs="Arial"/>
          <w:kern w:val="2"/>
        </w:rPr>
        <w:t xml:space="preserve">, J., </w:t>
      </w:r>
      <w:proofErr w:type="spellStart"/>
      <w:r w:rsidR="00B77995" w:rsidRPr="00B77995">
        <w:rPr>
          <w:rFonts w:ascii="Arial" w:eastAsia="Calibri" w:hAnsi="Arial" w:cs="Arial"/>
          <w:kern w:val="2"/>
        </w:rPr>
        <w:t>Teklehaimanot</w:t>
      </w:r>
      <w:proofErr w:type="spellEnd"/>
      <w:r w:rsidR="00B77995" w:rsidRPr="00B77995">
        <w:rPr>
          <w:rFonts w:ascii="Arial" w:eastAsia="Calibri" w:hAnsi="Arial" w:cs="Arial"/>
          <w:kern w:val="2"/>
        </w:rPr>
        <w:t xml:space="preserve">, Z., &amp; </w:t>
      </w:r>
      <w:proofErr w:type="spellStart"/>
      <w:r w:rsidR="00B77995" w:rsidRPr="00B77995">
        <w:rPr>
          <w:rFonts w:ascii="Arial" w:eastAsia="Calibri" w:hAnsi="Arial" w:cs="Arial"/>
          <w:kern w:val="2"/>
        </w:rPr>
        <w:t>Ouedraogo</w:t>
      </w:r>
      <w:proofErr w:type="spellEnd"/>
      <w:r w:rsidR="00B77995" w:rsidRPr="00B77995">
        <w:rPr>
          <w:rFonts w:ascii="Arial" w:eastAsia="Calibri" w:hAnsi="Arial" w:cs="Arial"/>
          <w:kern w:val="2"/>
        </w:rPr>
        <w:t xml:space="preserve">, S. (2004). Fine root distribution of pruned trees and associated crops in a parkland system in Burkina Faso. Agroforestry Systems, 60, 13–26. </w:t>
      </w:r>
      <w:hyperlink r:id="rId32" w:history="1">
        <w:r w:rsidR="00B77995" w:rsidRPr="00115A87">
          <w:rPr>
            <w:rStyle w:val="Hyperlink"/>
            <w:rFonts w:ascii="Arial" w:eastAsia="Calibri" w:hAnsi="Arial" w:cs="Arial"/>
            <w:kern w:val="2"/>
          </w:rPr>
          <w:t>https://doi.org/10.1023/B:AGFO.0000009401.96309.12</w:t>
        </w:r>
      </w:hyperlink>
      <w:r w:rsidR="00B77995">
        <w:rPr>
          <w:rFonts w:ascii="Arial" w:eastAsia="Calibri" w:hAnsi="Arial" w:cs="Arial"/>
          <w:kern w:val="2"/>
        </w:rPr>
        <w:t xml:space="preserve"> </w:t>
      </w:r>
      <w:r w:rsidRPr="001D61B2">
        <w:rPr>
          <w:rFonts w:ascii="Arial" w:eastAsia="Calibri" w:hAnsi="Arial" w:cs="Arial"/>
          <w:kern w:val="2"/>
        </w:rPr>
        <w:t xml:space="preserve"> </w:t>
      </w:r>
    </w:p>
    <w:p w14:paraId="6CB25FD3" w14:textId="3098435E"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9-</w:t>
      </w:r>
      <w:r w:rsidR="003036F8" w:rsidRPr="003036F8">
        <w:rPr>
          <w:rFonts w:ascii="Arial" w:eastAsia="Calibri" w:hAnsi="Arial" w:cs="Arial"/>
          <w:kern w:val="2"/>
          <w:lang w:val="fr-FR"/>
        </w:rPr>
        <w:t xml:space="preserve">Gning, M., </w:t>
      </w:r>
      <w:proofErr w:type="spellStart"/>
      <w:r w:rsidR="003036F8" w:rsidRPr="003036F8">
        <w:rPr>
          <w:rFonts w:ascii="Arial" w:eastAsia="Calibri" w:hAnsi="Arial" w:cs="Arial"/>
          <w:kern w:val="2"/>
          <w:lang w:val="fr-FR"/>
        </w:rPr>
        <w:t>Bassene</w:t>
      </w:r>
      <w:proofErr w:type="spellEnd"/>
      <w:r w:rsidR="003036F8" w:rsidRPr="003036F8">
        <w:rPr>
          <w:rFonts w:ascii="Arial" w:eastAsia="Calibri" w:hAnsi="Arial" w:cs="Arial"/>
          <w:kern w:val="2"/>
          <w:lang w:val="fr-FR"/>
        </w:rPr>
        <w:t xml:space="preserve">, C., Diatta, A. A., Senghor, Y., Ba, H. R., &amp; Manga, A. G. B. (2025). Approches agroécologiques de gestion des adventices : rôle de </w:t>
      </w:r>
      <w:proofErr w:type="spellStart"/>
      <w:r w:rsidR="003036F8" w:rsidRPr="003036F8">
        <w:rPr>
          <w:rFonts w:ascii="Arial" w:eastAsia="Calibri" w:hAnsi="Arial" w:cs="Arial"/>
          <w:kern w:val="2"/>
          <w:lang w:val="fr-FR"/>
        </w:rPr>
        <w:t>Macroptilium</w:t>
      </w:r>
      <w:proofErr w:type="spellEnd"/>
      <w:r w:rsidR="003036F8" w:rsidRPr="003036F8">
        <w:rPr>
          <w:rFonts w:ascii="Arial" w:eastAsia="Calibri" w:hAnsi="Arial" w:cs="Arial"/>
          <w:kern w:val="2"/>
          <w:lang w:val="fr-FR"/>
        </w:rPr>
        <w:t xml:space="preserve"> </w:t>
      </w:r>
      <w:proofErr w:type="spellStart"/>
      <w:r w:rsidR="003036F8" w:rsidRPr="003036F8">
        <w:rPr>
          <w:rFonts w:ascii="Arial" w:eastAsia="Calibri" w:hAnsi="Arial" w:cs="Arial"/>
          <w:kern w:val="2"/>
          <w:lang w:val="fr-FR"/>
        </w:rPr>
        <w:t>lathyroides</w:t>
      </w:r>
      <w:proofErr w:type="spellEnd"/>
      <w:r w:rsidR="003036F8" w:rsidRPr="003036F8">
        <w:rPr>
          <w:rFonts w:ascii="Arial" w:eastAsia="Calibri" w:hAnsi="Arial" w:cs="Arial"/>
          <w:kern w:val="2"/>
          <w:lang w:val="fr-FR"/>
        </w:rPr>
        <w:t xml:space="preserve"> en association, paillage et enfouissement dans la culture du maïs. Journal of </w:t>
      </w:r>
      <w:proofErr w:type="spellStart"/>
      <w:r w:rsidR="003036F8" w:rsidRPr="003036F8">
        <w:rPr>
          <w:rFonts w:ascii="Arial" w:eastAsia="Calibri" w:hAnsi="Arial" w:cs="Arial"/>
          <w:kern w:val="2"/>
          <w:lang w:val="fr-FR"/>
        </w:rPr>
        <w:t>Applied</w:t>
      </w:r>
      <w:proofErr w:type="spellEnd"/>
      <w:r w:rsidR="003036F8" w:rsidRPr="003036F8">
        <w:rPr>
          <w:rFonts w:ascii="Arial" w:eastAsia="Calibri" w:hAnsi="Arial" w:cs="Arial"/>
          <w:kern w:val="2"/>
          <w:lang w:val="fr-FR"/>
        </w:rPr>
        <w:t xml:space="preserve"> Biosciences, 211, 22374–22387. </w:t>
      </w:r>
      <w:hyperlink r:id="rId33" w:history="1">
        <w:r w:rsidR="003036F8" w:rsidRPr="00115A87">
          <w:rPr>
            <w:rStyle w:val="Hyperlink"/>
            <w:rFonts w:ascii="Arial" w:eastAsia="Calibri" w:hAnsi="Arial" w:cs="Arial"/>
            <w:kern w:val="2"/>
            <w:lang w:val="fr-FR"/>
          </w:rPr>
          <w:t>https://doi.org/10.35759/JABs.211.6</w:t>
        </w:r>
      </w:hyperlink>
      <w:r w:rsidR="003036F8">
        <w:rPr>
          <w:rFonts w:ascii="Arial" w:eastAsia="Calibri" w:hAnsi="Arial" w:cs="Arial"/>
          <w:kern w:val="2"/>
          <w:lang w:val="fr-FR"/>
        </w:rPr>
        <w:t xml:space="preserve"> </w:t>
      </w:r>
      <w:r w:rsidRPr="001D61B2">
        <w:rPr>
          <w:rFonts w:ascii="Arial" w:eastAsia="Calibri" w:hAnsi="Arial" w:cs="Arial"/>
          <w:kern w:val="2"/>
        </w:rPr>
        <w:t xml:space="preserve"> </w:t>
      </w:r>
    </w:p>
    <w:p w14:paraId="12131618" w14:textId="7461A126"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lang w:val="fr-FR"/>
        </w:rPr>
        <w:t>10-</w:t>
      </w:r>
      <w:r w:rsidR="005A25D5" w:rsidRPr="005A25D5">
        <w:rPr>
          <w:rFonts w:ascii="Arial" w:eastAsia="Calibri" w:hAnsi="Arial" w:cs="Arial"/>
          <w:lang w:val="fr-FR"/>
        </w:rPr>
        <w:t xml:space="preserve">Massaoudou, M., &amp; Mahamane, L. (2025). A </w:t>
      </w:r>
      <w:proofErr w:type="spellStart"/>
      <w:r w:rsidR="005A25D5" w:rsidRPr="005A25D5">
        <w:rPr>
          <w:rFonts w:ascii="Arial" w:eastAsia="Calibri" w:hAnsi="Arial" w:cs="Arial"/>
          <w:lang w:val="fr-FR"/>
        </w:rPr>
        <w:t>review</w:t>
      </w:r>
      <w:proofErr w:type="spellEnd"/>
      <w:r w:rsidR="005A25D5" w:rsidRPr="005A25D5">
        <w:rPr>
          <w:rFonts w:ascii="Arial" w:eastAsia="Calibri" w:hAnsi="Arial" w:cs="Arial"/>
          <w:lang w:val="fr-FR"/>
        </w:rPr>
        <w:t xml:space="preserve"> of the direct and indirect </w:t>
      </w:r>
      <w:proofErr w:type="spellStart"/>
      <w:r w:rsidR="005A25D5" w:rsidRPr="005A25D5">
        <w:rPr>
          <w:rFonts w:ascii="Arial" w:eastAsia="Calibri" w:hAnsi="Arial" w:cs="Arial"/>
          <w:lang w:val="fr-FR"/>
        </w:rPr>
        <w:t>effects</w:t>
      </w:r>
      <w:proofErr w:type="spellEnd"/>
      <w:r w:rsidR="005A25D5" w:rsidRPr="005A25D5">
        <w:rPr>
          <w:rFonts w:ascii="Arial" w:eastAsia="Calibri" w:hAnsi="Arial" w:cs="Arial"/>
          <w:lang w:val="fr-FR"/>
        </w:rPr>
        <w:t xml:space="preserve"> of </w:t>
      </w:r>
      <w:proofErr w:type="spellStart"/>
      <w:r w:rsidR="005A25D5" w:rsidRPr="005A25D5">
        <w:rPr>
          <w:rFonts w:ascii="Arial" w:eastAsia="Calibri" w:hAnsi="Arial" w:cs="Arial"/>
          <w:lang w:val="fr-FR"/>
        </w:rPr>
        <w:t>African</w:t>
      </w:r>
      <w:proofErr w:type="spellEnd"/>
      <w:r w:rsidR="005A25D5" w:rsidRPr="005A25D5">
        <w:rPr>
          <w:rFonts w:ascii="Arial" w:eastAsia="Calibri" w:hAnsi="Arial" w:cs="Arial"/>
          <w:lang w:val="fr-FR"/>
        </w:rPr>
        <w:t xml:space="preserve"> </w:t>
      </w:r>
      <w:proofErr w:type="spellStart"/>
      <w:r w:rsidR="005A25D5" w:rsidRPr="005A25D5">
        <w:rPr>
          <w:rFonts w:ascii="Arial" w:eastAsia="Calibri" w:hAnsi="Arial" w:cs="Arial"/>
          <w:lang w:val="fr-FR"/>
        </w:rPr>
        <w:t>agroforestry</w:t>
      </w:r>
      <w:proofErr w:type="spellEnd"/>
      <w:r w:rsidR="005A25D5" w:rsidRPr="005A25D5">
        <w:rPr>
          <w:rFonts w:ascii="Arial" w:eastAsia="Calibri" w:hAnsi="Arial" w:cs="Arial"/>
          <w:lang w:val="fr-FR"/>
        </w:rPr>
        <w:t xml:space="preserve"> </w:t>
      </w:r>
      <w:proofErr w:type="spellStart"/>
      <w:r w:rsidR="005A25D5" w:rsidRPr="005A25D5">
        <w:rPr>
          <w:rFonts w:ascii="Arial" w:eastAsia="Calibri" w:hAnsi="Arial" w:cs="Arial"/>
          <w:lang w:val="fr-FR"/>
        </w:rPr>
        <w:t>trees</w:t>
      </w:r>
      <w:proofErr w:type="spellEnd"/>
      <w:r w:rsidR="005A25D5" w:rsidRPr="005A25D5">
        <w:rPr>
          <w:rFonts w:ascii="Arial" w:eastAsia="Calibri" w:hAnsi="Arial" w:cs="Arial"/>
          <w:lang w:val="fr-FR"/>
        </w:rPr>
        <w:t xml:space="preserve">. Discover </w:t>
      </w:r>
      <w:proofErr w:type="spellStart"/>
      <w:r w:rsidR="005A25D5" w:rsidRPr="005A25D5">
        <w:rPr>
          <w:rFonts w:ascii="Arial" w:eastAsia="Calibri" w:hAnsi="Arial" w:cs="Arial"/>
          <w:lang w:val="fr-FR"/>
        </w:rPr>
        <w:t>Forests</w:t>
      </w:r>
      <w:proofErr w:type="spellEnd"/>
      <w:r w:rsidR="005A25D5" w:rsidRPr="005A25D5">
        <w:rPr>
          <w:rFonts w:ascii="Arial" w:eastAsia="Calibri" w:hAnsi="Arial" w:cs="Arial"/>
          <w:lang w:val="fr-FR"/>
        </w:rPr>
        <w:t xml:space="preserve">, 1(1), 37. </w:t>
      </w:r>
      <w:hyperlink r:id="rId34" w:history="1">
        <w:r w:rsidR="005A25D5" w:rsidRPr="00115A87">
          <w:rPr>
            <w:rStyle w:val="Hyperlink"/>
            <w:rFonts w:ascii="Arial" w:eastAsia="Calibri" w:hAnsi="Arial" w:cs="Arial"/>
            <w:lang w:val="fr-FR"/>
          </w:rPr>
          <w:t>https://doi.org/10.1007/s44415-025-00028-x</w:t>
        </w:r>
      </w:hyperlink>
      <w:r w:rsidR="005A25D5">
        <w:rPr>
          <w:rFonts w:ascii="Arial" w:eastAsia="Calibri" w:hAnsi="Arial" w:cs="Arial"/>
          <w:lang w:val="fr-FR"/>
        </w:rPr>
        <w:t xml:space="preserve"> </w:t>
      </w:r>
    </w:p>
    <w:p w14:paraId="014354B0" w14:textId="5A21C80E"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rPr>
        <w:t>11-</w:t>
      </w:r>
      <w:r w:rsidR="00803E99" w:rsidRPr="00803E99">
        <w:rPr>
          <w:rFonts w:ascii="Arial" w:eastAsia="Calibri" w:hAnsi="Arial" w:cs="Arial"/>
        </w:rPr>
        <w:t xml:space="preserve">Koala, J., </w:t>
      </w:r>
      <w:proofErr w:type="spellStart"/>
      <w:r w:rsidR="00803E99" w:rsidRPr="00803E99">
        <w:rPr>
          <w:rFonts w:ascii="Arial" w:eastAsia="Calibri" w:hAnsi="Arial" w:cs="Arial"/>
        </w:rPr>
        <w:t>Kagambega</w:t>
      </w:r>
      <w:proofErr w:type="spellEnd"/>
      <w:r w:rsidR="00803E99" w:rsidRPr="00803E99">
        <w:rPr>
          <w:rFonts w:ascii="Arial" w:eastAsia="Calibri" w:hAnsi="Arial" w:cs="Arial"/>
        </w:rPr>
        <w:t xml:space="preserve">, O. R., &amp; </w:t>
      </w:r>
      <w:proofErr w:type="spellStart"/>
      <w:r w:rsidR="00803E99" w:rsidRPr="00803E99">
        <w:rPr>
          <w:rFonts w:ascii="Arial" w:eastAsia="Calibri" w:hAnsi="Arial" w:cs="Arial"/>
        </w:rPr>
        <w:t>Sanou</w:t>
      </w:r>
      <w:proofErr w:type="spellEnd"/>
      <w:r w:rsidR="00803E99" w:rsidRPr="00803E99">
        <w:rPr>
          <w:rFonts w:ascii="Arial" w:eastAsia="Calibri" w:hAnsi="Arial" w:cs="Arial"/>
        </w:rPr>
        <w:t xml:space="preserve">, L. (2021). Distribution des stocks de </w:t>
      </w:r>
      <w:proofErr w:type="spellStart"/>
      <w:r w:rsidR="00803E99" w:rsidRPr="00803E99">
        <w:rPr>
          <w:rFonts w:ascii="Arial" w:eastAsia="Calibri" w:hAnsi="Arial" w:cs="Arial"/>
        </w:rPr>
        <w:t>carbone</w:t>
      </w:r>
      <w:proofErr w:type="spellEnd"/>
      <w:r w:rsidR="00803E99" w:rsidRPr="00803E99">
        <w:rPr>
          <w:rFonts w:ascii="Arial" w:eastAsia="Calibri" w:hAnsi="Arial" w:cs="Arial"/>
        </w:rPr>
        <w:t xml:space="preserve"> du sol et de la </w:t>
      </w:r>
      <w:proofErr w:type="spellStart"/>
      <w:r w:rsidR="00803E99" w:rsidRPr="00803E99">
        <w:rPr>
          <w:rFonts w:ascii="Arial" w:eastAsia="Calibri" w:hAnsi="Arial" w:cs="Arial"/>
        </w:rPr>
        <w:t>biomasse</w:t>
      </w:r>
      <w:proofErr w:type="spellEnd"/>
      <w:r w:rsidR="00803E99" w:rsidRPr="00803E99">
        <w:rPr>
          <w:rFonts w:ascii="Arial" w:eastAsia="Calibri" w:hAnsi="Arial" w:cs="Arial"/>
        </w:rPr>
        <w:t xml:space="preserve"> </w:t>
      </w:r>
      <w:proofErr w:type="spellStart"/>
      <w:r w:rsidR="00803E99" w:rsidRPr="00803E99">
        <w:rPr>
          <w:rFonts w:ascii="Arial" w:eastAsia="Calibri" w:hAnsi="Arial" w:cs="Arial"/>
        </w:rPr>
        <w:t>racinaire</w:t>
      </w:r>
      <w:proofErr w:type="spellEnd"/>
      <w:r w:rsidR="00803E99" w:rsidRPr="00803E99">
        <w:rPr>
          <w:rFonts w:ascii="Arial" w:eastAsia="Calibri" w:hAnsi="Arial" w:cs="Arial"/>
        </w:rPr>
        <w:t xml:space="preserve"> dans un parc </w:t>
      </w:r>
      <w:proofErr w:type="spellStart"/>
      <w:r w:rsidR="00803E99" w:rsidRPr="00803E99">
        <w:rPr>
          <w:rFonts w:ascii="Arial" w:eastAsia="Calibri" w:hAnsi="Arial" w:cs="Arial"/>
        </w:rPr>
        <w:t>agroforestier</w:t>
      </w:r>
      <w:proofErr w:type="spellEnd"/>
      <w:r w:rsidR="00803E99" w:rsidRPr="00803E99">
        <w:rPr>
          <w:rFonts w:ascii="Arial" w:eastAsia="Calibri" w:hAnsi="Arial" w:cs="Arial"/>
        </w:rPr>
        <w:t xml:space="preserve"> à Prosopis africana (</w:t>
      </w:r>
      <w:proofErr w:type="spellStart"/>
      <w:r w:rsidR="00803E99" w:rsidRPr="00803E99">
        <w:rPr>
          <w:rFonts w:ascii="Arial" w:eastAsia="Calibri" w:hAnsi="Arial" w:cs="Arial"/>
        </w:rPr>
        <w:t>Guill</w:t>
      </w:r>
      <w:proofErr w:type="spellEnd"/>
      <w:r w:rsidR="00803E99" w:rsidRPr="00803E99">
        <w:rPr>
          <w:rFonts w:ascii="Arial" w:eastAsia="Calibri" w:hAnsi="Arial" w:cs="Arial"/>
        </w:rPr>
        <w:t xml:space="preserve">., et Rich.) Taub au Burkina Faso, Afrique de </w:t>
      </w:r>
      <w:proofErr w:type="spellStart"/>
      <w:r w:rsidR="00803E99" w:rsidRPr="00803E99">
        <w:rPr>
          <w:rFonts w:ascii="Arial" w:eastAsia="Calibri" w:hAnsi="Arial" w:cs="Arial"/>
        </w:rPr>
        <w:t>l’Ouest</w:t>
      </w:r>
      <w:proofErr w:type="spellEnd"/>
      <w:r w:rsidR="00803E99" w:rsidRPr="00803E99">
        <w:rPr>
          <w:rFonts w:ascii="Arial" w:eastAsia="Calibri" w:hAnsi="Arial" w:cs="Arial"/>
        </w:rPr>
        <w:t xml:space="preserve">. Journal of Applied Biosciences, 160, 16482–16494. </w:t>
      </w:r>
      <w:hyperlink r:id="rId35" w:history="1">
        <w:r w:rsidR="00803E99" w:rsidRPr="00115A87">
          <w:rPr>
            <w:rStyle w:val="Hyperlink"/>
            <w:rFonts w:ascii="Arial" w:eastAsia="Calibri" w:hAnsi="Arial" w:cs="Arial"/>
          </w:rPr>
          <w:t>https://doi.org/10.35759/JABs.160.5</w:t>
        </w:r>
      </w:hyperlink>
      <w:r w:rsidR="00803E99">
        <w:rPr>
          <w:rFonts w:ascii="Arial" w:eastAsia="Calibri" w:hAnsi="Arial" w:cs="Arial"/>
        </w:rPr>
        <w:t xml:space="preserve"> </w:t>
      </w:r>
    </w:p>
    <w:p w14:paraId="0F149FBC" w14:textId="6618F82D"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rPr>
        <w:t>12-</w:t>
      </w:r>
      <w:r w:rsidR="009A52E1" w:rsidRPr="009A52E1">
        <w:rPr>
          <w:rFonts w:ascii="Arial" w:eastAsia="Calibri" w:hAnsi="Arial" w:cs="Arial"/>
        </w:rPr>
        <w:t xml:space="preserve">Gning, F., Jourdan, C., </w:t>
      </w:r>
      <w:proofErr w:type="spellStart"/>
      <w:r w:rsidR="009A52E1" w:rsidRPr="009A52E1">
        <w:rPr>
          <w:rFonts w:ascii="Arial" w:eastAsia="Calibri" w:hAnsi="Arial" w:cs="Arial"/>
        </w:rPr>
        <w:t>Diatta</w:t>
      </w:r>
      <w:proofErr w:type="spellEnd"/>
      <w:r w:rsidR="009A52E1" w:rsidRPr="009A52E1">
        <w:rPr>
          <w:rFonts w:ascii="Arial" w:eastAsia="Calibri" w:hAnsi="Arial" w:cs="Arial"/>
        </w:rPr>
        <w:t xml:space="preserve">, M., </w:t>
      </w:r>
      <w:proofErr w:type="spellStart"/>
      <w:r w:rsidR="009A52E1" w:rsidRPr="009A52E1">
        <w:rPr>
          <w:rFonts w:ascii="Arial" w:eastAsia="Calibri" w:hAnsi="Arial" w:cs="Arial"/>
        </w:rPr>
        <w:t>Ngom</w:t>
      </w:r>
      <w:proofErr w:type="spellEnd"/>
      <w:r w:rsidR="009A52E1" w:rsidRPr="009A52E1">
        <w:rPr>
          <w:rFonts w:ascii="Arial" w:eastAsia="Calibri" w:hAnsi="Arial" w:cs="Arial"/>
        </w:rPr>
        <w:t xml:space="preserve">, D., &amp; </w:t>
      </w:r>
      <w:proofErr w:type="spellStart"/>
      <w:r w:rsidR="009A52E1" w:rsidRPr="009A52E1">
        <w:rPr>
          <w:rFonts w:ascii="Arial" w:eastAsia="Calibri" w:hAnsi="Arial" w:cs="Arial"/>
        </w:rPr>
        <w:t>Ræbild</w:t>
      </w:r>
      <w:proofErr w:type="spellEnd"/>
      <w:r w:rsidR="009A52E1" w:rsidRPr="009A52E1">
        <w:rPr>
          <w:rFonts w:ascii="Arial" w:eastAsia="Calibri" w:hAnsi="Arial" w:cs="Arial"/>
        </w:rPr>
        <w:t xml:space="preserve">, A. (2025). Root growth and biomass partitioning of nine juvenile Sahelian agroforestry tree species under drought and irrigation treatments. Plant and Soil, 512, 1509–1527. </w:t>
      </w:r>
      <w:hyperlink r:id="rId36" w:history="1">
        <w:r w:rsidR="009A52E1" w:rsidRPr="00115A87">
          <w:rPr>
            <w:rStyle w:val="Hyperlink"/>
            <w:rFonts w:ascii="Arial" w:eastAsia="Calibri" w:hAnsi="Arial" w:cs="Arial"/>
          </w:rPr>
          <w:t>https://doi.org/10.1007/s11104-024-07155-y</w:t>
        </w:r>
      </w:hyperlink>
      <w:r w:rsidR="009A52E1">
        <w:rPr>
          <w:rFonts w:ascii="Arial" w:eastAsia="Calibri" w:hAnsi="Arial" w:cs="Arial"/>
        </w:rPr>
        <w:t xml:space="preserve"> </w:t>
      </w:r>
    </w:p>
    <w:p w14:paraId="2540A0D4" w14:textId="6C60B74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lastRenderedPageBreak/>
        <w:t xml:space="preserve">13- </w:t>
      </w:r>
      <w:r w:rsidR="00D85801" w:rsidRPr="00D85801">
        <w:rPr>
          <w:rFonts w:ascii="Arial" w:eastAsia="Calibri" w:hAnsi="Arial" w:cs="Arial"/>
          <w:kern w:val="2"/>
        </w:rPr>
        <w:t xml:space="preserve">Kessler, J. J. (1992). The influence of </w:t>
      </w:r>
      <w:proofErr w:type="spellStart"/>
      <w:r w:rsidR="00D85801" w:rsidRPr="00D85801">
        <w:rPr>
          <w:rFonts w:ascii="Arial" w:eastAsia="Calibri" w:hAnsi="Arial" w:cs="Arial"/>
          <w:kern w:val="2"/>
        </w:rPr>
        <w:t>karité</w:t>
      </w:r>
      <w:proofErr w:type="spellEnd"/>
      <w:r w:rsidR="00D85801" w:rsidRPr="00D85801">
        <w:rPr>
          <w:rFonts w:ascii="Arial" w:eastAsia="Calibri" w:hAnsi="Arial" w:cs="Arial"/>
          <w:kern w:val="2"/>
        </w:rPr>
        <w:t xml:space="preserve"> (Vitellaria </w:t>
      </w:r>
      <w:proofErr w:type="spellStart"/>
      <w:r w:rsidR="00D85801" w:rsidRPr="00D85801">
        <w:rPr>
          <w:rFonts w:ascii="Arial" w:eastAsia="Calibri" w:hAnsi="Arial" w:cs="Arial"/>
          <w:kern w:val="2"/>
        </w:rPr>
        <w:t>paradoxa</w:t>
      </w:r>
      <w:proofErr w:type="spellEnd"/>
      <w:r w:rsidR="00D85801" w:rsidRPr="00D85801">
        <w:rPr>
          <w:rFonts w:ascii="Arial" w:eastAsia="Calibri" w:hAnsi="Arial" w:cs="Arial"/>
          <w:kern w:val="2"/>
        </w:rPr>
        <w:t xml:space="preserve">) and </w:t>
      </w:r>
      <w:proofErr w:type="spellStart"/>
      <w:r w:rsidR="00D85801" w:rsidRPr="00D85801">
        <w:rPr>
          <w:rFonts w:ascii="Arial" w:eastAsia="Calibri" w:hAnsi="Arial" w:cs="Arial"/>
          <w:kern w:val="2"/>
        </w:rPr>
        <w:t>néré</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Parkia</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biglobosa</w:t>
      </w:r>
      <w:proofErr w:type="spellEnd"/>
      <w:r w:rsidR="00D85801" w:rsidRPr="00D85801">
        <w:rPr>
          <w:rFonts w:ascii="Arial" w:eastAsia="Calibri" w:hAnsi="Arial" w:cs="Arial"/>
          <w:kern w:val="2"/>
        </w:rPr>
        <w:t xml:space="preserve">) trees on sorghum production in Burkina Faso. Agroforestry Systems, 17, 97–118. </w:t>
      </w:r>
      <w:hyperlink r:id="rId37" w:history="1">
        <w:r w:rsidR="00D85801" w:rsidRPr="00115A87">
          <w:rPr>
            <w:rStyle w:val="Hyperlink"/>
            <w:rFonts w:ascii="Arial" w:eastAsia="Calibri" w:hAnsi="Arial" w:cs="Arial"/>
            <w:kern w:val="2"/>
          </w:rPr>
          <w:t>https://doi.org/10.1007/BF00053116</w:t>
        </w:r>
      </w:hyperlink>
      <w:r w:rsidR="00D85801">
        <w:rPr>
          <w:rFonts w:ascii="Arial" w:eastAsia="Calibri" w:hAnsi="Arial" w:cs="Arial"/>
          <w:kern w:val="2"/>
        </w:rPr>
        <w:t xml:space="preserve"> </w:t>
      </w:r>
      <w:r w:rsidRPr="001D61B2">
        <w:rPr>
          <w:rFonts w:ascii="Arial" w:eastAsia="Calibri" w:hAnsi="Arial" w:cs="Arial"/>
          <w:kern w:val="2"/>
        </w:rPr>
        <w:t xml:space="preserve"> </w:t>
      </w:r>
    </w:p>
    <w:p w14:paraId="3B66A677" w14:textId="7ACB4B48"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14- </w:t>
      </w:r>
      <w:proofErr w:type="spellStart"/>
      <w:r w:rsidR="000D5271" w:rsidRPr="000D5271">
        <w:rPr>
          <w:rFonts w:ascii="Arial" w:eastAsia="Calibri" w:hAnsi="Arial" w:cs="Arial"/>
          <w:kern w:val="2"/>
        </w:rPr>
        <w:t>Sanou</w:t>
      </w:r>
      <w:proofErr w:type="spellEnd"/>
      <w:r w:rsidR="000D5271" w:rsidRPr="000D5271">
        <w:rPr>
          <w:rFonts w:ascii="Arial" w:eastAsia="Calibri" w:hAnsi="Arial" w:cs="Arial"/>
          <w:kern w:val="2"/>
        </w:rPr>
        <w:t xml:space="preserve">, C. L., </w:t>
      </w:r>
      <w:proofErr w:type="spellStart"/>
      <w:r w:rsidR="000D5271" w:rsidRPr="000D5271">
        <w:rPr>
          <w:rFonts w:ascii="Arial" w:eastAsia="Calibri" w:hAnsi="Arial" w:cs="Arial"/>
          <w:kern w:val="2"/>
        </w:rPr>
        <w:t>Neya</w:t>
      </w:r>
      <w:proofErr w:type="spellEnd"/>
      <w:r w:rsidR="000D5271" w:rsidRPr="000D5271">
        <w:rPr>
          <w:rFonts w:ascii="Arial" w:eastAsia="Calibri" w:hAnsi="Arial" w:cs="Arial"/>
          <w:kern w:val="2"/>
        </w:rPr>
        <w:t xml:space="preserve">, O., </w:t>
      </w:r>
      <w:proofErr w:type="spellStart"/>
      <w:r w:rsidR="000D5271" w:rsidRPr="000D5271">
        <w:rPr>
          <w:rFonts w:ascii="Arial" w:eastAsia="Calibri" w:hAnsi="Arial" w:cs="Arial"/>
          <w:kern w:val="2"/>
        </w:rPr>
        <w:t>Agodzo</w:t>
      </w:r>
      <w:proofErr w:type="spellEnd"/>
      <w:r w:rsidR="000D5271" w:rsidRPr="000D5271">
        <w:rPr>
          <w:rFonts w:ascii="Arial" w:eastAsia="Calibri" w:hAnsi="Arial" w:cs="Arial"/>
          <w:kern w:val="2"/>
        </w:rPr>
        <w:t xml:space="preserve">, S. K., </w:t>
      </w:r>
      <w:proofErr w:type="spellStart"/>
      <w:r w:rsidR="000D5271" w:rsidRPr="000D5271">
        <w:rPr>
          <w:rFonts w:ascii="Arial" w:eastAsia="Calibri" w:hAnsi="Arial" w:cs="Arial"/>
          <w:kern w:val="2"/>
        </w:rPr>
        <w:t>Bessah</w:t>
      </w:r>
      <w:proofErr w:type="spellEnd"/>
      <w:r w:rsidR="000D5271" w:rsidRPr="000D5271">
        <w:rPr>
          <w:rFonts w:ascii="Arial" w:eastAsia="Calibri" w:hAnsi="Arial" w:cs="Arial"/>
          <w:kern w:val="2"/>
        </w:rPr>
        <w:t xml:space="preserve">, E., </w:t>
      </w:r>
      <w:proofErr w:type="spellStart"/>
      <w:r w:rsidR="000D5271" w:rsidRPr="000D5271">
        <w:rPr>
          <w:rFonts w:ascii="Arial" w:eastAsia="Calibri" w:hAnsi="Arial" w:cs="Arial"/>
          <w:kern w:val="2"/>
        </w:rPr>
        <w:t>Antwi</w:t>
      </w:r>
      <w:proofErr w:type="spellEnd"/>
      <w:r w:rsidR="000D5271" w:rsidRPr="000D5271">
        <w:rPr>
          <w:rFonts w:ascii="Arial" w:eastAsia="Calibri" w:hAnsi="Arial" w:cs="Arial"/>
          <w:kern w:val="2"/>
        </w:rPr>
        <w:t xml:space="preserve">-Agyei, P., </w:t>
      </w:r>
      <w:proofErr w:type="spellStart"/>
      <w:r w:rsidR="000D5271" w:rsidRPr="000D5271">
        <w:rPr>
          <w:rFonts w:ascii="Arial" w:eastAsia="Calibri" w:hAnsi="Arial" w:cs="Arial"/>
          <w:kern w:val="2"/>
        </w:rPr>
        <w:t>Zougmoré</w:t>
      </w:r>
      <w:proofErr w:type="spellEnd"/>
      <w:r w:rsidR="000D5271" w:rsidRPr="000D5271">
        <w:rPr>
          <w:rFonts w:ascii="Arial" w:eastAsia="Calibri" w:hAnsi="Arial" w:cs="Arial"/>
          <w:kern w:val="2"/>
        </w:rPr>
        <w:t xml:space="preserve">, R., </w:t>
      </w:r>
      <w:proofErr w:type="spellStart"/>
      <w:r w:rsidR="000D5271" w:rsidRPr="000D5271">
        <w:rPr>
          <w:rFonts w:ascii="Arial" w:eastAsia="Calibri" w:hAnsi="Arial" w:cs="Arial"/>
          <w:kern w:val="2"/>
        </w:rPr>
        <w:t>Sawadogo</w:t>
      </w:r>
      <w:proofErr w:type="spellEnd"/>
      <w:r w:rsidR="000D5271" w:rsidRPr="000D5271">
        <w:rPr>
          <w:rFonts w:ascii="Arial" w:eastAsia="Calibri" w:hAnsi="Arial" w:cs="Arial"/>
          <w:kern w:val="2"/>
        </w:rPr>
        <w:t xml:space="preserve">, L. Z. N. B., &amp; </w:t>
      </w:r>
      <w:proofErr w:type="spellStart"/>
      <w:r w:rsidR="000D5271" w:rsidRPr="000D5271">
        <w:rPr>
          <w:rFonts w:ascii="Arial" w:eastAsia="Calibri" w:hAnsi="Arial" w:cs="Arial"/>
          <w:kern w:val="2"/>
        </w:rPr>
        <w:t>Thiombiano</w:t>
      </w:r>
      <w:proofErr w:type="spellEnd"/>
      <w:r w:rsidR="000D5271" w:rsidRPr="000D5271">
        <w:rPr>
          <w:rFonts w:ascii="Arial" w:eastAsia="Calibri" w:hAnsi="Arial" w:cs="Arial"/>
          <w:kern w:val="2"/>
        </w:rPr>
        <w:t xml:space="preserve">, A. (2025). Woody species diversity and aboveground carbon stocks in agroforestry systems in Burkina Faso. *Discover Sustainability*, *6*, 234. </w:t>
      </w:r>
      <w:hyperlink r:id="rId38" w:history="1">
        <w:r w:rsidR="000D5271" w:rsidRPr="00115A87">
          <w:rPr>
            <w:rStyle w:val="Hyperlink"/>
            <w:rFonts w:ascii="Arial" w:eastAsia="Calibri" w:hAnsi="Arial" w:cs="Arial"/>
            <w:kern w:val="2"/>
          </w:rPr>
          <w:t>https://doi.org/10.1007/s43621-025-00868-9</w:t>
        </w:r>
      </w:hyperlink>
      <w:r w:rsidR="000D5271">
        <w:rPr>
          <w:rFonts w:ascii="Arial" w:eastAsia="Calibri" w:hAnsi="Arial" w:cs="Arial"/>
          <w:kern w:val="2"/>
        </w:rPr>
        <w:t xml:space="preserve"> </w:t>
      </w:r>
      <w:r w:rsidRPr="001D61B2">
        <w:rPr>
          <w:rFonts w:ascii="Arial" w:eastAsia="Calibri" w:hAnsi="Arial" w:cs="Arial"/>
          <w:kern w:val="2"/>
          <w:lang w:val="fr-FR"/>
        </w:rPr>
        <w:t xml:space="preserve"> </w:t>
      </w:r>
    </w:p>
    <w:p w14:paraId="6C0D0353"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15-Marone, Diatta. (2015). Étude du potentiel de stock de carbone d’espèces agroforestières et de leurs traits fonctionnels en lien avec les systèmes d’utilisation des terres au Sénégal. Université Laval., Québec, Canada.</w:t>
      </w:r>
    </w:p>
    <w:p w14:paraId="4A457273" w14:textId="2CD48E0C"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16-</w:t>
      </w:r>
      <w:r w:rsidR="00011FDE" w:rsidRPr="00011FDE">
        <w:rPr>
          <w:rFonts w:ascii="Arial" w:eastAsia="Calibri" w:hAnsi="Arial" w:cs="Arial"/>
          <w:kern w:val="2"/>
          <w:lang w:val="fr-FR"/>
        </w:rPr>
        <w:t xml:space="preserve">Yameogo, K. M. (2004). Effet du karité et du néré sur la dynamique de l’eau du sol et sa relation avec la performance des cultures associées dans un parc agroforestier à Saponé (province du Bazèga, Burkina Faso). Université de Bobo-Dioulasso. </w:t>
      </w:r>
      <w:hyperlink r:id="rId39" w:history="1">
        <w:r w:rsidR="00011FDE" w:rsidRPr="00115A87">
          <w:rPr>
            <w:rStyle w:val="Hyperlink"/>
            <w:rFonts w:ascii="Arial" w:eastAsia="Calibri" w:hAnsi="Arial" w:cs="Arial"/>
            <w:kern w:val="2"/>
            <w:lang w:val="fr-FR"/>
          </w:rPr>
          <w:t>https://www.beep.ird.fr/greenstone/collect/upb/index/assoc/IDR-2004-YAM-EFF/IDR-2004-YAM-EFF.pdf</w:t>
        </w:r>
      </w:hyperlink>
      <w:r w:rsidR="00011FDE">
        <w:rPr>
          <w:rFonts w:ascii="Arial" w:eastAsia="Calibri" w:hAnsi="Arial" w:cs="Arial"/>
          <w:kern w:val="2"/>
          <w:lang w:val="fr-FR"/>
        </w:rPr>
        <w:t xml:space="preserve"> </w:t>
      </w:r>
      <w:r w:rsidRPr="001D61B2">
        <w:rPr>
          <w:rFonts w:ascii="Arial" w:eastAsia="Calibri" w:hAnsi="Arial" w:cs="Arial"/>
          <w:kern w:val="2"/>
          <w:lang w:val="fr-FR"/>
        </w:rPr>
        <w:t xml:space="preserve"> </w:t>
      </w:r>
    </w:p>
    <w:p w14:paraId="654483CF" w14:textId="42738484"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17-</w:t>
      </w:r>
      <w:r w:rsidR="004D493B" w:rsidRPr="004D493B">
        <w:rPr>
          <w:rFonts w:ascii="Arial" w:eastAsia="Calibri" w:hAnsi="Arial" w:cs="Arial"/>
          <w:kern w:val="2"/>
        </w:rPr>
        <w:t xml:space="preserve">Ping, X., Zhou, G., Zhuang, Q., Wang, Y., </w:t>
      </w:r>
      <w:proofErr w:type="spellStart"/>
      <w:r w:rsidR="004D493B" w:rsidRPr="004D493B">
        <w:rPr>
          <w:rFonts w:ascii="Arial" w:eastAsia="Calibri" w:hAnsi="Arial" w:cs="Arial"/>
          <w:kern w:val="2"/>
        </w:rPr>
        <w:t>Zuo</w:t>
      </w:r>
      <w:proofErr w:type="spellEnd"/>
      <w:r w:rsidR="004D493B" w:rsidRPr="004D493B">
        <w:rPr>
          <w:rFonts w:ascii="Arial" w:eastAsia="Calibri" w:hAnsi="Arial" w:cs="Arial"/>
          <w:kern w:val="2"/>
        </w:rPr>
        <w:t>, W., Shi, G., Lin, X., &amp; Wang, Y. (2010). Effects of sample size and position from monolith and core methods on the estimation of total root biomass in a temperate grassland ecosystem in Inner Mongolia. *</w:t>
      </w:r>
      <w:proofErr w:type="spellStart"/>
      <w:r w:rsidR="004D493B" w:rsidRPr="004D493B">
        <w:rPr>
          <w:rFonts w:ascii="Arial" w:eastAsia="Calibri" w:hAnsi="Arial" w:cs="Arial"/>
          <w:kern w:val="2"/>
        </w:rPr>
        <w:t>Geoderma</w:t>
      </w:r>
      <w:proofErr w:type="spellEnd"/>
      <w:r w:rsidR="004D493B" w:rsidRPr="004D493B">
        <w:rPr>
          <w:rFonts w:ascii="Arial" w:eastAsia="Calibri" w:hAnsi="Arial" w:cs="Arial"/>
          <w:kern w:val="2"/>
        </w:rPr>
        <w:t xml:space="preserve">*, *155*(3-4), 262–268. </w:t>
      </w:r>
      <w:hyperlink r:id="rId40" w:history="1">
        <w:r w:rsidR="004D493B" w:rsidRPr="00115A87">
          <w:rPr>
            <w:rStyle w:val="Hyperlink"/>
            <w:rFonts w:ascii="Arial" w:eastAsia="Calibri" w:hAnsi="Arial" w:cs="Arial"/>
            <w:kern w:val="2"/>
          </w:rPr>
          <w:t>https://doi.org/10.1016/j.geoderma.2009.12.009</w:t>
        </w:r>
      </w:hyperlink>
      <w:r w:rsidR="004D493B">
        <w:rPr>
          <w:rFonts w:ascii="Arial" w:eastAsia="Calibri" w:hAnsi="Arial" w:cs="Arial"/>
          <w:kern w:val="2"/>
        </w:rPr>
        <w:t xml:space="preserve"> </w:t>
      </w:r>
      <w:r w:rsidRPr="001D61B2">
        <w:rPr>
          <w:rFonts w:ascii="Arial" w:eastAsia="Calibri" w:hAnsi="Arial" w:cs="Arial"/>
          <w:kern w:val="2"/>
        </w:rPr>
        <w:t xml:space="preserve"> </w:t>
      </w:r>
    </w:p>
    <w:p w14:paraId="10819AD5" w14:textId="51F78B7B" w:rsidR="001D61B2" w:rsidRPr="001D61B2" w:rsidRDefault="00C713FA" w:rsidP="001D61B2">
      <w:pPr>
        <w:suppressAutoHyphens/>
        <w:autoSpaceDN w:val="0"/>
        <w:spacing w:before="120" w:line="276" w:lineRule="auto"/>
        <w:jc w:val="both"/>
        <w:textAlignment w:val="baseline"/>
        <w:rPr>
          <w:rFonts w:ascii="Arial" w:eastAsia="Calibri" w:hAnsi="Arial" w:cs="Arial"/>
          <w:kern w:val="2"/>
        </w:rPr>
      </w:pPr>
      <w:r>
        <w:rPr>
          <w:rFonts w:ascii="Arial" w:eastAsia="Calibri" w:hAnsi="Arial" w:cs="Arial"/>
          <w:kern w:val="2"/>
        </w:rPr>
        <w:t>18-</w:t>
      </w:r>
      <w:r w:rsidR="0071496E" w:rsidRPr="0071496E">
        <w:rPr>
          <w:rFonts w:ascii="Arial" w:eastAsia="Calibri" w:hAnsi="Arial" w:cs="Arial"/>
          <w:kern w:val="2"/>
        </w:rPr>
        <w:t xml:space="preserve">Dipesh, K. C., &amp; Schuler, J. L. (2013). Estimating Fine-Root Production and Mortality in the Biomass Plantations. Communications in Soil Science and Plant Analysis, 44(17), 2514–2523. </w:t>
      </w:r>
      <w:hyperlink r:id="rId41" w:history="1">
        <w:r w:rsidR="0071496E" w:rsidRPr="00115A87">
          <w:rPr>
            <w:rStyle w:val="Hyperlink"/>
            <w:rFonts w:ascii="Arial" w:eastAsia="Calibri" w:hAnsi="Arial" w:cs="Arial"/>
            <w:kern w:val="2"/>
          </w:rPr>
          <w:t>https://doi.org/10.1080/00103624.2013.811516</w:t>
        </w:r>
      </w:hyperlink>
      <w:r w:rsidR="0071496E">
        <w:rPr>
          <w:rFonts w:ascii="Arial" w:eastAsia="Calibri" w:hAnsi="Arial" w:cs="Arial"/>
          <w:kern w:val="2"/>
        </w:rPr>
        <w:t xml:space="preserve"> </w:t>
      </w:r>
      <w:r w:rsidR="001D61B2" w:rsidRPr="001D61B2">
        <w:rPr>
          <w:rFonts w:ascii="Arial" w:eastAsia="Calibri" w:hAnsi="Arial" w:cs="Arial"/>
          <w:kern w:val="2"/>
        </w:rPr>
        <w:t xml:space="preserve"> </w:t>
      </w:r>
    </w:p>
    <w:p w14:paraId="571D8FCE"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19-K</w:t>
      </w:r>
      <w:r w:rsidR="00C713FA" w:rsidRPr="001D61B2">
        <w:rPr>
          <w:rFonts w:ascii="Arial" w:eastAsia="Calibri" w:hAnsi="Arial" w:cs="Arial"/>
          <w:kern w:val="2"/>
        </w:rPr>
        <w:t>oala</w:t>
      </w:r>
      <w:r w:rsidRPr="001D61B2">
        <w:rPr>
          <w:rFonts w:ascii="Arial" w:eastAsia="Calibri" w:hAnsi="Arial" w:cs="Arial"/>
          <w:kern w:val="2"/>
        </w:rPr>
        <w:t xml:space="preserve"> J., S</w:t>
      </w:r>
      <w:r w:rsidR="00C713FA" w:rsidRPr="001D61B2">
        <w:rPr>
          <w:rFonts w:ascii="Arial" w:eastAsia="Calibri" w:hAnsi="Arial" w:cs="Arial"/>
          <w:kern w:val="2"/>
        </w:rPr>
        <w:t>awadogo</w:t>
      </w:r>
      <w:r w:rsidRPr="001D61B2">
        <w:rPr>
          <w:rFonts w:ascii="Arial" w:eastAsia="Calibri" w:hAnsi="Arial" w:cs="Arial"/>
          <w:kern w:val="2"/>
        </w:rPr>
        <w:t xml:space="preserve"> L., S</w:t>
      </w:r>
      <w:r w:rsidR="00C713FA" w:rsidRPr="001D61B2">
        <w:rPr>
          <w:rFonts w:ascii="Arial" w:eastAsia="Calibri" w:hAnsi="Arial" w:cs="Arial"/>
          <w:kern w:val="2"/>
        </w:rPr>
        <w:t>awadogo</w:t>
      </w:r>
      <w:r w:rsidRPr="001D61B2">
        <w:rPr>
          <w:rFonts w:ascii="Arial" w:eastAsia="Calibri" w:hAnsi="Arial" w:cs="Arial"/>
          <w:kern w:val="2"/>
        </w:rPr>
        <w:t xml:space="preserve"> P., Z</w:t>
      </w:r>
      <w:r w:rsidR="00C713FA" w:rsidRPr="001D61B2">
        <w:rPr>
          <w:rFonts w:ascii="Arial" w:eastAsia="Calibri" w:hAnsi="Arial" w:cs="Arial"/>
          <w:kern w:val="2"/>
        </w:rPr>
        <w:t>ida</w:t>
      </w:r>
      <w:r w:rsidRPr="001D61B2">
        <w:rPr>
          <w:rFonts w:ascii="Arial" w:eastAsia="Calibri" w:hAnsi="Arial" w:cs="Arial"/>
          <w:kern w:val="2"/>
        </w:rPr>
        <w:t xml:space="preserve"> D., </w:t>
      </w:r>
      <w:proofErr w:type="spellStart"/>
      <w:r w:rsidRPr="001D61B2">
        <w:rPr>
          <w:rFonts w:ascii="Arial" w:eastAsia="Calibri" w:hAnsi="Arial" w:cs="Arial"/>
          <w:kern w:val="2"/>
        </w:rPr>
        <w:t>A</w:t>
      </w:r>
      <w:r w:rsidR="00C713FA" w:rsidRPr="001D61B2">
        <w:rPr>
          <w:rFonts w:ascii="Arial" w:eastAsia="Calibri" w:hAnsi="Arial" w:cs="Arial"/>
          <w:kern w:val="2"/>
        </w:rPr>
        <w:t>ynekulu</w:t>
      </w:r>
      <w:proofErr w:type="spellEnd"/>
      <w:r w:rsidRPr="001D61B2">
        <w:rPr>
          <w:rFonts w:ascii="Arial" w:eastAsia="Calibri" w:hAnsi="Arial" w:cs="Arial"/>
          <w:kern w:val="2"/>
        </w:rPr>
        <w:t xml:space="preserve"> E., S</w:t>
      </w:r>
      <w:r w:rsidR="00C713FA" w:rsidRPr="001D61B2">
        <w:rPr>
          <w:rFonts w:ascii="Arial" w:eastAsia="Calibri" w:hAnsi="Arial" w:cs="Arial"/>
          <w:kern w:val="2"/>
        </w:rPr>
        <w:t>aid</w:t>
      </w:r>
      <w:r w:rsidRPr="001D61B2">
        <w:rPr>
          <w:rFonts w:ascii="Arial" w:eastAsia="Calibri" w:hAnsi="Arial" w:cs="Arial"/>
          <w:kern w:val="2"/>
        </w:rPr>
        <w:t xml:space="preserve"> M., et N</w:t>
      </w:r>
      <w:r w:rsidR="00C713FA" w:rsidRPr="001D61B2">
        <w:rPr>
          <w:rFonts w:ascii="Arial" w:eastAsia="Calibri" w:hAnsi="Arial" w:cs="Arial"/>
          <w:kern w:val="2"/>
        </w:rPr>
        <w:t>acro</w:t>
      </w:r>
      <w:r w:rsidRPr="001D61B2">
        <w:rPr>
          <w:rFonts w:ascii="Arial" w:eastAsia="Calibri" w:hAnsi="Arial" w:cs="Arial"/>
          <w:kern w:val="2"/>
        </w:rPr>
        <w:t xml:space="preserve"> H B., (2015). Cumulative effects of 20-yearsof livestock grazing, prescribed early fire and selective tree </w:t>
      </w:r>
      <w:proofErr w:type="spellStart"/>
      <w:r w:rsidRPr="001D61B2">
        <w:rPr>
          <w:rFonts w:ascii="Arial" w:eastAsia="Calibri" w:hAnsi="Arial" w:cs="Arial"/>
          <w:kern w:val="2"/>
        </w:rPr>
        <w:t>cuting</w:t>
      </w:r>
      <w:proofErr w:type="spellEnd"/>
      <w:r w:rsidRPr="001D61B2">
        <w:rPr>
          <w:rFonts w:ascii="Arial" w:eastAsia="Calibri" w:hAnsi="Arial" w:cs="Arial"/>
          <w:kern w:val="2"/>
        </w:rPr>
        <w:t xml:space="preserve"> on below ground biomass in </w:t>
      </w:r>
      <w:proofErr w:type="spellStart"/>
      <w:r w:rsidRPr="001D61B2">
        <w:rPr>
          <w:rFonts w:ascii="Arial" w:eastAsia="Calibri" w:hAnsi="Arial" w:cs="Arial"/>
          <w:kern w:val="2"/>
        </w:rPr>
        <w:t>sudanian</w:t>
      </w:r>
      <w:proofErr w:type="spellEnd"/>
      <w:r w:rsidRPr="001D61B2">
        <w:rPr>
          <w:rFonts w:ascii="Arial" w:eastAsia="Calibri" w:hAnsi="Arial" w:cs="Arial"/>
          <w:kern w:val="2"/>
        </w:rPr>
        <w:t xml:space="preserve"> savanna woodland west </w:t>
      </w:r>
      <w:proofErr w:type="spellStart"/>
      <w:r w:rsidRPr="001D61B2">
        <w:rPr>
          <w:rFonts w:ascii="Arial" w:eastAsia="Calibri" w:hAnsi="Arial" w:cs="Arial"/>
          <w:kern w:val="2"/>
        </w:rPr>
        <w:t>africa</w:t>
      </w:r>
      <w:proofErr w:type="spellEnd"/>
      <w:r w:rsidRPr="001D61B2">
        <w:rPr>
          <w:rFonts w:ascii="Arial" w:eastAsia="Calibri" w:hAnsi="Arial" w:cs="Arial"/>
          <w:kern w:val="2"/>
        </w:rPr>
        <w:t xml:space="preserve">, </w:t>
      </w:r>
      <w:r w:rsidRPr="001D61B2">
        <w:rPr>
          <w:rFonts w:ascii="Arial" w:eastAsia="Calibri" w:hAnsi="Arial" w:cs="Arial"/>
          <w:i/>
          <w:kern w:val="2"/>
        </w:rPr>
        <w:t>International Journal of Current Research</w:t>
      </w:r>
      <w:r w:rsidRPr="001D61B2">
        <w:rPr>
          <w:rFonts w:ascii="Arial" w:eastAsia="Calibri" w:hAnsi="Arial" w:cs="Arial"/>
          <w:kern w:val="2"/>
        </w:rPr>
        <w:t xml:space="preserve"> 7(03), pp.13603-13613</w:t>
      </w:r>
    </w:p>
    <w:p w14:paraId="2422B50B" w14:textId="48BC81D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20- </w:t>
      </w:r>
      <w:r w:rsidR="00BE1BA5" w:rsidRPr="00BE1BA5">
        <w:rPr>
          <w:rFonts w:ascii="Arial" w:eastAsia="Calibri" w:hAnsi="Arial" w:cs="Arial"/>
          <w:kern w:val="2"/>
        </w:rPr>
        <w:t xml:space="preserve">Cornelissen, J. H. C., </w:t>
      </w:r>
      <w:proofErr w:type="spellStart"/>
      <w:r w:rsidR="00BE1BA5" w:rsidRPr="00BE1BA5">
        <w:rPr>
          <w:rFonts w:ascii="Arial" w:eastAsia="Calibri" w:hAnsi="Arial" w:cs="Arial"/>
          <w:kern w:val="2"/>
        </w:rPr>
        <w:t>Lavorel</w:t>
      </w:r>
      <w:proofErr w:type="spellEnd"/>
      <w:r w:rsidR="00BE1BA5" w:rsidRPr="00BE1BA5">
        <w:rPr>
          <w:rFonts w:ascii="Arial" w:eastAsia="Calibri" w:hAnsi="Arial" w:cs="Arial"/>
          <w:kern w:val="2"/>
        </w:rPr>
        <w:t xml:space="preserve">, S., Garnier, E., Díaz, S., Buchmann, N., </w:t>
      </w:r>
      <w:proofErr w:type="spellStart"/>
      <w:r w:rsidR="00BE1BA5" w:rsidRPr="00BE1BA5">
        <w:rPr>
          <w:rFonts w:ascii="Arial" w:eastAsia="Calibri" w:hAnsi="Arial" w:cs="Arial"/>
          <w:kern w:val="2"/>
        </w:rPr>
        <w:t>Gurvich</w:t>
      </w:r>
      <w:proofErr w:type="spellEnd"/>
      <w:r w:rsidR="00BE1BA5" w:rsidRPr="00BE1BA5">
        <w:rPr>
          <w:rFonts w:ascii="Arial" w:eastAsia="Calibri" w:hAnsi="Arial" w:cs="Arial"/>
          <w:kern w:val="2"/>
        </w:rPr>
        <w:t xml:space="preserve">, D. E., Reich, P. B., Ter </w:t>
      </w:r>
      <w:proofErr w:type="spellStart"/>
      <w:r w:rsidR="00BE1BA5" w:rsidRPr="00BE1BA5">
        <w:rPr>
          <w:rFonts w:ascii="Arial" w:eastAsia="Calibri" w:hAnsi="Arial" w:cs="Arial"/>
          <w:kern w:val="2"/>
        </w:rPr>
        <w:t>Steege</w:t>
      </w:r>
      <w:proofErr w:type="spellEnd"/>
      <w:r w:rsidR="00BE1BA5" w:rsidRPr="00BE1BA5">
        <w:rPr>
          <w:rFonts w:ascii="Arial" w:eastAsia="Calibri" w:hAnsi="Arial" w:cs="Arial"/>
          <w:kern w:val="2"/>
        </w:rPr>
        <w:t xml:space="preserve">, H., Morgan, H. D., Van Der Heijden, M. G. A., </w:t>
      </w:r>
      <w:proofErr w:type="spellStart"/>
      <w:r w:rsidR="00BE1BA5" w:rsidRPr="00BE1BA5">
        <w:rPr>
          <w:rFonts w:ascii="Arial" w:eastAsia="Calibri" w:hAnsi="Arial" w:cs="Arial"/>
          <w:kern w:val="2"/>
        </w:rPr>
        <w:t>Pausas</w:t>
      </w:r>
      <w:proofErr w:type="spellEnd"/>
      <w:r w:rsidR="00BE1BA5" w:rsidRPr="00BE1BA5">
        <w:rPr>
          <w:rFonts w:ascii="Arial" w:eastAsia="Calibri" w:hAnsi="Arial" w:cs="Arial"/>
          <w:kern w:val="2"/>
        </w:rPr>
        <w:t xml:space="preserve">, J. G., &amp; </w:t>
      </w:r>
      <w:proofErr w:type="spellStart"/>
      <w:r w:rsidR="00BE1BA5" w:rsidRPr="00BE1BA5">
        <w:rPr>
          <w:rFonts w:ascii="Arial" w:eastAsia="Calibri" w:hAnsi="Arial" w:cs="Arial"/>
          <w:kern w:val="2"/>
        </w:rPr>
        <w:t>Poorter</w:t>
      </w:r>
      <w:proofErr w:type="spellEnd"/>
      <w:r w:rsidR="00BE1BA5" w:rsidRPr="00BE1BA5">
        <w:rPr>
          <w:rFonts w:ascii="Arial" w:eastAsia="Calibri" w:hAnsi="Arial" w:cs="Arial"/>
          <w:kern w:val="2"/>
        </w:rPr>
        <w:t xml:space="preserve">, H. (2003). A handbook of protocols for </w:t>
      </w:r>
      <w:proofErr w:type="spellStart"/>
      <w:r w:rsidR="00BE1BA5" w:rsidRPr="00BE1BA5">
        <w:rPr>
          <w:rFonts w:ascii="Arial" w:eastAsia="Calibri" w:hAnsi="Arial" w:cs="Arial"/>
          <w:kern w:val="2"/>
        </w:rPr>
        <w:t>standardised</w:t>
      </w:r>
      <w:proofErr w:type="spellEnd"/>
      <w:r w:rsidR="00BE1BA5" w:rsidRPr="00BE1BA5">
        <w:rPr>
          <w:rFonts w:ascii="Arial" w:eastAsia="Calibri" w:hAnsi="Arial" w:cs="Arial"/>
          <w:kern w:val="2"/>
        </w:rPr>
        <w:t xml:space="preserve"> and easy measurement of plant functional traits worldwide. Australian Journal of Botany, 51(4), 335-380. </w:t>
      </w:r>
      <w:hyperlink r:id="rId42" w:history="1">
        <w:r w:rsidR="00BE1BA5" w:rsidRPr="00115A87">
          <w:rPr>
            <w:rStyle w:val="Hyperlink"/>
            <w:rFonts w:ascii="Arial" w:eastAsia="Calibri" w:hAnsi="Arial" w:cs="Arial"/>
            <w:kern w:val="2"/>
          </w:rPr>
          <w:t>https://doi.org/10.1071/BT02124</w:t>
        </w:r>
      </w:hyperlink>
      <w:r w:rsidR="00BE1BA5">
        <w:rPr>
          <w:rFonts w:ascii="Arial" w:eastAsia="Calibri" w:hAnsi="Arial" w:cs="Arial"/>
          <w:kern w:val="2"/>
        </w:rPr>
        <w:t xml:space="preserve"> </w:t>
      </w:r>
      <w:r w:rsidRPr="001D61B2">
        <w:rPr>
          <w:rFonts w:ascii="Arial" w:eastAsia="Calibri" w:hAnsi="Arial" w:cs="Arial"/>
          <w:kern w:val="2"/>
        </w:rPr>
        <w:t xml:space="preserve">. </w:t>
      </w:r>
    </w:p>
    <w:p w14:paraId="62882D5A" w14:textId="0FF17B89"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21-</w:t>
      </w:r>
      <w:r w:rsidR="00D9054B" w:rsidRPr="00D9054B">
        <w:rPr>
          <w:rFonts w:ascii="Arial" w:eastAsia="Calibri" w:hAnsi="Arial" w:cs="Arial"/>
          <w:kern w:val="2"/>
        </w:rPr>
        <w:t xml:space="preserve">Bouttier, L. (2013). Distribution </w:t>
      </w:r>
      <w:proofErr w:type="spellStart"/>
      <w:r w:rsidR="00D9054B" w:rsidRPr="00D9054B">
        <w:rPr>
          <w:rFonts w:ascii="Arial" w:eastAsia="Calibri" w:hAnsi="Arial" w:cs="Arial"/>
          <w:kern w:val="2"/>
        </w:rPr>
        <w:t>spatiale</w:t>
      </w:r>
      <w:proofErr w:type="spellEnd"/>
      <w:r w:rsidR="00D9054B" w:rsidRPr="00D9054B">
        <w:rPr>
          <w:rFonts w:ascii="Arial" w:eastAsia="Calibri" w:hAnsi="Arial" w:cs="Arial"/>
          <w:kern w:val="2"/>
        </w:rPr>
        <w:t xml:space="preserve"> des </w:t>
      </w:r>
      <w:proofErr w:type="spellStart"/>
      <w:r w:rsidR="00D9054B" w:rsidRPr="00D9054B">
        <w:rPr>
          <w:rFonts w:ascii="Arial" w:eastAsia="Calibri" w:hAnsi="Arial" w:cs="Arial"/>
          <w:kern w:val="2"/>
        </w:rPr>
        <w:t>racines</w:t>
      </w:r>
      <w:proofErr w:type="spellEnd"/>
      <w:r w:rsidR="00D9054B" w:rsidRPr="00D9054B">
        <w:rPr>
          <w:rFonts w:ascii="Arial" w:eastAsia="Calibri" w:hAnsi="Arial" w:cs="Arial"/>
          <w:kern w:val="2"/>
        </w:rPr>
        <w:t xml:space="preserve"> fines, </w:t>
      </w:r>
      <w:proofErr w:type="spellStart"/>
      <w:r w:rsidR="00D9054B" w:rsidRPr="00D9054B">
        <w:rPr>
          <w:rFonts w:ascii="Arial" w:eastAsia="Calibri" w:hAnsi="Arial" w:cs="Arial"/>
          <w:kern w:val="2"/>
        </w:rPr>
        <w:t>disponibilité</w:t>
      </w:r>
      <w:proofErr w:type="spellEnd"/>
      <w:r w:rsidR="00D9054B" w:rsidRPr="00D9054B">
        <w:rPr>
          <w:rFonts w:ascii="Arial" w:eastAsia="Calibri" w:hAnsi="Arial" w:cs="Arial"/>
          <w:kern w:val="2"/>
        </w:rPr>
        <w:t xml:space="preserve"> de la lumière et </w:t>
      </w:r>
      <w:proofErr w:type="spellStart"/>
      <w:r w:rsidR="00D9054B" w:rsidRPr="00D9054B">
        <w:rPr>
          <w:rFonts w:ascii="Arial" w:eastAsia="Calibri" w:hAnsi="Arial" w:cs="Arial"/>
          <w:kern w:val="2"/>
        </w:rPr>
        <w:t>rendement</w:t>
      </w:r>
      <w:proofErr w:type="spellEnd"/>
      <w:r w:rsidR="00D9054B" w:rsidRPr="00D9054B">
        <w:rPr>
          <w:rFonts w:ascii="Arial" w:eastAsia="Calibri" w:hAnsi="Arial" w:cs="Arial"/>
          <w:kern w:val="2"/>
        </w:rPr>
        <w:t xml:space="preserve"> dans un </w:t>
      </w:r>
      <w:proofErr w:type="spellStart"/>
      <w:r w:rsidR="00D9054B" w:rsidRPr="00D9054B">
        <w:rPr>
          <w:rFonts w:ascii="Arial" w:eastAsia="Calibri" w:hAnsi="Arial" w:cs="Arial"/>
          <w:kern w:val="2"/>
        </w:rPr>
        <w:t>système</w:t>
      </w:r>
      <w:proofErr w:type="spellEnd"/>
      <w:r w:rsidR="00D9054B" w:rsidRPr="00D9054B">
        <w:rPr>
          <w:rFonts w:ascii="Arial" w:eastAsia="Calibri" w:hAnsi="Arial" w:cs="Arial"/>
          <w:kern w:val="2"/>
        </w:rPr>
        <w:t xml:space="preserve"> de culture </w:t>
      </w:r>
      <w:proofErr w:type="spellStart"/>
      <w:r w:rsidR="00D9054B" w:rsidRPr="00D9054B">
        <w:rPr>
          <w:rFonts w:ascii="Arial" w:eastAsia="Calibri" w:hAnsi="Arial" w:cs="Arial"/>
          <w:kern w:val="2"/>
        </w:rPr>
        <w:t>intercalaire</w:t>
      </w:r>
      <w:proofErr w:type="spellEnd"/>
      <w:r w:rsidR="00D9054B" w:rsidRPr="00D9054B">
        <w:rPr>
          <w:rFonts w:ascii="Arial" w:eastAsia="Calibri" w:hAnsi="Arial" w:cs="Arial"/>
          <w:kern w:val="2"/>
        </w:rPr>
        <w:t xml:space="preserve"> avec </w:t>
      </w:r>
      <w:proofErr w:type="spellStart"/>
      <w:r w:rsidR="00D9054B" w:rsidRPr="00D9054B">
        <w:rPr>
          <w:rFonts w:ascii="Arial" w:eastAsia="Calibri" w:hAnsi="Arial" w:cs="Arial"/>
          <w:kern w:val="2"/>
        </w:rPr>
        <w:t>arbres</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feuillus</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en</w:t>
      </w:r>
      <w:proofErr w:type="spellEnd"/>
      <w:r w:rsidR="00D9054B" w:rsidRPr="00D9054B">
        <w:rPr>
          <w:rFonts w:ascii="Arial" w:eastAsia="Calibri" w:hAnsi="Arial" w:cs="Arial"/>
          <w:kern w:val="2"/>
        </w:rPr>
        <w:t xml:space="preserve"> zone </w:t>
      </w:r>
      <w:proofErr w:type="spellStart"/>
      <w:r w:rsidR="00D9054B" w:rsidRPr="00D9054B">
        <w:rPr>
          <w:rFonts w:ascii="Arial" w:eastAsia="Calibri" w:hAnsi="Arial" w:cs="Arial"/>
          <w:kern w:val="2"/>
        </w:rPr>
        <w:t>tempérée</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Université</w:t>
      </w:r>
      <w:proofErr w:type="spellEnd"/>
      <w:r w:rsidR="00D9054B" w:rsidRPr="00D9054B">
        <w:rPr>
          <w:rFonts w:ascii="Arial" w:eastAsia="Calibri" w:hAnsi="Arial" w:cs="Arial"/>
          <w:kern w:val="2"/>
        </w:rPr>
        <w:t xml:space="preserve"> de Montréal. </w:t>
      </w:r>
      <w:hyperlink r:id="rId43" w:history="1">
        <w:r w:rsidR="00D9054B" w:rsidRPr="00115A87">
          <w:rPr>
            <w:rStyle w:val="Hyperlink"/>
            <w:rFonts w:ascii="Arial" w:eastAsia="Calibri" w:hAnsi="Arial" w:cs="Arial"/>
            <w:kern w:val="2"/>
          </w:rPr>
          <w:t>https://papyrus.bib.umontreal.ca/xmlui/handle/1866/25267</w:t>
        </w:r>
      </w:hyperlink>
      <w:r w:rsidR="00D9054B">
        <w:rPr>
          <w:rFonts w:ascii="Arial" w:eastAsia="Calibri" w:hAnsi="Arial" w:cs="Arial"/>
          <w:kern w:val="2"/>
        </w:rPr>
        <w:t xml:space="preserve"> </w:t>
      </w:r>
    </w:p>
    <w:p w14:paraId="1D40C50B" w14:textId="40205D1D"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C713FA">
        <w:rPr>
          <w:rFonts w:ascii="Arial" w:eastAsia="Calibri" w:hAnsi="Arial" w:cs="Arial"/>
          <w:kern w:val="2"/>
        </w:rPr>
        <w:t>22-</w:t>
      </w:r>
      <w:r w:rsidR="00303B74" w:rsidRPr="00303B74">
        <w:rPr>
          <w:rFonts w:ascii="Arial" w:eastAsia="Calibri" w:hAnsi="Arial" w:cs="Arial"/>
          <w:kern w:val="2"/>
        </w:rPr>
        <w:t xml:space="preserve">Norby, R. J., &amp; Jackson, R. B. (2000). Root dynamics and global change: seeking an ecosystem perspective. New </w:t>
      </w:r>
      <w:proofErr w:type="spellStart"/>
      <w:r w:rsidR="00303B74" w:rsidRPr="00303B74">
        <w:rPr>
          <w:rFonts w:ascii="Arial" w:eastAsia="Calibri" w:hAnsi="Arial" w:cs="Arial"/>
          <w:kern w:val="2"/>
        </w:rPr>
        <w:t>Phytologist</w:t>
      </w:r>
      <w:proofErr w:type="spellEnd"/>
      <w:r w:rsidR="00303B74" w:rsidRPr="00303B74">
        <w:rPr>
          <w:rFonts w:ascii="Arial" w:eastAsia="Calibri" w:hAnsi="Arial" w:cs="Arial"/>
          <w:kern w:val="2"/>
        </w:rPr>
        <w:t xml:space="preserve">, 147(1), 3–12. </w:t>
      </w:r>
      <w:hyperlink r:id="rId44" w:history="1">
        <w:r w:rsidR="00303B74" w:rsidRPr="00115A87">
          <w:rPr>
            <w:rStyle w:val="Hyperlink"/>
            <w:rFonts w:ascii="Arial" w:eastAsia="Calibri" w:hAnsi="Arial" w:cs="Arial"/>
            <w:kern w:val="2"/>
          </w:rPr>
          <w:t>https://doi.org/10.1046/j.1469-8137.2000.00676.x</w:t>
        </w:r>
      </w:hyperlink>
      <w:r w:rsidR="00303B74">
        <w:rPr>
          <w:rFonts w:ascii="Arial" w:eastAsia="Calibri" w:hAnsi="Arial" w:cs="Arial"/>
          <w:kern w:val="2"/>
        </w:rPr>
        <w:t xml:space="preserve"> </w:t>
      </w:r>
      <w:r w:rsidRPr="001D61B2">
        <w:rPr>
          <w:rFonts w:ascii="Arial" w:eastAsia="Calibri" w:hAnsi="Arial" w:cs="Arial"/>
          <w:kern w:val="2"/>
          <w:lang w:val="fr-FR"/>
        </w:rPr>
        <w:t xml:space="preserve">   </w:t>
      </w:r>
    </w:p>
    <w:p w14:paraId="58D3E753" w14:textId="0763610E"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23-</w:t>
      </w:r>
      <w:r w:rsidR="00CB163E" w:rsidRPr="00CB163E">
        <w:rPr>
          <w:rFonts w:ascii="Arial" w:eastAsia="Calibri" w:hAnsi="Arial" w:cs="Arial"/>
          <w:kern w:val="2"/>
          <w:lang w:val="fr-FR"/>
        </w:rPr>
        <w:t xml:space="preserve">Defrenet, E. (2012). Évaluation de la biomasse et de la productivité souterraines du caféier dans un système agroforestier au Costa Rica. Sciences agricoles. </w:t>
      </w:r>
      <w:hyperlink r:id="rId45" w:history="1">
        <w:r w:rsidR="00CB163E" w:rsidRPr="00115A87">
          <w:rPr>
            <w:rStyle w:val="Hyperlink"/>
            <w:rFonts w:ascii="Arial" w:eastAsia="Calibri" w:hAnsi="Arial" w:cs="Arial"/>
            <w:kern w:val="2"/>
            <w:lang w:val="fr-FR"/>
          </w:rPr>
          <w:t>https://dumas.ccsd.cnrs.fr/dumas-00782273</w:t>
        </w:r>
      </w:hyperlink>
      <w:r w:rsidR="00CB163E">
        <w:rPr>
          <w:rFonts w:ascii="Arial" w:eastAsia="Calibri" w:hAnsi="Arial" w:cs="Arial"/>
          <w:kern w:val="2"/>
          <w:lang w:val="fr-FR"/>
        </w:rPr>
        <w:t xml:space="preserve"> </w:t>
      </w:r>
    </w:p>
    <w:p w14:paraId="545E3B0F" w14:textId="1A1930E3"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24-</w:t>
      </w:r>
      <w:r w:rsidR="00AC7C05" w:rsidRPr="00AC7C05">
        <w:rPr>
          <w:rFonts w:ascii="Arial" w:eastAsia="Calibri" w:hAnsi="Arial" w:cs="Arial"/>
          <w:kern w:val="2"/>
        </w:rPr>
        <w:t xml:space="preserve">Pucheta, E., </w:t>
      </w:r>
      <w:proofErr w:type="spellStart"/>
      <w:r w:rsidR="00AC7C05" w:rsidRPr="00AC7C05">
        <w:rPr>
          <w:rFonts w:ascii="Arial" w:eastAsia="Calibri" w:hAnsi="Arial" w:cs="Arial"/>
          <w:kern w:val="2"/>
        </w:rPr>
        <w:t>Bonamici</w:t>
      </w:r>
      <w:proofErr w:type="spellEnd"/>
      <w:r w:rsidR="00AC7C05" w:rsidRPr="00AC7C05">
        <w:rPr>
          <w:rFonts w:ascii="Arial" w:eastAsia="Calibri" w:hAnsi="Arial" w:cs="Arial"/>
          <w:kern w:val="2"/>
        </w:rPr>
        <w:t xml:space="preserve">, I., </w:t>
      </w:r>
      <w:proofErr w:type="spellStart"/>
      <w:r w:rsidR="00AC7C05" w:rsidRPr="00AC7C05">
        <w:rPr>
          <w:rFonts w:ascii="Arial" w:eastAsia="Calibri" w:hAnsi="Arial" w:cs="Arial"/>
          <w:kern w:val="2"/>
        </w:rPr>
        <w:t>Cabido</w:t>
      </w:r>
      <w:proofErr w:type="spellEnd"/>
      <w:r w:rsidR="00AC7C05" w:rsidRPr="00AC7C05">
        <w:rPr>
          <w:rFonts w:ascii="Arial" w:eastAsia="Calibri" w:hAnsi="Arial" w:cs="Arial"/>
          <w:kern w:val="2"/>
        </w:rPr>
        <w:t xml:space="preserve">, M., &amp; Díaz, S. (2004). Below-ground biomass and productivity of a grazed site and a </w:t>
      </w:r>
      <w:proofErr w:type="spellStart"/>
      <w:r w:rsidR="00AC7C05" w:rsidRPr="00AC7C05">
        <w:rPr>
          <w:rFonts w:ascii="Arial" w:eastAsia="Calibri" w:hAnsi="Arial" w:cs="Arial"/>
          <w:kern w:val="2"/>
        </w:rPr>
        <w:t>neighbouring</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ungrazed</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exclosure</w:t>
      </w:r>
      <w:proofErr w:type="spellEnd"/>
      <w:r w:rsidR="00AC7C05" w:rsidRPr="00AC7C05">
        <w:rPr>
          <w:rFonts w:ascii="Arial" w:eastAsia="Calibri" w:hAnsi="Arial" w:cs="Arial"/>
          <w:kern w:val="2"/>
        </w:rPr>
        <w:t xml:space="preserve"> in a grassland in central Argentina. Austral Ecology, 29(2), 201–208. </w:t>
      </w:r>
      <w:hyperlink r:id="rId46" w:history="1">
        <w:r w:rsidR="00AC7C05" w:rsidRPr="00115A87">
          <w:rPr>
            <w:rStyle w:val="Hyperlink"/>
            <w:rFonts w:ascii="Arial" w:eastAsia="Calibri" w:hAnsi="Arial" w:cs="Arial"/>
            <w:kern w:val="2"/>
          </w:rPr>
          <w:t>https://doi.org/10.1111/j.1442-9993.2004.01337.x</w:t>
        </w:r>
      </w:hyperlink>
      <w:r w:rsidR="00AC7C05">
        <w:rPr>
          <w:rFonts w:ascii="Arial" w:eastAsia="Calibri" w:hAnsi="Arial" w:cs="Arial"/>
          <w:kern w:val="2"/>
        </w:rPr>
        <w:t xml:space="preserve"> </w:t>
      </w:r>
      <w:r w:rsidRPr="001D61B2">
        <w:rPr>
          <w:rFonts w:ascii="Arial" w:eastAsia="Calibri" w:hAnsi="Arial" w:cs="Arial"/>
          <w:kern w:val="2"/>
        </w:rPr>
        <w:t xml:space="preserve">  </w:t>
      </w:r>
    </w:p>
    <w:p w14:paraId="3E0C9B78" w14:textId="26C2D4A0"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C713FA">
        <w:rPr>
          <w:rFonts w:ascii="Arial" w:eastAsia="Calibri" w:hAnsi="Arial" w:cs="Arial"/>
          <w:kern w:val="2"/>
          <w:lang w:val="fr-FR"/>
        </w:rPr>
        <w:t>25-</w:t>
      </w:r>
      <w:r w:rsidR="002F54D3" w:rsidRPr="002F54D3">
        <w:rPr>
          <w:rFonts w:ascii="Arial" w:eastAsia="Calibri" w:hAnsi="Arial" w:cs="Arial"/>
          <w:kern w:val="2"/>
          <w:lang w:val="fr-FR"/>
        </w:rPr>
        <w:t xml:space="preserve">Klumpp, K., </w:t>
      </w:r>
      <w:proofErr w:type="spellStart"/>
      <w:r w:rsidR="002F54D3" w:rsidRPr="002F54D3">
        <w:rPr>
          <w:rFonts w:ascii="Arial" w:eastAsia="Calibri" w:hAnsi="Arial" w:cs="Arial"/>
          <w:kern w:val="2"/>
          <w:lang w:val="fr-FR"/>
        </w:rPr>
        <w:t>Soussana</w:t>
      </w:r>
      <w:proofErr w:type="spellEnd"/>
      <w:r w:rsidR="002F54D3" w:rsidRPr="002F54D3">
        <w:rPr>
          <w:rFonts w:ascii="Arial" w:eastAsia="Calibri" w:hAnsi="Arial" w:cs="Arial"/>
          <w:kern w:val="2"/>
          <w:lang w:val="fr-FR"/>
        </w:rPr>
        <w:t xml:space="preserve">, J. F., &amp; </w:t>
      </w:r>
      <w:proofErr w:type="spellStart"/>
      <w:r w:rsidR="002F54D3" w:rsidRPr="002F54D3">
        <w:rPr>
          <w:rFonts w:ascii="Arial" w:eastAsia="Calibri" w:hAnsi="Arial" w:cs="Arial"/>
          <w:kern w:val="2"/>
          <w:lang w:val="fr-FR"/>
        </w:rPr>
        <w:t>Falcimagne</w:t>
      </w:r>
      <w:proofErr w:type="spellEnd"/>
      <w:r w:rsidR="002F54D3" w:rsidRPr="002F54D3">
        <w:rPr>
          <w:rFonts w:ascii="Arial" w:eastAsia="Calibri" w:hAnsi="Arial" w:cs="Arial"/>
          <w:kern w:val="2"/>
          <w:lang w:val="fr-FR"/>
        </w:rPr>
        <w:t xml:space="preserve">, R. (2007). </w:t>
      </w:r>
      <w:proofErr w:type="spellStart"/>
      <w:r w:rsidR="002F54D3" w:rsidRPr="002F54D3">
        <w:rPr>
          <w:rFonts w:ascii="Arial" w:eastAsia="Calibri" w:hAnsi="Arial" w:cs="Arial"/>
          <w:kern w:val="2"/>
          <w:lang w:val="fr-FR"/>
        </w:rPr>
        <w:t>Effects</w:t>
      </w:r>
      <w:proofErr w:type="spellEnd"/>
      <w:r w:rsidR="002F54D3" w:rsidRPr="002F54D3">
        <w:rPr>
          <w:rFonts w:ascii="Arial" w:eastAsia="Calibri" w:hAnsi="Arial" w:cs="Arial"/>
          <w:kern w:val="2"/>
          <w:lang w:val="fr-FR"/>
        </w:rPr>
        <w:t xml:space="preserve"> of </w:t>
      </w:r>
      <w:proofErr w:type="spellStart"/>
      <w:r w:rsidR="002F54D3" w:rsidRPr="002F54D3">
        <w:rPr>
          <w:rFonts w:ascii="Arial" w:eastAsia="Calibri" w:hAnsi="Arial" w:cs="Arial"/>
          <w:kern w:val="2"/>
          <w:lang w:val="fr-FR"/>
        </w:rPr>
        <w:t>past</w:t>
      </w:r>
      <w:proofErr w:type="spellEnd"/>
      <w:r w:rsidR="002F54D3" w:rsidRPr="002F54D3">
        <w:rPr>
          <w:rFonts w:ascii="Arial" w:eastAsia="Calibri" w:hAnsi="Arial" w:cs="Arial"/>
          <w:kern w:val="2"/>
          <w:lang w:val="fr-FR"/>
        </w:rPr>
        <w:t xml:space="preserve"> and </w:t>
      </w:r>
      <w:proofErr w:type="spellStart"/>
      <w:r w:rsidR="002F54D3" w:rsidRPr="002F54D3">
        <w:rPr>
          <w:rFonts w:ascii="Arial" w:eastAsia="Calibri" w:hAnsi="Arial" w:cs="Arial"/>
          <w:kern w:val="2"/>
          <w:lang w:val="fr-FR"/>
        </w:rPr>
        <w:t>current</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disturbance</w:t>
      </w:r>
      <w:proofErr w:type="spellEnd"/>
      <w:r w:rsidR="002F54D3" w:rsidRPr="002F54D3">
        <w:rPr>
          <w:rFonts w:ascii="Arial" w:eastAsia="Calibri" w:hAnsi="Arial" w:cs="Arial"/>
          <w:kern w:val="2"/>
          <w:lang w:val="fr-FR"/>
        </w:rPr>
        <w:t xml:space="preserve"> on </w:t>
      </w:r>
      <w:proofErr w:type="spellStart"/>
      <w:r w:rsidR="002F54D3" w:rsidRPr="002F54D3">
        <w:rPr>
          <w:rFonts w:ascii="Arial" w:eastAsia="Calibri" w:hAnsi="Arial" w:cs="Arial"/>
          <w:kern w:val="2"/>
          <w:lang w:val="fr-FR"/>
        </w:rPr>
        <w:t>carbon</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cycling</w:t>
      </w:r>
      <w:proofErr w:type="spellEnd"/>
      <w:r w:rsidR="002F54D3" w:rsidRPr="002F54D3">
        <w:rPr>
          <w:rFonts w:ascii="Arial" w:eastAsia="Calibri" w:hAnsi="Arial" w:cs="Arial"/>
          <w:kern w:val="2"/>
          <w:lang w:val="fr-FR"/>
        </w:rPr>
        <w:t xml:space="preserve"> in </w:t>
      </w:r>
      <w:proofErr w:type="spellStart"/>
      <w:r w:rsidR="002F54D3" w:rsidRPr="002F54D3">
        <w:rPr>
          <w:rFonts w:ascii="Arial" w:eastAsia="Calibri" w:hAnsi="Arial" w:cs="Arial"/>
          <w:kern w:val="2"/>
          <w:lang w:val="fr-FR"/>
        </w:rPr>
        <w:t>grassland</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mesocosms</w:t>
      </w:r>
      <w:proofErr w:type="spellEnd"/>
      <w:r w:rsidR="002F54D3" w:rsidRPr="002F54D3">
        <w:rPr>
          <w:rFonts w:ascii="Arial" w:eastAsia="Calibri" w:hAnsi="Arial" w:cs="Arial"/>
          <w:kern w:val="2"/>
          <w:lang w:val="fr-FR"/>
        </w:rPr>
        <w:t xml:space="preserve">. *Agriculture, </w:t>
      </w:r>
      <w:proofErr w:type="spellStart"/>
      <w:r w:rsidR="002F54D3" w:rsidRPr="002F54D3">
        <w:rPr>
          <w:rFonts w:ascii="Arial" w:eastAsia="Calibri" w:hAnsi="Arial" w:cs="Arial"/>
          <w:kern w:val="2"/>
          <w:lang w:val="fr-FR"/>
        </w:rPr>
        <w:t>Ecosystems</w:t>
      </w:r>
      <w:proofErr w:type="spellEnd"/>
      <w:r w:rsidR="002F54D3" w:rsidRPr="002F54D3">
        <w:rPr>
          <w:rFonts w:ascii="Arial" w:eastAsia="Calibri" w:hAnsi="Arial" w:cs="Arial"/>
          <w:kern w:val="2"/>
          <w:lang w:val="fr-FR"/>
        </w:rPr>
        <w:t xml:space="preserve"> &amp; </w:t>
      </w:r>
      <w:proofErr w:type="spellStart"/>
      <w:r w:rsidR="002F54D3" w:rsidRPr="002F54D3">
        <w:rPr>
          <w:rFonts w:ascii="Arial" w:eastAsia="Calibri" w:hAnsi="Arial" w:cs="Arial"/>
          <w:kern w:val="2"/>
          <w:lang w:val="fr-FR"/>
        </w:rPr>
        <w:t>Environment</w:t>
      </w:r>
      <w:proofErr w:type="spellEnd"/>
      <w:r w:rsidR="002F54D3" w:rsidRPr="002F54D3">
        <w:rPr>
          <w:rFonts w:ascii="Arial" w:eastAsia="Calibri" w:hAnsi="Arial" w:cs="Arial"/>
          <w:kern w:val="2"/>
          <w:lang w:val="fr-FR"/>
        </w:rPr>
        <w:t xml:space="preserve">*, *121*, 59–73. </w:t>
      </w:r>
      <w:hyperlink r:id="rId47" w:history="1">
        <w:r w:rsidR="002F54D3" w:rsidRPr="00115A87">
          <w:rPr>
            <w:rStyle w:val="Hyperlink"/>
            <w:rFonts w:ascii="Arial" w:eastAsia="Calibri" w:hAnsi="Arial" w:cs="Arial"/>
            <w:kern w:val="2"/>
            <w:lang w:val="fr-FR"/>
          </w:rPr>
          <w:t>https://doi.org/10.1016/j.agee.2006.12.005</w:t>
        </w:r>
      </w:hyperlink>
      <w:r w:rsidR="002F54D3">
        <w:rPr>
          <w:rFonts w:ascii="Arial" w:eastAsia="Calibri" w:hAnsi="Arial" w:cs="Arial"/>
          <w:kern w:val="2"/>
          <w:lang w:val="fr-FR"/>
        </w:rPr>
        <w:t xml:space="preserve"> </w:t>
      </w:r>
    </w:p>
    <w:p w14:paraId="04B52F74" w14:textId="4B7314C9"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26-</w:t>
      </w:r>
      <w:r w:rsidR="00580971" w:rsidRPr="00580971">
        <w:rPr>
          <w:rFonts w:ascii="Arial" w:eastAsia="Calibri" w:hAnsi="Arial" w:cs="Arial"/>
          <w:kern w:val="2"/>
        </w:rPr>
        <w:t xml:space="preserve">Ouédraogo, W. O., </w:t>
      </w:r>
      <w:proofErr w:type="spellStart"/>
      <w:r w:rsidR="00580971" w:rsidRPr="00580971">
        <w:rPr>
          <w:rFonts w:ascii="Arial" w:eastAsia="Calibri" w:hAnsi="Arial" w:cs="Arial"/>
          <w:kern w:val="2"/>
        </w:rPr>
        <w:t>Gomgnimbou</w:t>
      </w:r>
      <w:proofErr w:type="spellEnd"/>
      <w:r w:rsidR="00580971" w:rsidRPr="00580971">
        <w:rPr>
          <w:rFonts w:ascii="Arial" w:eastAsia="Calibri" w:hAnsi="Arial" w:cs="Arial"/>
          <w:kern w:val="2"/>
        </w:rPr>
        <w:t xml:space="preserve">, A. P. K., Santi, S., </w:t>
      </w:r>
      <w:proofErr w:type="spellStart"/>
      <w:r w:rsidR="00580971" w:rsidRPr="00580971">
        <w:rPr>
          <w:rFonts w:ascii="Arial" w:eastAsia="Calibri" w:hAnsi="Arial" w:cs="Arial"/>
          <w:kern w:val="2"/>
        </w:rPr>
        <w:t>Ilboudo</w:t>
      </w:r>
      <w:proofErr w:type="spellEnd"/>
      <w:r w:rsidR="00580971" w:rsidRPr="00580971">
        <w:rPr>
          <w:rFonts w:ascii="Arial" w:eastAsia="Calibri" w:hAnsi="Arial" w:cs="Arial"/>
          <w:kern w:val="2"/>
        </w:rPr>
        <w:t xml:space="preserve">, D., &amp; </w:t>
      </w:r>
      <w:proofErr w:type="spellStart"/>
      <w:r w:rsidR="00580971" w:rsidRPr="00580971">
        <w:rPr>
          <w:rFonts w:ascii="Arial" w:eastAsia="Calibri" w:hAnsi="Arial" w:cs="Arial"/>
          <w:kern w:val="2"/>
        </w:rPr>
        <w:t>Toguyeni</w:t>
      </w:r>
      <w:proofErr w:type="spellEnd"/>
      <w:r w:rsidR="00580971" w:rsidRPr="00580971">
        <w:rPr>
          <w:rFonts w:ascii="Arial" w:eastAsia="Calibri" w:hAnsi="Arial" w:cs="Arial"/>
          <w:kern w:val="2"/>
        </w:rPr>
        <w:t xml:space="preserve">, A. (2019). Quantification de la </w:t>
      </w:r>
      <w:proofErr w:type="spellStart"/>
      <w:r w:rsidR="00580971" w:rsidRPr="00580971">
        <w:rPr>
          <w:rFonts w:ascii="Arial" w:eastAsia="Calibri" w:hAnsi="Arial" w:cs="Arial"/>
          <w:kern w:val="2"/>
        </w:rPr>
        <w:t>Biomasse</w:t>
      </w:r>
      <w:proofErr w:type="spellEnd"/>
      <w:r w:rsidR="00580971" w:rsidRPr="00580971">
        <w:rPr>
          <w:rFonts w:ascii="Arial" w:eastAsia="Calibri" w:hAnsi="Arial" w:cs="Arial"/>
          <w:kern w:val="2"/>
        </w:rPr>
        <w:t xml:space="preserve"> et stockage du </w:t>
      </w:r>
      <w:proofErr w:type="spellStart"/>
      <w:r w:rsidR="00580971" w:rsidRPr="00580971">
        <w:rPr>
          <w:rFonts w:ascii="Arial" w:eastAsia="Calibri" w:hAnsi="Arial" w:cs="Arial"/>
          <w:kern w:val="2"/>
        </w:rPr>
        <w:t>carbone</w:t>
      </w:r>
      <w:proofErr w:type="spellEnd"/>
      <w:r w:rsidR="00580971" w:rsidRPr="00580971">
        <w:rPr>
          <w:rFonts w:ascii="Arial" w:eastAsia="Calibri" w:hAnsi="Arial" w:cs="Arial"/>
          <w:kern w:val="2"/>
        </w:rPr>
        <w:t xml:space="preserve"> du massif </w:t>
      </w:r>
      <w:proofErr w:type="spellStart"/>
      <w:r w:rsidR="00580971" w:rsidRPr="00580971">
        <w:rPr>
          <w:rFonts w:ascii="Arial" w:eastAsia="Calibri" w:hAnsi="Arial" w:cs="Arial"/>
          <w:kern w:val="2"/>
        </w:rPr>
        <w:t>forestier</w:t>
      </w:r>
      <w:proofErr w:type="spellEnd"/>
      <w:r w:rsidR="00580971" w:rsidRPr="00580971">
        <w:rPr>
          <w:rFonts w:ascii="Arial" w:eastAsia="Calibri" w:hAnsi="Arial" w:cs="Arial"/>
          <w:kern w:val="2"/>
        </w:rPr>
        <w:t xml:space="preserve"> de </w:t>
      </w:r>
      <w:proofErr w:type="spellStart"/>
      <w:r w:rsidR="00580971" w:rsidRPr="00580971">
        <w:rPr>
          <w:rFonts w:ascii="Arial" w:eastAsia="Calibri" w:hAnsi="Arial" w:cs="Arial"/>
          <w:kern w:val="2"/>
        </w:rPr>
        <w:t>l'Ecole</w:t>
      </w:r>
      <w:proofErr w:type="spellEnd"/>
      <w:r w:rsidR="00580971" w:rsidRPr="00580971">
        <w:rPr>
          <w:rFonts w:ascii="Arial" w:eastAsia="Calibri" w:hAnsi="Arial" w:cs="Arial"/>
          <w:kern w:val="2"/>
        </w:rPr>
        <w:t xml:space="preserve"> </w:t>
      </w:r>
      <w:proofErr w:type="spellStart"/>
      <w:r w:rsidR="00580971" w:rsidRPr="00580971">
        <w:rPr>
          <w:rFonts w:ascii="Arial" w:eastAsia="Calibri" w:hAnsi="Arial" w:cs="Arial"/>
          <w:kern w:val="2"/>
        </w:rPr>
        <w:t>Nationale</w:t>
      </w:r>
      <w:proofErr w:type="spellEnd"/>
      <w:r w:rsidR="00580971" w:rsidRPr="00580971">
        <w:rPr>
          <w:rFonts w:ascii="Arial" w:eastAsia="Calibri" w:hAnsi="Arial" w:cs="Arial"/>
          <w:kern w:val="2"/>
        </w:rPr>
        <w:t xml:space="preserve"> des </w:t>
      </w:r>
      <w:proofErr w:type="spellStart"/>
      <w:r w:rsidR="00580971" w:rsidRPr="00580971">
        <w:rPr>
          <w:rFonts w:ascii="Arial" w:eastAsia="Calibri" w:hAnsi="Arial" w:cs="Arial"/>
          <w:kern w:val="2"/>
        </w:rPr>
        <w:t>Eaux</w:t>
      </w:r>
      <w:proofErr w:type="spellEnd"/>
      <w:r w:rsidR="00580971" w:rsidRPr="00580971">
        <w:rPr>
          <w:rFonts w:ascii="Arial" w:eastAsia="Calibri" w:hAnsi="Arial" w:cs="Arial"/>
          <w:kern w:val="2"/>
        </w:rPr>
        <w:t xml:space="preserve"> et </w:t>
      </w:r>
      <w:proofErr w:type="spellStart"/>
      <w:r w:rsidR="00580971" w:rsidRPr="00580971">
        <w:rPr>
          <w:rFonts w:ascii="Arial" w:eastAsia="Calibri" w:hAnsi="Arial" w:cs="Arial"/>
          <w:kern w:val="2"/>
        </w:rPr>
        <w:t>Forêts</w:t>
      </w:r>
      <w:proofErr w:type="spellEnd"/>
      <w:r w:rsidR="00580971" w:rsidRPr="00580971">
        <w:rPr>
          <w:rFonts w:ascii="Arial" w:eastAsia="Calibri" w:hAnsi="Arial" w:cs="Arial"/>
          <w:kern w:val="2"/>
        </w:rPr>
        <w:t xml:space="preserve"> de </w:t>
      </w:r>
      <w:proofErr w:type="spellStart"/>
      <w:r w:rsidR="00580971" w:rsidRPr="00580971">
        <w:rPr>
          <w:rFonts w:ascii="Arial" w:eastAsia="Calibri" w:hAnsi="Arial" w:cs="Arial"/>
          <w:kern w:val="2"/>
        </w:rPr>
        <w:t>Dindéresso</w:t>
      </w:r>
      <w:proofErr w:type="spellEnd"/>
      <w:r w:rsidR="00580971" w:rsidRPr="00580971">
        <w:rPr>
          <w:rFonts w:ascii="Arial" w:eastAsia="Calibri" w:hAnsi="Arial" w:cs="Arial"/>
          <w:kern w:val="2"/>
        </w:rPr>
        <w:t xml:space="preserve"> province du </w:t>
      </w:r>
      <w:proofErr w:type="spellStart"/>
      <w:r w:rsidR="00580971" w:rsidRPr="00580971">
        <w:rPr>
          <w:rFonts w:ascii="Arial" w:eastAsia="Calibri" w:hAnsi="Arial" w:cs="Arial"/>
          <w:kern w:val="2"/>
        </w:rPr>
        <w:t>Houet</w:t>
      </w:r>
      <w:proofErr w:type="spellEnd"/>
      <w:r w:rsidR="00580971" w:rsidRPr="00580971">
        <w:rPr>
          <w:rFonts w:ascii="Arial" w:eastAsia="Calibri" w:hAnsi="Arial" w:cs="Arial"/>
          <w:kern w:val="2"/>
        </w:rPr>
        <w:t xml:space="preserve"> au Burkina Faso. International Journal of Biological and Chemical Sciences, 13(7), 3276-3288. </w:t>
      </w:r>
      <w:hyperlink r:id="rId48" w:history="1">
        <w:r w:rsidR="00580971" w:rsidRPr="00115A87">
          <w:rPr>
            <w:rStyle w:val="Hyperlink"/>
            <w:rFonts w:ascii="Arial" w:eastAsia="Calibri" w:hAnsi="Arial" w:cs="Arial"/>
            <w:kern w:val="2"/>
          </w:rPr>
          <w:t>https://doi.org/10.4314/ijbcs.v13i7.24</w:t>
        </w:r>
      </w:hyperlink>
      <w:r w:rsidR="00580971">
        <w:rPr>
          <w:rFonts w:ascii="Arial" w:eastAsia="Calibri" w:hAnsi="Arial" w:cs="Arial"/>
          <w:kern w:val="2"/>
        </w:rPr>
        <w:t xml:space="preserve"> </w:t>
      </w:r>
      <w:r w:rsidRPr="001D61B2">
        <w:rPr>
          <w:rFonts w:ascii="Arial" w:eastAsia="Calibri" w:hAnsi="Arial" w:cs="Arial"/>
          <w:kern w:val="2"/>
        </w:rPr>
        <w:t>.</w:t>
      </w:r>
    </w:p>
    <w:p w14:paraId="35EA14FC" w14:textId="48947FF9"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27-- </w:t>
      </w:r>
      <w:r w:rsidR="000A2AEE" w:rsidRPr="000A2AEE">
        <w:rPr>
          <w:rFonts w:ascii="Arial" w:eastAsia="Calibri" w:hAnsi="Arial" w:cs="Arial"/>
          <w:kern w:val="2"/>
        </w:rPr>
        <w:t xml:space="preserve">Fortier, J., Truax, B., Gagnon, D., &amp; Lambert, F. (2013). Root biomass and soil carbon distribution in hybrid poplar riparian buffers, herbaceous riparian buffers and natural riparian woodlots on farmland. </w:t>
      </w:r>
      <w:proofErr w:type="spellStart"/>
      <w:r w:rsidR="000A2AEE" w:rsidRPr="000A2AEE">
        <w:rPr>
          <w:rFonts w:ascii="Arial" w:eastAsia="Calibri" w:hAnsi="Arial" w:cs="Arial"/>
          <w:kern w:val="2"/>
        </w:rPr>
        <w:t>SpringerPlus</w:t>
      </w:r>
      <w:proofErr w:type="spellEnd"/>
      <w:r w:rsidR="000A2AEE" w:rsidRPr="000A2AEE">
        <w:rPr>
          <w:rFonts w:ascii="Arial" w:eastAsia="Calibri" w:hAnsi="Arial" w:cs="Arial"/>
          <w:kern w:val="2"/>
        </w:rPr>
        <w:t xml:space="preserve">, 2(1), 539. </w:t>
      </w:r>
      <w:hyperlink r:id="rId49" w:history="1">
        <w:r w:rsidR="000A2AEE" w:rsidRPr="00115A87">
          <w:rPr>
            <w:rStyle w:val="Hyperlink"/>
            <w:rFonts w:ascii="Arial" w:eastAsia="Calibri" w:hAnsi="Arial" w:cs="Arial"/>
            <w:kern w:val="2"/>
          </w:rPr>
          <w:t>https://doi.org/10.1186/2193-1801-2-539</w:t>
        </w:r>
      </w:hyperlink>
      <w:r w:rsidR="000A2AEE">
        <w:rPr>
          <w:rFonts w:ascii="Arial" w:eastAsia="Calibri" w:hAnsi="Arial" w:cs="Arial"/>
          <w:kern w:val="2"/>
        </w:rPr>
        <w:t xml:space="preserve"> </w:t>
      </w:r>
      <w:r w:rsidRPr="001D61B2">
        <w:rPr>
          <w:rFonts w:ascii="Arial" w:eastAsia="Calibri" w:hAnsi="Arial" w:cs="Arial"/>
          <w:kern w:val="2"/>
          <w:lang w:val="fr-FR"/>
        </w:rPr>
        <w:t xml:space="preserve">    </w:t>
      </w:r>
    </w:p>
    <w:p w14:paraId="7033E8F3"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28-D</w:t>
      </w:r>
      <w:r w:rsidR="00C713FA" w:rsidRPr="001D61B2">
        <w:rPr>
          <w:rFonts w:ascii="Arial" w:eastAsia="Calibri" w:hAnsi="Arial" w:cs="Arial"/>
          <w:kern w:val="2"/>
          <w:lang w:val="fr-FR"/>
        </w:rPr>
        <w:t>iatta</w:t>
      </w:r>
      <w:r w:rsidRPr="001D61B2">
        <w:rPr>
          <w:rFonts w:ascii="Arial" w:eastAsia="Calibri" w:hAnsi="Arial" w:cs="Arial"/>
          <w:kern w:val="2"/>
          <w:lang w:val="fr-FR"/>
        </w:rPr>
        <w:t xml:space="preserve"> M., </w:t>
      </w:r>
      <w:r w:rsidR="00C713FA">
        <w:rPr>
          <w:rFonts w:ascii="Arial" w:eastAsia="Calibri" w:hAnsi="Arial" w:cs="Arial"/>
          <w:kern w:val="2"/>
          <w:lang w:val="fr-FR"/>
        </w:rPr>
        <w:t>(</w:t>
      </w:r>
      <w:r w:rsidRPr="001D61B2">
        <w:rPr>
          <w:rFonts w:ascii="Arial" w:eastAsia="Calibri" w:hAnsi="Arial" w:cs="Arial"/>
          <w:kern w:val="2"/>
          <w:lang w:val="fr-FR"/>
        </w:rPr>
        <w:t>2015</w:t>
      </w:r>
      <w:r w:rsidR="00C713FA">
        <w:rPr>
          <w:rFonts w:ascii="Arial" w:eastAsia="Calibri" w:hAnsi="Arial" w:cs="Arial"/>
          <w:kern w:val="2"/>
          <w:lang w:val="fr-FR"/>
        </w:rPr>
        <w:t>)</w:t>
      </w:r>
      <w:r w:rsidRPr="001D61B2">
        <w:rPr>
          <w:rFonts w:ascii="Arial" w:eastAsia="Calibri" w:hAnsi="Arial" w:cs="Arial"/>
          <w:kern w:val="2"/>
          <w:lang w:val="fr-FR"/>
        </w:rPr>
        <w:t>. Etude du potentiel de séquestration du carbone d’espèces agroforestières et de leurs traits fonctionnels en lien avec les systèmes d’utilisation des terres au Sénégal. Thèse de Doctorat, Université Laval, Québec, Canada.</w:t>
      </w:r>
    </w:p>
    <w:p w14:paraId="127CB794" w14:textId="6A6471FF"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C713FA">
        <w:rPr>
          <w:rFonts w:ascii="Arial" w:eastAsia="Calibri" w:hAnsi="Arial" w:cs="Arial"/>
          <w:kern w:val="2"/>
        </w:rPr>
        <w:lastRenderedPageBreak/>
        <w:t>29-</w:t>
      </w:r>
      <w:r w:rsidR="00D4176F" w:rsidRPr="00D4176F">
        <w:rPr>
          <w:rFonts w:ascii="Arial" w:eastAsia="Calibri" w:hAnsi="Arial" w:cs="Arial"/>
          <w:kern w:val="2"/>
        </w:rPr>
        <w:t xml:space="preserve">Jackson, R. B., </w:t>
      </w:r>
      <w:proofErr w:type="spellStart"/>
      <w:r w:rsidR="00D4176F" w:rsidRPr="00D4176F">
        <w:rPr>
          <w:rFonts w:ascii="Arial" w:eastAsia="Calibri" w:hAnsi="Arial" w:cs="Arial"/>
          <w:kern w:val="2"/>
        </w:rPr>
        <w:t>Canadell</w:t>
      </w:r>
      <w:proofErr w:type="spellEnd"/>
      <w:r w:rsidR="00D4176F" w:rsidRPr="00D4176F">
        <w:rPr>
          <w:rFonts w:ascii="Arial" w:eastAsia="Calibri" w:hAnsi="Arial" w:cs="Arial"/>
          <w:kern w:val="2"/>
        </w:rPr>
        <w:t xml:space="preserve">, J., </w:t>
      </w:r>
      <w:proofErr w:type="spellStart"/>
      <w:r w:rsidR="00D4176F" w:rsidRPr="00D4176F">
        <w:rPr>
          <w:rFonts w:ascii="Arial" w:eastAsia="Calibri" w:hAnsi="Arial" w:cs="Arial"/>
          <w:kern w:val="2"/>
        </w:rPr>
        <w:t>Ehleringer</w:t>
      </w:r>
      <w:proofErr w:type="spellEnd"/>
      <w:r w:rsidR="00D4176F" w:rsidRPr="00D4176F">
        <w:rPr>
          <w:rFonts w:ascii="Arial" w:eastAsia="Calibri" w:hAnsi="Arial" w:cs="Arial"/>
          <w:kern w:val="2"/>
        </w:rPr>
        <w:t xml:space="preserve">, J. R., Mooney, H. A., Sala, O. E., &amp; Schulze, E. D. (1996). A global analysis of root distributions for terrestrial biomes. </w:t>
      </w:r>
      <w:proofErr w:type="spellStart"/>
      <w:r w:rsidR="00D4176F" w:rsidRPr="00D4176F">
        <w:rPr>
          <w:rFonts w:ascii="Arial" w:eastAsia="Calibri" w:hAnsi="Arial" w:cs="Arial"/>
          <w:kern w:val="2"/>
        </w:rPr>
        <w:t>Oecologia</w:t>
      </w:r>
      <w:proofErr w:type="spellEnd"/>
      <w:r w:rsidR="00D4176F" w:rsidRPr="00D4176F">
        <w:rPr>
          <w:rFonts w:ascii="Arial" w:eastAsia="Calibri" w:hAnsi="Arial" w:cs="Arial"/>
          <w:kern w:val="2"/>
        </w:rPr>
        <w:t xml:space="preserve">, 108(3), 389–411. </w:t>
      </w:r>
      <w:hyperlink r:id="rId50" w:history="1">
        <w:r w:rsidR="00D4176F" w:rsidRPr="00115A87">
          <w:rPr>
            <w:rStyle w:val="Hyperlink"/>
            <w:rFonts w:ascii="Arial" w:eastAsia="Calibri" w:hAnsi="Arial" w:cs="Arial"/>
            <w:kern w:val="2"/>
          </w:rPr>
          <w:t>https://doi.org/10.1007/BF00333714</w:t>
        </w:r>
      </w:hyperlink>
      <w:r w:rsidR="00D4176F">
        <w:rPr>
          <w:rFonts w:ascii="Arial" w:eastAsia="Calibri" w:hAnsi="Arial" w:cs="Arial"/>
          <w:kern w:val="2"/>
        </w:rPr>
        <w:t xml:space="preserve"> </w:t>
      </w:r>
    </w:p>
    <w:p w14:paraId="559B61A3" w14:textId="2BE54AB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30-</w:t>
      </w:r>
      <w:r w:rsidR="006F0753" w:rsidRPr="006F0753">
        <w:rPr>
          <w:rFonts w:ascii="Arial" w:eastAsia="Calibri" w:hAnsi="Arial" w:cs="Arial"/>
          <w:kern w:val="2"/>
          <w:lang w:val="fr-FR"/>
        </w:rPr>
        <w:t xml:space="preserve">Monti, A., &amp; </w:t>
      </w:r>
      <w:proofErr w:type="spellStart"/>
      <w:r w:rsidR="006F0753" w:rsidRPr="006F0753">
        <w:rPr>
          <w:rFonts w:ascii="Arial" w:eastAsia="Calibri" w:hAnsi="Arial" w:cs="Arial"/>
          <w:kern w:val="2"/>
          <w:lang w:val="fr-FR"/>
        </w:rPr>
        <w:t>Zatta</w:t>
      </w:r>
      <w:proofErr w:type="spellEnd"/>
      <w:r w:rsidR="006F0753" w:rsidRPr="006F0753">
        <w:rPr>
          <w:rFonts w:ascii="Arial" w:eastAsia="Calibri" w:hAnsi="Arial" w:cs="Arial"/>
          <w:kern w:val="2"/>
          <w:lang w:val="fr-FR"/>
        </w:rPr>
        <w:t xml:space="preserve">, A. (2009). Root distribution and </w:t>
      </w:r>
      <w:proofErr w:type="spellStart"/>
      <w:r w:rsidR="006F0753" w:rsidRPr="006F0753">
        <w:rPr>
          <w:rFonts w:ascii="Arial" w:eastAsia="Calibri" w:hAnsi="Arial" w:cs="Arial"/>
          <w:kern w:val="2"/>
          <w:lang w:val="fr-FR"/>
        </w:rPr>
        <w:t>soil</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moisture</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retrieval</w:t>
      </w:r>
      <w:proofErr w:type="spellEnd"/>
      <w:r w:rsidR="006F0753" w:rsidRPr="006F0753">
        <w:rPr>
          <w:rFonts w:ascii="Arial" w:eastAsia="Calibri" w:hAnsi="Arial" w:cs="Arial"/>
          <w:kern w:val="2"/>
          <w:lang w:val="fr-FR"/>
        </w:rPr>
        <w:t xml:space="preserve"> in </w:t>
      </w:r>
      <w:proofErr w:type="spellStart"/>
      <w:r w:rsidR="006F0753" w:rsidRPr="006F0753">
        <w:rPr>
          <w:rFonts w:ascii="Arial" w:eastAsia="Calibri" w:hAnsi="Arial" w:cs="Arial"/>
          <w:kern w:val="2"/>
          <w:lang w:val="fr-FR"/>
        </w:rPr>
        <w:t>perennial</w:t>
      </w:r>
      <w:proofErr w:type="spellEnd"/>
      <w:r w:rsidR="006F0753" w:rsidRPr="006F0753">
        <w:rPr>
          <w:rFonts w:ascii="Arial" w:eastAsia="Calibri" w:hAnsi="Arial" w:cs="Arial"/>
          <w:kern w:val="2"/>
          <w:lang w:val="fr-FR"/>
        </w:rPr>
        <w:t xml:space="preserve"> and </w:t>
      </w:r>
      <w:proofErr w:type="spellStart"/>
      <w:r w:rsidR="006F0753" w:rsidRPr="006F0753">
        <w:rPr>
          <w:rFonts w:ascii="Arial" w:eastAsia="Calibri" w:hAnsi="Arial" w:cs="Arial"/>
          <w:kern w:val="2"/>
          <w:lang w:val="fr-FR"/>
        </w:rPr>
        <w:t>annual</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energy</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crops</w:t>
      </w:r>
      <w:proofErr w:type="spellEnd"/>
      <w:r w:rsidR="006F0753" w:rsidRPr="006F0753">
        <w:rPr>
          <w:rFonts w:ascii="Arial" w:eastAsia="Calibri" w:hAnsi="Arial" w:cs="Arial"/>
          <w:kern w:val="2"/>
          <w:lang w:val="fr-FR"/>
        </w:rPr>
        <w:t xml:space="preserve"> in </w:t>
      </w:r>
      <w:proofErr w:type="spellStart"/>
      <w:r w:rsidR="006F0753" w:rsidRPr="006F0753">
        <w:rPr>
          <w:rFonts w:ascii="Arial" w:eastAsia="Calibri" w:hAnsi="Arial" w:cs="Arial"/>
          <w:kern w:val="2"/>
          <w:lang w:val="fr-FR"/>
        </w:rPr>
        <w:t>Northern</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Italy</w:t>
      </w:r>
      <w:proofErr w:type="spellEnd"/>
      <w:r w:rsidR="006F0753" w:rsidRPr="006F0753">
        <w:rPr>
          <w:rFonts w:ascii="Arial" w:eastAsia="Calibri" w:hAnsi="Arial" w:cs="Arial"/>
          <w:kern w:val="2"/>
          <w:lang w:val="fr-FR"/>
        </w:rPr>
        <w:t xml:space="preserve">. Agriculture, </w:t>
      </w:r>
      <w:proofErr w:type="spellStart"/>
      <w:r w:rsidR="006F0753" w:rsidRPr="006F0753">
        <w:rPr>
          <w:rFonts w:ascii="Arial" w:eastAsia="Calibri" w:hAnsi="Arial" w:cs="Arial"/>
          <w:kern w:val="2"/>
          <w:lang w:val="fr-FR"/>
        </w:rPr>
        <w:t>Ecosystems</w:t>
      </w:r>
      <w:proofErr w:type="spellEnd"/>
      <w:r w:rsidR="006F0753" w:rsidRPr="006F0753">
        <w:rPr>
          <w:rFonts w:ascii="Arial" w:eastAsia="Calibri" w:hAnsi="Arial" w:cs="Arial"/>
          <w:kern w:val="2"/>
          <w:lang w:val="fr-FR"/>
        </w:rPr>
        <w:t xml:space="preserve"> and </w:t>
      </w:r>
      <w:proofErr w:type="spellStart"/>
      <w:r w:rsidR="006F0753" w:rsidRPr="006F0753">
        <w:rPr>
          <w:rFonts w:ascii="Arial" w:eastAsia="Calibri" w:hAnsi="Arial" w:cs="Arial"/>
          <w:kern w:val="2"/>
          <w:lang w:val="fr-FR"/>
        </w:rPr>
        <w:t>Environment</w:t>
      </w:r>
      <w:proofErr w:type="spellEnd"/>
      <w:r w:rsidR="006F0753" w:rsidRPr="006F0753">
        <w:rPr>
          <w:rFonts w:ascii="Arial" w:eastAsia="Calibri" w:hAnsi="Arial" w:cs="Arial"/>
          <w:kern w:val="2"/>
          <w:lang w:val="fr-FR"/>
        </w:rPr>
        <w:t xml:space="preserve">, 132(3-4), 252-259. </w:t>
      </w:r>
      <w:hyperlink r:id="rId51" w:history="1">
        <w:r w:rsidR="006F0753" w:rsidRPr="00115A87">
          <w:rPr>
            <w:rStyle w:val="Hyperlink"/>
            <w:rFonts w:ascii="Arial" w:eastAsia="Calibri" w:hAnsi="Arial" w:cs="Arial"/>
            <w:kern w:val="2"/>
            <w:lang w:val="fr-FR"/>
          </w:rPr>
          <w:t>https://doi.org/10.1016/j.agee.2009.04.007</w:t>
        </w:r>
      </w:hyperlink>
      <w:r w:rsidR="006F0753">
        <w:rPr>
          <w:rFonts w:ascii="Arial" w:eastAsia="Calibri" w:hAnsi="Arial" w:cs="Arial"/>
          <w:kern w:val="2"/>
          <w:lang w:val="fr-FR"/>
        </w:rPr>
        <w:t xml:space="preserve"> </w:t>
      </w:r>
    </w:p>
    <w:p w14:paraId="44FD7EE2" w14:textId="3A821CFB"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31-</w:t>
      </w:r>
      <w:r w:rsidR="00C87866" w:rsidRPr="00C87866">
        <w:rPr>
          <w:rFonts w:ascii="Arial" w:eastAsia="Calibri" w:hAnsi="Arial" w:cs="Arial"/>
          <w:kern w:val="2"/>
        </w:rPr>
        <w:t xml:space="preserve">Mou, P., Jones, R. H., Mitchell, R. J., &amp; </w:t>
      </w:r>
      <w:proofErr w:type="spellStart"/>
      <w:r w:rsidR="00C87866" w:rsidRPr="00C87866">
        <w:rPr>
          <w:rFonts w:ascii="Arial" w:eastAsia="Calibri" w:hAnsi="Arial" w:cs="Arial"/>
          <w:kern w:val="2"/>
        </w:rPr>
        <w:t>Zutter</w:t>
      </w:r>
      <w:proofErr w:type="spellEnd"/>
      <w:r w:rsidR="00C87866" w:rsidRPr="00C87866">
        <w:rPr>
          <w:rFonts w:ascii="Arial" w:eastAsia="Calibri" w:hAnsi="Arial" w:cs="Arial"/>
          <w:kern w:val="2"/>
        </w:rPr>
        <w:t xml:space="preserve">, B. (1995). Spatial distribution of roots in sweetgum and loblolly pine monocultures and relations with above-ground biomass and soil nutrients. Functional Ecology, 9(4), 689–699. </w:t>
      </w:r>
      <w:hyperlink r:id="rId52" w:history="1">
        <w:r w:rsidR="00C87866" w:rsidRPr="00115A87">
          <w:rPr>
            <w:rStyle w:val="Hyperlink"/>
            <w:rFonts w:ascii="Arial" w:eastAsia="Calibri" w:hAnsi="Arial" w:cs="Arial"/>
            <w:kern w:val="2"/>
          </w:rPr>
          <w:t>https://doi.org/10.2307/2390162</w:t>
        </w:r>
      </w:hyperlink>
      <w:r w:rsidR="00C87866">
        <w:rPr>
          <w:rFonts w:ascii="Arial" w:eastAsia="Calibri" w:hAnsi="Arial" w:cs="Arial"/>
          <w:kern w:val="2"/>
        </w:rPr>
        <w:t xml:space="preserve"> </w:t>
      </w:r>
      <w:r w:rsidRPr="001D61B2">
        <w:rPr>
          <w:rFonts w:ascii="Arial" w:eastAsia="Calibri" w:hAnsi="Arial" w:cs="Arial"/>
          <w:kern w:val="2"/>
        </w:rPr>
        <w:t xml:space="preserve"> </w:t>
      </w:r>
    </w:p>
    <w:p w14:paraId="4BF987AE" w14:textId="575A210A"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32-</w:t>
      </w:r>
      <w:r w:rsidR="002B2375" w:rsidRPr="002B2375">
        <w:rPr>
          <w:rFonts w:ascii="Arial" w:eastAsia="Calibri" w:hAnsi="Arial" w:cs="Arial"/>
          <w:kern w:val="2"/>
        </w:rPr>
        <w:t xml:space="preserve">Vogt, K. A., </w:t>
      </w:r>
      <w:proofErr w:type="spellStart"/>
      <w:r w:rsidR="002B2375" w:rsidRPr="002B2375">
        <w:rPr>
          <w:rFonts w:ascii="Arial" w:eastAsia="Calibri" w:hAnsi="Arial" w:cs="Arial"/>
          <w:kern w:val="2"/>
        </w:rPr>
        <w:t>Publicover</w:t>
      </w:r>
      <w:proofErr w:type="spellEnd"/>
      <w:r w:rsidR="002B2375" w:rsidRPr="002B2375">
        <w:rPr>
          <w:rFonts w:ascii="Arial" w:eastAsia="Calibri" w:hAnsi="Arial" w:cs="Arial"/>
          <w:kern w:val="2"/>
        </w:rPr>
        <w:t xml:space="preserve">, D. A., Bloomfield, J., Perez, J. M., Vogt, D. J., &amp; Silver, W. L. (1993). Belowground responses as indicators of environmental change. Environmental and Experimental Botany, 33(1), 189–205. </w:t>
      </w:r>
      <w:hyperlink r:id="rId53" w:history="1">
        <w:r w:rsidR="002B2375" w:rsidRPr="00115A87">
          <w:rPr>
            <w:rStyle w:val="Hyperlink"/>
            <w:rFonts w:ascii="Arial" w:eastAsia="Calibri" w:hAnsi="Arial" w:cs="Arial"/>
            <w:kern w:val="2"/>
          </w:rPr>
          <w:t>https://doi.org/10.1016/0098-8472(93)90065-N</w:t>
        </w:r>
      </w:hyperlink>
      <w:r w:rsidR="002B2375">
        <w:rPr>
          <w:rFonts w:ascii="Arial" w:eastAsia="Calibri" w:hAnsi="Arial" w:cs="Arial"/>
          <w:kern w:val="2"/>
        </w:rPr>
        <w:t xml:space="preserve"> </w:t>
      </w:r>
    </w:p>
    <w:p w14:paraId="3ED70769" w14:textId="169A7E39"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33-</w:t>
      </w:r>
      <w:r w:rsidR="007950DB" w:rsidRPr="007950DB">
        <w:rPr>
          <w:rFonts w:ascii="Arial" w:eastAsia="Calibri" w:hAnsi="Arial" w:cs="Arial"/>
          <w:kern w:val="2"/>
        </w:rPr>
        <w:t xml:space="preserve">Lambers, H., &amp; </w:t>
      </w:r>
      <w:proofErr w:type="spellStart"/>
      <w:r w:rsidR="007950DB" w:rsidRPr="007950DB">
        <w:rPr>
          <w:rFonts w:ascii="Arial" w:eastAsia="Calibri" w:hAnsi="Arial" w:cs="Arial"/>
          <w:kern w:val="2"/>
        </w:rPr>
        <w:t>Posthumus</w:t>
      </w:r>
      <w:proofErr w:type="spellEnd"/>
      <w:r w:rsidR="007950DB" w:rsidRPr="007950DB">
        <w:rPr>
          <w:rFonts w:ascii="Arial" w:eastAsia="Calibri" w:hAnsi="Arial" w:cs="Arial"/>
          <w:kern w:val="2"/>
        </w:rPr>
        <w:t xml:space="preserve">, F. (1980). The effect of light intensity and relative humidity on growth rate and root respiration of </w:t>
      </w:r>
      <w:proofErr w:type="spellStart"/>
      <w:r w:rsidR="007950DB" w:rsidRPr="007950DB">
        <w:rPr>
          <w:rFonts w:ascii="Arial" w:eastAsia="Calibri" w:hAnsi="Arial" w:cs="Arial"/>
          <w:kern w:val="2"/>
        </w:rPr>
        <w:t>Plantago</w:t>
      </w:r>
      <w:proofErr w:type="spellEnd"/>
      <w:r w:rsidR="007950DB" w:rsidRPr="007950DB">
        <w:rPr>
          <w:rFonts w:ascii="Arial" w:eastAsia="Calibri" w:hAnsi="Arial" w:cs="Arial"/>
          <w:kern w:val="2"/>
        </w:rPr>
        <w:t xml:space="preserve"> </w:t>
      </w:r>
      <w:proofErr w:type="spellStart"/>
      <w:r w:rsidR="007950DB" w:rsidRPr="007950DB">
        <w:rPr>
          <w:rFonts w:ascii="Arial" w:eastAsia="Calibri" w:hAnsi="Arial" w:cs="Arial"/>
          <w:kern w:val="2"/>
        </w:rPr>
        <w:t>lanceolata</w:t>
      </w:r>
      <w:proofErr w:type="spellEnd"/>
      <w:r w:rsidR="007950DB" w:rsidRPr="007950DB">
        <w:rPr>
          <w:rFonts w:ascii="Arial" w:eastAsia="Calibri" w:hAnsi="Arial" w:cs="Arial"/>
          <w:kern w:val="2"/>
        </w:rPr>
        <w:t xml:space="preserve"> and </w:t>
      </w:r>
      <w:proofErr w:type="spellStart"/>
      <w:r w:rsidR="007950DB" w:rsidRPr="007950DB">
        <w:rPr>
          <w:rFonts w:ascii="Arial" w:eastAsia="Calibri" w:hAnsi="Arial" w:cs="Arial"/>
          <w:kern w:val="2"/>
        </w:rPr>
        <w:t>Zea</w:t>
      </w:r>
      <w:proofErr w:type="spellEnd"/>
      <w:r w:rsidR="007950DB" w:rsidRPr="007950DB">
        <w:rPr>
          <w:rFonts w:ascii="Arial" w:eastAsia="Calibri" w:hAnsi="Arial" w:cs="Arial"/>
          <w:kern w:val="2"/>
        </w:rPr>
        <w:t xml:space="preserve"> mays. Journal of Experimental Botany, 31(6), 1621–1630. </w:t>
      </w:r>
      <w:hyperlink r:id="rId54" w:history="1">
        <w:r w:rsidR="007950DB" w:rsidRPr="00115A87">
          <w:rPr>
            <w:rStyle w:val="Hyperlink"/>
            <w:rFonts w:ascii="Arial" w:eastAsia="Calibri" w:hAnsi="Arial" w:cs="Arial"/>
            <w:kern w:val="2"/>
          </w:rPr>
          <w:t>https://doi.org/10.1093/jxb/31.6.1621</w:t>
        </w:r>
      </w:hyperlink>
      <w:r w:rsidR="007950DB">
        <w:rPr>
          <w:rFonts w:ascii="Arial" w:eastAsia="Calibri" w:hAnsi="Arial" w:cs="Arial"/>
          <w:kern w:val="2"/>
        </w:rPr>
        <w:t xml:space="preserve"> </w:t>
      </w:r>
      <w:r w:rsidRPr="001D61B2">
        <w:rPr>
          <w:rFonts w:ascii="Arial" w:eastAsia="Calibri" w:hAnsi="Arial" w:cs="Arial"/>
          <w:kern w:val="2"/>
        </w:rPr>
        <w:t>.</w:t>
      </w:r>
    </w:p>
    <w:p w14:paraId="5A4421E2" w14:textId="0719A92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34-</w:t>
      </w:r>
      <w:r w:rsidR="00DF0FEC" w:rsidRPr="00DF0FEC">
        <w:rPr>
          <w:rFonts w:ascii="Arial" w:eastAsia="Calibri" w:hAnsi="Arial" w:cs="Arial"/>
          <w:kern w:val="2"/>
        </w:rPr>
        <w:t xml:space="preserve">Dodd, M. B., Crush, J. R., Mackay, A. D., &amp; Barker, D. J. (2011). The “root” to more soil carbon under pasture. Proceedings of the New Zealand Grassland Association, 73, 43-50. </w:t>
      </w:r>
      <w:hyperlink r:id="rId55" w:history="1">
        <w:r w:rsidR="00DF0FEC" w:rsidRPr="00115A87">
          <w:rPr>
            <w:rStyle w:val="Hyperlink"/>
            <w:rFonts w:ascii="Arial" w:eastAsia="Calibri" w:hAnsi="Arial" w:cs="Arial"/>
            <w:kern w:val="2"/>
          </w:rPr>
          <w:t>https://www.grassland.org.nz/publications/nzgrassland_publication_201.pdf</w:t>
        </w:r>
      </w:hyperlink>
      <w:r w:rsidR="00DF0FEC">
        <w:rPr>
          <w:rFonts w:ascii="Arial" w:eastAsia="Calibri" w:hAnsi="Arial" w:cs="Arial"/>
          <w:kern w:val="2"/>
        </w:rPr>
        <w:t xml:space="preserve"> </w:t>
      </w:r>
    </w:p>
    <w:p w14:paraId="02D4B3AC" w14:textId="1A4B1551"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45-</w:t>
      </w:r>
      <w:r w:rsidR="008F46AE" w:rsidRPr="008F46AE">
        <w:rPr>
          <w:rFonts w:ascii="Arial" w:eastAsia="Calibri" w:hAnsi="Arial" w:cs="Arial"/>
          <w:kern w:val="2"/>
        </w:rPr>
        <w:t xml:space="preserve">Wu, Y., Wu, J., Deng, Y., Tan, H., Du, Y., Gu, S., &amp; Cui, X. (2011). Comprehensive assessments of root biomass and production in a </w:t>
      </w:r>
      <w:proofErr w:type="spellStart"/>
      <w:r w:rsidR="008F46AE" w:rsidRPr="008F46AE">
        <w:rPr>
          <w:rFonts w:ascii="Arial" w:eastAsia="Calibri" w:hAnsi="Arial" w:cs="Arial"/>
          <w:kern w:val="2"/>
        </w:rPr>
        <w:t>Kobresia</w:t>
      </w:r>
      <w:proofErr w:type="spellEnd"/>
      <w:r w:rsidR="008F46AE" w:rsidRPr="008F46AE">
        <w:rPr>
          <w:rFonts w:ascii="Arial" w:eastAsia="Calibri" w:hAnsi="Arial" w:cs="Arial"/>
          <w:kern w:val="2"/>
        </w:rPr>
        <w:t xml:space="preserve"> humilis meadow on the Qinghai-Tibetan Plateau. Plant and Soil, 338(1-2), 497–510. </w:t>
      </w:r>
      <w:hyperlink r:id="rId56" w:history="1">
        <w:r w:rsidR="008F46AE" w:rsidRPr="00115A87">
          <w:rPr>
            <w:rStyle w:val="Hyperlink"/>
            <w:rFonts w:ascii="Arial" w:eastAsia="Calibri" w:hAnsi="Arial" w:cs="Arial"/>
            <w:kern w:val="2"/>
          </w:rPr>
          <w:t>https://doi.org/10.1007/s11104-010-0562-4</w:t>
        </w:r>
      </w:hyperlink>
      <w:r w:rsidR="008F46AE">
        <w:rPr>
          <w:rFonts w:ascii="Arial" w:eastAsia="Calibri" w:hAnsi="Arial" w:cs="Arial"/>
          <w:kern w:val="2"/>
        </w:rPr>
        <w:t xml:space="preserve"> </w:t>
      </w:r>
    </w:p>
    <w:p w14:paraId="34FD756C"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5863FD">
        <w:rPr>
          <w:rFonts w:ascii="Arial" w:eastAsia="Calibri" w:hAnsi="Arial" w:cs="Arial"/>
          <w:kern w:val="2"/>
          <w:lang w:val="fr-FR"/>
        </w:rPr>
        <w:t>36-S</w:t>
      </w:r>
      <w:r w:rsidR="005863FD" w:rsidRPr="005863FD">
        <w:rPr>
          <w:rFonts w:ascii="Arial" w:eastAsia="Calibri" w:hAnsi="Arial" w:cs="Arial"/>
          <w:kern w:val="2"/>
          <w:lang w:val="fr-FR"/>
        </w:rPr>
        <w:t>oumare</w:t>
      </w:r>
      <w:r w:rsidRPr="005863FD">
        <w:rPr>
          <w:rFonts w:ascii="Arial" w:eastAsia="Calibri" w:hAnsi="Arial" w:cs="Arial"/>
          <w:kern w:val="2"/>
          <w:lang w:val="fr-FR"/>
        </w:rPr>
        <w:t xml:space="preserve"> A., G</w:t>
      </w:r>
      <w:r w:rsidR="005863FD" w:rsidRPr="005863FD">
        <w:rPr>
          <w:rFonts w:ascii="Arial" w:eastAsia="Calibri" w:hAnsi="Arial" w:cs="Arial"/>
          <w:kern w:val="2"/>
          <w:lang w:val="fr-FR"/>
        </w:rPr>
        <w:t>root</w:t>
      </w:r>
      <w:r w:rsidRPr="005863FD">
        <w:rPr>
          <w:rFonts w:ascii="Arial" w:eastAsia="Calibri" w:hAnsi="Arial" w:cs="Arial"/>
          <w:kern w:val="2"/>
          <w:lang w:val="fr-FR"/>
        </w:rPr>
        <w:t xml:space="preserve"> J.J.R., K</w:t>
      </w:r>
      <w:r w:rsidR="005863FD" w:rsidRPr="005863FD">
        <w:rPr>
          <w:rFonts w:ascii="Arial" w:eastAsia="Calibri" w:hAnsi="Arial" w:cs="Arial"/>
          <w:kern w:val="2"/>
          <w:lang w:val="fr-FR"/>
        </w:rPr>
        <w:t>one</w:t>
      </w:r>
      <w:r w:rsidRPr="005863FD">
        <w:rPr>
          <w:rFonts w:ascii="Arial" w:eastAsia="Calibri" w:hAnsi="Arial" w:cs="Arial"/>
          <w:kern w:val="2"/>
          <w:lang w:val="fr-FR"/>
        </w:rPr>
        <w:t xml:space="preserve"> D.  </w:t>
      </w:r>
      <w:proofErr w:type="gramStart"/>
      <w:r w:rsidRPr="001D61B2">
        <w:rPr>
          <w:rFonts w:ascii="Arial" w:eastAsia="Calibri" w:hAnsi="Arial" w:cs="Arial"/>
          <w:kern w:val="2"/>
          <w:lang w:val="fr-FR"/>
        </w:rPr>
        <w:t>et</w:t>
      </w:r>
      <w:proofErr w:type="gramEnd"/>
      <w:r w:rsidRPr="001D61B2">
        <w:rPr>
          <w:rFonts w:ascii="Arial" w:eastAsia="Calibri" w:hAnsi="Arial" w:cs="Arial"/>
          <w:kern w:val="2"/>
          <w:lang w:val="fr-FR"/>
        </w:rPr>
        <w:t xml:space="preserve"> </w:t>
      </w:r>
      <w:proofErr w:type="spellStart"/>
      <w:r w:rsidRPr="001D61B2">
        <w:rPr>
          <w:rFonts w:ascii="Arial" w:eastAsia="Calibri" w:hAnsi="Arial" w:cs="Arial"/>
          <w:kern w:val="2"/>
          <w:lang w:val="fr-FR"/>
        </w:rPr>
        <w:t>R</w:t>
      </w:r>
      <w:r w:rsidR="005863FD" w:rsidRPr="001D61B2">
        <w:rPr>
          <w:rFonts w:ascii="Arial" w:eastAsia="Calibri" w:hAnsi="Arial" w:cs="Arial"/>
          <w:kern w:val="2"/>
          <w:lang w:val="fr-FR"/>
        </w:rPr>
        <w:t>adersma</w:t>
      </w:r>
      <w:proofErr w:type="spellEnd"/>
      <w:r w:rsidRPr="001D61B2">
        <w:rPr>
          <w:rFonts w:ascii="Arial" w:eastAsia="Calibri" w:hAnsi="Arial" w:cs="Arial"/>
          <w:kern w:val="2"/>
          <w:lang w:val="fr-FR"/>
        </w:rPr>
        <w:t xml:space="preserve"> S.,</w:t>
      </w:r>
      <w:r w:rsidR="005863FD">
        <w:rPr>
          <w:rFonts w:ascii="Arial" w:eastAsia="Calibri" w:hAnsi="Arial" w:cs="Arial"/>
          <w:kern w:val="2"/>
          <w:lang w:val="fr-FR"/>
        </w:rPr>
        <w:t xml:space="preserve"> (</w:t>
      </w:r>
      <w:r w:rsidRPr="001D61B2">
        <w:rPr>
          <w:rFonts w:ascii="Arial" w:eastAsia="Calibri" w:hAnsi="Arial" w:cs="Arial"/>
          <w:kern w:val="2"/>
          <w:lang w:val="fr-FR"/>
        </w:rPr>
        <w:t>1994</w:t>
      </w:r>
      <w:r w:rsidR="005863FD">
        <w:rPr>
          <w:rFonts w:ascii="Arial" w:eastAsia="Calibri" w:hAnsi="Arial" w:cs="Arial"/>
          <w:kern w:val="2"/>
          <w:lang w:val="fr-FR"/>
        </w:rPr>
        <w:t>)</w:t>
      </w:r>
      <w:r w:rsidRPr="001D61B2">
        <w:rPr>
          <w:rFonts w:ascii="Arial" w:eastAsia="Calibri" w:hAnsi="Arial" w:cs="Arial"/>
          <w:kern w:val="2"/>
          <w:lang w:val="fr-FR"/>
        </w:rPr>
        <w:t>.</w:t>
      </w:r>
      <w:r w:rsidR="005863FD">
        <w:rPr>
          <w:rFonts w:ascii="Arial" w:eastAsia="Calibri" w:hAnsi="Arial" w:cs="Arial"/>
          <w:kern w:val="2"/>
          <w:lang w:val="fr-FR"/>
        </w:rPr>
        <w:t xml:space="preserve"> </w:t>
      </w:r>
      <w:r w:rsidRPr="001D61B2">
        <w:rPr>
          <w:rFonts w:ascii="Arial" w:eastAsia="Calibri" w:hAnsi="Arial" w:cs="Arial"/>
          <w:kern w:val="2"/>
          <w:lang w:val="fr-FR"/>
        </w:rPr>
        <w:t xml:space="preserve">Structure spatiale du système racinaire de deux arbres du </w:t>
      </w:r>
      <w:proofErr w:type="gramStart"/>
      <w:r w:rsidRPr="001D61B2">
        <w:rPr>
          <w:rFonts w:ascii="Arial" w:eastAsia="Calibri" w:hAnsi="Arial" w:cs="Arial"/>
          <w:kern w:val="2"/>
          <w:lang w:val="fr-FR"/>
        </w:rPr>
        <w:t>Sahel:</w:t>
      </w:r>
      <w:proofErr w:type="gramEnd"/>
      <w:r w:rsidRPr="001D61B2">
        <w:rPr>
          <w:rFonts w:ascii="Arial" w:eastAsia="Calibri" w:hAnsi="Arial" w:cs="Arial"/>
          <w:kern w:val="2"/>
          <w:lang w:val="fr-FR"/>
        </w:rPr>
        <w:t xml:space="preserve"> Acacia seyal et </w:t>
      </w:r>
      <w:proofErr w:type="spellStart"/>
      <w:r w:rsidRPr="001D61B2">
        <w:rPr>
          <w:rFonts w:ascii="Arial" w:eastAsia="Calibri" w:hAnsi="Arial" w:cs="Arial"/>
          <w:kern w:val="2"/>
          <w:lang w:val="fr-FR"/>
        </w:rPr>
        <w:t>Sclerocarya</w:t>
      </w:r>
      <w:proofErr w:type="spellEnd"/>
      <w:r w:rsidRPr="001D61B2">
        <w:rPr>
          <w:rFonts w:ascii="Arial" w:eastAsia="Calibri" w:hAnsi="Arial" w:cs="Arial"/>
          <w:kern w:val="2"/>
          <w:lang w:val="fr-FR"/>
        </w:rPr>
        <w:t xml:space="preserve"> </w:t>
      </w:r>
      <w:proofErr w:type="spellStart"/>
      <w:r w:rsidRPr="001D61B2">
        <w:rPr>
          <w:rFonts w:ascii="Arial" w:eastAsia="Calibri" w:hAnsi="Arial" w:cs="Arial"/>
          <w:kern w:val="2"/>
          <w:lang w:val="fr-FR"/>
        </w:rPr>
        <w:t>birrea</w:t>
      </w:r>
      <w:proofErr w:type="spellEnd"/>
      <w:r w:rsidRPr="001D61B2">
        <w:rPr>
          <w:rFonts w:ascii="Arial" w:eastAsia="Calibri" w:hAnsi="Arial" w:cs="Arial"/>
          <w:kern w:val="2"/>
          <w:lang w:val="fr-FR"/>
        </w:rPr>
        <w:t xml:space="preserve">. </w:t>
      </w:r>
      <w:r w:rsidRPr="001D61B2">
        <w:rPr>
          <w:rFonts w:ascii="Arial" w:eastAsia="Calibri" w:hAnsi="Arial" w:cs="Arial"/>
          <w:kern w:val="2"/>
        </w:rPr>
        <w:t>Rapport PSS N° 5, Wageningen, 38p.</w:t>
      </w:r>
    </w:p>
    <w:p w14:paraId="7A8E82F4" w14:textId="46FFE14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37-</w:t>
      </w:r>
      <w:r w:rsidR="00AB3A0E" w:rsidRPr="00AB3A0E">
        <w:rPr>
          <w:rFonts w:ascii="Arial" w:eastAsia="Calibri" w:hAnsi="Arial" w:cs="Arial"/>
          <w:kern w:val="2"/>
        </w:rPr>
        <w:t xml:space="preserve">Kaur, B., Gupta, S. R., &amp; Singh, G. (2000). Soil carbon, microbial activity and nitrogen availability in agroforestry systems on moderately alkaline soils in northern India. Applied Soil Ecology, 15, 283-294. </w:t>
      </w:r>
      <w:hyperlink r:id="rId57" w:history="1">
        <w:r w:rsidR="00AB3A0E" w:rsidRPr="00115A87">
          <w:rPr>
            <w:rStyle w:val="Hyperlink"/>
            <w:rFonts w:ascii="Arial" w:eastAsia="Calibri" w:hAnsi="Arial" w:cs="Arial"/>
            <w:kern w:val="2"/>
          </w:rPr>
          <w:t>https://doi.org/10.1016/S0929-1393(00)00079-2</w:t>
        </w:r>
      </w:hyperlink>
      <w:r w:rsidR="00AB3A0E">
        <w:rPr>
          <w:rFonts w:ascii="Arial" w:eastAsia="Calibri" w:hAnsi="Arial" w:cs="Arial"/>
          <w:kern w:val="2"/>
        </w:rPr>
        <w:t xml:space="preserve"> </w:t>
      </w:r>
      <w:r w:rsidRPr="001D61B2">
        <w:rPr>
          <w:rFonts w:ascii="Arial" w:eastAsia="Calibri" w:hAnsi="Arial" w:cs="Arial"/>
          <w:kern w:val="2"/>
        </w:rPr>
        <w:t xml:space="preserve">  </w:t>
      </w:r>
    </w:p>
    <w:p w14:paraId="4842CFDD" w14:textId="7A9CE8FE" w:rsidR="001D61B2" w:rsidRPr="001D61B2" w:rsidRDefault="001D61B2" w:rsidP="001D61B2">
      <w:pPr>
        <w:suppressAutoHyphens/>
        <w:autoSpaceDN w:val="0"/>
        <w:spacing w:before="120" w:line="276" w:lineRule="auto"/>
        <w:jc w:val="both"/>
        <w:textAlignment w:val="baseline"/>
        <w:rPr>
          <w:rFonts w:ascii="Arial" w:hAnsi="Arial" w:cs="Arial"/>
          <w:bCs/>
          <w:lang w:eastAsia="fr-FR"/>
        </w:rPr>
      </w:pPr>
      <w:r w:rsidRPr="001D61B2">
        <w:rPr>
          <w:rFonts w:ascii="Arial" w:hAnsi="Arial" w:cs="Arial"/>
          <w:bCs/>
          <w:lang w:eastAsia="fr-FR"/>
        </w:rPr>
        <w:t>38-</w:t>
      </w:r>
      <w:r w:rsidR="00836B49" w:rsidRPr="00836B49">
        <w:rPr>
          <w:rFonts w:ascii="Arial" w:hAnsi="Arial" w:cs="Arial"/>
          <w:bCs/>
          <w:lang w:eastAsia="fr-FR"/>
        </w:rPr>
        <w:t xml:space="preserve">Fitter, A. H. (1987). An architectural approach to the comparative ecology of plant root systems. New </w:t>
      </w:r>
      <w:proofErr w:type="spellStart"/>
      <w:r w:rsidR="00836B49" w:rsidRPr="00836B49">
        <w:rPr>
          <w:rFonts w:ascii="Arial" w:hAnsi="Arial" w:cs="Arial"/>
          <w:bCs/>
          <w:lang w:eastAsia="fr-FR"/>
        </w:rPr>
        <w:t>Phytologist</w:t>
      </w:r>
      <w:proofErr w:type="spellEnd"/>
      <w:r w:rsidR="00836B49" w:rsidRPr="00836B49">
        <w:rPr>
          <w:rFonts w:ascii="Arial" w:hAnsi="Arial" w:cs="Arial"/>
          <w:bCs/>
          <w:lang w:eastAsia="fr-FR"/>
        </w:rPr>
        <w:t xml:space="preserve">, 106, 61-77. </w:t>
      </w:r>
      <w:hyperlink r:id="rId58" w:history="1">
        <w:r w:rsidR="00836B49" w:rsidRPr="00115A87">
          <w:rPr>
            <w:rStyle w:val="Hyperlink"/>
            <w:rFonts w:ascii="Arial" w:hAnsi="Arial" w:cs="Arial"/>
            <w:bCs/>
            <w:lang w:eastAsia="fr-FR"/>
          </w:rPr>
          <w:t>https://doi.org/10.1111/j.1469-8137.1987.tb04683.x</w:t>
        </w:r>
      </w:hyperlink>
      <w:r w:rsidR="00836B49">
        <w:rPr>
          <w:rFonts w:ascii="Arial" w:hAnsi="Arial" w:cs="Arial"/>
          <w:bCs/>
          <w:lang w:eastAsia="fr-FR"/>
        </w:rPr>
        <w:t xml:space="preserve"> </w:t>
      </w:r>
    </w:p>
    <w:p w14:paraId="462D29A0" w14:textId="76988AE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bCs/>
          <w:kern w:val="2"/>
        </w:rPr>
        <w:t>39-</w:t>
      </w:r>
      <w:r w:rsidR="00426AF2" w:rsidRPr="00426AF2">
        <w:rPr>
          <w:rFonts w:ascii="Arial" w:eastAsia="Calibri" w:hAnsi="Arial" w:cs="Arial"/>
          <w:bCs/>
          <w:kern w:val="2"/>
        </w:rPr>
        <w:t xml:space="preserve">Bayala, J., </w:t>
      </w:r>
      <w:proofErr w:type="spellStart"/>
      <w:r w:rsidR="00426AF2" w:rsidRPr="00426AF2">
        <w:rPr>
          <w:rFonts w:ascii="Arial" w:eastAsia="Calibri" w:hAnsi="Arial" w:cs="Arial"/>
          <w:bCs/>
          <w:kern w:val="2"/>
        </w:rPr>
        <w:t>Dossa</w:t>
      </w:r>
      <w:proofErr w:type="spellEnd"/>
      <w:r w:rsidR="00426AF2" w:rsidRPr="00426AF2">
        <w:rPr>
          <w:rFonts w:ascii="Arial" w:eastAsia="Calibri" w:hAnsi="Arial" w:cs="Arial"/>
          <w:bCs/>
          <w:kern w:val="2"/>
        </w:rPr>
        <w:t xml:space="preserve">, G. L. Y., </w:t>
      </w:r>
      <w:proofErr w:type="spellStart"/>
      <w:r w:rsidR="00426AF2" w:rsidRPr="00426AF2">
        <w:rPr>
          <w:rFonts w:ascii="Arial" w:eastAsia="Calibri" w:hAnsi="Arial" w:cs="Arial"/>
          <w:bCs/>
          <w:kern w:val="2"/>
        </w:rPr>
        <w:t>Sanou</w:t>
      </w:r>
      <w:proofErr w:type="spellEnd"/>
      <w:r w:rsidR="00426AF2" w:rsidRPr="00426AF2">
        <w:rPr>
          <w:rFonts w:ascii="Arial" w:eastAsia="Calibri" w:hAnsi="Arial" w:cs="Arial"/>
          <w:bCs/>
          <w:kern w:val="2"/>
        </w:rPr>
        <w:t xml:space="preserve">, J., </w:t>
      </w:r>
      <w:proofErr w:type="spellStart"/>
      <w:r w:rsidR="00426AF2" w:rsidRPr="00426AF2">
        <w:rPr>
          <w:rFonts w:ascii="Arial" w:eastAsia="Calibri" w:hAnsi="Arial" w:cs="Arial"/>
          <w:bCs/>
          <w:kern w:val="2"/>
        </w:rPr>
        <w:t>Teklehaimanot</w:t>
      </w:r>
      <w:proofErr w:type="spellEnd"/>
      <w:r w:rsidR="00426AF2" w:rsidRPr="00426AF2">
        <w:rPr>
          <w:rFonts w:ascii="Arial" w:eastAsia="Calibri" w:hAnsi="Arial" w:cs="Arial"/>
          <w:bCs/>
          <w:kern w:val="2"/>
        </w:rPr>
        <w:t xml:space="preserve">, Z., &amp; </w:t>
      </w:r>
      <w:proofErr w:type="spellStart"/>
      <w:r w:rsidR="00426AF2" w:rsidRPr="00426AF2">
        <w:rPr>
          <w:rFonts w:ascii="Arial" w:eastAsia="Calibri" w:hAnsi="Arial" w:cs="Arial"/>
          <w:bCs/>
          <w:kern w:val="2"/>
        </w:rPr>
        <w:t>Kalinganire</w:t>
      </w:r>
      <w:proofErr w:type="spellEnd"/>
      <w:r w:rsidR="00426AF2" w:rsidRPr="00426AF2">
        <w:rPr>
          <w:rFonts w:ascii="Arial" w:eastAsia="Calibri" w:hAnsi="Arial" w:cs="Arial"/>
          <w:bCs/>
          <w:kern w:val="2"/>
        </w:rPr>
        <w:t xml:space="preserve">, A. (2004). Fine root distribution of pruned trees and associated crops in a parkland in Burkina Faso. Agroforestry Systems </w:t>
      </w:r>
      <w:hyperlink r:id="rId59" w:history="1">
        <w:r w:rsidR="00426AF2" w:rsidRPr="00115A87">
          <w:rPr>
            <w:rStyle w:val="Hyperlink"/>
            <w:rFonts w:ascii="Arial" w:eastAsia="Calibri" w:hAnsi="Arial" w:cs="Arial"/>
            <w:bCs/>
            <w:kern w:val="2"/>
          </w:rPr>
          <w:t>https://doi.org/10.1023/B:AGFO.0000009401.96309.12</w:t>
        </w:r>
      </w:hyperlink>
      <w:r w:rsidR="00426AF2">
        <w:rPr>
          <w:rFonts w:ascii="Arial" w:eastAsia="Calibri" w:hAnsi="Arial" w:cs="Arial"/>
          <w:bCs/>
          <w:kern w:val="2"/>
        </w:rPr>
        <w:t xml:space="preserve"> </w:t>
      </w:r>
    </w:p>
    <w:p w14:paraId="4DA2BEE2" w14:textId="166E8286" w:rsidR="001D61B2" w:rsidRPr="001D61B2" w:rsidRDefault="001D61B2" w:rsidP="001D61B2">
      <w:pPr>
        <w:suppressAutoHyphens/>
        <w:autoSpaceDN w:val="0"/>
        <w:spacing w:before="120" w:line="276" w:lineRule="auto"/>
        <w:jc w:val="both"/>
        <w:textAlignment w:val="baseline"/>
        <w:rPr>
          <w:rFonts w:ascii="Arial" w:hAnsi="Arial" w:cs="Arial"/>
          <w:bCs/>
          <w:lang w:val="fr-FR" w:eastAsia="fr-FR"/>
        </w:rPr>
      </w:pPr>
      <w:r w:rsidRPr="001D61B2">
        <w:rPr>
          <w:rFonts w:ascii="Arial" w:hAnsi="Arial" w:cs="Arial"/>
          <w:bCs/>
          <w:lang w:eastAsia="fr-FR"/>
        </w:rPr>
        <w:t>40-</w:t>
      </w:r>
      <w:r w:rsidR="00204883" w:rsidRPr="00204883">
        <w:rPr>
          <w:rFonts w:ascii="Arial" w:hAnsi="Arial" w:cs="Arial"/>
          <w:bCs/>
          <w:lang w:eastAsia="fr-FR"/>
        </w:rPr>
        <w:t xml:space="preserve">Clermont-Dauphin, C., </w:t>
      </w:r>
      <w:proofErr w:type="spellStart"/>
      <w:r w:rsidR="00204883" w:rsidRPr="00204883">
        <w:rPr>
          <w:rFonts w:ascii="Arial" w:hAnsi="Arial" w:cs="Arial"/>
          <w:bCs/>
          <w:lang w:eastAsia="fr-FR"/>
        </w:rPr>
        <w:t>Séguis</w:t>
      </w:r>
      <w:proofErr w:type="spellEnd"/>
      <w:r w:rsidR="00204883" w:rsidRPr="00204883">
        <w:rPr>
          <w:rFonts w:ascii="Arial" w:hAnsi="Arial" w:cs="Arial"/>
          <w:bCs/>
          <w:lang w:eastAsia="fr-FR"/>
        </w:rPr>
        <w:t xml:space="preserve">, L., </w:t>
      </w:r>
      <w:proofErr w:type="spellStart"/>
      <w:r w:rsidR="00204883" w:rsidRPr="00204883">
        <w:rPr>
          <w:rFonts w:ascii="Arial" w:hAnsi="Arial" w:cs="Arial"/>
          <w:bCs/>
          <w:lang w:eastAsia="fr-FR"/>
        </w:rPr>
        <w:t>Velluet</w:t>
      </w:r>
      <w:proofErr w:type="spellEnd"/>
      <w:r w:rsidR="00204883" w:rsidRPr="00204883">
        <w:rPr>
          <w:rFonts w:ascii="Arial" w:hAnsi="Arial" w:cs="Arial"/>
          <w:bCs/>
          <w:lang w:eastAsia="fr-FR"/>
        </w:rPr>
        <w:t xml:space="preserve">, C., </w:t>
      </w:r>
      <w:proofErr w:type="spellStart"/>
      <w:r w:rsidR="00204883" w:rsidRPr="00204883">
        <w:rPr>
          <w:rFonts w:ascii="Arial" w:hAnsi="Arial" w:cs="Arial"/>
          <w:bCs/>
          <w:lang w:eastAsia="fr-FR"/>
        </w:rPr>
        <w:t>Degbé</w:t>
      </w:r>
      <w:proofErr w:type="spellEnd"/>
      <w:r w:rsidR="00204883" w:rsidRPr="00204883">
        <w:rPr>
          <w:rFonts w:ascii="Arial" w:hAnsi="Arial" w:cs="Arial"/>
          <w:bCs/>
          <w:lang w:eastAsia="fr-FR"/>
        </w:rPr>
        <w:t xml:space="preserve">, M., </w:t>
      </w:r>
      <w:proofErr w:type="spellStart"/>
      <w:r w:rsidR="00204883" w:rsidRPr="00204883">
        <w:rPr>
          <w:rFonts w:ascii="Arial" w:hAnsi="Arial" w:cs="Arial"/>
          <w:bCs/>
          <w:lang w:eastAsia="fr-FR"/>
        </w:rPr>
        <w:t>Cournac</w:t>
      </w:r>
      <w:proofErr w:type="spellEnd"/>
      <w:r w:rsidR="00204883" w:rsidRPr="00204883">
        <w:rPr>
          <w:rFonts w:ascii="Arial" w:hAnsi="Arial" w:cs="Arial"/>
          <w:bCs/>
          <w:lang w:eastAsia="fr-FR"/>
        </w:rPr>
        <w:t xml:space="preserve">, L., &amp; </w:t>
      </w:r>
      <w:proofErr w:type="spellStart"/>
      <w:r w:rsidR="00204883" w:rsidRPr="00204883">
        <w:rPr>
          <w:rFonts w:ascii="Arial" w:hAnsi="Arial" w:cs="Arial"/>
          <w:bCs/>
          <w:lang w:eastAsia="fr-FR"/>
        </w:rPr>
        <w:t>Seghieri</w:t>
      </w:r>
      <w:proofErr w:type="spellEnd"/>
      <w:r w:rsidR="00204883" w:rsidRPr="00204883">
        <w:rPr>
          <w:rFonts w:ascii="Arial" w:hAnsi="Arial" w:cs="Arial"/>
          <w:bCs/>
          <w:lang w:eastAsia="fr-FR"/>
        </w:rPr>
        <w:t xml:space="preserve">, J. (2019). Impacts du </w:t>
      </w:r>
      <w:proofErr w:type="spellStart"/>
      <w:r w:rsidR="00204883" w:rsidRPr="00204883">
        <w:rPr>
          <w:rFonts w:ascii="Arial" w:hAnsi="Arial" w:cs="Arial"/>
          <w:bCs/>
          <w:lang w:eastAsia="fr-FR"/>
        </w:rPr>
        <w:t>karité</w:t>
      </w:r>
      <w:proofErr w:type="spellEnd"/>
      <w:r w:rsidR="00204883" w:rsidRPr="00204883">
        <w:rPr>
          <w:rFonts w:ascii="Arial" w:hAnsi="Arial" w:cs="Arial"/>
          <w:bCs/>
          <w:lang w:eastAsia="fr-FR"/>
        </w:rPr>
        <w:t xml:space="preserve"> sur les </w:t>
      </w:r>
      <w:proofErr w:type="spellStart"/>
      <w:r w:rsidR="00204883" w:rsidRPr="00204883">
        <w:rPr>
          <w:rFonts w:ascii="Arial" w:hAnsi="Arial" w:cs="Arial"/>
          <w:bCs/>
          <w:lang w:eastAsia="fr-FR"/>
        </w:rPr>
        <w:t>ressources</w:t>
      </w:r>
      <w:proofErr w:type="spellEnd"/>
      <w:r w:rsidR="00204883" w:rsidRPr="00204883">
        <w:rPr>
          <w:rFonts w:ascii="Arial" w:hAnsi="Arial" w:cs="Arial"/>
          <w:bCs/>
          <w:lang w:eastAsia="fr-FR"/>
        </w:rPr>
        <w:t xml:space="preserve"> du sol et la production </w:t>
      </w:r>
      <w:proofErr w:type="spellStart"/>
      <w:r w:rsidR="00204883" w:rsidRPr="00204883">
        <w:rPr>
          <w:rFonts w:ascii="Arial" w:hAnsi="Arial" w:cs="Arial"/>
          <w:bCs/>
          <w:lang w:eastAsia="fr-FR"/>
        </w:rPr>
        <w:t>d'une</w:t>
      </w:r>
      <w:proofErr w:type="spellEnd"/>
      <w:r w:rsidR="00204883" w:rsidRPr="00204883">
        <w:rPr>
          <w:rFonts w:ascii="Arial" w:hAnsi="Arial" w:cs="Arial"/>
          <w:bCs/>
          <w:lang w:eastAsia="fr-FR"/>
        </w:rPr>
        <w:t xml:space="preserve"> culture de </w:t>
      </w:r>
      <w:proofErr w:type="spellStart"/>
      <w:r w:rsidR="00204883" w:rsidRPr="00204883">
        <w:rPr>
          <w:rFonts w:ascii="Arial" w:hAnsi="Arial" w:cs="Arial"/>
          <w:bCs/>
          <w:lang w:eastAsia="fr-FR"/>
        </w:rPr>
        <w:t>maïs</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associée</w:t>
      </w:r>
      <w:proofErr w:type="spellEnd"/>
      <w:r w:rsidR="00204883" w:rsidRPr="00204883">
        <w:rPr>
          <w:rFonts w:ascii="Arial" w:hAnsi="Arial" w:cs="Arial"/>
          <w:bCs/>
          <w:lang w:eastAsia="fr-FR"/>
        </w:rPr>
        <w:t xml:space="preserve"> dans un parc </w:t>
      </w:r>
      <w:proofErr w:type="spellStart"/>
      <w:r w:rsidR="00204883" w:rsidRPr="00204883">
        <w:rPr>
          <w:rFonts w:ascii="Arial" w:hAnsi="Arial" w:cs="Arial"/>
          <w:bCs/>
          <w:lang w:eastAsia="fr-FR"/>
        </w:rPr>
        <w:t>agroforestier</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soudanien</w:t>
      </w:r>
      <w:proofErr w:type="spellEnd"/>
      <w:r w:rsidR="00204883" w:rsidRPr="00204883">
        <w:rPr>
          <w:rFonts w:ascii="Arial" w:hAnsi="Arial" w:cs="Arial"/>
          <w:bCs/>
          <w:lang w:eastAsia="fr-FR"/>
        </w:rPr>
        <w:t xml:space="preserve"> du Nord-Est du </w:t>
      </w:r>
      <w:proofErr w:type="spellStart"/>
      <w:r w:rsidR="00204883" w:rsidRPr="00204883">
        <w:rPr>
          <w:rFonts w:ascii="Arial" w:hAnsi="Arial" w:cs="Arial"/>
          <w:bCs/>
          <w:lang w:eastAsia="fr-FR"/>
        </w:rPr>
        <w:t>Bénin</w:t>
      </w:r>
      <w:proofErr w:type="spellEnd"/>
      <w:r w:rsidR="00204883" w:rsidRPr="00204883">
        <w:rPr>
          <w:rFonts w:ascii="Arial" w:hAnsi="Arial" w:cs="Arial"/>
          <w:bCs/>
          <w:lang w:eastAsia="fr-FR"/>
        </w:rPr>
        <w:t xml:space="preserve">. In J. </w:t>
      </w:r>
      <w:proofErr w:type="spellStart"/>
      <w:r w:rsidR="00204883" w:rsidRPr="00204883">
        <w:rPr>
          <w:rFonts w:ascii="Arial" w:hAnsi="Arial" w:cs="Arial"/>
          <w:bCs/>
          <w:lang w:eastAsia="fr-FR"/>
        </w:rPr>
        <w:t>Seghieri</w:t>
      </w:r>
      <w:proofErr w:type="spellEnd"/>
      <w:r w:rsidR="00204883" w:rsidRPr="00204883">
        <w:rPr>
          <w:rFonts w:ascii="Arial" w:hAnsi="Arial" w:cs="Arial"/>
          <w:bCs/>
          <w:lang w:eastAsia="fr-FR"/>
        </w:rPr>
        <w:t xml:space="preserve"> &amp; J.-M. </w:t>
      </w:r>
      <w:proofErr w:type="spellStart"/>
      <w:r w:rsidR="00204883" w:rsidRPr="00204883">
        <w:rPr>
          <w:rFonts w:ascii="Arial" w:hAnsi="Arial" w:cs="Arial"/>
          <w:bCs/>
          <w:lang w:eastAsia="fr-FR"/>
        </w:rPr>
        <w:t>Harmand</w:t>
      </w:r>
      <w:proofErr w:type="spellEnd"/>
      <w:r w:rsidR="00204883" w:rsidRPr="00204883">
        <w:rPr>
          <w:rFonts w:ascii="Arial" w:hAnsi="Arial" w:cs="Arial"/>
          <w:bCs/>
          <w:lang w:eastAsia="fr-FR"/>
        </w:rPr>
        <w:t xml:space="preserve"> (Eds.), </w:t>
      </w:r>
      <w:proofErr w:type="spellStart"/>
      <w:r w:rsidR="00204883" w:rsidRPr="00204883">
        <w:rPr>
          <w:rFonts w:ascii="Arial" w:hAnsi="Arial" w:cs="Arial"/>
          <w:bCs/>
          <w:lang w:eastAsia="fr-FR"/>
        </w:rPr>
        <w:t>Agroforesterie</w:t>
      </w:r>
      <w:proofErr w:type="spellEnd"/>
      <w:r w:rsidR="00204883" w:rsidRPr="00204883">
        <w:rPr>
          <w:rFonts w:ascii="Arial" w:hAnsi="Arial" w:cs="Arial"/>
          <w:bCs/>
          <w:lang w:eastAsia="fr-FR"/>
        </w:rPr>
        <w:t xml:space="preserve"> et services </w:t>
      </w:r>
      <w:proofErr w:type="spellStart"/>
      <w:r w:rsidR="00204883" w:rsidRPr="00204883">
        <w:rPr>
          <w:rFonts w:ascii="Arial" w:hAnsi="Arial" w:cs="Arial"/>
          <w:bCs/>
          <w:lang w:eastAsia="fr-FR"/>
        </w:rPr>
        <w:t>écosystémiques</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en</w:t>
      </w:r>
      <w:proofErr w:type="spellEnd"/>
      <w:r w:rsidR="00204883" w:rsidRPr="00204883">
        <w:rPr>
          <w:rFonts w:ascii="Arial" w:hAnsi="Arial" w:cs="Arial"/>
          <w:bCs/>
          <w:lang w:eastAsia="fr-FR"/>
        </w:rPr>
        <w:t xml:space="preserve"> zone </w:t>
      </w:r>
      <w:proofErr w:type="spellStart"/>
      <w:r w:rsidR="00204883" w:rsidRPr="00204883">
        <w:rPr>
          <w:rFonts w:ascii="Arial" w:hAnsi="Arial" w:cs="Arial"/>
          <w:bCs/>
          <w:lang w:eastAsia="fr-FR"/>
        </w:rPr>
        <w:t>tropicale</w:t>
      </w:r>
      <w:proofErr w:type="spellEnd"/>
      <w:r w:rsidR="00204883" w:rsidRPr="00204883">
        <w:rPr>
          <w:rFonts w:ascii="Arial" w:hAnsi="Arial" w:cs="Arial"/>
          <w:bCs/>
          <w:lang w:eastAsia="fr-FR"/>
        </w:rPr>
        <w:t xml:space="preserve"> (pp. 159-172). Éditions </w:t>
      </w:r>
      <w:proofErr w:type="spellStart"/>
      <w:r w:rsidR="00204883" w:rsidRPr="00204883">
        <w:rPr>
          <w:rFonts w:ascii="Arial" w:hAnsi="Arial" w:cs="Arial"/>
          <w:bCs/>
          <w:lang w:eastAsia="fr-FR"/>
        </w:rPr>
        <w:t>Quae</w:t>
      </w:r>
      <w:proofErr w:type="spellEnd"/>
      <w:r w:rsidR="00204883" w:rsidRPr="00204883">
        <w:rPr>
          <w:rFonts w:ascii="Arial" w:hAnsi="Arial" w:cs="Arial"/>
          <w:bCs/>
          <w:lang w:eastAsia="fr-FR"/>
        </w:rPr>
        <w:t xml:space="preserve">. </w:t>
      </w:r>
      <w:hyperlink r:id="rId60" w:history="1">
        <w:r w:rsidR="00204883" w:rsidRPr="00115A87">
          <w:rPr>
            <w:rStyle w:val="Hyperlink"/>
            <w:rFonts w:ascii="Arial" w:hAnsi="Arial" w:cs="Arial"/>
            <w:bCs/>
            <w:lang w:eastAsia="fr-FR"/>
          </w:rPr>
          <w:t>https://doi.org/10.35690/978-2-7592-3059-4</w:t>
        </w:r>
      </w:hyperlink>
      <w:r w:rsidR="00204883">
        <w:rPr>
          <w:rFonts w:ascii="Arial" w:hAnsi="Arial" w:cs="Arial"/>
          <w:bCs/>
          <w:lang w:eastAsia="fr-FR"/>
        </w:rPr>
        <w:t xml:space="preserve"> </w:t>
      </w:r>
    </w:p>
    <w:p w14:paraId="7781C32F"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bCs/>
          <w:kern w:val="2"/>
          <w:lang w:val="fr-FR"/>
        </w:rPr>
        <w:t xml:space="preserve">41-Dossa, G. L. Y., </w:t>
      </w:r>
      <w:proofErr w:type="spellStart"/>
      <w:r w:rsidRPr="001D61B2">
        <w:rPr>
          <w:rFonts w:ascii="Arial" w:eastAsia="Calibri" w:hAnsi="Arial" w:cs="Arial"/>
          <w:bCs/>
          <w:kern w:val="2"/>
          <w:lang w:val="fr-FR"/>
        </w:rPr>
        <w:t>Sinsin</w:t>
      </w:r>
      <w:proofErr w:type="spellEnd"/>
      <w:r w:rsidRPr="001D61B2">
        <w:rPr>
          <w:rFonts w:ascii="Arial" w:eastAsia="Calibri" w:hAnsi="Arial" w:cs="Arial"/>
          <w:bCs/>
          <w:kern w:val="2"/>
          <w:lang w:val="fr-FR"/>
        </w:rPr>
        <w:t xml:space="preserve">, B., &amp; </w:t>
      </w:r>
      <w:proofErr w:type="spellStart"/>
      <w:r w:rsidRPr="001D61B2">
        <w:rPr>
          <w:rFonts w:ascii="Arial" w:eastAsia="Calibri" w:hAnsi="Arial" w:cs="Arial"/>
          <w:bCs/>
          <w:kern w:val="2"/>
          <w:lang w:val="fr-FR"/>
        </w:rPr>
        <w:t>Teklehaimanot</w:t>
      </w:r>
      <w:proofErr w:type="spellEnd"/>
      <w:r w:rsidRPr="001D61B2">
        <w:rPr>
          <w:rFonts w:ascii="Arial" w:eastAsia="Calibri" w:hAnsi="Arial" w:cs="Arial"/>
          <w:bCs/>
          <w:kern w:val="2"/>
          <w:lang w:val="fr-FR"/>
        </w:rPr>
        <w:t>, Z. (2008).</w:t>
      </w:r>
      <w:r w:rsidRPr="001D61B2">
        <w:rPr>
          <w:rFonts w:ascii="Arial" w:eastAsia="Calibri" w:hAnsi="Arial" w:cs="Arial"/>
          <w:kern w:val="2"/>
          <w:lang w:val="fr-FR"/>
        </w:rPr>
        <w:t xml:space="preserve"> </w:t>
      </w:r>
      <w:r w:rsidRPr="001D61B2">
        <w:rPr>
          <w:rFonts w:ascii="Arial" w:eastAsia="Calibri" w:hAnsi="Arial" w:cs="Arial"/>
          <w:kern w:val="2"/>
        </w:rPr>
        <w:t xml:space="preserve">Productivity of cotton and sorghum in an agroforestry system of shea trees </w:t>
      </w:r>
      <w:r w:rsidRPr="001D61B2">
        <w:rPr>
          <w:rFonts w:ascii="Arial" w:eastAsia="Calibri" w:hAnsi="Arial" w:cs="Arial"/>
          <w:i/>
          <w:kern w:val="2"/>
        </w:rPr>
        <w:t xml:space="preserve">Vitellaria </w:t>
      </w:r>
      <w:proofErr w:type="spellStart"/>
      <w:r w:rsidRPr="001D61B2">
        <w:rPr>
          <w:rFonts w:ascii="Arial" w:eastAsia="Calibri" w:hAnsi="Arial" w:cs="Arial"/>
          <w:i/>
          <w:kern w:val="2"/>
        </w:rPr>
        <w:t>paradoxa</w:t>
      </w:r>
      <w:proofErr w:type="spellEnd"/>
      <w:r w:rsidRPr="001D61B2">
        <w:rPr>
          <w:rFonts w:ascii="Arial" w:eastAsia="Calibri" w:hAnsi="Arial" w:cs="Arial"/>
          <w:kern w:val="2"/>
        </w:rPr>
        <w:t xml:space="preserve"> </w:t>
      </w:r>
      <w:proofErr w:type="spellStart"/>
      <w:r w:rsidRPr="001D61B2">
        <w:rPr>
          <w:rFonts w:ascii="Arial" w:eastAsia="Calibri" w:hAnsi="Arial" w:cs="Arial"/>
          <w:kern w:val="2"/>
        </w:rPr>
        <w:t>Gaertn</w:t>
      </w:r>
      <w:proofErr w:type="spellEnd"/>
      <w:r w:rsidRPr="001D61B2">
        <w:rPr>
          <w:rFonts w:ascii="Arial" w:eastAsia="Calibri" w:hAnsi="Arial" w:cs="Arial"/>
          <w:kern w:val="2"/>
        </w:rPr>
        <w:t xml:space="preserve">) in northern Benin. </w:t>
      </w:r>
      <w:r w:rsidRPr="001D61B2">
        <w:rPr>
          <w:rFonts w:ascii="Arial" w:eastAsia="Calibri" w:hAnsi="Arial" w:cs="Arial"/>
          <w:bCs/>
          <w:i/>
          <w:iCs/>
          <w:kern w:val="2"/>
        </w:rPr>
        <w:t>Journal of Agriculture and Biological Sciences, 4</w:t>
      </w:r>
      <w:r w:rsidRPr="001D61B2">
        <w:rPr>
          <w:rFonts w:ascii="Arial" w:eastAsia="Calibri" w:hAnsi="Arial" w:cs="Arial"/>
          <w:kern w:val="2"/>
        </w:rPr>
        <w:t>(4), 169-178.</w:t>
      </w:r>
    </w:p>
    <w:p w14:paraId="4829CF2B" w14:textId="77777777" w:rsidR="00B01FCD" w:rsidRPr="005863FD" w:rsidRDefault="001D61B2" w:rsidP="005863FD">
      <w:pPr>
        <w:pStyle w:val="Body"/>
        <w:spacing w:after="0"/>
        <w:rPr>
          <w:lang w:val="en-GB"/>
        </w:rPr>
      </w:pPr>
      <w:r w:rsidRPr="001D61B2">
        <w:rPr>
          <w:rFonts w:ascii="Arial" w:eastAsia="Calibri" w:hAnsi="Arial" w:cs="Arial"/>
          <w:bCs/>
          <w:kern w:val="2"/>
        </w:rPr>
        <w:t xml:space="preserve">42-Bayala, J., Mohn, H. C., Ouédraogo, S. J., &amp; </w:t>
      </w:r>
      <w:proofErr w:type="spellStart"/>
      <w:r w:rsidRPr="001D61B2">
        <w:rPr>
          <w:rFonts w:ascii="Arial" w:eastAsia="Calibri" w:hAnsi="Arial" w:cs="Arial"/>
          <w:bCs/>
          <w:kern w:val="2"/>
        </w:rPr>
        <w:t>Zombré</w:t>
      </w:r>
      <w:proofErr w:type="spellEnd"/>
      <w:r w:rsidRPr="001D61B2">
        <w:rPr>
          <w:rFonts w:ascii="Arial" w:eastAsia="Calibri" w:hAnsi="Arial" w:cs="Arial"/>
          <w:bCs/>
          <w:kern w:val="2"/>
        </w:rPr>
        <w:t>, N. P. (2006).</w:t>
      </w:r>
      <w:r w:rsidRPr="001D61B2">
        <w:rPr>
          <w:rFonts w:ascii="Arial" w:eastAsia="Calibri" w:hAnsi="Arial" w:cs="Arial"/>
          <w:kern w:val="2"/>
        </w:rPr>
        <w:t xml:space="preserve"> Above- and below-ground impacts of </w:t>
      </w:r>
      <w:r w:rsidRPr="001D61B2">
        <w:rPr>
          <w:rFonts w:ascii="Arial" w:eastAsia="Calibri" w:hAnsi="Arial" w:cs="Arial"/>
          <w:i/>
          <w:kern w:val="2"/>
        </w:rPr>
        <w:t xml:space="preserve">Vitellaria </w:t>
      </w:r>
      <w:proofErr w:type="spellStart"/>
      <w:r w:rsidRPr="001D61B2">
        <w:rPr>
          <w:rFonts w:ascii="Arial" w:eastAsia="Calibri" w:hAnsi="Arial" w:cs="Arial"/>
          <w:i/>
          <w:kern w:val="2"/>
        </w:rPr>
        <w:t>paradoxa</w:t>
      </w:r>
      <w:proofErr w:type="spellEnd"/>
      <w:r w:rsidRPr="001D61B2">
        <w:rPr>
          <w:rFonts w:ascii="Arial" w:eastAsia="Calibri" w:hAnsi="Arial" w:cs="Arial"/>
          <w:kern w:val="2"/>
        </w:rPr>
        <w:t xml:space="preserve"> (</w:t>
      </w:r>
      <w:proofErr w:type="spellStart"/>
      <w:r w:rsidRPr="001D61B2">
        <w:rPr>
          <w:rFonts w:ascii="Arial" w:eastAsia="Calibri" w:hAnsi="Arial" w:cs="Arial"/>
          <w:kern w:val="2"/>
        </w:rPr>
        <w:t>Gaertn</w:t>
      </w:r>
      <w:proofErr w:type="spellEnd"/>
      <w:r w:rsidRPr="001D61B2">
        <w:rPr>
          <w:rFonts w:ascii="Arial" w:eastAsia="Calibri" w:hAnsi="Arial" w:cs="Arial"/>
          <w:kern w:val="2"/>
        </w:rPr>
        <w:t xml:space="preserve">.) on soil properties and </w:t>
      </w:r>
      <w:r w:rsidRPr="001D61B2">
        <w:rPr>
          <w:rFonts w:ascii="Arial" w:eastAsia="Calibri" w:hAnsi="Arial" w:cs="Arial"/>
          <w:i/>
          <w:kern w:val="2"/>
        </w:rPr>
        <w:t>Sorghum bicolor</w:t>
      </w:r>
      <w:r w:rsidRPr="001D61B2">
        <w:rPr>
          <w:rFonts w:ascii="Arial" w:eastAsia="Calibri" w:hAnsi="Arial" w:cs="Arial"/>
          <w:kern w:val="2"/>
        </w:rPr>
        <w:t xml:space="preserve"> (L.) Moench in Burkina Faso. </w:t>
      </w:r>
      <w:r w:rsidRPr="001D61B2">
        <w:rPr>
          <w:rFonts w:ascii="Arial" w:eastAsia="Calibri" w:hAnsi="Arial" w:cs="Arial"/>
          <w:bCs/>
          <w:i/>
          <w:iCs/>
          <w:kern w:val="2"/>
        </w:rPr>
        <w:t>Nutrient Cycling in Agroecosystems, 74</w:t>
      </w:r>
      <w:r w:rsidRPr="001D61B2">
        <w:rPr>
          <w:rFonts w:ascii="Arial" w:eastAsia="Calibri" w:hAnsi="Arial" w:cs="Arial"/>
          <w:kern w:val="2"/>
        </w:rPr>
        <w:t>(3), 223-231</w:t>
      </w:r>
      <w:r w:rsidR="00287E68" w:rsidRPr="00287E68">
        <w:rPr>
          <w:lang w:val="en-GB"/>
        </w:rPr>
        <w:t>.</w:t>
      </w:r>
    </w:p>
    <w:sectPr w:rsidR="00B01FCD" w:rsidRPr="005863FD" w:rsidSect="00497FF9">
      <w:headerReference w:type="even" r:id="rId61"/>
      <w:headerReference w:type="default" r:id="rId62"/>
      <w:footerReference w:type="default" r:id="rId63"/>
      <w:headerReference w:type="first" r:id="rId6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5-12-09T22:20:00Z" w:initials="H">
    <w:p w14:paraId="0C6F0DDB" w14:textId="371A308C" w:rsidR="0050535E" w:rsidRDefault="0050535E">
      <w:pPr>
        <w:pStyle w:val="CommentText"/>
      </w:pPr>
      <w:r>
        <w:rPr>
          <w:rStyle w:val="CommentReference"/>
        </w:rPr>
        <w:annotationRef/>
      </w:r>
      <w:r>
        <w:t>Italic</w:t>
      </w:r>
    </w:p>
  </w:comment>
  <w:comment w:id="0" w:author="HP" w:date="2025-12-09T20:06:00Z" w:initials="H">
    <w:p w14:paraId="606DAEB9" w14:textId="2E629541" w:rsidR="00A05DAF" w:rsidRDefault="00A05DAF">
      <w:pPr>
        <w:pStyle w:val="CommentText"/>
      </w:pPr>
      <w:r>
        <w:rPr>
          <w:rStyle w:val="CommentReference"/>
        </w:rPr>
        <w:annotationRef/>
      </w:r>
      <w:r w:rsidR="00616994" w:rsidRPr="00616994">
        <w:t>The current title is suitable; however, I also suggest the following alternative for consideration: “Root Biomass Distribution in Shea Tree (</w:t>
      </w:r>
      <w:r w:rsidR="00616994" w:rsidRPr="00616994">
        <w:rPr>
          <w:i/>
        </w:rPr>
        <w:t>Vitellaria paradoxa)</w:t>
      </w:r>
      <w:r w:rsidR="00616994" w:rsidRPr="00616994">
        <w:t xml:space="preserve"> Parklands of the Southern Sudanian Zone, Burkina Faso.”</w:t>
      </w:r>
    </w:p>
  </w:comment>
  <w:comment w:id="2" w:author="HP" w:date="2025-12-09T20:08:00Z" w:initials="H">
    <w:p w14:paraId="5EE0751D" w14:textId="531C0DB4" w:rsidR="003F58C2" w:rsidRDefault="003F58C2">
      <w:pPr>
        <w:pStyle w:val="CommentText"/>
      </w:pPr>
      <w:r>
        <w:rPr>
          <w:rStyle w:val="CommentReference"/>
        </w:rPr>
        <w:annotationRef/>
      </w:r>
      <w:r>
        <w:t xml:space="preserve">Please set the excat distance in meter between </w:t>
      </w:r>
      <w:r w:rsidR="00DE113C">
        <w:t>the two samppling points (</w:t>
      </w:r>
      <w:r>
        <w:t>the distance</w:t>
      </w:r>
      <w:r w:rsidR="00DE113C">
        <w:t xml:space="preserve"> </w:t>
      </w:r>
      <w:r>
        <w:t>under the canopy and out side the canopy</w:t>
      </w:r>
      <w:r w:rsidR="00DE113C">
        <w:t>).</w:t>
      </w:r>
    </w:p>
  </w:comment>
  <w:comment w:id="3" w:author="HP" w:date="2025-12-09T20:10:00Z" w:initials="H">
    <w:p w14:paraId="48770F97" w14:textId="190EFFE4" w:rsidR="002C1DA7" w:rsidRDefault="002C1DA7">
      <w:pPr>
        <w:pStyle w:val="CommentText"/>
      </w:pPr>
      <w:r>
        <w:rPr>
          <w:rStyle w:val="CommentReference"/>
        </w:rPr>
        <w:annotationRef/>
      </w:r>
      <w:r>
        <w:t xml:space="preserve">Please check the grammar. </w:t>
      </w:r>
    </w:p>
  </w:comment>
  <w:comment w:id="4" w:author="HP" w:date="2025-12-09T20:12:00Z" w:initials="H">
    <w:p w14:paraId="1F308525" w14:textId="6C7F8E23" w:rsidR="00CC4259" w:rsidRDefault="00CC4259">
      <w:pPr>
        <w:pStyle w:val="CommentText"/>
      </w:pPr>
      <w:r>
        <w:rPr>
          <w:rStyle w:val="CommentReference"/>
        </w:rPr>
        <w:annotationRef/>
      </w:r>
      <w:r w:rsidR="00C978BE">
        <w:t xml:space="preserve">Check this </w:t>
      </w:r>
      <w:r w:rsidR="001C7D1F">
        <w:t>measurment</w:t>
      </w:r>
      <w:r w:rsidR="00C978BE">
        <w:t xml:space="preserve"> unit. </w:t>
      </w:r>
    </w:p>
  </w:comment>
  <w:comment w:id="5" w:author="HP" w:date="2025-12-10T10:11:00Z" w:initials="H">
    <w:p w14:paraId="37EA2834" w14:textId="37A34A7A" w:rsidR="006D246A" w:rsidRDefault="006D246A">
      <w:pPr>
        <w:pStyle w:val="CommentText"/>
      </w:pPr>
      <w:r>
        <w:rPr>
          <w:rStyle w:val="CommentReference"/>
        </w:rPr>
        <w:annotationRef/>
      </w:r>
      <w:r w:rsidR="00746F81" w:rsidRPr="00746F81">
        <w:t>The introduction is generally well written; however, it needs to be strengthened for better consistency and logical flow. The progression from the global context to the specific research gap is shallow and should be expanded to clearly highlight what is known and what remains unaddressed in the study area. Additionally, several of the cited references are outdated; therefore, incorporating more recent and relevant literature will enhance the scientific grounding and relevance of the introduction.</w:t>
      </w:r>
    </w:p>
    <w:p w14:paraId="1D28D8B9" w14:textId="77777777" w:rsidR="00746F81" w:rsidRDefault="00746F81">
      <w:pPr>
        <w:pStyle w:val="CommentText"/>
      </w:pPr>
    </w:p>
    <w:p w14:paraId="4490CFD4" w14:textId="3F836A09" w:rsidR="00746F81" w:rsidRDefault="00746F81">
      <w:pPr>
        <w:pStyle w:val="CommentText"/>
      </w:pPr>
    </w:p>
  </w:comment>
  <w:comment w:id="6" w:author="HP" w:date="2025-12-09T20:14:00Z" w:initials="H">
    <w:p w14:paraId="79CD5924" w14:textId="34F2568D" w:rsidR="00E27BF8" w:rsidRDefault="00E27BF8">
      <w:pPr>
        <w:pStyle w:val="CommentText"/>
      </w:pPr>
      <w:r>
        <w:rPr>
          <w:rStyle w:val="CommentReference"/>
        </w:rPr>
        <w:annotationRef/>
      </w:r>
    </w:p>
  </w:comment>
  <w:comment w:id="7" w:author="HP" w:date="2025-12-10T11:01:00Z" w:initials="H">
    <w:p w14:paraId="1CE95F4B" w14:textId="1E1D919B" w:rsidR="00220BAD" w:rsidRDefault="00220BAD">
      <w:pPr>
        <w:pStyle w:val="CommentText"/>
      </w:pPr>
      <w:r>
        <w:rPr>
          <w:rStyle w:val="CommentReference"/>
        </w:rPr>
        <w:annotationRef/>
      </w:r>
      <w:r>
        <w:t xml:space="preserve">Please substitute </w:t>
      </w:r>
      <w:r w:rsidR="00CA1F38">
        <w:t>with ‘study area description’ for</w:t>
      </w:r>
      <w:r w:rsidR="00CA1F38" w:rsidRPr="00CA1F38">
        <w:t xml:space="preserve"> more comprehensive and accurate version.</w:t>
      </w:r>
    </w:p>
  </w:comment>
  <w:comment w:id="8" w:author="HP" w:date="2025-12-09T21:58:00Z" w:initials="H">
    <w:p w14:paraId="2AD350BF" w14:textId="3A460A68" w:rsidR="00F238D2" w:rsidRDefault="00927E2A" w:rsidP="00F238D2">
      <w:pPr>
        <w:pStyle w:val="CommentText"/>
      </w:pPr>
      <w:r>
        <w:rPr>
          <w:rStyle w:val="CommentReference"/>
        </w:rPr>
        <w:annotationRef/>
      </w:r>
    </w:p>
    <w:p w14:paraId="247C85EB" w14:textId="77777777" w:rsidR="00F238D2" w:rsidRDefault="00F238D2" w:rsidP="00927E2A">
      <w:pPr>
        <w:pStyle w:val="CommentText"/>
      </w:pPr>
      <w:r w:rsidRPr="00F238D2">
        <w:t xml:space="preserve">The site description section should provide comprehensive and relevant information about the study area, including vegetation types, climatic conditions, soil characteristics, topography, and prevailing agricultural practices, all supported by credible references. </w:t>
      </w:r>
    </w:p>
    <w:p w14:paraId="6C03CEED" w14:textId="77777777" w:rsidR="00F238D2" w:rsidRDefault="00F238D2" w:rsidP="00927E2A">
      <w:pPr>
        <w:pStyle w:val="CommentText"/>
      </w:pPr>
    </w:p>
    <w:p w14:paraId="7C2467B4" w14:textId="582A5B77" w:rsidR="00E37205" w:rsidRDefault="00F238D2" w:rsidP="00927E2A">
      <w:pPr>
        <w:pStyle w:val="CommentText"/>
      </w:pPr>
      <w:r w:rsidRPr="00F238D2">
        <w:t>Additionally, the manuscript should include a clear description of the selected tree species and its socio-economic importance in the region. Strengthening these components will enhance the context and overall quality of the study.</w:t>
      </w:r>
    </w:p>
  </w:comment>
  <w:comment w:id="9" w:author="HP" w:date="2025-12-09T22:09:00Z" w:initials="H">
    <w:p w14:paraId="6906141E" w14:textId="7EA811D1" w:rsidR="00365155" w:rsidRDefault="00365155">
      <w:pPr>
        <w:pStyle w:val="CommentText"/>
      </w:pPr>
      <w:r>
        <w:rPr>
          <w:rStyle w:val="CommentReference"/>
        </w:rPr>
        <w:annotationRef/>
      </w:r>
      <w:r>
        <w:t xml:space="preserve">In the sampling design, </w:t>
      </w:r>
      <w:r w:rsidR="00E168FD" w:rsidRPr="00E168FD">
        <w:t>you</w:t>
      </w:r>
      <w:r w:rsidR="00E168FD">
        <w:t xml:space="preserve"> </w:t>
      </w:r>
      <w:r w:rsidR="00E168FD" w:rsidRPr="00E168FD">
        <w:t>should</w:t>
      </w:r>
      <w:r w:rsidR="00E168FD">
        <w:t xml:space="preserve"> state which techniques you used to select the sample tree. Either systematic </w:t>
      </w:r>
      <w:r w:rsidR="00E168FD" w:rsidRPr="00E168FD">
        <w:t>random</w:t>
      </w:r>
      <w:r w:rsidR="00E168FD">
        <w:t xml:space="preserve"> or </w:t>
      </w:r>
      <w:r w:rsidR="00E168FD" w:rsidRPr="00E168FD">
        <w:t>purposive</w:t>
      </w:r>
      <w:r w:rsidR="00E168FD">
        <w:t xml:space="preserve"> sampling techniques.</w:t>
      </w:r>
    </w:p>
  </w:comment>
  <w:comment w:id="10" w:author="HP" w:date="2025-12-10T11:04:00Z" w:initials="H">
    <w:p w14:paraId="45B5B62E" w14:textId="3DC57A88" w:rsidR="00BB3505" w:rsidRDefault="00BB3505">
      <w:pPr>
        <w:pStyle w:val="CommentText"/>
      </w:pPr>
      <w:r>
        <w:rPr>
          <w:rStyle w:val="CommentReference"/>
        </w:rPr>
        <w:annotationRef/>
      </w:r>
      <w:r>
        <w:t xml:space="preserve"> </w:t>
      </w:r>
      <w:r w:rsidRPr="00BB3505">
        <w:t xml:space="preserve">I recommend specifying the exact distance from the sampled tree to </w:t>
      </w:r>
      <w:bookmarkStart w:id="11" w:name="_GoBack"/>
      <w:bookmarkEnd w:id="11"/>
      <w:r w:rsidRPr="00BB3505">
        <w:t>Z1 and Z2 to ensure clarity and consistency in the methodology.</w:t>
      </w:r>
    </w:p>
  </w:comment>
  <w:comment w:id="12" w:author="HP" w:date="2025-12-09T20:20:00Z" w:initials="H">
    <w:p w14:paraId="684BF716" w14:textId="4552F8CF" w:rsidR="00141204" w:rsidRDefault="00141204">
      <w:pPr>
        <w:pStyle w:val="CommentText"/>
      </w:pPr>
      <w:r>
        <w:rPr>
          <w:rStyle w:val="CommentReference"/>
        </w:rPr>
        <w:annotationRef/>
      </w:r>
    </w:p>
  </w:comment>
  <w:comment w:id="13" w:author="HP" w:date="2025-12-10T10:49:00Z" w:initials="H">
    <w:p w14:paraId="624D5384" w14:textId="51880408" w:rsidR="004E20E3" w:rsidRDefault="004E20E3">
      <w:pPr>
        <w:pStyle w:val="CommentText"/>
      </w:pPr>
      <w:r>
        <w:rPr>
          <w:rStyle w:val="CommentReference"/>
        </w:rPr>
        <w:annotationRef/>
      </w:r>
      <w:r w:rsidR="005E40CB" w:rsidRPr="005E40CB">
        <w:t>Please remove this section and provide a clear description of the method used to estimate root biomass, including a justification for selecting this particular approach. This will improve the transparency and scientific rigor of the methodology.</w:t>
      </w:r>
    </w:p>
  </w:comment>
  <w:comment w:id="14" w:author="HP" w:date="2025-12-09T22:13:00Z" w:initials="H">
    <w:p w14:paraId="10C08C18" w14:textId="1BFF3FA3" w:rsidR="00E168FD" w:rsidRDefault="00E168FD">
      <w:pPr>
        <w:pStyle w:val="CommentText"/>
      </w:pPr>
      <w:r>
        <w:rPr>
          <w:rStyle w:val="CommentReference"/>
        </w:rPr>
        <w:annotationRef/>
      </w:r>
      <w:r w:rsidR="005E40CB" w:rsidRPr="005E40CB">
        <w:t>Photo 2 is not described in the manuscript. Please replace it with Figure 3a, 3b, or 3c as appropriate and ensure it is properly referenced in the text.</w:t>
      </w:r>
    </w:p>
  </w:comment>
  <w:comment w:id="15" w:author="HP" w:date="2025-12-10T10:51:00Z" w:initials="H">
    <w:p w14:paraId="1B53302C" w14:textId="0449CD80" w:rsidR="004E20E3" w:rsidRDefault="004E20E3">
      <w:pPr>
        <w:pStyle w:val="CommentText"/>
      </w:pPr>
      <w:r>
        <w:rPr>
          <w:rStyle w:val="CommentReference"/>
        </w:rPr>
        <w:annotationRef/>
      </w:r>
      <w:r w:rsidR="005E40CB" w:rsidRPr="005E40CB">
        <w:t>Please clearly justify the choice of the 100 cm soil depth limit by explaining its relevance to soil characteristics and species root growth, supported with appropriate citations.</w:t>
      </w:r>
    </w:p>
  </w:comment>
  <w:comment w:id="16" w:author="HP" w:date="2025-12-10T10:56:00Z" w:initials="H">
    <w:p w14:paraId="19F44D12" w14:textId="1CF8E895" w:rsidR="00EF6D73" w:rsidRDefault="00EF6D73">
      <w:pPr>
        <w:pStyle w:val="CommentText"/>
      </w:pPr>
      <w:r>
        <w:rPr>
          <w:rStyle w:val="CommentReference"/>
        </w:rPr>
        <w:annotationRef/>
      </w:r>
      <w:r w:rsidRPr="00EF6D73">
        <w:t>Your photograph is useful for illustrating the data collection process; however, please replace it with higher-quality images to enhance clarity and presentation.</w:t>
      </w:r>
    </w:p>
  </w:comment>
  <w:comment w:id="17" w:author="HP" w:date="2025-12-09T22:17:00Z" w:initials="H">
    <w:p w14:paraId="4D0B8CF1" w14:textId="1C916BF9" w:rsidR="00E168FD" w:rsidRDefault="00E168FD">
      <w:pPr>
        <w:pStyle w:val="CommentText"/>
      </w:pPr>
      <w:r>
        <w:rPr>
          <w:rStyle w:val="CommentReference"/>
        </w:rPr>
        <w:annotationRef/>
      </w:r>
      <w:r>
        <w:t>What means this. Please check the language</w:t>
      </w:r>
    </w:p>
  </w:comment>
  <w:comment w:id="18" w:author="HP" w:date="2025-12-09T22:18:00Z" w:initials="H">
    <w:p w14:paraId="11E7EFAC" w14:textId="6A8BC833" w:rsidR="00E168FD" w:rsidRDefault="00E168FD">
      <w:pPr>
        <w:pStyle w:val="CommentText"/>
      </w:pPr>
      <w:r>
        <w:rPr>
          <w:rStyle w:val="CommentReference"/>
        </w:rPr>
        <w:annotationRef/>
      </w:r>
      <w:r>
        <w:t>Do you mean Diameter at 1.30m</w:t>
      </w:r>
      <w:r w:rsidRPr="00E168FD">
        <w:t>? Please</w:t>
      </w:r>
      <w:r>
        <w:t xml:space="preserve"> use either m or cm</w:t>
      </w:r>
    </w:p>
  </w:comment>
  <w:comment w:id="20" w:author="HP" w:date="2025-12-10T10:42:00Z" w:initials="H">
    <w:p w14:paraId="1EA6A5EF" w14:textId="18D23E5C" w:rsidR="00517FA8" w:rsidRDefault="00517FA8">
      <w:pPr>
        <w:pStyle w:val="CommentText"/>
      </w:pPr>
      <w:r>
        <w:rPr>
          <w:rStyle w:val="CommentReference"/>
        </w:rPr>
        <w:annotationRef/>
      </w:r>
      <w:r w:rsidR="00F92119">
        <w:t xml:space="preserve"> </w:t>
      </w:r>
      <w:r w:rsidR="006666A4" w:rsidRPr="006666A4">
        <w:t>Please ensure that standard weight measurement units, such as t/ha or Mg/ha, are used consistently throughout the manuscript for clarity and uniformity.</w:t>
      </w:r>
    </w:p>
  </w:comment>
  <w:comment w:id="21" w:author="HP" w:date="2025-12-10T11:10:00Z" w:initials="H">
    <w:p w14:paraId="00D85168" w14:textId="11835FC4" w:rsidR="000D3F5D" w:rsidRDefault="000D3F5D">
      <w:pPr>
        <w:pStyle w:val="CommentText"/>
      </w:pPr>
      <w:r>
        <w:rPr>
          <w:rStyle w:val="CommentReference"/>
        </w:rPr>
        <w:annotationRef/>
      </w:r>
      <w:r>
        <w:t xml:space="preserve">The scientific names should be italic through out the manuscript. </w:t>
      </w:r>
    </w:p>
  </w:comment>
  <w:comment w:id="22" w:author="HP" w:date="2025-12-10T11:08:00Z" w:initials="H">
    <w:p w14:paraId="544CE407" w14:textId="3B2FEA9F" w:rsidR="001F3617" w:rsidRDefault="001F3617">
      <w:pPr>
        <w:pStyle w:val="CommentText"/>
      </w:pPr>
      <w:r>
        <w:rPr>
          <w:rStyle w:val="CommentReference"/>
        </w:rPr>
        <w:annotationRef/>
      </w:r>
      <w:r w:rsidRPr="001F3617">
        <w:t>Please use either “Shea tree” or V. paradoxa consistently throughout the manuscript to maintain clarity and uniformity in reporting.</w:t>
      </w:r>
    </w:p>
  </w:comment>
  <w:comment w:id="23" w:author="HP" w:date="2025-12-10T11:07:00Z" w:initials="H">
    <w:p w14:paraId="6AFE1ECB" w14:textId="12BA736E" w:rsidR="005C16EE" w:rsidRDefault="005C16EE">
      <w:pPr>
        <w:pStyle w:val="CommentText"/>
      </w:pPr>
      <w:r>
        <w:rPr>
          <w:rStyle w:val="CommentReference"/>
        </w:rPr>
        <w:annotationRef/>
      </w:r>
      <w:r>
        <w:t xml:space="preserve">Please subsititute as Conclusion and Recommendations. </w:t>
      </w:r>
    </w:p>
  </w:comment>
  <w:comment w:id="24" w:author="HP" w:date="2025-12-09T20:17:00Z" w:initials="H">
    <w:p w14:paraId="498AD8DB" w14:textId="6EAE160F" w:rsidR="00456285" w:rsidRDefault="0045628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F0DDB" w15:done="0"/>
  <w15:commentEx w15:paraId="606DAEB9" w15:done="0"/>
  <w15:commentEx w15:paraId="5EE0751D" w15:done="0"/>
  <w15:commentEx w15:paraId="48770F97" w15:done="0"/>
  <w15:commentEx w15:paraId="1F308525" w15:done="0"/>
  <w15:commentEx w15:paraId="4490CFD4" w15:done="0"/>
  <w15:commentEx w15:paraId="79CD5924" w15:done="0"/>
  <w15:commentEx w15:paraId="1CE95F4B" w15:done="0"/>
  <w15:commentEx w15:paraId="7C2467B4" w15:done="0"/>
  <w15:commentEx w15:paraId="6906141E" w15:done="0"/>
  <w15:commentEx w15:paraId="45B5B62E" w15:done="0"/>
  <w15:commentEx w15:paraId="684BF716" w15:done="0"/>
  <w15:commentEx w15:paraId="624D5384" w15:done="0"/>
  <w15:commentEx w15:paraId="10C08C18" w15:done="0"/>
  <w15:commentEx w15:paraId="1B53302C" w15:done="0"/>
  <w15:commentEx w15:paraId="19F44D12" w15:done="0"/>
  <w15:commentEx w15:paraId="4D0B8CF1" w15:done="0"/>
  <w15:commentEx w15:paraId="11E7EFAC" w15:done="0"/>
  <w15:commentEx w15:paraId="1EA6A5EF" w15:done="0"/>
  <w15:commentEx w15:paraId="00D85168" w15:done="0"/>
  <w15:commentEx w15:paraId="544CE407" w15:done="0"/>
  <w15:commentEx w15:paraId="6AFE1ECB" w15:done="0"/>
  <w15:commentEx w15:paraId="498AD8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F0DDB" w16cid:durableId="2CE31F44"/>
  <w16cid:commentId w16cid:paraId="606DAEB9" w16cid:durableId="2CE2FFCA"/>
  <w16cid:commentId w16cid:paraId="5EE0751D" w16cid:durableId="2CE30057"/>
  <w16cid:commentId w16cid:paraId="48770F97" w16cid:durableId="2CE300CF"/>
  <w16cid:commentId w16cid:paraId="1F308525" w16cid:durableId="2CE3012F"/>
  <w16cid:commentId w16cid:paraId="4490CFD4" w16cid:durableId="2CE3C5E4"/>
  <w16cid:commentId w16cid:paraId="79CD5924" w16cid:durableId="2CE301AF"/>
  <w16cid:commentId w16cid:paraId="1CE95F4B" w16cid:durableId="2CE3D1A0"/>
  <w16cid:commentId w16cid:paraId="7C2467B4" w16cid:durableId="2CE31A09"/>
  <w16cid:commentId w16cid:paraId="6906141E" w16cid:durableId="2CE31CA0"/>
  <w16cid:commentId w16cid:paraId="45B5B62E" w16cid:durableId="2CE3D254"/>
  <w16cid:commentId w16cid:paraId="684BF716" w16cid:durableId="2CE30327"/>
  <w16cid:commentId w16cid:paraId="624D5384" w16cid:durableId="2CE3CEB7"/>
  <w16cid:commentId w16cid:paraId="10C08C18" w16cid:durableId="2CE31D85"/>
  <w16cid:commentId w16cid:paraId="1B53302C" w16cid:durableId="2CE3CF2F"/>
  <w16cid:commentId w16cid:paraId="19F44D12" w16cid:durableId="2CE3D045"/>
  <w16cid:commentId w16cid:paraId="4D0B8CF1" w16cid:durableId="2CE31E77"/>
  <w16cid:commentId w16cid:paraId="11E7EFAC" w16cid:durableId="2CE31EA6"/>
  <w16cid:commentId w16cid:paraId="1EA6A5EF" w16cid:durableId="2CE3CD0B"/>
  <w16cid:commentId w16cid:paraId="00D85168" w16cid:durableId="2CE3D39C"/>
  <w16cid:commentId w16cid:paraId="544CE407" w16cid:durableId="2CE3D328"/>
  <w16cid:commentId w16cid:paraId="6AFE1ECB" w16cid:durableId="2CE3D2E4"/>
  <w16cid:commentId w16cid:paraId="498AD8DB" w16cid:durableId="2CE30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A434" w14:textId="77777777" w:rsidR="00961204" w:rsidRDefault="00961204" w:rsidP="00C37E61">
      <w:r>
        <w:separator/>
      </w:r>
    </w:p>
  </w:endnote>
  <w:endnote w:type="continuationSeparator" w:id="0">
    <w:p w14:paraId="7C588CE3" w14:textId="77777777" w:rsidR="00961204" w:rsidRDefault="009612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DCCD" w14:textId="77777777" w:rsidR="00497FF9" w:rsidRDefault="0049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22B4" w14:textId="77777777" w:rsidR="00497FF9" w:rsidRDefault="0049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DFCD" w14:textId="12606CA6" w:rsidR="00BD2794" w:rsidRPr="00497FF9" w:rsidRDefault="00BD2794" w:rsidP="00497F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FE68" w14:textId="77777777" w:rsidR="00BD2794" w:rsidRPr="00C37E61" w:rsidRDefault="00BD27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4845B" w14:textId="77777777" w:rsidR="00961204" w:rsidRDefault="00961204" w:rsidP="00C37E61">
      <w:r>
        <w:separator/>
      </w:r>
    </w:p>
  </w:footnote>
  <w:footnote w:type="continuationSeparator" w:id="0">
    <w:p w14:paraId="3828B7FE" w14:textId="77777777" w:rsidR="00961204" w:rsidRDefault="009612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6CB0" w14:textId="55B4C40D" w:rsidR="00497FF9" w:rsidRDefault="00961204">
    <w:pPr>
      <w:pStyle w:val="Header"/>
    </w:pPr>
    <w:r>
      <w:rPr>
        <w:noProof/>
      </w:rPr>
      <w:pict w14:anchorId="71E76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3BBB" w14:textId="1B2CBA73" w:rsidR="00497FF9" w:rsidRDefault="00961204">
    <w:pPr>
      <w:pStyle w:val="Header"/>
    </w:pPr>
    <w:r>
      <w:rPr>
        <w:noProof/>
      </w:rPr>
      <w:pict w14:anchorId="7C170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DB3F" w14:textId="57DF3E78" w:rsidR="00BD2794" w:rsidRPr="00296529" w:rsidRDefault="00961204" w:rsidP="00296529">
    <w:pPr>
      <w:ind w:left="2160"/>
      <w:jc w:val="center"/>
      <w:rPr>
        <w:rFonts w:ascii="Times New Roman" w:eastAsia="Calibri" w:hAnsi="Times New Roman"/>
        <w:i/>
        <w:sz w:val="18"/>
        <w:szCs w:val="22"/>
      </w:rPr>
    </w:pPr>
    <w:r>
      <w:rPr>
        <w:noProof/>
      </w:rPr>
      <w:pict w14:anchorId="0FB2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41CABD" w14:textId="77777777" w:rsidR="00BD2794" w:rsidRPr="00296529" w:rsidRDefault="00BD27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0BA01C" w14:textId="77777777" w:rsidR="00BD2794" w:rsidRPr="00296529" w:rsidRDefault="00BD27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0A17C9" w14:textId="77777777" w:rsidR="00BD2794" w:rsidRPr="00296529" w:rsidRDefault="00BD27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3F23AD" w14:textId="77777777" w:rsidR="00BD2794" w:rsidRDefault="00BD27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A3C0" w14:textId="77777777" w:rsidR="00BD2794" w:rsidRDefault="00BD27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BED8FC" w14:textId="77777777" w:rsidR="00BD2794" w:rsidRDefault="00BD27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DB3C" w14:textId="6A717570" w:rsidR="00497FF9" w:rsidRDefault="00961204">
    <w:pPr>
      <w:pStyle w:val="Header"/>
    </w:pPr>
    <w:r>
      <w:rPr>
        <w:noProof/>
      </w:rPr>
      <w:pict w14:anchorId="5510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7A24" w14:textId="6E60CB34" w:rsidR="00497FF9" w:rsidRDefault="00961204">
    <w:pPr>
      <w:pStyle w:val="Header"/>
    </w:pPr>
    <w:r>
      <w:rPr>
        <w:noProof/>
      </w:rPr>
      <w:pict w14:anchorId="51CA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CAAA" w14:textId="5877B505" w:rsidR="00497FF9" w:rsidRDefault="00961204">
    <w:pPr>
      <w:pStyle w:val="Header"/>
    </w:pPr>
    <w:r>
      <w:rPr>
        <w:noProof/>
      </w:rPr>
      <w:pict w14:anchorId="59F6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FDE"/>
    <w:rsid w:val="00030174"/>
    <w:rsid w:val="0004579C"/>
    <w:rsid w:val="000A2A37"/>
    <w:rsid w:val="000A2AEE"/>
    <w:rsid w:val="000A47FA"/>
    <w:rsid w:val="000A65D3"/>
    <w:rsid w:val="000B1E33"/>
    <w:rsid w:val="000C4EA5"/>
    <w:rsid w:val="000D3F5D"/>
    <w:rsid w:val="000D5271"/>
    <w:rsid w:val="000D689F"/>
    <w:rsid w:val="000E7B7B"/>
    <w:rsid w:val="000E7D62"/>
    <w:rsid w:val="000F266E"/>
    <w:rsid w:val="00103357"/>
    <w:rsid w:val="00123C9F"/>
    <w:rsid w:val="00126190"/>
    <w:rsid w:val="00130F17"/>
    <w:rsid w:val="001320BF"/>
    <w:rsid w:val="00134304"/>
    <w:rsid w:val="00141204"/>
    <w:rsid w:val="00151817"/>
    <w:rsid w:val="00161374"/>
    <w:rsid w:val="00163BC4"/>
    <w:rsid w:val="00191062"/>
    <w:rsid w:val="00192B72"/>
    <w:rsid w:val="001A29D8"/>
    <w:rsid w:val="001A5CAA"/>
    <w:rsid w:val="001B0427"/>
    <w:rsid w:val="001B43BA"/>
    <w:rsid w:val="001C7D1F"/>
    <w:rsid w:val="001D3A51"/>
    <w:rsid w:val="001D61B2"/>
    <w:rsid w:val="001E10D2"/>
    <w:rsid w:val="001E25B4"/>
    <w:rsid w:val="001E2B09"/>
    <w:rsid w:val="001E44FE"/>
    <w:rsid w:val="001F3617"/>
    <w:rsid w:val="00200595"/>
    <w:rsid w:val="00204835"/>
    <w:rsid w:val="00204883"/>
    <w:rsid w:val="00220BAD"/>
    <w:rsid w:val="00231920"/>
    <w:rsid w:val="0023195C"/>
    <w:rsid w:val="0024282C"/>
    <w:rsid w:val="00245B2B"/>
    <w:rsid w:val="002460DC"/>
    <w:rsid w:val="00250985"/>
    <w:rsid w:val="0025191B"/>
    <w:rsid w:val="002556F6"/>
    <w:rsid w:val="00261696"/>
    <w:rsid w:val="00283105"/>
    <w:rsid w:val="00284C4C"/>
    <w:rsid w:val="00287E68"/>
    <w:rsid w:val="00296529"/>
    <w:rsid w:val="002B2375"/>
    <w:rsid w:val="002B27FB"/>
    <w:rsid w:val="002B685A"/>
    <w:rsid w:val="002C1DA7"/>
    <w:rsid w:val="002C57D2"/>
    <w:rsid w:val="002E0D56"/>
    <w:rsid w:val="002F54D3"/>
    <w:rsid w:val="003036F8"/>
    <w:rsid w:val="00303B74"/>
    <w:rsid w:val="00315186"/>
    <w:rsid w:val="0033343E"/>
    <w:rsid w:val="00345602"/>
    <w:rsid w:val="00347136"/>
    <w:rsid w:val="003512C2"/>
    <w:rsid w:val="003560C4"/>
    <w:rsid w:val="003645C8"/>
    <w:rsid w:val="00365155"/>
    <w:rsid w:val="00371FB6"/>
    <w:rsid w:val="003763C1"/>
    <w:rsid w:val="00376BBE"/>
    <w:rsid w:val="0039224F"/>
    <w:rsid w:val="003A43A4"/>
    <w:rsid w:val="003A7E18"/>
    <w:rsid w:val="003C4C86"/>
    <w:rsid w:val="003C6258"/>
    <w:rsid w:val="003E2904"/>
    <w:rsid w:val="003F58C2"/>
    <w:rsid w:val="00401927"/>
    <w:rsid w:val="0041027F"/>
    <w:rsid w:val="00412475"/>
    <w:rsid w:val="00423789"/>
    <w:rsid w:val="00426AF2"/>
    <w:rsid w:val="00440F43"/>
    <w:rsid w:val="00441B6F"/>
    <w:rsid w:val="00446221"/>
    <w:rsid w:val="00450E62"/>
    <w:rsid w:val="004539DB"/>
    <w:rsid w:val="00456285"/>
    <w:rsid w:val="00471A80"/>
    <w:rsid w:val="00497FF9"/>
    <w:rsid w:val="004A0185"/>
    <w:rsid w:val="004D305E"/>
    <w:rsid w:val="004D4277"/>
    <w:rsid w:val="004D493B"/>
    <w:rsid w:val="004E20E3"/>
    <w:rsid w:val="00502516"/>
    <w:rsid w:val="0050535E"/>
    <w:rsid w:val="00505F06"/>
    <w:rsid w:val="00506828"/>
    <w:rsid w:val="00513CE9"/>
    <w:rsid w:val="00517FA8"/>
    <w:rsid w:val="0053056E"/>
    <w:rsid w:val="00554FDA"/>
    <w:rsid w:val="0056787F"/>
    <w:rsid w:val="00580971"/>
    <w:rsid w:val="005863FD"/>
    <w:rsid w:val="005A25D5"/>
    <w:rsid w:val="005C16EE"/>
    <w:rsid w:val="005C6393"/>
    <w:rsid w:val="005C784C"/>
    <w:rsid w:val="005D17F6"/>
    <w:rsid w:val="005E40CB"/>
    <w:rsid w:val="005E5539"/>
    <w:rsid w:val="00602BF5"/>
    <w:rsid w:val="00616994"/>
    <w:rsid w:val="00617FDD"/>
    <w:rsid w:val="00633614"/>
    <w:rsid w:val="00633F68"/>
    <w:rsid w:val="00636EB2"/>
    <w:rsid w:val="006375B8"/>
    <w:rsid w:val="0066510A"/>
    <w:rsid w:val="006666A4"/>
    <w:rsid w:val="00673F9F"/>
    <w:rsid w:val="00686953"/>
    <w:rsid w:val="00687DEA"/>
    <w:rsid w:val="00687E67"/>
    <w:rsid w:val="006967F7"/>
    <w:rsid w:val="006A250C"/>
    <w:rsid w:val="006B21D3"/>
    <w:rsid w:val="006B57D0"/>
    <w:rsid w:val="006D1D6D"/>
    <w:rsid w:val="006D246A"/>
    <w:rsid w:val="006D30FF"/>
    <w:rsid w:val="006D6940"/>
    <w:rsid w:val="006F0753"/>
    <w:rsid w:val="006F11EC"/>
    <w:rsid w:val="0070082C"/>
    <w:rsid w:val="00700DE2"/>
    <w:rsid w:val="0071496E"/>
    <w:rsid w:val="007171FF"/>
    <w:rsid w:val="00735826"/>
    <w:rsid w:val="007369E6"/>
    <w:rsid w:val="00741190"/>
    <w:rsid w:val="00746E59"/>
    <w:rsid w:val="00746F81"/>
    <w:rsid w:val="00754C9A"/>
    <w:rsid w:val="0075599A"/>
    <w:rsid w:val="00761A44"/>
    <w:rsid w:val="00761D52"/>
    <w:rsid w:val="0077749E"/>
    <w:rsid w:val="00790ADA"/>
    <w:rsid w:val="007950DB"/>
    <w:rsid w:val="007D2288"/>
    <w:rsid w:val="007D3B90"/>
    <w:rsid w:val="007E088F"/>
    <w:rsid w:val="007F7B32"/>
    <w:rsid w:val="00803E99"/>
    <w:rsid w:val="00804BC2"/>
    <w:rsid w:val="0081431A"/>
    <w:rsid w:val="008242B4"/>
    <w:rsid w:val="0083216F"/>
    <w:rsid w:val="00836B49"/>
    <w:rsid w:val="00860000"/>
    <w:rsid w:val="00863BD3"/>
    <w:rsid w:val="008641ED"/>
    <w:rsid w:val="00866D66"/>
    <w:rsid w:val="008671C6"/>
    <w:rsid w:val="00875803"/>
    <w:rsid w:val="008B459E"/>
    <w:rsid w:val="008B5327"/>
    <w:rsid w:val="008C2608"/>
    <w:rsid w:val="008E13AE"/>
    <w:rsid w:val="008E1506"/>
    <w:rsid w:val="008E710C"/>
    <w:rsid w:val="008F46AE"/>
    <w:rsid w:val="008F69D6"/>
    <w:rsid w:val="00902823"/>
    <w:rsid w:val="00915CA6"/>
    <w:rsid w:val="00927834"/>
    <w:rsid w:val="00927E2A"/>
    <w:rsid w:val="00934293"/>
    <w:rsid w:val="009500A6"/>
    <w:rsid w:val="00957C18"/>
    <w:rsid w:val="00961204"/>
    <w:rsid w:val="009659BA"/>
    <w:rsid w:val="00976833"/>
    <w:rsid w:val="00976854"/>
    <w:rsid w:val="00983040"/>
    <w:rsid w:val="009A52E1"/>
    <w:rsid w:val="009B3FB9"/>
    <w:rsid w:val="009C2465"/>
    <w:rsid w:val="009D35A0"/>
    <w:rsid w:val="009D7EB7"/>
    <w:rsid w:val="009E048A"/>
    <w:rsid w:val="009E08E9"/>
    <w:rsid w:val="009E3DB9"/>
    <w:rsid w:val="009E6E35"/>
    <w:rsid w:val="009F0EDA"/>
    <w:rsid w:val="009F557A"/>
    <w:rsid w:val="00A03B96"/>
    <w:rsid w:val="00A05B19"/>
    <w:rsid w:val="00A05DAF"/>
    <w:rsid w:val="00A1134E"/>
    <w:rsid w:val="00A24E7E"/>
    <w:rsid w:val="00A258C3"/>
    <w:rsid w:val="00A347C0"/>
    <w:rsid w:val="00A51431"/>
    <w:rsid w:val="00A531A1"/>
    <w:rsid w:val="00A539AD"/>
    <w:rsid w:val="00A94063"/>
    <w:rsid w:val="00AA6219"/>
    <w:rsid w:val="00AA74E0"/>
    <w:rsid w:val="00AB3A0E"/>
    <w:rsid w:val="00AB703F"/>
    <w:rsid w:val="00AC6BB8"/>
    <w:rsid w:val="00AC7C05"/>
    <w:rsid w:val="00AD00DE"/>
    <w:rsid w:val="00AE008F"/>
    <w:rsid w:val="00B01FCD"/>
    <w:rsid w:val="00B1776C"/>
    <w:rsid w:val="00B52583"/>
    <w:rsid w:val="00B52896"/>
    <w:rsid w:val="00B61736"/>
    <w:rsid w:val="00B77995"/>
    <w:rsid w:val="00B95236"/>
    <w:rsid w:val="00B96BD9"/>
    <w:rsid w:val="00BA1B01"/>
    <w:rsid w:val="00BA2641"/>
    <w:rsid w:val="00BA63DC"/>
    <w:rsid w:val="00BB3505"/>
    <w:rsid w:val="00BB37AA"/>
    <w:rsid w:val="00BC53A0"/>
    <w:rsid w:val="00BD2794"/>
    <w:rsid w:val="00BE1BA5"/>
    <w:rsid w:val="00BE62AD"/>
    <w:rsid w:val="00BF121F"/>
    <w:rsid w:val="00BF1F80"/>
    <w:rsid w:val="00C0381B"/>
    <w:rsid w:val="00C15E6E"/>
    <w:rsid w:val="00C166EF"/>
    <w:rsid w:val="00C17EB0"/>
    <w:rsid w:val="00C20DC7"/>
    <w:rsid w:val="00C27F5F"/>
    <w:rsid w:val="00C30A0F"/>
    <w:rsid w:val="00C37E61"/>
    <w:rsid w:val="00C67606"/>
    <w:rsid w:val="00C70F1B"/>
    <w:rsid w:val="00C713FA"/>
    <w:rsid w:val="00C71A47"/>
    <w:rsid w:val="00C7464C"/>
    <w:rsid w:val="00C85588"/>
    <w:rsid w:val="00C87866"/>
    <w:rsid w:val="00C94113"/>
    <w:rsid w:val="00C978BE"/>
    <w:rsid w:val="00CA1F38"/>
    <w:rsid w:val="00CB163E"/>
    <w:rsid w:val="00CB2C30"/>
    <w:rsid w:val="00CC4259"/>
    <w:rsid w:val="00CD4ADE"/>
    <w:rsid w:val="00CD6755"/>
    <w:rsid w:val="00CD6856"/>
    <w:rsid w:val="00CE0089"/>
    <w:rsid w:val="00CE793C"/>
    <w:rsid w:val="00CF193C"/>
    <w:rsid w:val="00D173F1"/>
    <w:rsid w:val="00D4176F"/>
    <w:rsid w:val="00D74CB0"/>
    <w:rsid w:val="00D8295D"/>
    <w:rsid w:val="00D85801"/>
    <w:rsid w:val="00D9054B"/>
    <w:rsid w:val="00DC2A65"/>
    <w:rsid w:val="00DD26E6"/>
    <w:rsid w:val="00DE113C"/>
    <w:rsid w:val="00DE15F0"/>
    <w:rsid w:val="00DE5663"/>
    <w:rsid w:val="00DE78AA"/>
    <w:rsid w:val="00DF0FEC"/>
    <w:rsid w:val="00DF693B"/>
    <w:rsid w:val="00E053D0"/>
    <w:rsid w:val="00E15994"/>
    <w:rsid w:val="00E168FD"/>
    <w:rsid w:val="00E27BF8"/>
    <w:rsid w:val="00E3114E"/>
    <w:rsid w:val="00E31A70"/>
    <w:rsid w:val="00E35B02"/>
    <w:rsid w:val="00E37205"/>
    <w:rsid w:val="00E66496"/>
    <w:rsid w:val="00E66B35"/>
    <w:rsid w:val="00E66E10"/>
    <w:rsid w:val="00E769F6"/>
    <w:rsid w:val="00E8407C"/>
    <w:rsid w:val="00E84F3C"/>
    <w:rsid w:val="00EA012C"/>
    <w:rsid w:val="00EC6A55"/>
    <w:rsid w:val="00ED0288"/>
    <w:rsid w:val="00ED0BA4"/>
    <w:rsid w:val="00EE52CB"/>
    <w:rsid w:val="00EF581D"/>
    <w:rsid w:val="00EF6D73"/>
    <w:rsid w:val="00EF7FD8"/>
    <w:rsid w:val="00F06F59"/>
    <w:rsid w:val="00F17988"/>
    <w:rsid w:val="00F238D2"/>
    <w:rsid w:val="00F469F0"/>
    <w:rsid w:val="00F53273"/>
    <w:rsid w:val="00F67BE7"/>
    <w:rsid w:val="00F755E4"/>
    <w:rsid w:val="00F77D02"/>
    <w:rsid w:val="00F92119"/>
    <w:rsid w:val="00FA349C"/>
    <w:rsid w:val="00FB3A86"/>
    <w:rsid w:val="00FD36C8"/>
    <w:rsid w:val="00FE04B9"/>
    <w:rsid w:val="00FE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E49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61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761A44"/>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1D61B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76833"/>
    <w:rPr>
      <w:color w:val="605E5C"/>
      <w:shd w:val="clear" w:color="auto" w:fill="E1DFDD"/>
    </w:rPr>
  </w:style>
  <w:style w:type="paragraph" w:styleId="CommentSubject">
    <w:name w:val="annotation subject"/>
    <w:basedOn w:val="CommentText"/>
    <w:next w:val="CommentText"/>
    <w:link w:val="CommentSubjectChar"/>
    <w:semiHidden/>
    <w:unhideWhenUsed/>
    <w:rsid w:val="00A05DAF"/>
    <w:rPr>
      <w:rFonts w:ascii="Helvetica" w:hAnsi="Helvetica"/>
      <w:b/>
      <w:bCs/>
      <w:lang w:val="en-US" w:eastAsia="en-US"/>
    </w:rPr>
  </w:style>
  <w:style w:type="character" w:customStyle="1" w:styleId="CommentSubjectChar">
    <w:name w:val="Comment Subject Char"/>
    <w:basedOn w:val="CommentTextChar"/>
    <w:link w:val="CommentSubject"/>
    <w:semiHidden/>
    <w:rsid w:val="00A05DA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23/A:1006213603150" TargetMode="External"/><Relationship Id="rId21" Type="http://schemas.openxmlformats.org/officeDocument/2006/relationships/image" Target="media/image5.jpeg"/><Relationship Id="rId34" Type="http://schemas.openxmlformats.org/officeDocument/2006/relationships/hyperlink" Target="https://doi.org/10.1007/s44415-025-00028-x" TargetMode="External"/><Relationship Id="rId42" Type="http://schemas.openxmlformats.org/officeDocument/2006/relationships/hyperlink" Target="https://doi.org/10.1071/BT02124" TargetMode="External"/><Relationship Id="rId47" Type="http://schemas.openxmlformats.org/officeDocument/2006/relationships/hyperlink" Target="https://doi.org/10.1016/j.agee.2006.12.005" TargetMode="External"/><Relationship Id="rId50" Type="http://schemas.openxmlformats.org/officeDocument/2006/relationships/hyperlink" Target="https://doi.org/10.1007/BF00333714" TargetMode="External"/><Relationship Id="rId55" Type="http://schemas.openxmlformats.org/officeDocument/2006/relationships/hyperlink" Target="https://www.grassland.org.nz/publications/nzgrassland_publication_201.pdf"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07/978-94-007-4676-3_7" TargetMode="Externa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hyperlink" Target="https://doi.org/10.1023/B:AGFO.0000009401.96309.12" TargetMode="External"/><Relationship Id="rId37" Type="http://schemas.openxmlformats.org/officeDocument/2006/relationships/hyperlink" Target="https://doi.org/10.1007/BF00053116" TargetMode="External"/><Relationship Id="rId40" Type="http://schemas.openxmlformats.org/officeDocument/2006/relationships/hyperlink" Target="https://doi.org/10.1016/j.geoderma.2009.12.009" TargetMode="External"/><Relationship Id="rId45" Type="http://schemas.openxmlformats.org/officeDocument/2006/relationships/hyperlink" Target="https://dumas.ccsd.cnrs.fr/dumas-00782273" TargetMode="External"/><Relationship Id="rId53" Type="http://schemas.openxmlformats.org/officeDocument/2006/relationships/hyperlink" Target="https://doi.org/10.1016/0098-8472(93)90065-N" TargetMode="External"/><Relationship Id="rId58" Type="http://schemas.openxmlformats.org/officeDocument/2006/relationships/hyperlink" Target="https://doi.org/10.1111/j.1469-8137.1987.tb04683.x"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https://doi.org/10.1023/A:1025404019211" TargetMode="External"/><Relationship Id="rId30" Type="http://schemas.openxmlformats.org/officeDocument/2006/relationships/hyperlink" Target="https://doi.org/10.1201/9780203909423" TargetMode="External"/><Relationship Id="rId35" Type="http://schemas.openxmlformats.org/officeDocument/2006/relationships/hyperlink" Target="https://doi.org/10.35759/JABs.160.5" TargetMode="External"/><Relationship Id="rId43" Type="http://schemas.openxmlformats.org/officeDocument/2006/relationships/hyperlink" Target="https://papyrus.bib.umontreal.ca/xmlui/handle/1866/25267" TargetMode="External"/><Relationship Id="rId48" Type="http://schemas.openxmlformats.org/officeDocument/2006/relationships/hyperlink" Target="https://doi.org/10.4314/ijbcs.v13i7.24" TargetMode="External"/><Relationship Id="rId56" Type="http://schemas.openxmlformats.org/officeDocument/2006/relationships/hyperlink" Target="https://doi.org/10.1007/s11104-010-0562-4" TargetMode="External"/><Relationship Id="rId64" Type="http://schemas.openxmlformats.org/officeDocument/2006/relationships/header" Target="header6.xml"/><Relationship Id="rId8" Type="http://schemas.openxmlformats.org/officeDocument/2006/relationships/comments" Target="comments.xml"/><Relationship Id="rId51" Type="http://schemas.openxmlformats.org/officeDocument/2006/relationships/hyperlink" Target="https://doi.org/10.1016/j.agee.2009.04.007"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s://www.fao.org/4/x3940e/x3940e00.htm" TargetMode="External"/><Relationship Id="rId33" Type="http://schemas.openxmlformats.org/officeDocument/2006/relationships/hyperlink" Target="https://doi.org/10.35759/JABs.211.6" TargetMode="External"/><Relationship Id="rId38" Type="http://schemas.openxmlformats.org/officeDocument/2006/relationships/hyperlink" Target="https://doi.org/10.1007/s43621-025-00868-9" TargetMode="External"/><Relationship Id="rId46" Type="http://schemas.openxmlformats.org/officeDocument/2006/relationships/hyperlink" Target="https://doi.org/10.1111/j.1442-9993.2004.01337.x" TargetMode="External"/><Relationship Id="rId59" Type="http://schemas.openxmlformats.org/officeDocument/2006/relationships/hyperlink" Target="https://doi.org/10.1023/B:AGFO.0000009401.96309.12" TargetMode="External"/><Relationship Id="rId67"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doi.org/10.1080/00103624.2013.811516" TargetMode="External"/><Relationship Id="rId54" Type="http://schemas.openxmlformats.org/officeDocument/2006/relationships/hyperlink" Target="https://doi.org/10.1093/jxb/31.6.1621"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hyperlink" Target="https://doi.org/10.1007/s10457-009-9229-7" TargetMode="External"/><Relationship Id="rId36" Type="http://schemas.openxmlformats.org/officeDocument/2006/relationships/hyperlink" Target="https://doi.org/10.1007/s11104-024-07155-y" TargetMode="External"/><Relationship Id="rId49" Type="http://schemas.openxmlformats.org/officeDocument/2006/relationships/hyperlink" Target="https://doi.org/10.1186/2193-1801-2-539" TargetMode="External"/><Relationship Id="rId57" Type="http://schemas.openxmlformats.org/officeDocument/2006/relationships/hyperlink" Target="https://doi.org/10.1016/S0929-1393(00)00079-2" TargetMode="External"/><Relationship Id="rId10" Type="http://schemas.microsoft.com/office/2016/09/relationships/commentsIds" Target="commentsIds.xml"/><Relationship Id="rId31" Type="http://schemas.openxmlformats.org/officeDocument/2006/relationships/hyperlink" Target="https://doi.org/10.2136/sssaj1993.03615995005700010034x" TargetMode="External"/><Relationship Id="rId44" Type="http://schemas.openxmlformats.org/officeDocument/2006/relationships/hyperlink" Target="https://doi.org/10.1046/j.1469-8137.2000.00676.x" TargetMode="External"/><Relationship Id="rId52" Type="http://schemas.openxmlformats.org/officeDocument/2006/relationships/hyperlink" Target="https://doi.org/10.2307/2390162" TargetMode="External"/><Relationship Id="rId60" Type="http://schemas.openxmlformats.org/officeDocument/2006/relationships/hyperlink" Target="https://doi.org/10.35690/978-2-7592-3059-4" TargetMode="External"/><Relationship Id="rId65"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9" Type="http://schemas.openxmlformats.org/officeDocument/2006/relationships/hyperlink" Target="https://www.beep.ird.fr/greenstone/collect/upb/index/assoc/IDR-2004-YAM-EFF/IDR-2004-YAM-EF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E573-8755-4A26-82F5-19908757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11</Pages>
  <Words>5524</Words>
  <Characters>31489</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108</cp:revision>
  <cp:lastPrinted>1999-07-06T11:00:00Z</cp:lastPrinted>
  <dcterms:created xsi:type="dcterms:W3CDTF">2025-12-05T11:13:00Z</dcterms:created>
  <dcterms:modified xsi:type="dcterms:W3CDTF">2025-12-10T08:12:00Z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d17eaa06-0d02-4488-b5aa-76598dcc40e1</vt:lpwstr>
  </property>
</Properties>
</file>