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711EA" w14:textId="3DB95FF4" w:rsidR="00F15FC8" w:rsidRDefault="00477EE1">
      <w:pPr>
        <w:widowControl w:val="0"/>
        <w:pBdr>
          <w:top w:val="nil"/>
          <w:left w:val="nil"/>
          <w:bottom w:val="nil"/>
          <w:right w:val="nil"/>
          <w:between w:val="nil"/>
        </w:pBdr>
        <w:spacing w:line="276" w:lineRule="auto"/>
      </w:pPr>
      <w:r w:rsidRPr="00477EE1">
        <w:t>Original Research Article</w:t>
      </w:r>
    </w:p>
    <w:p w14:paraId="7F472F39" w14:textId="77777777" w:rsidR="00F15FC8" w:rsidRDefault="00F15FC8">
      <w:pPr>
        <w:pStyle w:val="Title"/>
        <w:spacing w:after="0"/>
        <w:jc w:val="both"/>
        <w:rPr>
          <w:rFonts w:ascii="Arial" w:eastAsia="Arial" w:hAnsi="Arial" w:cs="Arial"/>
        </w:rPr>
      </w:pPr>
    </w:p>
    <w:p w14:paraId="68EB8927" w14:textId="77777777" w:rsidR="00F15FC8" w:rsidRDefault="00887443">
      <w:pPr>
        <w:pStyle w:val="Title"/>
        <w:spacing w:before="120" w:after="240" w:line="276" w:lineRule="auto"/>
      </w:pPr>
      <w:bookmarkStart w:id="0" w:name="_heading=h.bnikaafujral" w:colFirst="0" w:colLast="0"/>
      <w:bookmarkEnd w:id="0"/>
      <w:commentRangeStart w:id="1"/>
      <w:r>
        <w:t xml:space="preserve">Activity of </w:t>
      </w:r>
      <w:r>
        <w:rPr>
          <w:i/>
        </w:rPr>
        <w:t>Curcuma longa</w:t>
      </w:r>
      <w:r>
        <w:t xml:space="preserve"> L. tincture against biofilms of </w:t>
      </w:r>
      <w:r>
        <w:rPr>
          <w:i/>
        </w:rPr>
        <w:t>Candida</w:t>
      </w:r>
      <w:r>
        <w:t xml:space="preserve"> standard strains</w:t>
      </w:r>
      <w:commentRangeEnd w:id="1"/>
      <w:r w:rsidR="00C31436">
        <w:rPr>
          <w:rStyle w:val="CommentReference"/>
          <w:rFonts w:ascii="Times New Roman" w:hAnsi="Times New Roman"/>
          <w:b w:val="0"/>
          <w:rtl/>
          <w:lang w:val="nb-NO" w:eastAsia="nb-NO"/>
        </w:rPr>
        <w:commentReference w:id="1"/>
      </w:r>
    </w:p>
    <w:p w14:paraId="50B5BCAB" w14:textId="77777777" w:rsidR="00477EE1" w:rsidRDefault="00477EE1">
      <w:pPr>
        <w:jc w:val="center"/>
        <w:rPr>
          <w:rFonts w:ascii="Times New Roman" w:eastAsia="Times New Roman" w:hAnsi="Times New Roman" w:cs="Times New Roman"/>
          <w:i/>
          <w:sz w:val="18"/>
          <w:szCs w:val="18"/>
        </w:rPr>
      </w:pPr>
    </w:p>
    <w:p w14:paraId="26FBD675" w14:textId="77777777" w:rsidR="00477EE1" w:rsidRDefault="00477EE1">
      <w:pPr>
        <w:jc w:val="center"/>
        <w:rPr>
          <w:rFonts w:ascii="Times New Roman" w:eastAsia="Times New Roman" w:hAnsi="Times New Roman" w:cs="Times New Roman"/>
          <w:i/>
          <w:sz w:val="18"/>
          <w:szCs w:val="18"/>
        </w:rPr>
      </w:pPr>
    </w:p>
    <w:p w14:paraId="450F76D1" w14:textId="77777777" w:rsidR="00477EE1" w:rsidRDefault="00477EE1">
      <w:pPr>
        <w:jc w:val="center"/>
        <w:rPr>
          <w:rFonts w:ascii="Times New Roman" w:eastAsia="Times New Roman" w:hAnsi="Times New Roman" w:cs="Times New Roman"/>
          <w:i/>
          <w:sz w:val="18"/>
          <w:szCs w:val="18"/>
        </w:rPr>
      </w:pPr>
    </w:p>
    <w:p w14:paraId="4EE7634C" w14:textId="2D0A98C3" w:rsidR="00F15FC8" w:rsidRDefault="00887443">
      <w:pPr>
        <w:pBdr>
          <w:top w:val="nil"/>
          <w:left w:val="nil"/>
          <w:bottom w:val="nil"/>
          <w:right w:val="nil"/>
          <w:between w:val="nil"/>
        </w:pBdr>
        <w:jc w:val="both"/>
        <w:rPr>
          <w:rFonts w:ascii="Arial" w:eastAsia="Arial" w:hAnsi="Arial" w:cs="Arial"/>
          <w:color w:val="000000"/>
          <w:sz w:val="16"/>
          <w:szCs w:val="16"/>
        </w:rPr>
        <w:sectPr w:rsidR="00F15FC8" w:rsidSect="00F80FE9">
          <w:headerReference w:type="even" r:id="rId12"/>
          <w:headerReference w:type="default" r:id="rId13"/>
          <w:footerReference w:type="even" r:id="rId14"/>
          <w:footerReference w:type="default" r:id="rId15"/>
          <w:headerReference w:type="first" r:id="rId16"/>
          <w:footerReference w:type="first" r:id="rId17"/>
          <w:pgSz w:w="12240" w:h="15840"/>
          <w:pgMar w:top="1440" w:right="2016" w:bottom="2016" w:left="2016" w:header="720" w:footer="1296" w:gutter="0"/>
          <w:pgNumType w:start="1"/>
          <w:cols w:space="720"/>
          <w:docGrid w:linePitch="272"/>
        </w:sectPr>
      </w:pPr>
      <w:r>
        <w:rPr>
          <w:rFonts w:ascii="Arial" w:eastAsia="Arial" w:hAnsi="Arial" w:cs="Arial"/>
          <w:color w:val="000000"/>
          <w:sz w:val="16"/>
          <w:szCs w:val="16"/>
        </w:rPr>
        <w:t>.</w:t>
      </w:r>
    </w:p>
    <w:p w14:paraId="1DD92FF5" w14:textId="77777777" w:rsidR="00F15FC8" w:rsidRDefault="00887443">
      <w:pPr>
        <w:keepNext/>
        <w:pBdr>
          <w:top w:val="nil"/>
          <w:left w:val="nil"/>
          <w:bottom w:val="nil"/>
          <w:right w:val="nil"/>
          <w:between w:val="nil"/>
        </w:pBdr>
        <w:jc w:val="both"/>
        <w:rPr>
          <w:rFonts w:ascii="Arial" w:eastAsia="Arial" w:hAnsi="Arial" w:cs="Arial"/>
          <w:b/>
          <w:smallCaps/>
          <w:color w:val="000000"/>
          <w:sz w:val="22"/>
          <w:szCs w:val="22"/>
        </w:rPr>
      </w:pPr>
      <w:commentRangeStart w:id="2"/>
      <w:r>
        <w:rPr>
          <w:rFonts w:ascii="Arial" w:eastAsia="Arial" w:hAnsi="Arial" w:cs="Arial"/>
          <w:b/>
          <w:smallCaps/>
          <w:color w:val="000000"/>
          <w:sz w:val="22"/>
          <w:szCs w:val="22"/>
        </w:rPr>
        <w:t xml:space="preserve">ABSTRACT </w:t>
      </w:r>
    </w:p>
    <w:p w14:paraId="30117936" w14:textId="77777777" w:rsidR="00F15FC8" w:rsidRDefault="00F15FC8">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F15FC8" w14:paraId="6E673D14" w14:textId="77777777">
        <w:tc>
          <w:tcPr>
            <w:tcW w:w="8424" w:type="dxa"/>
            <w:shd w:val="clear" w:color="auto" w:fill="F2F2F2"/>
          </w:tcPr>
          <w:p w14:paraId="2963D0BB" w14:textId="77777777" w:rsidR="00F15FC8" w:rsidRDefault="00887443">
            <w:pPr>
              <w:spacing w:before="240"/>
              <w:rPr>
                <w:rFonts w:ascii="Arial" w:eastAsia="Arial" w:hAnsi="Arial" w:cs="Arial"/>
                <w:sz w:val="22"/>
                <w:szCs w:val="22"/>
              </w:rPr>
            </w:pPr>
            <w:r>
              <w:rPr>
                <w:rFonts w:ascii="Arial" w:eastAsia="Arial" w:hAnsi="Arial" w:cs="Arial"/>
                <w:b/>
                <w:sz w:val="22"/>
                <w:szCs w:val="22"/>
              </w:rPr>
              <w:t>Aims:</w:t>
            </w:r>
            <w:r>
              <w:rPr>
                <w:rFonts w:ascii="Arial" w:eastAsia="Arial" w:hAnsi="Arial" w:cs="Arial"/>
                <w:sz w:val="22"/>
                <w:szCs w:val="22"/>
              </w:rPr>
              <w:t xml:space="preserve"> To evaluate the fungistatic, fungicidal, and antibiofilm activity of </w:t>
            </w:r>
            <w:r>
              <w:rPr>
                <w:rFonts w:ascii="Arial" w:eastAsia="Arial" w:hAnsi="Arial" w:cs="Arial"/>
                <w:i/>
                <w:sz w:val="22"/>
                <w:szCs w:val="22"/>
              </w:rPr>
              <w:t>C. longa</w:t>
            </w:r>
            <w:r>
              <w:rPr>
                <w:rFonts w:ascii="Arial" w:eastAsia="Arial" w:hAnsi="Arial" w:cs="Arial"/>
                <w:sz w:val="22"/>
                <w:szCs w:val="22"/>
              </w:rPr>
              <w:t xml:space="preserve"> L. tincture against </w:t>
            </w:r>
            <w:r>
              <w:rPr>
                <w:rFonts w:ascii="Arial" w:eastAsia="Arial" w:hAnsi="Arial" w:cs="Arial"/>
                <w:i/>
                <w:sz w:val="22"/>
                <w:szCs w:val="22"/>
              </w:rPr>
              <w:t>Candida</w:t>
            </w:r>
            <w:r>
              <w:rPr>
                <w:rFonts w:ascii="Arial" w:eastAsia="Arial" w:hAnsi="Arial" w:cs="Arial"/>
                <w:sz w:val="22"/>
                <w:szCs w:val="22"/>
              </w:rPr>
              <w:t xml:space="preserve"> species.</w:t>
            </w:r>
          </w:p>
          <w:p w14:paraId="754B4DAD" w14:textId="77777777" w:rsidR="00F15FC8" w:rsidRDefault="00887443">
            <w:pPr>
              <w:spacing w:before="240"/>
              <w:rPr>
                <w:rFonts w:ascii="Arial" w:eastAsia="Arial" w:hAnsi="Arial" w:cs="Arial"/>
                <w:sz w:val="22"/>
                <w:szCs w:val="22"/>
              </w:rPr>
            </w:pPr>
            <w:r>
              <w:rPr>
                <w:rFonts w:ascii="Arial" w:eastAsia="Arial" w:hAnsi="Arial" w:cs="Arial"/>
                <w:b/>
                <w:sz w:val="22"/>
                <w:szCs w:val="22"/>
              </w:rPr>
              <w:t>Study design:</w:t>
            </w:r>
            <w:r>
              <w:rPr>
                <w:rFonts w:ascii="Arial" w:eastAsia="Arial" w:hAnsi="Arial" w:cs="Arial"/>
                <w:sz w:val="22"/>
                <w:szCs w:val="22"/>
              </w:rPr>
              <w:t xml:space="preserve"> Quantitative and mechanistic experimental design using dilution methods to determine the Minimum Inhibitory Concentration (MIC) and the Minimum Candidacidal Concentration (MCC), and specific assays for evaluating the inhibition of biofilm formation and the viability of biofilm-associated cells.</w:t>
            </w:r>
          </w:p>
          <w:p w14:paraId="64EFEB71" w14:textId="77777777" w:rsidR="00F15FC8" w:rsidRDefault="00887443">
            <w:pPr>
              <w:spacing w:before="240"/>
              <w:rPr>
                <w:rFonts w:ascii="Arial" w:eastAsia="Arial" w:hAnsi="Arial" w:cs="Arial"/>
                <w:sz w:val="22"/>
                <w:szCs w:val="22"/>
              </w:rPr>
            </w:pPr>
            <w:r>
              <w:rPr>
                <w:rFonts w:ascii="Arial" w:eastAsia="Arial" w:hAnsi="Arial" w:cs="Arial"/>
                <w:b/>
                <w:sz w:val="22"/>
                <w:szCs w:val="22"/>
              </w:rPr>
              <w:t>Place and Duration of Study:</w:t>
            </w:r>
            <w:r>
              <w:rPr>
                <w:rFonts w:ascii="Arial" w:eastAsia="Arial" w:hAnsi="Arial" w:cs="Arial"/>
                <w:sz w:val="22"/>
                <w:szCs w:val="22"/>
              </w:rPr>
              <w:t xml:space="preserve"> The microorganisms were maintained at the Laboratory of Microbiological Analysis in Health and Environment of the Institute of Tropical Pathology and Public Health at the Federal University of Goiás. The microbiological assays were conducted at the Bioassay Laboratory of the Center for Research and Graduate Studies at the State University of Goiás, and the phytochemical characterization analyses were performed at the Bioproducts and Synthesis Research Laboratory of the State University of Goiás, </w:t>
            </w:r>
            <w:proofErr w:type="spellStart"/>
            <w:r>
              <w:rPr>
                <w:rFonts w:ascii="Arial" w:eastAsia="Arial" w:hAnsi="Arial" w:cs="Arial"/>
                <w:sz w:val="22"/>
                <w:szCs w:val="22"/>
              </w:rPr>
              <w:t>Anápolis</w:t>
            </w:r>
            <w:proofErr w:type="spellEnd"/>
            <w:r>
              <w:rPr>
                <w:rFonts w:ascii="Arial" w:eastAsia="Arial" w:hAnsi="Arial" w:cs="Arial"/>
                <w:sz w:val="22"/>
                <w:szCs w:val="22"/>
              </w:rPr>
              <w:t>-GO, Brazil, between August 2024 and September 2025.</w:t>
            </w:r>
          </w:p>
          <w:p w14:paraId="63284928" w14:textId="77777777" w:rsidR="00F15FC8" w:rsidRDefault="00887443">
            <w:pPr>
              <w:spacing w:before="240"/>
              <w:rPr>
                <w:rFonts w:ascii="Arial" w:eastAsia="Arial" w:hAnsi="Arial" w:cs="Arial"/>
                <w:sz w:val="22"/>
                <w:szCs w:val="22"/>
              </w:rPr>
            </w:pPr>
            <w:r>
              <w:rPr>
                <w:rFonts w:ascii="Arial" w:eastAsia="Arial" w:hAnsi="Arial" w:cs="Arial"/>
                <w:b/>
                <w:sz w:val="22"/>
                <w:szCs w:val="22"/>
              </w:rPr>
              <w:t>Methodology:</w:t>
            </w:r>
            <w:r>
              <w:rPr>
                <w:rFonts w:ascii="Arial" w:eastAsia="Arial" w:hAnsi="Arial" w:cs="Arial"/>
                <w:sz w:val="22"/>
                <w:szCs w:val="22"/>
              </w:rPr>
              <w:t xml:space="preserve"> The extract was characterized for its curcuminoid profile by HPLC-DAD, and its concentration was determined by rotary evaporation and lyophilization. The MIC and MCC were determined by the broth microdilution method. The action on biofilms was investigated by determining the MBIC</w:t>
            </w:r>
            <w:r>
              <w:rPr>
                <w:rFonts w:ascii="Arial" w:eastAsia="Arial" w:hAnsi="Arial" w:cs="Arial"/>
                <w:sz w:val="22"/>
                <w:szCs w:val="22"/>
                <w:vertAlign w:val="subscript"/>
              </w:rPr>
              <w:t>50</w:t>
            </w:r>
            <w:r>
              <w:rPr>
                <w:rFonts w:ascii="Arial" w:eastAsia="Arial" w:hAnsi="Arial" w:cs="Arial"/>
                <w:sz w:val="22"/>
                <w:szCs w:val="22"/>
              </w:rPr>
              <w:t xml:space="preserve"> (concentration that inhibits 50% of the biofilm biomass). Additionally, the viability of yeasts in the biofilm was quantified by CFU counting. </w:t>
            </w:r>
          </w:p>
          <w:p w14:paraId="1B8B6E15" w14:textId="77777777" w:rsidR="00F15FC8" w:rsidRDefault="00887443">
            <w:pPr>
              <w:spacing w:before="240"/>
              <w:rPr>
                <w:rFonts w:ascii="Arial" w:eastAsia="Arial" w:hAnsi="Arial" w:cs="Arial"/>
                <w:sz w:val="22"/>
                <w:szCs w:val="22"/>
              </w:rPr>
            </w:pPr>
            <w:r>
              <w:rPr>
                <w:rFonts w:ascii="Arial" w:eastAsia="Arial" w:hAnsi="Arial" w:cs="Arial"/>
                <w:b/>
                <w:sz w:val="22"/>
                <w:szCs w:val="22"/>
              </w:rPr>
              <w:t>Results:</w:t>
            </w:r>
            <w:r>
              <w:rPr>
                <w:rFonts w:ascii="Arial" w:eastAsia="Arial" w:hAnsi="Arial" w:cs="Arial"/>
                <w:sz w:val="22"/>
                <w:szCs w:val="22"/>
              </w:rPr>
              <w:t xml:space="preserve"> We verified that all yeasts form biofilms and that the </w:t>
            </w:r>
            <w:r>
              <w:rPr>
                <w:rFonts w:ascii="Arial" w:eastAsia="Arial" w:hAnsi="Arial" w:cs="Arial"/>
                <w:i/>
                <w:sz w:val="22"/>
                <w:szCs w:val="22"/>
              </w:rPr>
              <w:t>C. longa</w:t>
            </w:r>
            <w:sdt>
              <w:sdtPr>
                <w:tag w:val="goog_rdk_0"/>
                <w:id w:val="499117771"/>
              </w:sdtPr>
              <w:sdtContent>
                <w:r>
                  <w:rPr>
                    <w:rFonts w:ascii="Arial Unicode MS" w:eastAsia="Arial Unicode MS" w:hAnsi="Arial Unicode MS" w:cs="Arial Unicode MS"/>
                    <w:sz w:val="22"/>
                    <w:szCs w:val="22"/>
                  </w:rPr>
                  <w:t xml:space="preserve"> L. tincture showed fungistatic activity starting at 45.36 mg∙mL</w:t>
                </w:r>
              </w:sdtContent>
            </w:sdt>
            <w:r>
              <w:rPr>
                <w:rFonts w:ascii="Arial" w:eastAsia="Arial" w:hAnsi="Arial" w:cs="Arial"/>
                <w:sz w:val="22"/>
                <w:szCs w:val="22"/>
                <w:vertAlign w:val="superscript"/>
              </w:rPr>
              <w:t>-1</w:t>
            </w:r>
            <w:sdt>
              <w:sdtPr>
                <w:tag w:val="goog_rdk_1"/>
                <w:id w:val="-1168390233"/>
              </w:sdtPr>
              <w:sdtContent>
                <w:r>
                  <w:rPr>
                    <w:rFonts w:ascii="Arial Unicode MS" w:eastAsia="Arial Unicode MS" w:hAnsi="Arial Unicode MS" w:cs="Arial Unicode MS"/>
                    <w:sz w:val="22"/>
                    <w:szCs w:val="22"/>
                  </w:rPr>
                  <w:t xml:space="preserve"> and was fungicidal between 90.72 and 362.88 mg∙mL</w:t>
                </w:r>
              </w:sdtContent>
            </w:sdt>
            <w:r>
              <w:rPr>
                <w:rFonts w:ascii="Arial" w:eastAsia="Arial" w:hAnsi="Arial" w:cs="Arial"/>
                <w:sz w:val="22"/>
                <w:szCs w:val="22"/>
                <w:vertAlign w:val="superscript"/>
              </w:rPr>
              <w:t>-1</w:t>
            </w:r>
            <w:r>
              <w:rPr>
                <w:rFonts w:ascii="Arial" w:eastAsia="Arial" w:hAnsi="Arial" w:cs="Arial"/>
                <w:sz w:val="22"/>
                <w:szCs w:val="22"/>
              </w:rPr>
              <w:t xml:space="preserve">. </w:t>
            </w:r>
            <w:sdt>
              <w:sdtPr>
                <w:tag w:val="goog_rdk_2"/>
                <w:id w:val="-1751942580"/>
              </w:sdtPr>
              <w:sdtContent>
                <w:r>
                  <w:rPr>
                    <w:rFonts w:ascii="Arial Unicode MS" w:eastAsia="Arial Unicode MS" w:hAnsi="Arial Unicode MS" w:cs="Arial Unicode MS"/>
                    <w:sz w:val="22"/>
                    <w:szCs w:val="22"/>
                  </w:rPr>
                  <w:t>The tincture reduced biofilm formation variably in the tested yeasts and in a dose-dependent manner with inhibitory concentrations starting at 1.77 mg∙mL</w:t>
                </w:r>
              </w:sdtContent>
            </w:sdt>
            <w:r>
              <w:rPr>
                <w:rFonts w:ascii="Arial" w:eastAsia="Arial" w:hAnsi="Arial" w:cs="Arial"/>
                <w:sz w:val="22"/>
                <w:szCs w:val="22"/>
                <w:vertAlign w:val="superscript"/>
              </w:rPr>
              <w:t>-1</w:t>
            </w:r>
            <w:r>
              <w:rPr>
                <w:rFonts w:ascii="Arial" w:eastAsia="Arial" w:hAnsi="Arial" w:cs="Arial"/>
                <w:sz w:val="22"/>
                <w:szCs w:val="22"/>
              </w:rPr>
              <w:t>.</w:t>
            </w:r>
          </w:p>
          <w:p w14:paraId="4F0ADA58" w14:textId="77777777" w:rsidR="00F15FC8" w:rsidRDefault="00887443">
            <w:pPr>
              <w:spacing w:before="240"/>
              <w:rPr>
                <w:rFonts w:ascii="Arial" w:eastAsia="Arial" w:hAnsi="Arial" w:cs="Arial"/>
                <w:sz w:val="22"/>
                <w:szCs w:val="22"/>
              </w:rPr>
            </w:pPr>
            <w:r>
              <w:rPr>
                <w:rFonts w:ascii="Arial" w:eastAsia="Arial" w:hAnsi="Arial" w:cs="Arial"/>
                <w:b/>
                <w:sz w:val="22"/>
                <w:szCs w:val="22"/>
              </w:rPr>
              <w:lastRenderedPageBreak/>
              <w:t>Conclusion:</w:t>
            </w:r>
            <w:r>
              <w:rPr>
                <w:rFonts w:ascii="Arial" w:eastAsia="Arial" w:hAnsi="Arial" w:cs="Arial"/>
                <w:sz w:val="22"/>
                <w:szCs w:val="22"/>
              </w:rPr>
              <w:t xml:space="preserve"> The </w:t>
            </w:r>
            <w:r>
              <w:rPr>
                <w:rFonts w:ascii="Arial" w:eastAsia="Arial" w:hAnsi="Arial" w:cs="Arial"/>
                <w:i/>
                <w:sz w:val="22"/>
                <w:szCs w:val="22"/>
              </w:rPr>
              <w:t>Curcuma longa</w:t>
            </w:r>
            <w:r>
              <w:rPr>
                <w:rFonts w:ascii="Arial" w:eastAsia="Arial" w:hAnsi="Arial" w:cs="Arial"/>
                <w:sz w:val="22"/>
                <w:szCs w:val="22"/>
              </w:rPr>
              <w:t xml:space="preserve"> L. tincture is a promising herbal medicine, being notably more effective at preventing </w:t>
            </w:r>
            <w:r>
              <w:rPr>
                <w:rFonts w:ascii="Arial" w:eastAsia="Arial" w:hAnsi="Arial" w:cs="Arial"/>
                <w:i/>
                <w:sz w:val="22"/>
                <w:szCs w:val="22"/>
              </w:rPr>
              <w:t>Candida</w:t>
            </w:r>
            <w:r>
              <w:rPr>
                <w:rFonts w:ascii="Arial" w:eastAsia="Arial" w:hAnsi="Arial" w:cs="Arial"/>
                <w:sz w:val="22"/>
                <w:szCs w:val="22"/>
              </w:rPr>
              <w:t xml:space="preserve"> biofilm formation than at eliminating yeasts in suspension, with its superior action attributed to the synergy among its compounds.</w:t>
            </w:r>
          </w:p>
        </w:tc>
      </w:tr>
    </w:tbl>
    <w:commentRangeEnd w:id="2"/>
    <w:p w14:paraId="099F23AD" w14:textId="77777777" w:rsidR="00F15FC8" w:rsidRDefault="00C31436">
      <w:pPr>
        <w:pBdr>
          <w:top w:val="nil"/>
          <w:left w:val="nil"/>
          <w:bottom w:val="nil"/>
          <w:right w:val="nil"/>
          <w:between w:val="nil"/>
        </w:pBdr>
        <w:jc w:val="both"/>
        <w:rPr>
          <w:rFonts w:ascii="Arial" w:eastAsia="Arial" w:hAnsi="Arial" w:cs="Arial"/>
          <w:i/>
          <w:color w:val="000000"/>
        </w:rPr>
      </w:pPr>
      <w:r>
        <w:rPr>
          <w:rStyle w:val="CommentReference"/>
          <w:rFonts w:ascii="Times New Roman" w:hAnsi="Times New Roman"/>
          <w:rtl/>
          <w:lang w:val="nb-NO" w:eastAsia="nb-NO"/>
        </w:rPr>
        <w:lastRenderedPageBreak/>
        <w:commentReference w:id="2"/>
      </w:r>
    </w:p>
    <w:p w14:paraId="39285D9E" w14:textId="77777777" w:rsidR="00F15FC8" w:rsidRDefault="00887443">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r>
        <w:rPr>
          <w:rFonts w:ascii="Arial" w:eastAsia="Arial" w:hAnsi="Arial" w:cs="Arial"/>
          <w:i/>
        </w:rPr>
        <w:t xml:space="preserve">Antifungal, natural products, turmeric, curcumin, microbial biofilm. </w:t>
      </w:r>
    </w:p>
    <w:p w14:paraId="5C9C51F6" w14:textId="77777777" w:rsidR="00F15FC8" w:rsidRDefault="00F15FC8">
      <w:pPr>
        <w:pBdr>
          <w:top w:val="nil"/>
          <w:left w:val="nil"/>
          <w:bottom w:val="nil"/>
          <w:right w:val="nil"/>
          <w:between w:val="nil"/>
        </w:pBdr>
        <w:jc w:val="both"/>
        <w:rPr>
          <w:rFonts w:ascii="Arial" w:eastAsia="Arial" w:hAnsi="Arial" w:cs="Arial"/>
          <w:i/>
        </w:rPr>
      </w:pPr>
    </w:p>
    <w:p w14:paraId="740122DB" w14:textId="77777777" w:rsidR="00F15FC8" w:rsidRDefault="00F15FC8">
      <w:pPr>
        <w:pBdr>
          <w:top w:val="nil"/>
          <w:left w:val="nil"/>
          <w:bottom w:val="nil"/>
          <w:right w:val="nil"/>
          <w:between w:val="nil"/>
        </w:pBdr>
        <w:jc w:val="both"/>
        <w:rPr>
          <w:rFonts w:ascii="Arial" w:eastAsia="Arial" w:hAnsi="Arial" w:cs="Arial"/>
          <w:i/>
          <w:color w:val="000000"/>
          <w:sz w:val="18"/>
          <w:szCs w:val="18"/>
        </w:rPr>
      </w:pPr>
    </w:p>
    <w:p w14:paraId="6AA31940" w14:textId="77777777" w:rsidR="00F15FC8" w:rsidRDefault="00F15FC8">
      <w:pPr>
        <w:pBdr>
          <w:top w:val="nil"/>
          <w:left w:val="nil"/>
          <w:bottom w:val="nil"/>
          <w:right w:val="nil"/>
          <w:between w:val="nil"/>
        </w:pBdr>
        <w:jc w:val="both"/>
        <w:rPr>
          <w:rFonts w:ascii="Arial" w:eastAsia="Arial" w:hAnsi="Arial" w:cs="Arial"/>
          <w:i/>
          <w:color w:val="000000"/>
        </w:rPr>
      </w:pPr>
    </w:p>
    <w:p w14:paraId="0E0CA975" w14:textId="77777777" w:rsidR="00F15FC8" w:rsidRDefault="00887443">
      <w:pPr>
        <w:keepNext/>
        <w:pBdr>
          <w:top w:val="nil"/>
          <w:left w:val="nil"/>
          <w:bottom w:val="nil"/>
          <w:right w:val="nil"/>
          <w:between w:val="nil"/>
        </w:pBdr>
        <w:jc w:val="both"/>
        <w:rPr>
          <w:rFonts w:ascii="Arial" w:eastAsia="Arial" w:hAnsi="Arial" w:cs="Arial"/>
          <w:b/>
          <w:smallCaps/>
          <w:color w:val="000000"/>
          <w:sz w:val="22"/>
          <w:szCs w:val="22"/>
        </w:rPr>
      </w:pPr>
      <w:commentRangeStart w:id="3"/>
      <w:r>
        <w:rPr>
          <w:rFonts w:ascii="Arial" w:eastAsia="Arial" w:hAnsi="Arial" w:cs="Arial"/>
          <w:b/>
          <w:smallCaps/>
          <w:color w:val="000000"/>
          <w:sz w:val="22"/>
          <w:szCs w:val="22"/>
        </w:rPr>
        <w:t xml:space="preserve">1. INTRODUCTION </w:t>
      </w:r>
    </w:p>
    <w:p w14:paraId="16CDB4FD" w14:textId="77777777" w:rsidR="00F15FC8" w:rsidRDefault="00F15FC8">
      <w:pPr>
        <w:keepNext/>
        <w:pBdr>
          <w:top w:val="nil"/>
          <w:left w:val="nil"/>
          <w:bottom w:val="nil"/>
          <w:right w:val="nil"/>
          <w:between w:val="nil"/>
        </w:pBdr>
        <w:jc w:val="both"/>
        <w:rPr>
          <w:rFonts w:ascii="Arial" w:eastAsia="Arial" w:hAnsi="Arial" w:cs="Arial"/>
          <w:b/>
          <w:smallCaps/>
          <w:color w:val="000000"/>
          <w:sz w:val="22"/>
          <w:szCs w:val="22"/>
        </w:rPr>
      </w:pPr>
    </w:p>
    <w:p w14:paraId="6CA50C53"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Candida yeasts represent a significant challenge in healthcare. As opportunistic pathogens, they cause infections in vulnerable hosts and have demonstrated increasing resistance to multiple antifungal agents [1]. Biofilm formation is a crucial virulence characteristic for </w:t>
      </w:r>
      <w:r>
        <w:rPr>
          <w:rFonts w:ascii="Arial" w:eastAsia="Arial" w:hAnsi="Arial" w:cs="Arial"/>
          <w:i/>
          <w:sz w:val="22"/>
          <w:szCs w:val="22"/>
        </w:rPr>
        <w:t>Candida</w:t>
      </w:r>
      <w:r>
        <w:rPr>
          <w:rFonts w:ascii="Arial" w:eastAsia="Arial" w:hAnsi="Arial" w:cs="Arial"/>
          <w:sz w:val="22"/>
          <w:szCs w:val="22"/>
        </w:rPr>
        <w:t xml:space="preserve">, as it not only allows for persistent colonization and protection against the host immune system, but also confers intrinsic and acquired resistance to antifungals. This makes biofilm-associated infections extremely difficult to treat and a serious public health problem [2,3]. </w:t>
      </w:r>
    </w:p>
    <w:p w14:paraId="12D6B1C2"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Microorganisms present in biofilms have the ability to resist antibiotic levels 10 to 1000 times higher compared to their planktonic form, mainly due to the EPS matrix [4]. Furthermore, microbial biofilms frequently trigger progressive infections that, in certain situations, can become chronic problems. Current treatment for implant-associated infections generally involves the administration of high-dose antibiotics, according to the severity of the infection; however, if symptoms persist, surgical replacement may be necessary [5].</w:t>
      </w:r>
    </w:p>
    <w:p w14:paraId="516E1EA4"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The medicinal use of plants has been essential since the dawn of humanity and plays a fundamental role in healthcare, being a common practice in various cultures and traditions. Natural medicines are formed by plant secondary metabolites, which generally exhibit important pharmacological properties [6].</w:t>
      </w:r>
    </w:p>
    <w:p w14:paraId="089A5824"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i/>
          <w:sz w:val="22"/>
          <w:szCs w:val="22"/>
        </w:rPr>
        <w:t xml:space="preserve">Curcuma longa </w:t>
      </w:r>
      <w:r>
        <w:rPr>
          <w:rFonts w:ascii="Arial" w:eastAsia="Arial" w:hAnsi="Arial" w:cs="Arial"/>
          <w:sz w:val="22"/>
          <w:szCs w:val="22"/>
        </w:rPr>
        <w:t xml:space="preserve">L. is popularly known as turmeric, Indian saffron, curry, among other popular names, and has great applicability in cooking as a condiment and dye, due to its flavor and especially its golden-yellow color [7]. Furthermore, it is a medicinal plant highlighted by extensive scientific investigation of its therapeutic properties. It is characterized as a perennial herbaceous plant, native to South Asia, cultivated in various tropical regions [8]. </w:t>
      </w:r>
    </w:p>
    <w:p w14:paraId="24341966"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The rhizome of </w:t>
      </w:r>
      <w:r>
        <w:rPr>
          <w:rFonts w:ascii="Arial" w:eastAsia="Arial" w:hAnsi="Arial" w:cs="Arial"/>
          <w:i/>
          <w:sz w:val="22"/>
          <w:szCs w:val="22"/>
        </w:rPr>
        <w:t>C. longa</w:t>
      </w:r>
      <w:r>
        <w:rPr>
          <w:rFonts w:ascii="Arial" w:eastAsia="Arial" w:hAnsi="Arial" w:cs="Arial"/>
          <w:sz w:val="22"/>
          <w:szCs w:val="22"/>
        </w:rPr>
        <w:t xml:space="preserve"> L., the underground part of the plant, presents a color ranging from brownish-yellow to brownish-ochre. It is the main source of bioactive compounds, with curcumin being the most researched [9]. The main chemical compound of the curcuminoid class is curcumin, a multifunctional molecule with the ability to activate various signaling pathways and possessing anti-inflammatory, antimicrobial properties, and antitumor activity against some aggressive and recurrent types of cancer [10, 11]. Curcumin is a polyphenol of the curcuminoid class and represents 2-5% of the dry weight of turmeric, and standard commercial formulations generally contain curcumin (77%), </w:t>
      </w:r>
      <w:proofErr w:type="spellStart"/>
      <w:r>
        <w:rPr>
          <w:rFonts w:ascii="Arial" w:eastAsia="Arial" w:hAnsi="Arial" w:cs="Arial"/>
          <w:sz w:val="22"/>
          <w:szCs w:val="22"/>
        </w:rPr>
        <w:t>demethoxycurcumin</w:t>
      </w:r>
      <w:proofErr w:type="spellEnd"/>
      <w:r>
        <w:rPr>
          <w:rFonts w:ascii="Arial" w:eastAsia="Arial" w:hAnsi="Arial" w:cs="Arial"/>
          <w:sz w:val="22"/>
          <w:szCs w:val="22"/>
        </w:rPr>
        <w:t xml:space="preserve"> (18%), and bisdemethoxycurcumin (5%). It is highly soluble in ethanol, its efficacy varies according to the extraction method and temperature, but pure curcumin is not always more effective than whole turmeric extracts, which contain synergistic compounds (e.g., turmerones, volatile oils) [12]. The bioactive compounds present in turmeric, </w:t>
      </w:r>
      <w:r>
        <w:rPr>
          <w:rFonts w:ascii="Arial" w:eastAsia="Arial" w:hAnsi="Arial" w:cs="Arial"/>
          <w:sz w:val="22"/>
          <w:szCs w:val="22"/>
        </w:rPr>
        <w:lastRenderedPageBreak/>
        <w:t xml:space="preserve">especially curcuminoids and essential oils, have the ability to inhibit biofilm formation. This action is due to the presence of substances such as curcumin, </w:t>
      </w:r>
      <w:proofErr w:type="spellStart"/>
      <w:r>
        <w:rPr>
          <w:rFonts w:ascii="Arial" w:eastAsia="Arial" w:hAnsi="Arial" w:cs="Arial"/>
          <w:sz w:val="22"/>
          <w:szCs w:val="22"/>
        </w:rPr>
        <w:t>ar</w:t>
      </w:r>
      <w:proofErr w:type="spellEnd"/>
      <w:r>
        <w:rPr>
          <w:rFonts w:ascii="Arial" w:eastAsia="Arial" w:hAnsi="Arial" w:cs="Arial"/>
          <w:sz w:val="22"/>
          <w:szCs w:val="22"/>
        </w:rPr>
        <w:t xml:space="preserve">-turmerone, α-turmerone, and β-turmerone, which interfere with bacterial adhesion and reduce the cellular viability of microorganisms. These findings reinforce turmeric's potential as a natural and effective alternative in combating the formation of pathogenic biofilms [13]. </w:t>
      </w:r>
    </w:p>
    <w:p w14:paraId="7DBF19FE"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Tincture of </w:t>
      </w:r>
      <w:r>
        <w:rPr>
          <w:rFonts w:ascii="Arial" w:eastAsia="Arial" w:hAnsi="Arial" w:cs="Arial"/>
          <w:i/>
          <w:sz w:val="22"/>
          <w:szCs w:val="22"/>
        </w:rPr>
        <w:t>C. longa</w:t>
      </w:r>
      <w:r>
        <w:rPr>
          <w:rFonts w:ascii="Arial" w:eastAsia="Arial" w:hAnsi="Arial" w:cs="Arial"/>
          <w:sz w:val="22"/>
          <w:szCs w:val="22"/>
        </w:rPr>
        <w:t xml:space="preserve"> L. is prepared by extracting compounds from the rhizome using ethanol as a solvent. This process concentrates the plant's active principles, making the tincture a potent form of administration. Traditionally, turmeric tincture has been used to treat a variety of conditions, including digestive problems, inflammations, and wounds [14]. The ethanolic extract of </w:t>
      </w:r>
      <w:r>
        <w:rPr>
          <w:rFonts w:ascii="Arial" w:eastAsia="Arial" w:hAnsi="Arial" w:cs="Arial"/>
          <w:i/>
          <w:sz w:val="22"/>
          <w:szCs w:val="22"/>
        </w:rPr>
        <w:t>C. longa</w:t>
      </w:r>
      <w:r>
        <w:rPr>
          <w:rFonts w:ascii="Arial" w:eastAsia="Arial" w:hAnsi="Arial" w:cs="Arial"/>
          <w:sz w:val="22"/>
          <w:szCs w:val="22"/>
        </w:rPr>
        <w:t xml:space="preserve"> L. exhibits significant antifungal activity against yeasts, notably inhibiting the growth of </w:t>
      </w:r>
      <w:r>
        <w:rPr>
          <w:rFonts w:ascii="Arial" w:eastAsia="Arial" w:hAnsi="Arial" w:cs="Arial"/>
          <w:i/>
          <w:sz w:val="22"/>
          <w:szCs w:val="22"/>
        </w:rPr>
        <w:t>Candida albicans</w:t>
      </w:r>
      <w:r>
        <w:rPr>
          <w:rFonts w:ascii="Arial" w:eastAsia="Arial" w:hAnsi="Arial" w:cs="Arial"/>
          <w:sz w:val="22"/>
          <w:szCs w:val="22"/>
        </w:rPr>
        <w:t xml:space="preserve">. This activity is primarily attributed to curcuminoids - curcumin, </w:t>
      </w:r>
      <w:proofErr w:type="spellStart"/>
      <w:r>
        <w:rPr>
          <w:rFonts w:ascii="Arial" w:eastAsia="Arial" w:hAnsi="Arial" w:cs="Arial"/>
          <w:sz w:val="22"/>
          <w:szCs w:val="22"/>
        </w:rPr>
        <w:t>demethoxycurcumin</w:t>
      </w:r>
      <w:proofErr w:type="spellEnd"/>
      <w:r>
        <w:rPr>
          <w:rFonts w:ascii="Arial" w:eastAsia="Arial" w:hAnsi="Arial" w:cs="Arial"/>
          <w:sz w:val="22"/>
          <w:szCs w:val="22"/>
        </w:rPr>
        <w:t xml:space="preserve">, and bisdemethoxycurcumin - and volatile oils present in the extract, which act by damaging the fungal cell membrane [12]. </w:t>
      </w:r>
    </w:p>
    <w:p w14:paraId="27553177"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In this context, considering the need for the development of new antimicrobial agents and/or technologies to address the challenges posed by fungal infections, we investigated the antifungal activity of </w:t>
      </w:r>
      <w:r>
        <w:rPr>
          <w:rFonts w:ascii="Arial" w:eastAsia="Arial" w:hAnsi="Arial" w:cs="Arial"/>
          <w:i/>
          <w:sz w:val="22"/>
          <w:szCs w:val="22"/>
        </w:rPr>
        <w:t>C. longa</w:t>
      </w:r>
      <w:r>
        <w:rPr>
          <w:rFonts w:ascii="Arial" w:eastAsia="Arial" w:hAnsi="Arial" w:cs="Arial"/>
          <w:sz w:val="22"/>
          <w:szCs w:val="22"/>
        </w:rPr>
        <w:t xml:space="preserve"> L. tincture against </w:t>
      </w:r>
      <w:r>
        <w:rPr>
          <w:rFonts w:ascii="Arial" w:eastAsia="Arial" w:hAnsi="Arial" w:cs="Arial"/>
          <w:i/>
          <w:sz w:val="22"/>
          <w:szCs w:val="22"/>
        </w:rPr>
        <w:t>Candida</w:t>
      </w:r>
      <w:r>
        <w:rPr>
          <w:rFonts w:ascii="Arial" w:eastAsia="Arial" w:hAnsi="Arial" w:cs="Arial"/>
          <w:sz w:val="22"/>
          <w:szCs w:val="22"/>
        </w:rPr>
        <w:t xml:space="preserve"> genus yeasts, with an emphasis on inhibiting biofilm formation. We also analyzed several protocol parameters, such as curcumin concentration, different </w:t>
      </w:r>
      <w:r>
        <w:rPr>
          <w:rFonts w:ascii="Arial" w:eastAsia="Arial" w:hAnsi="Arial" w:cs="Arial"/>
          <w:i/>
          <w:sz w:val="22"/>
          <w:szCs w:val="22"/>
        </w:rPr>
        <w:t>Candida</w:t>
      </w:r>
      <w:r>
        <w:rPr>
          <w:rFonts w:ascii="Arial" w:eastAsia="Arial" w:hAnsi="Arial" w:cs="Arial"/>
          <w:sz w:val="22"/>
          <w:szCs w:val="22"/>
        </w:rPr>
        <w:t xml:space="preserve"> species, and the evaluation of activity against planktonic and biofilm-associated cells.</w:t>
      </w:r>
      <w:commentRangeEnd w:id="3"/>
      <w:r w:rsidR="00D2681B">
        <w:rPr>
          <w:rStyle w:val="CommentReference"/>
          <w:rFonts w:ascii="Times New Roman" w:hAnsi="Times New Roman"/>
          <w:rtl/>
          <w:lang w:val="nb-NO" w:eastAsia="nb-NO"/>
        </w:rPr>
        <w:commentReference w:id="3"/>
      </w:r>
    </w:p>
    <w:p w14:paraId="0A577661" w14:textId="77777777" w:rsidR="00F15FC8" w:rsidRDefault="00F15FC8">
      <w:pPr>
        <w:pBdr>
          <w:top w:val="nil"/>
          <w:left w:val="nil"/>
          <w:bottom w:val="nil"/>
          <w:right w:val="nil"/>
          <w:between w:val="nil"/>
        </w:pBdr>
        <w:jc w:val="both"/>
        <w:rPr>
          <w:rFonts w:ascii="Arial" w:eastAsia="Arial" w:hAnsi="Arial" w:cs="Arial"/>
        </w:rPr>
      </w:pPr>
    </w:p>
    <w:p w14:paraId="58651A0A" w14:textId="77777777" w:rsidR="00F15FC8" w:rsidRDefault="00F15FC8">
      <w:pPr>
        <w:pBdr>
          <w:top w:val="nil"/>
          <w:left w:val="nil"/>
          <w:bottom w:val="nil"/>
          <w:right w:val="nil"/>
          <w:between w:val="nil"/>
        </w:pBdr>
        <w:jc w:val="both"/>
        <w:rPr>
          <w:rFonts w:ascii="Arial" w:eastAsia="Arial" w:hAnsi="Arial" w:cs="Arial"/>
        </w:rPr>
      </w:pPr>
    </w:p>
    <w:p w14:paraId="39A4D151" w14:textId="3BDC8C03" w:rsidR="00F15FC8" w:rsidRDefault="00887443">
      <w:pPr>
        <w:keepNext/>
        <w:pBdr>
          <w:top w:val="nil"/>
          <w:left w:val="nil"/>
          <w:bottom w:val="nil"/>
          <w:right w:val="nil"/>
          <w:between w:val="nil"/>
        </w:pBdr>
        <w:jc w:val="both"/>
        <w:rPr>
          <w:rFonts w:ascii="Arial" w:eastAsia="Arial" w:hAnsi="Arial" w:cs="Arial"/>
          <w:b/>
          <w:smallCaps/>
          <w:color w:val="000000"/>
          <w:sz w:val="22"/>
          <w:szCs w:val="22"/>
        </w:rPr>
      </w:pPr>
      <w:commentRangeStart w:id="4"/>
      <w:r>
        <w:rPr>
          <w:rFonts w:ascii="Arial" w:eastAsia="Arial" w:hAnsi="Arial" w:cs="Arial"/>
          <w:b/>
          <w:smallCaps/>
          <w:color w:val="000000"/>
          <w:sz w:val="22"/>
          <w:szCs w:val="22"/>
        </w:rPr>
        <w:t xml:space="preserve">2. material and methods </w:t>
      </w:r>
      <w:commentRangeEnd w:id="4"/>
      <w:r w:rsidR="00D2681B">
        <w:rPr>
          <w:rStyle w:val="CommentReference"/>
          <w:rFonts w:ascii="Times New Roman" w:hAnsi="Times New Roman"/>
          <w:rtl/>
          <w:lang w:val="nb-NO" w:eastAsia="nb-NO"/>
        </w:rPr>
        <w:commentReference w:id="4"/>
      </w:r>
    </w:p>
    <w:p w14:paraId="02FEE88C" w14:textId="77777777" w:rsidR="00F15FC8" w:rsidRDefault="00F15FC8">
      <w:pPr>
        <w:keepNext/>
        <w:pBdr>
          <w:top w:val="nil"/>
          <w:left w:val="nil"/>
          <w:bottom w:val="nil"/>
          <w:right w:val="nil"/>
          <w:between w:val="nil"/>
        </w:pBdr>
        <w:jc w:val="both"/>
        <w:rPr>
          <w:rFonts w:ascii="Arial" w:eastAsia="Arial" w:hAnsi="Arial" w:cs="Arial"/>
          <w:b/>
          <w:smallCaps/>
          <w:sz w:val="22"/>
          <w:szCs w:val="22"/>
        </w:rPr>
      </w:pPr>
    </w:p>
    <w:p w14:paraId="082BE75A" w14:textId="77777777" w:rsidR="00F15FC8" w:rsidRDefault="00887443">
      <w:pPr>
        <w:spacing w:before="200" w:after="200" w:line="360" w:lineRule="auto"/>
        <w:jc w:val="both"/>
        <w:rPr>
          <w:rFonts w:ascii="Arial" w:eastAsia="Arial" w:hAnsi="Arial" w:cs="Arial"/>
          <w:sz w:val="22"/>
          <w:szCs w:val="22"/>
        </w:rPr>
      </w:pPr>
      <w:r>
        <w:rPr>
          <w:rFonts w:ascii="Arial" w:eastAsia="Arial" w:hAnsi="Arial" w:cs="Arial"/>
          <w:b/>
          <w:sz w:val="22"/>
          <w:szCs w:val="22"/>
        </w:rPr>
        <w:t>2.1 Characterization of the evaluated product</w:t>
      </w:r>
    </w:p>
    <w:p w14:paraId="17572CC9"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i/>
          <w:sz w:val="22"/>
          <w:szCs w:val="22"/>
        </w:rPr>
        <w:t>C. longa</w:t>
      </w:r>
      <w:r>
        <w:rPr>
          <w:rFonts w:ascii="Arial" w:eastAsia="Arial" w:hAnsi="Arial" w:cs="Arial"/>
          <w:sz w:val="22"/>
          <w:szCs w:val="22"/>
        </w:rPr>
        <w:t xml:space="preserve"> L. tincture (</w:t>
      </w:r>
      <w:r>
        <w:rPr>
          <w:rFonts w:ascii="Arial" w:eastAsia="Arial" w:hAnsi="Arial" w:cs="Arial"/>
          <w:i/>
          <w:sz w:val="22"/>
          <w:szCs w:val="22"/>
        </w:rPr>
        <w:t>Curcuma longa</w:t>
      </w:r>
      <w:r>
        <w:rPr>
          <w:rFonts w:ascii="Arial" w:eastAsia="Arial" w:hAnsi="Arial" w:cs="Arial"/>
          <w:sz w:val="22"/>
          <w:szCs w:val="22"/>
        </w:rPr>
        <w:t xml:space="preserve"> Bio-Tincture - Turmeric 100 mL, manufacturer </w:t>
      </w:r>
      <w:proofErr w:type="spellStart"/>
      <w:r>
        <w:rPr>
          <w:rFonts w:ascii="Arial" w:eastAsia="Arial" w:hAnsi="Arial" w:cs="Arial"/>
          <w:sz w:val="22"/>
          <w:szCs w:val="22"/>
        </w:rPr>
        <w:t>Livealoe</w:t>
      </w:r>
      <w:proofErr w:type="spellEnd"/>
      <w:r>
        <w:rPr>
          <w:rFonts w:ascii="Arial" w:eastAsia="Arial" w:hAnsi="Arial" w:cs="Arial"/>
          <w:sz w:val="22"/>
          <w:szCs w:val="22"/>
        </w:rPr>
        <w:t>, batch 008, valid until 06/11/2026) was evaluated. The tincture consists of a 1:2 hydroalcoholic extract of turmeric root, which, according to the manufacturer, was produced from plants organically grown in the Brazilian Cerrado (</w:t>
      </w:r>
      <w:hyperlink r:id="rId18">
        <w:r w:rsidR="00F15FC8">
          <w:rPr>
            <w:rFonts w:ascii="Arial" w:eastAsia="Arial" w:hAnsi="Arial" w:cs="Arial"/>
            <w:color w:val="1155CC"/>
            <w:sz w:val="22"/>
            <w:szCs w:val="22"/>
            <w:u w:val="single"/>
          </w:rPr>
          <w:t>https://www.livealoe.com.br/curcuma-longa-bio-tintura-100-ml</w:t>
        </w:r>
      </w:hyperlink>
      <w:r>
        <w:rPr>
          <w:rFonts w:ascii="Arial" w:eastAsia="Arial" w:hAnsi="Arial" w:cs="Arial"/>
          <w:sz w:val="22"/>
          <w:szCs w:val="22"/>
        </w:rPr>
        <w:t xml:space="preserve">). The product is an extract of </w:t>
      </w:r>
      <w:r>
        <w:rPr>
          <w:rFonts w:ascii="Arial" w:eastAsia="Arial" w:hAnsi="Arial" w:cs="Arial"/>
          <w:i/>
          <w:sz w:val="22"/>
          <w:szCs w:val="22"/>
        </w:rPr>
        <w:t>Curcuma longa</w:t>
      </w:r>
      <w:r>
        <w:rPr>
          <w:rFonts w:ascii="Arial" w:eastAsia="Arial" w:hAnsi="Arial" w:cs="Arial"/>
          <w:sz w:val="22"/>
          <w:szCs w:val="22"/>
        </w:rPr>
        <w:t xml:space="preserve"> L. rhizome at 1:2 in 35-45% v/v ethanol, with purified water </w:t>
      </w:r>
      <w:proofErr w:type="spellStart"/>
      <w:r>
        <w:rPr>
          <w:rFonts w:ascii="Arial" w:eastAsia="Arial" w:hAnsi="Arial" w:cs="Arial"/>
          <w:sz w:val="22"/>
          <w:szCs w:val="22"/>
        </w:rPr>
        <w:t>q.s.p</w:t>
      </w:r>
      <w:proofErr w:type="spellEnd"/>
      <w:r>
        <w:rPr>
          <w:rFonts w:ascii="Arial" w:eastAsia="Arial" w:hAnsi="Arial" w:cs="Arial"/>
          <w:sz w:val="22"/>
          <w:szCs w:val="22"/>
        </w:rPr>
        <w:t>., meaning it is a liquid extract that preserves the botanical properties of the plant without artificial coloring or added pigments.</w:t>
      </w:r>
    </w:p>
    <w:p w14:paraId="065DD143"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mass and concentration of the </w:t>
      </w:r>
      <w:r>
        <w:rPr>
          <w:rFonts w:ascii="Arial" w:eastAsia="Arial" w:hAnsi="Arial" w:cs="Arial"/>
          <w:i/>
          <w:sz w:val="22"/>
          <w:szCs w:val="22"/>
        </w:rPr>
        <w:t>Curcuma longa</w:t>
      </w:r>
      <w:r>
        <w:rPr>
          <w:rFonts w:ascii="Arial" w:eastAsia="Arial" w:hAnsi="Arial" w:cs="Arial"/>
          <w:sz w:val="22"/>
          <w:szCs w:val="22"/>
        </w:rPr>
        <w:t xml:space="preserve"> ethanolic extract were determined by </w:t>
      </w:r>
      <w:proofErr w:type="spellStart"/>
      <w:r>
        <w:rPr>
          <w:rFonts w:ascii="Arial" w:eastAsia="Arial" w:hAnsi="Arial" w:cs="Arial"/>
          <w:sz w:val="22"/>
          <w:szCs w:val="22"/>
        </w:rPr>
        <w:t>rotoevaporation</w:t>
      </w:r>
      <w:proofErr w:type="spellEnd"/>
      <w:r>
        <w:rPr>
          <w:rFonts w:ascii="Arial" w:eastAsia="Arial" w:hAnsi="Arial" w:cs="Arial"/>
          <w:sz w:val="22"/>
          <w:szCs w:val="22"/>
        </w:rPr>
        <w:t xml:space="preserve"> of the ethanolic solvent, followed by lyophilization. The mass was obtained by weighing the solid after lyophilization, and the concentration (mg</w:t>
      </w:r>
      <w:sdt>
        <w:sdtPr>
          <w:tag w:val="goog_rdk_3"/>
          <w:id w:val="-244299623"/>
        </w:sdtPr>
        <w:sdtContent>
          <w:r>
            <w:rPr>
              <w:rFonts w:ascii="Arial Unicode MS" w:eastAsia="Arial Unicode MS" w:hAnsi="Arial Unicode MS" w:cs="Arial Unicode MS"/>
              <w:sz w:val="22"/>
              <w:szCs w:val="22"/>
            </w:rPr>
            <w:t>∙mL</w:t>
          </w:r>
        </w:sdtContent>
      </w:sdt>
      <w:r>
        <w:rPr>
          <w:rFonts w:ascii="Arial" w:eastAsia="Arial" w:hAnsi="Arial" w:cs="Arial"/>
          <w:sz w:val="22"/>
          <w:szCs w:val="22"/>
          <w:vertAlign w:val="superscript"/>
        </w:rPr>
        <w:t>-1</w:t>
      </w:r>
      <w:r>
        <w:rPr>
          <w:rFonts w:ascii="Arial" w:eastAsia="Arial" w:hAnsi="Arial" w:cs="Arial"/>
          <w:sz w:val="22"/>
          <w:szCs w:val="22"/>
        </w:rPr>
        <w:t>) was calculated as the ratio between the mass of solids and the volume of tincture used. This process allowed for precise quantification while preserving thermolabile compounds.</w:t>
      </w:r>
    </w:p>
    <w:p w14:paraId="5831AF0C"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chromatographic profile of compounds present in the </w:t>
      </w:r>
      <w:r>
        <w:rPr>
          <w:rFonts w:ascii="Arial" w:eastAsia="Arial" w:hAnsi="Arial" w:cs="Arial"/>
          <w:i/>
          <w:sz w:val="22"/>
          <w:szCs w:val="22"/>
        </w:rPr>
        <w:t>Curcuma longa</w:t>
      </w:r>
      <w:r>
        <w:rPr>
          <w:rFonts w:ascii="Arial" w:eastAsia="Arial" w:hAnsi="Arial" w:cs="Arial"/>
          <w:sz w:val="22"/>
          <w:szCs w:val="22"/>
        </w:rPr>
        <w:t xml:space="preserve"> tincture was performed using high-performance liquid chromatography with a diode array detector (HPLC-DAD). A C18 reversed-phase column (Phenomenex, 4.6 mm x 25 cm, 0.25𝜇m) was used for separation, with gradient elution of acid formic 0.1% (A) and acetonitrile (B). The elution gradient started at 60:40 (solvent A:solvent B) and was maintained for 20 minutes. It then increased to 60% solvent A over the course of 2 </w:t>
      </w:r>
      <w:r>
        <w:rPr>
          <w:rFonts w:ascii="Arial" w:eastAsia="Arial" w:hAnsi="Arial" w:cs="Arial"/>
          <w:sz w:val="22"/>
          <w:szCs w:val="22"/>
        </w:rPr>
        <w:lastRenderedPageBreak/>
        <w:t>minutes and was held at this composition for an additional 3 minutes. The flow rate was set at 1.0 mL/min and 5 𝜇L was injected. Identification was based on comparing retention times and absorption spectra of the peaks in the chromatograms, and the profile was compared with literature data. To verify the presence of curcuminoids, a synthesized curcumin was used as a standard and compared with the profile, and the corresponding peak was identified by retention time comparison.</w:t>
      </w:r>
    </w:p>
    <w:p w14:paraId="05154E4B" w14:textId="77777777" w:rsidR="00F15FC8" w:rsidRDefault="00887443">
      <w:pPr>
        <w:ind w:firstLine="284"/>
        <w:jc w:val="both"/>
        <w:rPr>
          <w:rFonts w:ascii="Arial" w:eastAsia="Arial" w:hAnsi="Arial" w:cs="Arial"/>
          <w:sz w:val="22"/>
          <w:szCs w:val="22"/>
        </w:rPr>
      </w:pPr>
      <w:r>
        <w:rPr>
          <w:rFonts w:ascii="Arial" w:eastAsia="Arial" w:hAnsi="Arial" w:cs="Arial"/>
          <w:sz w:val="22"/>
          <w:szCs w:val="22"/>
          <w:highlight w:val="white"/>
        </w:rPr>
        <w:t xml:space="preserve">For the microbiological assays, the tincture (1:2) was serially diluted in </w:t>
      </w:r>
      <w:r>
        <w:rPr>
          <w:rFonts w:ascii="Arial" w:eastAsia="Arial" w:hAnsi="Arial" w:cs="Arial"/>
          <w:i/>
          <w:sz w:val="22"/>
          <w:szCs w:val="22"/>
        </w:rPr>
        <w:t>Brain Heart Infusion</w:t>
      </w:r>
      <w:r>
        <w:rPr>
          <w:rFonts w:ascii="Arial" w:eastAsia="Arial" w:hAnsi="Arial" w:cs="Arial"/>
          <w:sz w:val="22"/>
          <w:szCs w:val="22"/>
        </w:rPr>
        <w:t xml:space="preserve"> broth supplemented with 2% sucrose (BHIS) to obtain the concentration ranges for the tests. All procedures were performed aseptically.</w:t>
      </w:r>
    </w:p>
    <w:p w14:paraId="1D6956D5" w14:textId="77777777" w:rsidR="00F15FC8" w:rsidRDefault="00F15FC8">
      <w:pPr>
        <w:ind w:firstLine="284"/>
        <w:jc w:val="both"/>
        <w:rPr>
          <w:rFonts w:ascii="Arial" w:eastAsia="Arial" w:hAnsi="Arial" w:cs="Arial"/>
          <w:sz w:val="22"/>
          <w:szCs w:val="22"/>
        </w:rPr>
      </w:pPr>
    </w:p>
    <w:p w14:paraId="6D34FD12" w14:textId="77777777" w:rsidR="00F15FC8" w:rsidRDefault="00887443">
      <w:pPr>
        <w:keepNext/>
        <w:spacing w:before="200" w:after="200"/>
        <w:ind w:left="360"/>
        <w:rPr>
          <w:rFonts w:ascii="Arial" w:eastAsia="Arial" w:hAnsi="Arial" w:cs="Arial"/>
          <w:sz w:val="22"/>
          <w:szCs w:val="22"/>
        </w:rPr>
      </w:pPr>
      <w:r>
        <w:rPr>
          <w:rFonts w:ascii="Arial" w:eastAsia="Arial" w:hAnsi="Arial" w:cs="Arial"/>
          <w:b/>
          <w:smallCaps/>
          <w:sz w:val="22"/>
          <w:szCs w:val="22"/>
        </w:rPr>
        <w:t xml:space="preserve">2.2 </w:t>
      </w:r>
      <w:r>
        <w:rPr>
          <w:rFonts w:ascii="Arial" w:eastAsia="Arial" w:hAnsi="Arial" w:cs="Arial"/>
          <w:b/>
          <w:sz w:val="22"/>
          <w:szCs w:val="22"/>
        </w:rPr>
        <w:t>Yeasts activation</w:t>
      </w:r>
    </w:p>
    <w:p w14:paraId="24DD979F"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Frozen stocks of yeasts from the microorganism collection of the Bioassay Laboratory at the Research and Postgraduate Center of UEG were reactivated on </w:t>
      </w:r>
      <w:proofErr w:type="spellStart"/>
      <w:r>
        <w:rPr>
          <w:rFonts w:ascii="Arial" w:eastAsia="Arial" w:hAnsi="Arial" w:cs="Arial"/>
          <w:sz w:val="22"/>
          <w:szCs w:val="22"/>
        </w:rPr>
        <w:t>Sabouraud</w:t>
      </w:r>
      <w:proofErr w:type="spellEnd"/>
      <w:r>
        <w:rPr>
          <w:rFonts w:ascii="Arial" w:eastAsia="Arial" w:hAnsi="Arial" w:cs="Arial"/>
          <w:sz w:val="22"/>
          <w:szCs w:val="22"/>
        </w:rPr>
        <w:t xml:space="preserve"> agar and incubated at 35.5 °C for 48 hours before the assays. The yeasts tested were </w:t>
      </w:r>
      <w:r>
        <w:rPr>
          <w:rFonts w:ascii="Arial" w:eastAsia="Arial" w:hAnsi="Arial" w:cs="Arial"/>
          <w:i/>
          <w:sz w:val="22"/>
          <w:szCs w:val="22"/>
        </w:rPr>
        <w:t>Candida albicans</w:t>
      </w:r>
      <w:r>
        <w:rPr>
          <w:rFonts w:ascii="Arial" w:eastAsia="Arial" w:hAnsi="Arial" w:cs="Arial"/>
          <w:sz w:val="22"/>
          <w:szCs w:val="22"/>
        </w:rPr>
        <w:t xml:space="preserve"> ATCC 10231, </w:t>
      </w:r>
      <w:r>
        <w:rPr>
          <w:rFonts w:ascii="Arial" w:eastAsia="Arial" w:hAnsi="Arial" w:cs="Arial"/>
          <w:i/>
          <w:sz w:val="22"/>
          <w:szCs w:val="22"/>
        </w:rPr>
        <w:t xml:space="preserve">Candida </w:t>
      </w:r>
      <w:proofErr w:type="spellStart"/>
      <w:r>
        <w:rPr>
          <w:rFonts w:ascii="Arial" w:eastAsia="Arial" w:hAnsi="Arial" w:cs="Arial"/>
          <w:i/>
          <w:sz w:val="22"/>
          <w:szCs w:val="22"/>
        </w:rPr>
        <w:t>metapsilosis</w:t>
      </w:r>
      <w:proofErr w:type="spellEnd"/>
      <w:r>
        <w:rPr>
          <w:rFonts w:ascii="Arial" w:eastAsia="Arial" w:hAnsi="Arial" w:cs="Arial"/>
          <w:sz w:val="22"/>
          <w:szCs w:val="22"/>
        </w:rPr>
        <w:t xml:space="preserve"> ATCC 96143, </w:t>
      </w:r>
      <w:r>
        <w:rPr>
          <w:rFonts w:ascii="Arial" w:eastAsia="Arial" w:hAnsi="Arial" w:cs="Arial"/>
          <w:i/>
          <w:sz w:val="22"/>
          <w:szCs w:val="22"/>
        </w:rPr>
        <w:t xml:space="preserve">Candida </w:t>
      </w:r>
      <w:proofErr w:type="spellStart"/>
      <w:r>
        <w:rPr>
          <w:rFonts w:ascii="Arial" w:eastAsia="Arial" w:hAnsi="Arial" w:cs="Arial"/>
          <w:i/>
          <w:sz w:val="22"/>
          <w:szCs w:val="22"/>
        </w:rPr>
        <w:t>dubliniensis</w:t>
      </w:r>
      <w:proofErr w:type="spellEnd"/>
      <w:r>
        <w:rPr>
          <w:rFonts w:ascii="Arial" w:eastAsia="Arial" w:hAnsi="Arial" w:cs="Arial"/>
          <w:sz w:val="22"/>
          <w:szCs w:val="22"/>
        </w:rPr>
        <w:t xml:space="preserve"> ATCC MYA-646, </w:t>
      </w:r>
      <w:r>
        <w:rPr>
          <w:rFonts w:ascii="Arial" w:eastAsia="Arial" w:hAnsi="Arial" w:cs="Arial"/>
          <w:i/>
          <w:sz w:val="22"/>
          <w:szCs w:val="22"/>
        </w:rPr>
        <w:t xml:space="preserve">Candida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ATCC 96141, and </w:t>
      </w:r>
      <w:r>
        <w:rPr>
          <w:rFonts w:ascii="Arial" w:eastAsia="Arial" w:hAnsi="Arial" w:cs="Arial"/>
          <w:i/>
          <w:sz w:val="22"/>
          <w:szCs w:val="22"/>
        </w:rPr>
        <w:t xml:space="preserve">Candida </w:t>
      </w:r>
      <w:proofErr w:type="spellStart"/>
      <w:r>
        <w:rPr>
          <w:rFonts w:ascii="Arial" w:eastAsia="Arial" w:hAnsi="Arial" w:cs="Arial"/>
          <w:i/>
          <w:sz w:val="22"/>
          <w:szCs w:val="22"/>
        </w:rPr>
        <w:t>parapsilosis</w:t>
      </w:r>
      <w:proofErr w:type="spellEnd"/>
      <w:r>
        <w:rPr>
          <w:rFonts w:ascii="Arial" w:eastAsia="Arial" w:hAnsi="Arial" w:cs="Arial"/>
          <w:sz w:val="22"/>
          <w:szCs w:val="22"/>
        </w:rPr>
        <w:t xml:space="preserve"> ATCC 22019.</w:t>
      </w:r>
    </w:p>
    <w:p w14:paraId="640E80CE" w14:textId="77777777" w:rsidR="00F15FC8" w:rsidRDefault="00F15FC8">
      <w:pPr>
        <w:ind w:firstLine="284"/>
        <w:jc w:val="both"/>
        <w:rPr>
          <w:rFonts w:ascii="Arial" w:eastAsia="Arial" w:hAnsi="Arial" w:cs="Arial"/>
          <w:sz w:val="22"/>
          <w:szCs w:val="22"/>
        </w:rPr>
      </w:pPr>
    </w:p>
    <w:p w14:paraId="1B705B12" w14:textId="77777777" w:rsidR="00F15FC8" w:rsidRDefault="00887443">
      <w:pPr>
        <w:spacing w:before="200" w:after="200"/>
        <w:jc w:val="both"/>
        <w:rPr>
          <w:rFonts w:ascii="Arial" w:eastAsia="Arial" w:hAnsi="Arial" w:cs="Arial"/>
          <w:sz w:val="22"/>
          <w:szCs w:val="22"/>
        </w:rPr>
      </w:pPr>
      <w:r>
        <w:rPr>
          <w:rFonts w:ascii="Arial" w:eastAsia="Arial" w:hAnsi="Arial" w:cs="Arial"/>
          <w:b/>
          <w:sz w:val="22"/>
          <w:szCs w:val="22"/>
        </w:rPr>
        <w:t>2.3</w:t>
      </w:r>
      <w:r>
        <w:rPr>
          <w:rFonts w:ascii="Arial" w:eastAsia="Arial" w:hAnsi="Arial" w:cs="Arial"/>
          <w:b/>
          <w:i/>
          <w:sz w:val="22"/>
          <w:szCs w:val="22"/>
        </w:rPr>
        <w:t xml:space="preserve"> Candida </w:t>
      </w:r>
      <w:r>
        <w:rPr>
          <w:rFonts w:ascii="Arial" w:eastAsia="Arial" w:hAnsi="Arial" w:cs="Arial"/>
          <w:b/>
          <w:sz w:val="22"/>
          <w:szCs w:val="22"/>
        </w:rPr>
        <w:t>spp</w:t>
      </w:r>
      <w:r>
        <w:rPr>
          <w:rFonts w:ascii="Arial" w:eastAsia="Arial" w:hAnsi="Arial" w:cs="Arial"/>
          <w:b/>
          <w:i/>
          <w:sz w:val="22"/>
          <w:szCs w:val="22"/>
        </w:rPr>
        <w:t>.</w:t>
      </w:r>
      <w:r>
        <w:rPr>
          <w:rFonts w:ascii="Arial" w:eastAsia="Arial" w:hAnsi="Arial" w:cs="Arial"/>
          <w:b/>
          <w:sz w:val="22"/>
          <w:szCs w:val="22"/>
        </w:rPr>
        <w:t xml:space="preserve"> Biofilm Formation Assays</w:t>
      </w:r>
    </w:p>
    <w:p w14:paraId="40627B29"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Biofilm formation was evaluated by determining the total biomass in flat-bottom polystyrene microplates stained with crystal violet [15] For total biomass determination, yeasts were reactivated, and after incubation, typical colonies were suspended in sterile physiological saline (SPS), and inoculum densities were adjusted to 0.5 McFarland standard. Subsequently, 500 </w:t>
      </w:r>
      <w:proofErr w:type="spellStart"/>
      <w:r>
        <w:rPr>
          <w:rFonts w:ascii="Arial" w:eastAsia="Arial" w:hAnsi="Arial" w:cs="Arial"/>
          <w:sz w:val="22"/>
          <w:szCs w:val="22"/>
        </w:rPr>
        <w:t>μL</w:t>
      </w:r>
      <w:proofErr w:type="spellEnd"/>
      <w:r>
        <w:rPr>
          <w:rFonts w:ascii="Arial" w:eastAsia="Arial" w:hAnsi="Arial" w:cs="Arial"/>
          <w:sz w:val="22"/>
          <w:szCs w:val="22"/>
        </w:rPr>
        <w:t xml:space="preserve"> of the yeast suspension was transferred to 4500 </w:t>
      </w:r>
      <w:proofErr w:type="spellStart"/>
      <w:r>
        <w:rPr>
          <w:rFonts w:ascii="Arial" w:eastAsia="Arial" w:hAnsi="Arial" w:cs="Arial"/>
          <w:sz w:val="22"/>
          <w:szCs w:val="22"/>
        </w:rPr>
        <w:t>μL</w:t>
      </w:r>
      <w:proofErr w:type="spellEnd"/>
      <w:r>
        <w:rPr>
          <w:rFonts w:ascii="Arial" w:eastAsia="Arial" w:hAnsi="Arial" w:cs="Arial"/>
          <w:sz w:val="22"/>
          <w:szCs w:val="22"/>
        </w:rPr>
        <w:t xml:space="preserve"> of BHI broth with 2% sucrose (BHIS). Then, 200 </w:t>
      </w:r>
      <w:proofErr w:type="spellStart"/>
      <w:r>
        <w:rPr>
          <w:rFonts w:ascii="Arial" w:eastAsia="Arial" w:hAnsi="Arial" w:cs="Arial"/>
          <w:sz w:val="22"/>
          <w:szCs w:val="22"/>
        </w:rPr>
        <w:t>μL</w:t>
      </w:r>
      <w:proofErr w:type="spellEnd"/>
      <w:r>
        <w:rPr>
          <w:rFonts w:ascii="Arial" w:eastAsia="Arial" w:hAnsi="Arial" w:cs="Arial"/>
          <w:sz w:val="22"/>
          <w:szCs w:val="22"/>
        </w:rPr>
        <w:t xml:space="preserve"> of the </w:t>
      </w:r>
      <w:proofErr w:type="spellStart"/>
      <w:r>
        <w:rPr>
          <w:rFonts w:ascii="Arial" w:eastAsia="Arial" w:hAnsi="Arial" w:cs="Arial"/>
          <w:sz w:val="22"/>
          <w:szCs w:val="22"/>
        </w:rPr>
        <w:t>inocula</w:t>
      </w:r>
      <w:proofErr w:type="spellEnd"/>
      <w:r>
        <w:rPr>
          <w:rFonts w:ascii="Arial" w:eastAsia="Arial" w:hAnsi="Arial" w:cs="Arial"/>
          <w:sz w:val="22"/>
          <w:szCs w:val="22"/>
        </w:rPr>
        <w:t xml:space="preserve"> were transferred to flat-bottom polystyrene microplates, which were incubated at 35.5 °C for 48 hours. After incubation, the microplates were processed by removing the growth, washing, fixing, staining the wells with crystal violet, and reading the OD</w:t>
      </w:r>
      <w:r>
        <w:rPr>
          <w:rFonts w:ascii="Arial" w:eastAsia="Arial" w:hAnsi="Arial" w:cs="Arial"/>
          <w:sz w:val="22"/>
          <w:szCs w:val="22"/>
          <w:vertAlign w:val="subscript"/>
        </w:rPr>
        <w:t>620nm</w:t>
      </w:r>
      <w:r>
        <w:rPr>
          <w:rFonts w:ascii="Arial" w:eastAsia="Arial" w:hAnsi="Arial" w:cs="Arial"/>
          <w:sz w:val="22"/>
          <w:szCs w:val="22"/>
        </w:rPr>
        <w:t xml:space="preserve"> in a microplate reader (</w:t>
      </w:r>
      <w:proofErr w:type="spellStart"/>
      <w:r>
        <w:rPr>
          <w:rFonts w:ascii="Arial" w:eastAsia="Arial" w:hAnsi="Arial" w:cs="Arial"/>
          <w:sz w:val="22"/>
          <w:szCs w:val="22"/>
        </w:rPr>
        <w:t>Thermo</w:t>
      </w:r>
      <w:proofErr w:type="spellEnd"/>
      <w:r>
        <w:rPr>
          <w:rFonts w:ascii="Arial" w:eastAsia="Arial" w:hAnsi="Arial" w:cs="Arial"/>
          <w:sz w:val="22"/>
          <w:szCs w:val="22"/>
        </w:rPr>
        <w:t xml:space="preserve"> Scientific, </w:t>
      </w:r>
      <w:proofErr w:type="spellStart"/>
      <w:r>
        <w:rPr>
          <w:rFonts w:ascii="Arial" w:eastAsia="Arial" w:hAnsi="Arial" w:cs="Arial"/>
          <w:sz w:val="22"/>
          <w:szCs w:val="22"/>
        </w:rPr>
        <w:t>Multiskan</w:t>
      </w:r>
      <w:proofErr w:type="spellEnd"/>
      <w:r>
        <w:rPr>
          <w:rFonts w:ascii="Arial" w:eastAsia="Arial" w:hAnsi="Arial" w:cs="Arial"/>
          <w:sz w:val="22"/>
          <w:szCs w:val="22"/>
        </w:rPr>
        <w:t>). The results were organized as means and standard deviations.</w:t>
      </w:r>
    </w:p>
    <w:p w14:paraId="1D1BA186" w14:textId="77777777" w:rsidR="00F15FC8" w:rsidRDefault="00000000">
      <w:pPr>
        <w:jc w:val="both"/>
        <w:rPr>
          <w:rFonts w:ascii="Arial" w:eastAsia="Arial" w:hAnsi="Arial" w:cs="Arial"/>
          <w:sz w:val="22"/>
          <w:szCs w:val="22"/>
        </w:rPr>
      </w:pPr>
      <w:sdt>
        <w:sdtPr>
          <w:tag w:val="goog_rdk_4"/>
          <w:id w:val="-1059527776"/>
        </w:sdtPr>
        <w:sdtContent>
          <w:r w:rsidR="00887443">
            <w:rPr>
              <w:rFonts w:ascii="Arial Unicode MS" w:eastAsia="Arial Unicode MS" w:hAnsi="Arial Unicode MS" w:cs="Arial Unicode MS"/>
              <w:sz w:val="22"/>
              <w:szCs w:val="22"/>
            </w:rPr>
            <w:t xml:space="preserve">Viable yeasts adhered to the biofilm were quantified in Eppendorf microtubes by preparing the </w:t>
          </w:r>
          <w:proofErr w:type="spellStart"/>
          <w:r w:rsidR="00887443">
            <w:rPr>
              <w:rFonts w:ascii="Arial Unicode MS" w:eastAsia="Arial Unicode MS" w:hAnsi="Arial Unicode MS" w:cs="Arial Unicode MS"/>
              <w:sz w:val="22"/>
              <w:szCs w:val="22"/>
            </w:rPr>
            <w:t>inocula</w:t>
          </w:r>
          <w:proofErr w:type="spellEnd"/>
          <w:r w:rsidR="00887443">
            <w:rPr>
              <w:rFonts w:ascii="Arial Unicode MS" w:eastAsia="Arial Unicode MS" w:hAnsi="Arial Unicode MS" w:cs="Arial Unicode MS"/>
              <w:sz w:val="22"/>
              <w:szCs w:val="22"/>
            </w:rPr>
            <w:t xml:space="preserve"> in the same manner as for the total biofilm biomass determination assays. Briefly, 100 µL of the adjusted </w:t>
          </w:r>
          <w:proofErr w:type="spellStart"/>
          <w:r w:rsidR="00887443">
            <w:rPr>
              <w:rFonts w:ascii="Arial Unicode MS" w:eastAsia="Arial Unicode MS" w:hAnsi="Arial Unicode MS" w:cs="Arial Unicode MS"/>
              <w:sz w:val="22"/>
              <w:szCs w:val="22"/>
            </w:rPr>
            <w:t>inocula</w:t>
          </w:r>
          <w:proofErr w:type="spellEnd"/>
          <w:r w:rsidR="00887443">
            <w:rPr>
              <w:rFonts w:ascii="Arial Unicode MS" w:eastAsia="Arial Unicode MS" w:hAnsi="Arial Unicode MS" w:cs="Arial Unicode MS"/>
              <w:sz w:val="22"/>
              <w:szCs w:val="22"/>
            </w:rPr>
            <w:t xml:space="preserve"> were transferred to microtubes with 900 µL of BHIS broth, which were incubated at 35.5 °C for 48 h. After incubation, the microtubes were processed aseptically for the detachment of biofilm-associated cells, by removing the overgrown broth and washing with 1 mL of SPS three times, sonication in an ultrasonic bath for 5 minutes at room temperature, </w:t>
          </w:r>
          <w:proofErr w:type="spellStart"/>
          <w:r w:rsidR="00887443">
            <w:rPr>
              <w:rFonts w:ascii="Arial Unicode MS" w:eastAsia="Arial Unicode MS" w:hAnsi="Arial Unicode MS" w:cs="Arial Unicode MS"/>
              <w:sz w:val="22"/>
              <w:szCs w:val="22"/>
            </w:rPr>
            <w:t>vortexing</w:t>
          </w:r>
          <w:proofErr w:type="spellEnd"/>
          <w:r w:rsidR="00887443">
            <w:rPr>
              <w:rFonts w:ascii="Arial Unicode MS" w:eastAsia="Arial Unicode MS" w:hAnsi="Arial Unicode MS" w:cs="Arial Unicode MS"/>
              <w:sz w:val="22"/>
              <w:szCs w:val="22"/>
            </w:rPr>
            <w:t xml:space="preserve"> for 30 seconds, dilution, and plating for colony counting and calculation of colony-forming units (CFU∙mL</w:t>
          </w:r>
        </w:sdtContent>
      </w:sdt>
      <w:r w:rsidR="00887443">
        <w:rPr>
          <w:rFonts w:ascii="Arial" w:eastAsia="Arial" w:hAnsi="Arial" w:cs="Arial"/>
          <w:sz w:val="22"/>
          <w:szCs w:val="22"/>
          <w:vertAlign w:val="superscript"/>
        </w:rPr>
        <w:t>-1</w:t>
      </w:r>
      <w:r w:rsidR="00887443">
        <w:rPr>
          <w:rFonts w:ascii="Arial" w:eastAsia="Arial" w:hAnsi="Arial" w:cs="Arial"/>
          <w:sz w:val="22"/>
          <w:szCs w:val="22"/>
        </w:rPr>
        <w:t>).</w:t>
      </w:r>
    </w:p>
    <w:p w14:paraId="48104C0C" w14:textId="77777777" w:rsidR="00F15FC8" w:rsidRDefault="00F15FC8">
      <w:pPr>
        <w:jc w:val="both"/>
        <w:rPr>
          <w:rFonts w:ascii="Arial" w:eastAsia="Arial" w:hAnsi="Arial" w:cs="Arial"/>
          <w:sz w:val="22"/>
          <w:szCs w:val="22"/>
        </w:rPr>
      </w:pPr>
    </w:p>
    <w:p w14:paraId="3442554E" w14:textId="77777777" w:rsidR="00F15FC8" w:rsidRDefault="00887443">
      <w:pPr>
        <w:spacing w:before="200" w:after="200"/>
        <w:jc w:val="both"/>
        <w:rPr>
          <w:rFonts w:ascii="Arial" w:eastAsia="Arial" w:hAnsi="Arial" w:cs="Arial"/>
          <w:sz w:val="22"/>
          <w:szCs w:val="22"/>
        </w:rPr>
      </w:pPr>
      <w:r>
        <w:rPr>
          <w:rFonts w:ascii="Arial" w:eastAsia="Arial" w:hAnsi="Arial" w:cs="Arial"/>
          <w:b/>
          <w:sz w:val="22"/>
          <w:szCs w:val="22"/>
        </w:rPr>
        <w:lastRenderedPageBreak/>
        <w:t xml:space="preserve">2.4 Activity of </w:t>
      </w:r>
      <w:r>
        <w:rPr>
          <w:rFonts w:ascii="Arial" w:eastAsia="Arial" w:hAnsi="Arial" w:cs="Arial"/>
          <w:b/>
          <w:i/>
          <w:sz w:val="22"/>
          <w:szCs w:val="22"/>
        </w:rPr>
        <w:t>C. longa</w:t>
      </w:r>
      <w:r>
        <w:rPr>
          <w:rFonts w:ascii="Arial" w:eastAsia="Arial" w:hAnsi="Arial" w:cs="Arial"/>
          <w:b/>
          <w:sz w:val="22"/>
          <w:szCs w:val="22"/>
        </w:rPr>
        <w:t xml:space="preserve"> L. Tincture against Yeasts</w:t>
      </w:r>
    </w:p>
    <w:p w14:paraId="6FCF6F38"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Yeasts were subjected to the broth microdilution test to determine the Minimum Inhibitory Concentration (MIC) and Minimum Candidacidal Concentration (MCC) of </w:t>
      </w:r>
      <w:r>
        <w:rPr>
          <w:rFonts w:ascii="Arial" w:eastAsia="Arial" w:hAnsi="Arial" w:cs="Arial"/>
          <w:i/>
          <w:sz w:val="22"/>
          <w:szCs w:val="22"/>
        </w:rPr>
        <w:t xml:space="preserve">C. longa </w:t>
      </w:r>
      <w:r>
        <w:rPr>
          <w:rFonts w:ascii="Arial" w:eastAsia="Arial" w:hAnsi="Arial" w:cs="Arial"/>
          <w:sz w:val="22"/>
          <w:szCs w:val="22"/>
        </w:rPr>
        <w:t xml:space="preserve">L. tincture, with adaptation of the method recommended by the Clinical and Laboratory Standard Institute (CLSI) for antimicrobial susceptibility testing [16]. </w:t>
      </w:r>
    </w:p>
    <w:p w14:paraId="03EAA80A"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i/>
          <w:sz w:val="22"/>
          <w:szCs w:val="22"/>
        </w:rPr>
        <w:t>C. longa</w:t>
      </w:r>
      <w:r>
        <w:rPr>
          <w:rFonts w:ascii="Arial" w:eastAsia="Arial" w:hAnsi="Arial" w:cs="Arial"/>
          <w:sz w:val="22"/>
          <w:szCs w:val="22"/>
        </w:rPr>
        <w:t xml:space="preserve"> L. tincture was homogenized, and 750 </w:t>
      </w:r>
      <w:proofErr w:type="spellStart"/>
      <w:r>
        <w:rPr>
          <w:rFonts w:ascii="Arial" w:eastAsia="Arial" w:hAnsi="Arial" w:cs="Arial"/>
          <w:sz w:val="22"/>
          <w:szCs w:val="22"/>
        </w:rPr>
        <w:t>μL</w:t>
      </w:r>
      <w:proofErr w:type="spellEnd"/>
      <w:r>
        <w:rPr>
          <w:rFonts w:ascii="Arial" w:eastAsia="Arial" w:hAnsi="Arial" w:cs="Arial"/>
          <w:sz w:val="22"/>
          <w:szCs w:val="22"/>
        </w:rPr>
        <w:t xml:space="preserve"> were diluted in 750 </w:t>
      </w:r>
      <w:proofErr w:type="spellStart"/>
      <w:r>
        <w:rPr>
          <w:rFonts w:ascii="Arial" w:eastAsia="Arial" w:hAnsi="Arial" w:cs="Arial"/>
          <w:sz w:val="22"/>
          <w:szCs w:val="22"/>
        </w:rPr>
        <w:t>μL</w:t>
      </w:r>
      <w:proofErr w:type="spellEnd"/>
      <w:r>
        <w:rPr>
          <w:rFonts w:ascii="Arial" w:eastAsia="Arial" w:hAnsi="Arial" w:cs="Arial"/>
          <w:sz w:val="22"/>
          <w:szCs w:val="22"/>
        </w:rPr>
        <w:t xml:space="preserve"> of BHIS broth. From this dilution, 200 </w:t>
      </w:r>
      <w:proofErr w:type="spellStart"/>
      <w:r>
        <w:rPr>
          <w:rFonts w:ascii="Arial" w:eastAsia="Arial" w:hAnsi="Arial" w:cs="Arial"/>
          <w:sz w:val="22"/>
          <w:szCs w:val="22"/>
        </w:rPr>
        <w:t>μL</w:t>
      </w:r>
      <w:proofErr w:type="spellEnd"/>
      <w:r>
        <w:rPr>
          <w:rFonts w:ascii="Arial" w:eastAsia="Arial" w:hAnsi="Arial" w:cs="Arial"/>
          <w:sz w:val="22"/>
          <w:szCs w:val="22"/>
        </w:rPr>
        <w:t xml:space="preserve"> were transferred to wells in column 2 of a 96-well round-bottom microplate (manufactured by Olen, China), and then, 100 </w:t>
      </w:r>
      <w:proofErr w:type="spellStart"/>
      <w:r>
        <w:rPr>
          <w:rFonts w:ascii="Arial" w:eastAsia="Arial" w:hAnsi="Arial" w:cs="Arial"/>
          <w:sz w:val="22"/>
          <w:szCs w:val="22"/>
        </w:rPr>
        <w:t>μL</w:t>
      </w:r>
      <w:proofErr w:type="spellEnd"/>
      <w:r>
        <w:rPr>
          <w:rFonts w:ascii="Arial" w:eastAsia="Arial" w:hAnsi="Arial" w:cs="Arial"/>
          <w:sz w:val="22"/>
          <w:szCs w:val="22"/>
        </w:rPr>
        <w:t xml:space="preserve"> were serially diluted into wells in columns 3 to 9 containing 100 </w:t>
      </w:r>
      <w:proofErr w:type="spellStart"/>
      <w:r>
        <w:rPr>
          <w:rFonts w:ascii="Arial" w:eastAsia="Arial" w:hAnsi="Arial" w:cs="Arial"/>
          <w:sz w:val="22"/>
          <w:szCs w:val="22"/>
        </w:rPr>
        <w:t>μL</w:t>
      </w:r>
      <w:proofErr w:type="spellEnd"/>
      <w:r>
        <w:rPr>
          <w:rFonts w:ascii="Arial" w:eastAsia="Arial" w:hAnsi="Arial" w:cs="Arial"/>
          <w:sz w:val="22"/>
          <w:szCs w:val="22"/>
        </w:rPr>
        <w:t xml:space="preserve"> of BHIS broth, with a final discard of 100 </w:t>
      </w:r>
      <w:proofErr w:type="spellStart"/>
      <w:r>
        <w:rPr>
          <w:rFonts w:ascii="Arial" w:eastAsia="Arial" w:hAnsi="Arial" w:cs="Arial"/>
          <w:sz w:val="22"/>
          <w:szCs w:val="22"/>
        </w:rPr>
        <w:t>μL</w:t>
      </w:r>
      <w:proofErr w:type="spellEnd"/>
      <w:r>
        <w:rPr>
          <w:rFonts w:ascii="Arial" w:eastAsia="Arial" w:hAnsi="Arial" w:cs="Arial"/>
          <w:sz w:val="22"/>
          <w:szCs w:val="22"/>
        </w:rPr>
        <w:t xml:space="preserve"> from the wells in column 9.</w:t>
      </w:r>
    </w:p>
    <w:p w14:paraId="5C3D424D"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Yeast suspensions were prepared by dissolving typical isolated colonies in 0.9% sterile physiological saline (SPS), and the inoculum density was adjusted to 0.5 McFarland standard. After adjustment, a 1:10 dilution was performed in BHIS broth by transferring 500 </w:t>
      </w:r>
      <w:proofErr w:type="spellStart"/>
      <w:r>
        <w:rPr>
          <w:rFonts w:ascii="Arial" w:eastAsia="Arial" w:hAnsi="Arial" w:cs="Arial"/>
          <w:sz w:val="22"/>
          <w:szCs w:val="22"/>
        </w:rPr>
        <w:t>μL</w:t>
      </w:r>
      <w:proofErr w:type="spellEnd"/>
      <w:r>
        <w:rPr>
          <w:rFonts w:ascii="Arial" w:eastAsia="Arial" w:hAnsi="Arial" w:cs="Arial"/>
          <w:sz w:val="22"/>
          <w:szCs w:val="22"/>
        </w:rPr>
        <w:t xml:space="preserve"> of the suspension to 4500 </w:t>
      </w:r>
      <w:proofErr w:type="spellStart"/>
      <w:r>
        <w:rPr>
          <w:rFonts w:ascii="Arial" w:eastAsia="Arial" w:hAnsi="Arial" w:cs="Arial"/>
          <w:sz w:val="22"/>
          <w:szCs w:val="22"/>
        </w:rPr>
        <w:t>μL</w:t>
      </w:r>
      <w:proofErr w:type="spellEnd"/>
      <w:r>
        <w:rPr>
          <w:rFonts w:ascii="Arial" w:eastAsia="Arial" w:hAnsi="Arial" w:cs="Arial"/>
          <w:sz w:val="22"/>
          <w:szCs w:val="22"/>
        </w:rPr>
        <w:t xml:space="preserve"> of BHIS broth, to obtain a final concentration of approximately 1.5 × 10</w:t>
      </w:r>
      <w:r>
        <w:rPr>
          <w:rFonts w:ascii="Arial" w:eastAsia="Arial" w:hAnsi="Arial" w:cs="Arial"/>
          <w:sz w:val="22"/>
          <w:szCs w:val="22"/>
          <w:vertAlign w:val="superscript"/>
        </w:rPr>
        <w:t>5</w:t>
      </w:r>
      <w:r>
        <w:rPr>
          <w:rFonts w:ascii="Arial" w:eastAsia="Arial" w:hAnsi="Arial" w:cs="Arial"/>
          <w:sz w:val="22"/>
          <w:szCs w:val="22"/>
        </w:rPr>
        <w:t xml:space="preserve"> CFU.mL</w:t>
      </w:r>
      <w:r>
        <w:rPr>
          <w:rFonts w:ascii="Arial" w:eastAsia="Arial" w:hAnsi="Arial" w:cs="Arial"/>
          <w:sz w:val="22"/>
          <w:szCs w:val="22"/>
          <w:vertAlign w:val="superscript"/>
        </w:rPr>
        <w:t>-1</w:t>
      </w:r>
      <w:r>
        <w:rPr>
          <w:rFonts w:ascii="Arial" w:eastAsia="Arial" w:hAnsi="Arial" w:cs="Arial"/>
          <w:sz w:val="22"/>
          <w:szCs w:val="22"/>
        </w:rPr>
        <w:t xml:space="preserve">. The fungal suspension was prepared up to 15 minutes before inoculation. Subsequently, 20 </w:t>
      </w:r>
      <w:proofErr w:type="spellStart"/>
      <w:r>
        <w:rPr>
          <w:rFonts w:ascii="Arial" w:eastAsia="Arial" w:hAnsi="Arial" w:cs="Arial"/>
          <w:sz w:val="22"/>
          <w:szCs w:val="22"/>
        </w:rPr>
        <w:t>μL</w:t>
      </w:r>
      <w:proofErr w:type="spellEnd"/>
      <w:r>
        <w:rPr>
          <w:rFonts w:ascii="Arial" w:eastAsia="Arial" w:hAnsi="Arial" w:cs="Arial"/>
          <w:sz w:val="22"/>
          <w:szCs w:val="22"/>
        </w:rPr>
        <w:t xml:space="preserve"> of this suspension were inoculated into wells in columns 2 to 11, with columns 10 and 11 used as viability controls (broth + microorganism) and column 1 as an uninoculated control (broth only). After yeast inoculation, the </w:t>
      </w:r>
      <w:r>
        <w:rPr>
          <w:rFonts w:ascii="Arial" w:eastAsia="Arial" w:hAnsi="Arial" w:cs="Arial"/>
          <w:i/>
          <w:sz w:val="22"/>
          <w:szCs w:val="22"/>
        </w:rPr>
        <w:t>C. longa</w:t>
      </w:r>
      <w:r>
        <w:rPr>
          <w:rFonts w:ascii="Arial" w:eastAsia="Arial" w:hAnsi="Arial" w:cs="Arial"/>
          <w:sz w:val="22"/>
          <w:szCs w:val="22"/>
        </w:rPr>
        <w:t xml:space="preserve"> L. tincture was tested at </w:t>
      </w:r>
    </w:p>
    <w:p w14:paraId="3525666E" w14:textId="77777777" w:rsidR="00F15FC8" w:rsidRDefault="00887443">
      <w:pPr>
        <w:jc w:val="both"/>
        <w:rPr>
          <w:rFonts w:ascii="Arial" w:eastAsia="Arial" w:hAnsi="Arial" w:cs="Arial"/>
          <w:sz w:val="22"/>
          <w:szCs w:val="22"/>
        </w:rPr>
      </w:pPr>
      <w:r>
        <w:rPr>
          <w:rFonts w:ascii="Arial" w:eastAsia="Arial" w:hAnsi="Arial" w:cs="Arial"/>
          <w:sz w:val="22"/>
          <w:szCs w:val="22"/>
        </w:rPr>
        <w:t>concentrations ranging from 362.88 to 2.835 mg.mL</w:t>
      </w:r>
      <w:r>
        <w:rPr>
          <w:rFonts w:ascii="Arial" w:eastAsia="Arial" w:hAnsi="Arial" w:cs="Arial"/>
          <w:sz w:val="22"/>
          <w:szCs w:val="22"/>
          <w:vertAlign w:val="superscript"/>
        </w:rPr>
        <w:t>-1</w:t>
      </w:r>
      <w:r>
        <w:rPr>
          <w:rFonts w:ascii="Arial" w:eastAsia="Arial" w:hAnsi="Arial" w:cs="Arial"/>
          <w:sz w:val="22"/>
          <w:szCs w:val="22"/>
        </w:rPr>
        <w:t xml:space="preserve"> (Figure 1).</w:t>
      </w:r>
    </w:p>
    <w:p w14:paraId="76D7575C" w14:textId="77777777" w:rsidR="00F15FC8" w:rsidRDefault="00887443">
      <w:pPr>
        <w:spacing w:before="200" w:after="200"/>
        <w:jc w:val="both"/>
        <w:rPr>
          <w:rFonts w:ascii="Arial" w:eastAsia="Arial" w:hAnsi="Arial" w:cs="Arial"/>
        </w:rPr>
      </w:pPr>
      <w:r>
        <w:rPr>
          <w:rFonts w:ascii="Arial" w:eastAsia="Arial" w:hAnsi="Arial" w:cs="Arial"/>
          <w:i/>
        </w:rPr>
        <w:t>Figure 1.</w:t>
      </w:r>
      <w:r>
        <w:rPr>
          <w:rFonts w:ascii="Arial" w:eastAsia="Arial" w:hAnsi="Arial" w:cs="Arial"/>
        </w:rPr>
        <w:t xml:space="preserve"> Assay for evaluating the antifungal activity of </w:t>
      </w:r>
      <w:r>
        <w:rPr>
          <w:rFonts w:ascii="Arial" w:eastAsia="Arial" w:hAnsi="Arial" w:cs="Arial"/>
          <w:i/>
        </w:rPr>
        <w:t>C. longa</w:t>
      </w:r>
      <w:r>
        <w:rPr>
          <w:rFonts w:ascii="Arial" w:eastAsia="Arial" w:hAnsi="Arial" w:cs="Arial"/>
        </w:rPr>
        <w:t xml:space="preserve"> tincture.</w:t>
      </w:r>
    </w:p>
    <w:p w14:paraId="3E3F569D" w14:textId="77777777" w:rsidR="00F15FC8" w:rsidRDefault="00887443">
      <w:pPr>
        <w:spacing w:after="200" w:line="360"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376B6E56" wp14:editId="2F74B661">
            <wp:extent cx="5230178" cy="2944549"/>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230178" cy="2944549"/>
                    </a:xfrm>
                    <a:prstGeom prst="rect">
                      <a:avLst/>
                    </a:prstGeom>
                    <a:ln/>
                  </pic:spPr>
                </pic:pic>
              </a:graphicData>
            </a:graphic>
          </wp:inline>
        </w:drawing>
      </w:r>
    </w:p>
    <w:p w14:paraId="1EEA97FC" w14:textId="77777777" w:rsidR="00F15FC8" w:rsidRDefault="00887443">
      <w:pPr>
        <w:jc w:val="both"/>
        <w:rPr>
          <w:rFonts w:ascii="Arial" w:eastAsia="Arial" w:hAnsi="Arial" w:cs="Arial"/>
        </w:rPr>
      </w:pPr>
      <w:r>
        <w:rPr>
          <w:rFonts w:ascii="Arial" w:eastAsia="Arial" w:hAnsi="Arial" w:cs="Arial"/>
        </w:rPr>
        <w:t xml:space="preserve">Captions: BHIS - Brain Heart Infusion with 20% sucrose, NTC - No treated control, NIC - No inoculated control, MIC - Minimal Inhibitory Concentration, MCC - Minimal </w:t>
      </w:r>
      <w:proofErr w:type="spellStart"/>
      <w:r>
        <w:rPr>
          <w:rFonts w:ascii="Arial" w:eastAsia="Arial" w:hAnsi="Arial" w:cs="Arial"/>
        </w:rPr>
        <w:t>Candicidal</w:t>
      </w:r>
      <w:proofErr w:type="spellEnd"/>
      <w:r>
        <w:rPr>
          <w:rFonts w:ascii="Arial" w:eastAsia="Arial" w:hAnsi="Arial" w:cs="Arial"/>
        </w:rPr>
        <w:t xml:space="preserve"> Concentration.</w:t>
      </w:r>
    </w:p>
    <w:p w14:paraId="28D554F2" w14:textId="77777777" w:rsidR="00F15FC8" w:rsidRDefault="00F15FC8">
      <w:pPr>
        <w:jc w:val="both"/>
        <w:rPr>
          <w:rFonts w:ascii="Arial" w:eastAsia="Arial" w:hAnsi="Arial" w:cs="Arial"/>
        </w:rPr>
      </w:pPr>
    </w:p>
    <w:p w14:paraId="1B289CCF"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MIC was determined by visual reading of the lowest curcumin concentration capable of inhibiting yeast growth after incubation at 35.5 °C for 48 h, and MCC was defined </w:t>
      </w:r>
      <w:r>
        <w:rPr>
          <w:rFonts w:ascii="Arial" w:eastAsia="Arial" w:hAnsi="Arial" w:cs="Arial"/>
          <w:sz w:val="22"/>
          <w:szCs w:val="22"/>
        </w:rPr>
        <w:lastRenderedPageBreak/>
        <w:t xml:space="preserve">as the lowest curcumin concentration capable of inhibiting the recovery of viable yeasts after transferring 100 µL of BHIS broth from wells without detectable turbidity to </w:t>
      </w:r>
      <w:proofErr w:type="spellStart"/>
      <w:r>
        <w:rPr>
          <w:rFonts w:ascii="Arial" w:eastAsia="Arial" w:hAnsi="Arial" w:cs="Arial"/>
          <w:sz w:val="22"/>
          <w:szCs w:val="22"/>
        </w:rPr>
        <w:t>Sabouraud</w:t>
      </w:r>
      <w:proofErr w:type="spellEnd"/>
      <w:r>
        <w:rPr>
          <w:rFonts w:ascii="Arial" w:eastAsia="Arial" w:hAnsi="Arial" w:cs="Arial"/>
          <w:sz w:val="22"/>
          <w:szCs w:val="22"/>
        </w:rPr>
        <w:t xml:space="preserve"> agar after incubation at 35.5 °C for 48 hours. All assays were performed in independent triplicates, and MIC and MCC values were obtained.</w:t>
      </w:r>
    </w:p>
    <w:p w14:paraId="00148353" w14:textId="77777777" w:rsidR="00F15FC8" w:rsidRDefault="00F15FC8">
      <w:pPr>
        <w:ind w:firstLine="284"/>
        <w:jc w:val="both"/>
        <w:rPr>
          <w:rFonts w:ascii="Arial" w:eastAsia="Arial" w:hAnsi="Arial" w:cs="Arial"/>
          <w:sz w:val="22"/>
          <w:szCs w:val="22"/>
        </w:rPr>
      </w:pPr>
    </w:p>
    <w:p w14:paraId="2DFEBDA0" w14:textId="77777777" w:rsidR="00F15FC8" w:rsidRDefault="00887443">
      <w:pPr>
        <w:spacing w:before="200" w:after="200"/>
        <w:jc w:val="both"/>
        <w:rPr>
          <w:rFonts w:ascii="Arial" w:eastAsia="Arial" w:hAnsi="Arial" w:cs="Arial"/>
          <w:b/>
          <w:sz w:val="22"/>
          <w:szCs w:val="22"/>
        </w:rPr>
      </w:pPr>
      <w:r>
        <w:rPr>
          <w:rFonts w:ascii="Arial" w:eastAsia="Arial" w:hAnsi="Arial" w:cs="Arial"/>
          <w:b/>
          <w:sz w:val="22"/>
          <w:szCs w:val="22"/>
        </w:rPr>
        <w:t xml:space="preserve">2.5 Activity of </w:t>
      </w:r>
      <w:r>
        <w:rPr>
          <w:rFonts w:ascii="Arial" w:eastAsia="Arial" w:hAnsi="Arial" w:cs="Arial"/>
          <w:b/>
          <w:i/>
          <w:sz w:val="22"/>
          <w:szCs w:val="22"/>
        </w:rPr>
        <w:t xml:space="preserve">C. longa </w:t>
      </w:r>
      <w:r>
        <w:rPr>
          <w:rFonts w:ascii="Arial" w:eastAsia="Arial" w:hAnsi="Arial" w:cs="Arial"/>
          <w:b/>
          <w:sz w:val="22"/>
          <w:szCs w:val="22"/>
        </w:rPr>
        <w:t>L. tincture on biofilm formation (MBIC</w:t>
      </w:r>
      <w:r>
        <w:rPr>
          <w:rFonts w:ascii="Arial" w:eastAsia="Arial" w:hAnsi="Arial" w:cs="Arial"/>
          <w:b/>
          <w:sz w:val="22"/>
          <w:szCs w:val="22"/>
          <w:vertAlign w:val="subscript"/>
        </w:rPr>
        <w:t>50</w:t>
      </w:r>
      <w:r>
        <w:rPr>
          <w:rFonts w:ascii="Arial" w:eastAsia="Arial" w:hAnsi="Arial" w:cs="Arial"/>
          <w:b/>
          <w:sz w:val="22"/>
          <w:szCs w:val="22"/>
        </w:rPr>
        <w:t>)</w:t>
      </w:r>
    </w:p>
    <w:p w14:paraId="20BD7EFE" w14:textId="77777777" w:rsidR="00F15FC8" w:rsidRDefault="00000000">
      <w:pPr>
        <w:jc w:val="both"/>
        <w:rPr>
          <w:rFonts w:ascii="Arial" w:eastAsia="Arial" w:hAnsi="Arial" w:cs="Arial"/>
          <w:sz w:val="22"/>
          <w:szCs w:val="22"/>
        </w:rPr>
      </w:pPr>
      <w:sdt>
        <w:sdtPr>
          <w:tag w:val="goog_rdk_5"/>
          <w:id w:val="-351618712"/>
        </w:sdtPr>
        <w:sdtContent>
          <w:r w:rsidR="00887443">
            <w:rPr>
              <w:rFonts w:ascii="Arial Unicode MS" w:eastAsia="Arial Unicode MS" w:hAnsi="Arial Unicode MS" w:cs="Arial Unicode MS"/>
              <w:sz w:val="22"/>
              <w:szCs w:val="22"/>
            </w:rPr>
            <w:t xml:space="preserve">The activity of the compounds against biofilm formation was performed in flat-bottomed microplates (Olen, China). The compounds and </w:t>
          </w:r>
          <w:proofErr w:type="spellStart"/>
          <w:r w:rsidR="00887443">
            <w:rPr>
              <w:rFonts w:ascii="Arial Unicode MS" w:eastAsia="Arial Unicode MS" w:hAnsi="Arial Unicode MS" w:cs="Arial Unicode MS"/>
              <w:sz w:val="22"/>
              <w:szCs w:val="22"/>
            </w:rPr>
            <w:t>inocula</w:t>
          </w:r>
          <w:proofErr w:type="spellEnd"/>
          <w:r w:rsidR="00887443">
            <w:rPr>
              <w:rFonts w:ascii="Arial Unicode MS" w:eastAsia="Arial Unicode MS" w:hAnsi="Arial Unicode MS" w:cs="Arial Unicode MS"/>
              <w:sz w:val="22"/>
              <w:szCs w:val="22"/>
            </w:rPr>
            <w:t xml:space="preserve"> were prepared as described for the MIC determination assay; however, 100 µL of the </w:t>
          </w:r>
          <w:proofErr w:type="spellStart"/>
          <w:r w:rsidR="00887443">
            <w:rPr>
              <w:rFonts w:ascii="Arial Unicode MS" w:eastAsia="Arial Unicode MS" w:hAnsi="Arial Unicode MS" w:cs="Arial Unicode MS"/>
              <w:sz w:val="22"/>
              <w:szCs w:val="22"/>
            </w:rPr>
            <w:t>inocula</w:t>
          </w:r>
          <w:proofErr w:type="spellEnd"/>
          <w:r w:rsidR="00887443">
            <w:rPr>
              <w:rFonts w:ascii="Arial Unicode MS" w:eastAsia="Arial Unicode MS" w:hAnsi="Arial Unicode MS" w:cs="Arial Unicode MS"/>
              <w:sz w:val="22"/>
              <w:szCs w:val="22"/>
            </w:rPr>
            <w:t xml:space="preserve"> were transferred to the microplate wells, and the concentrations tested ranged from 226.80 to 14.24 mg∙mL</w:t>
          </w:r>
        </w:sdtContent>
      </w:sdt>
      <w:r w:rsidR="00887443">
        <w:rPr>
          <w:rFonts w:ascii="Arial" w:eastAsia="Arial" w:hAnsi="Arial" w:cs="Arial"/>
          <w:sz w:val="22"/>
          <w:szCs w:val="22"/>
          <w:vertAlign w:val="superscript"/>
        </w:rPr>
        <w:t>-1</w:t>
      </w:r>
      <w:r w:rsidR="00887443">
        <w:rPr>
          <w:rFonts w:ascii="Arial" w:eastAsia="Arial" w:hAnsi="Arial" w:cs="Arial"/>
          <w:sz w:val="22"/>
          <w:szCs w:val="22"/>
        </w:rPr>
        <w:t xml:space="preserve"> of the </w:t>
      </w:r>
      <w:r w:rsidR="00887443">
        <w:rPr>
          <w:rFonts w:ascii="Arial" w:eastAsia="Arial" w:hAnsi="Arial" w:cs="Arial"/>
          <w:i/>
          <w:sz w:val="22"/>
          <w:szCs w:val="22"/>
        </w:rPr>
        <w:t>C. longa</w:t>
      </w:r>
      <w:r w:rsidR="00887443">
        <w:rPr>
          <w:rFonts w:ascii="Arial" w:eastAsia="Arial" w:hAnsi="Arial" w:cs="Arial"/>
          <w:sz w:val="22"/>
          <w:szCs w:val="22"/>
        </w:rPr>
        <w:t xml:space="preserve"> L. tincture.  </w:t>
      </w:r>
    </w:p>
    <w:p w14:paraId="20BD8B8D" w14:textId="77777777" w:rsidR="00F15FC8" w:rsidRDefault="00887443">
      <w:pPr>
        <w:jc w:val="both"/>
        <w:rPr>
          <w:rFonts w:ascii="Arial" w:eastAsia="Arial" w:hAnsi="Arial" w:cs="Arial"/>
          <w:sz w:val="22"/>
          <w:szCs w:val="22"/>
        </w:rPr>
      </w:pPr>
      <w:r>
        <w:rPr>
          <w:rFonts w:ascii="Arial" w:eastAsia="Arial" w:hAnsi="Arial" w:cs="Arial"/>
          <w:sz w:val="22"/>
          <w:szCs w:val="22"/>
        </w:rPr>
        <w:t>The microplates were incubated in an oven at 35.5 °C for 48 hours, and after this period, processing was performed as previously described in the total biofilm biomass assay. The MBIC</w:t>
      </w:r>
      <w:r>
        <w:rPr>
          <w:rFonts w:ascii="Arial" w:eastAsia="Arial" w:hAnsi="Arial" w:cs="Arial"/>
          <w:sz w:val="22"/>
          <w:szCs w:val="22"/>
          <w:vertAlign w:val="subscript"/>
        </w:rPr>
        <w:t>50</w:t>
      </w:r>
      <w:r>
        <w:rPr>
          <w:rFonts w:ascii="Arial" w:eastAsia="Arial" w:hAnsi="Arial" w:cs="Arial"/>
          <w:sz w:val="22"/>
          <w:szCs w:val="22"/>
        </w:rPr>
        <w:t xml:space="preserve"> was defined as the lowest concentration of the compounds capable of reducing the OD</w:t>
      </w:r>
      <w:r>
        <w:rPr>
          <w:rFonts w:ascii="Arial" w:eastAsia="Arial" w:hAnsi="Arial" w:cs="Arial"/>
          <w:sz w:val="22"/>
          <w:szCs w:val="22"/>
          <w:vertAlign w:val="subscript"/>
        </w:rPr>
        <w:t>620nm</w:t>
      </w:r>
      <w:r>
        <w:rPr>
          <w:rFonts w:ascii="Arial" w:eastAsia="Arial" w:hAnsi="Arial" w:cs="Arial"/>
          <w:sz w:val="22"/>
          <w:szCs w:val="22"/>
        </w:rPr>
        <w:t xml:space="preserve"> by at least 50% in relation to the untreated viability control. All assays were performed in independent triplicates, and the values allowed for the calculation of means and standard deviations (Figure 2). </w:t>
      </w:r>
    </w:p>
    <w:p w14:paraId="229F5952" w14:textId="77777777" w:rsidR="00F15FC8" w:rsidRDefault="00887443">
      <w:pPr>
        <w:spacing w:before="200" w:after="200"/>
        <w:jc w:val="both"/>
        <w:rPr>
          <w:rFonts w:ascii="Arial" w:eastAsia="Arial" w:hAnsi="Arial" w:cs="Arial"/>
        </w:rPr>
      </w:pPr>
      <w:r>
        <w:rPr>
          <w:rFonts w:ascii="Arial" w:eastAsia="Arial" w:hAnsi="Arial" w:cs="Arial"/>
          <w:i/>
        </w:rPr>
        <w:t xml:space="preserve">Figure 2. </w:t>
      </w:r>
      <w:r>
        <w:rPr>
          <w:rFonts w:ascii="Arial" w:eastAsia="Arial" w:hAnsi="Arial" w:cs="Arial"/>
        </w:rPr>
        <w:t xml:space="preserve">Assay for evaluating the antibiofilm activity of </w:t>
      </w:r>
      <w:r>
        <w:rPr>
          <w:rFonts w:ascii="Arial" w:eastAsia="Arial" w:hAnsi="Arial" w:cs="Arial"/>
          <w:i/>
        </w:rPr>
        <w:t xml:space="preserve">C. longa </w:t>
      </w:r>
      <w:r>
        <w:rPr>
          <w:rFonts w:ascii="Arial" w:eastAsia="Arial" w:hAnsi="Arial" w:cs="Arial"/>
        </w:rPr>
        <w:t xml:space="preserve">L. tincture against yeasts. </w:t>
      </w:r>
    </w:p>
    <w:p w14:paraId="56326200" w14:textId="77777777" w:rsidR="00F15FC8" w:rsidRDefault="00887443">
      <w:pPr>
        <w:spacing w:after="200"/>
        <w:jc w:val="both"/>
        <w:rPr>
          <w:rFonts w:ascii="Arial" w:eastAsia="Arial" w:hAnsi="Arial" w:cs="Arial"/>
          <w:b/>
          <w:smallCaps/>
          <w:sz w:val="22"/>
          <w:szCs w:val="22"/>
        </w:rPr>
      </w:pPr>
      <w:r>
        <w:rPr>
          <w:rFonts w:ascii="Arial" w:eastAsia="Arial" w:hAnsi="Arial" w:cs="Arial"/>
          <w:noProof/>
          <w:sz w:val="24"/>
          <w:szCs w:val="24"/>
        </w:rPr>
        <w:drawing>
          <wp:inline distT="114300" distB="114300" distL="114300" distR="114300" wp14:anchorId="2B858413" wp14:editId="3C28A8C4">
            <wp:extent cx="5192078" cy="292242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192078" cy="2922427"/>
                    </a:xfrm>
                    <a:prstGeom prst="rect">
                      <a:avLst/>
                    </a:prstGeom>
                    <a:ln/>
                  </pic:spPr>
                </pic:pic>
              </a:graphicData>
            </a:graphic>
          </wp:inline>
        </w:drawing>
      </w:r>
      <w:r>
        <w:rPr>
          <w:rFonts w:ascii="Arial" w:eastAsia="Arial" w:hAnsi="Arial" w:cs="Arial"/>
        </w:rPr>
        <w:t>Captions: BHIS - Brain Heart Infusion with 20% sucrose, NTC - No treated control, NIC - No inoculated control, OD</w:t>
      </w:r>
      <w:r>
        <w:rPr>
          <w:rFonts w:ascii="Arial" w:eastAsia="Arial" w:hAnsi="Arial" w:cs="Arial"/>
          <w:vertAlign w:val="subscript"/>
        </w:rPr>
        <w:t>620nm</w:t>
      </w:r>
      <w:r>
        <w:rPr>
          <w:rFonts w:ascii="Arial" w:eastAsia="Arial" w:hAnsi="Arial" w:cs="Arial"/>
        </w:rPr>
        <w:t xml:space="preserve"> - Optical density at 620 nm; MBIC</w:t>
      </w:r>
      <w:r>
        <w:rPr>
          <w:rFonts w:ascii="Arial" w:eastAsia="Arial" w:hAnsi="Arial" w:cs="Arial"/>
          <w:vertAlign w:val="subscript"/>
        </w:rPr>
        <w:t>50</w:t>
      </w:r>
      <w:r>
        <w:rPr>
          <w:rFonts w:ascii="Arial" w:eastAsia="Arial" w:hAnsi="Arial" w:cs="Arial"/>
        </w:rPr>
        <w:t xml:space="preserve"> - Minimal Inhibitory Concentration of Biofilm.</w:t>
      </w:r>
    </w:p>
    <w:p w14:paraId="65E67137" w14:textId="77777777" w:rsidR="00F15FC8" w:rsidRDefault="00F15FC8">
      <w:pPr>
        <w:keepNext/>
        <w:pBdr>
          <w:top w:val="nil"/>
          <w:left w:val="nil"/>
          <w:bottom w:val="nil"/>
          <w:right w:val="nil"/>
          <w:between w:val="nil"/>
        </w:pBdr>
        <w:jc w:val="both"/>
        <w:rPr>
          <w:rFonts w:ascii="Arial" w:eastAsia="Arial" w:hAnsi="Arial" w:cs="Arial"/>
          <w:b/>
          <w:smallCaps/>
          <w:sz w:val="22"/>
          <w:szCs w:val="22"/>
        </w:rPr>
      </w:pPr>
    </w:p>
    <w:p w14:paraId="5492354E" w14:textId="77777777" w:rsidR="00F15FC8" w:rsidRDefault="00F15FC8">
      <w:pPr>
        <w:pBdr>
          <w:top w:val="nil"/>
          <w:left w:val="nil"/>
          <w:bottom w:val="nil"/>
          <w:right w:val="nil"/>
          <w:between w:val="nil"/>
        </w:pBdr>
        <w:jc w:val="both"/>
        <w:rPr>
          <w:rFonts w:ascii="Arial" w:eastAsia="Arial" w:hAnsi="Arial" w:cs="Arial"/>
          <w:color w:val="000000"/>
        </w:rPr>
      </w:pPr>
    </w:p>
    <w:p w14:paraId="0813C183" w14:textId="77777777" w:rsidR="00F15FC8" w:rsidRDefault="00887443">
      <w:pPr>
        <w:keepNext/>
        <w:pBdr>
          <w:top w:val="nil"/>
          <w:left w:val="nil"/>
          <w:bottom w:val="nil"/>
          <w:right w:val="nil"/>
          <w:between w:val="nil"/>
        </w:pBdr>
        <w:jc w:val="both"/>
        <w:rPr>
          <w:rFonts w:ascii="Arial" w:eastAsia="Arial" w:hAnsi="Arial" w:cs="Arial"/>
          <w:b/>
          <w:smallCaps/>
          <w:color w:val="000000"/>
          <w:sz w:val="22"/>
          <w:szCs w:val="22"/>
        </w:rPr>
      </w:pPr>
      <w:commentRangeStart w:id="5"/>
      <w:commentRangeStart w:id="6"/>
      <w:r>
        <w:rPr>
          <w:rFonts w:ascii="Arial" w:eastAsia="Arial" w:hAnsi="Arial" w:cs="Arial"/>
          <w:b/>
          <w:smallCaps/>
          <w:color w:val="000000"/>
          <w:sz w:val="22"/>
          <w:szCs w:val="22"/>
        </w:rPr>
        <w:lastRenderedPageBreak/>
        <w:t>3. results and discussion</w:t>
      </w:r>
      <w:commentRangeEnd w:id="5"/>
      <w:r w:rsidR="009A5E73">
        <w:rPr>
          <w:rStyle w:val="CommentReference"/>
          <w:rFonts w:ascii="Times New Roman" w:hAnsi="Times New Roman"/>
          <w:rtl/>
          <w:lang w:val="nb-NO" w:eastAsia="nb-NO"/>
        </w:rPr>
        <w:commentReference w:id="5"/>
      </w:r>
      <w:commentRangeEnd w:id="6"/>
      <w:r w:rsidR="009A5E73">
        <w:rPr>
          <w:rStyle w:val="CommentReference"/>
          <w:rFonts w:ascii="Times New Roman" w:hAnsi="Times New Roman"/>
          <w:rtl/>
          <w:lang w:val="nb-NO" w:eastAsia="nb-NO"/>
        </w:rPr>
        <w:commentReference w:id="6"/>
      </w:r>
    </w:p>
    <w:p w14:paraId="78F37FB3" w14:textId="77777777" w:rsidR="00F15FC8" w:rsidRDefault="00F15FC8">
      <w:pPr>
        <w:keepNext/>
        <w:pBdr>
          <w:top w:val="nil"/>
          <w:left w:val="nil"/>
          <w:bottom w:val="nil"/>
          <w:right w:val="nil"/>
          <w:between w:val="nil"/>
        </w:pBdr>
        <w:jc w:val="both"/>
        <w:rPr>
          <w:rFonts w:ascii="Arial" w:eastAsia="Arial" w:hAnsi="Arial" w:cs="Arial"/>
          <w:b/>
          <w:smallCaps/>
          <w:sz w:val="22"/>
          <w:szCs w:val="22"/>
        </w:rPr>
      </w:pPr>
    </w:p>
    <w:p w14:paraId="3076F050" w14:textId="77777777" w:rsidR="00F15FC8" w:rsidRDefault="00887443">
      <w:pPr>
        <w:spacing w:before="200" w:after="200"/>
        <w:jc w:val="both"/>
        <w:rPr>
          <w:rFonts w:ascii="Arial" w:eastAsia="Arial" w:hAnsi="Arial" w:cs="Arial"/>
          <w:b/>
          <w:sz w:val="22"/>
          <w:szCs w:val="22"/>
        </w:rPr>
      </w:pPr>
      <w:r>
        <w:rPr>
          <w:rFonts w:ascii="Arial" w:eastAsia="Arial" w:hAnsi="Arial" w:cs="Arial"/>
          <w:b/>
          <w:sz w:val="22"/>
          <w:szCs w:val="22"/>
        </w:rPr>
        <w:t>3.1 Product characterization</w:t>
      </w:r>
    </w:p>
    <w:p w14:paraId="5DEDF152"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Phytochemical investigations of turmeric have revealed that it contains curcuminoids and volatile oils as its main components [17, 18]. The yellow-orange coloration is attributed to three main pigments or curcuminoids: bisdemethoxycurcumin, </w:t>
      </w:r>
      <w:proofErr w:type="spellStart"/>
      <w:r>
        <w:rPr>
          <w:rFonts w:ascii="Arial" w:eastAsia="Arial" w:hAnsi="Arial" w:cs="Arial"/>
          <w:sz w:val="22"/>
          <w:szCs w:val="22"/>
        </w:rPr>
        <w:t>demethoxycurcumin</w:t>
      </w:r>
      <w:proofErr w:type="spellEnd"/>
      <w:r>
        <w:rPr>
          <w:rFonts w:ascii="Arial" w:eastAsia="Arial" w:hAnsi="Arial" w:cs="Arial"/>
          <w:sz w:val="22"/>
          <w:szCs w:val="22"/>
        </w:rPr>
        <w:t xml:space="preserve">, and curcumin, which make up the majority of its composition. It also contains volatile compounds such as </w:t>
      </w:r>
      <w:proofErr w:type="spellStart"/>
      <w:r>
        <w:rPr>
          <w:rFonts w:ascii="Arial" w:eastAsia="Arial" w:hAnsi="Arial" w:cs="Arial"/>
          <w:sz w:val="22"/>
          <w:szCs w:val="22"/>
        </w:rPr>
        <w:t>ar</w:t>
      </w:r>
      <w:proofErr w:type="spellEnd"/>
      <w:r>
        <w:rPr>
          <w:rFonts w:ascii="Arial" w:eastAsia="Arial" w:hAnsi="Arial" w:cs="Arial"/>
          <w:sz w:val="22"/>
          <w:szCs w:val="22"/>
        </w:rPr>
        <w:t xml:space="preserve">-turmerone, β-turmerone, and α-turmerone. </w:t>
      </w:r>
    </w:p>
    <w:p w14:paraId="0C4FC2D7" w14:textId="77777777" w:rsidR="00F15FC8" w:rsidRDefault="00887443">
      <w:pPr>
        <w:jc w:val="both"/>
        <w:rPr>
          <w:rFonts w:ascii="Arial" w:eastAsia="Arial" w:hAnsi="Arial" w:cs="Arial"/>
          <w:sz w:val="22"/>
          <w:szCs w:val="22"/>
        </w:rPr>
      </w:pPr>
      <w:r>
        <w:rPr>
          <w:rFonts w:ascii="Arial" w:eastAsia="Arial" w:hAnsi="Arial" w:cs="Arial"/>
          <w:sz w:val="22"/>
          <w:szCs w:val="22"/>
        </w:rPr>
        <w:t>The HPLC analysis of the turmeric tincture revealed a chromatographic profile consistent with previously reported data in the literature (Figure 3). In the chromatogram recorded at 260 nm (Figure 3A), three major peaks corresponding to volatile compounds were detected, with retention times of 21.24, 24.74, and 24.83 minutes. Additionally, analysis at 415 nm (Figure 3B) showed the presence of curcuminoids, identified by their retention times of 8.75, 9.44, and 10.15 minutes. These results confirm the expected composition of the tincture, including both volatile and non-volatile phytochemicals.</w:t>
      </w:r>
    </w:p>
    <w:p w14:paraId="6AF262BB" w14:textId="77777777" w:rsidR="00F15FC8" w:rsidRDefault="00887443">
      <w:pPr>
        <w:jc w:val="both"/>
        <w:rPr>
          <w:rFonts w:ascii="Arial" w:eastAsia="Arial" w:hAnsi="Arial" w:cs="Arial"/>
          <w:sz w:val="22"/>
          <w:szCs w:val="22"/>
        </w:rPr>
      </w:pPr>
      <w:r>
        <w:rPr>
          <w:rFonts w:ascii="Arial" w:eastAsia="Arial" w:hAnsi="Arial" w:cs="Arial"/>
          <w:sz w:val="22"/>
          <w:szCs w:val="22"/>
        </w:rPr>
        <w:t>To confirm the identity of the curcuminoids, a synthesized curcumin sample was analyzed as a reference standard and exhibited a retention time of 10.12 minutes (data not shown), closely matching the 10.15 min peak observed in the tincture sample. This result supports the identification of curcumin in the tincture and reinforces the reliability of the chromatographic method used.</w:t>
      </w:r>
    </w:p>
    <w:p w14:paraId="6FC29BB6" w14:textId="77777777" w:rsidR="00F15FC8" w:rsidRDefault="00887443">
      <w:pPr>
        <w:spacing w:before="200" w:after="200"/>
        <w:jc w:val="both"/>
        <w:rPr>
          <w:rFonts w:ascii="Arial" w:eastAsia="Arial" w:hAnsi="Arial" w:cs="Arial"/>
        </w:rPr>
      </w:pPr>
      <w:r>
        <w:rPr>
          <w:rFonts w:ascii="Arial" w:eastAsia="Arial" w:hAnsi="Arial" w:cs="Arial"/>
          <w:i/>
        </w:rPr>
        <w:t>Figure 3.</w:t>
      </w:r>
      <w:r>
        <w:rPr>
          <w:rFonts w:ascii="Arial" w:eastAsia="Arial" w:hAnsi="Arial" w:cs="Arial"/>
        </w:rPr>
        <w:t xml:space="preserve"> HPLC chromatograms of the turmeric tincture analyzed at different wavelengths. Chromatogram recorded at (A) 260 nm (B) 415 nm.</w:t>
      </w:r>
    </w:p>
    <w:p w14:paraId="17DC9805" w14:textId="77777777" w:rsidR="00F15FC8" w:rsidRDefault="00887443">
      <w:pPr>
        <w:jc w:val="both"/>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7EDF3533" wp14:editId="5408E91A">
            <wp:extent cx="5318760" cy="294322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l="5699" t="5023" r="4007" b="6281"/>
                    <a:stretch>
                      <a:fillRect/>
                    </a:stretch>
                  </pic:blipFill>
                  <pic:spPr>
                    <a:xfrm>
                      <a:off x="0" y="0"/>
                      <a:ext cx="5318760" cy="2943225"/>
                    </a:xfrm>
                    <a:prstGeom prst="rect">
                      <a:avLst/>
                    </a:prstGeom>
                    <a:ln/>
                  </pic:spPr>
                </pic:pic>
              </a:graphicData>
            </a:graphic>
          </wp:inline>
        </w:drawing>
      </w:r>
    </w:p>
    <w:p w14:paraId="04C0B7E2" w14:textId="77777777" w:rsidR="00F15FC8" w:rsidRDefault="00887443">
      <w:pPr>
        <w:spacing w:before="200" w:after="200"/>
        <w:jc w:val="both"/>
        <w:rPr>
          <w:rFonts w:ascii="Arial" w:eastAsia="Arial" w:hAnsi="Arial" w:cs="Arial"/>
          <w:b/>
          <w:sz w:val="22"/>
          <w:szCs w:val="22"/>
        </w:rPr>
      </w:pPr>
      <w:r>
        <w:rPr>
          <w:rFonts w:ascii="Arial" w:eastAsia="Arial" w:hAnsi="Arial" w:cs="Arial"/>
          <w:b/>
          <w:sz w:val="22"/>
          <w:szCs w:val="22"/>
        </w:rPr>
        <w:t xml:space="preserve">3.2  Biofilm formation by </w:t>
      </w:r>
      <w:r>
        <w:rPr>
          <w:rFonts w:ascii="Arial" w:eastAsia="Arial" w:hAnsi="Arial" w:cs="Arial"/>
          <w:b/>
          <w:i/>
          <w:sz w:val="22"/>
          <w:szCs w:val="22"/>
        </w:rPr>
        <w:t xml:space="preserve">Candida </w:t>
      </w:r>
      <w:r>
        <w:rPr>
          <w:rFonts w:ascii="Arial" w:eastAsia="Arial" w:hAnsi="Arial" w:cs="Arial"/>
          <w:b/>
          <w:sz w:val="22"/>
          <w:szCs w:val="22"/>
        </w:rPr>
        <w:t xml:space="preserve">spp. </w:t>
      </w:r>
    </w:p>
    <w:p w14:paraId="705B1830" w14:textId="77777777" w:rsidR="00F15FC8" w:rsidRDefault="00887443">
      <w:pPr>
        <w:spacing w:after="200"/>
        <w:jc w:val="both"/>
        <w:rPr>
          <w:rFonts w:ascii="Arial" w:eastAsia="Arial" w:hAnsi="Arial" w:cs="Arial"/>
          <w:sz w:val="22"/>
          <w:szCs w:val="22"/>
        </w:rPr>
      </w:pPr>
      <w:r>
        <w:rPr>
          <w:rFonts w:ascii="Arial" w:eastAsia="Arial" w:hAnsi="Arial" w:cs="Arial"/>
          <w:sz w:val="22"/>
          <w:szCs w:val="22"/>
        </w:rPr>
        <w:lastRenderedPageBreak/>
        <w:t xml:space="preserve">The results of biofilm formation by </w:t>
      </w:r>
      <w:r>
        <w:rPr>
          <w:rFonts w:ascii="Arial" w:eastAsia="Arial" w:hAnsi="Arial" w:cs="Arial"/>
          <w:i/>
          <w:sz w:val="22"/>
          <w:szCs w:val="22"/>
        </w:rPr>
        <w:t>Candida</w:t>
      </w:r>
      <w:r>
        <w:rPr>
          <w:rFonts w:ascii="Arial" w:eastAsia="Arial" w:hAnsi="Arial" w:cs="Arial"/>
          <w:sz w:val="22"/>
          <w:szCs w:val="22"/>
        </w:rPr>
        <w:t xml:space="preserve"> spp. yeasts were evaluated by measuring the optical density (OD</w:t>
      </w:r>
      <w:r>
        <w:rPr>
          <w:rFonts w:ascii="Arial" w:eastAsia="Arial" w:hAnsi="Arial" w:cs="Arial"/>
          <w:sz w:val="22"/>
          <w:szCs w:val="22"/>
          <w:vertAlign w:val="subscript"/>
        </w:rPr>
        <w:t>620nm</w:t>
      </w:r>
      <w:r>
        <w:rPr>
          <w:rFonts w:ascii="Arial" w:eastAsia="Arial" w:hAnsi="Arial" w:cs="Arial"/>
          <w:sz w:val="22"/>
          <w:szCs w:val="22"/>
        </w:rPr>
        <w:t>) after crystal violet staining, as shown in Table 1. Viable yeast counts associated with biofilms ranged from 6.11 to 6.62 log10 CFU.mL</w:t>
      </w:r>
      <w:r>
        <w:rPr>
          <w:rFonts w:ascii="Arial" w:eastAsia="Arial" w:hAnsi="Arial" w:cs="Arial"/>
          <w:sz w:val="22"/>
          <w:szCs w:val="22"/>
          <w:vertAlign w:val="superscript"/>
        </w:rPr>
        <w:t>-1</w:t>
      </w:r>
      <w:r>
        <w:rPr>
          <w:rFonts w:ascii="Arial" w:eastAsia="Arial" w:hAnsi="Arial" w:cs="Arial"/>
          <w:sz w:val="22"/>
          <w:szCs w:val="22"/>
        </w:rPr>
        <w:t>. The grown biofilms were classified as strong or moderate based on the intensity of the detected OD</w:t>
      </w:r>
      <w:r>
        <w:rPr>
          <w:rFonts w:ascii="Arial" w:eastAsia="Arial" w:hAnsi="Arial" w:cs="Arial"/>
          <w:sz w:val="22"/>
          <w:szCs w:val="22"/>
          <w:vertAlign w:val="subscript"/>
        </w:rPr>
        <w:t>620nm</w:t>
      </w:r>
      <w:r>
        <w:rPr>
          <w:rFonts w:ascii="Arial" w:eastAsia="Arial" w:hAnsi="Arial" w:cs="Arial"/>
          <w:sz w:val="22"/>
          <w:szCs w:val="22"/>
        </w:rPr>
        <w:t xml:space="preserve">. </w:t>
      </w:r>
    </w:p>
    <w:p w14:paraId="71BBE764" w14:textId="77777777" w:rsidR="00F15FC8" w:rsidRDefault="00887443">
      <w:pPr>
        <w:spacing w:after="200"/>
        <w:jc w:val="both"/>
        <w:rPr>
          <w:rFonts w:ascii="Arial" w:eastAsia="Arial" w:hAnsi="Arial" w:cs="Arial"/>
          <w:b/>
          <w:sz w:val="24"/>
          <w:szCs w:val="24"/>
        </w:rPr>
      </w:pPr>
      <w:r>
        <w:rPr>
          <w:rFonts w:ascii="Arial" w:eastAsia="Arial" w:hAnsi="Arial" w:cs="Arial"/>
          <w:i/>
        </w:rPr>
        <w:t>Table 1.</w:t>
      </w:r>
      <w:r>
        <w:rPr>
          <w:rFonts w:ascii="Arial" w:eastAsia="Arial" w:hAnsi="Arial" w:cs="Arial"/>
        </w:rPr>
        <w:t xml:space="preserve"> Biofilm formation of </w:t>
      </w:r>
      <w:r>
        <w:rPr>
          <w:rFonts w:ascii="Arial" w:eastAsia="Arial" w:hAnsi="Arial" w:cs="Arial"/>
          <w:i/>
        </w:rPr>
        <w:t xml:space="preserve">Candida </w:t>
      </w:r>
      <w:r>
        <w:rPr>
          <w:rFonts w:ascii="Arial" w:eastAsia="Arial" w:hAnsi="Arial" w:cs="Arial"/>
        </w:rPr>
        <w:t>spp. yeasts.</w:t>
      </w:r>
    </w:p>
    <w:sdt>
      <w:sdtPr>
        <w:tag w:val="goog_rdk_6"/>
        <w:id w:val="2109162662"/>
        <w:lock w:val="contentLocked"/>
      </w:sdtPr>
      <w:sdtContent>
        <w:tbl>
          <w:tblPr>
            <w:tblStyle w:val="a0"/>
            <w:tblW w:w="8070" w:type="dxa"/>
            <w:jc w:val="center"/>
            <w:tblInd w:w="0" w:type="dxa"/>
            <w:tblLayout w:type="fixed"/>
            <w:tblLook w:val="0400" w:firstRow="0" w:lastRow="0" w:firstColumn="0" w:lastColumn="0" w:noHBand="0" w:noVBand="1"/>
          </w:tblPr>
          <w:tblGrid>
            <w:gridCol w:w="3031"/>
            <w:gridCol w:w="885"/>
            <w:gridCol w:w="720"/>
            <w:gridCol w:w="840"/>
            <w:gridCol w:w="890"/>
            <w:gridCol w:w="1704"/>
          </w:tblGrid>
          <w:tr w:rsidR="00F15FC8" w14:paraId="26F8869D" w14:textId="77777777">
            <w:trPr>
              <w:trHeight w:val="390"/>
              <w:jc w:val="center"/>
            </w:trPr>
            <w:tc>
              <w:tcPr>
                <w:tcW w:w="3030" w:type="dxa"/>
                <w:vMerge w:val="restart"/>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50A8CE34" w14:textId="77777777" w:rsidR="00F15FC8" w:rsidRDefault="00F15FC8">
                <w:pPr>
                  <w:ind w:firstLine="238"/>
                  <w:jc w:val="both"/>
                  <w:rPr>
                    <w:rFonts w:ascii="Arial" w:eastAsia="Arial" w:hAnsi="Arial" w:cs="Arial"/>
                  </w:rPr>
                </w:pPr>
              </w:p>
              <w:p w14:paraId="76FB89DD" w14:textId="77777777" w:rsidR="00F15FC8" w:rsidRDefault="00887443">
                <w:pPr>
                  <w:ind w:firstLine="238"/>
                  <w:jc w:val="both"/>
                  <w:rPr>
                    <w:rFonts w:ascii="Arial" w:eastAsia="Arial" w:hAnsi="Arial" w:cs="Arial"/>
                    <w:b/>
                  </w:rPr>
                </w:pPr>
                <w:r>
                  <w:rPr>
                    <w:rFonts w:ascii="Arial" w:eastAsia="Arial" w:hAnsi="Arial" w:cs="Arial"/>
                    <w:b/>
                    <w:i/>
                  </w:rPr>
                  <w:t>Candida</w:t>
                </w:r>
                <w:r>
                  <w:rPr>
                    <w:rFonts w:ascii="Arial" w:eastAsia="Arial" w:hAnsi="Arial" w:cs="Arial"/>
                    <w:b/>
                  </w:rPr>
                  <w:t xml:space="preserve"> spp.</w:t>
                </w:r>
              </w:p>
            </w:tc>
            <w:tc>
              <w:tcPr>
                <w:tcW w:w="5039" w:type="dxa"/>
                <w:gridSpan w:val="5"/>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2AE4CF7C" w14:textId="77777777" w:rsidR="00F15FC8" w:rsidRDefault="00887443">
                <w:pPr>
                  <w:ind w:firstLine="238"/>
                  <w:jc w:val="center"/>
                  <w:rPr>
                    <w:rFonts w:ascii="Arial" w:eastAsia="Arial" w:hAnsi="Arial" w:cs="Arial"/>
                    <w:b/>
                  </w:rPr>
                </w:pPr>
                <w:r>
                  <w:rPr>
                    <w:rFonts w:ascii="Arial" w:eastAsia="Arial" w:hAnsi="Arial" w:cs="Arial"/>
                    <w:b/>
                  </w:rPr>
                  <w:t>Biofilm formation</w:t>
                </w:r>
              </w:p>
            </w:tc>
          </w:tr>
          <w:tr w:rsidR="00F15FC8" w14:paraId="424F6636" w14:textId="77777777">
            <w:trPr>
              <w:trHeight w:val="390"/>
              <w:jc w:val="center"/>
            </w:trPr>
            <w:tc>
              <w:tcPr>
                <w:tcW w:w="3030" w:type="dxa"/>
                <w:vMerge/>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27510237" w14:textId="77777777" w:rsidR="00F15FC8" w:rsidRDefault="00F15FC8">
                <w:pPr>
                  <w:widowControl w:val="0"/>
                  <w:spacing w:line="276" w:lineRule="auto"/>
                  <w:rPr>
                    <w:rFonts w:ascii="Arial" w:eastAsia="Arial" w:hAnsi="Arial" w:cs="Arial"/>
                    <w:b/>
                  </w:rPr>
                </w:pPr>
              </w:p>
            </w:tc>
            <w:tc>
              <w:tcPr>
                <w:tcW w:w="1605" w:type="dxa"/>
                <w:gridSpan w:val="2"/>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69CEAEE7" w14:textId="77777777" w:rsidR="00F15FC8" w:rsidRDefault="00887443">
                <w:pPr>
                  <w:jc w:val="center"/>
                  <w:rPr>
                    <w:rFonts w:ascii="Arial" w:eastAsia="Arial" w:hAnsi="Arial" w:cs="Arial"/>
                  </w:rPr>
                </w:pPr>
                <w:r>
                  <w:rPr>
                    <w:rFonts w:ascii="Arial" w:eastAsia="Arial" w:hAnsi="Arial" w:cs="Arial"/>
                  </w:rPr>
                  <w:t>OD</w:t>
                </w:r>
                <w:r>
                  <w:rPr>
                    <w:rFonts w:ascii="Arial" w:eastAsia="Arial" w:hAnsi="Arial" w:cs="Arial"/>
                    <w:vertAlign w:val="subscript"/>
                  </w:rPr>
                  <w:t>620nm</w:t>
                </w:r>
              </w:p>
            </w:tc>
            <w:tc>
              <w:tcPr>
                <w:tcW w:w="1730" w:type="dxa"/>
                <w:gridSpan w:val="2"/>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3918B33A" w14:textId="77777777" w:rsidR="00F15FC8" w:rsidRDefault="00887443">
                <w:pPr>
                  <w:jc w:val="center"/>
                  <w:rPr>
                    <w:rFonts w:ascii="Arial" w:eastAsia="Arial" w:hAnsi="Arial" w:cs="Arial"/>
                  </w:rPr>
                </w:pPr>
                <w:r>
                  <w:rPr>
                    <w:rFonts w:ascii="Arial" w:eastAsia="Arial" w:hAnsi="Arial" w:cs="Arial"/>
                  </w:rPr>
                  <w:t>log</w:t>
                </w:r>
                <w:r>
                  <w:rPr>
                    <w:rFonts w:ascii="Arial" w:eastAsia="Arial" w:hAnsi="Arial" w:cs="Arial"/>
                    <w:vertAlign w:val="subscript"/>
                  </w:rPr>
                  <w:t>10</w:t>
                </w:r>
                <w:r>
                  <w:rPr>
                    <w:rFonts w:ascii="Arial" w:eastAsia="Arial" w:hAnsi="Arial" w:cs="Arial"/>
                  </w:rPr>
                  <w:t xml:space="preserve"> CFU.mL</w:t>
                </w:r>
                <w:r>
                  <w:rPr>
                    <w:rFonts w:ascii="Arial" w:eastAsia="Arial" w:hAnsi="Arial" w:cs="Arial"/>
                    <w:vertAlign w:val="superscript"/>
                  </w:rPr>
                  <w:t>-1</w:t>
                </w:r>
              </w:p>
            </w:tc>
            <w:tc>
              <w:tcPr>
                <w:tcW w:w="1704" w:type="dxa"/>
                <w:vMerge w:val="restart"/>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3A093B6" w14:textId="77777777" w:rsidR="00F15FC8" w:rsidRDefault="00887443">
                <w:pPr>
                  <w:jc w:val="center"/>
                  <w:rPr>
                    <w:rFonts w:ascii="Arial" w:eastAsia="Arial" w:hAnsi="Arial" w:cs="Arial"/>
                  </w:rPr>
                </w:pPr>
                <w:r>
                  <w:rPr>
                    <w:rFonts w:ascii="Arial" w:eastAsia="Arial" w:hAnsi="Arial" w:cs="Arial"/>
                  </w:rPr>
                  <w:t>Classification</w:t>
                </w:r>
              </w:p>
            </w:tc>
          </w:tr>
          <w:tr w:rsidR="00F15FC8" w14:paraId="6AD9AB1B" w14:textId="77777777">
            <w:trPr>
              <w:trHeight w:val="559"/>
              <w:jc w:val="center"/>
            </w:trPr>
            <w:tc>
              <w:tcPr>
                <w:tcW w:w="3030" w:type="dxa"/>
                <w:vMerge/>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7B110F30" w14:textId="77777777" w:rsidR="00F15FC8" w:rsidRDefault="00F15FC8">
                <w:pPr>
                  <w:widowControl w:val="0"/>
                  <w:spacing w:line="276" w:lineRule="auto"/>
                  <w:rPr>
                    <w:rFonts w:ascii="Arial" w:eastAsia="Arial" w:hAnsi="Arial" w:cs="Arial"/>
                  </w:rPr>
                </w:pPr>
              </w:p>
            </w:tc>
            <w:tc>
              <w:tcPr>
                <w:tcW w:w="885"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5880A204" w14:textId="77777777" w:rsidR="00F15FC8" w:rsidRDefault="00887443">
                <w:pPr>
                  <w:jc w:val="right"/>
                  <w:rPr>
                    <w:rFonts w:ascii="Arial" w:eastAsia="Arial" w:hAnsi="Arial" w:cs="Arial"/>
                    <w:b/>
                  </w:rPr>
                </w:pPr>
                <w:r>
                  <w:rPr>
                    <w:rFonts w:ascii="Arial" w:eastAsia="Arial" w:hAnsi="Arial" w:cs="Arial"/>
                    <w:b/>
                  </w:rPr>
                  <w:t>MEAN</w:t>
                </w:r>
              </w:p>
            </w:tc>
            <w:tc>
              <w:tcPr>
                <w:tcW w:w="720"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59D45DC6" w14:textId="77777777" w:rsidR="00F15FC8" w:rsidRDefault="00887443">
                <w:pPr>
                  <w:jc w:val="both"/>
                  <w:rPr>
                    <w:rFonts w:ascii="Arial" w:eastAsia="Arial" w:hAnsi="Arial" w:cs="Arial"/>
                  </w:rPr>
                </w:pPr>
                <w:r>
                  <w:rPr>
                    <w:rFonts w:ascii="Arial" w:eastAsia="Arial" w:hAnsi="Arial" w:cs="Arial"/>
                  </w:rPr>
                  <w:t>±SD</w:t>
                </w:r>
              </w:p>
            </w:tc>
            <w:tc>
              <w:tcPr>
                <w:tcW w:w="840"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431E6B77" w14:textId="77777777" w:rsidR="00F15FC8" w:rsidRDefault="00887443">
                <w:pPr>
                  <w:jc w:val="right"/>
                  <w:rPr>
                    <w:rFonts w:ascii="Arial" w:eastAsia="Arial" w:hAnsi="Arial" w:cs="Arial"/>
                    <w:b/>
                  </w:rPr>
                </w:pPr>
                <w:r>
                  <w:rPr>
                    <w:rFonts w:ascii="Arial" w:eastAsia="Arial" w:hAnsi="Arial" w:cs="Arial"/>
                    <w:b/>
                  </w:rPr>
                  <w:t>MEAN</w:t>
                </w:r>
              </w:p>
            </w:tc>
            <w:tc>
              <w:tcPr>
                <w:tcW w:w="890"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10D9BB6" w14:textId="77777777" w:rsidR="00F15FC8" w:rsidRDefault="00887443">
                <w:pPr>
                  <w:jc w:val="both"/>
                  <w:rPr>
                    <w:rFonts w:ascii="Arial" w:eastAsia="Arial" w:hAnsi="Arial" w:cs="Arial"/>
                  </w:rPr>
                </w:pPr>
                <w:r>
                  <w:rPr>
                    <w:rFonts w:ascii="Arial" w:eastAsia="Arial" w:hAnsi="Arial" w:cs="Arial"/>
                  </w:rPr>
                  <w:t>±SD</w:t>
                </w:r>
              </w:p>
            </w:tc>
            <w:tc>
              <w:tcPr>
                <w:tcW w:w="1704" w:type="dxa"/>
                <w:vMerge/>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21B42AD" w14:textId="77777777" w:rsidR="00F15FC8" w:rsidRDefault="00F15FC8">
                <w:pPr>
                  <w:widowControl w:val="0"/>
                  <w:spacing w:line="276" w:lineRule="auto"/>
                  <w:rPr>
                    <w:rFonts w:ascii="Arial" w:eastAsia="Arial" w:hAnsi="Arial" w:cs="Arial"/>
                  </w:rPr>
                </w:pPr>
              </w:p>
            </w:tc>
          </w:tr>
          <w:tr w:rsidR="00F15FC8" w14:paraId="50FB9A14" w14:textId="77777777">
            <w:trPr>
              <w:trHeight w:val="25"/>
              <w:jc w:val="center"/>
            </w:trPr>
            <w:tc>
              <w:tcPr>
                <w:tcW w:w="3030" w:type="dxa"/>
                <w:tcBorders>
                  <w:top w:val="single" w:sz="8" w:space="0" w:color="000000"/>
                  <w:bottom w:val="single" w:sz="4" w:space="0" w:color="FCFCFC"/>
                  <w:right w:val="single" w:sz="6" w:space="0" w:color="FCFCFC"/>
                </w:tcBorders>
                <w:tcMar>
                  <w:top w:w="100" w:type="dxa"/>
                  <w:left w:w="100" w:type="dxa"/>
                  <w:bottom w:w="100" w:type="dxa"/>
                  <w:right w:w="100" w:type="dxa"/>
                </w:tcMar>
                <w:vAlign w:val="center"/>
              </w:tcPr>
              <w:p w14:paraId="3B86225B" w14:textId="77777777" w:rsidR="00F15FC8" w:rsidRDefault="00887443">
                <w:pPr>
                  <w:jc w:val="both"/>
                  <w:rPr>
                    <w:rFonts w:ascii="Arial" w:eastAsia="Arial" w:hAnsi="Arial" w:cs="Arial"/>
                  </w:rPr>
                </w:pPr>
                <w:r>
                  <w:rPr>
                    <w:rFonts w:ascii="Arial" w:eastAsia="Arial" w:hAnsi="Arial" w:cs="Arial"/>
                    <w:i/>
                  </w:rPr>
                  <w:t xml:space="preserve">C. albicans </w:t>
                </w:r>
                <w:r>
                  <w:rPr>
                    <w:rFonts w:ascii="Arial" w:eastAsia="Arial" w:hAnsi="Arial" w:cs="Arial"/>
                  </w:rPr>
                  <w:t>ATCC 10231</w:t>
                </w:r>
              </w:p>
            </w:tc>
            <w:tc>
              <w:tcPr>
                <w:tcW w:w="885"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23E0CBCF" w14:textId="77777777" w:rsidR="00F15FC8" w:rsidRDefault="00887443">
                <w:pPr>
                  <w:ind w:firstLine="238"/>
                  <w:jc w:val="both"/>
                  <w:rPr>
                    <w:rFonts w:ascii="Arial" w:eastAsia="Arial" w:hAnsi="Arial" w:cs="Arial"/>
                    <w:b/>
                  </w:rPr>
                </w:pPr>
                <w:r>
                  <w:rPr>
                    <w:rFonts w:ascii="Arial" w:eastAsia="Arial" w:hAnsi="Arial" w:cs="Arial"/>
                    <w:b/>
                  </w:rPr>
                  <w:t>0.399</w:t>
                </w:r>
              </w:p>
            </w:tc>
            <w:tc>
              <w:tcPr>
                <w:tcW w:w="720"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1F79A5F" w14:textId="77777777" w:rsidR="00F15FC8" w:rsidRDefault="00887443">
                <w:pPr>
                  <w:jc w:val="both"/>
                  <w:rPr>
                    <w:rFonts w:ascii="Arial" w:eastAsia="Arial" w:hAnsi="Arial" w:cs="Arial"/>
                  </w:rPr>
                </w:pPr>
                <w:r>
                  <w:rPr>
                    <w:rFonts w:ascii="Arial" w:eastAsia="Arial" w:hAnsi="Arial" w:cs="Arial"/>
                  </w:rPr>
                  <w:t>±0.102</w:t>
                </w:r>
              </w:p>
            </w:tc>
            <w:tc>
              <w:tcPr>
                <w:tcW w:w="840"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12E9DDA5" w14:textId="77777777" w:rsidR="00F15FC8" w:rsidRDefault="00887443">
                <w:pPr>
                  <w:ind w:firstLine="238"/>
                  <w:jc w:val="right"/>
                  <w:rPr>
                    <w:rFonts w:ascii="Arial" w:eastAsia="Arial" w:hAnsi="Arial" w:cs="Arial"/>
                    <w:b/>
                  </w:rPr>
                </w:pPr>
                <w:r>
                  <w:rPr>
                    <w:rFonts w:ascii="Arial" w:eastAsia="Arial" w:hAnsi="Arial" w:cs="Arial"/>
                    <w:b/>
                  </w:rPr>
                  <w:t>6.39</w:t>
                </w:r>
              </w:p>
            </w:tc>
            <w:tc>
              <w:tcPr>
                <w:tcW w:w="890"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30E8C016" w14:textId="77777777" w:rsidR="00F15FC8" w:rsidRDefault="00887443">
                <w:pPr>
                  <w:rPr>
                    <w:rFonts w:ascii="Arial" w:eastAsia="Arial" w:hAnsi="Arial" w:cs="Arial"/>
                  </w:rPr>
                </w:pPr>
                <w:r>
                  <w:rPr>
                    <w:rFonts w:ascii="Arial" w:eastAsia="Arial" w:hAnsi="Arial" w:cs="Arial"/>
                  </w:rPr>
                  <w:t>±5.88</w:t>
                </w:r>
              </w:p>
            </w:tc>
            <w:tc>
              <w:tcPr>
                <w:tcW w:w="1704"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6C1DDEDC" w14:textId="77777777" w:rsidR="00F15FC8" w:rsidRDefault="00887443">
                <w:pPr>
                  <w:ind w:firstLine="238"/>
                  <w:jc w:val="center"/>
                  <w:rPr>
                    <w:rFonts w:ascii="Arial" w:eastAsia="Arial" w:hAnsi="Arial" w:cs="Arial"/>
                  </w:rPr>
                </w:pPr>
                <w:r>
                  <w:rPr>
                    <w:rFonts w:ascii="Arial" w:eastAsia="Arial" w:hAnsi="Arial" w:cs="Arial"/>
                  </w:rPr>
                  <w:t>Strong</w:t>
                </w:r>
              </w:p>
            </w:tc>
          </w:tr>
          <w:tr w:rsidR="00F15FC8" w14:paraId="7A292C48" w14:textId="77777777">
            <w:trPr>
              <w:trHeight w:val="23"/>
              <w:jc w:val="center"/>
            </w:trPr>
            <w:tc>
              <w:tcPr>
                <w:tcW w:w="3030"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5F52CA5B" w14:textId="77777777" w:rsidR="00F15FC8" w:rsidRDefault="00887443">
                <w:pPr>
                  <w:jc w:val="both"/>
                  <w:rPr>
                    <w:rFonts w:ascii="Arial" w:eastAsia="Arial" w:hAnsi="Arial" w:cs="Arial"/>
                  </w:rPr>
                </w:pPr>
                <w:r>
                  <w:rPr>
                    <w:rFonts w:ascii="Arial" w:eastAsia="Arial" w:hAnsi="Arial" w:cs="Arial"/>
                    <w:i/>
                  </w:rPr>
                  <w:t xml:space="preserve">C. metapsilosis </w:t>
                </w:r>
                <w:r>
                  <w:rPr>
                    <w:rFonts w:ascii="Arial" w:eastAsia="Arial" w:hAnsi="Arial" w:cs="Arial"/>
                  </w:rPr>
                  <w:t>ATCC 96143</w:t>
                </w:r>
              </w:p>
            </w:tc>
            <w:tc>
              <w:tcPr>
                <w:tcW w:w="8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629DDC7" w14:textId="77777777" w:rsidR="00F15FC8" w:rsidRDefault="00887443">
                <w:pPr>
                  <w:ind w:firstLine="238"/>
                  <w:jc w:val="both"/>
                  <w:rPr>
                    <w:rFonts w:ascii="Arial" w:eastAsia="Arial" w:hAnsi="Arial" w:cs="Arial"/>
                    <w:b/>
                  </w:rPr>
                </w:pPr>
                <w:r>
                  <w:rPr>
                    <w:rFonts w:ascii="Arial" w:eastAsia="Arial" w:hAnsi="Arial" w:cs="Arial"/>
                    <w:b/>
                  </w:rPr>
                  <w:t>0.602</w:t>
                </w:r>
              </w:p>
            </w:tc>
            <w:tc>
              <w:tcPr>
                <w:tcW w:w="72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F2DD12B" w14:textId="77777777" w:rsidR="00F15FC8" w:rsidRDefault="00887443">
                <w:pPr>
                  <w:jc w:val="both"/>
                  <w:rPr>
                    <w:rFonts w:ascii="Arial" w:eastAsia="Arial" w:hAnsi="Arial" w:cs="Arial"/>
                  </w:rPr>
                </w:pPr>
                <w:r>
                  <w:rPr>
                    <w:rFonts w:ascii="Arial" w:eastAsia="Arial" w:hAnsi="Arial" w:cs="Arial"/>
                  </w:rPr>
                  <w:t>±0.175</w:t>
                </w:r>
              </w:p>
            </w:tc>
            <w:tc>
              <w:tcPr>
                <w:tcW w:w="84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6BBE2919" w14:textId="77777777" w:rsidR="00F15FC8" w:rsidRDefault="00887443">
                <w:pPr>
                  <w:ind w:firstLine="238"/>
                  <w:jc w:val="right"/>
                  <w:rPr>
                    <w:rFonts w:ascii="Arial" w:eastAsia="Arial" w:hAnsi="Arial" w:cs="Arial"/>
                    <w:b/>
                  </w:rPr>
                </w:pPr>
                <w:r>
                  <w:rPr>
                    <w:rFonts w:ascii="Arial" w:eastAsia="Arial" w:hAnsi="Arial" w:cs="Arial"/>
                    <w:b/>
                  </w:rPr>
                  <w:t>6.11</w:t>
                </w:r>
              </w:p>
            </w:tc>
            <w:tc>
              <w:tcPr>
                <w:tcW w:w="89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793B930C" w14:textId="77777777" w:rsidR="00F15FC8" w:rsidRDefault="00887443">
                <w:pPr>
                  <w:rPr>
                    <w:rFonts w:ascii="Arial" w:eastAsia="Arial" w:hAnsi="Arial" w:cs="Arial"/>
                  </w:rPr>
                </w:pPr>
                <w:r>
                  <w:rPr>
                    <w:rFonts w:ascii="Arial" w:eastAsia="Arial" w:hAnsi="Arial" w:cs="Arial"/>
                  </w:rPr>
                  <w:t>±5.62</w:t>
                </w:r>
              </w:p>
            </w:tc>
            <w:tc>
              <w:tcPr>
                <w:tcW w:w="170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7D853402" w14:textId="77777777" w:rsidR="00F15FC8" w:rsidRDefault="00887443">
                <w:pPr>
                  <w:ind w:firstLine="238"/>
                  <w:jc w:val="center"/>
                  <w:rPr>
                    <w:rFonts w:ascii="Arial" w:eastAsia="Arial" w:hAnsi="Arial" w:cs="Arial"/>
                  </w:rPr>
                </w:pPr>
                <w:r>
                  <w:rPr>
                    <w:rFonts w:ascii="Arial" w:eastAsia="Arial" w:hAnsi="Arial" w:cs="Arial"/>
                  </w:rPr>
                  <w:t>Strong</w:t>
                </w:r>
              </w:p>
            </w:tc>
          </w:tr>
          <w:tr w:rsidR="00F15FC8" w14:paraId="4019C4C2" w14:textId="77777777">
            <w:trPr>
              <w:trHeight w:val="23"/>
              <w:jc w:val="center"/>
            </w:trPr>
            <w:tc>
              <w:tcPr>
                <w:tcW w:w="3030"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1894B43B" w14:textId="77777777" w:rsidR="00F15FC8" w:rsidRDefault="00887443">
                <w:pPr>
                  <w:jc w:val="both"/>
                  <w:rPr>
                    <w:rFonts w:ascii="Arial" w:eastAsia="Arial" w:hAnsi="Arial" w:cs="Arial"/>
                  </w:rPr>
                </w:pPr>
                <w:r>
                  <w:rPr>
                    <w:rFonts w:ascii="Arial" w:eastAsia="Arial" w:hAnsi="Arial" w:cs="Arial"/>
                    <w:i/>
                  </w:rPr>
                  <w:t xml:space="preserve">C. dubliniensis </w:t>
                </w:r>
                <w:r>
                  <w:rPr>
                    <w:rFonts w:ascii="Arial" w:eastAsia="Arial" w:hAnsi="Arial" w:cs="Arial"/>
                  </w:rPr>
                  <w:t>ATCC MYA-646 </w:t>
                </w:r>
              </w:p>
            </w:tc>
            <w:tc>
              <w:tcPr>
                <w:tcW w:w="8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1BD2E878" w14:textId="77777777" w:rsidR="00F15FC8" w:rsidRDefault="00887443">
                <w:pPr>
                  <w:ind w:firstLine="238"/>
                  <w:jc w:val="both"/>
                  <w:rPr>
                    <w:rFonts w:ascii="Arial" w:eastAsia="Arial" w:hAnsi="Arial" w:cs="Arial"/>
                    <w:b/>
                  </w:rPr>
                </w:pPr>
                <w:r>
                  <w:rPr>
                    <w:rFonts w:ascii="Arial" w:eastAsia="Arial" w:hAnsi="Arial" w:cs="Arial"/>
                    <w:b/>
                  </w:rPr>
                  <w:t>0.404</w:t>
                </w:r>
              </w:p>
            </w:tc>
            <w:tc>
              <w:tcPr>
                <w:tcW w:w="72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52CFD71" w14:textId="77777777" w:rsidR="00F15FC8" w:rsidRDefault="00887443">
                <w:pPr>
                  <w:jc w:val="both"/>
                  <w:rPr>
                    <w:rFonts w:ascii="Arial" w:eastAsia="Arial" w:hAnsi="Arial" w:cs="Arial"/>
                  </w:rPr>
                </w:pPr>
                <w:r>
                  <w:rPr>
                    <w:rFonts w:ascii="Arial" w:eastAsia="Arial" w:hAnsi="Arial" w:cs="Arial"/>
                  </w:rPr>
                  <w:t>±0.110</w:t>
                </w:r>
              </w:p>
            </w:tc>
            <w:tc>
              <w:tcPr>
                <w:tcW w:w="84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A039438" w14:textId="77777777" w:rsidR="00F15FC8" w:rsidRDefault="00887443">
                <w:pPr>
                  <w:ind w:firstLine="238"/>
                  <w:jc w:val="right"/>
                  <w:rPr>
                    <w:rFonts w:ascii="Arial" w:eastAsia="Arial" w:hAnsi="Arial" w:cs="Arial"/>
                    <w:b/>
                  </w:rPr>
                </w:pPr>
                <w:r>
                  <w:rPr>
                    <w:rFonts w:ascii="Arial" w:eastAsia="Arial" w:hAnsi="Arial" w:cs="Arial"/>
                    <w:b/>
                  </w:rPr>
                  <w:t>6.30</w:t>
                </w:r>
              </w:p>
            </w:tc>
            <w:tc>
              <w:tcPr>
                <w:tcW w:w="89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6659FCB6" w14:textId="77777777" w:rsidR="00F15FC8" w:rsidRDefault="00887443">
                <w:pPr>
                  <w:rPr>
                    <w:rFonts w:ascii="Arial" w:eastAsia="Arial" w:hAnsi="Arial" w:cs="Arial"/>
                  </w:rPr>
                </w:pPr>
                <w:r>
                  <w:rPr>
                    <w:rFonts w:ascii="Arial" w:eastAsia="Arial" w:hAnsi="Arial" w:cs="Arial"/>
                  </w:rPr>
                  <w:t>±5.15</w:t>
                </w:r>
              </w:p>
            </w:tc>
            <w:tc>
              <w:tcPr>
                <w:tcW w:w="170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540C030" w14:textId="77777777" w:rsidR="00F15FC8" w:rsidRDefault="00887443">
                <w:pPr>
                  <w:ind w:firstLine="238"/>
                  <w:jc w:val="center"/>
                  <w:rPr>
                    <w:rFonts w:ascii="Arial" w:eastAsia="Arial" w:hAnsi="Arial" w:cs="Arial"/>
                  </w:rPr>
                </w:pPr>
                <w:r>
                  <w:rPr>
                    <w:rFonts w:ascii="Arial" w:eastAsia="Arial" w:hAnsi="Arial" w:cs="Arial"/>
                  </w:rPr>
                  <w:t>Strong</w:t>
                </w:r>
              </w:p>
            </w:tc>
          </w:tr>
          <w:tr w:rsidR="00F15FC8" w14:paraId="11F4FEEC" w14:textId="77777777">
            <w:trPr>
              <w:trHeight w:val="23"/>
              <w:jc w:val="center"/>
            </w:trPr>
            <w:tc>
              <w:tcPr>
                <w:tcW w:w="3030"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379E1FB8" w14:textId="77777777" w:rsidR="00F15FC8" w:rsidRDefault="00887443">
                <w:pPr>
                  <w:jc w:val="both"/>
                  <w:rPr>
                    <w:rFonts w:ascii="Arial" w:eastAsia="Arial" w:hAnsi="Arial" w:cs="Arial"/>
                  </w:rPr>
                </w:pPr>
                <w:r>
                  <w:rPr>
                    <w:rFonts w:ascii="Arial" w:eastAsia="Arial" w:hAnsi="Arial" w:cs="Arial"/>
                    <w:i/>
                  </w:rPr>
                  <w:t xml:space="preserve">C. orthopsilosis </w:t>
                </w:r>
                <w:r>
                  <w:rPr>
                    <w:rFonts w:ascii="Arial" w:eastAsia="Arial" w:hAnsi="Arial" w:cs="Arial"/>
                  </w:rPr>
                  <w:t>ATCC 96141</w:t>
                </w:r>
              </w:p>
            </w:tc>
            <w:tc>
              <w:tcPr>
                <w:tcW w:w="8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48339622" w14:textId="77777777" w:rsidR="00F15FC8" w:rsidRDefault="00887443">
                <w:pPr>
                  <w:ind w:firstLine="238"/>
                  <w:jc w:val="both"/>
                  <w:rPr>
                    <w:rFonts w:ascii="Arial" w:eastAsia="Arial" w:hAnsi="Arial" w:cs="Arial"/>
                    <w:b/>
                  </w:rPr>
                </w:pPr>
                <w:r>
                  <w:rPr>
                    <w:rFonts w:ascii="Arial" w:eastAsia="Arial" w:hAnsi="Arial" w:cs="Arial"/>
                    <w:b/>
                  </w:rPr>
                  <w:t>0.288</w:t>
                </w:r>
              </w:p>
            </w:tc>
            <w:tc>
              <w:tcPr>
                <w:tcW w:w="72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7E136A58" w14:textId="77777777" w:rsidR="00F15FC8" w:rsidRDefault="00887443">
                <w:pPr>
                  <w:jc w:val="both"/>
                  <w:rPr>
                    <w:rFonts w:ascii="Arial" w:eastAsia="Arial" w:hAnsi="Arial" w:cs="Arial"/>
                  </w:rPr>
                </w:pPr>
                <w:r>
                  <w:rPr>
                    <w:rFonts w:ascii="Arial" w:eastAsia="Arial" w:hAnsi="Arial" w:cs="Arial"/>
                  </w:rPr>
                  <w:t>±0.109</w:t>
                </w:r>
              </w:p>
            </w:tc>
            <w:tc>
              <w:tcPr>
                <w:tcW w:w="84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49E3A38F" w14:textId="77777777" w:rsidR="00F15FC8" w:rsidRDefault="00887443">
                <w:pPr>
                  <w:ind w:firstLine="238"/>
                  <w:jc w:val="right"/>
                  <w:rPr>
                    <w:rFonts w:ascii="Arial" w:eastAsia="Arial" w:hAnsi="Arial" w:cs="Arial"/>
                    <w:b/>
                  </w:rPr>
                </w:pPr>
                <w:r>
                  <w:rPr>
                    <w:rFonts w:ascii="Arial" w:eastAsia="Arial" w:hAnsi="Arial" w:cs="Arial"/>
                    <w:b/>
                  </w:rPr>
                  <w:t>6.62</w:t>
                </w:r>
              </w:p>
            </w:tc>
            <w:tc>
              <w:tcPr>
                <w:tcW w:w="89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3D068CE0" w14:textId="77777777" w:rsidR="00F15FC8" w:rsidRDefault="00887443">
                <w:pPr>
                  <w:rPr>
                    <w:rFonts w:ascii="Arial" w:eastAsia="Arial" w:hAnsi="Arial" w:cs="Arial"/>
                  </w:rPr>
                </w:pPr>
                <w:r>
                  <w:rPr>
                    <w:rFonts w:ascii="Arial" w:eastAsia="Arial" w:hAnsi="Arial" w:cs="Arial"/>
                  </w:rPr>
                  <w:t>±5.72</w:t>
                </w:r>
              </w:p>
            </w:tc>
            <w:tc>
              <w:tcPr>
                <w:tcW w:w="170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3F5744BE" w14:textId="77777777" w:rsidR="00F15FC8" w:rsidRDefault="00887443">
                <w:pPr>
                  <w:ind w:firstLine="238"/>
                  <w:jc w:val="center"/>
                  <w:rPr>
                    <w:rFonts w:ascii="Arial" w:eastAsia="Arial" w:hAnsi="Arial" w:cs="Arial"/>
                  </w:rPr>
                </w:pPr>
                <w:r>
                  <w:rPr>
                    <w:rFonts w:ascii="Arial" w:eastAsia="Arial" w:hAnsi="Arial" w:cs="Arial"/>
                  </w:rPr>
                  <w:t>Moderate</w:t>
                </w:r>
              </w:p>
            </w:tc>
          </w:tr>
          <w:tr w:rsidR="00F15FC8" w14:paraId="35CB2E0E" w14:textId="77777777">
            <w:trPr>
              <w:trHeight w:val="23"/>
              <w:jc w:val="center"/>
            </w:trPr>
            <w:tc>
              <w:tcPr>
                <w:tcW w:w="3030" w:type="dxa"/>
                <w:tcBorders>
                  <w:top w:val="single" w:sz="4" w:space="0" w:color="FCFCFC"/>
                  <w:bottom w:val="single" w:sz="8" w:space="0" w:color="000000"/>
                  <w:right w:val="single" w:sz="6" w:space="0" w:color="FCFCFC"/>
                </w:tcBorders>
                <w:tcMar>
                  <w:top w:w="100" w:type="dxa"/>
                  <w:left w:w="100" w:type="dxa"/>
                  <w:bottom w:w="100" w:type="dxa"/>
                  <w:right w:w="100" w:type="dxa"/>
                </w:tcMar>
                <w:vAlign w:val="center"/>
              </w:tcPr>
              <w:p w14:paraId="7EE46BA9" w14:textId="77777777" w:rsidR="00F15FC8" w:rsidRDefault="00887443">
                <w:pPr>
                  <w:jc w:val="both"/>
                  <w:rPr>
                    <w:rFonts w:ascii="Arial" w:eastAsia="Arial" w:hAnsi="Arial" w:cs="Arial"/>
                  </w:rPr>
                </w:pPr>
                <w:r>
                  <w:rPr>
                    <w:rFonts w:ascii="Arial" w:eastAsia="Arial" w:hAnsi="Arial" w:cs="Arial"/>
                    <w:i/>
                  </w:rPr>
                  <w:t xml:space="preserve">C. parapsilosis </w:t>
                </w:r>
                <w:r>
                  <w:rPr>
                    <w:rFonts w:ascii="Arial" w:eastAsia="Arial" w:hAnsi="Arial" w:cs="Arial"/>
                  </w:rPr>
                  <w:t>ATCC 22019 </w:t>
                </w:r>
              </w:p>
            </w:tc>
            <w:tc>
              <w:tcPr>
                <w:tcW w:w="885"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1C0340FC" w14:textId="77777777" w:rsidR="00F15FC8" w:rsidRDefault="00887443">
                <w:pPr>
                  <w:ind w:firstLine="238"/>
                  <w:jc w:val="both"/>
                  <w:rPr>
                    <w:rFonts w:ascii="Arial" w:eastAsia="Arial" w:hAnsi="Arial" w:cs="Arial"/>
                    <w:b/>
                  </w:rPr>
                </w:pPr>
                <w:r>
                  <w:rPr>
                    <w:rFonts w:ascii="Arial" w:eastAsia="Arial" w:hAnsi="Arial" w:cs="Arial"/>
                    <w:b/>
                  </w:rPr>
                  <w:t>0.310</w:t>
                </w:r>
              </w:p>
            </w:tc>
            <w:tc>
              <w:tcPr>
                <w:tcW w:w="720"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43E0D080" w14:textId="77777777" w:rsidR="00F15FC8" w:rsidRDefault="00887443">
                <w:pPr>
                  <w:jc w:val="both"/>
                  <w:rPr>
                    <w:rFonts w:ascii="Arial" w:eastAsia="Arial" w:hAnsi="Arial" w:cs="Arial"/>
                  </w:rPr>
                </w:pPr>
                <w:r>
                  <w:rPr>
                    <w:rFonts w:ascii="Arial" w:eastAsia="Arial" w:hAnsi="Arial" w:cs="Arial"/>
                  </w:rPr>
                  <w:t>±0.109</w:t>
                </w:r>
              </w:p>
            </w:tc>
            <w:tc>
              <w:tcPr>
                <w:tcW w:w="840"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22AB86E2" w14:textId="77777777" w:rsidR="00F15FC8" w:rsidRDefault="00887443">
                <w:pPr>
                  <w:ind w:firstLine="238"/>
                  <w:jc w:val="right"/>
                  <w:rPr>
                    <w:rFonts w:ascii="Arial" w:eastAsia="Arial" w:hAnsi="Arial" w:cs="Arial"/>
                    <w:b/>
                  </w:rPr>
                </w:pPr>
                <w:r>
                  <w:rPr>
                    <w:rFonts w:ascii="Arial" w:eastAsia="Arial" w:hAnsi="Arial" w:cs="Arial"/>
                    <w:b/>
                  </w:rPr>
                  <w:t>6.16</w:t>
                </w:r>
              </w:p>
            </w:tc>
            <w:tc>
              <w:tcPr>
                <w:tcW w:w="890"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29625169" w14:textId="77777777" w:rsidR="00F15FC8" w:rsidRDefault="00887443">
                <w:pPr>
                  <w:rPr>
                    <w:rFonts w:ascii="Arial" w:eastAsia="Arial" w:hAnsi="Arial" w:cs="Arial"/>
                  </w:rPr>
                </w:pPr>
                <w:r>
                  <w:rPr>
                    <w:rFonts w:ascii="Arial" w:eastAsia="Arial" w:hAnsi="Arial" w:cs="Arial"/>
                  </w:rPr>
                  <w:t>±5.68</w:t>
                </w:r>
              </w:p>
            </w:tc>
            <w:tc>
              <w:tcPr>
                <w:tcW w:w="1704"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3BDA03A9" w14:textId="77777777" w:rsidR="00F15FC8" w:rsidRDefault="00887443">
                <w:pPr>
                  <w:ind w:firstLine="238"/>
                  <w:jc w:val="center"/>
                  <w:rPr>
                    <w:rFonts w:ascii="Arial" w:eastAsia="Arial" w:hAnsi="Arial" w:cs="Arial"/>
                  </w:rPr>
                </w:pPr>
                <w:r>
                  <w:rPr>
                    <w:rFonts w:ascii="Arial" w:eastAsia="Arial" w:hAnsi="Arial" w:cs="Arial"/>
                  </w:rPr>
                  <w:t>Moderate</w:t>
                </w:r>
              </w:p>
            </w:tc>
          </w:tr>
        </w:tbl>
      </w:sdtContent>
    </w:sdt>
    <w:p w14:paraId="4EB2A9C0" w14:textId="77777777" w:rsidR="00F15FC8" w:rsidRDefault="00887443">
      <w:pPr>
        <w:jc w:val="both"/>
        <w:rPr>
          <w:rFonts w:ascii="Arial" w:eastAsia="Arial" w:hAnsi="Arial" w:cs="Arial"/>
        </w:rPr>
      </w:pPr>
      <w:r>
        <w:rPr>
          <w:rFonts w:ascii="Arial" w:eastAsia="Arial" w:hAnsi="Arial" w:cs="Arial"/>
          <w:i/>
        </w:rPr>
        <w:t>Captions</w:t>
      </w:r>
      <w:r>
        <w:rPr>
          <w:rFonts w:ascii="Arial" w:eastAsia="Arial" w:hAnsi="Arial" w:cs="Arial"/>
        </w:rPr>
        <w:t>: OD</w:t>
      </w:r>
      <w:r>
        <w:rPr>
          <w:rFonts w:ascii="Arial" w:eastAsia="Arial" w:hAnsi="Arial" w:cs="Arial"/>
          <w:vertAlign w:val="subscript"/>
        </w:rPr>
        <w:t>620nm</w:t>
      </w:r>
      <w:r>
        <w:rPr>
          <w:rFonts w:ascii="Arial" w:eastAsia="Arial" w:hAnsi="Arial" w:cs="Arial"/>
        </w:rPr>
        <w:t xml:space="preserve"> - Optical Density at 620nm; Colony Forming Units per milliliter (CFU.mL</w:t>
      </w:r>
      <w:r>
        <w:rPr>
          <w:rFonts w:ascii="Arial" w:eastAsia="Arial" w:hAnsi="Arial" w:cs="Arial"/>
          <w:vertAlign w:val="superscript"/>
        </w:rPr>
        <w:t>-1</w:t>
      </w:r>
      <w:r>
        <w:rPr>
          <w:rFonts w:ascii="Arial" w:eastAsia="Arial" w:hAnsi="Arial" w:cs="Arial"/>
        </w:rPr>
        <w:t>); ATCC - American Type Culture Collection.</w:t>
      </w:r>
    </w:p>
    <w:p w14:paraId="3726FC59" w14:textId="77777777" w:rsidR="00F15FC8" w:rsidRDefault="00F15FC8">
      <w:pPr>
        <w:jc w:val="both"/>
        <w:rPr>
          <w:rFonts w:ascii="Arial" w:eastAsia="Arial" w:hAnsi="Arial" w:cs="Arial"/>
          <w:sz w:val="22"/>
          <w:szCs w:val="22"/>
        </w:rPr>
      </w:pPr>
    </w:p>
    <w:p w14:paraId="6DABB4C0"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yeasts </w:t>
      </w:r>
      <w:r>
        <w:rPr>
          <w:rFonts w:ascii="Arial" w:eastAsia="Arial" w:hAnsi="Arial" w:cs="Arial"/>
          <w:i/>
          <w:sz w:val="22"/>
          <w:szCs w:val="22"/>
        </w:rPr>
        <w:t>Candida albicans</w:t>
      </w:r>
      <w:r>
        <w:rPr>
          <w:rFonts w:ascii="Arial" w:eastAsia="Arial" w:hAnsi="Arial" w:cs="Arial"/>
          <w:sz w:val="22"/>
          <w:szCs w:val="22"/>
        </w:rPr>
        <w:t xml:space="preserve">, </w:t>
      </w:r>
      <w:r>
        <w:rPr>
          <w:rFonts w:ascii="Arial" w:eastAsia="Arial" w:hAnsi="Arial" w:cs="Arial"/>
          <w:i/>
          <w:sz w:val="22"/>
          <w:szCs w:val="22"/>
        </w:rPr>
        <w:t xml:space="preserve">Candida </w:t>
      </w:r>
      <w:proofErr w:type="spellStart"/>
      <w:r>
        <w:rPr>
          <w:rFonts w:ascii="Arial" w:eastAsia="Arial" w:hAnsi="Arial" w:cs="Arial"/>
          <w:i/>
          <w:sz w:val="22"/>
          <w:szCs w:val="22"/>
        </w:rPr>
        <w:t>metapsilosis</w:t>
      </w:r>
      <w:proofErr w:type="spellEnd"/>
      <w:r>
        <w:rPr>
          <w:rFonts w:ascii="Arial" w:eastAsia="Arial" w:hAnsi="Arial" w:cs="Arial"/>
          <w:sz w:val="22"/>
          <w:szCs w:val="22"/>
        </w:rPr>
        <w:t xml:space="preserve">, and </w:t>
      </w:r>
      <w:r>
        <w:rPr>
          <w:rFonts w:ascii="Arial" w:eastAsia="Arial" w:hAnsi="Arial" w:cs="Arial"/>
          <w:i/>
          <w:sz w:val="22"/>
          <w:szCs w:val="22"/>
        </w:rPr>
        <w:t xml:space="preserve">Candida </w:t>
      </w:r>
      <w:proofErr w:type="spellStart"/>
      <w:r>
        <w:rPr>
          <w:rFonts w:ascii="Arial" w:eastAsia="Arial" w:hAnsi="Arial" w:cs="Arial"/>
          <w:i/>
          <w:sz w:val="22"/>
          <w:szCs w:val="22"/>
        </w:rPr>
        <w:t>dubliniensis</w:t>
      </w:r>
      <w:proofErr w:type="spellEnd"/>
      <w:r>
        <w:rPr>
          <w:rFonts w:ascii="Arial" w:eastAsia="Arial" w:hAnsi="Arial" w:cs="Arial"/>
          <w:sz w:val="22"/>
          <w:szCs w:val="22"/>
        </w:rPr>
        <w:t xml:space="preserve"> exhibited the highest OD</w:t>
      </w:r>
      <w:r>
        <w:rPr>
          <w:rFonts w:ascii="Arial" w:eastAsia="Arial" w:hAnsi="Arial" w:cs="Arial"/>
          <w:sz w:val="22"/>
          <w:szCs w:val="22"/>
          <w:vertAlign w:val="subscript"/>
        </w:rPr>
        <w:t>620nm</w:t>
      </w:r>
      <w:r>
        <w:rPr>
          <w:rFonts w:ascii="Arial" w:eastAsia="Arial" w:hAnsi="Arial" w:cs="Arial"/>
          <w:sz w:val="22"/>
          <w:szCs w:val="22"/>
        </w:rPr>
        <w:t xml:space="preserve"> values, indicating a significant capacity for biofilm formation. </w:t>
      </w:r>
      <w:r>
        <w:rPr>
          <w:rFonts w:ascii="Arial" w:eastAsia="Arial" w:hAnsi="Arial" w:cs="Arial"/>
          <w:i/>
          <w:sz w:val="22"/>
          <w:szCs w:val="22"/>
        </w:rPr>
        <w:t xml:space="preserve">Candida </w:t>
      </w:r>
      <w:proofErr w:type="spellStart"/>
      <w:r>
        <w:rPr>
          <w:rFonts w:ascii="Arial" w:eastAsia="Arial" w:hAnsi="Arial" w:cs="Arial"/>
          <w:i/>
          <w:sz w:val="22"/>
          <w:szCs w:val="22"/>
        </w:rPr>
        <w:t>metapsilosis</w:t>
      </w:r>
      <w:proofErr w:type="spellEnd"/>
      <w:r>
        <w:rPr>
          <w:rFonts w:ascii="Arial" w:eastAsia="Arial" w:hAnsi="Arial" w:cs="Arial"/>
          <w:sz w:val="22"/>
          <w:szCs w:val="22"/>
        </w:rPr>
        <w:t xml:space="preserve"> stood out with the highest reading (</w:t>
      </w:r>
      <w:r>
        <w:rPr>
          <w:rFonts w:ascii="Arial" w:eastAsia="Arial" w:hAnsi="Arial" w:cs="Arial"/>
          <w:b/>
          <w:sz w:val="22"/>
          <w:szCs w:val="22"/>
        </w:rPr>
        <w:t>0.602</w:t>
      </w:r>
      <w:r>
        <w:rPr>
          <w:rFonts w:ascii="Arial" w:eastAsia="Arial" w:hAnsi="Arial" w:cs="Arial"/>
          <w:sz w:val="22"/>
          <w:szCs w:val="22"/>
        </w:rPr>
        <w:t xml:space="preserve">±0.175), suggesting more intense adhesion and extracellular matrix production, while </w:t>
      </w:r>
      <w:r>
        <w:rPr>
          <w:rFonts w:ascii="Arial" w:eastAsia="Arial" w:hAnsi="Arial" w:cs="Arial"/>
          <w:i/>
          <w:sz w:val="22"/>
          <w:szCs w:val="22"/>
        </w:rPr>
        <w:t xml:space="preserve">Candida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and </w:t>
      </w:r>
      <w:r>
        <w:rPr>
          <w:rFonts w:ascii="Arial" w:eastAsia="Arial" w:hAnsi="Arial" w:cs="Arial"/>
          <w:i/>
          <w:sz w:val="22"/>
          <w:szCs w:val="22"/>
        </w:rPr>
        <w:t xml:space="preserve">Candida </w:t>
      </w:r>
      <w:proofErr w:type="spellStart"/>
      <w:r>
        <w:rPr>
          <w:rFonts w:ascii="Arial" w:eastAsia="Arial" w:hAnsi="Arial" w:cs="Arial"/>
          <w:i/>
          <w:sz w:val="22"/>
          <w:szCs w:val="22"/>
        </w:rPr>
        <w:t>parapsilosis</w:t>
      </w:r>
      <w:proofErr w:type="spellEnd"/>
      <w:r>
        <w:rPr>
          <w:rFonts w:ascii="Arial" w:eastAsia="Arial" w:hAnsi="Arial" w:cs="Arial"/>
          <w:sz w:val="22"/>
          <w:szCs w:val="22"/>
        </w:rPr>
        <w:t xml:space="preserve"> showed lower values (</w:t>
      </w:r>
      <w:r>
        <w:rPr>
          <w:rFonts w:ascii="Arial" w:eastAsia="Arial" w:hAnsi="Arial" w:cs="Arial"/>
          <w:b/>
          <w:sz w:val="22"/>
          <w:szCs w:val="22"/>
        </w:rPr>
        <w:t>0.288</w:t>
      </w:r>
      <w:r>
        <w:rPr>
          <w:rFonts w:ascii="Arial" w:eastAsia="Arial" w:hAnsi="Arial" w:cs="Arial"/>
          <w:sz w:val="22"/>
          <w:szCs w:val="22"/>
        </w:rPr>
        <w:t xml:space="preserve">±0.109 and </w:t>
      </w:r>
      <w:r>
        <w:rPr>
          <w:rFonts w:ascii="Arial" w:eastAsia="Arial" w:hAnsi="Arial" w:cs="Arial"/>
          <w:b/>
          <w:sz w:val="22"/>
          <w:szCs w:val="22"/>
        </w:rPr>
        <w:t>0.310</w:t>
      </w:r>
      <w:r>
        <w:rPr>
          <w:rFonts w:ascii="Arial" w:eastAsia="Arial" w:hAnsi="Arial" w:cs="Arial"/>
          <w:sz w:val="22"/>
          <w:szCs w:val="22"/>
        </w:rPr>
        <w:t>±0.109, respectively) and were classified as moderate biofilm formers, which may reflect differences in virulence or polymeric matrix production among the species.</w:t>
      </w:r>
    </w:p>
    <w:p w14:paraId="6F422275"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results demonstrate variations in biofilm formation capacity among </w:t>
      </w:r>
      <w:r>
        <w:rPr>
          <w:rFonts w:ascii="Arial" w:eastAsia="Arial" w:hAnsi="Arial" w:cs="Arial"/>
          <w:i/>
          <w:sz w:val="22"/>
          <w:szCs w:val="22"/>
        </w:rPr>
        <w:t>Candida</w:t>
      </w:r>
      <w:r>
        <w:rPr>
          <w:rFonts w:ascii="Arial" w:eastAsia="Arial" w:hAnsi="Arial" w:cs="Arial"/>
          <w:sz w:val="22"/>
          <w:szCs w:val="22"/>
        </w:rPr>
        <w:t xml:space="preserve"> species, which is relevant for the development of targeted antifungal strategies, especially considering biofilm-associated resistance. The "strong" classification for three of the five strains highlights the need for effective therapeutic approaches, such as the use of </w:t>
      </w:r>
      <w:r>
        <w:rPr>
          <w:rFonts w:ascii="Arial" w:eastAsia="Arial" w:hAnsi="Arial" w:cs="Arial"/>
          <w:i/>
          <w:sz w:val="22"/>
          <w:szCs w:val="22"/>
        </w:rPr>
        <w:t>C. longa</w:t>
      </w:r>
      <w:r>
        <w:rPr>
          <w:rFonts w:ascii="Arial" w:eastAsia="Arial" w:hAnsi="Arial" w:cs="Arial"/>
          <w:sz w:val="22"/>
          <w:szCs w:val="22"/>
        </w:rPr>
        <w:t xml:space="preserve"> L., to inhibit or reduce this formation.</w:t>
      </w:r>
    </w:p>
    <w:p w14:paraId="5730D452" w14:textId="77777777" w:rsidR="00F15FC8" w:rsidRDefault="00F15FC8">
      <w:pPr>
        <w:ind w:firstLine="284"/>
        <w:jc w:val="both"/>
        <w:rPr>
          <w:rFonts w:ascii="Arial" w:eastAsia="Arial" w:hAnsi="Arial" w:cs="Arial"/>
          <w:sz w:val="22"/>
          <w:szCs w:val="22"/>
        </w:rPr>
      </w:pPr>
    </w:p>
    <w:p w14:paraId="074E2456" w14:textId="77777777" w:rsidR="00F15FC8" w:rsidRDefault="00887443">
      <w:pPr>
        <w:spacing w:before="200" w:after="200" w:line="360" w:lineRule="auto"/>
        <w:rPr>
          <w:rFonts w:ascii="Arial" w:eastAsia="Arial" w:hAnsi="Arial" w:cs="Arial"/>
          <w:b/>
          <w:i/>
          <w:sz w:val="22"/>
          <w:szCs w:val="22"/>
        </w:rPr>
      </w:pPr>
      <w:r>
        <w:rPr>
          <w:rFonts w:ascii="Arial" w:eastAsia="Arial" w:hAnsi="Arial" w:cs="Arial"/>
          <w:b/>
          <w:sz w:val="22"/>
          <w:szCs w:val="22"/>
        </w:rPr>
        <w:t>3.3 Anti-</w:t>
      </w:r>
      <w:r>
        <w:rPr>
          <w:rFonts w:ascii="Arial" w:eastAsia="Arial" w:hAnsi="Arial" w:cs="Arial"/>
          <w:b/>
          <w:i/>
          <w:sz w:val="22"/>
          <w:szCs w:val="22"/>
        </w:rPr>
        <w:t>Candida</w:t>
      </w:r>
      <w:r>
        <w:rPr>
          <w:rFonts w:ascii="Arial" w:eastAsia="Arial" w:hAnsi="Arial" w:cs="Arial"/>
          <w:b/>
          <w:sz w:val="22"/>
          <w:szCs w:val="22"/>
        </w:rPr>
        <w:t xml:space="preserve"> activity of </w:t>
      </w:r>
      <w:r>
        <w:rPr>
          <w:rFonts w:ascii="Arial" w:eastAsia="Arial" w:hAnsi="Arial" w:cs="Arial"/>
          <w:b/>
          <w:i/>
          <w:sz w:val="22"/>
          <w:szCs w:val="22"/>
        </w:rPr>
        <w:t>C. longa</w:t>
      </w:r>
      <w:r>
        <w:rPr>
          <w:rFonts w:ascii="Arial" w:eastAsia="Arial" w:hAnsi="Arial" w:cs="Arial"/>
          <w:b/>
          <w:sz w:val="22"/>
          <w:szCs w:val="22"/>
        </w:rPr>
        <w:t xml:space="preserve"> L. tincture</w:t>
      </w:r>
    </w:p>
    <w:p w14:paraId="5BD4A2D9"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i/>
          <w:sz w:val="22"/>
          <w:szCs w:val="22"/>
        </w:rPr>
        <w:t xml:space="preserve">Curcuma longa </w:t>
      </w:r>
      <w:r>
        <w:rPr>
          <w:rFonts w:ascii="Arial" w:eastAsia="Arial" w:hAnsi="Arial" w:cs="Arial"/>
          <w:sz w:val="22"/>
          <w:szCs w:val="22"/>
        </w:rPr>
        <w:t xml:space="preserve">L. tincture demonstrated antifungal activity against </w:t>
      </w:r>
      <w:r>
        <w:rPr>
          <w:rFonts w:ascii="Arial" w:eastAsia="Arial" w:hAnsi="Arial" w:cs="Arial"/>
          <w:i/>
          <w:sz w:val="22"/>
          <w:szCs w:val="22"/>
        </w:rPr>
        <w:t>Candida</w:t>
      </w:r>
      <w:r>
        <w:rPr>
          <w:rFonts w:ascii="Arial" w:eastAsia="Arial" w:hAnsi="Arial" w:cs="Arial"/>
          <w:sz w:val="22"/>
          <w:szCs w:val="22"/>
        </w:rPr>
        <w:t xml:space="preserve"> yeast (Table 2).</w:t>
      </w:r>
    </w:p>
    <w:p w14:paraId="07785419" w14:textId="77777777" w:rsidR="00F15FC8" w:rsidRDefault="00887443">
      <w:pPr>
        <w:spacing w:before="200" w:after="200"/>
        <w:rPr>
          <w:rFonts w:ascii="Arial" w:eastAsia="Arial" w:hAnsi="Arial" w:cs="Arial"/>
        </w:rPr>
      </w:pPr>
      <w:r>
        <w:rPr>
          <w:rFonts w:ascii="Arial" w:eastAsia="Arial" w:hAnsi="Arial" w:cs="Arial"/>
          <w:i/>
        </w:rPr>
        <w:t>Table 2</w:t>
      </w:r>
      <w:r>
        <w:rPr>
          <w:rFonts w:ascii="Arial" w:eastAsia="Arial" w:hAnsi="Arial" w:cs="Arial"/>
          <w:b/>
        </w:rPr>
        <w:t>.</w:t>
      </w:r>
      <w:r>
        <w:rPr>
          <w:rFonts w:ascii="Arial" w:eastAsia="Arial" w:hAnsi="Arial" w:cs="Arial"/>
        </w:rPr>
        <w:t xml:space="preserve"> Antifungal activity of </w:t>
      </w:r>
      <w:r>
        <w:rPr>
          <w:rFonts w:ascii="Arial" w:eastAsia="Arial" w:hAnsi="Arial" w:cs="Arial"/>
          <w:i/>
        </w:rPr>
        <w:t>C. longa</w:t>
      </w:r>
      <w:r>
        <w:rPr>
          <w:rFonts w:ascii="Arial" w:eastAsia="Arial" w:hAnsi="Arial" w:cs="Arial"/>
        </w:rPr>
        <w:t xml:space="preserve"> L. tincture.</w:t>
      </w:r>
    </w:p>
    <w:sdt>
      <w:sdtPr>
        <w:tag w:val="goog_rdk_7"/>
        <w:id w:val="155787849"/>
        <w:lock w:val="contentLocked"/>
      </w:sdtPr>
      <w:sdtContent>
        <w:tbl>
          <w:tblPr>
            <w:tblStyle w:val="a1"/>
            <w:tblW w:w="7824" w:type="dxa"/>
            <w:jc w:val="center"/>
            <w:tblInd w:w="0" w:type="dxa"/>
            <w:tblLayout w:type="fixed"/>
            <w:tblLook w:val="0400" w:firstRow="0" w:lastRow="0" w:firstColumn="0" w:lastColumn="0" w:noHBand="0" w:noVBand="1"/>
          </w:tblPr>
          <w:tblGrid>
            <w:gridCol w:w="3765"/>
            <w:gridCol w:w="1905"/>
            <w:gridCol w:w="2154"/>
          </w:tblGrid>
          <w:tr w:rsidR="00F15FC8" w14:paraId="446263FF" w14:textId="77777777">
            <w:trPr>
              <w:trHeight w:val="390"/>
              <w:jc w:val="center"/>
            </w:trPr>
            <w:tc>
              <w:tcPr>
                <w:tcW w:w="3765" w:type="dxa"/>
                <w:vMerge w:val="restart"/>
                <w:tcBorders>
                  <w:top w:val="single" w:sz="8" w:space="0" w:color="000000"/>
                  <w:left w:val="single" w:sz="8" w:space="0" w:color="FCFCFC"/>
                  <w:bottom w:val="single" w:sz="8" w:space="0" w:color="000000"/>
                  <w:right w:val="single" w:sz="8" w:space="0" w:color="F1C232"/>
                </w:tcBorders>
                <w:shd w:val="clear" w:color="auto" w:fill="F1C232"/>
                <w:tcMar>
                  <w:top w:w="0" w:type="dxa"/>
                  <w:left w:w="108" w:type="dxa"/>
                  <w:bottom w:w="0" w:type="dxa"/>
                  <w:right w:w="108" w:type="dxa"/>
                </w:tcMar>
                <w:vAlign w:val="center"/>
              </w:tcPr>
              <w:p w14:paraId="2E3F00D3" w14:textId="77777777" w:rsidR="00F15FC8" w:rsidRDefault="00F15FC8">
                <w:pPr>
                  <w:jc w:val="center"/>
                  <w:rPr>
                    <w:rFonts w:ascii="Arial" w:eastAsia="Arial" w:hAnsi="Arial" w:cs="Arial"/>
                  </w:rPr>
                </w:pPr>
              </w:p>
              <w:p w14:paraId="420F6BE7" w14:textId="77777777" w:rsidR="00F15FC8" w:rsidRDefault="00887443">
                <w:pPr>
                  <w:jc w:val="center"/>
                  <w:rPr>
                    <w:rFonts w:ascii="Arial" w:eastAsia="Arial" w:hAnsi="Arial" w:cs="Arial"/>
                  </w:rPr>
                </w:pPr>
                <w:r>
                  <w:rPr>
                    <w:rFonts w:ascii="Arial" w:eastAsia="Arial" w:hAnsi="Arial" w:cs="Arial"/>
                    <w:b/>
                  </w:rPr>
                  <w:t>Yeasts</w:t>
                </w:r>
              </w:p>
            </w:tc>
            <w:tc>
              <w:tcPr>
                <w:tcW w:w="4059" w:type="dxa"/>
                <w:gridSpan w:val="2"/>
                <w:tcBorders>
                  <w:top w:val="single" w:sz="8" w:space="0" w:color="000000"/>
                  <w:left w:val="single" w:sz="8" w:space="0" w:color="F1C232"/>
                  <w:bottom w:val="single" w:sz="8" w:space="0" w:color="F1C232"/>
                  <w:right w:val="single" w:sz="8" w:space="0" w:color="F1C232"/>
                </w:tcBorders>
                <w:shd w:val="clear" w:color="auto" w:fill="F1C232"/>
                <w:tcMar>
                  <w:top w:w="0" w:type="dxa"/>
                  <w:left w:w="108" w:type="dxa"/>
                  <w:bottom w:w="0" w:type="dxa"/>
                  <w:right w:w="108" w:type="dxa"/>
                </w:tcMar>
                <w:vAlign w:val="center"/>
              </w:tcPr>
              <w:p w14:paraId="64AB612C" w14:textId="77777777" w:rsidR="00F15FC8" w:rsidRDefault="00887443">
                <w:pPr>
                  <w:jc w:val="center"/>
                  <w:rPr>
                    <w:rFonts w:ascii="Arial" w:eastAsia="Arial" w:hAnsi="Arial" w:cs="Arial"/>
                    <w:b/>
                  </w:rPr>
                </w:pPr>
                <w:r>
                  <w:rPr>
                    <w:rFonts w:ascii="Arial" w:eastAsia="Arial" w:hAnsi="Arial" w:cs="Arial"/>
                    <w:b/>
                    <w:i/>
                  </w:rPr>
                  <w:t xml:space="preserve">C. longa L. </w:t>
                </w:r>
                <w:r>
                  <w:rPr>
                    <w:rFonts w:ascii="Arial" w:eastAsia="Arial" w:hAnsi="Arial" w:cs="Arial"/>
                    <w:b/>
                  </w:rPr>
                  <w:t xml:space="preserve">tincture </w:t>
                </w:r>
              </w:p>
              <w:p w14:paraId="1DBBB02D" w14:textId="77777777" w:rsidR="00F15FC8" w:rsidRDefault="00887443">
                <w:pPr>
                  <w:jc w:val="center"/>
                  <w:rPr>
                    <w:rFonts w:ascii="Arial" w:eastAsia="Arial" w:hAnsi="Arial" w:cs="Arial"/>
                  </w:rPr>
                </w:pPr>
                <w:r>
                  <w:rPr>
                    <w:rFonts w:ascii="Arial" w:eastAsia="Arial" w:hAnsi="Arial" w:cs="Arial"/>
                    <w:b/>
                  </w:rPr>
                  <w:t>(mg.mL</w:t>
                </w:r>
                <w:r>
                  <w:rPr>
                    <w:rFonts w:ascii="Arial" w:eastAsia="Arial" w:hAnsi="Arial" w:cs="Arial"/>
                    <w:b/>
                    <w:vertAlign w:val="superscript"/>
                  </w:rPr>
                  <w:t>-1</w:t>
                </w:r>
                <w:r>
                  <w:rPr>
                    <w:rFonts w:ascii="Arial" w:eastAsia="Arial" w:hAnsi="Arial" w:cs="Arial"/>
                    <w:b/>
                  </w:rPr>
                  <w:t>)</w:t>
                </w:r>
              </w:p>
            </w:tc>
          </w:tr>
          <w:tr w:rsidR="00F15FC8" w14:paraId="361A76A9" w14:textId="77777777">
            <w:trPr>
              <w:trHeight w:val="218"/>
              <w:jc w:val="center"/>
            </w:trPr>
            <w:tc>
              <w:tcPr>
                <w:tcW w:w="3765" w:type="dxa"/>
                <w:vMerge/>
                <w:tcBorders>
                  <w:top w:val="single" w:sz="8" w:space="0" w:color="000000"/>
                  <w:left w:val="single" w:sz="8" w:space="0" w:color="FCFCFC"/>
                  <w:bottom w:val="single" w:sz="8" w:space="0" w:color="000000"/>
                  <w:right w:val="single" w:sz="8" w:space="0" w:color="F1C232"/>
                </w:tcBorders>
                <w:shd w:val="clear" w:color="auto" w:fill="F1C232"/>
                <w:tcMar>
                  <w:top w:w="0" w:type="dxa"/>
                  <w:left w:w="108" w:type="dxa"/>
                  <w:bottom w:w="0" w:type="dxa"/>
                  <w:right w:w="108" w:type="dxa"/>
                </w:tcMar>
                <w:vAlign w:val="center"/>
              </w:tcPr>
              <w:p w14:paraId="0DA30994" w14:textId="77777777" w:rsidR="00F15FC8" w:rsidRDefault="00F15FC8">
                <w:pPr>
                  <w:widowControl w:val="0"/>
                  <w:spacing w:line="276" w:lineRule="auto"/>
                  <w:rPr>
                    <w:rFonts w:ascii="Arial" w:eastAsia="Arial" w:hAnsi="Arial" w:cs="Arial"/>
                  </w:rPr>
                </w:pPr>
              </w:p>
            </w:tc>
            <w:tc>
              <w:tcPr>
                <w:tcW w:w="1905" w:type="dxa"/>
                <w:tcBorders>
                  <w:top w:val="single" w:sz="8" w:space="0" w:color="F1C232"/>
                  <w:left w:val="single" w:sz="8" w:space="0" w:color="F1C232"/>
                  <w:bottom w:val="single" w:sz="8" w:space="0" w:color="000000"/>
                  <w:right w:val="single" w:sz="8" w:space="0" w:color="F1C232"/>
                </w:tcBorders>
                <w:shd w:val="clear" w:color="auto" w:fill="F1C232"/>
                <w:tcMar>
                  <w:top w:w="0" w:type="dxa"/>
                  <w:left w:w="108" w:type="dxa"/>
                  <w:bottom w:w="0" w:type="dxa"/>
                  <w:right w:w="108" w:type="dxa"/>
                </w:tcMar>
                <w:vAlign w:val="center"/>
              </w:tcPr>
              <w:p w14:paraId="42B3215F" w14:textId="77777777" w:rsidR="00F15FC8" w:rsidRDefault="00887443">
                <w:pPr>
                  <w:jc w:val="center"/>
                  <w:rPr>
                    <w:rFonts w:ascii="Arial" w:eastAsia="Arial" w:hAnsi="Arial" w:cs="Arial"/>
                  </w:rPr>
                </w:pPr>
                <w:r>
                  <w:rPr>
                    <w:rFonts w:ascii="Arial" w:eastAsia="Arial" w:hAnsi="Arial" w:cs="Arial"/>
                    <w:b/>
                  </w:rPr>
                  <w:t>MIC</w:t>
                </w:r>
              </w:p>
            </w:tc>
            <w:tc>
              <w:tcPr>
                <w:tcW w:w="2154" w:type="dxa"/>
                <w:tcBorders>
                  <w:top w:val="single" w:sz="8" w:space="0" w:color="F1C232"/>
                  <w:left w:val="single" w:sz="8" w:space="0" w:color="F1C232"/>
                  <w:bottom w:val="single" w:sz="8" w:space="0" w:color="000000"/>
                  <w:right w:val="single" w:sz="8" w:space="0" w:color="FFFFFF"/>
                </w:tcBorders>
                <w:shd w:val="clear" w:color="auto" w:fill="F1C232"/>
                <w:tcMar>
                  <w:top w:w="0" w:type="dxa"/>
                  <w:left w:w="108" w:type="dxa"/>
                  <w:bottom w:w="0" w:type="dxa"/>
                  <w:right w:w="108" w:type="dxa"/>
                </w:tcMar>
                <w:vAlign w:val="center"/>
              </w:tcPr>
              <w:p w14:paraId="6D141299" w14:textId="77777777" w:rsidR="00F15FC8" w:rsidRDefault="00887443">
                <w:pPr>
                  <w:jc w:val="center"/>
                  <w:rPr>
                    <w:rFonts w:ascii="Arial" w:eastAsia="Arial" w:hAnsi="Arial" w:cs="Arial"/>
                  </w:rPr>
                </w:pPr>
                <w:r>
                  <w:rPr>
                    <w:rFonts w:ascii="Arial" w:eastAsia="Arial" w:hAnsi="Arial" w:cs="Arial"/>
                    <w:b/>
                  </w:rPr>
                  <w:t>MCC</w:t>
                </w:r>
              </w:p>
            </w:tc>
          </w:tr>
          <w:tr w:rsidR="00F15FC8" w14:paraId="44555A43" w14:textId="77777777">
            <w:trPr>
              <w:trHeight w:val="241"/>
              <w:jc w:val="center"/>
            </w:trPr>
            <w:tc>
              <w:tcPr>
                <w:tcW w:w="3765" w:type="dxa"/>
                <w:tcBorders>
                  <w:top w:val="single" w:sz="8" w:space="0" w:color="000000"/>
                  <w:bottom w:val="single" w:sz="4" w:space="0" w:color="FCFCFC"/>
                  <w:right w:val="single" w:sz="6" w:space="0" w:color="FCFCFC"/>
                </w:tcBorders>
                <w:tcMar>
                  <w:top w:w="100" w:type="dxa"/>
                  <w:left w:w="100" w:type="dxa"/>
                  <w:bottom w:w="100" w:type="dxa"/>
                  <w:right w:w="100" w:type="dxa"/>
                </w:tcMar>
                <w:vAlign w:val="center"/>
              </w:tcPr>
              <w:p w14:paraId="30470DA2" w14:textId="77777777" w:rsidR="00F15FC8" w:rsidRDefault="00887443">
                <w:pPr>
                  <w:jc w:val="center"/>
                  <w:rPr>
                    <w:rFonts w:ascii="Arial" w:eastAsia="Arial" w:hAnsi="Arial" w:cs="Arial"/>
                  </w:rPr>
                </w:pPr>
                <w:r>
                  <w:rPr>
                    <w:rFonts w:ascii="Arial" w:eastAsia="Arial" w:hAnsi="Arial" w:cs="Arial"/>
                    <w:i/>
                  </w:rPr>
                  <w:lastRenderedPageBreak/>
                  <w:t xml:space="preserve">Candida albicans </w:t>
                </w:r>
                <w:r>
                  <w:rPr>
                    <w:rFonts w:ascii="Arial" w:eastAsia="Arial" w:hAnsi="Arial" w:cs="Arial"/>
                  </w:rPr>
                  <w:t>ATCC 10231</w:t>
                </w:r>
              </w:p>
            </w:tc>
            <w:tc>
              <w:tcPr>
                <w:tcW w:w="1905"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30E2CA55" w14:textId="77777777" w:rsidR="00F15FC8" w:rsidRDefault="00887443">
                <w:pPr>
                  <w:jc w:val="center"/>
                  <w:rPr>
                    <w:rFonts w:ascii="Arial" w:eastAsia="Arial" w:hAnsi="Arial" w:cs="Arial"/>
                  </w:rPr>
                </w:pPr>
                <w:r>
                  <w:rPr>
                    <w:rFonts w:ascii="Arial" w:eastAsia="Arial" w:hAnsi="Arial" w:cs="Arial"/>
                  </w:rPr>
                  <w:t>90.72</w:t>
                </w:r>
              </w:p>
            </w:tc>
            <w:tc>
              <w:tcPr>
                <w:tcW w:w="2154"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778E77D" w14:textId="77777777" w:rsidR="00F15FC8" w:rsidRDefault="00887443">
                <w:pPr>
                  <w:jc w:val="center"/>
                  <w:rPr>
                    <w:rFonts w:ascii="Arial" w:eastAsia="Arial" w:hAnsi="Arial" w:cs="Arial"/>
                  </w:rPr>
                </w:pPr>
                <w:r>
                  <w:rPr>
                    <w:rFonts w:ascii="Arial" w:eastAsia="Arial" w:hAnsi="Arial" w:cs="Arial"/>
                  </w:rPr>
                  <w:t>362.88</w:t>
                </w:r>
              </w:p>
            </w:tc>
          </w:tr>
          <w:tr w:rsidR="00F15FC8" w14:paraId="58313ADE" w14:textId="77777777">
            <w:trPr>
              <w:trHeight w:val="215"/>
              <w:jc w:val="center"/>
            </w:trPr>
            <w:tc>
              <w:tcPr>
                <w:tcW w:w="376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19748A7E" w14:textId="77777777" w:rsidR="00F15FC8" w:rsidRDefault="00887443">
                <w:pPr>
                  <w:jc w:val="center"/>
                  <w:rPr>
                    <w:rFonts w:ascii="Arial" w:eastAsia="Arial" w:hAnsi="Arial" w:cs="Arial"/>
                  </w:rPr>
                </w:pPr>
                <w:r>
                  <w:rPr>
                    <w:rFonts w:ascii="Arial" w:eastAsia="Arial" w:hAnsi="Arial" w:cs="Arial"/>
                    <w:i/>
                  </w:rPr>
                  <w:t xml:space="preserve">Candida metapsilosis </w:t>
                </w:r>
                <w:r>
                  <w:rPr>
                    <w:rFonts w:ascii="Arial" w:eastAsia="Arial" w:hAnsi="Arial" w:cs="Arial"/>
                  </w:rPr>
                  <w:t>ATCC 96143</w:t>
                </w:r>
              </w:p>
            </w:tc>
            <w:tc>
              <w:tcPr>
                <w:tcW w:w="190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6F1C88F" w14:textId="77777777" w:rsidR="00F15FC8" w:rsidRDefault="00887443">
                <w:pPr>
                  <w:jc w:val="center"/>
                  <w:rPr>
                    <w:rFonts w:ascii="Arial" w:eastAsia="Arial" w:hAnsi="Arial" w:cs="Arial"/>
                  </w:rPr>
                </w:pPr>
                <w:r>
                  <w:rPr>
                    <w:rFonts w:ascii="Arial" w:eastAsia="Arial" w:hAnsi="Arial" w:cs="Arial"/>
                  </w:rPr>
                  <w:t>90.72</w:t>
                </w:r>
              </w:p>
            </w:tc>
            <w:tc>
              <w:tcPr>
                <w:tcW w:w="215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4A7E60D" w14:textId="77777777" w:rsidR="00F15FC8" w:rsidRDefault="00887443">
                <w:pPr>
                  <w:jc w:val="center"/>
                  <w:rPr>
                    <w:rFonts w:ascii="Arial" w:eastAsia="Arial" w:hAnsi="Arial" w:cs="Arial"/>
                  </w:rPr>
                </w:pPr>
                <w:r>
                  <w:rPr>
                    <w:rFonts w:ascii="Arial" w:eastAsia="Arial" w:hAnsi="Arial" w:cs="Arial"/>
                  </w:rPr>
                  <w:t>362.88</w:t>
                </w:r>
              </w:p>
            </w:tc>
          </w:tr>
          <w:tr w:rsidR="00F15FC8" w14:paraId="225110EB" w14:textId="77777777">
            <w:trPr>
              <w:trHeight w:val="349"/>
              <w:jc w:val="center"/>
            </w:trPr>
            <w:tc>
              <w:tcPr>
                <w:tcW w:w="376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73AC2EB0" w14:textId="77777777" w:rsidR="00F15FC8" w:rsidRDefault="00887443">
                <w:pPr>
                  <w:jc w:val="center"/>
                  <w:rPr>
                    <w:rFonts w:ascii="Arial" w:eastAsia="Arial" w:hAnsi="Arial" w:cs="Arial"/>
                  </w:rPr>
                </w:pPr>
                <w:r>
                  <w:rPr>
                    <w:rFonts w:ascii="Arial" w:eastAsia="Arial" w:hAnsi="Arial" w:cs="Arial"/>
                    <w:i/>
                  </w:rPr>
                  <w:t xml:space="preserve">Candida dubliniensis </w:t>
                </w:r>
                <w:r>
                  <w:rPr>
                    <w:rFonts w:ascii="Arial" w:eastAsia="Arial" w:hAnsi="Arial" w:cs="Arial"/>
                  </w:rPr>
                  <w:t>ATCC MYA-646</w:t>
                </w:r>
              </w:p>
            </w:tc>
            <w:tc>
              <w:tcPr>
                <w:tcW w:w="190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F880030" w14:textId="77777777" w:rsidR="00F15FC8" w:rsidRDefault="00887443">
                <w:pPr>
                  <w:jc w:val="center"/>
                  <w:rPr>
                    <w:rFonts w:ascii="Arial" w:eastAsia="Arial" w:hAnsi="Arial" w:cs="Arial"/>
                  </w:rPr>
                </w:pPr>
                <w:r>
                  <w:rPr>
                    <w:rFonts w:ascii="Arial" w:eastAsia="Arial" w:hAnsi="Arial" w:cs="Arial"/>
                  </w:rPr>
                  <w:t>45.36</w:t>
                </w:r>
              </w:p>
            </w:tc>
            <w:tc>
              <w:tcPr>
                <w:tcW w:w="215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F7BFACC" w14:textId="77777777" w:rsidR="00F15FC8" w:rsidRDefault="00887443">
                <w:pPr>
                  <w:jc w:val="center"/>
                  <w:rPr>
                    <w:rFonts w:ascii="Arial" w:eastAsia="Arial" w:hAnsi="Arial" w:cs="Arial"/>
                  </w:rPr>
                </w:pPr>
                <w:r>
                  <w:rPr>
                    <w:rFonts w:ascii="Arial" w:eastAsia="Arial" w:hAnsi="Arial" w:cs="Arial"/>
                  </w:rPr>
                  <w:t>90.72</w:t>
                </w:r>
              </w:p>
            </w:tc>
          </w:tr>
          <w:tr w:rsidR="00F15FC8" w14:paraId="44DB0A51" w14:textId="77777777">
            <w:trPr>
              <w:trHeight w:val="215"/>
              <w:jc w:val="center"/>
            </w:trPr>
            <w:tc>
              <w:tcPr>
                <w:tcW w:w="376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1B02D2AD" w14:textId="77777777" w:rsidR="00F15FC8" w:rsidRDefault="00887443">
                <w:pPr>
                  <w:jc w:val="center"/>
                  <w:rPr>
                    <w:rFonts w:ascii="Arial" w:eastAsia="Arial" w:hAnsi="Arial" w:cs="Arial"/>
                  </w:rPr>
                </w:pPr>
                <w:r>
                  <w:rPr>
                    <w:rFonts w:ascii="Arial" w:eastAsia="Arial" w:hAnsi="Arial" w:cs="Arial"/>
                    <w:i/>
                  </w:rPr>
                  <w:t xml:space="preserve">Candida orthopsilosis </w:t>
                </w:r>
                <w:r>
                  <w:rPr>
                    <w:rFonts w:ascii="Arial" w:eastAsia="Arial" w:hAnsi="Arial" w:cs="Arial"/>
                  </w:rPr>
                  <w:t>ATCC 96141</w:t>
                </w:r>
              </w:p>
            </w:tc>
            <w:tc>
              <w:tcPr>
                <w:tcW w:w="190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5658FF61" w14:textId="77777777" w:rsidR="00F15FC8" w:rsidRDefault="00887443">
                <w:pPr>
                  <w:jc w:val="center"/>
                  <w:rPr>
                    <w:rFonts w:ascii="Arial" w:eastAsia="Arial" w:hAnsi="Arial" w:cs="Arial"/>
                  </w:rPr>
                </w:pPr>
                <w:r>
                  <w:rPr>
                    <w:rFonts w:ascii="Arial" w:eastAsia="Arial" w:hAnsi="Arial" w:cs="Arial"/>
                  </w:rPr>
                  <w:t>90.72</w:t>
                </w:r>
              </w:p>
            </w:tc>
            <w:tc>
              <w:tcPr>
                <w:tcW w:w="215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F49FF7C" w14:textId="77777777" w:rsidR="00F15FC8" w:rsidRDefault="00887443">
                <w:pPr>
                  <w:jc w:val="center"/>
                  <w:rPr>
                    <w:rFonts w:ascii="Arial" w:eastAsia="Arial" w:hAnsi="Arial" w:cs="Arial"/>
                  </w:rPr>
                </w:pPr>
                <w:r>
                  <w:rPr>
                    <w:rFonts w:ascii="Arial" w:eastAsia="Arial" w:hAnsi="Arial" w:cs="Arial"/>
                  </w:rPr>
                  <w:t>362.88</w:t>
                </w:r>
              </w:p>
            </w:tc>
          </w:tr>
          <w:tr w:rsidR="00F15FC8" w14:paraId="53CB45C1" w14:textId="77777777">
            <w:trPr>
              <w:trHeight w:val="423"/>
              <w:jc w:val="center"/>
            </w:trPr>
            <w:tc>
              <w:tcPr>
                <w:tcW w:w="3765" w:type="dxa"/>
                <w:tcBorders>
                  <w:top w:val="single" w:sz="4" w:space="0" w:color="FCFCFC"/>
                  <w:bottom w:val="single" w:sz="8" w:space="0" w:color="000000"/>
                  <w:right w:val="single" w:sz="6" w:space="0" w:color="FCFCFC"/>
                </w:tcBorders>
                <w:tcMar>
                  <w:top w:w="100" w:type="dxa"/>
                  <w:left w:w="100" w:type="dxa"/>
                  <w:bottom w:w="100" w:type="dxa"/>
                  <w:right w:w="100" w:type="dxa"/>
                </w:tcMar>
                <w:vAlign w:val="center"/>
              </w:tcPr>
              <w:p w14:paraId="2227B033" w14:textId="77777777" w:rsidR="00F15FC8" w:rsidRDefault="00887443">
                <w:pPr>
                  <w:jc w:val="center"/>
                  <w:rPr>
                    <w:rFonts w:ascii="Arial" w:eastAsia="Arial" w:hAnsi="Arial" w:cs="Arial"/>
                  </w:rPr>
                </w:pPr>
                <w:r>
                  <w:rPr>
                    <w:rFonts w:ascii="Arial" w:eastAsia="Arial" w:hAnsi="Arial" w:cs="Arial"/>
                    <w:i/>
                  </w:rPr>
                  <w:t xml:space="preserve">Candida parapsilosis </w:t>
                </w:r>
                <w:r>
                  <w:rPr>
                    <w:rFonts w:ascii="Arial" w:eastAsia="Arial" w:hAnsi="Arial" w:cs="Arial"/>
                  </w:rPr>
                  <w:t>ATCC 22019</w:t>
                </w:r>
              </w:p>
            </w:tc>
            <w:tc>
              <w:tcPr>
                <w:tcW w:w="1905"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679F6825" w14:textId="77777777" w:rsidR="00F15FC8" w:rsidRDefault="00887443">
                <w:pPr>
                  <w:jc w:val="center"/>
                  <w:rPr>
                    <w:rFonts w:ascii="Arial" w:eastAsia="Arial" w:hAnsi="Arial" w:cs="Arial"/>
                  </w:rPr>
                </w:pPr>
                <w:r>
                  <w:rPr>
                    <w:rFonts w:ascii="Arial" w:eastAsia="Arial" w:hAnsi="Arial" w:cs="Arial"/>
                  </w:rPr>
                  <w:t>90.72</w:t>
                </w:r>
              </w:p>
            </w:tc>
            <w:tc>
              <w:tcPr>
                <w:tcW w:w="2154"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696B488D" w14:textId="77777777" w:rsidR="00F15FC8" w:rsidRDefault="00887443">
                <w:pPr>
                  <w:jc w:val="center"/>
                  <w:rPr>
                    <w:rFonts w:ascii="Arial" w:eastAsia="Arial" w:hAnsi="Arial" w:cs="Arial"/>
                  </w:rPr>
                </w:pPr>
                <w:r>
                  <w:rPr>
                    <w:rFonts w:ascii="Arial" w:eastAsia="Arial" w:hAnsi="Arial" w:cs="Arial"/>
                  </w:rPr>
                  <w:t>362.88</w:t>
                </w:r>
              </w:p>
            </w:tc>
          </w:tr>
        </w:tbl>
      </w:sdtContent>
    </w:sdt>
    <w:p w14:paraId="383FD29B" w14:textId="77777777" w:rsidR="00F15FC8" w:rsidRDefault="00887443">
      <w:pPr>
        <w:jc w:val="both"/>
        <w:rPr>
          <w:rFonts w:ascii="Arial" w:eastAsia="Arial" w:hAnsi="Arial" w:cs="Arial"/>
        </w:rPr>
      </w:pPr>
      <w:r>
        <w:rPr>
          <w:rFonts w:ascii="Arial" w:eastAsia="Arial" w:hAnsi="Arial" w:cs="Arial"/>
          <w:i/>
        </w:rPr>
        <w:t>Captions:</w:t>
      </w:r>
      <w:r>
        <w:rPr>
          <w:rFonts w:ascii="Arial" w:eastAsia="Arial" w:hAnsi="Arial" w:cs="Arial"/>
        </w:rPr>
        <w:t xml:space="preserve"> MIC - minimum inhibitory concentration; MCC - minimum candidacidal concentration.</w:t>
      </w:r>
    </w:p>
    <w:p w14:paraId="037F67D1" w14:textId="77777777" w:rsidR="00F15FC8" w:rsidRDefault="00F15FC8">
      <w:pPr>
        <w:jc w:val="both"/>
        <w:rPr>
          <w:rFonts w:ascii="Arial" w:eastAsia="Arial" w:hAnsi="Arial" w:cs="Arial"/>
          <w:sz w:val="22"/>
          <w:szCs w:val="22"/>
        </w:rPr>
      </w:pPr>
    </w:p>
    <w:p w14:paraId="49BE78CB" w14:textId="77777777" w:rsidR="00F15FC8" w:rsidRDefault="00887443">
      <w:pPr>
        <w:jc w:val="both"/>
        <w:rPr>
          <w:rFonts w:ascii="Arial" w:eastAsia="Arial" w:hAnsi="Arial" w:cs="Arial"/>
          <w:sz w:val="22"/>
          <w:szCs w:val="22"/>
        </w:rPr>
      </w:pPr>
      <w:r>
        <w:rPr>
          <w:rFonts w:ascii="Arial" w:eastAsia="Arial" w:hAnsi="Arial" w:cs="Arial"/>
          <w:sz w:val="22"/>
          <w:szCs w:val="22"/>
        </w:rPr>
        <w:t>All tested yeasts were inhibited by 90.72 mg.mL</w:t>
      </w:r>
      <w:r>
        <w:rPr>
          <w:rFonts w:ascii="Arial" w:eastAsia="Arial" w:hAnsi="Arial" w:cs="Arial"/>
          <w:sz w:val="22"/>
          <w:szCs w:val="22"/>
          <w:vertAlign w:val="superscript"/>
        </w:rPr>
        <w:t>-1</w:t>
      </w:r>
      <w:r>
        <w:rPr>
          <w:rFonts w:ascii="Arial" w:eastAsia="Arial" w:hAnsi="Arial" w:cs="Arial"/>
          <w:sz w:val="22"/>
          <w:szCs w:val="22"/>
        </w:rPr>
        <w:t xml:space="preserve"> of the tincture, except </w:t>
      </w:r>
      <w:r>
        <w:rPr>
          <w:rFonts w:ascii="Arial" w:eastAsia="Arial" w:hAnsi="Arial" w:cs="Arial"/>
          <w:i/>
          <w:sz w:val="22"/>
          <w:szCs w:val="22"/>
        </w:rPr>
        <w:t xml:space="preserve">Candida </w:t>
      </w:r>
      <w:proofErr w:type="spellStart"/>
      <w:r>
        <w:rPr>
          <w:rFonts w:ascii="Arial" w:eastAsia="Arial" w:hAnsi="Arial" w:cs="Arial"/>
          <w:i/>
          <w:sz w:val="22"/>
          <w:szCs w:val="22"/>
        </w:rPr>
        <w:t>dubliniensis</w:t>
      </w:r>
      <w:proofErr w:type="spellEnd"/>
      <w:r>
        <w:rPr>
          <w:rFonts w:ascii="Arial" w:eastAsia="Arial" w:hAnsi="Arial" w:cs="Arial"/>
          <w:sz w:val="22"/>
          <w:szCs w:val="22"/>
        </w:rPr>
        <w:t xml:space="preserve"> ATCC MYA-646, which was sensitive to 45.36 mg.mL</w:t>
      </w:r>
      <w:r>
        <w:rPr>
          <w:rFonts w:ascii="Arial" w:eastAsia="Arial" w:hAnsi="Arial" w:cs="Arial"/>
          <w:sz w:val="22"/>
          <w:szCs w:val="22"/>
          <w:vertAlign w:val="superscript"/>
        </w:rPr>
        <w:t>-1</w:t>
      </w:r>
      <w:r>
        <w:rPr>
          <w:rFonts w:ascii="Arial" w:eastAsia="Arial" w:hAnsi="Arial" w:cs="Arial"/>
          <w:sz w:val="22"/>
          <w:szCs w:val="22"/>
        </w:rPr>
        <w:t xml:space="preserve">. Similarly, the </w:t>
      </w:r>
      <w:r>
        <w:rPr>
          <w:rFonts w:ascii="Arial" w:eastAsia="Arial" w:hAnsi="Arial" w:cs="Arial"/>
          <w:i/>
          <w:sz w:val="22"/>
          <w:szCs w:val="22"/>
        </w:rPr>
        <w:t xml:space="preserve">C. longa </w:t>
      </w:r>
      <w:r>
        <w:rPr>
          <w:rFonts w:ascii="Arial" w:eastAsia="Arial" w:hAnsi="Arial" w:cs="Arial"/>
          <w:sz w:val="22"/>
          <w:szCs w:val="22"/>
        </w:rPr>
        <w:t>L. tincture was fungicidal at 362.88 mg.mL</w:t>
      </w:r>
      <w:r>
        <w:rPr>
          <w:rFonts w:ascii="Arial" w:eastAsia="Arial" w:hAnsi="Arial" w:cs="Arial"/>
          <w:sz w:val="22"/>
          <w:szCs w:val="22"/>
          <w:vertAlign w:val="superscript"/>
        </w:rPr>
        <w:t>-1</w:t>
      </w:r>
      <w:r>
        <w:rPr>
          <w:rFonts w:ascii="Arial" w:eastAsia="Arial" w:hAnsi="Arial" w:cs="Arial"/>
          <w:sz w:val="22"/>
          <w:szCs w:val="22"/>
        </w:rPr>
        <w:t xml:space="preserve"> for all yeasts and at 90.72 mg.mL</w:t>
      </w:r>
      <w:r>
        <w:rPr>
          <w:rFonts w:ascii="Arial" w:eastAsia="Arial" w:hAnsi="Arial" w:cs="Arial"/>
          <w:sz w:val="22"/>
          <w:szCs w:val="22"/>
          <w:vertAlign w:val="superscript"/>
        </w:rPr>
        <w:t>-1</w:t>
      </w:r>
      <w:r>
        <w:rPr>
          <w:rFonts w:ascii="Arial" w:eastAsia="Arial" w:hAnsi="Arial" w:cs="Arial"/>
          <w:sz w:val="22"/>
          <w:szCs w:val="22"/>
        </w:rPr>
        <w:t xml:space="preserve"> for </w:t>
      </w:r>
      <w:r>
        <w:rPr>
          <w:rFonts w:ascii="Arial" w:eastAsia="Arial" w:hAnsi="Arial" w:cs="Arial"/>
          <w:i/>
          <w:sz w:val="22"/>
          <w:szCs w:val="22"/>
        </w:rPr>
        <w:t xml:space="preserve">C. </w:t>
      </w:r>
      <w:proofErr w:type="spellStart"/>
      <w:r>
        <w:rPr>
          <w:rFonts w:ascii="Arial" w:eastAsia="Arial" w:hAnsi="Arial" w:cs="Arial"/>
          <w:i/>
          <w:sz w:val="22"/>
          <w:szCs w:val="22"/>
        </w:rPr>
        <w:t>dubliniensis</w:t>
      </w:r>
      <w:proofErr w:type="spellEnd"/>
      <w:r>
        <w:rPr>
          <w:rFonts w:ascii="Arial" w:eastAsia="Arial" w:hAnsi="Arial" w:cs="Arial"/>
          <w:sz w:val="22"/>
          <w:szCs w:val="22"/>
        </w:rPr>
        <w:t xml:space="preserve">. </w:t>
      </w:r>
      <w:r>
        <w:rPr>
          <w:rFonts w:ascii="Arial" w:eastAsia="Arial" w:hAnsi="Arial" w:cs="Arial"/>
          <w:i/>
          <w:sz w:val="22"/>
          <w:szCs w:val="22"/>
        </w:rPr>
        <w:t xml:space="preserve">Candida </w:t>
      </w:r>
      <w:proofErr w:type="spellStart"/>
      <w:r>
        <w:rPr>
          <w:rFonts w:ascii="Arial" w:eastAsia="Arial" w:hAnsi="Arial" w:cs="Arial"/>
          <w:i/>
          <w:sz w:val="22"/>
          <w:szCs w:val="22"/>
        </w:rPr>
        <w:t>dubliniensis</w:t>
      </w:r>
      <w:proofErr w:type="spellEnd"/>
      <w:sdt>
        <w:sdtPr>
          <w:tag w:val="goog_rdk_8"/>
          <w:id w:val="-114576602"/>
        </w:sdtPr>
        <w:sdtContent>
          <w:r>
            <w:rPr>
              <w:rFonts w:ascii="Arial Unicode MS" w:eastAsia="Arial Unicode MS" w:hAnsi="Arial Unicode MS" w:cs="Arial Unicode MS"/>
              <w:sz w:val="22"/>
              <w:szCs w:val="22"/>
            </w:rPr>
            <w:t xml:space="preserve"> ATCC MYA-646 was sensitive to 45.36 mg∙mL</w:t>
          </w:r>
        </w:sdtContent>
      </w:sdt>
      <w:r>
        <w:rPr>
          <w:rFonts w:ascii="Arial" w:eastAsia="Arial" w:hAnsi="Arial" w:cs="Arial"/>
          <w:sz w:val="22"/>
          <w:szCs w:val="22"/>
          <w:vertAlign w:val="superscript"/>
        </w:rPr>
        <w:t>-1</w:t>
      </w:r>
      <w:r>
        <w:rPr>
          <w:rFonts w:ascii="Arial" w:eastAsia="Arial" w:hAnsi="Arial" w:cs="Arial"/>
          <w:sz w:val="22"/>
          <w:szCs w:val="22"/>
        </w:rPr>
        <w:t xml:space="preserve"> of the tincture, while the others were inhibited by 90.72 mg.mL</w:t>
      </w:r>
      <w:r>
        <w:rPr>
          <w:rFonts w:ascii="Arial" w:eastAsia="Arial" w:hAnsi="Arial" w:cs="Arial"/>
          <w:sz w:val="22"/>
          <w:szCs w:val="22"/>
          <w:vertAlign w:val="superscript"/>
        </w:rPr>
        <w:t>-1</w:t>
      </w:r>
      <w:r>
        <w:rPr>
          <w:rFonts w:ascii="Arial" w:eastAsia="Arial" w:hAnsi="Arial" w:cs="Arial"/>
          <w:sz w:val="22"/>
          <w:szCs w:val="22"/>
        </w:rPr>
        <w:t xml:space="preserve"> of the tincture. In the same way, the </w:t>
      </w:r>
      <w:r>
        <w:rPr>
          <w:rFonts w:ascii="Arial" w:eastAsia="Arial" w:hAnsi="Arial" w:cs="Arial"/>
          <w:i/>
          <w:sz w:val="22"/>
          <w:szCs w:val="22"/>
        </w:rPr>
        <w:t>C. longa</w:t>
      </w:r>
      <w:r>
        <w:rPr>
          <w:rFonts w:ascii="Arial" w:eastAsia="Arial" w:hAnsi="Arial" w:cs="Arial"/>
          <w:sz w:val="18"/>
          <w:szCs w:val="18"/>
        </w:rPr>
        <w:t xml:space="preserve"> </w:t>
      </w:r>
      <w:r>
        <w:rPr>
          <w:rFonts w:ascii="Arial" w:eastAsia="Arial" w:hAnsi="Arial" w:cs="Arial"/>
          <w:sz w:val="22"/>
          <w:szCs w:val="22"/>
        </w:rPr>
        <w:t>L</w:t>
      </w:r>
      <w:r>
        <w:rPr>
          <w:rFonts w:ascii="Arial" w:eastAsia="Arial" w:hAnsi="Arial" w:cs="Arial"/>
          <w:i/>
          <w:sz w:val="22"/>
          <w:szCs w:val="22"/>
        </w:rPr>
        <w:t>.</w:t>
      </w:r>
      <w:r>
        <w:rPr>
          <w:rFonts w:ascii="Arial" w:eastAsia="Arial" w:hAnsi="Arial" w:cs="Arial"/>
          <w:sz w:val="22"/>
          <w:szCs w:val="22"/>
        </w:rPr>
        <w:t xml:space="preserve"> tincture was fungicidal at 362.88 mg.mL</w:t>
      </w:r>
      <w:r>
        <w:rPr>
          <w:rFonts w:ascii="Arial" w:eastAsia="Arial" w:hAnsi="Arial" w:cs="Arial"/>
          <w:sz w:val="22"/>
          <w:szCs w:val="22"/>
          <w:vertAlign w:val="superscript"/>
        </w:rPr>
        <w:t>-1</w:t>
      </w:r>
      <w:r>
        <w:rPr>
          <w:rFonts w:ascii="Arial" w:eastAsia="Arial" w:hAnsi="Arial" w:cs="Arial"/>
          <w:sz w:val="22"/>
          <w:szCs w:val="22"/>
        </w:rPr>
        <w:t xml:space="preserve"> for all and at 90.72 mg.mL</w:t>
      </w:r>
      <w:r>
        <w:rPr>
          <w:rFonts w:ascii="Arial" w:eastAsia="Arial" w:hAnsi="Arial" w:cs="Arial"/>
          <w:sz w:val="22"/>
          <w:szCs w:val="22"/>
          <w:vertAlign w:val="superscript"/>
        </w:rPr>
        <w:t>-1</w:t>
      </w:r>
      <w:r>
        <w:rPr>
          <w:rFonts w:ascii="Arial" w:eastAsia="Arial" w:hAnsi="Arial" w:cs="Arial"/>
          <w:sz w:val="22"/>
          <w:szCs w:val="22"/>
        </w:rPr>
        <w:t xml:space="preserve"> for </w:t>
      </w:r>
      <w:r>
        <w:rPr>
          <w:rFonts w:ascii="Arial" w:eastAsia="Arial" w:hAnsi="Arial" w:cs="Arial"/>
          <w:i/>
          <w:sz w:val="22"/>
          <w:szCs w:val="22"/>
        </w:rPr>
        <w:t xml:space="preserve">C. </w:t>
      </w:r>
      <w:proofErr w:type="spellStart"/>
      <w:r>
        <w:rPr>
          <w:rFonts w:ascii="Arial" w:eastAsia="Arial" w:hAnsi="Arial" w:cs="Arial"/>
          <w:i/>
          <w:sz w:val="22"/>
          <w:szCs w:val="22"/>
        </w:rPr>
        <w:t>dubliniensis</w:t>
      </w:r>
      <w:proofErr w:type="spellEnd"/>
      <w:r>
        <w:rPr>
          <w:rFonts w:ascii="Arial" w:eastAsia="Arial" w:hAnsi="Arial" w:cs="Arial"/>
          <w:sz w:val="22"/>
          <w:szCs w:val="22"/>
        </w:rPr>
        <w:t>.</w:t>
      </w:r>
    </w:p>
    <w:p w14:paraId="2B2CE29B" w14:textId="77777777" w:rsidR="00F15FC8" w:rsidRDefault="00887443">
      <w:pPr>
        <w:jc w:val="both"/>
        <w:rPr>
          <w:rFonts w:ascii="Arial" w:eastAsia="Arial" w:hAnsi="Arial" w:cs="Arial"/>
          <w:sz w:val="22"/>
          <w:szCs w:val="22"/>
        </w:rPr>
      </w:pPr>
      <w:r>
        <w:rPr>
          <w:rFonts w:ascii="Arial" w:eastAsia="Arial" w:hAnsi="Arial" w:cs="Arial"/>
          <w:i/>
          <w:sz w:val="22"/>
          <w:szCs w:val="22"/>
        </w:rPr>
        <w:t>Curcuma longa</w:t>
      </w:r>
      <w:r>
        <w:rPr>
          <w:rFonts w:ascii="Arial" w:eastAsia="Arial" w:hAnsi="Arial" w:cs="Arial"/>
          <w:sz w:val="22"/>
          <w:szCs w:val="22"/>
        </w:rPr>
        <w:t xml:space="preserve"> L. tincture is known for its antioxidant, anti-inflammatory, and anticancer properties, attributed to curcuminoids (primarily curcumin, </w:t>
      </w:r>
      <w:proofErr w:type="spellStart"/>
      <w:r>
        <w:rPr>
          <w:rFonts w:ascii="Arial" w:eastAsia="Arial" w:hAnsi="Arial" w:cs="Arial"/>
          <w:sz w:val="22"/>
          <w:szCs w:val="22"/>
        </w:rPr>
        <w:t>demethoxycurcumin</w:t>
      </w:r>
      <w:proofErr w:type="spellEnd"/>
      <w:r>
        <w:rPr>
          <w:rFonts w:ascii="Arial" w:eastAsia="Arial" w:hAnsi="Arial" w:cs="Arial"/>
          <w:sz w:val="22"/>
          <w:szCs w:val="22"/>
        </w:rPr>
        <w:t xml:space="preserve">, and bisdemethoxycurcumin) and volatile oils like turmerone, </w:t>
      </w:r>
      <w:proofErr w:type="spellStart"/>
      <w:r>
        <w:rPr>
          <w:rFonts w:ascii="Arial" w:eastAsia="Arial" w:hAnsi="Arial" w:cs="Arial"/>
          <w:sz w:val="22"/>
          <w:szCs w:val="22"/>
        </w:rPr>
        <w:t>atlantone</w:t>
      </w:r>
      <w:proofErr w:type="spellEnd"/>
      <w:r>
        <w:rPr>
          <w:rFonts w:ascii="Arial" w:eastAsia="Arial" w:hAnsi="Arial" w:cs="Arial"/>
          <w:sz w:val="22"/>
          <w:szCs w:val="22"/>
        </w:rPr>
        <w:t>, and zingiberene. Other constituents include sugars, proteins, and resins [8, 19, 20].</w:t>
      </w:r>
    </w:p>
    <w:p w14:paraId="73FE2C7F" w14:textId="77777777" w:rsidR="00F15FC8" w:rsidRDefault="00887443">
      <w:pPr>
        <w:jc w:val="both"/>
        <w:rPr>
          <w:rFonts w:ascii="Arial" w:eastAsia="Arial" w:hAnsi="Arial" w:cs="Arial"/>
          <w:sz w:val="22"/>
          <w:szCs w:val="22"/>
          <w:highlight w:val="white"/>
        </w:rPr>
      </w:pPr>
      <w:r>
        <w:rPr>
          <w:rFonts w:ascii="Arial" w:eastAsia="Arial" w:hAnsi="Arial" w:cs="Arial"/>
          <w:sz w:val="22"/>
          <w:szCs w:val="22"/>
        </w:rPr>
        <w:t>Proposed mechanisms for the antifungal activity are associated with its bioactive compounds, mainly curcumin, which interferes with the yeast cell membrane, inducing oxidative stress and cell wall damage, and with its volatile oils (turmerone, zingiberene) that act synergistically, disrupting biofilm organization and</w:t>
      </w:r>
      <w:r>
        <w:rPr>
          <w:rFonts w:ascii="Arial" w:eastAsia="Arial" w:hAnsi="Arial" w:cs="Arial"/>
          <w:sz w:val="22"/>
          <w:szCs w:val="22"/>
          <w:highlight w:val="white"/>
        </w:rPr>
        <w:t xml:space="preserve"> quorum sensing communication [13, 21]. </w:t>
      </w:r>
    </w:p>
    <w:p w14:paraId="78FDFC52" w14:textId="77777777" w:rsidR="00F15FC8" w:rsidRDefault="00887443">
      <w:pPr>
        <w:jc w:val="both"/>
        <w:rPr>
          <w:rFonts w:ascii="Arial" w:eastAsia="Arial" w:hAnsi="Arial" w:cs="Arial"/>
          <w:sz w:val="22"/>
          <w:szCs w:val="22"/>
        </w:rPr>
      </w:pPr>
      <w:r>
        <w:rPr>
          <w:rFonts w:ascii="Arial" w:eastAsia="Arial" w:hAnsi="Arial" w:cs="Arial"/>
          <w:sz w:val="22"/>
          <w:szCs w:val="22"/>
          <w:highlight w:val="white"/>
        </w:rPr>
        <w:t xml:space="preserve">Other authors found activity against </w:t>
      </w:r>
      <w:r>
        <w:rPr>
          <w:rFonts w:ascii="Arial" w:eastAsia="Arial" w:hAnsi="Arial" w:cs="Arial"/>
          <w:i/>
          <w:sz w:val="22"/>
          <w:szCs w:val="22"/>
          <w:highlight w:val="white"/>
        </w:rPr>
        <w:t>C. albicans</w:t>
      </w:r>
      <w:r>
        <w:rPr>
          <w:rFonts w:ascii="Arial" w:eastAsia="Arial" w:hAnsi="Arial" w:cs="Arial"/>
          <w:sz w:val="22"/>
          <w:szCs w:val="22"/>
          <w:highlight w:val="white"/>
        </w:rPr>
        <w:t xml:space="preserve">. Martins </w:t>
      </w:r>
      <w:r>
        <w:rPr>
          <w:rFonts w:ascii="Arial" w:eastAsia="Arial" w:hAnsi="Arial" w:cs="Arial"/>
          <w:i/>
          <w:sz w:val="22"/>
          <w:szCs w:val="22"/>
          <w:highlight w:val="white"/>
        </w:rPr>
        <w:t>et al</w:t>
      </w:r>
      <w:r>
        <w:rPr>
          <w:rFonts w:ascii="Arial" w:eastAsia="Arial" w:hAnsi="Arial" w:cs="Arial"/>
          <w:sz w:val="22"/>
          <w:szCs w:val="22"/>
          <w:highlight w:val="white"/>
        </w:rPr>
        <w:t xml:space="preserve">. (2023) [20] reported that </w:t>
      </w:r>
      <w:r>
        <w:rPr>
          <w:rFonts w:ascii="Arial" w:eastAsia="Arial" w:hAnsi="Arial" w:cs="Arial"/>
          <w:i/>
          <w:sz w:val="22"/>
          <w:szCs w:val="22"/>
          <w:highlight w:val="white"/>
        </w:rPr>
        <w:t>C. longa</w:t>
      </w:r>
      <w:r>
        <w:rPr>
          <w:rFonts w:ascii="Arial" w:eastAsia="Arial" w:hAnsi="Arial" w:cs="Arial"/>
          <w:sz w:val="22"/>
          <w:szCs w:val="22"/>
          <w:highlight w:val="white"/>
        </w:rPr>
        <w:t xml:space="preserve"> L. extracts inhibited </w:t>
      </w:r>
      <w:r>
        <w:rPr>
          <w:rFonts w:ascii="Arial" w:eastAsia="Arial" w:hAnsi="Arial" w:cs="Arial"/>
          <w:i/>
          <w:sz w:val="22"/>
          <w:szCs w:val="22"/>
          <w:highlight w:val="white"/>
        </w:rPr>
        <w:t>C. albicans</w:t>
      </w:r>
      <w:r>
        <w:rPr>
          <w:rFonts w:ascii="Arial" w:eastAsia="Arial" w:hAnsi="Arial" w:cs="Arial"/>
          <w:sz w:val="22"/>
          <w:szCs w:val="22"/>
          <w:highlight w:val="white"/>
        </w:rPr>
        <w:t xml:space="preserve"> with MICs between 0.05 and 0.2 mg.mL</w:t>
      </w:r>
      <w:r>
        <w:rPr>
          <w:rFonts w:ascii="Arial" w:eastAsia="Arial" w:hAnsi="Arial" w:cs="Arial"/>
          <w:sz w:val="22"/>
          <w:szCs w:val="22"/>
          <w:highlight w:val="white"/>
          <w:vertAlign w:val="superscript"/>
        </w:rPr>
        <w:t>-1</w:t>
      </w:r>
      <w:r>
        <w:rPr>
          <w:rFonts w:ascii="Arial" w:eastAsia="Arial" w:hAnsi="Arial" w:cs="Arial"/>
          <w:sz w:val="22"/>
          <w:szCs w:val="22"/>
          <w:highlight w:val="white"/>
        </w:rPr>
        <w:t xml:space="preserve">, values lower than those detected in our study, and Tamfu </w:t>
      </w:r>
      <w:r>
        <w:rPr>
          <w:rFonts w:ascii="Arial" w:eastAsia="Arial" w:hAnsi="Arial" w:cs="Arial"/>
          <w:i/>
          <w:sz w:val="22"/>
          <w:szCs w:val="22"/>
          <w:highlight w:val="white"/>
        </w:rPr>
        <w:t>et al</w:t>
      </w:r>
      <w:r>
        <w:rPr>
          <w:rFonts w:ascii="Arial" w:eastAsia="Arial" w:hAnsi="Arial" w:cs="Arial"/>
          <w:sz w:val="22"/>
          <w:szCs w:val="22"/>
          <w:highlight w:val="white"/>
        </w:rPr>
        <w:t>. (2020) [7] h</w:t>
      </w:r>
      <w:r>
        <w:rPr>
          <w:rFonts w:ascii="Arial" w:eastAsia="Arial" w:hAnsi="Arial" w:cs="Arial"/>
          <w:sz w:val="22"/>
          <w:szCs w:val="22"/>
        </w:rPr>
        <w:t xml:space="preserve">ighlighted that isolated curcumin has greater potency against </w:t>
      </w:r>
      <w:r>
        <w:rPr>
          <w:rFonts w:ascii="Arial" w:eastAsia="Arial" w:hAnsi="Arial" w:cs="Arial"/>
          <w:i/>
          <w:sz w:val="22"/>
          <w:szCs w:val="22"/>
        </w:rPr>
        <w:t>C. albicans</w:t>
      </w:r>
      <w:r>
        <w:rPr>
          <w:rFonts w:ascii="Arial" w:eastAsia="Arial" w:hAnsi="Arial" w:cs="Arial"/>
          <w:sz w:val="22"/>
          <w:szCs w:val="22"/>
        </w:rPr>
        <w:t xml:space="preserve"> biofilms than against Gram-positive bacteria.</w:t>
      </w:r>
    </w:p>
    <w:p w14:paraId="42C5BD1E" w14:textId="77777777" w:rsidR="00F15FC8" w:rsidRDefault="00887443">
      <w:pPr>
        <w:jc w:val="both"/>
        <w:rPr>
          <w:rFonts w:ascii="Arial" w:eastAsia="Arial" w:hAnsi="Arial" w:cs="Arial"/>
          <w:sz w:val="22"/>
          <w:szCs w:val="22"/>
          <w:highlight w:val="yellow"/>
        </w:rPr>
      </w:pPr>
      <w:r>
        <w:rPr>
          <w:rFonts w:ascii="Arial" w:eastAsia="Arial" w:hAnsi="Arial" w:cs="Arial"/>
          <w:sz w:val="22"/>
          <w:szCs w:val="22"/>
        </w:rPr>
        <w:t xml:space="preserve">Curcumin (1,7-bis(4-hydroxy-3-methoxyphenyl)-1,6-heptadiene-3,5-dione) or diferuloylmethane) is one of the main curcuminoid constituents with biological activity. The volatile oils present in this species, such as turmerone, </w:t>
      </w:r>
      <w:proofErr w:type="spellStart"/>
      <w:r>
        <w:rPr>
          <w:rFonts w:ascii="Arial" w:eastAsia="Arial" w:hAnsi="Arial" w:cs="Arial"/>
          <w:sz w:val="22"/>
          <w:szCs w:val="22"/>
        </w:rPr>
        <w:t>atlantone</w:t>
      </w:r>
      <w:proofErr w:type="spellEnd"/>
      <w:r>
        <w:rPr>
          <w:rFonts w:ascii="Arial" w:eastAsia="Arial" w:hAnsi="Arial" w:cs="Arial"/>
          <w:sz w:val="22"/>
          <w:szCs w:val="22"/>
        </w:rPr>
        <w:t xml:space="preserve">, and zingiberene, are volatile compounds that contribute to the aroma and have anti-inflammatory and antimicrobial properties, along with other compounds like sugars, proteins, resins, and other secondary metabolites [8, 19, 20, 23]. </w:t>
      </w:r>
    </w:p>
    <w:p w14:paraId="36F4EDF5"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Curcumin effectively inhibited planktonic </w:t>
      </w:r>
      <w:r>
        <w:rPr>
          <w:rFonts w:ascii="Arial" w:eastAsia="Arial" w:hAnsi="Arial" w:cs="Arial"/>
          <w:i/>
          <w:sz w:val="22"/>
          <w:szCs w:val="22"/>
        </w:rPr>
        <w:t>Candida</w:t>
      </w:r>
      <w:r>
        <w:rPr>
          <w:rFonts w:ascii="Arial" w:eastAsia="Arial" w:hAnsi="Arial" w:cs="Arial"/>
          <w:sz w:val="22"/>
          <w:szCs w:val="22"/>
        </w:rPr>
        <w:t xml:space="preserve"> strains (including </w:t>
      </w:r>
      <w:r>
        <w:rPr>
          <w:rFonts w:ascii="Arial" w:eastAsia="Arial" w:hAnsi="Arial" w:cs="Arial"/>
          <w:i/>
          <w:sz w:val="22"/>
          <w:szCs w:val="22"/>
        </w:rPr>
        <w:t>C. albicans</w:t>
      </w:r>
      <w:r>
        <w:rPr>
          <w:rFonts w:ascii="Arial" w:eastAsia="Arial" w:hAnsi="Arial" w:cs="Arial"/>
          <w:sz w:val="22"/>
          <w:szCs w:val="22"/>
        </w:rPr>
        <w:t xml:space="preserve"> ATCC 90028, </w:t>
      </w:r>
      <w:r>
        <w:rPr>
          <w:rFonts w:ascii="Arial" w:eastAsia="Arial" w:hAnsi="Arial" w:cs="Arial"/>
          <w:i/>
          <w:sz w:val="22"/>
          <w:szCs w:val="22"/>
        </w:rPr>
        <w:t>C. albicans</w:t>
      </w:r>
      <w:r>
        <w:rPr>
          <w:rFonts w:ascii="Arial" w:eastAsia="Arial" w:hAnsi="Arial" w:cs="Arial"/>
          <w:sz w:val="22"/>
          <w:szCs w:val="22"/>
        </w:rPr>
        <w:t xml:space="preserve"> JY, </w:t>
      </w:r>
      <w:r>
        <w:rPr>
          <w:rFonts w:ascii="Arial" w:eastAsia="Arial" w:hAnsi="Arial" w:cs="Arial"/>
          <w:i/>
          <w:sz w:val="22"/>
          <w:szCs w:val="22"/>
        </w:rPr>
        <w:t xml:space="preserve">C. </w:t>
      </w:r>
      <w:proofErr w:type="spellStart"/>
      <w:r>
        <w:rPr>
          <w:rFonts w:ascii="Arial" w:eastAsia="Arial" w:hAnsi="Arial" w:cs="Arial"/>
          <w:i/>
          <w:sz w:val="22"/>
          <w:szCs w:val="22"/>
        </w:rPr>
        <w:t>parapsilosis</w:t>
      </w:r>
      <w:proofErr w:type="spellEnd"/>
      <w:r>
        <w:rPr>
          <w:rFonts w:ascii="Arial" w:eastAsia="Arial" w:hAnsi="Arial" w:cs="Arial"/>
          <w:sz w:val="22"/>
          <w:szCs w:val="22"/>
        </w:rPr>
        <w:t xml:space="preserve"> ATCC 22019, </w:t>
      </w:r>
      <w:r>
        <w:rPr>
          <w:rFonts w:ascii="Arial" w:eastAsia="Arial" w:hAnsi="Arial" w:cs="Arial"/>
          <w:i/>
          <w:sz w:val="22"/>
          <w:szCs w:val="22"/>
        </w:rPr>
        <w:t>C. glabrata</w:t>
      </w:r>
      <w:r>
        <w:rPr>
          <w:rFonts w:ascii="Arial" w:eastAsia="Arial" w:hAnsi="Arial" w:cs="Arial"/>
          <w:sz w:val="22"/>
          <w:szCs w:val="22"/>
        </w:rPr>
        <w:t xml:space="preserve"> ATCC 90030, and </w:t>
      </w:r>
      <w:r>
        <w:rPr>
          <w:rFonts w:ascii="Arial" w:eastAsia="Arial" w:hAnsi="Arial" w:cs="Arial"/>
          <w:i/>
          <w:sz w:val="22"/>
          <w:szCs w:val="22"/>
        </w:rPr>
        <w:t xml:space="preserve">C. </w:t>
      </w:r>
      <w:proofErr w:type="spellStart"/>
      <w:r>
        <w:rPr>
          <w:rFonts w:ascii="Arial" w:eastAsia="Arial" w:hAnsi="Arial" w:cs="Arial"/>
          <w:i/>
          <w:sz w:val="22"/>
          <w:szCs w:val="22"/>
        </w:rPr>
        <w:t>dubliniensis</w:t>
      </w:r>
      <w:proofErr w:type="spellEnd"/>
      <w:r>
        <w:rPr>
          <w:rFonts w:ascii="Arial" w:eastAsia="Arial" w:hAnsi="Arial" w:cs="Arial"/>
          <w:sz w:val="22"/>
          <w:szCs w:val="22"/>
        </w:rPr>
        <w:t xml:space="preserve"> ATCC MYA-646), but its action against mature biofilms was significantly reduced and strain-dependent, failing entirely against one clinical isolate. This is due to curcumin's mechanisms, such as cell membrane damage and oxidative stress, being more effective at preventing biofilm formation than eradicating established structures, whose extracellular matrix hinders compound penetration [24].  </w:t>
      </w:r>
    </w:p>
    <w:p w14:paraId="6D59A379" w14:textId="77777777" w:rsidR="00F15FC8" w:rsidRDefault="00887443">
      <w:pPr>
        <w:spacing w:after="200"/>
        <w:jc w:val="both"/>
        <w:rPr>
          <w:rFonts w:ascii="Arial" w:eastAsia="Arial" w:hAnsi="Arial" w:cs="Arial"/>
          <w:sz w:val="22"/>
          <w:szCs w:val="22"/>
          <w:highlight w:val="yellow"/>
        </w:rPr>
      </w:pPr>
      <w:r>
        <w:rPr>
          <w:rFonts w:ascii="Arial" w:eastAsia="Arial" w:hAnsi="Arial" w:cs="Arial"/>
          <w:sz w:val="22"/>
          <w:szCs w:val="22"/>
          <w:highlight w:val="white"/>
        </w:rPr>
        <w:lastRenderedPageBreak/>
        <w:t xml:space="preserve">Additionally, curcumin has demonstrated several advantages over conventional antifungals. Unlike antifungals such as fluconazole, which face resistance in </w:t>
      </w:r>
      <w:r>
        <w:rPr>
          <w:rFonts w:ascii="Arial" w:eastAsia="Arial" w:hAnsi="Arial" w:cs="Arial"/>
          <w:i/>
          <w:sz w:val="22"/>
          <w:szCs w:val="22"/>
        </w:rPr>
        <w:t>Candida</w:t>
      </w:r>
      <w:r>
        <w:rPr>
          <w:rFonts w:ascii="Arial" w:eastAsia="Arial" w:hAnsi="Arial" w:cs="Arial"/>
          <w:sz w:val="22"/>
          <w:szCs w:val="22"/>
        </w:rPr>
        <w:t xml:space="preserve"> spp., </w:t>
      </w:r>
      <w:r>
        <w:rPr>
          <w:rFonts w:ascii="Arial" w:eastAsia="Arial" w:hAnsi="Arial" w:cs="Arial"/>
          <w:i/>
          <w:sz w:val="22"/>
          <w:szCs w:val="22"/>
        </w:rPr>
        <w:t>C. longa</w:t>
      </w:r>
      <w:r>
        <w:rPr>
          <w:rFonts w:ascii="Arial" w:eastAsia="Arial" w:hAnsi="Arial" w:cs="Arial"/>
          <w:sz w:val="22"/>
          <w:szCs w:val="22"/>
        </w:rPr>
        <w:t xml:space="preserve"> L. tincture can act through multiple mechanisms, hindering microbial adaptation [25], inhibiting </w:t>
      </w:r>
      <w:r>
        <w:rPr>
          <w:rFonts w:ascii="Arial" w:eastAsia="Arial" w:hAnsi="Arial" w:cs="Arial"/>
          <w:i/>
          <w:sz w:val="22"/>
          <w:szCs w:val="22"/>
        </w:rPr>
        <w:t>quorum sensing</w:t>
      </w:r>
      <w:r>
        <w:rPr>
          <w:rFonts w:ascii="Arial" w:eastAsia="Arial" w:hAnsi="Arial" w:cs="Arial"/>
          <w:sz w:val="22"/>
          <w:szCs w:val="22"/>
        </w:rPr>
        <w:t xml:space="preserve"> [21], and exhibiting synergistic action against biofilms [13].</w:t>
      </w:r>
    </w:p>
    <w:p w14:paraId="22E14023" w14:textId="77777777" w:rsidR="00F15FC8" w:rsidRDefault="00887443">
      <w:pPr>
        <w:spacing w:before="200" w:after="200"/>
        <w:jc w:val="both"/>
        <w:rPr>
          <w:rFonts w:ascii="Arial" w:eastAsia="Arial" w:hAnsi="Arial" w:cs="Arial"/>
          <w:b/>
          <w:sz w:val="22"/>
          <w:szCs w:val="22"/>
        </w:rPr>
      </w:pPr>
      <w:r>
        <w:rPr>
          <w:rFonts w:ascii="Arial" w:eastAsia="Arial" w:hAnsi="Arial" w:cs="Arial"/>
          <w:b/>
          <w:sz w:val="22"/>
          <w:szCs w:val="22"/>
        </w:rPr>
        <w:t xml:space="preserve">3.4 Antibiofilm activity of </w:t>
      </w:r>
      <w:r>
        <w:rPr>
          <w:rFonts w:ascii="Arial" w:eastAsia="Arial" w:hAnsi="Arial" w:cs="Arial"/>
          <w:b/>
          <w:i/>
          <w:sz w:val="22"/>
          <w:szCs w:val="22"/>
        </w:rPr>
        <w:t>C. longa</w:t>
      </w:r>
      <w:r>
        <w:rPr>
          <w:rFonts w:ascii="Arial" w:eastAsia="Arial" w:hAnsi="Arial" w:cs="Arial"/>
          <w:b/>
          <w:sz w:val="22"/>
          <w:szCs w:val="22"/>
        </w:rPr>
        <w:t xml:space="preserve"> tincture</w:t>
      </w:r>
    </w:p>
    <w:p w14:paraId="366636D6" w14:textId="77777777" w:rsidR="00F15FC8" w:rsidRDefault="00887443">
      <w:pPr>
        <w:spacing w:after="200"/>
        <w:jc w:val="both"/>
        <w:rPr>
          <w:rFonts w:ascii="Arial" w:eastAsia="Arial" w:hAnsi="Arial" w:cs="Arial"/>
          <w:sz w:val="22"/>
          <w:szCs w:val="22"/>
        </w:rPr>
      </w:pPr>
      <w:bookmarkStart w:id="7" w:name="_heading=h.osxm05vl5wy2" w:colFirst="0" w:colLast="0"/>
      <w:bookmarkEnd w:id="7"/>
      <w:r>
        <w:rPr>
          <w:rFonts w:ascii="Arial" w:eastAsia="Arial" w:hAnsi="Arial" w:cs="Arial"/>
          <w:sz w:val="22"/>
          <w:szCs w:val="22"/>
        </w:rPr>
        <w:t xml:space="preserve">Figure 4 illustrates the inhibitory activity of </w:t>
      </w:r>
      <w:r>
        <w:rPr>
          <w:rFonts w:ascii="Arial" w:eastAsia="Arial" w:hAnsi="Arial" w:cs="Arial"/>
          <w:i/>
          <w:sz w:val="22"/>
          <w:szCs w:val="22"/>
        </w:rPr>
        <w:t>C. longa</w:t>
      </w:r>
      <w:r>
        <w:rPr>
          <w:rFonts w:ascii="Arial" w:eastAsia="Arial" w:hAnsi="Arial" w:cs="Arial"/>
          <w:sz w:val="22"/>
          <w:szCs w:val="22"/>
        </w:rPr>
        <w:t xml:space="preserve"> L. tincture on biofilm formation by different </w:t>
      </w:r>
      <w:r>
        <w:rPr>
          <w:rFonts w:ascii="Arial" w:eastAsia="Arial" w:hAnsi="Arial" w:cs="Arial"/>
          <w:i/>
          <w:sz w:val="22"/>
          <w:szCs w:val="22"/>
        </w:rPr>
        <w:t>Candida</w:t>
      </w:r>
      <w:r>
        <w:rPr>
          <w:rFonts w:ascii="Arial" w:eastAsia="Arial" w:hAnsi="Arial" w:cs="Arial"/>
          <w:sz w:val="22"/>
          <w:szCs w:val="22"/>
        </w:rPr>
        <w:t xml:space="preserve"> species. The results are presented in a line graph comparing biofilm biomass at different tincture concentrations.</w:t>
      </w:r>
    </w:p>
    <w:p w14:paraId="0A528B75" w14:textId="77777777" w:rsidR="00F15FC8" w:rsidRDefault="00887443">
      <w:pPr>
        <w:spacing w:after="200"/>
        <w:jc w:val="both"/>
        <w:rPr>
          <w:rFonts w:ascii="Arial" w:eastAsia="Arial" w:hAnsi="Arial" w:cs="Arial"/>
        </w:rPr>
      </w:pPr>
      <w:bookmarkStart w:id="8" w:name="_heading=h.ig61yssmaqx1" w:colFirst="0" w:colLast="0"/>
      <w:bookmarkEnd w:id="8"/>
      <w:r>
        <w:rPr>
          <w:rFonts w:ascii="Arial" w:eastAsia="Arial" w:hAnsi="Arial" w:cs="Arial"/>
          <w:i/>
        </w:rPr>
        <w:t>Figure 4.</w:t>
      </w:r>
      <w:r>
        <w:rPr>
          <w:rFonts w:ascii="Arial" w:eastAsia="Arial" w:hAnsi="Arial" w:cs="Arial"/>
        </w:rPr>
        <w:t xml:space="preserve"> Biofilm formation in the presence of different concentrations (mg.mL</w:t>
      </w:r>
      <w:r>
        <w:rPr>
          <w:rFonts w:ascii="Arial" w:eastAsia="Arial" w:hAnsi="Arial" w:cs="Arial"/>
          <w:vertAlign w:val="superscript"/>
        </w:rPr>
        <w:t>-1</w:t>
      </w:r>
      <w:r>
        <w:rPr>
          <w:rFonts w:ascii="Arial" w:eastAsia="Arial" w:hAnsi="Arial" w:cs="Arial"/>
        </w:rPr>
        <w:t xml:space="preserve">) of </w:t>
      </w:r>
      <w:r>
        <w:rPr>
          <w:rFonts w:ascii="Arial" w:eastAsia="Arial" w:hAnsi="Arial" w:cs="Arial"/>
          <w:i/>
        </w:rPr>
        <w:t>C. longa</w:t>
      </w:r>
      <w:r>
        <w:rPr>
          <w:rFonts w:ascii="Arial" w:eastAsia="Arial" w:hAnsi="Arial" w:cs="Arial"/>
        </w:rPr>
        <w:t xml:space="preserve"> tincture.</w:t>
      </w:r>
    </w:p>
    <w:p w14:paraId="1BBCC792" w14:textId="77777777" w:rsidR="00F15FC8" w:rsidRDefault="00887443">
      <w:pPr>
        <w:spacing w:line="360" w:lineRule="auto"/>
        <w:jc w:val="both"/>
        <w:rPr>
          <w:rFonts w:ascii="Arial" w:eastAsia="Arial" w:hAnsi="Arial" w:cs="Arial"/>
        </w:rPr>
      </w:pPr>
      <w:bookmarkStart w:id="9" w:name="_heading=h.pgr4oofsalig" w:colFirst="0" w:colLast="0"/>
      <w:bookmarkEnd w:id="9"/>
      <w:r>
        <w:rPr>
          <w:rFonts w:ascii="Arial" w:eastAsia="Arial" w:hAnsi="Arial" w:cs="Arial"/>
          <w:noProof/>
        </w:rPr>
        <w:drawing>
          <wp:inline distT="114300" distB="114300" distL="114300" distR="114300" wp14:anchorId="74E362C8" wp14:editId="525198C7">
            <wp:extent cx="5212080" cy="3225800"/>
            <wp:effectExtent l="0" t="0" r="0" b="0"/>
            <wp:docPr id="6" name="image1.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9"/>
                </a:ext>
              </a:extLst>
            </wp:docPr>
            <wp:cNvGraphicFramePr/>
            <a:graphic xmlns:a="http://schemas.openxmlformats.org/drawingml/2006/main">
              <a:graphicData uri="http://schemas.openxmlformats.org/drawingml/2006/picture">
                <pic:pic xmlns:pic="http://schemas.openxmlformats.org/drawingml/2006/picture">
                  <pic:nvPicPr>
                    <pic:cNvPr id="0" name="image1.png" descr="Gráfico"/>
                    <pic:cNvPicPr preferRelativeResize="0"/>
                  </pic:nvPicPr>
                  <pic:blipFill>
                    <a:blip r:embed="rId22"/>
                    <a:srcRect/>
                    <a:stretch>
                      <a:fillRect/>
                    </a:stretch>
                  </pic:blipFill>
                  <pic:spPr>
                    <a:xfrm>
                      <a:off x="0" y="0"/>
                      <a:ext cx="5212080" cy="3225800"/>
                    </a:xfrm>
                    <a:prstGeom prst="rect">
                      <a:avLst/>
                    </a:prstGeom>
                    <a:ln/>
                  </pic:spPr>
                </pic:pic>
              </a:graphicData>
            </a:graphic>
          </wp:inline>
        </w:drawing>
      </w:r>
    </w:p>
    <w:p w14:paraId="3440EB21" w14:textId="77777777" w:rsidR="00F15FC8" w:rsidRDefault="00887443">
      <w:pPr>
        <w:spacing w:after="200"/>
        <w:jc w:val="both"/>
        <w:rPr>
          <w:rFonts w:ascii="Arial" w:eastAsia="Arial" w:hAnsi="Arial" w:cs="Arial"/>
        </w:rPr>
      </w:pPr>
      <w:r>
        <w:rPr>
          <w:rFonts w:ascii="Arial" w:eastAsia="Arial" w:hAnsi="Arial" w:cs="Arial"/>
          <w:i/>
        </w:rPr>
        <w:t>Captions</w:t>
      </w:r>
      <w:r>
        <w:rPr>
          <w:rFonts w:ascii="Arial" w:eastAsia="Arial" w:hAnsi="Arial" w:cs="Arial"/>
        </w:rPr>
        <w:t xml:space="preserve">: UC - untreated control; Ca1 - </w:t>
      </w:r>
      <w:r>
        <w:rPr>
          <w:rFonts w:ascii="Arial" w:eastAsia="Arial" w:hAnsi="Arial" w:cs="Arial"/>
          <w:i/>
        </w:rPr>
        <w:t>C. albicans</w:t>
      </w:r>
      <w:r>
        <w:rPr>
          <w:rFonts w:ascii="Arial" w:eastAsia="Arial" w:hAnsi="Arial" w:cs="Arial"/>
        </w:rPr>
        <w:t xml:space="preserve"> ATCC 10231; Cm2 - </w:t>
      </w:r>
      <w:r>
        <w:rPr>
          <w:rFonts w:ascii="Arial" w:eastAsia="Arial" w:hAnsi="Arial" w:cs="Arial"/>
          <w:i/>
        </w:rPr>
        <w:t xml:space="preserve">C. </w:t>
      </w:r>
      <w:proofErr w:type="spellStart"/>
      <w:r>
        <w:rPr>
          <w:rFonts w:ascii="Arial" w:eastAsia="Arial" w:hAnsi="Arial" w:cs="Arial"/>
          <w:i/>
        </w:rPr>
        <w:t>metapsilosis</w:t>
      </w:r>
      <w:proofErr w:type="spellEnd"/>
      <w:r>
        <w:rPr>
          <w:rFonts w:ascii="Arial" w:eastAsia="Arial" w:hAnsi="Arial" w:cs="Arial"/>
        </w:rPr>
        <w:t xml:space="preserve"> ATCC 96143; Cd3 - </w:t>
      </w:r>
      <w:r>
        <w:rPr>
          <w:rFonts w:ascii="Arial" w:eastAsia="Arial" w:hAnsi="Arial" w:cs="Arial"/>
          <w:i/>
        </w:rPr>
        <w:t xml:space="preserve">C. </w:t>
      </w:r>
      <w:proofErr w:type="spellStart"/>
      <w:r>
        <w:rPr>
          <w:rFonts w:ascii="Arial" w:eastAsia="Arial" w:hAnsi="Arial" w:cs="Arial"/>
          <w:i/>
        </w:rPr>
        <w:t>dubliniensis</w:t>
      </w:r>
      <w:proofErr w:type="spellEnd"/>
      <w:r>
        <w:rPr>
          <w:rFonts w:ascii="Arial" w:eastAsia="Arial" w:hAnsi="Arial" w:cs="Arial"/>
        </w:rPr>
        <w:t xml:space="preserve"> ATCC MYA-646; Co4 - </w:t>
      </w:r>
      <w:r>
        <w:rPr>
          <w:rFonts w:ascii="Arial" w:eastAsia="Arial" w:hAnsi="Arial" w:cs="Arial"/>
          <w:i/>
        </w:rPr>
        <w:t xml:space="preserve">C. </w:t>
      </w:r>
      <w:proofErr w:type="spellStart"/>
      <w:r>
        <w:rPr>
          <w:rFonts w:ascii="Arial" w:eastAsia="Arial" w:hAnsi="Arial" w:cs="Arial"/>
          <w:i/>
        </w:rPr>
        <w:t>orthopsilosis</w:t>
      </w:r>
      <w:proofErr w:type="spellEnd"/>
      <w:r>
        <w:rPr>
          <w:rFonts w:ascii="Arial" w:eastAsia="Arial" w:hAnsi="Arial" w:cs="Arial"/>
        </w:rPr>
        <w:t xml:space="preserve"> ATCC 96141; Cp5 - </w:t>
      </w:r>
      <w:r>
        <w:rPr>
          <w:rFonts w:ascii="Arial" w:eastAsia="Arial" w:hAnsi="Arial" w:cs="Arial"/>
          <w:i/>
        </w:rPr>
        <w:t xml:space="preserve">C. </w:t>
      </w:r>
      <w:proofErr w:type="spellStart"/>
      <w:r>
        <w:rPr>
          <w:rFonts w:ascii="Arial" w:eastAsia="Arial" w:hAnsi="Arial" w:cs="Arial"/>
          <w:i/>
        </w:rPr>
        <w:t>parapsilosis</w:t>
      </w:r>
      <w:proofErr w:type="spellEnd"/>
      <w:r>
        <w:rPr>
          <w:rFonts w:ascii="Arial" w:eastAsia="Arial" w:hAnsi="Arial" w:cs="Arial"/>
        </w:rPr>
        <w:t xml:space="preserve"> ATCC 22019.</w:t>
      </w:r>
    </w:p>
    <w:p w14:paraId="39892895"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It is possible to observe that as the tincture concentration increases, the optical density decreases, indicating a reduction in biofilm formation. </w:t>
      </w:r>
      <w:r>
        <w:rPr>
          <w:rFonts w:ascii="Arial" w:eastAsia="Arial" w:hAnsi="Arial" w:cs="Arial"/>
          <w:i/>
          <w:sz w:val="22"/>
          <w:szCs w:val="22"/>
        </w:rPr>
        <w:t xml:space="preserve">C.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and </w:t>
      </w:r>
      <w:r>
        <w:rPr>
          <w:rFonts w:ascii="Arial" w:eastAsia="Arial" w:hAnsi="Arial" w:cs="Arial"/>
          <w:i/>
          <w:sz w:val="22"/>
          <w:szCs w:val="22"/>
        </w:rPr>
        <w:t xml:space="preserve">C. </w:t>
      </w:r>
      <w:proofErr w:type="spellStart"/>
      <w:r>
        <w:rPr>
          <w:rFonts w:ascii="Arial" w:eastAsia="Arial" w:hAnsi="Arial" w:cs="Arial"/>
          <w:i/>
          <w:sz w:val="22"/>
          <w:szCs w:val="22"/>
        </w:rPr>
        <w:t>parapsilosis</w:t>
      </w:r>
      <w:proofErr w:type="spellEnd"/>
      <w:r>
        <w:rPr>
          <w:rFonts w:ascii="Arial" w:eastAsia="Arial" w:hAnsi="Arial" w:cs="Arial"/>
          <w:sz w:val="22"/>
          <w:szCs w:val="22"/>
        </w:rPr>
        <w:t xml:space="preserve"> yeasts were the most sensitive, showing a sharp reduction even at low concentrations (1.77 mg.mL</w:t>
      </w:r>
      <w:r>
        <w:rPr>
          <w:rFonts w:ascii="Arial" w:eastAsia="Arial" w:hAnsi="Arial" w:cs="Arial"/>
          <w:sz w:val="22"/>
          <w:szCs w:val="22"/>
          <w:vertAlign w:val="superscript"/>
        </w:rPr>
        <w:t>-1</w:t>
      </w:r>
      <w:r>
        <w:rPr>
          <w:rFonts w:ascii="Arial" w:eastAsia="Arial" w:hAnsi="Arial" w:cs="Arial"/>
          <w:sz w:val="22"/>
          <w:szCs w:val="22"/>
        </w:rPr>
        <w:t xml:space="preserve">). </w:t>
      </w:r>
      <w:r>
        <w:rPr>
          <w:rFonts w:ascii="Arial" w:eastAsia="Arial" w:hAnsi="Arial" w:cs="Arial"/>
          <w:i/>
          <w:sz w:val="22"/>
          <w:szCs w:val="22"/>
        </w:rPr>
        <w:t xml:space="preserve">C. </w:t>
      </w:r>
      <w:proofErr w:type="spellStart"/>
      <w:r>
        <w:rPr>
          <w:rFonts w:ascii="Arial" w:eastAsia="Arial" w:hAnsi="Arial" w:cs="Arial"/>
          <w:i/>
          <w:sz w:val="22"/>
          <w:szCs w:val="22"/>
        </w:rPr>
        <w:t>dubliniensis</w:t>
      </w:r>
      <w:proofErr w:type="spellEnd"/>
      <w:r>
        <w:rPr>
          <w:rFonts w:ascii="Arial" w:eastAsia="Arial" w:hAnsi="Arial" w:cs="Arial"/>
          <w:sz w:val="22"/>
          <w:szCs w:val="22"/>
        </w:rPr>
        <w:t xml:space="preserve"> also exhibited strong inhibition (3.54 mg.mL</w:t>
      </w:r>
      <w:r>
        <w:rPr>
          <w:rFonts w:ascii="Arial" w:eastAsia="Arial" w:hAnsi="Arial" w:cs="Arial"/>
          <w:sz w:val="22"/>
          <w:szCs w:val="22"/>
          <w:vertAlign w:val="superscript"/>
        </w:rPr>
        <w:t>-1</w:t>
      </w:r>
      <w:r>
        <w:rPr>
          <w:rFonts w:ascii="Arial" w:eastAsia="Arial" w:hAnsi="Arial" w:cs="Arial"/>
          <w:sz w:val="22"/>
          <w:szCs w:val="22"/>
        </w:rPr>
        <w:t xml:space="preserve">). Yeasts with less inhibition, </w:t>
      </w:r>
      <w:r>
        <w:rPr>
          <w:rFonts w:ascii="Arial" w:eastAsia="Arial" w:hAnsi="Arial" w:cs="Arial"/>
          <w:i/>
          <w:sz w:val="22"/>
          <w:szCs w:val="22"/>
        </w:rPr>
        <w:t>C. albicans</w:t>
      </w:r>
      <w:r>
        <w:rPr>
          <w:rFonts w:ascii="Arial" w:eastAsia="Arial" w:hAnsi="Arial" w:cs="Arial"/>
          <w:sz w:val="22"/>
          <w:szCs w:val="22"/>
        </w:rPr>
        <w:t xml:space="preserve"> and </w:t>
      </w:r>
      <w:r>
        <w:rPr>
          <w:rFonts w:ascii="Arial" w:eastAsia="Arial" w:hAnsi="Arial" w:cs="Arial"/>
          <w:i/>
          <w:sz w:val="22"/>
          <w:szCs w:val="22"/>
        </w:rPr>
        <w:t xml:space="preserve">C. </w:t>
      </w:r>
      <w:proofErr w:type="spellStart"/>
      <w:r>
        <w:rPr>
          <w:rFonts w:ascii="Arial" w:eastAsia="Arial" w:hAnsi="Arial" w:cs="Arial"/>
          <w:i/>
          <w:sz w:val="22"/>
          <w:szCs w:val="22"/>
        </w:rPr>
        <w:t>metapsilosis</w:t>
      </w:r>
      <w:proofErr w:type="spellEnd"/>
      <w:r>
        <w:rPr>
          <w:rFonts w:ascii="Arial" w:eastAsia="Arial" w:hAnsi="Arial" w:cs="Arial"/>
          <w:sz w:val="22"/>
          <w:szCs w:val="22"/>
        </w:rPr>
        <w:t xml:space="preserve">, required higher concentrations (28.35 and 14.18 </w:t>
      </w:r>
      <w:proofErr w:type="gramStart"/>
      <w:r>
        <w:rPr>
          <w:rFonts w:ascii="Arial" w:eastAsia="Arial" w:hAnsi="Arial" w:cs="Arial"/>
          <w:sz w:val="22"/>
          <w:szCs w:val="22"/>
        </w:rPr>
        <w:t>mg</w:t>
      </w:r>
      <w:proofErr w:type="gramEnd"/>
      <w:r>
        <w:rPr>
          <w:rFonts w:ascii="Arial" w:eastAsia="Arial" w:hAnsi="Arial" w:cs="Arial"/>
          <w:sz w:val="22"/>
          <w:szCs w:val="22"/>
        </w:rPr>
        <w:t>.</w:t>
      </w:r>
      <w:proofErr w:type="gramStart"/>
      <w:r>
        <w:rPr>
          <w:rFonts w:ascii="Arial" w:eastAsia="Arial" w:hAnsi="Arial" w:cs="Arial"/>
          <w:sz w:val="22"/>
          <w:szCs w:val="22"/>
        </w:rPr>
        <w:t>mL</w:t>
      </w:r>
      <w:proofErr w:type="gramEnd"/>
      <w:r>
        <w:rPr>
          <w:rFonts w:ascii="Arial" w:eastAsia="Arial" w:hAnsi="Arial" w:cs="Arial"/>
          <w:sz w:val="22"/>
          <w:szCs w:val="22"/>
          <w:vertAlign w:val="superscript"/>
        </w:rPr>
        <w:t>-1</w:t>
      </w:r>
      <w:r>
        <w:rPr>
          <w:rFonts w:ascii="Arial" w:eastAsia="Arial" w:hAnsi="Arial" w:cs="Arial"/>
          <w:sz w:val="22"/>
          <w:szCs w:val="22"/>
        </w:rPr>
        <w:t>, respectively) for significant inhibition.</w:t>
      </w:r>
    </w:p>
    <w:p w14:paraId="5DE69C91" w14:textId="77777777" w:rsidR="00F15FC8" w:rsidRDefault="00887443">
      <w:pPr>
        <w:jc w:val="both"/>
        <w:rPr>
          <w:rFonts w:ascii="Arial" w:eastAsia="Arial" w:hAnsi="Arial" w:cs="Arial"/>
          <w:sz w:val="22"/>
          <w:szCs w:val="22"/>
        </w:rPr>
      </w:pPr>
      <w:r>
        <w:rPr>
          <w:rFonts w:ascii="Arial" w:eastAsia="Arial" w:hAnsi="Arial" w:cs="Arial"/>
          <w:sz w:val="22"/>
          <w:szCs w:val="22"/>
        </w:rPr>
        <w:t>Thus, the tincture showed variable efficacy among species, and its activity was dose-dependent, being proportional to the tincture concentration. This demonstrates a connection with studies</w:t>
      </w:r>
      <w:r>
        <w:rPr>
          <w:rFonts w:ascii="Arial" w:eastAsia="Arial" w:hAnsi="Arial" w:cs="Arial"/>
          <w:sz w:val="22"/>
          <w:szCs w:val="22"/>
          <w:highlight w:val="white"/>
        </w:rPr>
        <w:t xml:space="preserve"> such as </w:t>
      </w:r>
      <w:proofErr w:type="spellStart"/>
      <w:r>
        <w:rPr>
          <w:rFonts w:ascii="Arial" w:eastAsia="Arial" w:hAnsi="Arial" w:cs="Arial"/>
          <w:sz w:val="22"/>
          <w:szCs w:val="22"/>
          <w:highlight w:val="white"/>
        </w:rPr>
        <w:t>Packiavathy</w:t>
      </w:r>
      <w:proofErr w:type="spellEnd"/>
      <w:r>
        <w:rPr>
          <w:rFonts w:ascii="Arial" w:eastAsia="Arial" w:hAnsi="Arial" w:cs="Arial"/>
          <w:sz w:val="22"/>
          <w:szCs w:val="22"/>
          <w:highlight w:val="white"/>
        </w:rPr>
        <w:t xml:space="preserve"> </w:t>
      </w:r>
      <w:r>
        <w:rPr>
          <w:rFonts w:ascii="Arial" w:eastAsia="Arial" w:hAnsi="Arial" w:cs="Arial"/>
          <w:i/>
          <w:sz w:val="22"/>
          <w:szCs w:val="22"/>
          <w:highlight w:val="white"/>
        </w:rPr>
        <w:t>et al.</w:t>
      </w:r>
      <w:r>
        <w:rPr>
          <w:rFonts w:ascii="Arial" w:eastAsia="Arial" w:hAnsi="Arial" w:cs="Arial"/>
          <w:sz w:val="22"/>
          <w:szCs w:val="22"/>
          <w:highlight w:val="white"/>
        </w:rPr>
        <w:t xml:space="preserve"> (2014) </w:t>
      </w:r>
      <w:r>
        <w:rPr>
          <w:rFonts w:ascii="Arial" w:eastAsia="Arial" w:hAnsi="Arial" w:cs="Arial"/>
          <w:sz w:val="22"/>
          <w:szCs w:val="22"/>
        </w:rPr>
        <w:t xml:space="preserve">[21], which show a similar </w:t>
      </w:r>
      <w:r>
        <w:rPr>
          <w:rFonts w:ascii="Arial" w:eastAsia="Arial" w:hAnsi="Arial" w:cs="Arial"/>
          <w:sz w:val="22"/>
          <w:szCs w:val="22"/>
        </w:rPr>
        <w:lastRenderedPageBreak/>
        <w:t>effect for isolated curcumin and suggest that this effect may be related to differences in extracellular matrix (EPS) composition or adhesion protein expression.</w:t>
      </w:r>
    </w:p>
    <w:p w14:paraId="7311489B" w14:textId="77777777" w:rsidR="00F15FC8" w:rsidRDefault="00887443">
      <w:pPr>
        <w:jc w:val="both"/>
        <w:rPr>
          <w:rFonts w:ascii="Arial" w:eastAsia="Arial" w:hAnsi="Arial" w:cs="Arial"/>
          <w:i/>
        </w:rPr>
      </w:pPr>
      <w:r>
        <w:rPr>
          <w:rFonts w:ascii="Arial" w:eastAsia="Arial" w:hAnsi="Arial" w:cs="Arial"/>
          <w:sz w:val="22"/>
          <w:szCs w:val="22"/>
        </w:rPr>
        <w:t xml:space="preserve">In our study, it was verified that the </w:t>
      </w:r>
      <w:r>
        <w:rPr>
          <w:rFonts w:ascii="Arial" w:eastAsia="Arial" w:hAnsi="Arial" w:cs="Arial"/>
          <w:i/>
          <w:sz w:val="22"/>
          <w:szCs w:val="22"/>
        </w:rPr>
        <w:t xml:space="preserve">C. longa </w:t>
      </w:r>
      <w:r>
        <w:rPr>
          <w:rFonts w:ascii="Arial" w:eastAsia="Arial" w:hAnsi="Arial" w:cs="Arial"/>
          <w:sz w:val="22"/>
          <w:szCs w:val="22"/>
        </w:rPr>
        <w:t xml:space="preserve">L. tincture has significant inhibitory activity on </w:t>
      </w:r>
      <w:r>
        <w:rPr>
          <w:rFonts w:ascii="Arial" w:eastAsia="Arial" w:hAnsi="Arial" w:cs="Arial"/>
          <w:i/>
          <w:sz w:val="22"/>
          <w:szCs w:val="22"/>
        </w:rPr>
        <w:t>Candida</w:t>
      </w:r>
      <w:r>
        <w:rPr>
          <w:rFonts w:ascii="Arial" w:eastAsia="Arial" w:hAnsi="Arial" w:cs="Arial"/>
          <w:sz w:val="22"/>
          <w:szCs w:val="22"/>
        </w:rPr>
        <w:t xml:space="preserve"> spp. biofilm formation (Table 3). </w:t>
      </w:r>
      <w:r>
        <w:rPr>
          <w:rFonts w:ascii="Arial" w:eastAsia="Arial" w:hAnsi="Arial" w:cs="Arial"/>
          <w:i/>
          <w:sz w:val="22"/>
          <w:szCs w:val="22"/>
        </w:rPr>
        <w:t xml:space="preserve">C.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and </w:t>
      </w:r>
      <w:r>
        <w:rPr>
          <w:rFonts w:ascii="Arial" w:eastAsia="Arial" w:hAnsi="Arial" w:cs="Arial"/>
          <w:i/>
          <w:sz w:val="22"/>
          <w:szCs w:val="22"/>
        </w:rPr>
        <w:t xml:space="preserve">C. </w:t>
      </w:r>
      <w:proofErr w:type="spellStart"/>
      <w:r>
        <w:rPr>
          <w:rFonts w:ascii="Arial" w:eastAsia="Arial" w:hAnsi="Arial" w:cs="Arial"/>
          <w:i/>
          <w:sz w:val="22"/>
          <w:szCs w:val="22"/>
        </w:rPr>
        <w:t>parapsilosis</w:t>
      </w:r>
      <w:proofErr w:type="spellEnd"/>
      <w:r>
        <w:rPr>
          <w:rFonts w:ascii="Arial" w:eastAsia="Arial" w:hAnsi="Arial" w:cs="Arial"/>
          <w:sz w:val="22"/>
          <w:szCs w:val="22"/>
        </w:rPr>
        <w:t xml:space="preserve"> were more sensitive with MBIC</w:t>
      </w:r>
      <w:r>
        <w:rPr>
          <w:rFonts w:ascii="Arial" w:eastAsia="Arial" w:hAnsi="Arial" w:cs="Arial"/>
          <w:sz w:val="22"/>
          <w:szCs w:val="22"/>
          <w:vertAlign w:val="subscript"/>
        </w:rPr>
        <w:t>50</w:t>
      </w:r>
      <w:r>
        <w:rPr>
          <w:rFonts w:ascii="Arial" w:eastAsia="Arial" w:hAnsi="Arial" w:cs="Arial"/>
          <w:sz w:val="22"/>
          <w:szCs w:val="22"/>
        </w:rPr>
        <w:t xml:space="preserve"> = 1.77 mg.mL</w:t>
      </w:r>
      <w:r>
        <w:rPr>
          <w:rFonts w:ascii="Arial" w:eastAsia="Arial" w:hAnsi="Arial" w:cs="Arial"/>
          <w:sz w:val="22"/>
          <w:szCs w:val="22"/>
          <w:vertAlign w:val="superscript"/>
        </w:rPr>
        <w:t>-1</w:t>
      </w:r>
      <w:r>
        <w:rPr>
          <w:rFonts w:ascii="Arial" w:eastAsia="Arial" w:hAnsi="Arial" w:cs="Arial"/>
          <w:sz w:val="22"/>
          <w:szCs w:val="22"/>
        </w:rPr>
        <w:t xml:space="preserve">, followed by </w:t>
      </w:r>
      <w:r>
        <w:rPr>
          <w:rFonts w:ascii="Arial" w:eastAsia="Arial" w:hAnsi="Arial" w:cs="Arial"/>
          <w:i/>
          <w:sz w:val="22"/>
          <w:szCs w:val="22"/>
        </w:rPr>
        <w:t xml:space="preserve">C. </w:t>
      </w:r>
      <w:proofErr w:type="spellStart"/>
      <w:r>
        <w:rPr>
          <w:rFonts w:ascii="Arial" w:eastAsia="Arial" w:hAnsi="Arial" w:cs="Arial"/>
          <w:i/>
          <w:sz w:val="22"/>
          <w:szCs w:val="22"/>
        </w:rPr>
        <w:t>dubliniensis</w:t>
      </w:r>
      <w:proofErr w:type="spellEnd"/>
      <w:r>
        <w:rPr>
          <w:rFonts w:ascii="Arial" w:eastAsia="Arial" w:hAnsi="Arial" w:cs="Arial"/>
          <w:sz w:val="22"/>
          <w:szCs w:val="22"/>
        </w:rPr>
        <w:t xml:space="preserve"> with MBIC</w:t>
      </w:r>
      <w:r>
        <w:rPr>
          <w:rFonts w:ascii="Arial" w:eastAsia="Arial" w:hAnsi="Arial" w:cs="Arial"/>
          <w:sz w:val="22"/>
          <w:szCs w:val="22"/>
          <w:vertAlign w:val="subscript"/>
        </w:rPr>
        <w:t>50</w:t>
      </w:r>
      <w:r>
        <w:rPr>
          <w:rFonts w:ascii="Arial" w:eastAsia="Arial" w:hAnsi="Arial" w:cs="Arial"/>
          <w:sz w:val="22"/>
          <w:szCs w:val="22"/>
        </w:rPr>
        <w:t xml:space="preserve"> = 3.54 mg.mL</w:t>
      </w:r>
      <w:r>
        <w:rPr>
          <w:rFonts w:ascii="Arial" w:eastAsia="Arial" w:hAnsi="Arial" w:cs="Arial"/>
          <w:sz w:val="22"/>
          <w:szCs w:val="22"/>
          <w:vertAlign w:val="superscript"/>
        </w:rPr>
        <w:t>-1</w:t>
      </w:r>
      <w:r>
        <w:rPr>
          <w:rFonts w:ascii="Arial" w:eastAsia="Arial" w:hAnsi="Arial" w:cs="Arial"/>
          <w:sz w:val="22"/>
          <w:szCs w:val="22"/>
        </w:rPr>
        <w:t xml:space="preserve">. On the other hand, the most resistant yeasts were </w:t>
      </w:r>
      <w:r>
        <w:rPr>
          <w:rFonts w:ascii="Arial" w:eastAsia="Arial" w:hAnsi="Arial" w:cs="Arial"/>
          <w:i/>
          <w:sz w:val="22"/>
          <w:szCs w:val="22"/>
        </w:rPr>
        <w:t xml:space="preserve">C. </w:t>
      </w:r>
      <w:proofErr w:type="spellStart"/>
      <w:r>
        <w:rPr>
          <w:rFonts w:ascii="Arial" w:eastAsia="Arial" w:hAnsi="Arial" w:cs="Arial"/>
          <w:i/>
          <w:sz w:val="22"/>
          <w:szCs w:val="22"/>
        </w:rPr>
        <w:t>metapsilosis</w:t>
      </w:r>
      <w:proofErr w:type="spellEnd"/>
      <w:r>
        <w:rPr>
          <w:rFonts w:ascii="Arial" w:eastAsia="Arial" w:hAnsi="Arial" w:cs="Arial"/>
          <w:sz w:val="22"/>
          <w:szCs w:val="22"/>
        </w:rPr>
        <w:t xml:space="preserve"> with MBIC</w:t>
      </w:r>
      <w:r>
        <w:rPr>
          <w:rFonts w:ascii="Arial" w:eastAsia="Arial" w:hAnsi="Arial" w:cs="Arial"/>
          <w:sz w:val="22"/>
          <w:szCs w:val="22"/>
          <w:vertAlign w:val="subscript"/>
        </w:rPr>
        <w:t>50</w:t>
      </w:r>
      <w:r>
        <w:rPr>
          <w:rFonts w:ascii="Arial" w:eastAsia="Arial" w:hAnsi="Arial" w:cs="Arial"/>
          <w:sz w:val="22"/>
          <w:szCs w:val="22"/>
        </w:rPr>
        <w:t xml:space="preserve"> = 14.18 mg.mL</w:t>
      </w:r>
      <w:r>
        <w:rPr>
          <w:rFonts w:ascii="Arial" w:eastAsia="Arial" w:hAnsi="Arial" w:cs="Arial"/>
          <w:sz w:val="22"/>
          <w:szCs w:val="22"/>
          <w:vertAlign w:val="superscript"/>
        </w:rPr>
        <w:t>-1</w:t>
      </w:r>
      <w:r>
        <w:rPr>
          <w:rFonts w:ascii="Arial" w:eastAsia="Arial" w:hAnsi="Arial" w:cs="Arial"/>
          <w:sz w:val="22"/>
          <w:szCs w:val="22"/>
        </w:rPr>
        <w:t xml:space="preserve"> and </w:t>
      </w:r>
      <w:r>
        <w:rPr>
          <w:rFonts w:ascii="Arial" w:eastAsia="Arial" w:hAnsi="Arial" w:cs="Arial"/>
          <w:i/>
          <w:sz w:val="22"/>
          <w:szCs w:val="22"/>
        </w:rPr>
        <w:t>C. albicans</w:t>
      </w:r>
      <w:r>
        <w:rPr>
          <w:rFonts w:ascii="Arial" w:eastAsia="Arial" w:hAnsi="Arial" w:cs="Arial"/>
          <w:sz w:val="22"/>
          <w:szCs w:val="22"/>
        </w:rPr>
        <w:t xml:space="preserve"> with MBIC</w:t>
      </w:r>
      <w:r>
        <w:rPr>
          <w:rFonts w:ascii="Arial" w:eastAsia="Arial" w:hAnsi="Arial" w:cs="Arial"/>
          <w:sz w:val="22"/>
          <w:szCs w:val="22"/>
          <w:vertAlign w:val="subscript"/>
        </w:rPr>
        <w:t>50</w:t>
      </w:r>
      <w:r>
        <w:rPr>
          <w:rFonts w:ascii="Arial" w:eastAsia="Arial" w:hAnsi="Arial" w:cs="Arial"/>
          <w:sz w:val="22"/>
          <w:szCs w:val="22"/>
        </w:rPr>
        <w:t xml:space="preserve"> = 28.35 mg.mL</w:t>
      </w:r>
      <w:r>
        <w:rPr>
          <w:rFonts w:ascii="Arial" w:eastAsia="Arial" w:hAnsi="Arial" w:cs="Arial"/>
          <w:sz w:val="22"/>
          <w:szCs w:val="22"/>
          <w:vertAlign w:val="superscript"/>
        </w:rPr>
        <w:t>-1</w:t>
      </w:r>
      <w:r>
        <w:rPr>
          <w:rFonts w:ascii="Arial" w:eastAsia="Arial" w:hAnsi="Arial" w:cs="Arial"/>
          <w:sz w:val="22"/>
          <w:szCs w:val="22"/>
        </w:rPr>
        <w:t xml:space="preserve"> (Table 3).</w:t>
      </w:r>
    </w:p>
    <w:p w14:paraId="791B4BA8" w14:textId="77777777" w:rsidR="00F15FC8" w:rsidRDefault="00887443">
      <w:pPr>
        <w:spacing w:before="200" w:after="200"/>
        <w:jc w:val="both"/>
        <w:rPr>
          <w:rFonts w:ascii="Arial" w:eastAsia="Arial" w:hAnsi="Arial" w:cs="Arial"/>
          <w:sz w:val="22"/>
          <w:szCs w:val="22"/>
        </w:rPr>
      </w:pPr>
      <w:r>
        <w:rPr>
          <w:rFonts w:ascii="Arial" w:eastAsia="Arial" w:hAnsi="Arial" w:cs="Arial"/>
          <w:i/>
        </w:rPr>
        <w:t>Table 3.</w:t>
      </w:r>
      <w:r>
        <w:rPr>
          <w:rFonts w:ascii="Arial" w:eastAsia="Arial" w:hAnsi="Arial" w:cs="Arial"/>
        </w:rPr>
        <w:t xml:space="preserve"> Inhibitory activity of </w:t>
      </w:r>
      <w:r>
        <w:rPr>
          <w:rFonts w:ascii="Arial" w:eastAsia="Arial" w:hAnsi="Arial" w:cs="Arial"/>
          <w:i/>
        </w:rPr>
        <w:t>Curcuma longa</w:t>
      </w:r>
      <w:r>
        <w:rPr>
          <w:rFonts w:ascii="Arial" w:eastAsia="Arial" w:hAnsi="Arial" w:cs="Arial"/>
        </w:rPr>
        <w:t xml:space="preserve"> L. tincture on </w:t>
      </w:r>
      <w:r>
        <w:rPr>
          <w:rFonts w:ascii="Arial" w:eastAsia="Arial" w:hAnsi="Arial" w:cs="Arial"/>
          <w:i/>
        </w:rPr>
        <w:t>Candida</w:t>
      </w:r>
      <w:r>
        <w:rPr>
          <w:rFonts w:ascii="Arial" w:eastAsia="Arial" w:hAnsi="Arial" w:cs="Arial"/>
        </w:rPr>
        <w:t xml:space="preserve"> biofilm formation. </w:t>
      </w:r>
    </w:p>
    <w:sdt>
      <w:sdtPr>
        <w:tag w:val="goog_rdk_11"/>
        <w:id w:val="-1984631058"/>
        <w:lock w:val="contentLocked"/>
      </w:sdtPr>
      <w:sdtContent>
        <w:tbl>
          <w:tblPr>
            <w:tblStyle w:val="a2"/>
            <w:tblW w:w="8505" w:type="dxa"/>
            <w:jc w:val="center"/>
            <w:tblInd w:w="0" w:type="dxa"/>
            <w:tblLayout w:type="fixed"/>
            <w:tblLook w:val="0400" w:firstRow="0" w:lastRow="0" w:firstColumn="0" w:lastColumn="0" w:noHBand="0" w:noVBand="1"/>
          </w:tblPr>
          <w:tblGrid>
            <w:gridCol w:w="3405"/>
            <w:gridCol w:w="1515"/>
            <w:gridCol w:w="105"/>
            <w:gridCol w:w="1395"/>
            <w:gridCol w:w="2085"/>
          </w:tblGrid>
          <w:tr w:rsidR="00F15FC8" w14:paraId="6D70E366" w14:textId="77777777">
            <w:trPr>
              <w:trHeight w:val="577"/>
              <w:jc w:val="center"/>
            </w:trPr>
            <w:tc>
              <w:tcPr>
                <w:tcW w:w="3405" w:type="dxa"/>
                <w:vMerge w:val="restart"/>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273254DC" w14:textId="77777777" w:rsidR="00F15FC8" w:rsidRDefault="00F15FC8">
                <w:pPr>
                  <w:ind w:firstLine="284"/>
                  <w:jc w:val="both"/>
                  <w:rPr>
                    <w:rFonts w:ascii="Arial" w:eastAsia="Arial" w:hAnsi="Arial" w:cs="Arial"/>
                  </w:rPr>
                </w:pPr>
              </w:p>
              <w:p w14:paraId="50EE33E5" w14:textId="77777777" w:rsidR="00F15FC8" w:rsidRDefault="00887443">
                <w:pPr>
                  <w:ind w:firstLine="284"/>
                  <w:jc w:val="both"/>
                  <w:rPr>
                    <w:rFonts w:ascii="Arial" w:eastAsia="Arial" w:hAnsi="Arial" w:cs="Arial"/>
                  </w:rPr>
                </w:pPr>
                <w:r>
                  <w:rPr>
                    <w:rFonts w:ascii="Arial" w:eastAsia="Arial" w:hAnsi="Arial" w:cs="Arial"/>
                    <w:b/>
                  </w:rPr>
                  <w:t xml:space="preserve">                      Yeasts</w:t>
                </w:r>
              </w:p>
            </w:tc>
            <w:tc>
              <w:tcPr>
                <w:tcW w:w="5100" w:type="dxa"/>
                <w:gridSpan w:val="4"/>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5D49A5F7" w14:textId="77777777" w:rsidR="00F15FC8" w:rsidRDefault="00887443">
                <w:pPr>
                  <w:ind w:firstLine="284"/>
                  <w:jc w:val="center"/>
                  <w:rPr>
                    <w:rFonts w:ascii="Arial" w:eastAsia="Arial" w:hAnsi="Arial" w:cs="Arial"/>
                  </w:rPr>
                </w:pPr>
                <w:r>
                  <w:rPr>
                    <w:rFonts w:ascii="Arial" w:eastAsia="Arial" w:hAnsi="Arial" w:cs="Arial"/>
                    <w:b/>
                    <w:i/>
                  </w:rPr>
                  <w:t>C. longa</w:t>
                </w:r>
                <w:r>
                  <w:rPr>
                    <w:rFonts w:ascii="Arial" w:eastAsia="Arial" w:hAnsi="Arial" w:cs="Arial"/>
                    <w:b/>
                  </w:rPr>
                  <w:t xml:space="preserve"> L.</w:t>
                </w:r>
                <w:r>
                  <w:rPr>
                    <w:rFonts w:ascii="Arial" w:eastAsia="Arial" w:hAnsi="Arial" w:cs="Arial"/>
                    <w:b/>
                    <w:i/>
                  </w:rPr>
                  <w:t xml:space="preserve"> </w:t>
                </w:r>
                <w:sdt>
                  <w:sdtPr>
                    <w:tag w:val="goog_rdk_10"/>
                    <w:id w:val="1230553027"/>
                  </w:sdtPr>
                  <w:sdtContent>
                    <w:r>
                      <w:rPr>
                        <w:rFonts w:ascii="Arial Unicode MS" w:eastAsia="Arial Unicode MS" w:hAnsi="Arial Unicode MS" w:cs="Arial Unicode MS"/>
                        <w:b/>
                      </w:rPr>
                      <w:t>tincture (</w:t>
                    </w:r>
                    <w:proofErr w:type="spellStart"/>
                    <w:r>
                      <w:rPr>
                        <w:rFonts w:ascii="Arial Unicode MS" w:eastAsia="Arial Unicode MS" w:hAnsi="Arial Unicode MS" w:cs="Arial Unicode MS"/>
                        <w:b/>
                      </w:rPr>
                      <w:t>mg∙mL</w:t>
                    </w:r>
                    <w:proofErr w:type="spellEnd"/>
                  </w:sdtContent>
                </w:sdt>
                <w:r>
                  <w:rPr>
                    <w:rFonts w:ascii="Arial" w:eastAsia="Arial" w:hAnsi="Arial" w:cs="Arial"/>
                    <w:b/>
                    <w:vertAlign w:val="superscript"/>
                  </w:rPr>
                  <w:t>-1</w:t>
                </w:r>
                <w:r>
                  <w:rPr>
                    <w:rFonts w:ascii="Arial" w:eastAsia="Arial" w:hAnsi="Arial" w:cs="Arial"/>
                    <w:b/>
                  </w:rPr>
                  <w:t>)</w:t>
                </w:r>
              </w:p>
            </w:tc>
          </w:tr>
          <w:tr w:rsidR="00F15FC8" w14:paraId="56107F71" w14:textId="77777777">
            <w:trPr>
              <w:trHeight w:val="120"/>
              <w:jc w:val="center"/>
            </w:trPr>
            <w:tc>
              <w:tcPr>
                <w:tcW w:w="3405" w:type="dxa"/>
                <w:vMerge/>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1ED0A4C3" w14:textId="77777777" w:rsidR="00F15FC8" w:rsidRDefault="00F15FC8">
                <w:pPr>
                  <w:widowControl w:val="0"/>
                  <w:spacing w:line="276" w:lineRule="auto"/>
                  <w:rPr>
                    <w:rFonts w:ascii="Arial" w:eastAsia="Arial" w:hAnsi="Arial" w:cs="Arial"/>
                  </w:rPr>
                </w:pPr>
              </w:p>
            </w:tc>
            <w:tc>
              <w:tcPr>
                <w:tcW w:w="1515"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454D851C" w14:textId="77777777" w:rsidR="00F15FC8" w:rsidRDefault="00887443">
                <w:pPr>
                  <w:ind w:firstLine="284"/>
                  <w:jc w:val="both"/>
                  <w:rPr>
                    <w:rFonts w:ascii="Arial" w:eastAsia="Arial" w:hAnsi="Arial" w:cs="Arial"/>
                  </w:rPr>
                </w:pPr>
                <w:r>
                  <w:rPr>
                    <w:rFonts w:ascii="Arial" w:eastAsia="Arial" w:hAnsi="Arial" w:cs="Arial"/>
                    <w:b/>
                  </w:rPr>
                  <w:t>MIC</w:t>
                </w:r>
              </w:p>
            </w:tc>
            <w:tc>
              <w:tcPr>
                <w:tcW w:w="1500" w:type="dxa"/>
                <w:gridSpan w:val="2"/>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49F86CD2" w14:textId="77777777" w:rsidR="00F15FC8" w:rsidRDefault="00887443">
                <w:pPr>
                  <w:ind w:firstLine="284"/>
                  <w:jc w:val="both"/>
                  <w:rPr>
                    <w:rFonts w:ascii="Arial" w:eastAsia="Arial" w:hAnsi="Arial" w:cs="Arial"/>
                  </w:rPr>
                </w:pPr>
                <w:r>
                  <w:rPr>
                    <w:rFonts w:ascii="Arial" w:eastAsia="Arial" w:hAnsi="Arial" w:cs="Arial"/>
                    <w:b/>
                  </w:rPr>
                  <w:t>MBIC</w:t>
                </w:r>
                <w:r>
                  <w:rPr>
                    <w:rFonts w:ascii="Arial" w:eastAsia="Arial" w:hAnsi="Arial" w:cs="Arial"/>
                    <w:b/>
                    <w:vertAlign w:val="subscript"/>
                  </w:rPr>
                  <w:t>50</w:t>
                </w:r>
              </w:p>
            </w:tc>
            <w:tc>
              <w:tcPr>
                <w:tcW w:w="2085"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5A739279" w14:textId="77777777" w:rsidR="00F15FC8" w:rsidRDefault="00887443">
                <w:pPr>
                  <w:jc w:val="center"/>
                  <w:rPr>
                    <w:rFonts w:ascii="Arial" w:eastAsia="Arial" w:hAnsi="Arial" w:cs="Arial"/>
                  </w:rPr>
                </w:pPr>
                <w:r>
                  <w:rPr>
                    <w:rFonts w:ascii="Arial" w:eastAsia="Arial" w:hAnsi="Arial" w:cs="Arial"/>
                    <w:b/>
                    <w:i/>
                  </w:rPr>
                  <w:t>ratio</w:t>
                </w:r>
              </w:p>
              <w:p w14:paraId="1EC71229" w14:textId="77777777" w:rsidR="00F15FC8" w:rsidRDefault="00887443">
                <w:pPr>
                  <w:jc w:val="center"/>
                  <w:rPr>
                    <w:rFonts w:ascii="Arial" w:eastAsia="Arial" w:hAnsi="Arial" w:cs="Arial"/>
                  </w:rPr>
                </w:pPr>
                <w:r>
                  <w:rPr>
                    <w:rFonts w:ascii="Arial" w:eastAsia="Arial" w:hAnsi="Arial" w:cs="Arial"/>
                    <w:b/>
                    <w:i/>
                  </w:rPr>
                  <w:t>MIC/MBIC</w:t>
                </w:r>
                <w:r>
                  <w:rPr>
                    <w:rFonts w:ascii="Arial" w:eastAsia="Arial" w:hAnsi="Arial" w:cs="Arial"/>
                    <w:b/>
                    <w:i/>
                    <w:vertAlign w:val="subscript"/>
                  </w:rPr>
                  <w:t>50</w:t>
                </w:r>
              </w:p>
            </w:tc>
          </w:tr>
          <w:tr w:rsidR="00F15FC8" w14:paraId="495432A7" w14:textId="77777777">
            <w:trPr>
              <w:trHeight w:val="43"/>
              <w:jc w:val="center"/>
            </w:trPr>
            <w:tc>
              <w:tcPr>
                <w:tcW w:w="3405" w:type="dxa"/>
                <w:tcBorders>
                  <w:top w:val="single" w:sz="8" w:space="0" w:color="000000"/>
                  <w:bottom w:val="single" w:sz="4" w:space="0" w:color="FCFCFC"/>
                  <w:right w:val="single" w:sz="6" w:space="0" w:color="FCFCFC"/>
                </w:tcBorders>
                <w:tcMar>
                  <w:top w:w="100" w:type="dxa"/>
                  <w:left w:w="100" w:type="dxa"/>
                  <w:bottom w:w="100" w:type="dxa"/>
                  <w:right w:w="100" w:type="dxa"/>
                </w:tcMar>
                <w:vAlign w:val="center"/>
              </w:tcPr>
              <w:p w14:paraId="51F5F601" w14:textId="77777777" w:rsidR="00F15FC8" w:rsidRDefault="00887443">
                <w:pPr>
                  <w:rPr>
                    <w:rFonts w:ascii="Arial" w:eastAsia="Arial" w:hAnsi="Arial" w:cs="Arial"/>
                  </w:rPr>
                </w:pPr>
                <w:r>
                  <w:rPr>
                    <w:rFonts w:ascii="Arial" w:eastAsia="Arial" w:hAnsi="Arial" w:cs="Arial"/>
                    <w:i/>
                  </w:rPr>
                  <w:t xml:space="preserve">Candida albicans </w:t>
                </w:r>
                <w:r>
                  <w:rPr>
                    <w:rFonts w:ascii="Arial" w:eastAsia="Arial" w:hAnsi="Arial" w:cs="Arial"/>
                  </w:rPr>
                  <w:t>ATCC 10231</w:t>
                </w:r>
              </w:p>
            </w:tc>
            <w:tc>
              <w:tcPr>
                <w:tcW w:w="1620" w:type="dxa"/>
                <w:gridSpan w:val="2"/>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63EB6A0A" w14:textId="77777777" w:rsidR="00F15FC8" w:rsidRDefault="00887443">
                <w:pPr>
                  <w:ind w:firstLine="284"/>
                  <w:jc w:val="both"/>
                  <w:rPr>
                    <w:rFonts w:ascii="Arial" w:eastAsia="Arial" w:hAnsi="Arial" w:cs="Arial"/>
                  </w:rPr>
                </w:pPr>
                <w:r>
                  <w:rPr>
                    <w:rFonts w:ascii="Arial" w:eastAsia="Arial" w:hAnsi="Arial" w:cs="Arial"/>
                  </w:rPr>
                  <w:t>90.72</w:t>
                </w:r>
              </w:p>
            </w:tc>
            <w:tc>
              <w:tcPr>
                <w:tcW w:w="1395"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594FEE21" w14:textId="77777777" w:rsidR="00F15FC8" w:rsidRDefault="00887443">
                <w:pPr>
                  <w:ind w:firstLine="284"/>
                  <w:jc w:val="both"/>
                  <w:rPr>
                    <w:rFonts w:ascii="Arial" w:eastAsia="Arial" w:hAnsi="Arial" w:cs="Arial"/>
                  </w:rPr>
                </w:pPr>
                <w:r>
                  <w:rPr>
                    <w:rFonts w:ascii="Arial" w:eastAsia="Arial" w:hAnsi="Arial" w:cs="Arial"/>
                  </w:rPr>
                  <w:t>28.35</w:t>
                </w:r>
              </w:p>
            </w:tc>
            <w:tc>
              <w:tcPr>
                <w:tcW w:w="2085"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6A6F426D" w14:textId="77777777" w:rsidR="00F15FC8" w:rsidRDefault="00887443">
                <w:pPr>
                  <w:ind w:firstLine="284"/>
                  <w:jc w:val="center"/>
                  <w:rPr>
                    <w:rFonts w:ascii="Arial" w:eastAsia="Arial" w:hAnsi="Arial" w:cs="Arial"/>
                  </w:rPr>
                </w:pPr>
                <w:r>
                  <w:rPr>
                    <w:rFonts w:ascii="Arial" w:eastAsia="Arial" w:hAnsi="Arial" w:cs="Arial"/>
                    <w:i/>
                  </w:rPr>
                  <w:t>3.20x</w:t>
                </w:r>
              </w:p>
            </w:tc>
          </w:tr>
          <w:tr w:rsidR="00F15FC8" w14:paraId="71F6B72F" w14:textId="77777777">
            <w:trPr>
              <w:trHeight w:val="22"/>
              <w:jc w:val="center"/>
            </w:trPr>
            <w:tc>
              <w:tcPr>
                <w:tcW w:w="340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3E280F74" w14:textId="77777777" w:rsidR="00F15FC8" w:rsidRDefault="00887443">
                <w:pPr>
                  <w:rPr>
                    <w:rFonts w:ascii="Arial" w:eastAsia="Arial" w:hAnsi="Arial" w:cs="Arial"/>
                  </w:rPr>
                </w:pPr>
                <w:r>
                  <w:rPr>
                    <w:rFonts w:ascii="Arial" w:eastAsia="Arial" w:hAnsi="Arial" w:cs="Arial"/>
                    <w:i/>
                  </w:rPr>
                  <w:t xml:space="preserve">Candida metapsilosis </w:t>
                </w:r>
                <w:r>
                  <w:rPr>
                    <w:rFonts w:ascii="Arial" w:eastAsia="Arial" w:hAnsi="Arial" w:cs="Arial"/>
                  </w:rPr>
                  <w:t>ATCC 96143</w:t>
                </w:r>
              </w:p>
            </w:tc>
            <w:tc>
              <w:tcPr>
                <w:tcW w:w="1620" w:type="dxa"/>
                <w:gridSpan w:val="2"/>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1E5A65D" w14:textId="77777777" w:rsidR="00F15FC8" w:rsidRDefault="00887443">
                <w:pPr>
                  <w:ind w:firstLine="284"/>
                  <w:jc w:val="both"/>
                  <w:rPr>
                    <w:rFonts w:ascii="Arial" w:eastAsia="Arial" w:hAnsi="Arial" w:cs="Arial"/>
                  </w:rPr>
                </w:pPr>
                <w:r>
                  <w:rPr>
                    <w:rFonts w:ascii="Arial" w:eastAsia="Arial" w:hAnsi="Arial" w:cs="Arial"/>
                  </w:rPr>
                  <w:t>90.72</w:t>
                </w:r>
              </w:p>
            </w:tc>
            <w:tc>
              <w:tcPr>
                <w:tcW w:w="139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22C13BB" w14:textId="77777777" w:rsidR="00F15FC8" w:rsidRDefault="00887443">
                <w:pPr>
                  <w:ind w:firstLine="284"/>
                  <w:jc w:val="both"/>
                  <w:rPr>
                    <w:rFonts w:ascii="Arial" w:eastAsia="Arial" w:hAnsi="Arial" w:cs="Arial"/>
                  </w:rPr>
                </w:pPr>
                <w:r>
                  <w:rPr>
                    <w:rFonts w:ascii="Arial" w:eastAsia="Arial" w:hAnsi="Arial" w:cs="Arial"/>
                  </w:rPr>
                  <w:t>14.18</w:t>
                </w:r>
              </w:p>
            </w:tc>
            <w:tc>
              <w:tcPr>
                <w:tcW w:w="20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6FFDAD85" w14:textId="77777777" w:rsidR="00F15FC8" w:rsidRDefault="00887443">
                <w:pPr>
                  <w:ind w:firstLine="284"/>
                  <w:jc w:val="center"/>
                  <w:rPr>
                    <w:rFonts w:ascii="Arial" w:eastAsia="Arial" w:hAnsi="Arial" w:cs="Arial"/>
                  </w:rPr>
                </w:pPr>
                <w:r>
                  <w:rPr>
                    <w:rFonts w:ascii="Arial" w:eastAsia="Arial" w:hAnsi="Arial" w:cs="Arial"/>
                    <w:i/>
                  </w:rPr>
                  <w:t>6.40x</w:t>
                </w:r>
              </w:p>
            </w:tc>
          </w:tr>
          <w:tr w:rsidR="00F15FC8" w14:paraId="49D7F417" w14:textId="77777777">
            <w:trPr>
              <w:trHeight w:val="22"/>
              <w:jc w:val="center"/>
            </w:trPr>
            <w:tc>
              <w:tcPr>
                <w:tcW w:w="340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20DE7E30" w14:textId="77777777" w:rsidR="00F15FC8" w:rsidRDefault="00887443">
                <w:pPr>
                  <w:rPr>
                    <w:rFonts w:ascii="Arial" w:eastAsia="Arial" w:hAnsi="Arial" w:cs="Arial"/>
                  </w:rPr>
                </w:pPr>
                <w:r>
                  <w:rPr>
                    <w:rFonts w:ascii="Arial" w:eastAsia="Arial" w:hAnsi="Arial" w:cs="Arial"/>
                    <w:i/>
                    <w:sz w:val="18"/>
                    <w:szCs w:val="18"/>
                  </w:rPr>
                  <w:t xml:space="preserve">Candida dubliniensis </w:t>
                </w:r>
                <w:r>
                  <w:rPr>
                    <w:rFonts w:ascii="Arial" w:eastAsia="Arial" w:hAnsi="Arial" w:cs="Arial"/>
                    <w:sz w:val="18"/>
                    <w:szCs w:val="18"/>
                  </w:rPr>
                  <w:t>ATCC MYA-646</w:t>
                </w:r>
              </w:p>
            </w:tc>
            <w:tc>
              <w:tcPr>
                <w:tcW w:w="1620" w:type="dxa"/>
                <w:gridSpan w:val="2"/>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129BB183" w14:textId="77777777" w:rsidR="00F15FC8" w:rsidRDefault="00887443">
                <w:pPr>
                  <w:ind w:firstLine="284"/>
                  <w:jc w:val="both"/>
                  <w:rPr>
                    <w:rFonts w:ascii="Arial" w:eastAsia="Arial" w:hAnsi="Arial" w:cs="Arial"/>
                  </w:rPr>
                </w:pPr>
                <w:r>
                  <w:rPr>
                    <w:rFonts w:ascii="Arial" w:eastAsia="Arial" w:hAnsi="Arial" w:cs="Arial"/>
                  </w:rPr>
                  <w:t>45.36</w:t>
                </w:r>
              </w:p>
            </w:tc>
            <w:tc>
              <w:tcPr>
                <w:tcW w:w="139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79F5994C" w14:textId="77777777" w:rsidR="00F15FC8" w:rsidRDefault="00887443">
                <w:pPr>
                  <w:ind w:firstLine="284"/>
                  <w:jc w:val="both"/>
                  <w:rPr>
                    <w:rFonts w:ascii="Arial" w:eastAsia="Arial" w:hAnsi="Arial" w:cs="Arial"/>
                  </w:rPr>
                </w:pPr>
                <w:r>
                  <w:rPr>
                    <w:rFonts w:ascii="Arial" w:eastAsia="Arial" w:hAnsi="Arial" w:cs="Arial"/>
                  </w:rPr>
                  <w:t>3.54</w:t>
                </w:r>
              </w:p>
            </w:tc>
            <w:tc>
              <w:tcPr>
                <w:tcW w:w="20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5E06E6FA" w14:textId="77777777" w:rsidR="00F15FC8" w:rsidRDefault="00887443">
                <w:pPr>
                  <w:ind w:firstLine="284"/>
                  <w:jc w:val="center"/>
                  <w:rPr>
                    <w:rFonts w:ascii="Arial" w:eastAsia="Arial" w:hAnsi="Arial" w:cs="Arial"/>
                  </w:rPr>
                </w:pPr>
                <w:r>
                  <w:rPr>
                    <w:rFonts w:ascii="Arial" w:eastAsia="Arial" w:hAnsi="Arial" w:cs="Arial"/>
                    <w:i/>
                  </w:rPr>
                  <w:t>12.80x</w:t>
                </w:r>
              </w:p>
            </w:tc>
          </w:tr>
          <w:tr w:rsidR="00F15FC8" w14:paraId="521C5C98" w14:textId="77777777">
            <w:trPr>
              <w:trHeight w:val="22"/>
              <w:jc w:val="center"/>
            </w:trPr>
            <w:tc>
              <w:tcPr>
                <w:tcW w:w="340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7CBBE613" w14:textId="77777777" w:rsidR="00F15FC8" w:rsidRDefault="00887443">
                <w:pPr>
                  <w:rPr>
                    <w:rFonts w:ascii="Arial" w:eastAsia="Arial" w:hAnsi="Arial" w:cs="Arial"/>
                  </w:rPr>
                </w:pPr>
                <w:r>
                  <w:rPr>
                    <w:rFonts w:ascii="Arial" w:eastAsia="Arial" w:hAnsi="Arial" w:cs="Arial"/>
                    <w:i/>
                  </w:rPr>
                  <w:t xml:space="preserve">Candida orthopsilosis </w:t>
                </w:r>
                <w:r>
                  <w:rPr>
                    <w:rFonts w:ascii="Arial" w:eastAsia="Arial" w:hAnsi="Arial" w:cs="Arial"/>
                  </w:rPr>
                  <w:t>ATCC 96141</w:t>
                </w:r>
              </w:p>
            </w:tc>
            <w:tc>
              <w:tcPr>
                <w:tcW w:w="1620" w:type="dxa"/>
                <w:gridSpan w:val="2"/>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4F76714B" w14:textId="77777777" w:rsidR="00F15FC8" w:rsidRDefault="00887443">
                <w:pPr>
                  <w:ind w:firstLine="284"/>
                  <w:jc w:val="both"/>
                  <w:rPr>
                    <w:rFonts w:ascii="Arial" w:eastAsia="Arial" w:hAnsi="Arial" w:cs="Arial"/>
                  </w:rPr>
                </w:pPr>
                <w:r>
                  <w:rPr>
                    <w:rFonts w:ascii="Arial" w:eastAsia="Arial" w:hAnsi="Arial" w:cs="Arial"/>
                  </w:rPr>
                  <w:t>90.72</w:t>
                </w:r>
              </w:p>
            </w:tc>
            <w:tc>
              <w:tcPr>
                <w:tcW w:w="139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DE536F8" w14:textId="77777777" w:rsidR="00F15FC8" w:rsidRDefault="00887443">
                <w:pPr>
                  <w:ind w:firstLine="284"/>
                  <w:jc w:val="both"/>
                  <w:rPr>
                    <w:rFonts w:ascii="Arial" w:eastAsia="Arial" w:hAnsi="Arial" w:cs="Arial"/>
                  </w:rPr>
                </w:pPr>
                <w:r>
                  <w:rPr>
                    <w:rFonts w:ascii="Arial" w:eastAsia="Arial" w:hAnsi="Arial" w:cs="Arial"/>
                  </w:rPr>
                  <w:t>1.77</w:t>
                </w:r>
              </w:p>
            </w:tc>
            <w:tc>
              <w:tcPr>
                <w:tcW w:w="20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D7A9113" w14:textId="77777777" w:rsidR="00F15FC8" w:rsidRDefault="00887443">
                <w:pPr>
                  <w:ind w:firstLine="284"/>
                  <w:jc w:val="center"/>
                  <w:rPr>
                    <w:rFonts w:ascii="Arial" w:eastAsia="Arial" w:hAnsi="Arial" w:cs="Arial"/>
                  </w:rPr>
                </w:pPr>
                <w:r>
                  <w:rPr>
                    <w:rFonts w:ascii="Arial" w:eastAsia="Arial" w:hAnsi="Arial" w:cs="Arial"/>
                    <w:i/>
                  </w:rPr>
                  <w:t>51.25x</w:t>
                </w:r>
              </w:p>
            </w:tc>
          </w:tr>
          <w:tr w:rsidR="00F15FC8" w14:paraId="284D25D6" w14:textId="77777777">
            <w:trPr>
              <w:trHeight w:val="22"/>
              <w:jc w:val="center"/>
            </w:trPr>
            <w:tc>
              <w:tcPr>
                <w:tcW w:w="3405" w:type="dxa"/>
                <w:tcBorders>
                  <w:top w:val="single" w:sz="4" w:space="0" w:color="FCFCFC"/>
                  <w:bottom w:val="single" w:sz="8" w:space="0" w:color="000000"/>
                  <w:right w:val="single" w:sz="6" w:space="0" w:color="FCFCFC"/>
                </w:tcBorders>
                <w:tcMar>
                  <w:top w:w="100" w:type="dxa"/>
                  <w:left w:w="100" w:type="dxa"/>
                  <w:bottom w:w="100" w:type="dxa"/>
                  <w:right w:w="100" w:type="dxa"/>
                </w:tcMar>
                <w:vAlign w:val="center"/>
              </w:tcPr>
              <w:p w14:paraId="25191321" w14:textId="77777777" w:rsidR="00F15FC8" w:rsidRDefault="00887443">
                <w:pPr>
                  <w:rPr>
                    <w:rFonts w:ascii="Arial" w:eastAsia="Arial" w:hAnsi="Arial" w:cs="Arial"/>
                  </w:rPr>
                </w:pPr>
                <w:r>
                  <w:rPr>
                    <w:rFonts w:ascii="Arial" w:eastAsia="Arial" w:hAnsi="Arial" w:cs="Arial"/>
                    <w:i/>
                  </w:rPr>
                  <w:t xml:space="preserve">Candida parapsilosis </w:t>
                </w:r>
                <w:r>
                  <w:rPr>
                    <w:rFonts w:ascii="Arial" w:eastAsia="Arial" w:hAnsi="Arial" w:cs="Arial"/>
                  </w:rPr>
                  <w:t>ATCC 22019</w:t>
                </w:r>
              </w:p>
            </w:tc>
            <w:tc>
              <w:tcPr>
                <w:tcW w:w="1620" w:type="dxa"/>
                <w:gridSpan w:val="2"/>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4DFF9FA5" w14:textId="77777777" w:rsidR="00F15FC8" w:rsidRDefault="00887443">
                <w:pPr>
                  <w:ind w:firstLine="284"/>
                  <w:jc w:val="both"/>
                  <w:rPr>
                    <w:rFonts w:ascii="Arial" w:eastAsia="Arial" w:hAnsi="Arial" w:cs="Arial"/>
                  </w:rPr>
                </w:pPr>
                <w:r>
                  <w:rPr>
                    <w:rFonts w:ascii="Arial" w:eastAsia="Arial" w:hAnsi="Arial" w:cs="Arial"/>
                  </w:rPr>
                  <w:t>90.72</w:t>
                </w:r>
              </w:p>
            </w:tc>
            <w:tc>
              <w:tcPr>
                <w:tcW w:w="1395"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629C61CB" w14:textId="77777777" w:rsidR="00F15FC8" w:rsidRDefault="00887443">
                <w:pPr>
                  <w:ind w:firstLine="284"/>
                  <w:jc w:val="both"/>
                  <w:rPr>
                    <w:rFonts w:ascii="Arial" w:eastAsia="Arial" w:hAnsi="Arial" w:cs="Arial"/>
                  </w:rPr>
                </w:pPr>
                <w:r>
                  <w:rPr>
                    <w:rFonts w:ascii="Arial" w:eastAsia="Arial" w:hAnsi="Arial" w:cs="Arial"/>
                  </w:rPr>
                  <w:t>1.77</w:t>
                </w:r>
              </w:p>
            </w:tc>
            <w:tc>
              <w:tcPr>
                <w:tcW w:w="2085"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24609552" w14:textId="77777777" w:rsidR="00F15FC8" w:rsidRDefault="00887443">
                <w:pPr>
                  <w:ind w:firstLine="284"/>
                  <w:jc w:val="center"/>
                  <w:rPr>
                    <w:rFonts w:ascii="Arial" w:eastAsia="Arial" w:hAnsi="Arial" w:cs="Arial"/>
                  </w:rPr>
                </w:pPr>
                <w:r>
                  <w:rPr>
                    <w:rFonts w:ascii="Arial" w:eastAsia="Arial" w:hAnsi="Arial" w:cs="Arial"/>
                    <w:i/>
                  </w:rPr>
                  <w:t>51.25x</w:t>
                </w:r>
              </w:p>
            </w:tc>
          </w:tr>
        </w:tbl>
      </w:sdtContent>
    </w:sdt>
    <w:p w14:paraId="32B13B50" w14:textId="77777777" w:rsidR="00F15FC8" w:rsidRDefault="00887443">
      <w:pPr>
        <w:jc w:val="both"/>
        <w:rPr>
          <w:rFonts w:ascii="Arial" w:eastAsia="Arial" w:hAnsi="Arial" w:cs="Arial"/>
        </w:rPr>
      </w:pPr>
      <w:r>
        <w:rPr>
          <w:rFonts w:ascii="Arial" w:eastAsia="Arial" w:hAnsi="Arial" w:cs="Arial"/>
          <w:i/>
        </w:rPr>
        <w:t>Captions:</w:t>
      </w:r>
      <w:r>
        <w:rPr>
          <w:rFonts w:ascii="Arial" w:eastAsia="Arial" w:hAnsi="Arial" w:cs="Arial"/>
        </w:rPr>
        <w:t xml:space="preserve"> MIC - minimum inhibitory concentration;  MBIC</w:t>
      </w:r>
      <w:r>
        <w:rPr>
          <w:rFonts w:ascii="Arial" w:eastAsia="Arial" w:hAnsi="Arial" w:cs="Arial"/>
          <w:vertAlign w:val="subscript"/>
        </w:rPr>
        <w:t>50</w:t>
      </w:r>
      <w:r>
        <w:rPr>
          <w:rFonts w:ascii="Arial" w:eastAsia="Arial" w:hAnsi="Arial" w:cs="Arial"/>
        </w:rPr>
        <w:t xml:space="preserve"> - Minimal Inhibitory Concentration of Biofilm.</w:t>
      </w:r>
    </w:p>
    <w:p w14:paraId="543D4B38" w14:textId="77777777" w:rsidR="00F15FC8" w:rsidRDefault="00F15FC8">
      <w:pPr>
        <w:jc w:val="both"/>
        <w:rPr>
          <w:rFonts w:ascii="Arial" w:eastAsia="Arial" w:hAnsi="Arial" w:cs="Arial"/>
          <w:sz w:val="22"/>
          <w:szCs w:val="22"/>
        </w:rPr>
      </w:pPr>
    </w:p>
    <w:p w14:paraId="4E7B9768"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efficacy of </w:t>
      </w:r>
      <w:r>
        <w:rPr>
          <w:rFonts w:ascii="Arial" w:eastAsia="Arial" w:hAnsi="Arial" w:cs="Arial"/>
          <w:i/>
          <w:sz w:val="22"/>
          <w:szCs w:val="22"/>
        </w:rPr>
        <w:t>C. longa</w:t>
      </w:r>
      <w:r>
        <w:rPr>
          <w:rFonts w:ascii="Arial" w:eastAsia="Arial" w:hAnsi="Arial" w:cs="Arial"/>
          <w:sz w:val="22"/>
          <w:szCs w:val="22"/>
        </w:rPr>
        <w:t xml:space="preserve"> L. tincture in inhibiting biofilm formation varied significantly among </w:t>
      </w:r>
      <w:r>
        <w:rPr>
          <w:rFonts w:ascii="Arial" w:eastAsia="Arial" w:hAnsi="Arial" w:cs="Arial"/>
          <w:i/>
          <w:sz w:val="22"/>
          <w:szCs w:val="22"/>
        </w:rPr>
        <w:t>Candida</w:t>
      </w:r>
      <w:r>
        <w:rPr>
          <w:rFonts w:ascii="Arial" w:eastAsia="Arial" w:hAnsi="Arial" w:cs="Arial"/>
          <w:sz w:val="22"/>
          <w:szCs w:val="22"/>
        </w:rPr>
        <w:t xml:space="preserve"> species. The most sensitive yeasts were </w:t>
      </w:r>
      <w:r>
        <w:rPr>
          <w:rFonts w:ascii="Arial" w:eastAsia="Arial" w:hAnsi="Arial" w:cs="Arial"/>
          <w:i/>
          <w:sz w:val="22"/>
          <w:szCs w:val="22"/>
        </w:rPr>
        <w:t xml:space="preserve">C.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and </w:t>
      </w:r>
      <w:r>
        <w:rPr>
          <w:rFonts w:ascii="Arial" w:eastAsia="Arial" w:hAnsi="Arial" w:cs="Arial"/>
          <w:i/>
          <w:sz w:val="22"/>
          <w:szCs w:val="22"/>
        </w:rPr>
        <w:t xml:space="preserve">C. </w:t>
      </w:r>
      <w:proofErr w:type="spellStart"/>
      <w:r>
        <w:rPr>
          <w:rFonts w:ascii="Arial" w:eastAsia="Arial" w:hAnsi="Arial" w:cs="Arial"/>
          <w:i/>
          <w:sz w:val="22"/>
          <w:szCs w:val="22"/>
        </w:rPr>
        <w:t>parapsilosis</w:t>
      </w:r>
      <w:proofErr w:type="spellEnd"/>
      <w:r>
        <w:rPr>
          <w:rFonts w:ascii="Arial" w:eastAsia="Arial" w:hAnsi="Arial" w:cs="Arial"/>
          <w:sz w:val="22"/>
          <w:szCs w:val="22"/>
        </w:rPr>
        <w:t>, where the tincture inhibited biofilm formation at very low concentrations (1.77 mg.mL</w:t>
      </w:r>
      <w:r>
        <w:rPr>
          <w:rFonts w:ascii="Arial" w:eastAsia="Arial" w:hAnsi="Arial" w:cs="Arial"/>
          <w:sz w:val="22"/>
          <w:szCs w:val="22"/>
          <w:vertAlign w:val="superscript"/>
        </w:rPr>
        <w:t>-1</w:t>
      </w:r>
      <w:r>
        <w:rPr>
          <w:rFonts w:ascii="Arial" w:eastAsia="Arial" w:hAnsi="Arial" w:cs="Arial"/>
          <w:sz w:val="22"/>
          <w:szCs w:val="22"/>
        </w:rPr>
        <w:t>), with an MBIC</w:t>
      </w:r>
      <w:r>
        <w:rPr>
          <w:rFonts w:ascii="Arial" w:eastAsia="Arial" w:hAnsi="Arial" w:cs="Arial"/>
          <w:sz w:val="22"/>
          <w:szCs w:val="22"/>
          <w:vertAlign w:val="subscript"/>
        </w:rPr>
        <w:t>50</w:t>
      </w:r>
      <w:r>
        <w:rPr>
          <w:rFonts w:ascii="Arial" w:eastAsia="Arial" w:hAnsi="Arial" w:cs="Arial"/>
          <w:sz w:val="22"/>
          <w:szCs w:val="22"/>
        </w:rPr>
        <w:t xml:space="preserve"> 51.25 times lower than the MIC. Therefore, </w:t>
      </w:r>
      <w:r>
        <w:rPr>
          <w:rFonts w:ascii="Arial" w:eastAsia="Arial" w:hAnsi="Arial" w:cs="Arial"/>
          <w:i/>
          <w:sz w:val="22"/>
          <w:szCs w:val="22"/>
        </w:rPr>
        <w:t xml:space="preserve">C. longa </w:t>
      </w:r>
      <w:r>
        <w:rPr>
          <w:rFonts w:ascii="Arial" w:eastAsia="Arial" w:hAnsi="Arial" w:cs="Arial"/>
          <w:sz w:val="22"/>
          <w:szCs w:val="22"/>
        </w:rPr>
        <w:t>L</w:t>
      </w:r>
      <w:r>
        <w:rPr>
          <w:rFonts w:ascii="Arial" w:eastAsia="Arial" w:hAnsi="Arial" w:cs="Arial"/>
          <w:i/>
          <w:sz w:val="22"/>
          <w:szCs w:val="22"/>
        </w:rPr>
        <w:t>.</w:t>
      </w:r>
      <w:r>
        <w:rPr>
          <w:rFonts w:ascii="Arial" w:eastAsia="Arial" w:hAnsi="Arial" w:cs="Arial"/>
          <w:sz w:val="22"/>
          <w:szCs w:val="22"/>
        </w:rPr>
        <w:t xml:space="preserve"> tincture demonstrated a notable ability to inhibit biofilm formation in the tested yeasts, requiring a much lower concentration to prevent biofilm than to prevent planktonic growth, especially for </w:t>
      </w:r>
      <w:r>
        <w:rPr>
          <w:rFonts w:ascii="Arial" w:eastAsia="Arial" w:hAnsi="Arial" w:cs="Arial"/>
          <w:i/>
          <w:sz w:val="22"/>
          <w:szCs w:val="22"/>
        </w:rPr>
        <w:t xml:space="preserve">C.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and </w:t>
      </w:r>
      <w:r>
        <w:rPr>
          <w:rFonts w:ascii="Arial" w:eastAsia="Arial" w:hAnsi="Arial" w:cs="Arial"/>
          <w:i/>
          <w:sz w:val="22"/>
          <w:szCs w:val="22"/>
        </w:rPr>
        <w:t xml:space="preserve">C. </w:t>
      </w:r>
      <w:proofErr w:type="spellStart"/>
      <w:r>
        <w:rPr>
          <w:rFonts w:ascii="Arial" w:eastAsia="Arial" w:hAnsi="Arial" w:cs="Arial"/>
          <w:i/>
          <w:sz w:val="22"/>
          <w:szCs w:val="22"/>
        </w:rPr>
        <w:t>parapsilosis</w:t>
      </w:r>
      <w:proofErr w:type="spellEnd"/>
      <w:r>
        <w:rPr>
          <w:rFonts w:ascii="Arial" w:eastAsia="Arial" w:hAnsi="Arial" w:cs="Arial"/>
          <w:sz w:val="22"/>
          <w:szCs w:val="22"/>
        </w:rPr>
        <w:t>.</w:t>
      </w:r>
    </w:p>
    <w:p w14:paraId="766C587B"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Previous studies demonstrate that the effect against biofilms was observed with whole extracts of </w:t>
      </w:r>
      <w:r>
        <w:rPr>
          <w:rFonts w:ascii="Arial" w:eastAsia="Arial" w:hAnsi="Arial" w:cs="Arial"/>
          <w:i/>
          <w:sz w:val="22"/>
          <w:szCs w:val="22"/>
        </w:rPr>
        <w:t xml:space="preserve">C. longa </w:t>
      </w:r>
      <w:r>
        <w:rPr>
          <w:rFonts w:ascii="Arial" w:eastAsia="Arial" w:hAnsi="Arial" w:cs="Arial"/>
          <w:sz w:val="22"/>
          <w:szCs w:val="22"/>
        </w:rPr>
        <w:t xml:space="preserve">L., not just pure curcumin, which showed broader antibiofilm activity due to the synergy among compounds [13]. However, although free </w:t>
      </w:r>
      <w:r>
        <w:rPr>
          <w:rFonts w:ascii="Arial" w:eastAsia="Arial" w:hAnsi="Arial" w:cs="Arial"/>
          <w:i/>
          <w:sz w:val="22"/>
          <w:szCs w:val="22"/>
        </w:rPr>
        <w:t>C. longa</w:t>
      </w:r>
      <w:r>
        <w:rPr>
          <w:rFonts w:ascii="Arial" w:eastAsia="Arial" w:hAnsi="Arial" w:cs="Arial"/>
          <w:sz w:val="22"/>
          <w:szCs w:val="22"/>
        </w:rPr>
        <w:t xml:space="preserve"> L. exhibits antibiofilm activity, its effectiveness may be limited in some circumstances due to issues of bioavailability and stability [7, 21]. </w:t>
      </w:r>
    </w:p>
    <w:p w14:paraId="358B4F82" w14:textId="77777777" w:rsidR="00F15FC8" w:rsidRDefault="00887443">
      <w:pPr>
        <w:jc w:val="both"/>
        <w:rPr>
          <w:rFonts w:ascii="Arial" w:eastAsia="Arial" w:hAnsi="Arial" w:cs="Arial"/>
          <w:sz w:val="22"/>
          <w:szCs w:val="22"/>
        </w:rPr>
      </w:pPr>
      <w:r>
        <w:rPr>
          <w:rFonts w:ascii="Arial" w:eastAsia="Arial" w:hAnsi="Arial" w:cs="Arial"/>
          <w:sz w:val="22"/>
          <w:szCs w:val="22"/>
        </w:rPr>
        <w:t>Nonetheles</w:t>
      </w:r>
      <w:r>
        <w:rPr>
          <w:rFonts w:ascii="Arial" w:eastAsia="Arial" w:hAnsi="Arial" w:cs="Arial"/>
          <w:sz w:val="22"/>
          <w:szCs w:val="22"/>
          <w:highlight w:val="white"/>
        </w:rPr>
        <w:t xml:space="preserve">s, </w:t>
      </w:r>
      <w:proofErr w:type="spellStart"/>
      <w:r>
        <w:rPr>
          <w:rFonts w:ascii="Arial" w:eastAsia="Arial" w:hAnsi="Arial" w:cs="Arial"/>
          <w:sz w:val="22"/>
          <w:szCs w:val="22"/>
          <w:highlight w:val="white"/>
        </w:rPr>
        <w:t>Zangirolami</w:t>
      </w:r>
      <w:proofErr w:type="spellEnd"/>
      <w:r>
        <w:rPr>
          <w:rFonts w:ascii="Arial" w:eastAsia="Arial" w:hAnsi="Arial" w:cs="Arial"/>
          <w:sz w:val="22"/>
          <w:szCs w:val="22"/>
          <w:highlight w:val="white"/>
        </w:rPr>
        <w:t xml:space="preserve"> </w:t>
      </w:r>
      <w:r>
        <w:rPr>
          <w:rFonts w:ascii="Arial" w:eastAsia="Arial" w:hAnsi="Arial" w:cs="Arial"/>
          <w:i/>
          <w:sz w:val="22"/>
          <w:szCs w:val="22"/>
          <w:highlight w:val="white"/>
        </w:rPr>
        <w:t>et al</w:t>
      </w:r>
      <w:r>
        <w:rPr>
          <w:rFonts w:ascii="Arial" w:eastAsia="Arial" w:hAnsi="Arial" w:cs="Arial"/>
          <w:sz w:val="22"/>
          <w:szCs w:val="22"/>
          <w:highlight w:val="white"/>
        </w:rPr>
        <w:t xml:space="preserve">. (2022) [4] </w:t>
      </w:r>
      <w:r>
        <w:rPr>
          <w:rFonts w:ascii="Arial" w:eastAsia="Arial" w:hAnsi="Arial" w:cs="Arial"/>
          <w:sz w:val="22"/>
          <w:szCs w:val="22"/>
        </w:rPr>
        <w:t xml:space="preserve">demonstrated that photoactivated curcumin reduces biofilms on catheters, suggesting that combined formulations, such as nanoparticles, can improve efficacy. Furthermore, the antibiofilm activity of curcumin in its isolated form is more potent against certain types of microorganisms, notably Gram-positive bacteria and yeasts like </w:t>
      </w:r>
      <w:r>
        <w:rPr>
          <w:rFonts w:ascii="Arial" w:eastAsia="Arial" w:hAnsi="Arial" w:cs="Arial"/>
          <w:i/>
          <w:sz w:val="22"/>
          <w:szCs w:val="22"/>
        </w:rPr>
        <w:t>Candida albicans</w:t>
      </w:r>
      <w:r>
        <w:rPr>
          <w:rFonts w:ascii="Arial" w:eastAsia="Arial" w:hAnsi="Arial" w:cs="Arial"/>
          <w:sz w:val="22"/>
          <w:szCs w:val="22"/>
        </w:rPr>
        <w:t xml:space="preserve"> [7, 26].</w:t>
      </w:r>
    </w:p>
    <w:p w14:paraId="3C760C90" w14:textId="77777777" w:rsidR="00F15FC8" w:rsidRDefault="00887443">
      <w:pPr>
        <w:jc w:val="both"/>
        <w:rPr>
          <w:rFonts w:ascii="Arial" w:eastAsia="Arial" w:hAnsi="Arial" w:cs="Arial"/>
          <w:sz w:val="22"/>
          <w:szCs w:val="22"/>
          <w:highlight w:val="yellow"/>
        </w:rPr>
      </w:pPr>
      <w:r>
        <w:rPr>
          <w:rFonts w:ascii="Arial" w:eastAsia="Arial" w:hAnsi="Arial" w:cs="Arial"/>
          <w:sz w:val="22"/>
          <w:szCs w:val="22"/>
        </w:rPr>
        <w:t xml:space="preserve">The mechanisms of action of </w:t>
      </w:r>
      <w:r>
        <w:rPr>
          <w:rFonts w:ascii="Arial" w:eastAsia="Arial" w:hAnsi="Arial" w:cs="Arial"/>
          <w:i/>
          <w:sz w:val="22"/>
          <w:szCs w:val="22"/>
        </w:rPr>
        <w:t xml:space="preserve">C. longa </w:t>
      </w:r>
      <w:r>
        <w:rPr>
          <w:rFonts w:ascii="Arial" w:eastAsia="Arial" w:hAnsi="Arial" w:cs="Arial"/>
          <w:sz w:val="22"/>
          <w:szCs w:val="22"/>
        </w:rPr>
        <w:t xml:space="preserve">L. tincture against biofilms have been proposed in three groups: 1) Inhibition of cell adhesion - curcumin and other curcuminoids interfere with adhesion proteins (e.g., </w:t>
      </w:r>
      <w:r>
        <w:rPr>
          <w:rFonts w:ascii="Arial" w:eastAsia="Arial" w:hAnsi="Arial" w:cs="Arial"/>
          <w:i/>
          <w:sz w:val="22"/>
          <w:szCs w:val="22"/>
        </w:rPr>
        <w:t>als3</w:t>
      </w:r>
      <w:r>
        <w:rPr>
          <w:rFonts w:ascii="Arial" w:eastAsia="Arial" w:hAnsi="Arial" w:cs="Arial"/>
          <w:sz w:val="22"/>
          <w:szCs w:val="22"/>
        </w:rPr>
        <w:t xml:space="preserve"> in </w:t>
      </w:r>
      <w:r>
        <w:rPr>
          <w:rFonts w:ascii="Arial" w:eastAsia="Arial" w:hAnsi="Arial" w:cs="Arial"/>
          <w:i/>
          <w:sz w:val="22"/>
          <w:szCs w:val="22"/>
        </w:rPr>
        <w:t>C. albicans</w:t>
      </w:r>
      <w:r>
        <w:rPr>
          <w:rFonts w:ascii="Arial" w:eastAsia="Arial" w:hAnsi="Arial" w:cs="Arial"/>
          <w:sz w:val="22"/>
          <w:szCs w:val="22"/>
        </w:rPr>
        <w:t xml:space="preserve">), reducing yeast attachment to surfaces [21] 2) Degradation of the extracellular matrix (EPS) - volatile oils (turmerone, zingiberene) damage the polymeric matrix of the biofilm, facilitating the </w:t>
      </w:r>
      <w:r>
        <w:rPr>
          <w:rFonts w:ascii="Arial" w:eastAsia="Arial" w:hAnsi="Arial" w:cs="Arial"/>
          <w:sz w:val="22"/>
          <w:szCs w:val="22"/>
        </w:rPr>
        <w:lastRenderedPageBreak/>
        <w:t xml:space="preserve">penetration of antifungal agents [13], and 3) Quorum sensing blockade - curcumin suppresses signaling molecules (e.g., farnesol in </w:t>
      </w:r>
      <w:r>
        <w:rPr>
          <w:rFonts w:ascii="Arial" w:eastAsia="Arial" w:hAnsi="Arial" w:cs="Arial"/>
          <w:i/>
          <w:sz w:val="22"/>
          <w:szCs w:val="22"/>
        </w:rPr>
        <w:t>Candida</w:t>
      </w:r>
      <w:r>
        <w:rPr>
          <w:rFonts w:ascii="Arial" w:eastAsia="Arial" w:hAnsi="Arial" w:cs="Arial"/>
          <w:sz w:val="22"/>
          <w:szCs w:val="22"/>
        </w:rPr>
        <w:t>), which are important for mature biofilm formation [7].</w:t>
      </w:r>
    </w:p>
    <w:p w14:paraId="17CCBE17"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Comparative studies indicate that the ethanolic extract of </w:t>
      </w:r>
      <w:r>
        <w:rPr>
          <w:rFonts w:ascii="Arial" w:eastAsia="Arial" w:hAnsi="Arial" w:cs="Arial"/>
          <w:i/>
          <w:sz w:val="22"/>
          <w:szCs w:val="22"/>
        </w:rPr>
        <w:t>C. longa</w:t>
      </w:r>
      <w:r>
        <w:rPr>
          <w:rFonts w:ascii="Arial" w:eastAsia="Arial" w:hAnsi="Arial" w:cs="Arial"/>
          <w:sz w:val="22"/>
          <w:szCs w:val="22"/>
        </w:rPr>
        <w:t xml:space="preserve"> L. exhibits superior performance compared to aqueous extracts, although mature </w:t>
      </w:r>
      <w:r>
        <w:rPr>
          <w:rFonts w:ascii="Arial" w:eastAsia="Arial" w:hAnsi="Arial" w:cs="Arial"/>
          <w:i/>
          <w:sz w:val="22"/>
          <w:szCs w:val="22"/>
        </w:rPr>
        <w:t>Candida</w:t>
      </w:r>
      <w:r>
        <w:rPr>
          <w:rFonts w:ascii="Arial" w:eastAsia="Arial" w:hAnsi="Arial" w:cs="Arial"/>
          <w:sz w:val="22"/>
          <w:szCs w:val="22"/>
        </w:rPr>
        <w:t xml:space="preserve"> biofilms have shown resistance. These properties underpin the investigation into the use of </w:t>
      </w:r>
      <w:r>
        <w:rPr>
          <w:rFonts w:ascii="Arial" w:eastAsia="Arial" w:hAnsi="Arial" w:cs="Arial"/>
          <w:i/>
          <w:sz w:val="22"/>
          <w:szCs w:val="22"/>
        </w:rPr>
        <w:t xml:space="preserve">C. longa </w:t>
      </w:r>
      <w:r>
        <w:rPr>
          <w:rFonts w:ascii="Arial" w:eastAsia="Arial" w:hAnsi="Arial" w:cs="Arial"/>
          <w:sz w:val="22"/>
          <w:szCs w:val="22"/>
        </w:rPr>
        <w:t xml:space="preserve">L. extract in the development of antimicrobial formulations, such as mouthwashes for the treatment of oral candidiasis and natural preserving </w:t>
      </w:r>
      <w:proofErr w:type="spellStart"/>
      <w:r>
        <w:rPr>
          <w:rFonts w:ascii="Arial" w:eastAsia="Arial" w:hAnsi="Arial" w:cs="Arial"/>
          <w:sz w:val="22"/>
          <w:szCs w:val="22"/>
        </w:rPr>
        <w:t>agentes</w:t>
      </w:r>
      <w:proofErr w:type="spellEnd"/>
      <w:r>
        <w:rPr>
          <w:rFonts w:ascii="Arial" w:eastAsia="Arial" w:hAnsi="Arial" w:cs="Arial"/>
          <w:sz w:val="22"/>
          <w:szCs w:val="22"/>
        </w:rPr>
        <w:t xml:space="preserve"> [27] </w:t>
      </w:r>
    </w:p>
    <w:p w14:paraId="24A540AA" w14:textId="77777777" w:rsidR="00F15FC8" w:rsidRDefault="00887443">
      <w:pPr>
        <w:jc w:val="both"/>
        <w:rPr>
          <w:rFonts w:ascii="Arial" w:eastAsia="Arial" w:hAnsi="Arial" w:cs="Arial"/>
          <w:b/>
          <w:smallCaps/>
          <w:sz w:val="22"/>
          <w:szCs w:val="22"/>
        </w:rPr>
      </w:pPr>
      <w:r>
        <w:rPr>
          <w:rFonts w:ascii="Arial" w:eastAsia="Arial" w:hAnsi="Arial" w:cs="Arial"/>
          <w:sz w:val="22"/>
          <w:szCs w:val="22"/>
        </w:rPr>
        <w:t xml:space="preserve">Although biofilm inhibitory activity varies significantly with some experimental characteristics, such as the target microorganism, applied concentrations, and the presence of other techniques, our results demonstrated that </w:t>
      </w:r>
      <w:r>
        <w:rPr>
          <w:rFonts w:ascii="Arial" w:eastAsia="Arial" w:hAnsi="Arial" w:cs="Arial"/>
          <w:i/>
          <w:sz w:val="22"/>
          <w:szCs w:val="22"/>
        </w:rPr>
        <w:t>C. longa</w:t>
      </w:r>
      <w:r>
        <w:rPr>
          <w:rFonts w:ascii="Arial" w:eastAsia="Arial" w:hAnsi="Arial" w:cs="Arial"/>
          <w:sz w:val="22"/>
          <w:szCs w:val="22"/>
        </w:rPr>
        <w:t xml:space="preserve"> L. is promising against </w:t>
      </w:r>
      <w:r>
        <w:rPr>
          <w:rFonts w:ascii="Arial" w:eastAsia="Arial" w:hAnsi="Arial" w:cs="Arial"/>
          <w:i/>
          <w:sz w:val="22"/>
          <w:szCs w:val="22"/>
        </w:rPr>
        <w:t>Candida</w:t>
      </w:r>
      <w:r>
        <w:rPr>
          <w:rFonts w:ascii="Arial" w:eastAsia="Arial" w:hAnsi="Arial" w:cs="Arial"/>
          <w:sz w:val="22"/>
          <w:szCs w:val="22"/>
        </w:rPr>
        <w:t xml:space="preserve"> biofilms, especially for non-albicans species [20].</w:t>
      </w:r>
    </w:p>
    <w:p w14:paraId="72AE7818" w14:textId="77777777" w:rsidR="00F15FC8" w:rsidRDefault="00F15FC8">
      <w:pPr>
        <w:pBdr>
          <w:top w:val="nil"/>
          <w:left w:val="nil"/>
          <w:bottom w:val="nil"/>
          <w:right w:val="nil"/>
          <w:between w:val="nil"/>
        </w:pBdr>
        <w:jc w:val="both"/>
        <w:rPr>
          <w:rFonts w:ascii="Arial" w:eastAsia="Arial" w:hAnsi="Arial" w:cs="Arial"/>
          <w:color w:val="000000"/>
        </w:rPr>
      </w:pPr>
    </w:p>
    <w:p w14:paraId="2A4235B8" w14:textId="77777777" w:rsidR="00F15FC8" w:rsidRDefault="008874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w:t>
      </w:r>
      <w:commentRangeStart w:id="10"/>
      <w:r>
        <w:rPr>
          <w:rFonts w:ascii="Arial" w:eastAsia="Arial" w:hAnsi="Arial" w:cs="Arial"/>
          <w:b/>
          <w:smallCaps/>
          <w:color w:val="000000"/>
          <w:sz w:val="22"/>
          <w:szCs w:val="22"/>
        </w:rPr>
        <w:t>Conclusion</w:t>
      </w:r>
    </w:p>
    <w:p w14:paraId="49139734" w14:textId="77777777" w:rsidR="00F15FC8" w:rsidRDefault="00F15FC8">
      <w:pPr>
        <w:keepNext/>
        <w:pBdr>
          <w:top w:val="nil"/>
          <w:left w:val="nil"/>
          <w:bottom w:val="nil"/>
          <w:right w:val="nil"/>
          <w:between w:val="nil"/>
        </w:pBdr>
        <w:jc w:val="both"/>
        <w:rPr>
          <w:rFonts w:ascii="Arial" w:eastAsia="Arial" w:hAnsi="Arial" w:cs="Arial"/>
          <w:b/>
          <w:smallCaps/>
          <w:sz w:val="22"/>
          <w:szCs w:val="22"/>
        </w:rPr>
      </w:pPr>
    </w:p>
    <w:p w14:paraId="0F9C8B0C"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hydroalcoholic tincture of </w:t>
      </w:r>
      <w:r>
        <w:rPr>
          <w:rFonts w:ascii="Arial" w:eastAsia="Arial" w:hAnsi="Arial" w:cs="Arial"/>
          <w:i/>
          <w:sz w:val="22"/>
          <w:szCs w:val="22"/>
        </w:rPr>
        <w:t xml:space="preserve">Curcuma longa </w:t>
      </w:r>
      <w:r>
        <w:rPr>
          <w:rFonts w:ascii="Arial" w:eastAsia="Arial" w:hAnsi="Arial" w:cs="Arial"/>
          <w:sz w:val="22"/>
          <w:szCs w:val="22"/>
        </w:rPr>
        <w:t>L</w:t>
      </w:r>
      <w:r>
        <w:rPr>
          <w:rFonts w:ascii="Arial" w:eastAsia="Arial" w:hAnsi="Arial" w:cs="Arial"/>
          <w:i/>
          <w:sz w:val="22"/>
          <w:szCs w:val="22"/>
        </w:rPr>
        <w:t>.</w:t>
      </w:r>
      <w:r>
        <w:rPr>
          <w:rFonts w:ascii="Arial" w:eastAsia="Arial" w:hAnsi="Arial" w:cs="Arial"/>
          <w:sz w:val="22"/>
          <w:szCs w:val="22"/>
        </w:rPr>
        <w:t xml:space="preserve"> demonstrated antifungal and anti-biofilm activity against a panel of clinically relevant standard </w:t>
      </w:r>
      <w:r>
        <w:rPr>
          <w:rFonts w:ascii="Arial" w:eastAsia="Arial" w:hAnsi="Arial" w:cs="Arial"/>
          <w:i/>
          <w:sz w:val="22"/>
          <w:szCs w:val="22"/>
        </w:rPr>
        <w:t>Candida</w:t>
      </w:r>
      <w:r>
        <w:rPr>
          <w:rFonts w:ascii="Arial" w:eastAsia="Arial" w:hAnsi="Arial" w:cs="Arial"/>
          <w:sz w:val="22"/>
          <w:szCs w:val="22"/>
        </w:rPr>
        <w:t xml:space="preserve"> strains. Our key findings show that the tincture exhibits fungistatic and fungicidal activity at concentrations ranging from 45.36 to 362.88 mg.mL</w:t>
      </w:r>
      <w:r>
        <w:rPr>
          <w:rFonts w:ascii="Arial" w:eastAsia="Arial" w:hAnsi="Arial" w:cs="Arial"/>
          <w:sz w:val="22"/>
          <w:szCs w:val="22"/>
          <w:vertAlign w:val="superscript"/>
        </w:rPr>
        <w:t>-</w:t>
      </w:r>
      <w:r>
        <w:rPr>
          <w:rFonts w:ascii="Arial" w:eastAsia="Arial" w:hAnsi="Arial" w:cs="Arial"/>
          <w:sz w:val="22"/>
          <w:szCs w:val="22"/>
        </w:rPr>
        <w:t xml:space="preserve">¹. We observed that the tincture was more effective in inhibiting biofilm formation, with values 51.25 times higher compared to its activity against planktonic cells for </w:t>
      </w:r>
      <w:r>
        <w:rPr>
          <w:rFonts w:ascii="Arial" w:eastAsia="Arial" w:hAnsi="Arial" w:cs="Arial"/>
          <w:i/>
          <w:sz w:val="22"/>
          <w:szCs w:val="22"/>
        </w:rPr>
        <w:t xml:space="preserve">C.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and </w:t>
      </w:r>
      <w:r>
        <w:rPr>
          <w:rFonts w:ascii="Arial" w:eastAsia="Arial" w:hAnsi="Arial" w:cs="Arial"/>
          <w:i/>
          <w:sz w:val="22"/>
          <w:szCs w:val="22"/>
        </w:rPr>
        <w:t xml:space="preserve">C. </w:t>
      </w:r>
      <w:proofErr w:type="spellStart"/>
      <w:r>
        <w:rPr>
          <w:rFonts w:ascii="Arial" w:eastAsia="Arial" w:hAnsi="Arial" w:cs="Arial"/>
          <w:i/>
          <w:sz w:val="22"/>
          <w:szCs w:val="22"/>
        </w:rPr>
        <w:t>parapsilosis</w:t>
      </w:r>
      <w:proofErr w:type="spellEnd"/>
      <w:r>
        <w:rPr>
          <w:rFonts w:ascii="Arial" w:eastAsia="Arial" w:hAnsi="Arial" w:cs="Arial"/>
          <w:sz w:val="22"/>
          <w:szCs w:val="22"/>
        </w:rPr>
        <w:t>.</w:t>
      </w:r>
    </w:p>
    <w:p w14:paraId="038F0715" w14:textId="77777777" w:rsidR="00F15FC8" w:rsidRDefault="00887443">
      <w:pPr>
        <w:jc w:val="both"/>
        <w:rPr>
          <w:rFonts w:ascii="Arial" w:eastAsia="Arial" w:hAnsi="Arial" w:cs="Arial"/>
          <w:sz w:val="22"/>
          <w:szCs w:val="22"/>
        </w:rPr>
      </w:pPr>
      <w:r>
        <w:rPr>
          <w:rFonts w:ascii="Arial" w:eastAsia="Arial" w:hAnsi="Arial" w:cs="Arial"/>
          <w:sz w:val="22"/>
          <w:szCs w:val="22"/>
        </w:rPr>
        <w:t>The difference between MIC and MBIC</w:t>
      </w:r>
      <w:r>
        <w:rPr>
          <w:rFonts w:ascii="Arial" w:eastAsia="Arial" w:hAnsi="Arial" w:cs="Arial"/>
          <w:sz w:val="22"/>
          <w:szCs w:val="22"/>
          <w:vertAlign w:val="subscript"/>
        </w:rPr>
        <w:t>50</w:t>
      </w:r>
      <w:r>
        <w:rPr>
          <w:rFonts w:ascii="Arial" w:eastAsia="Arial" w:hAnsi="Arial" w:cs="Arial"/>
          <w:sz w:val="22"/>
          <w:szCs w:val="22"/>
        </w:rPr>
        <w:t xml:space="preserve"> values highlights the effective activity in the initial stages of biofilm development, likely through inhibition of cell adhesion and quorum sensing, rather than merely exerting a general cytotoxic effect. The superior performance of the whole tincture, compared to findings in the literature using pure curcumin, underscores the crucial role of synergistic interactions among curcuminoids, volatile oils, and other secondary metabolites present in the full-spectrum extract.</w:t>
      </w:r>
    </w:p>
    <w:p w14:paraId="210F5B31"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In conclusion, the </w:t>
      </w:r>
      <w:r>
        <w:rPr>
          <w:rFonts w:ascii="Arial" w:eastAsia="Arial" w:hAnsi="Arial" w:cs="Arial"/>
          <w:i/>
          <w:sz w:val="22"/>
          <w:szCs w:val="22"/>
        </w:rPr>
        <w:t>Curcuma longa</w:t>
      </w:r>
      <w:r>
        <w:rPr>
          <w:rFonts w:ascii="Arial" w:eastAsia="Arial" w:hAnsi="Arial" w:cs="Arial"/>
          <w:sz w:val="22"/>
          <w:szCs w:val="22"/>
        </w:rPr>
        <w:t xml:space="preserve"> L. tincture may represent a promising </w:t>
      </w:r>
      <w:proofErr w:type="spellStart"/>
      <w:r>
        <w:rPr>
          <w:rFonts w:ascii="Arial" w:eastAsia="Arial" w:hAnsi="Arial" w:cs="Arial"/>
          <w:sz w:val="22"/>
          <w:szCs w:val="22"/>
        </w:rPr>
        <w:t>phytotherapeutic</w:t>
      </w:r>
      <w:proofErr w:type="spellEnd"/>
      <w:r>
        <w:rPr>
          <w:rFonts w:ascii="Arial" w:eastAsia="Arial" w:hAnsi="Arial" w:cs="Arial"/>
          <w:sz w:val="22"/>
          <w:szCs w:val="22"/>
        </w:rPr>
        <w:t xml:space="preserve"> for the management of biofilm-associated </w:t>
      </w:r>
      <w:r>
        <w:rPr>
          <w:rFonts w:ascii="Arial" w:eastAsia="Arial" w:hAnsi="Arial" w:cs="Arial"/>
          <w:i/>
          <w:sz w:val="22"/>
          <w:szCs w:val="22"/>
        </w:rPr>
        <w:t>Candida</w:t>
      </w:r>
      <w:r>
        <w:rPr>
          <w:rFonts w:ascii="Arial" w:eastAsia="Arial" w:hAnsi="Arial" w:cs="Arial"/>
          <w:sz w:val="22"/>
          <w:szCs w:val="22"/>
        </w:rPr>
        <w:t xml:space="preserve"> yeast infections. Its effectiveness against non-</w:t>
      </w:r>
      <w:r>
        <w:rPr>
          <w:rFonts w:ascii="Arial" w:eastAsia="Arial" w:hAnsi="Arial" w:cs="Arial"/>
          <w:i/>
          <w:sz w:val="22"/>
          <w:szCs w:val="22"/>
        </w:rPr>
        <w:t>albicans</w:t>
      </w:r>
      <w:r>
        <w:rPr>
          <w:rFonts w:ascii="Arial" w:eastAsia="Arial" w:hAnsi="Arial" w:cs="Arial"/>
          <w:sz w:val="22"/>
          <w:szCs w:val="22"/>
        </w:rPr>
        <w:t xml:space="preserve"> species, which are often less susceptible to conventional antifungals, indicates its potential in the context of antifungal treatments. Future research should validate our findings in animal models, verify synergy with conventional antifungal drugs, and guide the development of optimized delivery systems to improve the bioavailability and stability of its active compounds.</w:t>
      </w:r>
      <w:commentRangeEnd w:id="10"/>
      <w:r w:rsidR="00BD381C">
        <w:rPr>
          <w:rStyle w:val="CommentReference"/>
          <w:rFonts w:ascii="Times New Roman" w:hAnsi="Times New Roman"/>
          <w:rtl/>
          <w:lang w:val="nb-NO" w:eastAsia="nb-NO"/>
        </w:rPr>
        <w:commentReference w:id="10"/>
      </w:r>
    </w:p>
    <w:p w14:paraId="652A20DE" w14:textId="77777777" w:rsidR="00F15FC8" w:rsidRDefault="00F15FC8">
      <w:pPr>
        <w:pBdr>
          <w:top w:val="nil"/>
          <w:left w:val="nil"/>
          <w:bottom w:val="nil"/>
          <w:right w:val="nil"/>
          <w:between w:val="nil"/>
        </w:pBdr>
        <w:jc w:val="both"/>
        <w:rPr>
          <w:rFonts w:ascii="Arial" w:eastAsia="Arial" w:hAnsi="Arial" w:cs="Arial"/>
          <w:color w:val="000000"/>
        </w:rPr>
      </w:pPr>
    </w:p>
    <w:p w14:paraId="0C229B42" w14:textId="77777777" w:rsidR="00F15FC8" w:rsidRDefault="00887443">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Consent</w:t>
      </w:r>
    </w:p>
    <w:p w14:paraId="26AAEF5F" w14:textId="77777777" w:rsidR="00F15FC8" w:rsidRDefault="00887443">
      <w:pPr>
        <w:keepNext/>
        <w:pBdr>
          <w:top w:val="nil"/>
          <w:left w:val="nil"/>
          <w:bottom w:val="nil"/>
          <w:right w:val="nil"/>
          <w:between w:val="nil"/>
        </w:pBdr>
        <w:jc w:val="both"/>
        <w:rPr>
          <w:rFonts w:ascii="Arial" w:eastAsia="Arial" w:hAnsi="Arial" w:cs="Arial"/>
        </w:rPr>
      </w:pPr>
      <w:r>
        <w:rPr>
          <w:rFonts w:ascii="Arial" w:eastAsia="Arial" w:hAnsi="Arial" w:cs="Arial"/>
        </w:rPr>
        <w:t>Not applicable.</w:t>
      </w:r>
    </w:p>
    <w:p w14:paraId="0ACB9FA2" w14:textId="77777777" w:rsidR="005072BB" w:rsidRDefault="005072BB">
      <w:pPr>
        <w:keepNext/>
        <w:pBdr>
          <w:top w:val="nil"/>
          <w:left w:val="nil"/>
          <w:bottom w:val="nil"/>
          <w:right w:val="nil"/>
          <w:between w:val="nil"/>
        </w:pBdr>
        <w:jc w:val="both"/>
        <w:rPr>
          <w:rFonts w:ascii="Arial" w:eastAsia="Arial" w:hAnsi="Arial" w:cs="Arial"/>
        </w:rPr>
      </w:pPr>
    </w:p>
    <w:p w14:paraId="6F87C656" w14:textId="77777777" w:rsidR="005072BB" w:rsidRPr="005072BB" w:rsidRDefault="005072BB" w:rsidP="005072BB">
      <w:pPr>
        <w:spacing w:after="200" w:line="276" w:lineRule="auto"/>
        <w:jc w:val="both"/>
        <w:outlineLvl w:val="0"/>
        <w:rPr>
          <w:rFonts w:ascii="Arial" w:eastAsiaTheme="minorEastAsia" w:hAnsi="Arial" w:cs="Arial"/>
          <w:sz w:val="22"/>
          <w:szCs w:val="22"/>
          <w:lang w:val="en-GB" w:eastAsia="en-GB"/>
        </w:rPr>
      </w:pPr>
      <w:r w:rsidRPr="005072BB">
        <w:rPr>
          <w:rFonts w:ascii="Arial" w:eastAsiaTheme="minorEastAsia" w:hAnsi="Arial" w:cs="Arial"/>
          <w:b/>
          <w:bCs/>
          <w:sz w:val="22"/>
          <w:szCs w:val="22"/>
          <w:lang w:val="en-GB" w:eastAsia="en-GB"/>
        </w:rPr>
        <w:t>COMPETING INTERESTS DISCLAIMER:</w:t>
      </w:r>
    </w:p>
    <w:p w14:paraId="46D0C9F4" w14:textId="77777777" w:rsidR="005072BB" w:rsidRPr="005072BB" w:rsidRDefault="005072BB" w:rsidP="005072BB">
      <w:pPr>
        <w:spacing w:after="200" w:line="276" w:lineRule="auto"/>
        <w:rPr>
          <w:rFonts w:asciiTheme="minorHAnsi" w:eastAsiaTheme="minorEastAsia" w:hAnsiTheme="minorHAnsi" w:cstheme="minorBidi"/>
          <w:sz w:val="22"/>
          <w:szCs w:val="22"/>
          <w:lang w:val="en-GB" w:eastAsia="en-GB"/>
        </w:rPr>
      </w:pPr>
      <w:r w:rsidRPr="005072BB">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2E06118" w14:textId="77777777" w:rsidR="005072BB" w:rsidRPr="005072BB" w:rsidRDefault="005072BB" w:rsidP="005072BB">
      <w:pPr>
        <w:spacing w:after="200" w:line="276" w:lineRule="auto"/>
        <w:rPr>
          <w:rFonts w:asciiTheme="minorHAnsi" w:eastAsiaTheme="minorEastAsia" w:hAnsiTheme="minorHAnsi" w:cstheme="minorBidi"/>
          <w:sz w:val="22"/>
          <w:szCs w:val="22"/>
          <w:lang w:val="en-GB" w:eastAsia="en-GB"/>
        </w:rPr>
      </w:pPr>
    </w:p>
    <w:p w14:paraId="04F9AC31" w14:textId="77777777" w:rsidR="005072BB" w:rsidRPr="005072BB" w:rsidRDefault="005072BB" w:rsidP="005072BB">
      <w:pPr>
        <w:spacing w:after="200" w:line="276" w:lineRule="auto"/>
        <w:rPr>
          <w:rFonts w:asciiTheme="minorHAnsi" w:eastAsiaTheme="minorEastAsia" w:hAnsiTheme="minorHAnsi" w:cstheme="minorBidi"/>
          <w:sz w:val="22"/>
          <w:szCs w:val="22"/>
          <w:lang w:val="en-GB" w:eastAsia="en-GB"/>
        </w:rPr>
      </w:pPr>
    </w:p>
    <w:p w14:paraId="3A40376D" w14:textId="77777777" w:rsidR="005072BB" w:rsidRDefault="005072BB">
      <w:pPr>
        <w:keepNext/>
        <w:pBdr>
          <w:top w:val="nil"/>
          <w:left w:val="nil"/>
          <w:bottom w:val="nil"/>
          <w:right w:val="nil"/>
          <w:between w:val="nil"/>
        </w:pBdr>
        <w:jc w:val="both"/>
        <w:rPr>
          <w:rFonts w:ascii="Arial" w:eastAsia="Arial" w:hAnsi="Arial" w:cs="Arial"/>
          <w:color w:val="000000"/>
        </w:rPr>
      </w:pPr>
    </w:p>
    <w:p w14:paraId="06ADD26D" w14:textId="77777777" w:rsidR="00F15FC8" w:rsidRDefault="00F15FC8">
      <w:pPr>
        <w:keepNext/>
        <w:pBdr>
          <w:top w:val="nil"/>
          <w:left w:val="nil"/>
          <w:bottom w:val="nil"/>
          <w:right w:val="nil"/>
          <w:between w:val="nil"/>
        </w:pBdr>
        <w:jc w:val="both"/>
        <w:rPr>
          <w:rFonts w:ascii="Arial" w:eastAsia="Arial" w:hAnsi="Arial" w:cs="Arial"/>
          <w:color w:val="000000"/>
        </w:rPr>
      </w:pPr>
    </w:p>
    <w:p w14:paraId="556E5AF1" w14:textId="77777777" w:rsidR="00F15FC8" w:rsidRDefault="00887443">
      <w:pPr>
        <w:keepNext/>
        <w:pBdr>
          <w:top w:val="nil"/>
          <w:left w:val="nil"/>
          <w:bottom w:val="nil"/>
          <w:right w:val="nil"/>
          <w:between w:val="nil"/>
        </w:pBdr>
        <w:jc w:val="both"/>
        <w:rPr>
          <w:rFonts w:ascii="Arial" w:eastAsia="Arial" w:hAnsi="Arial" w:cs="Arial"/>
          <w:b/>
          <w:smallCaps/>
          <w:sz w:val="22"/>
          <w:szCs w:val="22"/>
        </w:rPr>
      </w:pPr>
      <w:commentRangeStart w:id="11"/>
      <w:r>
        <w:rPr>
          <w:rFonts w:ascii="Arial" w:eastAsia="Arial" w:hAnsi="Arial" w:cs="Arial"/>
          <w:b/>
          <w:smallCaps/>
          <w:sz w:val="22"/>
          <w:szCs w:val="22"/>
        </w:rPr>
        <w:t xml:space="preserve">References </w:t>
      </w:r>
      <w:commentRangeEnd w:id="11"/>
      <w:r w:rsidR="00BD381C">
        <w:rPr>
          <w:rStyle w:val="CommentReference"/>
          <w:rFonts w:ascii="Times New Roman" w:hAnsi="Times New Roman"/>
          <w:rtl/>
          <w:lang w:val="nb-NO" w:eastAsia="nb-NO"/>
        </w:rPr>
        <w:commentReference w:id="11"/>
      </w:r>
    </w:p>
    <w:p w14:paraId="05A3A400" w14:textId="77777777" w:rsidR="00F15FC8" w:rsidRDefault="00F15FC8">
      <w:pPr>
        <w:keepNext/>
        <w:pBdr>
          <w:top w:val="nil"/>
          <w:left w:val="nil"/>
          <w:bottom w:val="nil"/>
          <w:right w:val="nil"/>
          <w:between w:val="nil"/>
        </w:pBdr>
        <w:jc w:val="both"/>
        <w:rPr>
          <w:rFonts w:ascii="Arial" w:eastAsia="Arial" w:hAnsi="Arial" w:cs="Arial"/>
          <w:b/>
          <w:smallCaps/>
          <w:color w:val="000000"/>
          <w:sz w:val="22"/>
          <w:szCs w:val="22"/>
        </w:rPr>
      </w:pPr>
    </w:p>
    <w:p w14:paraId="71D73C4F" w14:textId="77777777" w:rsidR="00F15FC8" w:rsidRDefault="00887443">
      <w:pPr>
        <w:numPr>
          <w:ilvl w:val="0"/>
          <w:numId w:val="1"/>
        </w:numPr>
        <w:jc w:val="both"/>
        <w:rPr>
          <w:rFonts w:ascii="Arial" w:eastAsia="Arial" w:hAnsi="Arial" w:cs="Arial"/>
        </w:rPr>
      </w:pPr>
      <w:r>
        <w:rPr>
          <w:rFonts w:ascii="Arial" w:eastAsia="Arial" w:hAnsi="Arial" w:cs="Arial"/>
        </w:rPr>
        <w:t>Farhan, M.S, Al-</w:t>
      </w:r>
      <w:proofErr w:type="spellStart"/>
      <w:r>
        <w:rPr>
          <w:rFonts w:ascii="Arial" w:eastAsia="Arial" w:hAnsi="Arial" w:cs="Arial"/>
        </w:rPr>
        <w:t>Kadmy</w:t>
      </w:r>
      <w:proofErr w:type="spellEnd"/>
      <w:r>
        <w:rPr>
          <w:rFonts w:ascii="Arial" w:eastAsia="Arial" w:hAnsi="Arial" w:cs="Arial"/>
        </w:rPr>
        <w:t xml:space="preserve">, I.M.S., Aziz, S.N., Ahmad, M., </w:t>
      </w:r>
      <w:proofErr w:type="spellStart"/>
      <w:r>
        <w:rPr>
          <w:rFonts w:ascii="Arial" w:eastAsia="Arial" w:hAnsi="Arial" w:cs="Arial"/>
        </w:rPr>
        <w:t>Khit</w:t>
      </w:r>
      <w:proofErr w:type="spellEnd"/>
      <w:r>
        <w:rPr>
          <w:rFonts w:ascii="Arial" w:eastAsia="Arial" w:hAnsi="Arial" w:cs="Arial"/>
        </w:rPr>
        <w:t xml:space="preserve">, I.A., Al-Shamari, A.A., et al. Review of virulence factors in </w:t>
      </w:r>
      <w:r>
        <w:rPr>
          <w:rFonts w:ascii="Arial" w:eastAsia="Arial" w:hAnsi="Arial" w:cs="Arial"/>
          <w:i/>
        </w:rPr>
        <w:t>Candida</w:t>
      </w:r>
      <w:r>
        <w:rPr>
          <w:rFonts w:ascii="Arial" w:eastAsia="Arial" w:hAnsi="Arial" w:cs="Arial"/>
        </w:rPr>
        <w:t xml:space="preserve">. J Res Appl Sci </w:t>
      </w:r>
      <w:proofErr w:type="spellStart"/>
      <w:r>
        <w:rPr>
          <w:rFonts w:ascii="Arial" w:eastAsia="Arial" w:hAnsi="Arial" w:cs="Arial"/>
        </w:rPr>
        <w:t>Biotechnol</w:t>
      </w:r>
      <w:proofErr w:type="spellEnd"/>
      <w:r>
        <w:rPr>
          <w:rFonts w:ascii="Arial" w:eastAsia="Arial" w:hAnsi="Arial" w:cs="Arial"/>
        </w:rPr>
        <w:t>. 2024;3(2):75-82. doi:10.55544/jrasb.3.2.15.</w:t>
      </w:r>
    </w:p>
    <w:p w14:paraId="69319842" w14:textId="77777777" w:rsidR="00F15FC8" w:rsidRDefault="00887443">
      <w:pPr>
        <w:numPr>
          <w:ilvl w:val="0"/>
          <w:numId w:val="1"/>
        </w:numPr>
        <w:jc w:val="both"/>
        <w:rPr>
          <w:rFonts w:ascii="Arial" w:eastAsia="Arial" w:hAnsi="Arial" w:cs="Arial"/>
        </w:rPr>
      </w:pPr>
      <w:r>
        <w:rPr>
          <w:rFonts w:ascii="Arial" w:eastAsia="Arial" w:hAnsi="Arial" w:cs="Arial"/>
        </w:rPr>
        <w:t xml:space="preserve">Branco, J., Miranda, I.M., Rodrigues, A.G. </w:t>
      </w:r>
      <w:r>
        <w:rPr>
          <w:rFonts w:ascii="Arial" w:eastAsia="Arial" w:hAnsi="Arial" w:cs="Arial"/>
          <w:i/>
        </w:rPr>
        <w:t>Candida</w:t>
      </w:r>
      <w:r>
        <w:rPr>
          <w:rFonts w:ascii="Arial" w:eastAsia="Arial" w:hAnsi="Arial" w:cs="Arial"/>
        </w:rPr>
        <w:t xml:space="preserve"> </w:t>
      </w:r>
      <w:proofErr w:type="spellStart"/>
      <w:r>
        <w:rPr>
          <w:rFonts w:ascii="Arial" w:eastAsia="Arial" w:hAnsi="Arial" w:cs="Arial"/>
          <w:i/>
        </w:rPr>
        <w:t>parapsilosis</w:t>
      </w:r>
      <w:proofErr w:type="spellEnd"/>
      <w:r>
        <w:rPr>
          <w:rFonts w:ascii="Arial" w:eastAsia="Arial" w:hAnsi="Arial" w:cs="Arial"/>
        </w:rPr>
        <w:t xml:space="preserve"> virulence and antifungal resistance mechanisms: a comprehensive review of key determinants. J Fungi (Basel). 2023; 9(1):80. doi:10.3390/jof9010080.</w:t>
      </w:r>
    </w:p>
    <w:p w14:paraId="2EAB1C08" w14:textId="77777777" w:rsidR="00F15FC8" w:rsidRDefault="00887443">
      <w:pPr>
        <w:numPr>
          <w:ilvl w:val="0"/>
          <w:numId w:val="1"/>
        </w:numPr>
        <w:jc w:val="both"/>
        <w:rPr>
          <w:rFonts w:ascii="Arial" w:eastAsia="Arial" w:hAnsi="Arial" w:cs="Arial"/>
        </w:rPr>
      </w:pPr>
      <w:r>
        <w:rPr>
          <w:rFonts w:ascii="Arial" w:eastAsia="Arial" w:hAnsi="Arial" w:cs="Arial"/>
        </w:rPr>
        <w:t xml:space="preserve">Ahamad, I., Arora, I., </w:t>
      </w:r>
      <w:proofErr w:type="spellStart"/>
      <w:r>
        <w:rPr>
          <w:rFonts w:ascii="Arial" w:eastAsia="Arial" w:hAnsi="Arial" w:cs="Arial"/>
        </w:rPr>
        <w:t>Nayik</w:t>
      </w:r>
      <w:proofErr w:type="spellEnd"/>
      <w:r>
        <w:rPr>
          <w:rFonts w:ascii="Arial" w:eastAsia="Arial" w:hAnsi="Arial" w:cs="Arial"/>
        </w:rPr>
        <w:t xml:space="preserve">, G.A., Khan, M.A., Prakash, C., </w:t>
      </w:r>
      <w:proofErr w:type="spellStart"/>
      <w:r>
        <w:rPr>
          <w:rFonts w:ascii="Arial" w:eastAsia="Arial" w:hAnsi="Arial" w:cs="Arial"/>
        </w:rPr>
        <w:t>Althobaiti</w:t>
      </w:r>
      <w:proofErr w:type="spellEnd"/>
      <w:r>
        <w:rPr>
          <w:rFonts w:ascii="Arial" w:eastAsia="Arial" w:hAnsi="Arial" w:cs="Arial"/>
        </w:rPr>
        <w:t xml:space="preserve">, N.A., et al. Antibiofilm activities of biogenic silver nanoparticles against </w:t>
      </w:r>
      <w:r>
        <w:rPr>
          <w:rFonts w:ascii="Arial" w:eastAsia="Arial" w:hAnsi="Arial" w:cs="Arial"/>
          <w:i/>
        </w:rPr>
        <w:t>Candida albicans</w:t>
      </w:r>
      <w:r>
        <w:rPr>
          <w:rFonts w:ascii="Arial" w:eastAsia="Arial" w:hAnsi="Arial" w:cs="Arial"/>
        </w:rPr>
        <w:t>. Front Microbiol. 2022; 12:741493. doi:10.3389/fmicb.2021.741493.</w:t>
      </w:r>
    </w:p>
    <w:p w14:paraId="755F22A3"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Zangirolami</w:t>
      </w:r>
      <w:proofErr w:type="spellEnd"/>
      <w:r>
        <w:rPr>
          <w:rFonts w:ascii="Arial" w:eastAsia="Arial" w:hAnsi="Arial" w:cs="Arial"/>
        </w:rPr>
        <w:t xml:space="preserve">, A.C., Oliveira, L.V., Oliveira, B.G.R.B., Oliveira, T.M.B.M., Dias, H.B., Bagnato, V.S., et al. Impact of light-activated curcumin and curcuminoids films for catheters decontamination. Colloids Surf B </w:t>
      </w:r>
      <w:proofErr w:type="spellStart"/>
      <w:r>
        <w:rPr>
          <w:rFonts w:ascii="Arial" w:eastAsia="Arial" w:hAnsi="Arial" w:cs="Arial"/>
        </w:rPr>
        <w:t>Biointerfaces</w:t>
      </w:r>
      <w:proofErr w:type="spellEnd"/>
      <w:r>
        <w:rPr>
          <w:rFonts w:ascii="Arial" w:eastAsia="Arial" w:hAnsi="Arial" w:cs="Arial"/>
        </w:rPr>
        <w:t>. 2022;213:112386. doi:10.1016/j.colsurfb.2022.112386.</w:t>
      </w:r>
    </w:p>
    <w:p w14:paraId="5DC0CF35" w14:textId="77777777" w:rsidR="00F15FC8" w:rsidRDefault="00887443">
      <w:pPr>
        <w:numPr>
          <w:ilvl w:val="0"/>
          <w:numId w:val="1"/>
        </w:numPr>
        <w:jc w:val="both"/>
        <w:rPr>
          <w:rFonts w:ascii="Arial" w:eastAsia="Arial" w:hAnsi="Arial" w:cs="Arial"/>
        </w:rPr>
      </w:pPr>
      <w:r>
        <w:rPr>
          <w:rFonts w:ascii="Arial" w:eastAsia="Arial" w:hAnsi="Arial" w:cs="Arial"/>
        </w:rPr>
        <w:t xml:space="preserve">Khatoon, Z., McTiernan, C.D., Suuronen, E.J., Mah, T.F., Alarcon, E.I. Bacterial biofilm formation on implantable devices and approaches to its treatment and prevention. </w:t>
      </w:r>
      <w:proofErr w:type="spellStart"/>
      <w:r>
        <w:rPr>
          <w:rFonts w:ascii="Arial" w:eastAsia="Arial" w:hAnsi="Arial" w:cs="Arial"/>
        </w:rPr>
        <w:t>Heliyon</w:t>
      </w:r>
      <w:proofErr w:type="spellEnd"/>
      <w:r>
        <w:rPr>
          <w:rFonts w:ascii="Arial" w:eastAsia="Arial" w:hAnsi="Arial" w:cs="Arial"/>
        </w:rPr>
        <w:t>. 2018;4(12):e01067. doi:10.1016/j.heliyon.2018.e01067.</w:t>
      </w:r>
    </w:p>
    <w:p w14:paraId="48DA182B"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Teanpaisan</w:t>
      </w:r>
      <w:proofErr w:type="spellEnd"/>
      <w:r>
        <w:rPr>
          <w:rFonts w:ascii="Arial" w:eastAsia="Arial" w:hAnsi="Arial" w:cs="Arial"/>
        </w:rPr>
        <w:t xml:space="preserve">, R., </w:t>
      </w:r>
      <w:proofErr w:type="spellStart"/>
      <w:r>
        <w:rPr>
          <w:rFonts w:ascii="Arial" w:eastAsia="Arial" w:hAnsi="Arial" w:cs="Arial"/>
        </w:rPr>
        <w:t>Kawsud</w:t>
      </w:r>
      <w:proofErr w:type="spellEnd"/>
      <w:r>
        <w:rPr>
          <w:rFonts w:ascii="Arial" w:eastAsia="Arial" w:hAnsi="Arial" w:cs="Arial"/>
        </w:rPr>
        <w:t xml:space="preserve">, P., </w:t>
      </w:r>
      <w:proofErr w:type="spellStart"/>
      <w:r>
        <w:rPr>
          <w:rFonts w:ascii="Arial" w:eastAsia="Arial" w:hAnsi="Arial" w:cs="Arial"/>
        </w:rPr>
        <w:t>Pahumunto</w:t>
      </w:r>
      <w:proofErr w:type="spellEnd"/>
      <w:r>
        <w:rPr>
          <w:rFonts w:ascii="Arial" w:eastAsia="Arial" w:hAnsi="Arial" w:cs="Arial"/>
        </w:rPr>
        <w:t xml:space="preserve">, N., </w:t>
      </w:r>
      <w:proofErr w:type="spellStart"/>
      <w:r>
        <w:rPr>
          <w:rFonts w:ascii="Arial" w:eastAsia="Arial" w:hAnsi="Arial" w:cs="Arial"/>
        </w:rPr>
        <w:t>Puripattanavong</w:t>
      </w:r>
      <w:proofErr w:type="spellEnd"/>
      <w:r>
        <w:rPr>
          <w:rFonts w:ascii="Arial" w:eastAsia="Arial" w:hAnsi="Arial" w:cs="Arial"/>
        </w:rPr>
        <w:t xml:space="preserve">, J. Screening for antibacterial and antibiofilm activity in Thai medicinal plant extracts against oral microorganisms. J </w:t>
      </w:r>
      <w:proofErr w:type="spellStart"/>
      <w:r>
        <w:rPr>
          <w:rFonts w:ascii="Arial" w:eastAsia="Arial" w:hAnsi="Arial" w:cs="Arial"/>
        </w:rPr>
        <w:t>Tradit</w:t>
      </w:r>
      <w:proofErr w:type="spellEnd"/>
      <w:r>
        <w:rPr>
          <w:rFonts w:ascii="Arial" w:eastAsia="Arial" w:hAnsi="Arial" w:cs="Arial"/>
        </w:rPr>
        <w:t xml:space="preserve"> Complement Med. 2017;7(2):172-7. doi:10.1016/j.jtcme.2016.06.007.</w:t>
      </w:r>
    </w:p>
    <w:p w14:paraId="71DE0362" w14:textId="77777777" w:rsidR="00F15FC8" w:rsidRDefault="00887443">
      <w:pPr>
        <w:numPr>
          <w:ilvl w:val="0"/>
          <w:numId w:val="1"/>
        </w:numPr>
        <w:jc w:val="both"/>
        <w:rPr>
          <w:rFonts w:ascii="Arial" w:eastAsia="Arial" w:hAnsi="Arial" w:cs="Arial"/>
        </w:rPr>
      </w:pPr>
      <w:r>
        <w:rPr>
          <w:rFonts w:ascii="Arial" w:eastAsia="Arial" w:hAnsi="Arial" w:cs="Arial"/>
        </w:rPr>
        <w:t xml:space="preserve">Tamfu, A.N., Ceylan, O., Kucukaydin, S., Duru, M.E., Ozturk, M. HPLC-DAD phenolic profiles, antibiofilm, anti-quorum sensing and enzyme inhibitory potentials of </w:t>
      </w:r>
      <w:r>
        <w:rPr>
          <w:rFonts w:ascii="Arial" w:eastAsia="Arial" w:hAnsi="Arial" w:cs="Arial"/>
          <w:i/>
        </w:rPr>
        <w:t>Camellia sinensis</w:t>
      </w:r>
      <w:r>
        <w:rPr>
          <w:rFonts w:ascii="Arial" w:eastAsia="Arial" w:hAnsi="Arial" w:cs="Arial"/>
        </w:rPr>
        <w:t xml:space="preserve"> (L.) O. Kuntze and </w:t>
      </w:r>
      <w:r>
        <w:rPr>
          <w:rFonts w:ascii="Arial" w:eastAsia="Arial" w:hAnsi="Arial" w:cs="Arial"/>
          <w:i/>
        </w:rPr>
        <w:t>Curcuma longa</w:t>
      </w:r>
      <w:r>
        <w:rPr>
          <w:rFonts w:ascii="Arial" w:eastAsia="Arial" w:hAnsi="Arial" w:cs="Arial"/>
        </w:rPr>
        <w:t xml:space="preserve"> L. LWT. 2020;133:110150. doi:10.1016/j.lwt.2020.110150.</w:t>
      </w:r>
    </w:p>
    <w:p w14:paraId="6D34B7AA" w14:textId="77777777" w:rsidR="00F15FC8" w:rsidRDefault="00887443">
      <w:pPr>
        <w:numPr>
          <w:ilvl w:val="0"/>
          <w:numId w:val="1"/>
        </w:numPr>
        <w:jc w:val="both"/>
        <w:rPr>
          <w:rFonts w:ascii="Arial" w:eastAsia="Arial" w:hAnsi="Arial" w:cs="Arial"/>
        </w:rPr>
      </w:pPr>
      <w:r>
        <w:rPr>
          <w:rFonts w:ascii="Arial" w:eastAsia="Arial" w:hAnsi="Arial" w:cs="Arial"/>
        </w:rPr>
        <w:t xml:space="preserve">Aggarwal, B.B., Harikumar, K.B. Potential therapeutic effects of curcumin, the anti-inflammatory agent, against neurodegenerative, cardiovascular, pulmonary, metabolic, autoimmune and neoplastic diseases. Int J </w:t>
      </w:r>
      <w:proofErr w:type="spellStart"/>
      <w:r>
        <w:rPr>
          <w:rFonts w:ascii="Arial" w:eastAsia="Arial" w:hAnsi="Arial" w:cs="Arial"/>
        </w:rPr>
        <w:t>Biochem</w:t>
      </w:r>
      <w:proofErr w:type="spellEnd"/>
      <w:r>
        <w:rPr>
          <w:rFonts w:ascii="Arial" w:eastAsia="Arial" w:hAnsi="Arial" w:cs="Arial"/>
        </w:rPr>
        <w:t xml:space="preserve"> Cell Biol. 2009; 41(1):40-59.</w:t>
      </w:r>
    </w:p>
    <w:p w14:paraId="1A76F8B6" w14:textId="77777777" w:rsidR="00F15FC8" w:rsidRDefault="00887443">
      <w:pPr>
        <w:numPr>
          <w:ilvl w:val="0"/>
          <w:numId w:val="1"/>
        </w:numPr>
        <w:jc w:val="both"/>
        <w:rPr>
          <w:rFonts w:ascii="Arial" w:eastAsia="Arial" w:hAnsi="Arial" w:cs="Arial"/>
        </w:rPr>
      </w:pPr>
      <w:proofErr w:type="spellStart"/>
      <w:r>
        <w:rPr>
          <w:rFonts w:ascii="Arial" w:eastAsia="Arial" w:hAnsi="Arial" w:cs="Arial"/>
          <w:highlight w:val="white"/>
        </w:rPr>
        <w:t>Brasil</w:t>
      </w:r>
      <w:proofErr w:type="spellEnd"/>
      <w:r>
        <w:rPr>
          <w:rFonts w:ascii="Arial" w:eastAsia="Arial" w:hAnsi="Arial" w:cs="Arial"/>
          <w:highlight w:val="white"/>
        </w:rPr>
        <w:t xml:space="preserve">. </w:t>
      </w:r>
      <w:proofErr w:type="spellStart"/>
      <w:r>
        <w:rPr>
          <w:rFonts w:ascii="Arial" w:eastAsia="Arial" w:hAnsi="Arial" w:cs="Arial"/>
          <w:highlight w:val="white"/>
        </w:rPr>
        <w:t>Ministério</w:t>
      </w:r>
      <w:proofErr w:type="spellEnd"/>
      <w:r>
        <w:rPr>
          <w:rFonts w:ascii="Arial" w:eastAsia="Arial" w:hAnsi="Arial" w:cs="Arial"/>
          <w:highlight w:val="white"/>
        </w:rPr>
        <w:t xml:space="preserve"> da </w:t>
      </w:r>
      <w:proofErr w:type="spellStart"/>
      <w:r>
        <w:rPr>
          <w:rFonts w:ascii="Arial" w:eastAsia="Arial" w:hAnsi="Arial" w:cs="Arial"/>
          <w:highlight w:val="white"/>
        </w:rPr>
        <w:t>Saúde</w:t>
      </w:r>
      <w:proofErr w:type="spellEnd"/>
      <w:r>
        <w:rPr>
          <w:rFonts w:ascii="Arial" w:eastAsia="Arial" w:hAnsi="Arial" w:cs="Arial"/>
          <w:highlight w:val="white"/>
        </w:rPr>
        <w:t xml:space="preserve">. </w:t>
      </w:r>
      <w:proofErr w:type="spellStart"/>
      <w:r>
        <w:rPr>
          <w:rFonts w:ascii="Arial" w:eastAsia="Arial" w:hAnsi="Arial" w:cs="Arial"/>
          <w:highlight w:val="white"/>
        </w:rPr>
        <w:t>Informações</w:t>
      </w:r>
      <w:proofErr w:type="spellEnd"/>
      <w:r>
        <w:rPr>
          <w:rFonts w:ascii="Arial" w:eastAsia="Arial" w:hAnsi="Arial" w:cs="Arial"/>
          <w:highlight w:val="white"/>
        </w:rPr>
        <w:t xml:space="preserve"> </w:t>
      </w:r>
      <w:proofErr w:type="spellStart"/>
      <w:r>
        <w:rPr>
          <w:rFonts w:ascii="Arial" w:eastAsia="Arial" w:hAnsi="Arial" w:cs="Arial"/>
          <w:highlight w:val="white"/>
        </w:rPr>
        <w:t>Sistematizadas</w:t>
      </w:r>
      <w:proofErr w:type="spellEnd"/>
      <w:r>
        <w:rPr>
          <w:rFonts w:ascii="Arial" w:eastAsia="Arial" w:hAnsi="Arial" w:cs="Arial"/>
          <w:highlight w:val="white"/>
        </w:rPr>
        <w:t xml:space="preserve"> da </w:t>
      </w:r>
      <w:proofErr w:type="spellStart"/>
      <w:r>
        <w:rPr>
          <w:rFonts w:ascii="Arial" w:eastAsia="Arial" w:hAnsi="Arial" w:cs="Arial"/>
          <w:highlight w:val="white"/>
        </w:rPr>
        <w:t>Relação</w:t>
      </w:r>
      <w:proofErr w:type="spellEnd"/>
      <w:r>
        <w:rPr>
          <w:rFonts w:ascii="Arial" w:eastAsia="Arial" w:hAnsi="Arial" w:cs="Arial"/>
          <w:highlight w:val="white"/>
        </w:rPr>
        <w:t xml:space="preserve"> Nacional de </w:t>
      </w:r>
      <w:proofErr w:type="spellStart"/>
      <w:r>
        <w:rPr>
          <w:rFonts w:ascii="Arial" w:eastAsia="Arial" w:hAnsi="Arial" w:cs="Arial"/>
          <w:highlight w:val="white"/>
        </w:rPr>
        <w:t>Plantas</w:t>
      </w:r>
      <w:proofErr w:type="spellEnd"/>
      <w:r>
        <w:rPr>
          <w:rFonts w:ascii="Arial" w:eastAsia="Arial" w:hAnsi="Arial" w:cs="Arial"/>
          <w:highlight w:val="white"/>
        </w:rPr>
        <w:t xml:space="preserve"> </w:t>
      </w:r>
      <w:proofErr w:type="spellStart"/>
      <w:r>
        <w:rPr>
          <w:rFonts w:ascii="Arial" w:eastAsia="Arial" w:hAnsi="Arial" w:cs="Arial"/>
          <w:highlight w:val="white"/>
        </w:rPr>
        <w:t>Medicinais</w:t>
      </w:r>
      <w:proofErr w:type="spellEnd"/>
      <w:r>
        <w:rPr>
          <w:rFonts w:ascii="Arial" w:eastAsia="Arial" w:hAnsi="Arial" w:cs="Arial"/>
          <w:highlight w:val="white"/>
        </w:rPr>
        <w:t xml:space="preserve"> de Interesse </w:t>
      </w:r>
      <w:proofErr w:type="spellStart"/>
      <w:r>
        <w:rPr>
          <w:rFonts w:ascii="Arial" w:eastAsia="Arial" w:hAnsi="Arial" w:cs="Arial"/>
          <w:highlight w:val="white"/>
        </w:rPr>
        <w:t>ao</w:t>
      </w:r>
      <w:proofErr w:type="spellEnd"/>
      <w:r>
        <w:rPr>
          <w:rFonts w:ascii="Arial" w:eastAsia="Arial" w:hAnsi="Arial" w:cs="Arial"/>
          <w:highlight w:val="white"/>
        </w:rPr>
        <w:t xml:space="preserve"> SUS: Curcuma longa L., </w:t>
      </w:r>
      <w:proofErr w:type="spellStart"/>
      <w:r>
        <w:rPr>
          <w:rFonts w:ascii="Arial" w:eastAsia="Arial" w:hAnsi="Arial" w:cs="Arial"/>
          <w:highlight w:val="white"/>
        </w:rPr>
        <w:t>Zingiberaceae</w:t>
      </w:r>
      <w:proofErr w:type="spellEnd"/>
      <w:r>
        <w:rPr>
          <w:rFonts w:ascii="Arial" w:eastAsia="Arial" w:hAnsi="Arial" w:cs="Arial"/>
          <w:highlight w:val="white"/>
        </w:rPr>
        <w:t xml:space="preserve"> – </w:t>
      </w:r>
      <w:proofErr w:type="spellStart"/>
      <w:r>
        <w:rPr>
          <w:rFonts w:ascii="Arial" w:eastAsia="Arial" w:hAnsi="Arial" w:cs="Arial"/>
          <w:highlight w:val="white"/>
        </w:rPr>
        <w:t>Açafrão</w:t>
      </w:r>
      <w:proofErr w:type="spellEnd"/>
      <w:r>
        <w:rPr>
          <w:rFonts w:ascii="Arial" w:eastAsia="Arial" w:hAnsi="Arial" w:cs="Arial"/>
          <w:highlight w:val="white"/>
        </w:rPr>
        <w:t>-da-terra [</w:t>
      </w:r>
      <w:proofErr w:type="spellStart"/>
      <w:r>
        <w:rPr>
          <w:rFonts w:ascii="Arial" w:eastAsia="Arial" w:hAnsi="Arial" w:cs="Arial"/>
          <w:highlight w:val="white"/>
        </w:rPr>
        <w:t>recurso</w:t>
      </w:r>
      <w:proofErr w:type="spellEnd"/>
      <w:r>
        <w:rPr>
          <w:rFonts w:ascii="Arial" w:eastAsia="Arial" w:hAnsi="Arial" w:cs="Arial"/>
          <w:highlight w:val="white"/>
        </w:rPr>
        <w:t xml:space="preserve"> </w:t>
      </w:r>
      <w:proofErr w:type="spellStart"/>
      <w:r>
        <w:rPr>
          <w:rFonts w:ascii="Arial" w:eastAsia="Arial" w:hAnsi="Arial" w:cs="Arial"/>
          <w:highlight w:val="white"/>
        </w:rPr>
        <w:t>eletrônico</w:t>
      </w:r>
      <w:proofErr w:type="spellEnd"/>
      <w:r>
        <w:rPr>
          <w:rFonts w:ascii="Arial" w:eastAsia="Arial" w:hAnsi="Arial" w:cs="Arial"/>
          <w:highlight w:val="white"/>
        </w:rPr>
        <w:t xml:space="preserve">]. Brasília: </w:t>
      </w:r>
      <w:proofErr w:type="spellStart"/>
      <w:r>
        <w:rPr>
          <w:rFonts w:ascii="Arial" w:eastAsia="Arial" w:hAnsi="Arial" w:cs="Arial"/>
          <w:highlight w:val="white"/>
        </w:rPr>
        <w:t>Ministério</w:t>
      </w:r>
      <w:proofErr w:type="spellEnd"/>
      <w:r>
        <w:rPr>
          <w:rFonts w:ascii="Arial" w:eastAsia="Arial" w:hAnsi="Arial" w:cs="Arial"/>
          <w:highlight w:val="white"/>
        </w:rPr>
        <w:t xml:space="preserve"> da </w:t>
      </w:r>
      <w:proofErr w:type="spellStart"/>
      <w:r>
        <w:rPr>
          <w:rFonts w:ascii="Arial" w:eastAsia="Arial" w:hAnsi="Arial" w:cs="Arial"/>
          <w:highlight w:val="white"/>
        </w:rPr>
        <w:t>Saúde</w:t>
      </w:r>
      <w:proofErr w:type="spellEnd"/>
      <w:r>
        <w:rPr>
          <w:rFonts w:ascii="Arial" w:eastAsia="Arial" w:hAnsi="Arial" w:cs="Arial"/>
          <w:highlight w:val="white"/>
        </w:rPr>
        <w:t>; 2020 [</w:t>
      </w:r>
      <w:proofErr w:type="spellStart"/>
      <w:r>
        <w:rPr>
          <w:rFonts w:ascii="Arial" w:eastAsia="Arial" w:hAnsi="Arial" w:cs="Arial"/>
          <w:highlight w:val="white"/>
        </w:rPr>
        <w:t>acesso</w:t>
      </w:r>
      <w:proofErr w:type="spellEnd"/>
      <w:r>
        <w:rPr>
          <w:rFonts w:ascii="Arial" w:eastAsia="Arial" w:hAnsi="Arial" w:cs="Arial"/>
          <w:highlight w:val="white"/>
        </w:rPr>
        <w:t xml:space="preserve"> </w:t>
      </w:r>
      <w:proofErr w:type="spellStart"/>
      <w:r>
        <w:rPr>
          <w:rFonts w:ascii="Arial" w:eastAsia="Arial" w:hAnsi="Arial" w:cs="Arial"/>
          <w:highlight w:val="white"/>
        </w:rPr>
        <w:t>em</w:t>
      </w:r>
      <w:proofErr w:type="spellEnd"/>
      <w:r>
        <w:rPr>
          <w:rFonts w:ascii="Arial" w:eastAsia="Arial" w:hAnsi="Arial" w:cs="Arial"/>
          <w:highlight w:val="white"/>
        </w:rPr>
        <w:t xml:space="preserve"> 23 out 2023]. 182 p. </w:t>
      </w:r>
      <w:proofErr w:type="spellStart"/>
      <w:r>
        <w:rPr>
          <w:rFonts w:ascii="Arial" w:eastAsia="Arial" w:hAnsi="Arial" w:cs="Arial"/>
          <w:highlight w:val="white"/>
        </w:rPr>
        <w:t>Disponível</w:t>
      </w:r>
      <w:proofErr w:type="spellEnd"/>
      <w:r>
        <w:rPr>
          <w:rFonts w:ascii="Arial" w:eastAsia="Arial" w:hAnsi="Arial" w:cs="Arial"/>
          <w:highlight w:val="white"/>
        </w:rPr>
        <w:t xml:space="preserve"> </w:t>
      </w:r>
      <w:proofErr w:type="spellStart"/>
      <w:r>
        <w:rPr>
          <w:rFonts w:ascii="Arial" w:eastAsia="Arial" w:hAnsi="Arial" w:cs="Arial"/>
          <w:highlight w:val="white"/>
        </w:rPr>
        <w:t>em</w:t>
      </w:r>
      <w:proofErr w:type="spellEnd"/>
      <w:r>
        <w:rPr>
          <w:rFonts w:ascii="Arial" w:eastAsia="Arial" w:hAnsi="Arial" w:cs="Arial"/>
          <w:highlight w:val="white"/>
        </w:rPr>
        <w:t>: http://bvsms.saude.gov.br/bvs/publicacoes/informacoes_sistematizadas_relacao_curcuma_longa.pdf</w:t>
      </w:r>
    </w:p>
    <w:p w14:paraId="61300CA5" w14:textId="77777777" w:rsidR="00F15FC8" w:rsidRDefault="00887443">
      <w:pPr>
        <w:numPr>
          <w:ilvl w:val="0"/>
          <w:numId w:val="1"/>
        </w:numPr>
        <w:jc w:val="both"/>
        <w:rPr>
          <w:rFonts w:ascii="Arial" w:eastAsia="Arial" w:hAnsi="Arial" w:cs="Arial"/>
        </w:rPr>
      </w:pPr>
      <w:r>
        <w:rPr>
          <w:rFonts w:ascii="Arial" w:eastAsia="Arial" w:hAnsi="Arial" w:cs="Arial"/>
        </w:rPr>
        <w:t xml:space="preserve">Barankevicz, G.B. Poder </w:t>
      </w:r>
      <w:proofErr w:type="spellStart"/>
      <w:r>
        <w:rPr>
          <w:rFonts w:ascii="Arial" w:eastAsia="Arial" w:hAnsi="Arial" w:cs="Arial"/>
        </w:rPr>
        <w:t>antioxidante</w:t>
      </w:r>
      <w:proofErr w:type="spellEnd"/>
      <w:r>
        <w:rPr>
          <w:rFonts w:ascii="Arial" w:eastAsia="Arial" w:hAnsi="Arial" w:cs="Arial"/>
        </w:rPr>
        <w:t xml:space="preserve"> da </w:t>
      </w:r>
      <w:proofErr w:type="spellStart"/>
      <w:r>
        <w:rPr>
          <w:rFonts w:ascii="Arial" w:eastAsia="Arial" w:hAnsi="Arial" w:cs="Arial"/>
        </w:rPr>
        <w:t>cúrcuma</w:t>
      </w:r>
      <w:proofErr w:type="spellEnd"/>
      <w:r>
        <w:rPr>
          <w:rFonts w:ascii="Arial" w:eastAsia="Arial" w:hAnsi="Arial" w:cs="Arial"/>
        </w:rPr>
        <w:t xml:space="preserve"> (</w:t>
      </w:r>
      <w:r>
        <w:rPr>
          <w:rFonts w:ascii="Arial" w:eastAsia="Arial" w:hAnsi="Arial" w:cs="Arial"/>
          <w:i/>
        </w:rPr>
        <w:t>Curcuma longa</w:t>
      </w:r>
      <w:r>
        <w:rPr>
          <w:rFonts w:ascii="Arial" w:eastAsia="Arial" w:hAnsi="Arial" w:cs="Arial"/>
        </w:rPr>
        <w:t xml:space="preserve"> L.) </w:t>
      </w:r>
      <w:proofErr w:type="spellStart"/>
      <w:r>
        <w:rPr>
          <w:rFonts w:ascii="Arial" w:eastAsia="Arial" w:hAnsi="Arial" w:cs="Arial"/>
        </w:rPr>
        <w:t>nos</w:t>
      </w:r>
      <w:proofErr w:type="spellEnd"/>
      <w:r>
        <w:rPr>
          <w:rFonts w:ascii="Arial" w:eastAsia="Arial" w:hAnsi="Arial" w:cs="Arial"/>
        </w:rPr>
        <w:t xml:space="preserve"> </w:t>
      </w:r>
      <w:proofErr w:type="spellStart"/>
      <w:r>
        <w:rPr>
          <w:rFonts w:ascii="Arial" w:eastAsia="Arial" w:hAnsi="Arial" w:cs="Arial"/>
        </w:rPr>
        <w:t>parâmetros</w:t>
      </w:r>
      <w:proofErr w:type="spellEnd"/>
      <w:r>
        <w:rPr>
          <w:rFonts w:ascii="Arial" w:eastAsia="Arial" w:hAnsi="Arial" w:cs="Arial"/>
        </w:rPr>
        <w:t xml:space="preserve"> </w:t>
      </w:r>
      <w:proofErr w:type="spellStart"/>
      <w:r>
        <w:rPr>
          <w:rFonts w:ascii="Arial" w:eastAsia="Arial" w:hAnsi="Arial" w:cs="Arial"/>
        </w:rPr>
        <w:t>neuroquímicos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ratos</w:t>
      </w:r>
      <w:proofErr w:type="spellEnd"/>
      <w:r>
        <w:rPr>
          <w:rFonts w:ascii="Arial" w:eastAsia="Arial" w:hAnsi="Arial" w:cs="Arial"/>
        </w:rPr>
        <w:t xml:space="preserve"> </w:t>
      </w:r>
      <w:proofErr w:type="spellStart"/>
      <w:r>
        <w:rPr>
          <w:rFonts w:ascii="Arial" w:eastAsia="Arial" w:hAnsi="Arial" w:cs="Arial"/>
        </w:rPr>
        <w:t>induzidos</w:t>
      </w:r>
      <w:proofErr w:type="spellEnd"/>
      <w:r>
        <w:rPr>
          <w:rFonts w:ascii="Arial" w:eastAsia="Arial" w:hAnsi="Arial" w:cs="Arial"/>
        </w:rPr>
        <w:t xml:space="preserve"> à </w:t>
      </w:r>
      <w:proofErr w:type="spellStart"/>
      <w:r>
        <w:rPr>
          <w:rFonts w:ascii="Arial" w:eastAsia="Arial" w:hAnsi="Arial" w:cs="Arial"/>
        </w:rPr>
        <w:t>depressão</w:t>
      </w:r>
      <w:proofErr w:type="spellEnd"/>
      <w:r>
        <w:rPr>
          <w:rFonts w:ascii="Arial" w:eastAsia="Arial" w:hAnsi="Arial" w:cs="Arial"/>
        </w:rPr>
        <w:t xml:space="preserve"> [</w:t>
      </w:r>
      <w:proofErr w:type="spellStart"/>
      <w:r>
        <w:rPr>
          <w:rFonts w:ascii="Arial" w:eastAsia="Arial" w:hAnsi="Arial" w:cs="Arial"/>
        </w:rPr>
        <w:t>tese</w:t>
      </w:r>
      <w:proofErr w:type="spellEnd"/>
      <w:r>
        <w:rPr>
          <w:rFonts w:ascii="Arial" w:eastAsia="Arial" w:hAnsi="Arial" w:cs="Arial"/>
        </w:rPr>
        <w:t xml:space="preserve">]. São Paulo: </w:t>
      </w:r>
      <w:proofErr w:type="spellStart"/>
      <w:r>
        <w:rPr>
          <w:rFonts w:ascii="Arial" w:eastAsia="Arial" w:hAnsi="Arial" w:cs="Arial"/>
        </w:rPr>
        <w:t>Universidade</w:t>
      </w:r>
      <w:proofErr w:type="spellEnd"/>
      <w:r>
        <w:rPr>
          <w:rFonts w:ascii="Arial" w:eastAsia="Arial" w:hAnsi="Arial" w:cs="Arial"/>
        </w:rPr>
        <w:t xml:space="preserve"> de São Paulo; 2015 [</w:t>
      </w:r>
      <w:proofErr w:type="spellStart"/>
      <w:r>
        <w:rPr>
          <w:rFonts w:ascii="Arial" w:eastAsia="Arial" w:hAnsi="Arial" w:cs="Arial"/>
        </w:rPr>
        <w:t>citado</w:t>
      </w:r>
      <w:proofErr w:type="spellEnd"/>
      <w:r>
        <w:rPr>
          <w:rFonts w:ascii="Arial" w:eastAsia="Arial" w:hAnsi="Arial" w:cs="Arial"/>
        </w:rPr>
        <w:t xml:space="preserve"> 2024 Out 27].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https://doi.org/10.11606/D.11.2015.tde-12032015-152200.</w:t>
      </w:r>
    </w:p>
    <w:p w14:paraId="0B620E6E" w14:textId="77777777" w:rsidR="00F15FC8" w:rsidRDefault="00887443">
      <w:pPr>
        <w:numPr>
          <w:ilvl w:val="0"/>
          <w:numId w:val="1"/>
        </w:numPr>
        <w:jc w:val="both"/>
        <w:rPr>
          <w:rFonts w:ascii="Arial" w:eastAsia="Arial" w:hAnsi="Arial" w:cs="Arial"/>
        </w:rPr>
      </w:pPr>
      <w:r>
        <w:rPr>
          <w:rFonts w:ascii="Arial" w:eastAsia="Arial" w:hAnsi="Arial" w:cs="Arial"/>
        </w:rPr>
        <w:t xml:space="preserve">Devassy, J.G., Nwachukwu, I.D., Jones, P.J.H. Curcumin and cancer: barriers to obtaining a health claim. </w:t>
      </w:r>
      <w:proofErr w:type="spellStart"/>
      <w:r>
        <w:rPr>
          <w:rFonts w:ascii="Arial" w:eastAsia="Arial" w:hAnsi="Arial" w:cs="Arial"/>
        </w:rPr>
        <w:t>Nutr</w:t>
      </w:r>
      <w:proofErr w:type="spellEnd"/>
      <w:r>
        <w:rPr>
          <w:rFonts w:ascii="Arial" w:eastAsia="Arial" w:hAnsi="Arial" w:cs="Arial"/>
        </w:rPr>
        <w:t xml:space="preserve"> Rev. 2015;73(3):155-65. doi:10.1093/</w:t>
      </w:r>
      <w:proofErr w:type="spellStart"/>
      <w:r>
        <w:rPr>
          <w:rFonts w:ascii="Arial" w:eastAsia="Arial" w:hAnsi="Arial" w:cs="Arial"/>
        </w:rPr>
        <w:t>nutrit</w:t>
      </w:r>
      <w:proofErr w:type="spellEnd"/>
      <w:r>
        <w:rPr>
          <w:rFonts w:ascii="Arial" w:eastAsia="Arial" w:hAnsi="Arial" w:cs="Arial"/>
        </w:rPr>
        <w:t>/nuu064.</w:t>
      </w:r>
    </w:p>
    <w:p w14:paraId="4BD0486F" w14:textId="77777777" w:rsidR="00F15FC8" w:rsidRDefault="00887443">
      <w:pPr>
        <w:numPr>
          <w:ilvl w:val="0"/>
          <w:numId w:val="1"/>
        </w:numPr>
        <w:jc w:val="both"/>
        <w:rPr>
          <w:rFonts w:ascii="Arial" w:eastAsia="Arial" w:hAnsi="Arial" w:cs="Arial"/>
        </w:rPr>
      </w:pPr>
      <w:r>
        <w:rPr>
          <w:rFonts w:ascii="Arial" w:eastAsia="Arial" w:hAnsi="Arial" w:cs="Arial"/>
        </w:rPr>
        <w:t xml:space="preserve">Jyotirmayee, B., Mahalik, G. A review on selected pharmacological activities of </w:t>
      </w:r>
      <w:r>
        <w:rPr>
          <w:rFonts w:ascii="Arial" w:eastAsia="Arial" w:hAnsi="Arial" w:cs="Arial"/>
          <w:i/>
        </w:rPr>
        <w:t>Curcuma longa</w:t>
      </w:r>
      <w:r>
        <w:rPr>
          <w:rFonts w:ascii="Arial" w:eastAsia="Arial" w:hAnsi="Arial" w:cs="Arial"/>
        </w:rPr>
        <w:t xml:space="preserve"> L. Int J Food Prop. 2022;25(1):1377-98. doi:10.1080/10942912.2022.2082464.</w:t>
      </w:r>
    </w:p>
    <w:p w14:paraId="1077A631" w14:textId="77777777" w:rsidR="00F15FC8" w:rsidRDefault="00887443">
      <w:pPr>
        <w:numPr>
          <w:ilvl w:val="0"/>
          <w:numId w:val="1"/>
        </w:numPr>
        <w:jc w:val="both"/>
        <w:rPr>
          <w:rFonts w:ascii="Arial" w:eastAsia="Arial" w:hAnsi="Arial" w:cs="Arial"/>
        </w:rPr>
      </w:pPr>
      <w:r>
        <w:rPr>
          <w:rFonts w:ascii="Arial" w:eastAsia="Arial" w:hAnsi="Arial" w:cs="Arial"/>
        </w:rPr>
        <w:t xml:space="preserve">Lahiri, D., Nag, M., Sarkar, T., Dutta, B., Ray, R.R. Phytocompounds of </w:t>
      </w:r>
      <w:r>
        <w:rPr>
          <w:rFonts w:ascii="Arial" w:eastAsia="Arial" w:hAnsi="Arial" w:cs="Arial"/>
          <w:i/>
        </w:rPr>
        <w:t>Curcuma longa</w:t>
      </w:r>
      <w:r>
        <w:rPr>
          <w:rFonts w:ascii="Arial" w:eastAsia="Arial" w:hAnsi="Arial" w:cs="Arial"/>
        </w:rPr>
        <w:t xml:space="preserve"> extract are more effective against bacterial biofilm than pure curcumin only: An in-vitro and in-silico analysis. Kuwait J Sci. 2021;48(2). doi:10.48129/kjs.v48i2.8310.</w:t>
      </w:r>
    </w:p>
    <w:p w14:paraId="592F4D70" w14:textId="77777777" w:rsidR="00F15FC8" w:rsidRDefault="00887443">
      <w:pPr>
        <w:numPr>
          <w:ilvl w:val="0"/>
          <w:numId w:val="1"/>
        </w:numPr>
        <w:jc w:val="both"/>
        <w:rPr>
          <w:rFonts w:ascii="Arial" w:eastAsia="Arial" w:hAnsi="Arial" w:cs="Arial"/>
        </w:rPr>
      </w:pPr>
      <w:r>
        <w:rPr>
          <w:rFonts w:ascii="Arial" w:eastAsia="Arial" w:hAnsi="Arial" w:cs="Arial"/>
        </w:rPr>
        <w:lastRenderedPageBreak/>
        <w:t xml:space="preserve">Araújo, C.A.C., Leon, L.L. Biological activities of </w:t>
      </w:r>
      <w:r>
        <w:rPr>
          <w:rFonts w:ascii="Arial" w:eastAsia="Arial" w:hAnsi="Arial" w:cs="Arial"/>
          <w:i/>
        </w:rPr>
        <w:t>Curcuma longa</w:t>
      </w:r>
      <w:r>
        <w:rPr>
          <w:rFonts w:ascii="Arial" w:eastAsia="Arial" w:hAnsi="Arial" w:cs="Arial"/>
        </w:rPr>
        <w:t>. Mem Inst Oswaldo Cruz. 2001;96(5):723-8. doi:10.1590/S0074-02762001000500026.</w:t>
      </w:r>
    </w:p>
    <w:p w14:paraId="06BA9EE7" w14:textId="77777777" w:rsidR="00F15FC8" w:rsidRDefault="00887443">
      <w:pPr>
        <w:numPr>
          <w:ilvl w:val="0"/>
          <w:numId w:val="1"/>
        </w:numPr>
        <w:jc w:val="both"/>
        <w:rPr>
          <w:rFonts w:ascii="Arial" w:eastAsia="Arial" w:hAnsi="Arial" w:cs="Arial"/>
        </w:rPr>
      </w:pPr>
      <w:r>
        <w:rPr>
          <w:rFonts w:ascii="Arial" w:eastAsia="Arial" w:hAnsi="Arial" w:cs="Arial"/>
        </w:rPr>
        <w:t xml:space="preserve">Zayed, S.M., </w:t>
      </w:r>
      <w:proofErr w:type="spellStart"/>
      <w:r>
        <w:rPr>
          <w:rFonts w:ascii="Arial" w:eastAsia="Arial" w:hAnsi="Arial" w:cs="Arial"/>
        </w:rPr>
        <w:t>Aboulwafa</w:t>
      </w:r>
      <w:proofErr w:type="spellEnd"/>
      <w:r>
        <w:rPr>
          <w:rFonts w:ascii="Arial" w:eastAsia="Arial" w:hAnsi="Arial" w:cs="Arial"/>
        </w:rPr>
        <w:t xml:space="preserve">, M.M., Hashem, A.M., Saleh, S,E. Biofilm formation by </w:t>
      </w:r>
      <w:r>
        <w:rPr>
          <w:rFonts w:ascii="Arial" w:eastAsia="Arial" w:hAnsi="Arial" w:cs="Arial"/>
          <w:i/>
        </w:rPr>
        <w:t>Streptococcus mutans</w:t>
      </w:r>
      <w:r>
        <w:rPr>
          <w:rFonts w:ascii="Arial" w:eastAsia="Arial" w:hAnsi="Arial" w:cs="Arial"/>
        </w:rPr>
        <w:t xml:space="preserve"> and its inhibition by green tea extracts. AMB Express. 2021;11(1):73. doi:10.1186/s13568-021-01232-6.</w:t>
      </w:r>
    </w:p>
    <w:p w14:paraId="406EB5E5" w14:textId="77777777" w:rsidR="00F15FC8" w:rsidRDefault="00887443">
      <w:pPr>
        <w:numPr>
          <w:ilvl w:val="0"/>
          <w:numId w:val="1"/>
        </w:numPr>
        <w:jc w:val="both"/>
        <w:rPr>
          <w:rFonts w:ascii="Arial" w:eastAsia="Arial" w:hAnsi="Arial" w:cs="Arial"/>
        </w:rPr>
      </w:pPr>
      <w:r>
        <w:rPr>
          <w:rFonts w:ascii="Arial" w:eastAsia="Arial" w:hAnsi="Arial" w:cs="Arial"/>
        </w:rPr>
        <w:t>Clinical and Laboratory Standards Institute (CLSI). Performance standards for antimicrobial susceptibility testing: informational supplement. 28th ed. Wayne, PA: CLSI; 2018. (Document M100).</w:t>
      </w:r>
    </w:p>
    <w:p w14:paraId="7244F1F2" w14:textId="77777777" w:rsidR="00F15FC8" w:rsidRDefault="00887443">
      <w:pPr>
        <w:numPr>
          <w:ilvl w:val="0"/>
          <w:numId w:val="1"/>
        </w:numPr>
        <w:jc w:val="both"/>
        <w:rPr>
          <w:rFonts w:ascii="Arial" w:eastAsia="Arial" w:hAnsi="Arial" w:cs="Arial"/>
        </w:rPr>
      </w:pPr>
      <w:r>
        <w:rPr>
          <w:rFonts w:ascii="Arial" w:eastAsia="Arial" w:hAnsi="Arial" w:cs="Arial"/>
        </w:rPr>
        <w:t xml:space="preserve">Chao, I.C., Wang, C.M., Li, S.P., Lin, L.G., et al. Simultaneous quantification of three curcuminoids and three volatile components of </w:t>
      </w:r>
      <w:r>
        <w:rPr>
          <w:rFonts w:ascii="Arial" w:eastAsia="Arial" w:hAnsi="Arial" w:cs="Arial"/>
          <w:i/>
        </w:rPr>
        <w:t>Curcuma longa</w:t>
      </w:r>
      <w:r>
        <w:rPr>
          <w:rFonts w:ascii="Arial" w:eastAsia="Arial" w:hAnsi="Arial" w:cs="Arial"/>
        </w:rPr>
        <w:t xml:space="preserve"> using pressurized liquid extraction and high-performance liquid chromatography, Molecules 2018, 23, 1568; doi:10.3390/molecules23071568.</w:t>
      </w:r>
    </w:p>
    <w:p w14:paraId="5A02D65C" w14:textId="77777777" w:rsidR="00F15FC8" w:rsidRDefault="00887443">
      <w:pPr>
        <w:numPr>
          <w:ilvl w:val="0"/>
          <w:numId w:val="1"/>
        </w:numPr>
        <w:jc w:val="both"/>
        <w:rPr>
          <w:rFonts w:ascii="Arial" w:eastAsia="Arial" w:hAnsi="Arial" w:cs="Arial"/>
        </w:rPr>
      </w:pPr>
      <w:r>
        <w:rPr>
          <w:rFonts w:ascii="Arial" w:eastAsia="Arial" w:hAnsi="Arial" w:cs="Arial"/>
        </w:rPr>
        <w:t xml:space="preserve">Sahu, P.K., Panda, J., Kumar, Y.V.V.V.J., Ranjitha, K. A robust RP-HPLC method for determination of turmeric adulteration. Journal of Liquid Chromatography &amp; </w:t>
      </w:r>
      <w:proofErr w:type="spellStart"/>
      <w:r>
        <w:rPr>
          <w:rFonts w:ascii="Arial" w:eastAsia="Arial" w:hAnsi="Arial" w:cs="Arial"/>
        </w:rPr>
        <w:t>RelatedTechnologies</w:t>
      </w:r>
      <w:proofErr w:type="spellEnd"/>
      <w:r>
        <w:rPr>
          <w:rFonts w:ascii="Arial" w:eastAsia="Arial" w:hAnsi="Arial" w:cs="Arial"/>
        </w:rPr>
        <w:t>, 2020, 1-7. https://doi.org/10.1080/10826076.2020.1722162</w:t>
      </w:r>
    </w:p>
    <w:p w14:paraId="39E67498" w14:textId="77777777" w:rsidR="00F15FC8" w:rsidRDefault="00887443">
      <w:pPr>
        <w:numPr>
          <w:ilvl w:val="0"/>
          <w:numId w:val="1"/>
        </w:numPr>
        <w:jc w:val="both"/>
        <w:rPr>
          <w:rFonts w:ascii="Arial" w:eastAsia="Arial" w:hAnsi="Arial" w:cs="Arial"/>
        </w:rPr>
      </w:pPr>
      <w:r>
        <w:rPr>
          <w:rFonts w:ascii="Arial" w:eastAsia="Arial" w:hAnsi="Arial" w:cs="Arial"/>
        </w:rPr>
        <w:t xml:space="preserve">Jurenka, J.S. Anti-inflammatory properties of curcumin, a major constituent of </w:t>
      </w:r>
      <w:r>
        <w:rPr>
          <w:rFonts w:ascii="Arial" w:eastAsia="Arial" w:hAnsi="Arial" w:cs="Arial"/>
          <w:i/>
        </w:rPr>
        <w:t>Curcuma longa</w:t>
      </w:r>
      <w:r>
        <w:rPr>
          <w:rFonts w:ascii="Arial" w:eastAsia="Arial" w:hAnsi="Arial" w:cs="Arial"/>
        </w:rPr>
        <w:t>: a review of preclinical and clinical research. Altern Med Rev. 2009;14(2):141-53.</w:t>
      </w:r>
    </w:p>
    <w:p w14:paraId="5913B7A5" w14:textId="77777777" w:rsidR="00F15FC8" w:rsidRDefault="00887443">
      <w:pPr>
        <w:numPr>
          <w:ilvl w:val="0"/>
          <w:numId w:val="1"/>
        </w:numPr>
        <w:jc w:val="both"/>
        <w:rPr>
          <w:rFonts w:ascii="Arial" w:eastAsia="Arial" w:hAnsi="Arial" w:cs="Arial"/>
        </w:rPr>
      </w:pPr>
      <w:r>
        <w:rPr>
          <w:rFonts w:ascii="Arial" w:eastAsia="Arial" w:hAnsi="Arial" w:cs="Arial"/>
        </w:rPr>
        <w:t xml:space="preserve">Prasad, S., Aggarwal, B.B. Turmeric, the Golden Spice: From Traditional Medicine to Modern Medicine. In: Benzie IFF, Wachtel-Galor S, </w:t>
      </w:r>
      <w:proofErr w:type="spellStart"/>
      <w:r>
        <w:rPr>
          <w:rFonts w:ascii="Arial" w:eastAsia="Arial" w:hAnsi="Arial" w:cs="Arial"/>
        </w:rPr>
        <w:t>editores</w:t>
      </w:r>
      <w:proofErr w:type="spellEnd"/>
      <w:r>
        <w:rPr>
          <w:rFonts w:ascii="Arial" w:eastAsia="Arial" w:hAnsi="Arial" w:cs="Arial"/>
        </w:rPr>
        <w:t>. Herbal Medicine: Biomolecular and Clinical Aspects. 2nd ed. Boca Raton (FL): CRC Press/Taylor &amp; Francis; 2011.</w:t>
      </w:r>
    </w:p>
    <w:p w14:paraId="64791945"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Packiavathy</w:t>
      </w:r>
      <w:proofErr w:type="spellEnd"/>
      <w:r>
        <w:rPr>
          <w:rFonts w:ascii="Arial" w:eastAsia="Arial" w:hAnsi="Arial" w:cs="Arial"/>
        </w:rPr>
        <w:t xml:space="preserve">, I.A.S.V., </w:t>
      </w:r>
      <w:proofErr w:type="spellStart"/>
      <w:r>
        <w:rPr>
          <w:rFonts w:ascii="Arial" w:eastAsia="Arial" w:hAnsi="Arial" w:cs="Arial"/>
        </w:rPr>
        <w:t>Akilandeswari</w:t>
      </w:r>
      <w:proofErr w:type="spellEnd"/>
      <w:r>
        <w:rPr>
          <w:rFonts w:ascii="Arial" w:eastAsia="Arial" w:hAnsi="Arial" w:cs="Arial"/>
        </w:rPr>
        <w:t xml:space="preserve">, P., Musthafa, K.S., Pandian, S.K., Ravi, A.V. Inhibition of biofilm development of </w:t>
      </w:r>
      <w:proofErr w:type="spellStart"/>
      <w:r>
        <w:rPr>
          <w:rFonts w:ascii="Arial" w:eastAsia="Arial" w:hAnsi="Arial" w:cs="Arial"/>
        </w:rPr>
        <w:t>uropathogens</w:t>
      </w:r>
      <w:proofErr w:type="spellEnd"/>
      <w:r>
        <w:rPr>
          <w:rFonts w:ascii="Arial" w:eastAsia="Arial" w:hAnsi="Arial" w:cs="Arial"/>
        </w:rPr>
        <w:t xml:space="preserve"> by curcumin–an anti-quorum sensing agent from </w:t>
      </w:r>
      <w:r>
        <w:rPr>
          <w:rFonts w:ascii="Arial" w:eastAsia="Arial" w:hAnsi="Arial" w:cs="Arial"/>
          <w:i/>
        </w:rPr>
        <w:t>Curcuma longa</w:t>
      </w:r>
      <w:r>
        <w:rPr>
          <w:rFonts w:ascii="Arial" w:eastAsia="Arial" w:hAnsi="Arial" w:cs="Arial"/>
        </w:rPr>
        <w:t>. Food Chem. 2014;148:453-60. doi:10.1016/j.foodchem.2012.08.002.</w:t>
      </w:r>
    </w:p>
    <w:p w14:paraId="14CB4E3A" w14:textId="77777777" w:rsidR="00F15FC8" w:rsidRDefault="00887443">
      <w:pPr>
        <w:numPr>
          <w:ilvl w:val="0"/>
          <w:numId w:val="1"/>
        </w:numPr>
        <w:jc w:val="both"/>
        <w:rPr>
          <w:rFonts w:ascii="Arial" w:eastAsia="Arial" w:hAnsi="Arial" w:cs="Arial"/>
        </w:rPr>
      </w:pPr>
      <w:r>
        <w:rPr>
          <w:rFonts w:ascii="Arial" w:eastAsia="Arial" w:hAnsi="Arial" w:cs="Arial"/>
        </w:rPr>
        <w:t xml:space="preserve">Martins, K.M.C., Silva Júnior, J.I.C., Silva, L.C.N., Silva, R.O., Monteiro, C.A., Farias, I.A.P., et al. </w:t>
      </w:r>
      <w:proofErr w:type="spellStart"/>
      <w:r>
        <w:rPr>
          <w:rFonts w:ascii="Arial" w:eastAsia="Arial" w:hAnsi="Arial" w:cs="Arial"/>
        </w:rPr>
        <w:t>Potencial</w:t>
      </w:r>
      <w:proofErr w:type="spellEnd"/>
      <w:r>
        <w:rPr>
          <w:rFonts w:ascii="Arial" w:eastAsia="Arial" w:hAnsi="Arial" w:cs="Arial"/>
        </w:rPr>
        <w:t xml:space="preserve"> </w:t>
      </w:r>
      <w:proofErr w:type="spellStart"/>
      <w:r>
        <w:rPr>
          <w:rFonts w:ascii="Arial" w:eastAsia="Arial" w:hAnsi="Arial" w:cs="Arial"/>
        </w:rPr>
        <w:t>antifúngico</w:t>
      </w:r>
      <w:proofErr w:type="spellEnd"/>
      <w:r>
        <w:rPr>
          <w:rFonts w:ascii="Arial" w:eastAsia="Arial" w:hAnsi="Arial" w:cs="Arial"/>
        </w:rPr>
        <w:t xml:space="preserve"> e </w:t>
      </w:r>
      <w:proofErr w:type="spellStart"/>
      <w:r>
        <w:rPr>
          <w:rFonts w:ascii="Arial" w:eastAsia="Arial" w:hAnsi="Arial" w:cs="Arial"/>
        </w:rPr>
        <w:t>antibiofilme</w:t>
      </w:r>
      <w:proofErr w:type="spellEnd"/>
      <w:r>
        <w:rPr>
          <w:rFonts w:ascii="Arial" w:eastAsia="Arial" w:hAnsi="Arial" w:cs="Arial"/>
        </w:rPr>
        <w:t xml:space="preserve"> do </w:t>
      </w:r>
      <w:proofErr w:type="spellStart"/>
      <w:r>
        <w:rPr>
          <w:rFonts w:ascii="Arial" w:eastAsia="Arial" w:hAnsi="Arial" w:cs="Arial"/>
        </w:rPr>
        <w:t>extrato</w:t>
      </w:r>
      <w:proofErr w:type="spellEnd"/>
      <w:r>
        <w:rPr>
          <w:rFonts w:ascii="Arial" w:eastAsia="Arial" w:hAnsi="Arial" w:cs="Arial"/>
        </w:rPr>
        <w:t xml:space="preserve"> de </w:t>
      </w:r>
      <w:proofErr w:type="spellStart"/>
      <w:r>
        <w:rPr>
          <w:rFonts w:ascii="Arial" w:eastAsia="Arial" w:hAnsi="Arial" w:cs="Arial"/>
        </w:rPr>
        <w:t>açafrão</w:t>
      </w:r>
      <w:proofErr w:type="spellEnd"/>
      <w:r>
        <w:rPr>
          <w:rFonts w:ascii="Arial" w:eastAsia="Arial" w:hAnsi="Arial" w:cs="Arial"/>
        </w:rPr>
        <w:t>-da-terra (</w:t>
      </w:r>
      <w:r>
        <w:rPr>
          <w:rFonts w:ascii="Arial" w:eastAsia="Arial" w:hAnsi="Arial" w:cs="Arial"/>
          <w:i/>
        </w:rPr>
        <w:t>Curcuma longa</w:t>
      </w:r>
      <w:r>
        <w:rPr>
          <w:rFonts w:ascii="Arial" w:eastAsia="Arial" w:hAnsi="Arial" w:cs="Arial"/>
        </w:rPr>
        <w:t xml:space="preserve"> L.) contra </w:t>
      </w:r>
      <w:r>
        <w:rPr>
          <w:rFonts w:ascii="Arial" w:eastAsia="Arial" w:hAnsi="Arial" w:cs="Arial"/>
          <w:i/>
        </w:rPr>
        <w:t>Candida</w:t>
      </w:r>
      <w:r>
        <w:rPr>
          <w:rFonts w:ascii="Arial" w:eastAsia="Arial" w:hAnsi="Arial" w:cs="Arial"/>
        </w:rPr>
        <w:t xml:space="preserve"> spp. Rev </w:t>
      </w:r>
      <w:proofErr w:type="spellStart"/>
      <w:r>
        <w:rPr>
          <w:rFonts w:ascii="Arial" w:eastAsia="Arial" w:hAnsi="Arial" w:cs="Arial"/>
        </w:rPr>
        <w:t>Odontol</w:t>
      </w:r>
      <w:proofErr w:type="spellEnd"/>
      <w:r>
        <w:rPr>
          <w:rFonts w:ascii="Arial" w:eastAsia="Arial" w:hAnsi="Arial" w:cs="Arial"/>
        </w:rPr>
        <w:t xml:space="preserve"> UNESP. 2023;51(</w:t>
      </w:r>
      <w:proofErr w:type="spellStart"/>
      <w:r>
        <w:rPr>
          <w:rFonts w:ascii="Arial" w:eastAsia="Arial" w:hAnsi="Arial" w:cs="Arial"/>
        </w:rPr>
        <w:t>esp</w:t>
      </w:r>
      <w:proofErr w:type="spellEnd"/>
      <w:r>
        <w:rPr>
          <w:rFonts w:ascii="Arial" w:eastAsia="Arial" w:hAnsi="Arial" w:cs="Arial"/>
        </w:rPr>
        <w:t>):e20230001. doi:10.1590/1807-2577.00123.</w:t>
      </w:r>
    </w:p>
    <w:p w14:paraId="5684B899" w14:textId="77777777" w:rsidR="00F15FC8" w:rsidRDefault="00887443">
      <w:pPr>
        <w:numPr>
          <w:ilvl w:val="0"/>
          <w:numId w:val="1"/>
        </w:numPr>
        <w:jc w:val="both"/>
        <w:rPr>
          <w:rFonts w:ascii="Arial" w:eastAsia="Arial" w:hAnsi="Arial" w:cs="Arial"/>
        </w:rPr>
      </w:pPr>
      <w:r>
        <w:rPr>
          <w:rFonts w:ascii="Arial" w:eastAsia="Arial" w:hAnsi="Arial" w:cs="Arial"/>
        </w:rPr>
        <w:t>Rathore, S., Mukim, M., Sharma, P., Devi, S., et al. Curcumin: A Review for Health Benefits. Int J Res Rev. 2020;7(1):310-6.</w:t>
      </w:r>
    </w:p>
    <w:p w14:paraId="3CAAA1E5" w14:textId="77777777" w:rsidR="00F15FC8" w:rsidRDefault="00887443">
      <w:pPr>
        <w:numPr>
          <w:ilvl w:val="0"/>
          <w:numId w:val="1"/>
        </w:numPr>
        <w:jc w:val="both"/>
        <w:rPr>
          <w:rFonts w:ascii="Arial" w:eastAsia="Arial" w:hAnsi="Arial" w:cs="Arial"/>
        </w:rPr>
      </w:pPr>
      <w:r>
        <w:rPr>
          <w:rFonts w:ascii="Arial" w:eastAsia="Arial" w:hAnsi="Arial" w:cs="Arial"/>
        </w:rPr>
        <w:t xml:space="preserve">Narayanan, V.S., Muddaiah, S., </w:t>
      </w:r>
      <w:proofErr w:type="spellStart"/>
      <w:r>
        <w:rPr>
          <w:rFonts w:ascii="Arial" w:eastAsia="Arial" w:hAnsi="Arial" w:cs="Arial"/>
        </w:rPr>
        <w:t>Shashidara</w:t>
      </w:r>
      <w:proofErr w:type="spellEnd"/>
      <w:r>
        <w:rPr>
          <w:rFonts w:ascii="Arial" w:eastAsia="Arial" w:hAnsi="Arial" w:cs="Arial"/>
        </w:rPr>
        <w:t xml:space="preserve">, R., Sudheendra, U.S., Deepthi, N. Variable antifungal activity of curcumin against planktonic and biofilm phase of different </w:t>
      </w:r>
      <w:r>
        <w:rPr>
          <w:rFonts w:ascii="Arial" w:eastAsia="Arial" w:hAnsi="Arial" w:cs="Arial"/>
          <w:i/>
        </w:rPr>
        <w:t>Candida</w:t>
      </w:r>
      <w:r>
        <w:rPr>
          <w:rFonts w:ascii="Arial" w:eastAsia="Arial" w:hAnsi="Arial" w:cs="Arial"/>
        </w:rPr>
        <w:t xml:space="preserve"> species. Indian J Dent Res. 2020;31(1):145-8.</w:t>
      </w:r>
    </w:p>
    <w:p w14:paraId="79119FA3" w14:textId="77777777" w:rsidR="00F15FC8" w:rsidRDefault="00887443">
      <w:pPr>
        <w:numPr>
          <w:ilvl w:val="0"/>
          <w:numId w:val="1"/>
        </w:numPr>
        <w:jc w:val="both"/>
        <w:rPr>
          <w:rFonts w:ascii="Arial" w:eastAsia="Arial" w:hAnsi="Arial" w:cs="Arial"/>
        </w:rPr>
      </w:pPr>
      <w:r>
        <w:rPr>
          <w:rFonts w:ascii="Arial" w:eastAsia="Arial" w:hAnsi="Arial" w:cs="Arial"/>
        </w:rPr>
        <w:t>Dai, C., Lin, J., Li, H., Shen, Z., Wang, Y., Velkov, T., et al. The natural product curcumin as an antibacterial agent: Current achievements and problems. Antioxidants (Basel). 2022;11(3):459. doi:10.3390/antiox11030459.</w:t>
      </w:r>
    </w:p>
    <w:p w14:paraId="34261B10"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Lencova</w:t>
      </w:r>
      <w:proofErr w:type="spellEnd"/>
      <w:r>
        <w:rPr>
          <w:rFonts w:ascii="Arial" w:eastAsia="Arial" w:hAnsi="Arial" w:cs="Arial"/>
        </w:rPr>
        <w:t xml:space="preserve">, S., Stibor, I., Hruskova, V., Svoboda, J., </w:t>
      </w:r>
      <w:proofErr w:type="spellStart"/>
      <w:r>
        <w:rPr>
          <w:rFonts w:ascii="Arial" w:eastAsia="Arial" w:hAnsi="Arial" w:cs="Arial"/>
        </w:rPr>
        <w:t>Efenberkova</w:t>
      </w:r>
      <w:proofErr w:type="spellEnd"/>
      <w:r>
        <w:rPr>
          <w:rFonts w:ascii="Arial" w:eastAsia="Arial" w:hAnsi="Arial" w:cs="Arial"/>
        </w:rPr>
        <w:t>, M., Weiserova, M., et al. Bacterial biofilms on polyamide nanofibers: factors influencing biofilm formation and evaluation. ACS Appl Mater Interfaces. 2021;13(2):2277-88. doi:10.1021/acsami.0c19016.</w:t>
      </w:r>
    </w:p>
    <w:p w14:paraId="34E90F8D" w14:textId="77777777" w:rsidR="00F15FC8" w:rsidRDefault="00887443">
      <w:pPr>
        <w:numPr>
          <w:ilvl w:val="0"/>
          <w:numId w:val="1"/>
        </w:numPr>
        <w:jc w:val="both"/>
        <w:rPr>
          <w:rFonts w:ascii="Arial" w:eastAsia="Arial" w:hAnsi="Arial" w:cs="Arial"/>
        </w:rPr>
        <w:sectPr w:rsidR="00F15FC8" w:rsidSect="00F80FE9">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r>
        <w:rPr>
          <w:rFonts w:ascii="Arial" w:eastAsia="Arial" w:hAnsi="Arial" w:cs="Arial"/>
        </w:rPr>
        <w:t xml:space="preserve">Jyotirmayee, B., Mahalik, G. A review on selected pharmacological activities of </w:t>
      </w:r>
      <w:r>
        <w:rPr>
          <w:rFonts w:ascii="Arial" w:eastAsia="Arial" w:hAnsi="Arial" w:cs="Arial"/>
          <w:i/>
        </w:rPr>
        <w:t>Curcuma longa</w:t>
      </w:r>
      <w:r>
        <w:rPr>
          <w:rFonts w:ascii="Arial" w:eastAsia="Arial" w:hAnsi="Arial" w:cs="Arial"/>
        </w:rPr>
        <w:t xml:space="preserve"> L. Int J Food Prop. 2022;25(1):1377-98. doi:10.1080/10942912.2022.2082464.</w:t>
      </w:r>
    </w:p>
    <w:p w14:paraId="6C066CC9" w14:textId="77777777" w:rsidR="00F15FC8" w:rsidRDefault="00F15FC8">
      <w:pPr>
        <w:keepNext/>
        <w:pBdr>
          <w:top w:val="nil"/>
          <w:left w:val="nil"/>
          <w:bottom w:val="nil"/>
          <w:right w:val="nil"/>
          <w:between w:val="nil"/>
        </w:pBdr>
        <w:jc w:val="both"/>
        <w:rPr>
          <w:rFonts w:ascii="Arial" w:eastAsia="Arial" w:hAnsi="Arial" w:cs="Arial"/>
          <w:smallCaps/>
          <w:color w:val="000000"/>
          <w:sz w:val="22"/>
          <w:szCs w:val="22"/>
        </w:rPr>
      </w:pPr>
    </w:p>
    <w:sectPr w:rsidR="00F15FC8">
      <w:type w:val="continuous"/>
      <w:pgSz w:w="12240" w:h="15840"/>
      <w:pgMar w:top="720" w:right="720" w:bottom="720" w:left="720" w:header="720" w:footer="720" w:gutter="0"/>
      <w:lnNumType w:countBy="1" w:restart="continuou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li alnashmi" w:date="2025-11-12T11:27:00Z" w:initials="aa">
    <w:p w14:paraId="79E3177D" w14:textId="77777777" w:rsidR="00C31436" w:rsidRDefault="00C31436" w:rsidP="00C31436">
      <w:pPr>
        <w:pStyle w:val="CommentText"/>
      </w:pPr>
      <w:r>
        <w:rPr>
          <w:rStyle w:val="CommentReference"/>
        </w:rPr>
        <w:annotationRef/>
      </w:r>
      <w:r>
        <w:rPr>
          <w:lang w:val="en-US"/>
        </w:rPr>
        <w:t>Excellent. It's clear, direct, and perfectly describes the study. No changes needed.</w:t>
      </w:r>
    </w:p>
  </w:comment>
  <w:comment w:id="2" w:author="ali alnashmi" w:date="2025-11-12T11:28:00Z" w:initials="aa">
    <w:p w14:paraId="14A3941C" w14:textId="77777777" w:rsidR="00C31436" w:rsidRDefault="00C31436" w:rsidP="00C31436">
      <w:pPr>
        <w:pStyle w:val="CommentText"/>
      </w:pPr>
      <w:r>
        <w:rPr>
          <w:rStyle w:val="CommentReference"/>
        </w:rPr>
        <w:annotationRef/>
      </w:r>
      <w:r>
        <w:rPr>
          <w:lang w:val="en-US"/>
        </w:rPr>
        <w:t>Very good and well-structured. Using a structured format is an excellent idea; it makes it easy to read. It clearly summarizes the most important finding (the difference between killing the fungi and preventing the biofilm).</w:t>
      </w:r>
    </w:p>
  </w:comment>
  <w:comment w:id="3" w:author="ali alnashmi" w:date="2025-11-12T11:28:00Z" w:initials="aa">
    <w:p w14:paraId="4905A331" w14:textId="77777777" w:rsidR="00D2681B" w:rsidRDefault="00D2681B" w:rsidP="00D2681B">
      <w:pPr>
        <w:pStyle w:val="CommentText"/>
      </w:pPr>
      <w:r>
        <w:rPr>
          <w:rStyle w:val="CommentReference"/>
        </w:rPr>
        <w:annotationRef/>
      </w:r>
      <w:r>
        <w:rPr>
          <w:lang w:val="en-US"/>
        </w:rPr>
        <w:t>Strong and well-written. It explains the problem (Candida infections) well, clarifies the importance of biofilms, and introduces Curcuma as a potential solution. It logically connects the problem to your research.</w:t>
      </w:r>
    </w:p>
  </w:comment>
  <w:comment w:id="4" w:author="ali alnashmi" w:date="2025-11-12T11:29:00Z" w:initials="aa">
    <w:p w14:paraId="7AA9D4D9" w14:textId="77777777" w:rsidR="00D2681B" w:rsidRDefault="00D2681B" w:rsidP="00D2681B">
      <w:pPr>
        <w:pStyle w:val="CommentText"/>
      </w:pPr>
      <w:r>
        <w:rPr>
          <w:rStyle w:val="CommentReference"/>
        </w:rPr>
        <w:annotationRef/>
      </w:r>
      <w:r>
        <w:rPr>
          <w:b/>
          <w:bCs/>
          <w:lang w:val="en-US"/>
        </w:rPr>
        <w:t>Strength:</w:t>
      </w:r>
      <w:r>
        <w:rPr>
          <w:lang w:val="en-US"/>
        </w:rPr>
        <w:t xml:space="preserve"> The best part of this section is the chemical analysis (HPLC) of the tincture. This proves exactly what material you used, which many studies fail to do. This makes the results reliable.</w:t>
      </w:r>
    </w:p>
    <w:p w14:paraId="605771BB" w14:textId="77777777" w:rsidR="00D2681B" w:rsidRDefault="00D2681B" w:rsidP="00D2681B">
      <w:pPr>
        <w:pStyle w:val="CommentText"/>
      </w:pPr>
      <w:r>
        <w:rPr>
          <w:b/>
          <w:bCs/>
          <w:lang w:val="en-US"/>
        </w:rPr>
        <w:t>Methods:</w:t>
      </w:r>
      <w:r>
        <w:rPr>
          <w:lang w:val="en-US"/>
        </w:rPr>
        <w:t xml:space="preserve"> The methods used (MIC, MCC) are standard and appropriate.</w:t>
      </w:r>
    </w:p>
    <w:p w14:paraId="1B699879" w14:textId="77777777" w:rsidR="00D2681B" w:rsidRDefault="00D2681B" w:rsidP="00D2681B">
      <w:pPr>
        <w:pStyle w:val="CommentText"/>
      </w:pPr>
      <w:r>
        <w:rPr>
          <w:b/>
          <w:bCs/>
          <w:lang w:val="en-US"/>
        </w:rPr>
        <w:t>Weakness (Limitation):</w:t>
      </w:r>
      <w:r>
        <w:rPr>
          <w:lang w:val="en-US"/>
        </w:rPr>
        <w:t xml:space="preserve"> You only tested the </w:t>
      </w:r>
      <w:r>
        <w:rPr>
          <w:i/>
          <w:iCs/>
          <w:lang w:val="en-US"/>
        </w:rPr>
        <w:t>prevention</w:t>
      </w:r>
      <w:r>
        <w:rPr>
          <w:lang w:val="en-US"/>
        </w:rPr>
        <w:t xml:space="preserve"> of biofilm formation. What about biofilms that have </w:t>
      </w:r>
      <w:r>
        <w:rPr>
          <w:i/>
          <w:iCs/>
          <w:lang w:val="en-US"/>
        </w:rPr>
        <w:t>already formed</w:t>
      </w:r>
      <w:r>
        <w:rPr>
          <w:lang w:val="en-US"/>
        </w:rPr>
        <w:t>? Treating mature biofilms is the bigger clinical challenge, and this was not tested here.</w:t>
      </w:r>
    </w:p>
  </w:comment>
  <w:comment w:id="5" w:author="ali alnashmi" w:date="2025-11-12T11:29:00Z" w:initials="aa">
    <w:p w14:paraId="4769EACD" w14:textId="77777777" w:rsidR="009A5E73" w:rsidRDefault="009A5E73" w:rsidP="009A5E73">
      <w:pPr>
        <w:pStyle w:val="CommentText"/>
        <w:numPr>
          <w:ilvl w:val="0"/>
          <w:numId w:val="3"/>
        </w:numPr>
        <w:ind w:left="360"/>
      </w:pPr>
      <w:r>
        <w:rPr>
          <w:rStyle w:val="CommentReference"/>
        </w:rPr>
        <w:annotationRef/>
      </w:r>
      <w:r>
        <w:rPr>
          <w:b/>
          <w:bCs/>
          <w:lang w:val="en-US"/>
        </w:rPr>
        <w:t>Key Findings:</w:t>
      </w:r>
      <w:r>
        <w:rPr>
          <w:lang w:val="en-US"/>
        </w:rPr>
        <w:t xml:space="preserve"> The results are very clear. The tincture is weak at </w:t>
      </w:r>
      <w:r>
        <w:rPr>
          <w:i/>
          <w:iCs/>
          <w:lang w:val="en-US"/>
        </w:rPr>
        <w:t>killing</w:t>
      </w:r>
      <w:r>
        <w:rPr>
          <w:lang w:val="en-US"/>
        </w:rPr>
        <w:t xml:space="preserve"> the fungi (requires a high concentration) but excellent at </w:t>
      </w:r>
      <w:r>
        <w:rPr>
          <w:i/>
          <w:iCs/>
          <w:lang w:val="en-US"/>
        </w:rPr>
        <w:t>preventing</w:t>
      </w:r>
      <w:r>
        <w:rPr>
          <w:lang w:val="en-US"/>
        </w:rPr>
        <w:t xml:space="preserve"> biofilm formation (requires a very low concentration).</w:t>
      </w:r>
    </w:p>
    <w:p w14:paraId="5434ACD3" w14:textId="77777777" w:rsidR="009A5E73" w:rsidRDefault="009A5E73" w:rsidP="009A5E73">
      <w:pPr>
        <w:pStyle w:val="CommentText"/>
        <w:numPr>
          <w:ilvl w:val="0"/>
          <w:numId w:val="3"/>
        </w:numPr>
        <w:ind w:left="360"/>
      </w:pPr>
      <w:r>
        <w:rPr>
          <w:b/>
          <w:bCs/>
          <w:lang w:val="en-US"/>
        </w:rPr>
        <w:t>Data Presentation:</w:t>
      </w:r>
      <w:r>
        <w:rPr>
          <w:lang w:val="en-US"/>
        </w:rPr>
        <w:t xml:space="preserve"> The table (Table 3) that compares the ratio between MIC and MBIC50 was very smart. It highlights the main point of the entire study at a single glance.</w:t>
      </w:r>
    </w:p>
  </w:comment>
  <w:comment w:id="6" w:author="ali alnashmi" w:date="2025-11-12T11:30:00Z" w:initials="aa">
    <w:p w14:paraId="29A34095" w14:textId="77777777" w:rsidR="009A5E73" w:rsidRDefault="009A5E73" w:rsidP="009A5E73">
      <w:pPr>
        <w:pStyle w:val="CommentText"/>
      </w:pPr>
      <w:r>
        <w:rPr>
          <w:rStyle w:val="CommentReference"/>
        </w:rPr>
        <w:annotationRef/>
      </w:r>
      <w:r>
        <w:rPr>
          <w:b/>
          <w:bCs/>
          <w:lang w:val="en-US"/>
        </w:rPr>
        <w:t>Discussion</w:t>
      </w:r>
    </w:p>
    <w:p w14:paraId="76F15337" w14:textId="77777777" w:rsidR="009A5E73" w:rsidRDefault="009A5E73" w:rsidP="009A5E73">
      <w:pPr>
        <w:pStyle w:val="CommentText"/>
        <w:numPr>
          <w:ilvl w:val="0"/>
          <w:numId w:val="4"/>
        </w:numPr>
        <w:ind w:left="360"/>
      </w:pPr>
      <w:r>
        <w:rPr>
          <w:b/>
          <w:bCs/>
          <w:lang w:val="en-US"/>
        </w:rPr>
        <w:t>Interpretation:</w:t>
      </w:r>
      <w:r>
        <w:rPr>
          <w:lang w:val="en-US"/>
        </w:rPr>
        <w:t xml:space="preserve"> The interpretation is logical. You honestly admitted that your killing activity (MIC) was weaker than in other studies, which shows good scientific transparency.</w:t>
      </w:r>
    </w:p>
    <w:p w14:paraId="40FD4EBE" w14:textId="77777777" w:rsidR="009A5E73" w:rsidRDefault="009A5E73" w:rsidP="009A5E73">
      <w:pPr>
        <w:pStyle w:val="CommentText"/>
        <w:numPr>
          <w:ilvl w:val="0"/>
          <w:numId w:val="4"/>
        </w:numPr>
        <w:ind w:left="360"/>
      </w:pPr>
      <w:r>
        <w:rPr>
          <w:b/>
          <w:bCs/>
          <w:lang w:val="en-US"/>
        </w:rPr>
        <w:t>Focus:</w:t>
      </w:r>
      <w:r>
        <w:rPr>
          <w:lang w:val="en-US"/>
        </w:rPr>
        <w:t xml:space="preserve"> You correctly focused on the most important point (the big gap between MIC and MBIC50) and explained why this might be happening (perhaps the tincture stops adherence), which is a sound analysis.</w:t>
      </w:r>
    </w:p>
  </w:comment>
  <w:comment w:id="10" w:author="ali alnashmi" w:date="2025-11-12T11:31:00Z" w:initials="aa">
    <w:p w14:paraId="26D5D444" w14:textId="77777777" w:rsidR="00BD381C" w:rsidRDefault="00BD381C" w:rsidP="00BD381C">
      <w:pPr>
        <w:pStyle w:val="CommentText"/>
      </w:pPr>
      <w:r>
        <w:rPr>
          <w:rStyle w:val="CommentReference"/>
        </w:rPr>
        <w:annotationRef/>
      </w:r>
      <w:r>
        <w:rPr>
          <w:b/>
          <w:bCs/>
          <w:lang w:val="en-US"/>
        </w:rPr>
        <w:t>Accuracy:</w:t>
      </w:r>
      <w:r>
        <w:rPr>
          <w:lang w:val="en-US"/>
        </w:rPr>
        <w:t xml:space="preserve"> The conclusion is accurate. You did not overstate your results; you described the tincture as "promising."</w:t>
      </w:r>
    </w:p>
    <w:p w14:paraId="3A6A6FBA" w14:textId="77777777" w:rsidR="00BD381C" w:rsidRDefault="00BD381C" w:rsidP="00BD381C">
      <w:pPr>
        <w:pStyle w:val="CommentText"/>
      </w:pPr>
      <w:r>
        <w:rPr>
          <w:b/>
          <w:bCs/>
          <w:lang w:val="en-US"/>
        </w:rPr>
        <w:t>Guidance:</w:t>
      </w:r>
      <w:r>
        <w:rPr>
          <w:lang w:val="en-US"/>
        </w:rPr>
        <w:t xml:space="preserve"> I liked that you identified the next steps for research (like animal models and toxicity testing). This shows a good understanding of the field.</w:t>
      </w:r>
    </w:p>
  </w:comment>
  <w:comment w:id="11" w:author="ali alnashmi" w:date="2025-11-12T11:31:00Z" w:initials="aa">
    <w:p w14:paraId="27146AAB" w14:textId="77777777" w:rsidR="00BD381C" w:rsidRDefault="00BD381C" w:rsidP="00BD381C">
      <w:pPr>
        <w:pStyle w:val="CommentText"/>
      </w:pPr>
      <w:r>
        <w:rPr>
          <w:rStyle w:val="CommentReference"/>
        </w:rPr>
        <w:annotationRef/>
      </w:r>
      <w:r>
        <w:rPr>
          <w:b/>
          <w:bCs/>
          <w:lang w:val="en-US"/>
        </w:rPr>
        <w:t>References</w:t>
      </w:r>
    </w:p>
    <w:p w14:paraId="6C87D025" w14:textId="77777777" w:rsidR="00BD381C" w:rsidRDefault="00BD381C" w:rsidP="00BD381C">
      <w:pPr>
        <w:pStyle w:val="CommentText"/>
      </w:pPr>
      <w:r>
        <w:rPr>
          <w:lang w:val="en-US"/>
        </w:rPr>
        <w:t>Good, current, and they adequately support the research. No issues.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9E3177D" w15:done="0"/>
  <w15:commentEx w15:paraId="14A3941C" w15:done="0"/>
  <w15:commentEx w15:paraId="4905A331" w15:done="0"/>
  <w15:commentEx w15:paraId="1B699879" w15:done="0"/>
  <w15:commentEx w15:paraId="5434ACD3" w15:done="0"/>
  <w15:commentEx w15:paraId="40FD4EBE" w15:paraIdParent="5434ACD3" w15:done="0"/>
  <w15:commentEx w15:paraId="3A6A6FBA" w15:done="0"/>
  <w15:commentEx w15:paraId="6C87D0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137460" w16cex:dateUtc="2025-11-12T08:27:00Z"/>
  <w16cex:commentExtensible w16cex:durableId="146BBB4C" w16cex:dateUtc="2025-11-12T08:28:00Z"/>
  <w16cex:commentExtensible w16cex:durableId="2425AE6C" w16cex:dateUtc="2025-11-12T08:28:00Z"/>
  <w16cex:commentExtensible w16cex:durableId="5949FA03" w16cex:dateUtc="2025-11-12T08:29:00Z"/>
  <w16cex:commentExtensible w16cex:durableId="64CCFB62" w16cex:dateUtc="2025-11-12T08:29:00Z"/>
  <w16cex:commentExtensible w16cex:durableId="0D533E11" w16cex:dateUtc="2025-11-12T08:30:00Z"/>
  <w16cex:commentExtensible w16cex:durableId="4169716E" w16cex:dateUtc="2025-11-12T08:31:00Z"/>
  <w16cex:commentExtensible w16cex:durableId="7A82F78D" w16cex:dateUtc="2025-11-12T0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E3177D" w16cid:durableId="20137460"/>
  <w16cid:commentId w16cid:paraId="14A3941C" w16cid:durableId="146BBB4C"/>
  <w16cid:commentId w16cid:paraId="4905A331" w16cid:durableId="2425AE6C"/>
  <w16cid:commentId w16cid:paraId="1B699879" w16cid:durableId="5949FA03"/>
  <w16cid:commentId w16cid:paraId="5434ACD3" w16cid:durableId="64CCFB62"/>
  <w16cid:commentId w16cid:paraId="40FD4EBE" w16cid:durableId="0D533E11"/>
  <w16cid:commentId w16cid:paraId="3A6A6FBA" w16cid:durableId="4169716E"/>
  <w16cid:commentId w16cid:paraId="6C87D025" w16cid:durableId="7A82F7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7E977" w14:textId="77777777" w:rsidR="00756EE2" w:rsidRDefault="00756EE2">
      <w:r>
        <w:separator/>
      </w:r>
    </w:p>
  </w:endnote>
  <w:endnote w:type="continuationSeparator" w:id="0">
    <w:p w14:paraId="121837CE" w14:textId="77777777" w:rsidR="00756EE2" w:rsidRDefault="00756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1A2B779-7CC4-438D-BDC9-864654416DEC}"/>
  </w:font>
  <w:font w:name="Helvetica">
    <w:panose1 w:val="020B0604020202020204"/>
    <w:charset w:val="00"/>
    <w:family w:val="swiss"/>
    <w:pitch w:val="variable"/>
    <w:sig w:usb0="E0002EFF" w:usb1="C000785B" w:usb2="00000009" w:usb3="00000000" w:csb0="000001FF" w:csb1="00000000"/>
    <w:embedRegular r:id="rId2" w:fontKey="{6D59F5D8-4A27-41F3-A2E4-460D9222D196}"/>
  </w:font>
  <w:font w:name="Tahoma">
    <w:panose1 w:val="020B0604030504040204"/>
    <w:charset w:val="00"/>
    <w:family w:val="swiss"/>
    <w:pitch w:val="variable"/>
    <w:sig w:usb0="E1002EFF" w:usb1="C000605B" w:usb2="00000029" w:usb3="00000000" w:csb0="000101FF" w:csb1="00000000"/>
    <w:embedRegular r:id="rId3" w:fontKey="{1DD8BE0B-CA4A-4C52-858B-9D79AE6B12D2}"/>
  </w:font>
  <w:font w:name="Georgia">
    <w:panose1 w:val="02040502050405020303"/>
    <w:charset w:val="00"/>
    <w:family w:val="roman"/>
    <w:pitch w:val="variable"/>
    <w:sig w:usb0="00000287" w:usb1="00000000" w:usb2="00000000" w:usb3="00000000" w:csb0="0000009F" w:csb1="00000000"/>
    <w:embedRegular r:id="rId4" w:fontKey="{791FCA69-C3DF-4567-A774-EED2697B665C}"/>
    <w:embedItalic r:id="rId5" w:fontKey="{E09B228D-95D4-4174-8CB4-982427647E88}"/>
  </w:font>
  <w:font w:name="Arial Unicode MS">
    <w:altName w:val="Arial"/>
    <w:panose1 w:val="020B0604020202020204"/>
    <w:charset w:val="80"/>
    <w:family w:val="swiss"/>
    <w:pitch w:val="variable"/>
    <w:sig w:usb0="F7FFAFFF" w:usb1="E9DFFFFF" w:usb2="0000003F" w:usb3="00000000" w:csb0="003F01FF" w:csb1="00000000"/>
    <w:embedRegular r:id="rId6" w:subsetted="1" w:fontKey="{BEFC96D0-2BDC-473A-BED8-12C1A16C484B}"/>
    <w:embedBold r:id="rId7" w:subsetted="1" w:fontKey="{CD1A7E8D-699B-47DE-ACC4-DBA5343B2422}"/>
  </w:font>
  <w:font w:name="Cambria">
    <w:panose1 w:val="02040503050406030204"/>
    <w:charset w:val="00"/>
    <w:family w:val="roman"/>
    <w:pitch w:val="variable"/>
    <w:sig w:usb0="E00006FF" w:usb1="420024FF" w:usb2="02000000" w:usb3="00000000" w:csb0="0000019F" w:csb1="00000000"/>
    <w:embedRegular r:id="rId8" w:fontKey="{49F0CE0A-AE10-4EF5-A65F-99F6CF332A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2D946" w14:textId="77777777" w:rsidR="00F15FC8" w:rsidRDefault="00F15FC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54E3" w14:textId="77777777" w:rsidR="00F80FE9" w:rsidRDefault="00F80F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C2257" w14:textId="560FC074" w:rsidR="00F15FC8" w:rsidRPr="00F80FE9" w:rsidRDefault="00F15FC8" w:rsidP="00F80F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E3BBA" w14:textId="77777777" w:rsidR="00F15FC8" w:rsidRDefault="00F15FC8">
    <w:pPr>
      <w:spacing w:after="200" w:line="360" w:lineRule="auto"/>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7F3FF" w14:textId="77777777" w:rsidR="00756EE2" w:rsidRDefault="00756EE2">
      <w:r>
        <w:separator/>
      </w:r>
    </w:p>
  </w:footnote>
  <w:footnote w:type="continuationSeparator" w:id="0">
    <w:p w14:paraId="3EF343FF" w14:textId="77777777" w:rsidR="00756EE2" w:rsidRDefault="00756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F6B81" w14:textId="6F7A7A96" w:rsidR="00F15FC8" w:rsidRDefault="00000000">
    <w:pPr>
      <w:pBdr>
        <w:top w:val="nil"/>
        <w:left w:val="nil"/>
        <w:bottom w:val="nil"/>
        <w:right w:val="nil"/>
        <w:between w:val="nil"/>
      </w:pBdr>
      <w:tabs>
        <w:tab w:val="center" w:pos="4320"/>
        <w:tab w:val="right" w:pos="8640"/>
      </w:tabs>
      <w:rPr>
        <w:color w:val="000000"/>
      </w:rPr>
    </w:pPr>
    <w:r>
      <w:rPr>
        <w:noProof/>
      </w:rPr>
      <w:pict w14:anchorId="485B3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53735"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1C92" w14:textId="2D610A0D" w:rsidR="00F15FC8" w:rsidRDefault="00000000">
    <w:pPr>
      <w:pBdr>
        <w:top w:val="nil"/>
        <w:left w:val="nil"/>
        <w:bottom w:val="nil"/>
        <w:right w:val="nil"/>
        <w:between w:val="nil"/>
      </w:pBdr>
      <w:tabs>
        <w:tab w:val="center" w:pos="4320"/>
        <w:tab w:val="right" w:pos="8640"/>
      </w:tabs>
      <w:rPr>
        <w:color w:val="000000"/>
      </w:rPr>
    </w:pPr>
    <w:r>
      <w:rPr>
        <w:noProof/>
      </w:rPr>
      <w:pict w14:anchorId="4F132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53736"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B4835" w14:textId="5CE63EA6" w:rsidR="00F15FC8" w:rsidRDefault="00000000">
    <w:pPr>
      <w:ind w:left="2160"/>
      <w:jc w:val="center"/>
      <w:rPr>
        <w:rFonts w:ascii="Times New Roman" w:eastAsia="Times New Roman" w:hAnsi="Times New Roman" w:cs="Times New Roman"/>
        <w:i/>
        <w:sz w:val="18"/>
        <w:szCs w:val="18"/>
      </w:rPr>
    </w:pPr>
    <w:r>
      <w:rPr>
        <w:noProof/>
      </w:rPr>
      <w:pict w14:anchorId="620B0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53734"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249DF019" w14:textId="77777777" w:rsidR="00F15FC8" w:rsidRDefault="00887443">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A10B690" w14:textId="77777777" w:rsidR="00F15FC8" w:rsidRDefault="0088744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E389717" w14:textId="77777777" w:rsidR="00F15FC8" w:rsidRDefault="00887443">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C0932F5" w14:textId="77777777" w:rsidR="00F15FC8" w:rsidRDefault="0088744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7F4C688" w14:textId="77777777" w:rsidR="00F15FC8" w:rsidRDefault="00887443">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4712E0A" w14:textId="77777777" w:rsidR="00F15FC8" w:rsidRDefault="00887443">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4F226" w14:textId="06041DC6" w:rsidR="00F80FE9" w:rsidRDefault="00000000">
    <w:pPr>
      <w:pStyle w:val="Header"/>
    </w:pPr>
    <w:r>
      <w:rPr>
        <w:noProof/>
      </w:rPr>
      <w:pict w14:anchorId="26FAF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53738"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79FF0" w14:textId="502B6881" w:rsidR="00F80FE9" w:rsidRDefault="00000000">
    <w:pPr>
      <w:pStyle w:val="Header"/>
    </w:pPr>
    <w:r>
      <w:rPr>
        <w:noProof/>
      </w:rPr>
      <w:pict w14:anchorId="531E6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53739"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A696" w14:textId="20E15202" w:rsidR="00F80FE9" w:rsidRDefault="00000000">
    <w:pPr>
      <w:pStyle w:val="Header"/>
    </w:pPr>
    <w:r>
      <w:rPr>
        <w:noProof/>
      </w:rPr>
      <w:pict w14:anchorId="63933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53737"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7503"/>
    <w:multiLevelType w:val="hybridMultilevel"/>
    <w:tmpl w:val="AC92042C"/>
    <w:lvl w:ilvl="0" w:tplc="8A02CE9C">
      <w:start w:val="1"/>
      <w:numFmt w:val="bullet"/>
      <w:lvlText w:val=""/>
      <w:lvlJc w:val="left"/>
      <w:pPr>
        <w:ind w:left="1080" w:hanging="360"/>
      </w:pPr>
      <w:rPr>
        <w:rFonts w:ascii="Symbol" w:hAnsi="Symbol"/>
      </w:rPr>
    </w:lvl>
    <w:lvl w:ilvl="1" w:tplc="BC2C7D52">
      <w:start w:val="1"/>
      <w:numFmt w:val="bullet"/>
      <w:lvlText w:val=""/>
      <w:lvlJc w:val="left"/>
      <w:pPr>
        <w:ind w:left="1080" w:hanging="360"/>
      </w:pPr>
      <w:rPr>
        <w:rFonts w:ascii="Symbol" w:hAnsi="Symbol"/>
      </w:rPr>
    </w:lvl>
    <w:lvl w:ilvl="2" w:tplc="4FB2C276">
      <w:start w:val="1"/>
      <w:numFmt w:val="bullet"/>
      <w:lvlText w:val=""/>
      <w:lvlJc w:val="left"/>
      <w:pPr>
        <w:ind w:left="1080" w:hanging="360"/>
      </w:pPr>
      <w:rPr>
        <w:rFonts w:ascii="Symbol" w:hAnsi="Symbol"/>
      </w:rPr>
    </w:lvl>
    <w:lvl w:ilvl="3" w:tplc="BDB459F2">
      <w:start w:val="1"/>
      <w:numFmt w:val="bullet"/>
      <w:lvlText w:val=""/>
      <w:lvlJc w:val="left"/>
      <w:pPr>
        <w:ind w:left="1080" w:hanging="360"/>
      </w:pPr>
      <w:rPr>
        <w:rFonts w:ascii="Symbol" w:hAnsi="Symbol"/>
      </w:rPr>
    </w:lvl>
    <w:lvl w:ilvl="4" w:tplc="1E26F198">
      <w:start w:val="1"/>
      <w:numFmt w:val="bullet"/>
      <w:lvlText w:val=""/>
      <w:lvlJc w:val="left"/>
      <w:pPr>
        <w:ind w:left="1080" w:hanging="360"/>
      </w:pPr>
      <w:rPr>
        <w:rFonts w:ascii="Symbol" w:hAnsi="Symbol"/>
      </w:rPr>
    </w:lvl>
    <w:lvl w:ilvl="5" w:tplc="0D0011BE">
      <w:start w:val="1"/>
      <w:numFmt w:val="bullet"/>
      <w:lvlText w:val=""/>
      <w:lvlJc w:val="left"/>
      <w:pPr>
        <w:ind w:left="1080" w:hanging="360"/>
      </w:pPr>
      <w:rPr>
        <w:rFonts w:ascii="Symbol" w:hAnsi="Symbol"/>
      </w:rPr>
    </w:lvl>
    <w:lvl w:ilvl="6" w:tplc="F7C03796">
      <w:start w:val="1"/>
      <w:numFmt w:val="bullet"/>
      <w:lvlText w:val=""/>
      <w:lvlJc w:val="left"/>
      <w:pPr>
        <w:ind w:left="1080" w:hanging="360"/>
      </w:pPr>
      <w:rPr>
        <w:rFonts w:ascii="Symbol" w:hAnsi="Symbol"/>
      </w:rPr>
    </w:lvl>
    <w:lvl w:ilvl="7" w:tplc="F6303768">
      <w:start w:val="1"/>
      <w:numFmt w:val="bullet"/>
      <w:lvlText w:val=""/>
      <w:lvlJc w:val="left"/>
      <w:pPr>
        <w:ind w:left="1080" w:hanging="360"/>
      </w:pPr>
      <w:rPr>
        <w:rFonts w:ascii="Symbol" w:hAnsi="Symbol"/>
      </w:rPr>
    </w:lvl>
    <w:lvl w:ilvl="8" w:tplc="D9E83CFC">
      <w:start w:val="1"/>
      <w:numFmt w:val="bullet"/>
      <w:lvlText w:val=""/>
      <w:lvlJc w:val="left"/>
      <w:pPr>
        <w:ind w:left="1080" w:hanging="360"/>
      </w:pPr>
      <w:rPr>
        <w:rFonts w:ascii="Symbol" w:hAnsi="Symbol"/>
      </w:rPr>
    </w:lvl>
  </w:abstractNum>
  <w:abstractNum w:abstractNumId="1" w15:restartNumberingAfterBreak="0">
    <w:nsid w:val="10BE01AB"/>
    <w:multiLevelType w:val="multilevel"/>
    <w:tmpl w:val="71622CF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09F3C2A"/>
    <w:multiLevelType w:val="multilevel"/>
    <w:tmpl w:val="B652F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39EA0370"/>
    <w:multiLevelType w:val="hybridMultilevel"/>
    <w:tmpl w:val="438827D4"/>
    <w:lvl w:ilvl="0" w:tplc="45203262">
      <w:start w:val="1"/>
      <w:numFmt w:val="bullet"/>
      <w:lvlText w:val=""/>
      <w:lvlJc w:val="left"/>
      <w:pPr>
        <w:ind w:left="1080" w:hanging="360"/>
      </w:pPr>
      <w:rPr>
        <w:rFonts w:ascii="Symbol" w:hAnsi="Symbol"/>
      </w:rPr>
    </w:lvl>
    <w:lvl w:ilvl="1" w:tplc="4382358C">
      <w:start w:val="1"/>
      <w:numFmt w:val="bullet"/>
      <w:lvlText w:val=""/>
      <w:lvlJc w:val="left"/>
      <w:pPr>
        <w:ind w:left="1080" w:hanging="360"/>
      </w:pPr>
      <w:rPr>
        <w:rFonts w:ascii="Symbol" w:hAnsi="Symbol"/>
      </w:rPr>
    </w:lvl>
    <w:lvl w:ilvl="2" w:tplc="99E6A4BC">
      <w:start w:val="1"/>
      <w:numFmt w:val="bullet"/>
      <w:lvlText w:val=""/>
      <w:lvlJc w:val="left"/>
      <w:pPr>
        <w:ind w:left="1080" w:hanging="360"/>
      </w:pPr>
      <w:rPr>
        <w:rFonts w:ascii="Symbol" w:hAnsi="Symbol"/>
      </w:rPr>
    </w:lvl>
    <w:lvl w:ilvl="3" w:tplc="3906EBA8">
      <w:start w:val="1"/>
      <w:numFmt w:val="bullet"/>
      <w:lvlText w:val=""/>
      <w:lvlJc w:val="left"/>
      <w:pPr>
        <w:ind w:left="1080" w:hanging="360"/>
      </w:pPr>
      <w:rPr>
        <w:rFonts w:ascii="Symbol" w:hAnsi="Symbol"/>
      </w:rPr>
    </w:lvl>
    <w:lvl w:ilvl="4" w:tplc="209A1C1A">
      <w:start w:val="1"/>
      <w:numFmt w:val="bullet"/>
      <w:lvlText w:val=""/>
      <w:lvlJc w:val="left"/>
      <w:pPr>
        <w:ind w:left="1080" w:hanging="360"/>
      </w:pPr>
      <w:rPr>
        <w:rFonts w:ascii="Symbol" w:hAnsi="Symbol"/>
      </w:rPr>
    </w:lvl>
    <w:lvl w:ilvl="5" w:tplc="9464511E">
      <w:start w:val="1"/>
      <w:numFmt w:val="bullet"/>
      <w:lvlText w:val=""/>
      <w:lvlJc w:val="left"/>
      <w:pPr>
        <w:ind w:left="1080" w:hanging="360"/>
      </w:pPr>
      <w:rPr>
        <w:rFonts w:ascii="Symbol" w:hAnsi="Symbol"/>
      </w:rPr>
    </w:lvl>
    <w:lvl w:ilvl="6" w:tplc="7326F688">
      <w:start w:val="1"/>
      <w:numFmt w:val="bullet"/>
      <w:lvlText w:val=""/>
      <w:lvlJc w:val="left"/>
      <w:pPr>
        <w:ind w:left="1080" w:hanging="360"/>
      </w:pPr>
      <w:rPr>
        <w:rFonts w:ascii="Symbol" w:hAnsi="Symbol"/>
      </w:rPr>
    </w:lvl>
    <w:lvl w:ilvl="7" w:tplc="52946E9E">
      <w:start w:val="1"/>
      <w:numFmt w:val="bullet"/>
      <w:lvlText w:val=""/>
      <w:lvlJc w:val="left"/>
      <w:pPr>
        <w:ind w:left="1080" w:hanging="360"/>
      </w:pPr>
      <w:rPr>
        <w:rFonts w:ascii="Symbol" w:hAnsi="Symbol"/>
      </w:rPr>
    </w:lvl>
    <w:lvl w:ilvl="8" w:tplc="39525432">
      <w:start w:val="1"/>
      <w:numFmt w:val="bullet"/>
      <w:lvlText w:val=""/>
      <w:lvlJc w:val="left"/>
      <w:pPr>
        <w:ind w:left="1080" w:hanging="360"/>
      </w:pPr>
      <w:rPr>
        <w:rFonts w:ascii="Symbol" w:hAnsi="Symbol"/>
      </w:rPr>
    </w:lvl>
  </w:abstractNum>
  <w:num w:numId="1" w16cid:durableId="1341658370">
    <w:abstractNumId w:val="2"/>
  </w:num>
  <w:num w:numId="2" w16cid:durableId="1404374526">
    <w:abstractNumId w:val="1"/>
  </w:num>
  <w:num w:numId="3" w16cid:durableId="56706621">
    <w:abstractNumId w:val="0"/>
  </w:num>
  <w:num w:numId="4" w16cid:durableId="124487696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i alnashmi">
    <w15:presenceInfo w15:providerId="Windows Live" w15:userId="5923156eb06e65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FC8"/>
    <w:rsid w:val="00156FE5"/>
    <w:rsid w:val="0024188C"/>
    <w:rsid w:val="00340344"/>
    <w:rsid w:val="00477EE1"/>
    <w:rsid w:val="005072BB"/>
    <w:rsid w:val="0056523D"/>
    <w:rsid w:val="00665408"/>
    <w:rsid w:val="006F12AC"/>
    <w:rsid w:val="00756EE2"/>
    <w:rsid w:val="00887443"/>
    <w:rsid w:val="009A5E73"/>
    <w:rsid w:val="00BD381C"/>
    <w:rsid w:val="00C31436"/>
    <w:rsid w:val="00CE0FD4"/>
    <w:rsid w:val="00D10E78"/>
    <w:rsid w:val="00D2681B"/>
    <w:rsid w:val="00DA748F"/>
    <w:rsid w:val="00F15FC8"/>
    <w:rsid w:val="00F80FE9"/>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4C935"/>
  <w15:docId w15:val="{69E88357-A909-B549-A17C-FC597C669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paragraph" w:styleId="CommentSubject">
    <w:name w:val="annotation subject"/>
    <w:basedOn w:val="CommentText"/>
    <w:next w:val="CommentText"/>
    <w:link w:val="CommentSubjectChar"/>
    <w:uiPriority w:val="99"/>
    <w:semiHidden/>
    <w:unhideWhenUsed/>
    <w:rsid w:val="00C31436"/>
    <w:rPr>
      <w:rFonts w:ascii="Helvetica Neue" w:hAnsi="Helvetica Neue"/>
      <w:b/>
      <w:bCs/>
      <w:lang w:val="en" w:eastAsia="pt-BR"/>
    </w:rPr>
  </w:style>
  <w:style w:type="character" w:customStyle="1" w:styleId="CommentSubjectChar">
    <w:name w:val="Comment Subject Char"/>
    <w:basedOn w:val="CommentTextChar"/>
    <w:link w:val="CommentSubject"/>
    <w:uiPriority w:val="99"/>
    <w:semiHidden/>
    <w:rsid w:val="00C31436"/>
    <w:rPr>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hyperlink" Target="https://www.livealoe.com.br/curcuma-longa-bio-tintura-100-ml"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qUqz94pvLAL4/tYj4uPj5yHpF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5260</Words>
  <Characters>29983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ali alnashmi</cp:lastModifiedBy>
  <cp:revision>7</cp:revision>
  <dcterms:created xsi:type="dcterms:W3CDTF">2025-11-07T23:34:00Z</dcterms:created>
  <dcterms:modified xsi:type="dcterms:W3CDTF">2025-11-12T08:38:00Z</dcterms:modified>
</cp:coreProperties>
</file>